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E2C48" w14:textId="77777777" w:rsidR="00585FD1" w:rsidRDefault="00585FD1" w:rsidP="00870207">
      <w:pPr>
        <w:pStyle w:val="Author"/>
        <w:spacing w:line="240" w:lineRule="auto"/>
        <w:rPr>
          <w:rFonts w:ascii="Arial" w:hAnsi="Arial" w:cs="Arial"/>
          <w:bCs/>
          <w:iCs/>
          <w:kern w:val="28"/>
          <w:sz w:val="36"/>
        </w:rPr>
      </w:pPr>
    </w:p>
    <w:p w14:paraId="3D8ECBA2" w14:textId="280A987F" w:rsidR="00933419" w:rsidRPr="00933419" w:rsidRDefault="00933419" w:rsidP="00870207">
      <w:pPr>
        <w:pStyle w:val="Author"/>
        <w:spacing w:line="240" w:lineRule="auto"/>
        <w:rPr>
          <w:rFonts w:ascii="Arial" w:hAnsi="Arial" w:cs="Arial"/>
          <w:bCs/>
          <w:iCs/>
          <w:kern w:val="28"/>
          <w:sz w:val="36"/>
        </w:rPr>
      </w:pPr>
      <w:r w:rsidRPr="000B61ED">
        <w:rPr>
          <w:rFonts w:ascii="Arial" w:hAnsi="Arial" w:cs="Arial"/>
          <w:bCs/>
          <w:iCs/>
          <w:kern w:val="28"/>
          <w:sz w:val="36"/>
          <w:highlight w:val="yellow"/>
        </w:rPr>
        <w:t>Physico-Chemical and</w:t>
      </w:r>
      <w:r w:rsidR="000B61ED" w:rsidRPr="000B61ED">
        <w:rPr>
          <w:rFonts w:ascii="Arial" w:hAnsi="Arial" w:cs="Arial"/>
          <w:bCs/>
          <w:iCs/>
          <w:kern w:val="28"/>
          <w:sz w:val="36"/>
          <w:highlight w:val="yellow"/>
        </w:rPr>
        <w:t xml:space="preserve"> Thermochemical Profiling</w:t>
      </w:r>
      <w:r w:rsidRPr="000B61ED">
        <w:rPr>
          <w:rFonts w:ascii="Arial" w:hAnsi="Arial" w:cs="Arial"/>
          <w:bCs/>
          <w:iCs/>
          <w:kern w:val="28"/>
          <w:sz w:val="36"/>
          <w:highlight w:val="yellow"/>
        </w:rPr>
        <w:t xml:space="preserve"> of Mulberry (</w:t>
      </w:r>
      <w:r w:rsidRPr="000B61ED">
        <w:rPr>
          <w:rFonts w:ascii="Arial" w:hAnsi="Arial" w:cs="Arial"/>
          <w:bCs/>
          <w:i/>
          <w:iCs/>
          <w:kern w:val="28"/>
          <w:sz w:val="36"/>
          <w:highlight w:val="yellow"/>
        </w:rPr>
        <w:t>Morus</w:t>
      </w:r>
      <w:r w:rsidRPr="000B61ED">
        <w:rPr>
          <w:rFonts w:ascii="Arial" w:hAnsi="Arial" w:cs="Arial"/>
          <w:bCs/>
          <w:iCs/>
          <w:kern w:val="28"/>
          <w:sz w:val="36"/>
          <w:highlight w:val="yellow"/>
        </w:rPr>
        <w:t xml:space="preserve"> spp.) Clones for </w:t>
      </w:r>
      <w:r w:rsidR="000B61ED" w:rsidRPr="000B61ED">
        <w:rPr>
          <w:rFonts w:ascii="Arial" w:hAnsi="Arial" w:cs="Arial"/>
          <w:bCs/>
          <w:iCs/>
          <w:kern w:val="28"/>
          <w:sz w:val="36"/>
          <w:highlight w:val="yellow"/>
        </w:rPr>
        <w:t xml:space="preserve">Sustainable </w:t>
      </w:r>
      <w:r w:rsidRPr="000B61ED">
        <w:rPr>
          <w:rFonts w:ascii="Arial" w:hAnsi="Arial" w:cs="Arial"/>
          <w:bCs/>
          <w:iCs/>
          <w:kern w:val="28"/>
          <w:sz w:val="36"/>
          <w:highlight w:val="yellow"/>
        </w:rPr>
        <w:t>Bioenergy</w:t>
      </w:r>
      <w:r w:rsidR="000B61ED" w:rsidRPr="000B61ED">
        <w:rPr>
          <w:rFonts w:ascii="Arial" w:hAnsi="Arial" w:cs="Arial"/>
          <w:bCs/>
          <w:iCs/>
          <w:kern w:val="28"/>
          <w:sz w:val="36"/>
          <w:highlight w:val="yellow"/>
        </w:rPr>
        <w:t xml:space="preserve"> Application</w:t>
      </w:r>
      <w:r w:rsidRPr="000B61ED">
        <w:rPr>
          <w:rFonts w:ascii="Arial" w:hAnsi="Arial" w:cs="Arial"/>
          <w:bCs/>
          <w:iCs/>
          <w:kern w:val="28"/>
          <w:sz w:val="36"/>
          <w:highlight w:val="yellow"/>
        </w:rPr>
        <w:t>: A PCA-Based Selection Approach</w:t>
      </w:r>
      <w:r w:rsidR="00AE608F">
        <w:rPr>
          <w:rFonts w:ascii="Arial" w:hAnsi="Arial" w:cs="Arial"/>
          <w:bCs/>
          <w:iCs/>
          <w:kern w:val="28"/>
          <w:sz w:val="36"/>
          <w:highlight w:val="yellow"/>
        </w:rPr>
        <w:t xml:space="preserve"> </w:t>
      </w:r>
      <w:r w:rsidR="00AE608F" w:rsidRPr="00AE608F">
        <w:rPr>
          <w:rFonts w:ascii="Arial" w:hAnsi="Arial" w:cs="Arial"/>
          <w:bCs/>
          <w:iCs/>
          <w:kern w:val="28"/>
          <w:sz w:val="36"/>
          <w:highlight w:val="yellow"/>
        </w:rPr>
        <w:t xml:space="preserve">for </w:t>
      </w:r>
      <w:r w:rsidR="00236233">
        <w:rPr>
          <w:rFonts w:ascii="Arial" w:hAnsi="Arial" w:cs="Arial"/>
          <w:bCs/>
          <w:iCs/>
          <w:kern w:val="28"/>
          <w:sz w:val="36"/>
          <w:highlight w:val="yellow"/>
        </w:rPr>
        <w:t>Sustainable Bioenergy A</w:t>
      </w:r>
      <w:r w:rsidR="00AE608F" w:rsidRPr="00AE608F">
        <w:rPr>
          <w:rFonts w:ascii="Arial" w:hAnsi="Arial" w:cs="Arial"/>
          <w:bCs/>
          <w:iCs/>
          <w:kern w:val="28"/>
          <w:sz w:val="36"/>
          <w:highlight w:val="yellow"/>
        </w:rPr>
        <w:t>pplication</w:t>
      </w:r>
    </w:p>
    <w:p w14:paraId="2A26CCBC" w14:textId="77777777" w:rsidR="00A258C3" w:rsidRPr="00790ADA" w:rsidRDefault="00A258C3" w:rsidP="00441B6F">
      <w:pPr>
        <w:pStyle w:val="Author"/>
        <w:spacing w:line="240" w:lineRule="auto"/>
        <w:jc w:val="both"/>
        <w:rPr>
          <w:rFonts w:ascii="Arial" w:hAnsi="Arial" w:cs="Arial"/>
          <w:sz w:val="36"/>
        </w:rPr>
      </w:pPr>
    </w:p>
    <w:p w14:paraId="441B1FF6" w14:textId="77777777" w:rsidR="00762B78" w:rsidRPr="00A565C5" w:rsidRDefault="00762B78" w:rsidP="00DB6A99">
      <w:pPr>
        <w:pStyle w:val="Affiliation"/>
        <w:spacing w:before="113" w:after="113" w:line="240" w:lineRule="auto"/>
        <w:rPr>
          <w:rFonts w:ascii="Arial" w:hAnsi="Arial" w:cs="Arial"/>
          <w:i/>
        </w:rPr>
      </w:pPr>
    </w:p>
    <w:p w14:paraId="66E1D789" w14:textId="77777777" w:rsidR="00790ADA" w:rsidRDefault="00790ADA" w:rsidP="00441B6F">
      <w:pPr>
        <w:pStyle w:val="Affiliation"/>
        <w:spacing w:after="0" w:line="240" w:lineRule="auto"/>
        <w:jc w:val="both"/>
        <w:rPr>
          <w:rFonts w:ascii="Arial" w:hAnsi="Arial" w:cs="Arial"/>
        </w:rPr>
      </w:pPr>
    </w:p>
    <w:p w14:paraId="01168BF9" w14:textId="77777777" w:rsidR="002C57D2" w:rsidRPr="00FB3A86" w:rsidRDefault="002C57D2" w:rsidP="00441B6F">
      <w:pPr>
        <w:pStyle w:val="Affiliation"/>
        <w:spacing w:after="0" w:line="240" w:lineRule="auto"/>
        <w:jc w:val="both"/>
        <w:rPr>
          <w:rFonts w:ascii="Arial" w:hAnsi="Arial" w:cs="Arial"/>
        </w:rPr>
      </w:pPr>
    </w:p>
    <w:p w14:paraId="590483D5" w14:textId="77777777" w:rsidR="00B01FCD" w:rsidRPr="00FB3A86" w:rsidRDefault="00C856B2" w:rsidP="00441B6F">
      <w:pPr>
        <w:pStyle w:val="Copyright"/>
        <w:spacing w:after="0" w:line="240" w:lineRule="auto"/>
        <w:jc w:val="both"/>
        <w:rPr>
          <w:rFonts w:ascii="Arial" w:hAnsi="Arial" w:cs="Arial"/>
        </w:rPr>
        <w:sectPr w:rsidR="00B01FCD" w:rsidRPr="00FB3A86" w:rsidSect="003E48E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93A6FC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D425AF3"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15A7CFA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8411A50" w14:textId="77777777" w:rsidTr="001E44FE">
        <w:tc>
          <w:tcPr>
            <w:tcW w:w="9576" w:type="dxa"/>
            <w:shd w:val="clear" w:color="auto" w:fill="F2F2F2"/>
          </w:tcPr>
          <w:p w14:paraId="6A217C61" w14:textId="5D85CDCB" w:rsidR="00AE608F" w:rsidRDefault="00AE608F" w:rsidP="00441B6F">
            <w:pPr>
              <w:pStyle w:val="Body"/>
              <w:spacing w:after="0"/>
              <w:rPr>
                <w:rFonts w:ascii="Arial" w:eastAsia="Calibri" w:hAnsi="Arial" w:cs="Arial"/>
                <w:b/>
                <w:szCs w:val="22"/>
              </w:rPr>
            </w:pPr>
            <w:r w:rsidRPr="00857493">
              <w:rPr>
                <w:rFonts w:ascii="Arial" w:eastAsia="Calibri" w:hAnsi="Arial" w:cs="Arial"/>
                <w:b/>
                <w:szCs w:val="22"/>
                <w:highlight w:val="yellow"/>
              </w:rPr>
              <w:t xml:space="preserve">Background: </w:t>
            </w:r>
            <w:r w:rsidRPr="00857493">
              <w:rPr>
                <w:rFonts w:ascii="Arial" w:eastAsia="Calibri" w:hAnsi="Arial" w:cs="Arial"/>
                <w:szCs w:val="22"/>
                <w:highlight w:val="yellow"/>
              </w:rPr>
              <w:t>Energy demand in recent decades has surged due to rapid industrialization, population growth, and lifestyle changes. In India, most people live in rural areas and depend on biomass fuel wood for energy, leading to a significant increase in the country's energy requirements. In order to fulfill the energy, need the people mostly focuses on using fuel wood as their source of energy because they are easily available and cheaper than fossil fuel.</w:t>
            </w:r>
          </w:p>
          <w:p w14:paraId="61D710EA" w14:textId="421CE8F3" w:rsidR="00BA1B01" w:rsidRPr="00BA1B01" w:rsidRDefault="00870207" w:rsidP="00441B6F">
            <w:pPr>
              <w:pStyle w:val="Body"/>
              <w:spacing w:after="0"/>
              <w:rPr>
                <w:rFonts w:ascii="Arial" w:eastAsia="Calibri" w:hAnsi="Arial" w:cs="Arial"/>
                <w:szCs w:val="22"/>
              </w:rPr>
            </w:pPr>
            <w:r w:rsidRPr="00BA1B01">
              <w:rPr>
                <w:rFonts w:ascii="Arial" w:eastAsia="Calibri" w:hAnsi="Arial" w:cs="Arial"/>
                <w:b/>
                <w:szCs w:val="22"/>
              </w:rPr>
              <w:t>Aims:</w:t>
            </w:r>
            <w:r w:rsidRPr="00870207">
              <w:rPr>
                <w:rFonts w:ascii="Arial" w:eastAsia="Calibri" w:hAnsi="Arial" w:cs="Arial"/>
                <w:szCs w:val="22"/>
              </w:rPr>
              <w:t xml:space="preserve"> The study aimed to evaluate the physico-chemical and thermochemical characteristics of mulberry (</w:t>
            </w:r>
            <w:r w:rsidRPr="00870207">
              <w:rPr>
                <w:rFonts w:ascii="Arial" w:eastAsia="Calibri" w:hAnsi="Arial" w:cs="Arial"/>
                <w:i/>
                <w:szCs w:val="22"/>
              </w:rPr>
              <w:t>Morus</w:t>
            </w:r>
            <w:r w:rsidRPr="00870207">
              <w:rPr>
                <w:rFonts w:ascii="Arial" w:eastAsia="Calibri" w:hAnsi="Arial" w:cs="Arial"/>
                <w:szCs w:val="22"/>
              </w:rPr>
              <w:t xml:space="preserve"> spp.) clonal genetic resources to assess their suitability as alternative renewable feedstock for bioe</w:t>
            </w:r>
            <w:r>
              <w:rPr>
                <w:rFonts w:ascii="Arial" w:eastAsia="Calibri" w:hAnsi="Arial" w:cs="Arial"/>
                <w:szCs w:val="22"/>
              </w:rPr>
              <w:t>nergy and fuelwood applications</w:t>
            </w:r>
            <w:r w:rsidR="00BA1B01" w:rsidRPr="00BA1B01">
              <w:rPr>
                <w:rFonts w:ascii="Arial" w:eastAsia="Calibri" w:hAnsi="Arial" w:cs="Arial"/>
                <w:szCs w:val="22"/>
              </w:rPr>
              <w:t>.</w:t>
            </w:r>
          </w:p>
          <w:p w14:paraId="12B0BE85"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70207" w:rsidRPr="00870207">
              <w:rPr>
                <w:rFonts w:ascii="Arial" w:eastAsia="Calibri" w:hAnsi="Arial" w:cs="Arial"/>
                <w:szCs w:val="22"/>
              </w:rPr>
              <w:t>A Completely Randomized Design (CRD) was adopted for the experimental layout, and statistical analysis was pe</w:t>
            </w:r>
            <w:r w:rsidR="00870207">
              <w:rPr>
                <w:rFonts w:ascii="Arial" w:eastAsia="Calibri" w:hAnsi="Arial" w:cs="Arial"/>
                <w:szCs w:val="22"/>
              </w:rPr>
              <w:t xml:space="preserve">rformed using SPSS (version 23) and </w:t>
            </w:r>
            <w:r w:rsidR="00870207">
              <w:t>PCA was conducted using XLSTAT 24.</w:t>
            </w:r>
          </w:p>
          <w:p w14:paraId="2189C22B" w14:textId="77777777" w:rsidR="00870207"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70207" w:rsidRPr="00870207">
              <w:rPr>
                <w:rFonts w:ascii="Arial" w:eastAsia="Calibri" w:hAnsi="Arial" w:cs="Arial"/>
                <w:szCs w:val="22"/>
              </w:rPr>
              <w:t>The research was conducted at the Department of Sericulture, Forest College and Research Institute, Mettupalayam, Tamil Nadu, during 2023–2024.</w:t>
            </w:r>
          </w:p>
          <w:p w14:paraId="59CD8ADB" w14:textId="1F55C697" w:rsidR="000B61ED" w:rsidRPr="00BA1B01" w:rsidRDefault="000B61ED" w:rsidP="000B61ED">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0B61ED">
              <w:rPr>
                <w:rFonts w:ascii="Arial" w:eastAsia="Calibri" w:hAnsi="Arial" w:cs="Arial"/>
                <w:szCs w:val="22"/>
                <w:highlight w:val="yellow"/>
              </w:rPr>
              <w:t xml:space="preserve">The wood of seventeen mulberry clones </w:t>
            </w:r>
            <w:r w:rsidRPr="000B61ED">
              <w:rPr>
                <w:rFonts w:ascii="Arial" w:eastAsia="Calibri" w:hAnsi="Arial" w:cs="Arial"/>
                <w:i/>
                <w:szCs w:val="22"/>
                <w:highlight w:val="yellow"/>
              </w:rPr>
              <w:t>viz.,</w:t>
            </w:r>
            <w:r w:rsidRPr="000B61ED">
              <w:rPr>
                <w:rFonts w:ascii="Arial" w:eastAsia="Calibri" w:hAnsi="Arial" w:cs="Arial"/>
                <w:szCs w:val="22"/>
                <w:highlight w:val="yellow"/>
              </w:rPr>
              <w:t xml:space="preserve"> </w:t>
            </w:r>
            <w:r w:rsidRPr="000B61ED">
              <w:rPr>
                <w:rFonts w:ascii="Arial" w:eastAsia="Calibri" w:hAnsi="Arial" w:cs="Arial"/>
                <w:i/>
                <w:szCs w:val="22"/>
                <w:highlight w:val="yellow"/>
              </w:rPr>
              <w:t xml:space="preserve">Morus alba </w:t>
            </w:r>
            <w:r w:rsidRPr="000B61ED">
              <w:rPr>
                <w:rFonts w:ascii="Arial" w:eastAsia="Calibri" w:hAnsi="Arial" w:cs="Arial"/>
                <w:szCs w:val="22"/>
                <w:highlight w:val="yellow"/>
              </w:rPr>
              <w:t xml:space="preserve">(MI-0674, ME-0174, MI-0145, MI-0211, MI-0828, MI-0300, ME-0169, MI0034), </w:t>
            </w:r>
            <w:r w:rsidRPr="000B61ED">
              <w:rPr>
                <w:rFonts w:ascii="Arial" w:eastAsia="Calibri" w:hAnsi="Arial" w:cs="Arial"/>
                <w:i/>
                <w:szCs w:val="22"/>
                <w:highlight w:val="yellow"/>
              </w:rPr>
              <w:t>Morus latifolia</w:t>
            </w:r>
            <w:r w:rsidRPr="000B61ED">
              <w:rPr>
                <w:rFonts w:ascii="Arial" w:eastAsia="Calibri" w:hAnsi="Arial" w:cs="Arial"/>
                <w:szCs w:val="22"/>
                <w:highlight w:val="yellow"/>
              </w:rPr>
              <w:t xml:space="preserve"> (MI-0665, ME-0006, MI-0783, ME-0168, MI-0549, MI-0632, MI-0818, MI-0845), and </w:t>
            </w:r>
            <w:r w:rsidRPr="000B61ED">
              <w:rPr>
                <w:rFonts w:ascii="Arial" w:eastAsia="Calibri" w:hAnsi="Arial" w:cs="Arial"/>
                <w:i/>
                <w:szCs w:val="22"/>
                <w:highlight w:val="yellow"/>
              </w:rPr>
              <w:t>Morus laevigata</w:t>
            </w:r>
            <w:r w:rsidRPr="000B61ED">
              <w:rPr>
                <w:rFonts w:ascii="Arial" w:eastAsia="Calibri" w:hAnsi="Arial" w:cs="Arial"/>
                <w:szCs w:val="22"/>
                <w:highlight w:val="yellow"/>
              </w:rPr>
              <w:t xml:space="preserve"> (MI-0532), were assessed for their bioenergy potential based on parameters such as moisture content, bulk and basic density, specific gravity, alcohol-benzene extractives, acid-insoluble lignin, holocellulose, ash content, volatile matter, fixed carbon, calorific value, higher heating value (HHV), and fuel value index (FVI). Standard protocols were followed for all analyses.</w:t>
            </w:r>
          </w:p>
          <w:p w14:paraId="1410C3C7" w14:textId="76D84B84" w:rsidR="005F6509"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70207" w:rsidRPr="00870207">
              <w:rPr>
                <w:rFonts w:ascii="Arial" w:eastAsia="Calibri" w:hAnsi="Arial" w:cs="Arial"/>
                <w:szCs w:val="22"/>
              </w:rPr>
              <w:t>Significant variation (</w:t>
            </w:r>
            <w:r w:rsidR="00870207" w:rsidRPr="005F6509">
              <w:rPr>
                <w:rFonts w:ascii="Arial" w:eastAsia="Calibri" w:hAnsi="Arial" w:cs="Arial"/>
                <w:i/>
                <w:szCs w:val="22"/>
              </w:rPr>
              <w:t>P</w:t>
            </w:r>
            <w:r w:rsidR="00870207" w:rsidRPr="00870207">
              <w:rPr>
                <w:rFonts w:ascii="Arial" w:eastAsia="Calibri" w:hAnsi="Arial" w:cs="Arial"/>
                <w:szCs w:val="22"/>
              </w:rPr>
              <w:t xml:space="preserve"> &lt; 0.05) was observed among clones for all assessed traits. Moisture ranged from 29.97% to 41.10%, and basic density from 619.09 to 701.80 kg m</w:t>
            </w:r>
            <w:r w:rsidR="00870207" w:rsidRPr="00870207">
              <w:rPr>
                <w:rFonts w:ascii="Cambria Math" w:eastAsia="Calibri" w:hAnsi="Cambria Math" w:cs="Cambria Math"/>
                <w:szCs w:val="22"/>
              </w:rPr>
              <w:t>⁻</w:t>
            </w:r>
            <w:r w:rsidR="00870207" w:rsidRPr="00870207">
              <w:rPr>
                <w:rFonts w:ascii="Arial" w:eastAsia="Calibri" w:hAnsi="Arial" w:cs="Arial"/>
                <w:szCs w:val="22"/>
              </w:rPr>
              <w:t>³. Calorific value and HHV ranged from 16.76 to 19.34 MJ kg</w:t>
            </w:r>
            <w:r w:rsidR="00870207" w:rsidRPr="00870207">
              <w:rPr>
                <w:rFonts w:ascii="Cambria Math" w:eastAsia="Calibri" w:hAnsi="Cambria Math" w:cs="Cambria Math"/>
                <w:szCs w:val="22"/>
              </w:rPr>
              <w:t>⁻</w:t>
            </w:r>
            <w:r w:rsidR="00870207" w:rsidRPr="00870207">
              <w:rPr>
                <w:rFonts w:ascii="Arial" w:eastAsia="Calibri" w:hAnsi="Arial" w:cs="Arial"/>
                <w:szCs w:val="22"/>
              </w:rPr>
              <w:t>¹ and 18.73 to 20.64 MJ kg</w:t>
            </w:r>
            <w:r w:rsidR="00870207" w:rsidRPr="00870207">
              <w:rPr>
                <w:rFonts w:ascii="Cambria Math" w:eastAsia="Calibri" w:hAnsi="Cambria Math" w:cs="Cambria Math"/>
                <w:szCs w:val="22"/>
              </w:rPr>
              <w:t>⁻</w:t>
            </w:r>
            <w:r w:rsidR="00870207" w:rsidRPr="00870207">
              <w:rPr>
                <w:rFonts w:ascii="Arial" w:eastAsia="Calibri" w:hAnsi="Arial" w:cs="Arial"/>
                <w:szCs w:val="22"/>
              </w:rPr>
              <w:t>¹, respectively. PCA identified five principal components explaining 85.092% of total variance, with MI-0845, ME-0168, and MI-0674 showing superior bioenergy profiles</w:t>
            </w:r>
            <w:r w:rsidR="00870207" w:rsidRPr="00857493">
              <w:rPr>
                <w:rFonts w:ascii="Arial" w:eastAsia="Calibri" w:hAnsi="Arial" w:cs="Arial"/>
                <w:szCs w:val="22"/>
                <w:highlight w:val="yellow"/>
              </w:rPr>
              <w:t>.</w:t>
            </w:r>
            <w:r w:rsidR="004E4056" w:rsidRPr="00857493">
              <w:rPr>
                <w:highlight w:val="yellow"/>
              </w:rPr>
              <w:t xml:space="preserve"> </w:t>
            </w:r>
            <w:r w:rsidR="004E4056" w:rsidRPr="00857493">
              <w:rPr>
                <w:rFonts w:ascii="Arial" w:eastAsia="Calibri" w:hAnsi="Arial" w:cs="Arial"/>
                <w:szCs w:val="22"/>
                <w:highlight w:val="yellow"/>
              </w:rPr>
              <w:t>Moisture content is a critical determinant of the combustion characteristics and fuel efficiency of biomass. High moisture levels are generally associated with reduced calorific value, diminished combustion efficiency, and increased operational costs due to higher energy consumption for drying and increased transportation weight.</w:t>
            </w:r>
            <w:r w:rsidR="004E4056">
              <w:rPr>
                <w:rFonts w:ascii="Arial" w:eastAsia="Calibri" w:hAnsi="Arial" w:cs="Arial"/>
                <w:szCs w:val="22"/>
                <w:highlight w:val="yellow"/>
              </w:rPr>
              <w:t xml:space="preserve"> </w:t>
            </w:r>
            <w:r w:rsidR="004E4056" w:rsidRPr="00857493">
              <w:rPr>
                <w:rFonts w:ascii="Arial" w:eastAsia="Calibri" w:hAnsi="Arial" w:cs="Arial"/>
                <w:szCs w:val="22"/>
                <w:highlight w:val="yellow"/>
              </w:rPr>
              <w:t xml:space="preserve">PCA results indicated that clones MI- 0845, MI- 0674, ME- 0168 ranked highly in PC1. While, clones like MI- 0845, MI- 0674, MI- 0034, and MI- 0532 appeared across multiple components, demonstrating their versatility and overall strong performance in contributing to the variability observed in the dataset. This </w:t>
            </w:r>
            <w:r w:rsidR="004E4056" w:rsidRPr="00857493">
              <w:rPr>
                <w:rFonts w:ascii="Arial" w:eastAsia="Calibri" w:hAnsi="Arial" w:cs="Arial"/>
                <w:szCs w:val="22"/>
                <w:highlight w:val="yellow"/>
              </w:rPr>
              <w:lastRenderedPageBreak/>
              <w:t>ranking provides valuable insights into the mulberry clones that are most effective or influential for fuelwood and bioenergy production, guiding future selection and breeding strategies to establish mulberry as a sustainable alternative for bioenergy production</w:t>
            </w:r>
          </w:p>
          <w:p w14:paraId="623361F0"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F6509" w:rsidRPr="005F6509">
              <w:rPr>
                <w:rFonts w:ascii="Arial" w:eastAsia="Calibri" w:hAnsi="Arial" w:cs="Arial"/>
                <w:szCs w:val="22"/>
              </w:rPr>
              <w:t>The study highlights the potential of select mulberry clones as sustainable bioenergy sources, supporting their strategic utilization in renewable energy and agroforestry systems.</w:t>
            </w:r>
          </w:p>
        </w:tc>
      </w:tr>
    </w:tbl>
    <w:p w14:paraId="249B5F02" w14:textId="77777777" w:rsidR="00636EB2" w:rsidRDefault="00636EB2" w:rsidP="00441B6F">
      <w:pPr>
        <w:pStyle w:val="Body"/>
        <w:spacing w:after="0"/>
        <w:rPr>
          <w:rFonts w:ascii="Arial" w:hAnsi="Arial" w:cs="Arial"/>
          <w:i/>
        </w:rPr>
      </w:pPr>
    </w:p>
    <w:p w14:paraId="77989170" w14:textId="77777777" w:rsidR="00A24E7E" w:rsidRDefault="00A24E7E" w:rsidP="00441B6F">
      <w:pPr>
        <w:pStyle w:val="Body"/>
        <w:spacing w:after="0"/>
        <w:rPr>
          <w:rFonts w:ascii="Arial" w:hAnsi="Arial" w:cs="Arial"/>
          <w:i/>
        </w:rPr>
      </w:pPr>
      <w:r>
        <w:rPr>
          <w:rFonts w:ascii="Arial" w:hAnsi="Arial" w:cs="Arial"/>
          <w:i/>
        </w:rPr>
        <w:t xml:space="preserve">Keywords: </w:t>
      </w:r>
      <w:r w:rsidR="005F6509" w:rsidRPr="005F6509">
        <w:rPr>
          <w:rFonts w:ascii="Arial" w:hAnsi="Arial" w:cs="Arial"/>
          <w:bCs/>
          <w:i/>
        </w:rPr>
        <w:t>Mulberry clones</w:t>
      </w:r>
      <w:r w:rsidR="005F6509" w:rsidRPr="005F6509">
        <w:rPr>
          <w:rFonts w:ascii="Arial" w:hAnsi="Arial" w:cs="Arial"/>
          <w:i/>
        </w:rPr>
        <w:t>; bioenergy; physico-chemical characterization; thermochemical characterization; principal component analysis</w:t>
      </w:r>
    </w:p>
    <w:p w14:paraId="33105AFE" w14:textId="77777777" w:rsidR="0024282C" w:rsidRDefault="0024282C" w:rsidP="00441B6F">
      <w:pPr>
        <w:pStyle w:val="Body"/>
        <w:spacing w:after="0"/>
        <w:rPr>
          <w:rFonts w:ascii="Arial" w:hAnsi="Arial" w:cs="Arial"/>
          <w:i/>
          <w:sz w:val="18"/>
        </w:rPr>
      </w:pPr>
    </w:p>
    <w:p w14:paraId="157F8BEE" w14:textId="77777777" w:rsidR="00505F06" w:rsidRPr="00A24E7E" w:rsidRDefault="00505F06" w:rsidP="00441B6F">
      <w:pPr>
        <w:pStyle w:val="Body"/>
        <w:spacing w:after="0"/>
        <w:rPr>
          <w:rFonts w:ascii="Arial" w:hAnsi="Arial" w:cs="Arial"/>
          <w:i/>
        </w:rPr>
      </w:pPr>
    </w:p>
    <w:p w14:paraId="5927F22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C813042" w14:textId="77777777" w:rsidR="00790ADA" w:rsidRPr="00FB3A86" w:rsidRDefault="00790ADA" w:rsidP="00441B6F">
      <w:pPr>
        <w:pStyle w:val="AbstHead"/>
        <w:spacing w:after="0"/>
        <w:jc w:val="both"/>
        <w:rPr>
          <w:rFonts w:ascii="Arial" w:hAnsi="Arial" w:cs="Arial"/>
        </w:rPr>
      </w:pPr>
    </w:p>
    <w:p w14:paraId="3325445F" w14:textId="3988F94F" w:rsidR="005F6509" w:rsidRPr="005F6509" w:rsidRDefault="006D599C" w:rsidP="005F6509">
      <w:pPr>
        <w:pStyle w:val="Body"/>
        <w:spacing w:after="0"/>
        <w:rPr>
          <w:rFonts w:ascii="Arial" w:hAnsi="Arial" w:cs="Arial"/>
        </w:rPr>
      </w:pPr>
      <w:r w:rsidRPr="00857493">
        <w:rPr>
          <w:rFonts w:ascii="Arial" w:hAnsi="Arial" w:cs="Arial"/>
          <w:highlight w:val="yellow"/>
        </w:rPr>
        <w:t>Bioenergy plays a key role in decarbonization in modelled future pathways, supporting energy system transformation, especially in hard-to-abate applications such as industry, aviation and shipping, and, when linked with carbon capture and storage (BECCS), can remove CO</w:t>
      </w:r>
      <w:r w:rsidRPr="00857493">
        <w:rPr>
          <w:rFonts w:ascii="Arial" w:hAnsi="Arial" w:cs="Arial"/>
          <w:highlight w:val="yellow"/>
          <w:vertAlign w:val="subscript"/>
        </w:rPr>
        <w:t>2</w:t>
      </w:r>
      <w:r w:rsidRPr="00857493">
        <w:rPr>
          <w:rFonts w:ascii="Arial" w:hAnsi="Arial" w:cs="Arial"/>
          <w:highlight w:val="yellow"/>
        </w:rPr>
        <w:t xml:space="preserve"> from the atmosphere, next to providing renewable energy. This article reviews the literature on bioenergy use for climate change mitigation, including studies that use top-down integrated assessment models or bottom-up modelling, and studies that do not rely on modelling. The article summarizes the state of knowledge concerning potential co-benefits and adverse side effects of bioenergy systems and discusses limitations of modelling studies used to </w:t>
      </w:r>
      <w:proofErr w:type="spellStart"/>
      <w:r w:rsidRPr="00857493">
        <w:rPr>
          <w:rFonts w:ascii="Arial" w:hAnsi="Arial" w:cs="Arial"/>
          <w:highlight w:val="yellow"/>
        </w:rPr>
        <w:t>analyse</w:t>
      </w:r>
      <w:proofErr w:type="spellEnd"/>
      <w:r w:rsidRPr="00857493">
        <w:rPr>
          <w:rFonts w:ascii="Arial" w:hAnsi="Arial" w:cs="Arial"/>
          <w:highlight w:val="yellow"/>
        </w:rPr>
        <w:t xml:space="preserve"> consequences of bioenergy expansion</w:t>
      </w:r>
      <w:r w:rsidR="00D55A51">
        <w:rPr>
          <w:rFonts w:ascii="Arial" w:hAnsi="Arial" w:cs="Arial"/>
          <w:highlight w:val="yellow"/>
        </w:rPr>
        <w:t xml:space="preserve"> </w:t>
      </w:r>
      <w:r w:rsidR="00D55A51" w:rsidRPr="00D55A51">
        <w:rPr>
          <w:rFonts w:ascii="Arial" w:hAnsi="Arial" w:cs="Arial"/>
          <w:highlight w:val="yellow"/>
        </w:rPr>
        <w:t>(</w:t>
      </w:r>
      <w:r w:rsidR="00D55A51" w:rsidRPr="00857493">
        <w:rPr>
          <w:rFonts w:ascii="Arial" w:hAnsi="Arial" w:cs="Arial"/>
          <w:highlight w:val="yellow"/>
        </w:rPr>
        <w:t>Calvin et al., 2021; Xu et al., 2024</w:t>
      </w:r>
      <w:r w:rsidR="00D55A51">
        <w:rPr>
          <w:rFonts w:ascii="Arial" w:hAnsi="Arial" w:cs="Arial"/>
          <w:highlight w:val="yellow"/>
        </w:rPr>
        <w:t>)</w:t>
      </w:r>
      <w:r w:rsidRPr="00857493">
        <w:rPr>
          <w:rFonts w:ascii="Arial" w:hAnsi="Arial" w:cs="Arial"/>
          <w:highlight w:val="yellow"/>
        </w:rPr>
        <w:t>.</w:t>
      </w:r>
      <w:r w:rsidRPr="006D599C">
        <w:rPr>
          <w:rFonts w:ascii="Arial" w:hAnsi="Arial" w:cs="Arial"/>
        </w:rPr>
        <w:t xml:space="preserve"> </w:t>
      </w:r>
      <w:r w:rsidR="005F6509" w:rsidRPr="005F6509">
        <w:rPr>
          <w:rFonts w:ascii="Arial" w:hAnsi="Arial" w:cs="Arial"/>
        </w:rPr>
        <w:t>In the present global scenario</w:t>
      </w:r>
      <w:r w:rsidR="001645B7">
        <w:rPr>
          <w:rFonts w:ascii="Arial" w:hAnsi="Arial" w:cs="Arial"/>
        </w:rPr>
        <w:t>,</w:t>
      </w:r>
      <w:r w:rsidR="005F6509" w:rsidRPr="005F6509">
        <w:rPr>
          <w:rFonts w:ascii="Arial" w:hAnsi="Arial" w:cs="Arial"/>
        </w:rPr>
        <w:t xml:space="preserve"> biomass is gaining attention on a global scale as a sustainable feedstock to produce energy and </w:t>
      </w:r>
      <w:r w:rsidR="001645B7" w:rsidRPr="005F6509">
        <w:rPr>
          <w:rFonts w:ascii="Arial" w:hAnsi="Arial" w:cs="Arial"/>
        </w:rPr>
        <w:t>reduc</w:t>
      </w:r>
      <w:r w:rsidR="001645B7">
        <w:rPr>
          <w:rFonts w:ascii="Arial" w:hAnsi="Arial" w:cs="Arial"/>
        </w:rPr>
        <w:t>e</w:t>
      </w:r>
      <w:r w:rsidR="001645B7" w:rsidRPr="005F6509">
        <w:rPr>
          <w:rFonts w:ascii="Arial" w:hAnsi="Arial" w:cs="Arial"/>
        </w:rPr>
        <w:t xml:space="preserve"> </w:t>
      </w:r>
      <w:r w:rsidR="005F6509" w:rsidRPr="005F6509">
        <w:rPr>
          <w:rFonts w:ascii="Arial" w:hAnsi="Arial" w:cs="Arial"/>
        </w:rPr>
        <w:t xml:space="preserve">the reliance on </w:t>
      </w:r>
      <w:r w:rsidR="005F6509" w:rsidRPr="00781777">
        <w:rPr>
          <w:rFonts w:ascii="Arial" w:hAnsi="Arial" w:cs="Arial"/>
        </w:rPr>
        <w:t xml:space="preserve">fossil fuels (Baqir </w:t>
      </w:r>
      <w:r w:rsidR="005F6509" w:rsidRPr="00781777">
        <w:rPr>
          <w:rFonts w:ascii="Arial" w:hAnsi="Arial" w:cs="Arial"/>
          <w:i/>
        </w:rPr>
        <w:t>et al.,</w:t>
      </w:r>
      <w:r w:rsidR="005F6509" w:rsidRPr="00781777">
        <w:rPr>
          <w:rFonts w:ascii="Arial" w:hAnsi="Arial" w:cs="Arial"/>
        </w:rPr>
        <w:t xml:space="preserve"> 2019).</w:t>
      </w:r>
      <w:r w:rsidR="005F6509" w:rsidRPr="005F6509">
        <w:rPr>
          <w:rFonts w:ascii="Arial" w:hAnsi="Arial" w:cs="Arial"/>
        </w:rPr>
        <w:t xml:space="preserve"> A diverse range of biomass is utilized as an energy source, such as woody and herbaceous materials, dung cakes, agricultural wastes, and forest residues (Vamvuka and Sfakiotakis, 2011).  </w:t>
      </w:r>
      <w:r w:rsidR="00A2440D" w:rsidRPr="00857493">
        <w:rPr>
          <w:highlight w:val="yellow"/>
        </w:rPr>
        <w:t>Biomass, a renewable energy carrier, stands out as a particularly promising alternative due to its wide availability and potential to replace fossil fuels directly. Biomass not only ensures consistent power generation but also supports the production of various chemicals and transportation fuels, making it a versatile energy source (</w:t>
      </w:r>
      <w:proofErr w:type="spellStart"/>
      <w:r w:rsidR="00A2440D" w:rsidRPr="00857493">
        <w:rPr>
          <w:highlight w:val="yellow"/>
        </w:rPr>
        <w:t>Manickavasagam</w:t>
      </w:r>
      <w:proofErr w:type="spellEnd"/>
      <w:r w:rsidR="00A2440D" w:rsidRPr="00857493">
        <w:rPr>
          <w:highlight w:val="yellow"/>
        </w:rPr>
        <w:t xml:space="preserve"> et al., 2024).</w:t>
      </w:r>
      <w:r w:rsidR="00A2440D">
        <w:t xml:space="preserve"> </w:t>
      </w:r>
      <w:r w:rsidR="005F6509" w:rsidRPr="005F6509">
        <w:rPr>
          <w:rFonts w:ascii="Arial" w:hAnsi="Arial" w:cs="Arial"/>
        </w:rPr>
        <w:t xml:space="preserve">Approximately 90% of the world's energy demands are currently met by fossil fuels, but by 2040, 50% of energy is expected to come from renewable </w:t>
      </w:r>
      <w:r w:rsidR="005F6509" w:rsidRPr="00781777">
        <w:rPr>
          <w:rFonts w:ascii="Arial" w:hAnsi="Arial" w:cs="Arial"/>
        </w:rPr>
        <w:t>sources (Hussein, 2015; Palaniappan, 2017). The</w:t>
      </w:r>
      <w:r w:rsidR="005F6509" w:rsidRPr="005F6509">
        <w:rPr>
          <w:rFonts w:ascii="Arial" w:hAnsi="Arial" w:cs="Arial"/>
        </w:rPr>
        <w:t xml:space="preserve"> World Energy Forum forecasts that within the </w:t>
      </w:r>
      <w:r w:rsidR="005F6509" w:rsidRPr="00942C91">
        <w:rPr>
          <w:rFonts w:ascii="Arial" w:hAnsi="Arial" w:cs="Arial"/>
        </w:rPr>
        <w:t xml:space="preserve">next ten years, the world’s reserves of fossil fuels, including oil, coal, and natural gas, will be depleted (Kumar </w:t>
      </w:r>
      <w:r w:rsidR="005F6509" w:rsidRPr="00942C91">
        <w:rPr>
          <w:rFonts w:ascii="Arial" w:hAnsi="Arial" w:cs="Arial"/>
          <w:i/>
        </w:rPr>
        <w:t>et al.,</w:t>
      </w:r>
      <w:r w:rsidR="005F6509" w:rsidRPr="00942C91">
        <w:rPr>
          <w:rFonts w:ascii="Arial" w:hAnsi="Arial" w:cs="Arial"/>
        </w:rPr>
        <w:t xml:space="preserve"> 2010 a). With such swift depletion of our available resources and the increasing environmental hazards, it is essential to prioritize the exploration and utilization of mo</w:t>
      </w:r>
      <w:r w:rsidR="005F6509" w:rsidRPr="005F6509">
        <w:rPr>
          <w:rFonts w:ascii="Arial" w:hAnsi="Arial" w:cs="Arial"/>
        </w:rPr>
        <w:t>re affordable and environmentally friendly energy sources.</w:t>
      </w:r>
      <w:r w:rsidR="003C469D">
        <w:rPr>
          <w:rFonts w:ascii="Arial" w:hAnsi="Arial" w:cs="Arial"/>
        </w:rPr>
        <w:t xml:space="preserve"> </w:t>
      </w:r>
      <w:r w:rsidR="003C469D" w:rsidRPr="00857493">
        <w:rPr>
          <w:highlight w:val="yellow"/>
        </w:rPr>
        <w:t>The increasing global population and growing human demands are contributing to the rapid depletion of fossil fuel resources, resulting in environmental challenges like the emission of greenhouse gases and water contamination. The World Energy Forum has made a prediction that the world's fossil-based oil, coal, and gas reserves will be completely depleted within the next 10 decades</w:t>
      </w:r>
      <w:r w:rsidR="00B45CD8" w:rsidRPr="006D599C">
        <w:rPr>
          <w:highlight w:val="yellow"/>
        </w:rPr>
        <w:t xml:space="preserve"> (</w:t>
      </w:r>
      <w:r w:rsidR="00B45CD8" w:rsidRPr="00857493">
        <w:rPr>
          <w:highlight w:val="yellow"/>
        </w:rPr>
        <w:t>Bora et al., 2023</w:t>
      </w:r>
      <w:r w:rsidR="00B45CD8" w:rsidRPr="006D599C">
        <w:rPr>
          <w:highlight w:val="yellow"/>
        </w:rPr>
        <w:t>)</w:t>
      </w:r>
      <w:r w:rsidR="003C469D" w:rsidRPr="00857493">
        <w:rPr>
          <w:highlight w:val="yellow"/>
        </w:rPr>
        <w:t>.</w:t>
      </w:r>
    </w:p>
    <w:p w14:paraId="37BCB5AC" w14:textId="241EA63E" w:rsidR="005F6509" w:rsidRPr="005F6509" w:rsidRDefault="005F6509" w:rsidP="005F6509">
      <w:pPr>
        <w:pStyle w:val="Body"/>
        <w:spacing w:after="0"/>
        <w:rPr>
          <w:rFonts w:ascii="Arial" w:hAnsi="Arial" w:cs="Arial"/>
        </w:rPr>
      </w:pPr>
      <w:r w:rsidRPr="005F6509">
        <w:rPr>
          <w:rFonts w:ascii="Arial" w:hAnsi="Arial" w:cs="Arial"/>
        </w:rPr>
        <w:t xml:space="preserve">Energy demand in recent decades has surged due to rapid industrialization, population growth, and lifestyle changes. In India, most people live in rural areas and depend on biomass fuel wood for energy, leading to a significant increase in the country's energy requirements. In order to fulfill the energy, </w:t>
      </w:r>
      <w:r w:rsidRPr="00857493">
        <w:rPr>
          <w:rFonts w:ascii="Arial" w:hAnsi="Arial" w:cs="Arial"/>
          <w:highlight w:val="yellow"/>
        </w:rPr>
        <w:t xml:space="preserve">people mostly focus on using </w:t>
      </w:r>
      <w:r w:rsidR="001645B7" w:rsidRPr="005F6509">
        <w:rPr>
          <w:rFonts w:ascii="Arial" w:hAnsi="Arial" w:cs="Arial"/>
        </w:rPr>
        <w:t>f</w:t>
      </w:r>
      <w:r w:rsidR="001645B7">
        <w:rPr>
          <w:rFonts w:ascii="Arial" w:hAnsi="Arial" w:cs="Arial"/>
        </w:rPr>
        <w:t>ire</w:t>
      </w:r>
      <w:r w:rsidRPr="005F6509">
        <w:rPr>
          <w:rFonts w:ascii="Arial" w:hAnsi="Arial" w:cs="Arial"/>
        </w:rPr>
        <w:t xml:space="preserve">wood as their source of energy because they are easily available and cheaper than fossil fuel. The increased consumption of fuel wood in rural areas of India leads to deforestation and rapid environmental degradation, as the extensive cutting of trees without proper knowledge can result in ecological imbalance in specific </w:t>
      </w:r>
      <w:r w:rsidRPr="00942C91">
        <w:rPr>
          <w:rFonts w:ascii="Arial" w:hAnsi="Arial" w:cs="Arial"/>
        </w:rPr>
        <w:t xml:space="preserve">areas (Sedai </w:t>
      </w:r>
      <w:r w:rsidRPr="00942C91">
        <w:rPr>
          <w:rFonts w:ascii="Arial" w:hAnsi="Arial" w:cs="Arial"/>
          <w:i/>
        </w:rPr>
        <w:t>et al.,</w:t>
      </w:r>
      <w:r w:rsidRPr="00942C91">
        <w:rPr>
          <w:rFonts w:ascii="Arial" w:hAnsi="Arial" w:cs="Arial"/>
        </w:rPr>
        <w:t xml:space="preserve"> 2016). Thus</w:t>
      </w:r>
      <w:r w:rsidRPr="005F6509">
        <w:rPr>
          <w:rFonts w:ascii="Arial" w:hAnsi="Arial" w:cs="Arial"/>
        </w:rPr>
        <w:t xml:space="preserve">, it is crucial to separate or screen different tree species according to people's preferences. There is a growing emphasis on identifying and promoting fast-growing woody trees that are easy to propagate, adaptable to various agroclimatic conditions, suitable for intensive coppicing, and </w:t>
      </w:r>
      <w:r w:rsidRPr="005F6509">
        <w:rPr>
          <w:rFonts w:ascii="Arial" w:hAnsi="Arial" w:cs="Arial"/>
        </w:rPr>
        <w:lastRenderedPageBreak/>
        <w:t xml:space="preserve">capable of producing high-quality fuel wood and biomass, while also providing significant economic and social </w:t>
      </w:r>
      <w:r w:rsidRPr="00942C91">
        <w:rPr>
          <w:rFonts w:ascii="Arial" w:hAnsi="Arial" w:cs="Arial"/>
        </w:rPr>
        <w:t>benefits (Christersson, 2010). Mulberry</w:t>
      </w:r>
      <w:r w:rsidRPr="005F6509">
        <w:rPr>
          <w:rFonts w:ascii="Arial" w:hAnsi="Arial" w:cs="Arial"/>
        </w:rPr>
        <w:t xml:space="preserve"> is an exemplary</w:t>
      </w:r>
      <w:r w:rsidR="001645B7">
        <w:rPr>
          <w:rFonts w:ascii="Arial" w:hAnsi="Arial" w:cs="Arial"/>
        </w:rPr>
        <w:t>,</w:t>
      </w:r>
      <w:r w:rsidRPr="005F6509">
        <w:rPr>
          <w:rFonts w:ascii="Arial" w:hAnsi="Arial" w:cs="Arial"/>
        </w:rPr>
        <w:t xml:space="preserve"> rapidly growing woody tree that meets these criteria. Compared to the annual biomass growth of many fast-growing trees and perennial energy crops, pruned mulberry branches yield an average of 1.7 kg per plant, or about 17.0–22.5 tonnes </w:t>
      </w:r>
      <w:r w:rsidRPr="00942C91">
        <w:rPr>
          <w:rFonts w:ascii="Arial" w:hAnsi="Arial" w:cs="Arial"/>
        </w:rPr>
        <w:t>ha</w:t>
      </w:r>
      <w:r w:rsidRPr="00942C91">
        <w:rPr>
          <w:rFonts w:ascii="Arial" w:hAnsi="Arial" w:cs="Arial"/>
          <w:vertAlign w:val="superscript"/>
        </w:rPr>
        <w:t>-1</w:t>
      </w:r>
      <w:r w:rsidRPr="00942C91">
        <w:rPr>
          <w:rFonts w:ascii="Arial" w:hAnsi="Arial" w:cs="Arial"/>
        </w:rPr>
        <w:t xml:space="preserve"> (Lu </w:t>
      </w:r>
      <w:r w:rsidRPr="00942C91">
        <w:rPr>
          <w:rFonts w:ascii="Arial" w:hAnsi="Arial" w:cs="Arial"/>
          <w:i/>
        </w:rPr>
        <w:t>et al.,</w:t>
      </w:r>
      <w:r w:rsidRPr="00942C91">
        <w:rPr>
          <w:rFonts w:ascii="Arial" w:hAnsi="Arial" w:cs="Arial"/>
        </w:rPr>
        <w:t xml:space="preserve"> 2009). Its</w:t>
      </w:r>
      <w:r w:rsidRPr="005F6509">
        <w:rPr>
          <w:rFonts w:ascii="Arial" w:hAnsi="Arial" w:cs="Arial"/>
        </w:rPr>
        <w:t xml:space="preserve"> impressive growth rate and high biomass yield make </w:t>
      </w:r>
      <w:r w:rsidRPr="00857493">
        <w:rPr>
          <w:rFonts w:ascii="Arial" w:hAnsi="Arial" w:cs="Arial"/>
          <w:highlight w:val="yellow"/>
        </w:rPr>
        <w:t>mulberry one of the top</w:t>
      </w:r>
      <w:r w:rsidRPr="005F6509">
        <w:rPr>
          <w:rFonts w:ascii="Arial" w:hAnsi="Arial" w:cs="Arial"/>
        </w:rPr>
        <w:t xml:space="preserve"> candidates among promising energy crops.</w:t>
      </w:r>
    </w:p>
    <w:p w14:paraId="5D92540F" w14:textId="77777777" w:rsidR="005F6509" w:rsidRPr="005F6509" w:rsidRDefault="005F6509" w:rsidP="005F6509">
      <w:pPr>
        <w:pStyle w:val="Body"/>
        <w:spacing w:after="0"/>
        <w:rPr>
          <w:rFonts w:ascii="Arial" w:hAnsi="Arial" w:cs="Arial"/>
        </w:rPr>
      </w:pPr>
      <w:r w:rsidRPr="005F6509">
        <w:rPr>
          <w:rFonts w:ascii="Arial" w:hAnsi="Arial" w:cs="Arial"/>
        </w:rPr>
        <w:t>This study aims to evaluate the physical, chemical, and thermochemical properties of wood from various mulberry clones to determine their potential for bioenergy generation and as promising fuel wood. Currently, much of the mulberry biomass remains either unused or underused. The research findings will be valuable for both rural and urban communities that depend on fuelwood for energy. The results will help these communities to choose the most suitable clones having higher bioenergy generation and firewood potential by considering physicochemical and thermochemical properties, including low moisture content, high density, low ash content, high lignin content, high calorific value, and high fuel value index, among other factors.</w:t>
      </w:r>
    </w:p>
    <w:p w14:paraId="51AFB5B7" w14:textId="77777777" w:rsidR="00790ADA" w:rsidRPr="00FB3A86" w:rsidRDefault="00790ADA" w:rsidP="00441B6F">
      <w:pPr>
        <w:pStyle w:val="Body"/>
        <w:spacing w:after="0"/>
        <w:rPr>
          <w:rFonts w:ascii="Arial" w:hAnsi="Arial" w:cs="Arial"/>
        </w:rPr>
      </w:pPr>
    </w:p>
    <w:p w14:paraId="5CDB0765"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9B78655" w14:textId="77777777" w:rsidR="003B3FD4" w:rsidRDefault="003B3FD4" w:rsidP="00441B6F">
      <w:pPr>
        <w:pStyle w:val="AbstHead"/>
        <w:spacing w:after="0"/>
        <w:jc w:val="both"/>
        <w:rPr>
          <w:rFonts w:ascii="Arial" w:hAnsi="Arial" w:cs="Arial"/>
        </w:rPr>
      </w:pPr>
    </w:p>
    <w:p w14:paraId="70A94025" w14:textId="77777777" w:rsidR="003B3FD4" w:rsidRPr="003B3FD4" w:rsidRDefault="003B3FD4" w:rsidP="003B3FD4">
      <w:pPr>
        <w:pStyle w:val="AbstHead"/>
        <w:rPr>
          <w:rFonts w:ascii="Arial" w:hAnsi="Arial" w:cs="Arial"/>
        </w:rPr>
      </w:pPr>
      <w:r w:rsidRPr="003B3FD4">
        <w:rPr>
          <w:rFonts w:ascii="Arial" w:hAnsi="Arial" w:cs="Arial"/>
        </w:rPr>
        <w:t>2.1 Sample preparation</w:t>
      </w:r>
    </w:p>
    <w:p w14:paraId="280EC068" w14:textId="77777777" w:rsidR="00790ADA" w:rsidRDefault="003B3FD4" w:rsidP="00441B6F">
      <w:pPr>
        <w:pStyle w:val="Body"/>
        <w:spacing w:after="0"/>
        <w:rPr>
          <w:rFonts w:ascii="Arial" w:hAnsi="Arial" w:cs="Arial"/>
          <w:lang w:val="en-IN"/>
        </w:rPr>
      </w:pPr>
      <w:r w:rsidRPr="003B3FD4">
        <w:rPr>
          <w:rFonts w:ascii="Arial" w:hAnsi="Arial" w:cs="Arial"/>
          <w:lang w:val="en-IN"/>
        </w:rPr>
        <w:t xml:space="preserve">Seventeen lignocellulosic woody materials from mulberry clonal genetic resources (eight clones each of </w:t>
      </w:r>
      <w:r w:rsidRPr="003B3FD4">
        <w:rPr>
          <w:rFonts w:ascii="Arial" w:hAnsi="Arial" w:cs="Arial"/>
          <w:i/>
          <w:lang w:val="en-IN"/>
        </w:rPr>
        <w:t>Morus alba</w:t>
      </w:r>
      <w:r w:rsidRPr="003B3FD4">
        <w:rPr>
          <w:rFonts w:ascii="Arial" w:hAnsi="Arial" w:cs="Arial"/>
          <w:lang w:val="en-IN"/>
        </w:rPr>
        <w:t xml:space="preserve"> and </w:t>
      </w:r>
      <w:r w:rsidRPr="003B3FD4">
        <w:rPr>
          <w:rFonts w:ascii="Arial" w:hAnsi="Arial" w:cs="Arial"/>
          <w:i/>
          <w:lang w:val="en-IN"/>
        </w:rPr>
        <w:t>Morus latifolia</w:t>
      </w:r>
      <w:r w:rsidRPr="003B3FD4">
        <w:rPr>
          <w:rFonts w:ascii="Arial" w:hAnsi="Arial" w:cs="Arial"/>
          <w:lang w:val="en-IN"/>
        </w:rPr>
        <w:t xml:space="preserve">, and one clone of </w:t>
      </w:r>
      <w:r w:rsidRPr="003B3FD4">
        <w:rPr>
          <w:rFonts w:ascii="Arial" w:hAnsi="Arial" w:cs="Arial"/>
          <w:i/>
          <w:lang w:val="en-IN"/>
        </w:rPr>
        <w:t>Morus laevigata</w:t>
      </w:r>
      <w:r w:rsidRPr="003B3FD4">
        <w:rPr>
          <w:rFonts w:ascii="Arial" w:hAnsi="Arial" w:cs="Arial"/>
          <w:lang w:val="en-IN"/>
        </w:rPr>
        <w:t>) were sourced from the Central Sericultural Germplasm Resource Centre in Hosur. Since 2016, these materials have been cultivated in the germplasm garden at the Department of Sericulture, Forest College and Research Institute, Mettupalayam (11°19'37''N to 11°19'39''N latitude and 76°56'09''E longitude, elevation 338 metre with an average annual rainfall ranging from 700-800 millimetre). The selected trees represented a diverse mix of indigenous species and those from exotic origins. For each species, a randomly selected tree with a clean, undamaged bole was felled. Three 5 cm thick discs were cut from each tree, air-dried, ground into powder, and used for various analyses as shown in Fig. 1A, 1B and 1C</w:t>
      </w:r>
      <w:r>
        <w:rPr>
          <w:rFonts w:ascii="Arial" w:hAnsi="Arial" w:cs="Arial"/>
          <w:lang w:val="en-IN"/>
        </w:rPr>
        <w:t>.</w:t>
      </w:r>
    </w:p>
    <w:p w14:paraId="58F81E16" w14:textId="77777777" w:rsidR="003B3FD4" w:rsidRDefault="003B3FD4" w:rsidP="00441B6F">
      <w:pPr>
        <w:pStyle w:val="Body"/>
        <w:spacing w:after="0"/>
        <w:rPr>
          <w:rFonts w:ascii="Arial" w:hAnsi="Arial" w:cs="Arial"/>
        </w:rPr>
      </w:pPr>
      <w:r w:rsidRPr="003B3FD4">
        <w:rPr>
          <w:rFonts w:ascii="Times New Roman" w:eastAsia="Calibri" w:hAnsi="Times New Roman"/>
          <w:b/>
          <w:noProof/>
          <w:color w:val="000000"/>
          <w:sz w:val="22"/>
          <w:szCs w:val="22"/>
        </w:rPr>
        <w:drawing>
          <wp:anchor distT="0" distB="0" distL="114300" distR="114300" simplePos="0" relativeHeight="251659264" behindDoc="1" locked="0" layoutInCell="1" allowOverlap="1" wp14:anchorId="31DFEFF4" wp14:editId="77052D5E">
            <wp:simplePos x="0" y="0"/>
            <wp:positionH relativeFrom="margin">
              <wp:posOffset>-3810</wp:posOffset>
            </wp:positionH>
            <wp:positionV relativeFrom="paragraph">
              <wp:posOffset>149225</wp:posOffset>
            </wp:positionV>
            <wp:extent cx="5229225" cy="1722120"/>
            <wp:effectExtent l="0" t="0" r="0" b="0"/>
            <wp:wrapTight wrapText="bothSides">
              <wp:wrapPolygon edited="0">
                <wp:start x="0" y="0"/>
                <wp:lineTo x="0" y="21265"/>
                <wp:lineTo x="21561" y="21265"/>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29225" cy="1722120"/>
                    </a:xfrm>
                    <a:prstGeom prst="rect">
                      <a:avLst/>
                    </a:prstGeom>
                  </pic:spPr>
                </pic:pic>
              </a:graphicData>
            </a:graphic>
            <wp14:sizeRelH relativeFrom="margin">
              <wp14:pctWidth>0</wp14:pctWidth>
            </wp14:sizeRelH>
          </wp:anchor>
        </w:drawing>
      </w:r>
    </w:p>
    <w:p w14:paraId="41A716B2" w14:textId="1288B4D0" w:rsidR="00EA2A59" w:rsidRPr="00EA2A59" w:rsidRDefault="00EA2A59" w:rsidP="00EA2A59">
      <w:pPr>
        <w:pStyle w:val="Body"/>
        <w:jc w:val="left"/>
        <w:rPr>
          <w:rFonts w:ascii="Arial" w:hAnsi="Arial" w:cs="Arial"/>
          <w:b/>
          <w:bCs/>
          <w:lang w:val="en-IN"/>
        </w:rPr>
      </w:pPr>
      <w:r>
        <w:rPr>
          <w:rFonts w:ascii="Arial" w:hAnsi="Arial" w:cs="Arial"/>
          <w:b/>
        </w:rPr>
        <w:t xml:space="preserve">Fig. </w:t>
      </w:r>
      <w:r w:rsidRPr="00EA2A59">
        <w:rPr>
          <w:rFonts w:ascii="Arial" w:hAnsi="Arial" w:cs="Arial"/>
          <w:b/>
          <w:lang w:val="en-IN"/>
        </w:rPr>
        <w:t>1A-C.</w:t>
      </w:r>
      <w:r w:rsidRPr="00EA2A59">
        <w:rPr>
          <w:rFonts w:ascii="Arial" w:hAnsi="Arial" w:cs="Arial"/>
          <w:b/>
          <w:bCs/>
          <w:lang w:val="en-IN"/>
        </w:rPr>
        <w:t xml:space="preserve"> Collection and preparation of samples from germplasm garden maintained at department of sericulture, Forest College and Research Institute, Mettupalayam</w:t>
      </w:r>
    </w:p>
    <w:p w14:paraId="421E894C" w14:textId="77777777" w:rsidR="00EA2A59" w:rsidRPr="00EA2A59" w:rsidRDefault="00EA2A59" w:rsidP="00EA2A59">
      <w:pPr>
        <w:pStyle w:val="Body"/>
        <w:rPr>
          <w:rFonts w:ascii="Arial" w:hAnsi="Arial" w:cs="Arial"/>
          <w:b/>
          <w:bCs/>
          <w:iCs/>
          <w:sz w:val="22"/>
        </w:rPr>
      </w:pPr>
      <w:r>
        <w:rPr>
          <w:rFonts w:ascii="Arial" w:hAnsi="Arial" w:cs="Arial"/>
          <w:b/>
          <w:caps/>
          <w:sz w:val="22"/>
        </w:rPr>
        <w:t xml:space="preserve">2.2 </w:t>
      </w:r>
      <w:bookmarkStart w:id="0" w:name="_Hlk175147737"/>
      <w:r w:rsidRPr="00EA2A59">
        <w:rPr>
          <w:rFonts w:ascii="Arial" w:hAnsi="Arial" w:cs="Arial"/>
          <w:b/>
          <w:bCs/>
          <w:iCs/>
          <w:sz w:val="22"/>
        </w:rPr>
        <w:t>Physical properties</w:t>
      </w:r>
    </w:p>
    <w:bookmarkEnd w:id="0"/>
    <w:p w14:paraId="28861243" w14:textId="77777777" w:rsidR="003B3FD4" w:rsidRPr="00EA2A59" w:rsidRDefault="00EA2A59" w:rsidP="00EA2A59">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2.1 </w:t>
      </w:r>
      <w:r w:rsidRPr="00EA2A59">
        <w:rPr>
          <w:rFonts w:ascii="Arial" w:hAnsi="Arial" w:cs="Arial"/>
          <w:b/>
          <w:bCs/>
          <w:u w:val="single"/>
        </w:rPr>
        <w:t>Moisture content (%)</w:t>
      </w:r>
    </w:p>
    <w:p w14:paraId="3A774C29" w14:textId="77777777" w:rsidR="00EA2A59" w:rsidRDefault="00EA2A59" w:rsidP="00EA2A59">
      <w:pPr>
        <w:pStyle w:val="Body"/>
        <w:rPr>
          <w:rFonts w:ascii="Arial" w:hAnsi="Arial" w:cs="Arial"/>
          <w:lang w:val="en-IN"/>
        </w:rPr>
      </w:pPr>
      <w:r w:rsidRPr="00EA2A59">
        <w:rPr>
          <w:rFonts w:ascii="Arial" w:hAnsi="Arial" w:cs="Arial"/>
          <w:lang w:val="en-IN"/>
        </w:rPr>
        <w:lastRenderedPageBreak/>
        <w:t>The moisture content of wood was calculated using ASTM D4442-92 (</w:t>
      </w:r>
      <w:r w:rsidRPr="001B7E47">
        <w:rPr>
          <w:rFonts w:ascii="Arial" w:hAnsi="Arial" w:cs="Arial"/>
          <w:lang w:val="en-IN"/>
        </w:rPr>
        <w:t>ASTM International, 2003).</w:t>
      </w:r>
      <w:r w:rsidRPr="00EA2A59">
        <w:rPr>
          <w:rFonts w:ascii="Arial" w:hAnsi="Arial" w:cs="Arial"/>
          <w:lang w:val="en-IN"/>
        </w:rPr>
        <w:t xml:space="preserve"> Representative samples were collected in triplicate and weighed immediately to prevent moisture changes. If immediate weighing is not possible, samples should be stored in plastic bags or wrapped in metal foil. Samples were then dried in an oven at 103 ± 2 °C until stable weight was achieved over 3-hour intervals. The moisture content percentage was determined using the constant weight after drying and the initial weight of the specimen by a specific </w:t>
      </w:r>
      <w:r w:rsidRPr="00D82155">
        <w:rPr>
          <w:rFonts w:ascii="Arial" w:hAnsi="Arial" w:cs="Arial"/>
          <w:lang w:val="en-IN"/>
        </w:rPr>
        <w:t>formula (Bergman, 2021).</w:t>
      </w:r>
    </w:p>
    <w:p w14:paraId="0DB1A71A" w14:textId="77777777" w:rsidR="00EA2A59" w:rsidRPr="00EA2A59" w:rsidRDefault="00EA2A59" w:rsidP="00EA2A59">
      <w:pPr>
        <w:pStyle w:val="Body"/>
        <w:rPr>
          <w:rFonts w:ascii="Arial" w:hAnsi="Arial" w:cs="Arial"/>
          <w:bCs/>
          <w:iCs/>
        </w:rPr>
      </w:pPr>
      <m:oMathPara>
        <m:oMath>
          <m:r>
            <m:rPr>
              <m:nor/>
            </m:rPr>
            <w:rPr>
              <w:rFonts w:ascii="Arial" w:hAnsi="Arial" w:cs="Arial"/>
              <w:bCs/>
              <w:iCs/>
            </w:rPr>
            <m:t xml:space="preserve">Moisture content </m:t>
          </m:r>
          <m:d>
            <m:dPr>
              <m:ctrlPr>
                <w:rPr>
                  <w:rFonts w:ascii="Cambria Math" w:hAnsi="Cambria Math" w:cs="Arial"/>
                  <w:bCs/>
                  <w:iCs/>
                </w:rPr>
              </m:ctrlPr>
            </m:dPr>
            <m:e>
              <m:r>
                <m:rPr>
                  <m:nor/>
                </m:rPr>
                <w:rPr>
                  <w:rFonts w:ascii="Arial" w:hAnsi="Arial" w:cs="Arial"/>
                  <w:bCs/>
                  <w:iCs/>
                </w:rPr>
                <m:t>%</m:t>
              </m:r>
            </m:e>
          </m:d>
          <m:r>
            <m:rPr>
              <m:nor/>
            </m:rPr>
            <w:rPr>
              <w:rFonts w:ascii="Arial" w:hAnsi="Arial" w:cs="Arial"/>
              <w:bCs/>
              <w:iCs/>
            </w:rPr>
            <m:t>=</m:t>
          </m:r>
          <m:f>
            <m:fPr>
              <m:ctrlPr>
                <w:rPr>
                  <w:rFonts w:ascii="Cambria Math" w:hAnsi="Cambria Math" w:cs="Arial"/>
                  <w:bCs/>
                  <w:iCs/>
                </w:rPr>
              </m:ctrlPr>
            </m:fPr>
            <m:num>
              <m:r>
                <m:rPr>
                  <m:nor/>
                </m:rPr>
                <w:rPr>
                  <w:rFonts w:ascii="Arial" w:hAnsi="Arial" w:cs="Arial"/>
                  <w:bCs/>
                  <w:iCs/>
                </w:rPr>
                <m:t>Mass when cut-oven dry mass</m:t>
              </m:r>
            </m:num>
            <m:den>
              <m:r>
                <m:rPr>
                  <m:nor/>
                </m:rPr>
                <w:rPr>
                  <w:rFonts w:ascii="Arial" w:hAnsi="Arial" w:cs="Arial"/>
                  <w:bCs/>
                  <w:iCs/>
                </w:rPr>
                <m:t>Oven dry mass</m:t>
              </m:r>
            </m:den>
          </m:f>
          <m:r>
            <m:rPr>
              <m:nor/>
            </m:rPr>
            <w:rPr>
              <w:rFonts w:ascii="Arial" w:hAnsi="Arial" w:cs="Arial"/>
              <w:bCs/>
              <w:iCs/>
            </w:rPr>
            <m:t>×100</m:t>
          </m:r>
        </m:oMath>
      </m:oMathPara>
    </w:p>
    <w:p w14:paraId="73643AA1" w14:textId="77777777" w:rsidR="002E0D56" w:rsidRPr="00621F73" w:rsidRDefault="00621F73" w:rsidP="00621F7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2.2 </w:t>
      </w:r>
      <w:r w:rsidRPr="00621F73">
        <w:rPr>
          <w:rFonts w:ascii="Arial" w:hAnsi="Arial" w:cs="Arial"/>
          <w:b/>
          <w:bCs/>
          <w:u w:val="single"/>
        </w:rPr>
        <w:t>Bulk density</w:t>
      </w:r>
    </w:p>
    <w:p w14:paraId="672A1671" w14:textId="77777777" w:rsidR="00621F73" w:rsidRDefault="00621F73" w:rsidP="00621F73">
      <w:pPr>
        <w:pStyle w:val="Body"/>
        <w:rPr>
          <w:rFonts w:ascii="Arial" w:hAnsi="Arial" w:cs="Arial"/>
        </w:rPr>
      </w:pPr>
      <w:r w:rsidRPr="00621F73">
        <w:rPr>
          <w:rFonts w:ascii="Arial" w:hAnsi="Arial" w:cs="Arial"/>
        </w:rPr>
        <w:t>To determine the bulk density, the weight and dimensions of each wood sample were measured and calculated using a speci</w:t>
      </w:r>
      <w:r>
        <w:rPr>
          <w:rFonts w:ascii="Arial" w:hAnsi="Arial" w:cs="Arial"/>
        </w:rPr>
        <w:t xml:space="preserve">fic formula </w:t>
      </w:r>
      <w:r w:rsidRPr="00D82155">
        <w:rPr>
          <w:rFonts w:ascii="Arial" w:hAnsi="Arial" w:cs="Arial"/>
        </w:rPr>
        <w:t xml:space="preserve">(Kongprasert </w:t>
      </w:r>
      <w:r w:rsidRPr="00D82155">
        <w:rPr>
          <w:rFonts w:ascii="Arial" w:hAnsi="Arial" w:cs="Arial"/>
          <w:i/>
        </w:rPr>
        <w:t>et al.,</w:t>
      </w:r>
      <w:r w:rsidRPr="00D82155">
        <w:rPr>
          <w:rFonts w:ascii="Arial" w:hAnsi="Arial" w:cs="Arial"/>
        </w:rPr>
        <w:t xml:space="preserve"> 2019).</w:t>
      </w:r>
    </w:p>
    <w:tbl>
      <w:tblPr>
        <w:tblW w:w="0" w:type="auto"/>
        <w:jc w:val="center"/>
        <w:tblLook w:val="04A0" w:firstRow="1" w:lastRow="0" w:firstColumn="1" w:lastColumn="0" w:noHBand="0" w:noVBand="1"/>
      </w:tblPr>
      <w:tblGrid>
        <w:gridCol w:w="710"/>
        <w:gridCol w:w="425"/>
      </w:tblGrid>
      <w:tr w:rsidR="00621F73" w:rsidRPr="00621F73" w14:paraId="66A83865" w14:textId="77777777" w:rsidTr="009263D6">
        <w:trPr>
          <w:trHeight w:val="322"/>
          <w:jc w:val="center"/>
        </w:trPr>
        <w:tc>
          <w:tcPr>
            <w:tcW w:w="710" w:type="dxa"/>
            <w:vMerge w:val="restart"/>
            <w:vAlign w:val="center"/>
            <w:hideMark/>
          </w:tcPr>
          <w:p w14:paraId="54ABD2E1" w14:textId="77777777" w:rsidR="00621F73" w:rsidRPr="00621F73" w:rsidRDefault="00621F73" w:rsidP="00897BD3">
            <w:pPr>
              <w:widowControl w:val="0"/>
              <w:tabs>
                <w:tab w:val="left" w:pos="709"/>
              </w:tabs>
              <w:contextualSpacing/>
              <w:jc w:val="both"/>
              <w:rPr>
                <w:rFonts w:ascii="Arial" w:eastAsia="Calibri" w:hAnsi="Arial" w:cs="Arial"/>
                <w:lang w:val="en-IN"/>
              </w:rPr>
            </w:pPr>
            <w:r w:rsidRPr="00621F73">
              <w:rPr>
                <w:rFonts w:ascii="Arial" w:eastAsia="Calibri" w:hAnsi="Arial" w:cs="Arial"/>
                <w:lang w:val="en-IN"/>
              </w:rPr>
              <w:t xml:space="preserve">  ρ =</w:t>
            </w:r>
          </w:p>
        </w:tc>
        <w:tc>
          <w:tcPr>
            <w:tcW w:w="425" w:type="dxa"/>
            <w:tcBorders>
              <w:bottom w:val="single" w:sz="4" w:space="0" w:color="auto"/>
            </w:tcBorders>
            <w:vAlign w:val="center"/>
            <w:hideMark/>
          </w:tcPr>
          <w:p w14:paraId="5EC5D5CE" w14:textId="77777777" w:rsidR="00621F73" w:rsidRPr="00621F73" w:rsidRDefault="00621F73" w:rsidP="00897BD3">
            <w:pPr>
              <w:widowControl w:val="0"/>
              <w:tabs>
                <w:tab w:val="left" w:pos="709"/>
              </w:tabs>
              <w:contextualSpacing/>
              <w:jc w:val="both"/>
              <w:rPr>
                <w:rFonts w:ascii="Arial" w:eastAsia="Calibri" w:hAnsi="Arial" w:cs="Arial"/>
                <w:lang w:val="en-IN"/>
              </w:rPr>
            </w:pPr>
            <w:r w:rsidRPr="00621F73">
              <w:rPr>
                <w:rFonts w:ascii="Arial" w:eastAsia="Calibri" w:hAnsi="Arial" w:cs="Arial"/>
                <w:lang w:val="en-IN"/>
              </w:rPr>
              <w:t>m</w:t>
            </w:r>
          </w:p>
        </w:tc>
      </w:tr>
      <w:tr w:rsidR="00621F73" w:rsidRPr="00621F73" w14:paraId="3954571D" w14:textId="77777777" w:rsidTr="009263D6">
        <w:trPr>
          <w:trHeight w:val="158"/>
          <w:jc w:val="center"/>
        </w:trPr>
        <w:tc>
          <w:tcPr>
            <w:tcW w:w="710" w:type="dxa"/>
            <w:vMerge/>
            <w:vAlign w:val="center"/>
            <w:hideMark/>
          </w:tcPr>
          <w:p w14:paraId="5E885E7F" w14:textId="77777777" w:rsidR="00621F73" w:rsidRPr="00621F73" w:rsidRDefault="00621F73" w:rsidP="00897BD3">
            <w:pPr>
              <w:contextualSpacing/>
              <w:jc w:val="both"/>
              <w:rPr>
                <w:rFonts w:ascii="Arial" w:eastAsia="Calibri" w:hAnsi="Arial" w:cs="Arial"/>
                <w:lang w:val="en-IN"/>
              </w:rPr>
            </w:pPr>
          </w:p>
        </w:tc>
        <w:tc>
          <w:tcPr>
            <w:tcW w:w="425" w:type="dxa"/>
            <w:tcBorders>
              <w:top w:val="single" w:sz="4" w:space="0" w:color="auto"/>
            </w:tcBorders>
            <w:vAlign w:val="center"/>
            <w:hideMark/>
          </w:tcPr>
          <w:p w14:paraId="309E05E1" w14:textId="77777777" w:rsidR="00621F73" w:rsidRPr="00621F73" w:rsidRDefault="00621F73" w:rsidP="00897BD3">
            <w:pPr>
              <w:widowControl w:val="0"/>
              <w:tabs>
                <w:tab w:val="left" w:pos="709"/>
              </w:tabs>
              <w:contextualSpacing/>
              <w:rPr>
                <w:rFonts w:ascii="Arial" w:eastAsia="Calibri" w:hAnsi="Arial" w:cs="Arial"/>
                <w:lang w:val="en-IN"/>
              </w:rPr>
            </w:pPr>
            <w:r w:rsidRPr="00621F73">
              <w:rPr>
                <w:rFonts w:ascii="Arial" w:eastAsia="Calibri" w:hAnsi="Arial" w:cs="Arial"/>
                <w:lang w:val="en-IN"/>
              </w:rPr>
              <w:t>v</w:t>
            </w:r>
          </w:p>
        </w:tc>
      </w:tr>
    </w:tbl>
    <w:p w14:paraId="739ECD39" w14:textId="77777777" w:rsidR="00621F73" w:rsidRPr="00621F73" w:rsidRDefault="00621F73" w:rsidP="00621F73">
      <w:pPr>
        <w:pStyle w:val="Body"/>
        <w:spacing w:after="0"/>
        <w:rPr>
          <w:rFonts w:ascii="Arial" w:hAnsi="Arial" w:cs="Arial"/>
          <w:lang w:val="en-IN"/>
        </w:rPr>
      </w:pPr>
      <w:r w:rsidRPr="00621F73">
        <w:rPr>
          <w:rFonts w:ascii="Arial" w:hAnsi="Arial" w:cs="Arial"/>
          <w:lang w:val="en-IN"/>
        </w:rPr>
        <w:t>Where,</w:t>
      </w:r>
    </w:p>
    <w:p w14:paraId="2E33EDCF" w14:textId="77777777" w:rsidR="00621F73" w:rsidRPr="00621F73" w:rsidRDefault="00621F73" w:rsidP="00621F73">
      <w:pPr>
        <w:pStyle w:val="Body"/>
        <w:spacing w:after="0"/>
        <w:rPr>
          <w:rFonts w:ascii="Arial" w:hAnsi="Arial" w:cs="Arial"/>
          <w:lang w:val="en-IN"/>
        </w:rPr>
      </w:pPr>
      <w:r w:rsidRPr="00621F73">
        <w:rPr>
          <w:rFonts w:ascii="Arial" w:hAnsi="Arial" w:cs="Arial"/>
          <w:lang w:val="en-IN"/>
        </w:rPr>
        <w:t>ρ = bulk density (g cm</w:t>
      </w:r>
      <w:r w:rsidRPr="00621F73">
        <w:rPr>
          <w:rFonts w:ascii="Arial" w:hAnsi="Arial" w:cs="Arial"/>
          <w:vertAlign w:val="superscript"/>
          <w:lang w:val="en-IN"/>
        </w:rPr>
        <w:t>-3</w:t>
      </w:r>
      <w:r w:rsidRPr="00621F73">
        <w:rPr>
          <w:rFonts w:ascii="Arial" w:hAnsi="Arial" w:cs="Arial"/>
          <w:lang w:val="en-IN"/>
        </w:rPr>
        <w:t>)</w:t>
      </w:r>
    </w:p>
    <w:p w14:paraId="1936D978" w14:textId="77777777" w:rsidR="00621F73" w:rsidRPr="00621F73" w:rsidRDefault="00621F73" w:rsidP="00621F73">
      <w:pPr>
        <w:pStyle w:val="Body"/>
        <w:spacing w:after="0"/>
        <w:rPr>
          <w:rFonts w:ascii="Arial" w:hAnsi="Arial" w:cs="Arial"/>
          <w:lang w:val="en-IN"/>
        </w:rPr>
      </w:pPr>
      <w:r w:rsidRPr="00621F73">
        <w:rPr>
          <w:rFonts w:ascii="Arial" w:hAnsi="Arial" w:cs="Arial"/>
          <w:lang w:val="en-IN"/>
        </w:rPr>
        <w:t>m = mass of wood sample (gram)</w:t>
      </w:r>
    </w:p>
    <w:p w14:paraId="68419E11" w14:textId="77777777" w:rsidR="00621F73" w:rsidRPr="00621F73" w:rsidRDefault="00621F73" w:rsidP="00621F73">
      <w:pPr>
        <w:pStyle w:val="Body"/>
        <w:rPr>
          <w:rFonts w:ascii="Arial" w:hAnsi="Arial" w:cs="Arial"/>
          <w:lang w:val="en-IN"/>
        </w:rPr>
      </w:pPr>
      <w:r w:rsidRPr="00621F73">
        <w:rPr>
          <w:rFonts w:ascii="Arial" w:hAnsi="Arial" w:cs="Arial"/>
          <w:lang w:val="en-IN"/>
        </w:rPr>
        <w:t>v = volume of sample (cm</w:t>
      </w:r>
      <w:r w:rsidRPr="00621F73">
        <w:rPr>
          <w:rFonts w:ascii="Arial" w:hAnsi="Arial" w:cs="Arial"/>
          <w:vertAlign w:val="superscript"/>
          <w:lang w:val="en-IN"/>
        </w:rPr>
        <w:t>3</w:t>
      </w:r>
      <w:r w:rsidRPr="00621F73">
        <w:rPr>
          <w:rFonts w:ascii="Arial" w:hAnsi="Arial" w:cs="Arial"/>
          <w:lang w:val="en-IN"/>
        </w:rPr>
        <w:t>)</w:t>
      </w:r>
    </w:p>
    <w:p w14:paraId="3859EB56" w14:textId="77777777" w:rsidR="00621F73" w:rsidRDefault="00621F73" w:rsidP="00621F7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2.3 Basic</w:t>
      </w:r>
      <w:r w:rsidRPr="00621F73">
        <w:rPr>
          <w:rFonts w:ascii="Arial" w:hAnsi="Arial" w:cs="Arial"/>
          <w:b/>
          <w:bCs/>
          <w:u w:val="single"/>
        </w:rPr>
        <w:t xml:space="preserve"> density</w:t>
      </w:r>
    </w:p>
    <w:p w14:paraId="6CA61110" w14:textId="77777777" w:rsidR="00621F73" w:rsidRPr="00621F73" w:rsidRDefault="00621F73" w:rsidP="00621F73">
      <w:pPr>
        <w:pStyle w:val="Body"/>
        <w:rPr>
          <w:rFonts w:ascii="Arial" w:hAnsi="Arial" w:cs="Arial"/>
          <w:lang w:val="en-IN"/>
        </w:rPr>
      </w:pPr>
      <w:r w:rsidRPr="00621F73">
        <w:rPr>
          <w:rFonts w:ascii="Arial" w:hAnsi="Arial" w:cs="Arial"/>
          <w:lang w:val="en-IN"/>
        </w:rPr>
        <w:t xml:space="preserve">The basic density of each wood sample were measured by dividing the dry weight of the wood sample in grams by the green volume of the wood sample in cubic </w:t>
      </w:r>
      <w:r w:rsidRPr="00D82155">
        <w:rPr>
          <w:rFonts w:ascii="Arial" w:hAnsi="Arial" w:cs="Arial"/>
          <w:lang w:val="en-IN"/>
        </w:rPr>
        <w:t>centimetres (Zobel</w:t>
      </w:r>
      <w:r w:rsidR="00D82155">
        <w:rPr>
          <w:rFonts w:ascii="Arial" w:hAnsi="Arial" w:cs="Arial"/>
          <w:lang w:val="en-IN"/>
        </w:rPr>
        <w:t xml:space="preserve"> &amp; Van </w:t>
      </w:r>
      <w:r w:rsidR="00D82155" w:rsidRPr="00D82155">
        <w:rPr>
          <w:rFonts w:ascii="Arial" w:hAnsi="Arial" w:cs="Arial"/>
        </w:rPr>
        <w:t>Buijtenen</w:t>
      </w:r>
      <w:r w:rsidR="00D82155">
        <w:rPr>
          <w:rFonts w:ascii="Arial" w:hAnsi="Arial" w:cs="Arial"/>
        </w:rPr>
        <w:t xml:space="preserve">, </w:t>
      </w:r>
      <w:r w:rsidRPr="00D82155">
        <w:rPr>
          <w:rFonts w:ascii="Arial" w:hAnsi="Arial" w:cs="Arial"/>
          <w:lang w:val="en-IN"/>
        </w:rPr>
        <w:t>2012).</w:t>
      </w:r>
    </w:p>
    <w:tbl>
      <w:tblPr>
        <w:tblpPr w:leftFromText="180" w:rightFromText="180" w:vertAnchor="text" w:horzAnchor="page" w:tblpX="2161" w:tblpY="33"/>
        <w:tblOverlap w:val="never"/>
        <w:tblW w:w="0" w:type="auto"/>
        <w:tblLook w:val="04A0" w:firstRow="1" w:lastRow="0" w:firstColumn="1" w:lastColumn="0" w:noHBand="0" w:noVBand="1"/>
      </w:tblPr>
      <w:tblGrid>
        <w:gridCol w:w="3798"/>
        <w:gridCol w:w="2339"/>
      </w:tblGrid>
      <w:tr w:rsidR="00621F73" w:rsidRPr="00621F73" w14:paraId="77DC0212" w14:textId="77777777" w:rsidTr="00621F73">
        <w:trPr>
          <w:trHeight w:val="98"/>
        </w:trPr>
        <w:tc>
          <w:tcPr>
            <w:tcW w:w="3798" w:type="dxa"/>
            <w:vMerge w:val="restart"/>
            <w:vAlign w:val="center"/>
            <w:hideMark/>
          </w:tcPr>
          <w:p w14:paraId="39E99650" w14:textId="77777777" w:rsidR="00621F73" w:rsidRPr="00621F73" w:rsidRDefault="00621F73" w:rsidP="00897BD3">
            <w:pPr>
              <w:pStyle w:val="Body"/>
              <w:rPr>
                <w:rFonts w:ascii="Arial" w:hAnsi="Arial" w:cs="Arial"/>
                <w:lang w:val="en-IN"/>
              </w:rPr>
            </w:pPr>
            <w:r w:rsidRPr="00621F73">
              <w:rPr>
                <w:rFonts w:ascii="Arial" w:hAnsi="Arial" w:cs="Arial"/>
                <w:lang w:val="en-IN"/>
              </w:rPr>
              <w:t xml:space="preserve">               </w:t>
            </w:r>
            <w:r>
              <w:rPr>
                <w:rFonts w:ascii="Arial" w:hAnsi="Arial" w:cs="Arial"/>
                <w:lang w:val="en-IN"/>
              </w:rPr>
              <w:t xml:space="preserve">                         </w:t>
            </w:r>
            <w:r w:rsidRPr="00621F73">
              <w:rPr>
                <w:rFonts w:ascii="Arial" w:hAnsi="Arial" w:cs="Arial"/>
                <w:lang w:val="en-IN"/>
              </w:rPr>
              <w:t>Basic density =</w:t>
            </w:r>
            <w:r>
              <w:rPr>
                <w:rFonts w:ascii="Arial" w:hAnsi="Arial" w:cs="Arial"/>
                <w:lang w:val="en-IN"/>
              </w:rPr>
              <w:t xml:space="preserve"> </w:t>
            </w:r>
          </w:p>
        </w:tc>
        <w:tc>
          <w:tcPr>
            <w:tcW w:w="2339" w:type="dxa"/>
            <w:tcBorders>
              <w:bottom w:val="single" w:sz="4" w:space="0" w:color="auto"/>
            </w:tcBorders>
            <w:vAlign w:val="center"/>
            <w:hideMark/>
          </w:tcPr>
          <w:p w14:paraId="51384C82" w14:textId="77777777" w:rsidR="00621F73" w:rsidRPr="00621F73" w:rsidRDefault="00621F73" w:rsidP="00897BD3">
            <w:pPr>
              <w:pStyle w:val="Body"/>
              <w:rPr>
                <w:rFonts w:ascii="Arial" w:hAnsi="Arial" w:cs="Arial"/>
                <w:lang w:val="en-IN"/>
              </w:rPr>
            </w:pPr>
            <w:r w:rsidRPr="00621F73">
              <w:rPr>
                <w:rFonts w:ascii="Arial" w:hAnsi="Arial" w:cs="Arial"/>
                <w:lang w:val="en-IN"/>
              </w:rPr>
              <w:t xml:space="preserve">  Dry weight in grams</w:t>
            </w:r>
          </w:p>
        </w:tc>
      </w:tr>
      <w:tr w:rsidR="00621F73" w:rsidRPr="00621F73" w14:paraId="6B7F36D4" w14:textId="77777777" w:rsidTr="00621F73">
        <w:trPr>
          <w:trHeight w:val="47"/>
        </w:trPr>
        <w:tc>
          <w:tcPr>
            <w:tcW w:w="3798" w:type="dxa"/>
            <w:vMerge/>
            <w:vAlign w:val="center"/>
            <w:hideMark/>
          </w:tcPr>
          <w:p w14:paraId="4E486D7D" w14:textId="77777777" w:rsidR="00621F73" w:rsidRPr="00621F73" w:rsidRDefault="00621F73" w:rsidP="00897BD3">
            <w:pPr>
              <w:pStyle w:val="Body"/>
              <w:rPr>
                <w:rFonts w:ascii="Arial" w:hAnsi="Arial" w:cs="Arial"/>
                <w:lang w:val="en-IN"/>
              </w:rPr>
            </w:pPr>
          </w:p>
        </w:tc>
        <w:tc>
          <w:tcPr>
            <w:tcW w:w="2339" w:type="dxa"/>
            <w:tcBorders>
              <w:top w:val="single" w:sz="4" w:space="0" w:color="auto"/>
            </w:tcBorders>
            <w:vAlign w:val="center"/>
            <w:hideMark/>
          </w:tcPr>
          <w:p w14:paraId="4B9D457A" w14:textId="77777777" w:rsidR="00621F73" w:rsidRPr="00621F73" w:rsidRDefault="00621F73" w:rsidP="00897BD3">
            <w:pPr>
              <w:pStyle w:val="Body"/>
              <w:rPr>
                <w:rFonts w:ascii="Arial" w:hAnsi="Arial" w:cs="Arial"/>
                <w:lang w:val="en-IN"/>
              </w:rPr>
            </w:pPr>
            <w:r w:rsidRPr="00621F73">
              <w:rPr>
                <w:rFonts w:ascii="Arial" w:hAnsi="Arial" w:cs="Arial"/>
                <w:lang w:val="en-IN"/>
              </w:rPr>
              <w:t>Green volume in cm</w:t>
            </w:r>
            <w:r w:rsidRPr="00621F73">
              <w:rPr>
                <w:rFonts w:ascii="Arial" w:hAnsi="Arial" w:cs="Arial"/>
                <w:vertAlign w:val="superscript"/>
                <w:lang w:val="en-IN"/>
              </w:rPr>
              <w:t>3</w:t>
            </w:r>
          </w:p>
        </w:tc>
      </w:tr>
    </w:tbl>
    <w:p w14:paraId="0A67573C" w14:textId="77777777" w:rsidR="00621F73" w:rsidRDefault="00621F73" w:rsidP="00621F73">
      <w:pPr>
        <w:pStyle w:val="Body"/>
        <w:rPr>
          <w:rFonts w:ascii="Arial" w:hAnsi="Arial" w:cs="Arial"/>
        </w:rPr>
      </w:pPr>
    </w:p>
    <w:p w14:paraId="398A41C9" w14:textId="77777777" w:rsidR="00621F73" w:rsidRDefault="00621F73" w:rsidP="00621F73">
      <w:pPr>
        <w:pStyle w:val="Body"/>
        <w:rPr>
          <w:rFonts w:ascii="Arial" w:hAnsi="Arial" w:cs="Arial"/>
        </w:rPr>
      </w:pPr>
    </w:p>
    <w:p w14:paraId="080A7D36" w14:textId="77777777" w:rsidR="00621F73" w:rsidRDefault="00621F73" w:rsidP="00621F73">
      <w:pPr>
        <w:pStyle w:val="Body"/>
        <w:rPr>
          <w:rFonts w:ascii="Arial" w:hAnsi="Arial" w:cs="Arial"/>
        </w:rPr>
      </w:pPr>
    </w:p>
    <w:p w14:paraId="15723525" w14:textId="77777777" w:rsidR="00621F73" w:rsidRDefault="00621F73" w:rsidP="00621F7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2.4 </w:t>
      </w:r>
      <w:r w:rsidRPr="00621F73">
        <w:rPr>
          <w:rFonts w:ascii="Arial" w:hAnsi="Arial" w:cs="Arial"/>
          <w:b/>
          <w:bCs/>
          <w:u w:val="single"/>
        </w:rPr>
        <w:t>Specific gravity</w:t>
      </w:r>
    </w:p>
    <w:p w14:paraId="596D8C94" w14:textId="77777777" w:rsidR="00621F73" w:rsidRPr="00621F73" w:rsidRDefault="00621F73" w:rsidP="00621F73">
      <w:pPr>
        <w:pStyle w:val="Body"/>
        <w:rPr>
          <w:rFonts w:ascii="Arial" w:hAnsi="Arial" w:cs="Arial"/>
        </w:rPr>
      </w:pPr>
      <w:r w:rsidRPr="00621F73">
        <w:rPr>
          <w:rFonts w:ascii="Arial" w:hAnsi="Arial" w:cs="Arial"/>
        </w:rPr>
        <w:t xml:space="preserve">Three 2.5 cm thick discs were cut from each sample and oven-dried at 103 ± 2°C for six hours. After drying, the discs were coated with paraffin for waterproofing and weighed again. Using the water displacement method, ASTM </w:t>
      </w:r>
      <w:r w:rsidRPr="00682909">
        <w:rPr>
          <w:rFonts w:ascii="Arial" w:hAnsi="Arial" w:cs="Arial"/>
        </w:rPr>
        <w:t>D2395-17(ASTM International 2022</w:t>
      </w:r>
      <w:r w:rsidRPr="00621F73">
        <w:rPr>
          <w:rFonts w:ascii="Arial" w:hAnsi="Arial" w:cs="Arial"/>
        </w:rPr>
        <w:t xml:space="preserve">), the weight of an equivalent volume of water was measured. By dividing the oven-dry weight of the disc by the weight of an equivalent volume of water, the specific gravity was determined </w:t>
      </w:r>
      <w:r w:rsidRPr="00682909">
        <w:rPr>
          <w:rFonts w:ascii="Arial" w:hAnsi="Arial" w:cs="Arial"/>
        </w:rPr>
        <w:t>(</w:t>
      </w:r>
      <w:r w:rsidR="00682909" w:rsidRPr="00682909">
        <w:rPr>
          <w:rFonts w:ascii="Arial" w:hAnsi="Arial" w:cs="Arial"/>
        </w:rPr>
        <w:t xml:space="preserve">Mainoo and </w:t>
      </w:r>
      <w:r w:rsidR="00780253">
        <w:rPr>
          <w:rFonts w:ascii="Arial" w:hAnsi="Arial" w:cs="Arial"/>
        </w:rPr>
        <w:t xml:space="preserve">Ulzen- </w:t>
      </w:r>
      <w:r w:rsidR="00682909" w:rsidRPr="00682909">
        <w:rPr>
          <w:rFonts w:ascii="Arial" w:hAnsi="Arial" w:cs="Arial"/>
        </w:rPr>
        <w:t>Appiah, 1996</w:t>
      </w:r>
      <w:r w:rsidRPr="00682909">
        <w:rPr>
          <w:rFonts w:ascii="Arial" w:hAnsi="Arial" w:cs="Arial"/>
        </w:rPr>
        <w:t>).</w:t>
      </w:r>
    </w:p>
    <w:p w14:paraId="5AB6F630" w14:textId="77777777" w:rsidR="007352F4" w:rsidRPr="007352F4" w:rsidRDefault="007352F4" w:rsidP="007352F4">
      <w:pPr>
        <w:pStyle w:val="Body"/>
        <w:rPr>
          <w:rFonts w:ascii="Arial" w:hAnsi="Arial" w:cs="Arial"/>
          <w:b/>
          <w:bCs/>
          <w:iCs/>
          <w:sz w:val="22"/>
        </w:rPr>
      </w:pPr>
      <w:r>
        <w:rPr>
          <w:rFonts w:ascii="Arial" w:hAnsi="Arial" w:cs="Arial"/>
          <w:b/>
          <w:caps/>
          <w:sz w:val="22"/>
        </w:rPr>
        <w:t xml:space="preserve">2.3 </w:t>
      </w:r>
      <w:r w:rsidRPr="007352F4">
        <w:rPr>
          <w:rFonts w:ascii="Arial" w:hAnsi="Arial" w:cs="Arial"/>
          <w:b/>
          <w:bCs/>
          <w:iCs/>
          <w:sz w:val="22"/>
        </w:rPr>
        <w:t>Chemical properties</w:t>
      </w:r>
    </w:p>
    <w:p w14:paraId="380F62E9" w14:textId="77777777" w:rsidR="007352F4" w:rsidRPr="007352F4" w:rsidRDefault="007352F4" w:rsidP="007352F4">
      <w:pPr>
        <w:spacing w:before="100" w:beforeAutospacing="1" w:after="100" w:afterAutospacing="1"/>
        <w:ind w:right="571"/>
        <w:jc w:val="both"/>
        <w:rPr>
          <w:rFonts w:ascii="Arial" w:hAnsi="Arial" w:cs="Arial"/>
          <w:b/>
          <w:bCs/>
          <w:iCs/>
          <w:sz w:val="22"/>
        </w:rPr>
      </w:pPr>
      <w:r w:rsidRPr="007B7693">
        <w:rPr>
          <w:rFonts w:ascii="Arial" w:hAnsi="Arial" w:cs="Arial"/>
          <w:b/>
          <w:bCs/>
          <w:u w:val="single"/>
        </w:rPr>
        <w:t>2.</w:t>
      </w:r>
      <w:r>
        <w:rPr>
          <w:rFonts w:ascii="Arial" w:hAnsi="Arial" w:cs="Arial"/>
          <w:b/>
          <w:bCs/>
          <w:u w:val="single"/>
        </w:rPr>
        <w:t xml:space="preserve">3.1 </w:t>
      </w:r>
      <w:r w:rsidRPr="007352F4">
        <w:rPr>
          <w:rFonts w:ascii="Arial" w:hAnsi="Arial" w:cs="Arial"/>
          <w:b/>
          <w:bCs/>
          <w:u w:val="single"/>
        </w:rPr>
        <w:t>A-B (Alcohol- benzene) extractive (%)</w:t>
      </w:r>
    </w:p>
    <w:p w14:paraId="41524575" w14:textId="77777777" w:rsidR="007352F4" w:rsidRDefault="007352F4" w:rsidP="007352F4">
      <w:pPr>
        <w:pStyle w:val="Body"/>
        <w:spacing w:after="0"/>
        <w:rPr>
          <w:rFonts w:ascii="Arial" w:hAnsi="Arial" w:cs="Arial"/>
          <w:bCs/>
          <w:iCs/>
        </w:rPr>
      </w:pPr>
      <w:r w:rsidRPr="007352F4">
        <w:rPr>
          <w:rFonts w:ascii="Arial" w:hAnsi="Arial" w:cs="Arial"/>
          <w:bCs/>
          <w:iCs/>
        </w:rPr>
        <w:t xml:space="preserve">The alcohol-benzene extractive content was determined following the TAPPI T204 protocol, as outlined by </w:t>
      </w:r>
      <w:r w:rsidRPr="00682909">
        <w:rPr>
          <w:rFonts w:ascii="Arial" w:hAnsi="Arial" w:cs="Arial"/>
          <w:bCs/>
          <w:iCs/>
        </w:rPr>
        <w:t>Buchanan (2007</w:t>
      </w:r>
      <w:r w:rsidRPr="006F6CC4">
        <w:rPr>
          <w:rFonts w:ascii="Arial" w:hAnsi="Arial" w:cs="Arial"/>
          <w:bCs/>
          <w:iCs/>
        </w:rPr>
        <w:t xml:space="preserve">), Malakani </w:t>
      </w:r>
      <w:r w:rsidRPr="006F6CC4">
        <w:rPr>
          <w:rFonts w:ascii="Arial" w:hAnsi="Arial" w:cs="Arial"/>
          <w:bCs/>
          <w:i/>
          <w:iCs/>
        </w:rPr>
        <w:t>et al.,</w:t>
      </w:r>
      <w:r w:rsidRPr="006F6CC4">
        <w:rPr>
          <w:rFonts w:ascii="Arial" w:hAnsi="Arial" w:cs="Arial"/>
          <w:bCs/>
          <w:iCs/>
        </w:rPr>
        <w:t xml:space="preserve"> (2014), and Dutta </w:t>
      </w:r>
      <w:r w:rsidRPr="006F6CC4">
        <w:rPr>
          <w:rFonts w:ascii="Arial" w:hAnsi="Arial" w:cs="Arial"/>
          <w:bCs/>
          <w:i/>
          <w:iCs/>
        </w:rPr>
        <w:t>et al.,</w:t>
      </w:r>
      <w:r w:rsidRPr="006F6CC4">
        <w:rPr>
          <w:rFonts w:ascii="Arial" w:hAnsi="Arial" w:cs="Arial"/>
          <w:bCs/>
          <w:iCs/>
        </w:rPr>
        <w:t xml:space="preserve"> (2025).</w:t>
      </w:r>
      <w:r w:rsidRPr="007352F4">
        <w:rPr>
          <w:rFonts w:ascii="Arial" w:hAnsi="Arial" w:cs="Arial"/>
          <w:bCs/>
          <w:iCs/>
        </w:rPr>
        <w:t xml:space="preserve"> Approximately 7 grams of oven-dried wood powder were placed in a thimble wrapped with </w:t>
      </w:r>
      <w:r w:rsidRPr="007352F4">
        <w:rPr>
          <w:rFonts w:ascii="Arial" w:hAnsi="Arial" w:cs="Arial"/>
          <w:bCs/>
          <w:iCs/>
        </w:rPr>
        <w:lastRenderedPageBreak/>
        <w:t>cotton cloth and inserted into a Soxhlet extraction apparatus. The extraction was conducted using 300 ml of a 1:2 ethanol-to-benzene mixture, maintained at a temperature between 70°C and 85°C for a duration of six hours. After completion, the extract was transferred to a pre-weighed petri dish (W</w:t>
      </w:r>
      <w:r w:rsidRPr="00307AC1">
        <w:rPr>
          <w:rFonts w:ascii="Arial" w:hAnsi="Arial" w:cs="Arial"/>
          <w:bCs/>
          <w:iCs/>
          <w:vertAlign w:val="subscript"/>
        </w:rPr>
        <w:t>1</w:t>
      </w:r>
      <w:r w:rsidRPr="007352F4">
        <w:rPr>
          <w:rFonts w:ascii="Arial" w:hAnsi="Arial" w:cs="Arial"/>
          <w:bCs/>
          <w:iCs/>
        </w:rPr>
        <w:t>), dried at 100°C, a</w:t>
      </w:r>
      <w:r>
        <w:rPr>
          <w:rFonts w:ascii="Arial" w:hAnsi="Arial" w:cs="Arial"/>
          <w:bCs/>
          <w:iCs/>
        </w:rPr>
        <w:t>nd then reweighed (W</w:t>
      </w:r>
      <w:r w:rsidRPr="00307AC1">
        <w:rPr>
          <w:rFonts w:ascii="Arial" w:hAnsi="Arial" w:cs="Arial"/>
          <w:bCs/>
          <w:iCs/>
          <w:vertAlign w:val="subscript"/>
        </w:rPr>
        <w:t>2</w:t>
      </w:r>
      <w:r>
        <w:rPr>
          <w:rFonts w:ascii="Arial" w:hAnsi="Arial" w:cs="Arial"/>
          <w:bCs/>
          <w:iCs/>
        </w:rPr>
        <w:t>)</w:t>
      </w:r>
      <w:r w:rsidRPr="007352F4">
        <w:rPr>
          <w:rFonts w:ascii="Arial" w:hAnsi="Arial" w:cs="Arial"/>
          <w:bCs/>
          <w:iCs/>
        </w:rPr>
        <w:t>. The alcohol-benzene extractive percentage was calculated using the standard formula.</w:t>
      </w:r>
    </w:p>
    <w:tbl>
      <w:tblPr>
        <w:tblpPr w:leftFromText="180" w:rightFromText="180" w:vertAnchor="text" w:horzAnchor="margin" w:tblpXSpec="center" w:tblpY="53"/>
        <w:tblW w:w="0" w:type="auto"/>
        <w:tblLook w:val="04A0" w:firstRow="1" w:lastRow="0" w:firstColumn="1" w:lastColumn="0" w:noHBand="0" w:noVBand="1"/>
      </w:tblPr>
      <w:tblGrid>
        <w:gridCol w:w="2376"/>
        <w:gridCol w:w="2952"/>
        <w:gridCol w:w="1868"/>
      </w:tblGrid>
      <w:tr w:rsidR="007352F4" w:rsidRPr="00307AC1" w14:paraId="203E58D7" w14:textId="77777777" w:rsidTr="00897BD3">
        <w:trPr>
          <w:trHeight w:val="322"/>
        </w:trPr>
        <w:tc>
          <w:tcPr>
            <w:tcW w:w="2376" w:type="dxa"/>
            <w:vMerge w:val="restart"/>
            <w:vAlign w:val="center"/>
            <w:hideMark/>
          </w:tcPr>
          <w:p w14:paraId="0C3F77EB" w14:textId="77777777" w:rsidR="007352F4" w:rsidRPr="00307AC1" w:rsidRDefault="007352F4" w:rsidP="00897BD3">
            <w:pPr>
              <w:widowControl w:val="0"/>
              <w:tabs>
                <w:tab w:val="left" w:pos="709"/>
              </w:tabs>
              <w:ind w:firstLine="252"/>
              <w:contextualSpacing/>
              <w:jc w:val="both"/>
              <w:rPr>
                <w:rFonts w:ascii="Arial" w:eastAsia="Calibri" w:hAnsi="Arial" w:cs="Arial"/>
                <w:lang w:val="en-IN"/>
              </w:rPr>
            </w:pPr>
            <w:r w:rsidRPr="00307AC1">
              <w:rPr>
                <w:rFonts w:ascii="Arial" w:eastAsia="Calibri" w:hAnsi="Arial" w:cs="Arial"/>
                <w:lang w:val="en-IN"/>
              </w:rPr>
              <w:t xml:space="preserve">  AB Extractive (%) =</w:t>
            </w:r>
          </w:p>
        </w:tc>
        <w:tc>
          <w:tcPr>
            <w:tcW w:w="2952" w:type="dxa"/>
            <w:tcBorders>
              <w:bottom w:val="single" w:sz="4" w:space="0" w:color="auto"/>
            </w:tcBorders>
            <w:vAlign w:val="center"/>
            <w:hideMark/>
          </w:tcPr>
          <w:p w14:paraId="79E820C0" w14:textId="77777777" w:rsidR="007352F4" w:rsidRPr="00307AC1" w:rsidRDefault="007352F4" w:rsidP="00897BD3">
            <w:pPr>
              <w:widowControl w:val="0"/>
              <w:tabs>
                <w:tab w:val="left" w:pos="709"/>
              </w:tabs>
              <w:contextualSpacing/>
              <w:jc w:val="center"/>
              <w:rPr>
                <w:rFonts w:ascii="Arial" w:eastAsia="Calibri" w:hAnsi="Arial" w:cs="Arial"/>
                <w:lang w:val="en-IN"/>
              </w:rPr>
            </w:pPr>
            <w:r w:rsidRPr="00307AC1">
              <w:rPr>
                <w:rFonts w:ascii="Arial" w:eastAsia="Calibri" w:hAnsi="Arial" w:cs="Arial"/>
                <w:lang w:val="en-IN"/>
              </w:rPr>
              <w:t>W</w:t>
            </w:r>
            <w:r w:rsidRPr="00307AC1">
              <w:rPr>
                <w:rFonts w:ascii="Arial" w:eastAsia="Calibri" w:hAnsi="Arial" w:cs="Arial"/>
                <w:vertAlign w:val="subscript"/>
                <w:lang w:val="en-IN"/>
              </w:rPr>
              <w:t>2</w:t>
            </w:r>
            <w:r w:rsidRPr="00307AC1">
              <w:rPr>
                <w:rFonts w:ascii="Arial" w:eastAsia="Calibri" w:hAnsi="Arial" w:cs="Arial"/>
                <w:lang w:val="en-IN"/>
              </w:rPr>
              <w:t>- W</w:t>
            </w:r>
            <w:r w:rsidRPr="00307AC1">
              <w:rPr>
                <w:rFonts w:ascii="Arial" w:eastAsia="Calibri" w:hAnsi="Arial" w:cs="Arial"/>
                <w:vertAlign w:val="subscript"/>
                <w:lang w:val="en-IN"/>
              </w:rPr>
              <w:t>1</w:t>
            </w:r>
          </w:p>
        </w:tc>
        <w:tc>
          <w:tcPr>
            <w:tcW w:w="1868" w:type="dxa"/>
            <w:vMerge w:val="restart"/>
            <w:vAlign w:val="center"/>
            <w:hideMark/>
          </w:tcPr>
          <w:p w14:paraId="593D504C" w14:textId="77777777" w:rsidR="007352F4" w:rsidRPr="00307AC1" w:rsidRDefault="007352F4" w:rsidP="00897BD3">
            <w:pPr>
              <w:widowControl w:val="0"/>
              <w:tabs>
                <w:tab w:val="left" w:pos="709"/>
              </w:tabs>
              <w:contextualSpacing/>
              <w:jc w:val="both"/>
              <w:rPr>
                <w:rFonts w:ascii="Arial" w:eastAsia="Calibri" w:hAnsi="Arial" w:cs="Arial"/>
                <w:lang w:val="en-IN"/>
              </w:rPr>
            </w:pPr>
            <w:r w:rsidRPr="00307AC1">
              <w:rPr>
                <w:rFonts w:ascii="Arial" w:eastAsia="Calibri" w:hAnsi="Arial" w:cs="Arial"/>
                <w:lang w:val="en-IN"/>
              </w:rPr>
              <w:t xml:space="preserve"> × 100</w:t>
            </w:r>
          </w:p>
        </w:tc>
      </w:tr>
      <w:tr w:rsidR="007352F4" w:rsidRPr="00307AC1" w14:paraId="23BAAEAD" w14:textId="77777777" w:rsidTr="00897BD3">
        <w:trPr>
          <w:trHeight w:val="53"/>
        </w:trPr>
        <w:tc>
          <w:tcPr>
            <w:tcW w:w="2376" w:type="dxa"/>
            <w:vMerge/>
            <w:vAlign w:val="center"/>
            <w:hideMark/>
          </w:tcPr>
          <w:p w14:paraId="12E2F2CB" w14:textId="77777777" w:rsidR="007352F4" w:rsidRPr="00307AC1" w:rsidRDefault="007352F4" w:rsidP="00897BD3">
            <w:pPr>
              <w:contextualSpacing/>
              <w:jc w:val="both"/>
              <w:rPr>
                <w:rFonts w:ascii="Arial" w:eastAsia="Calibri" w:hAnsi="Arial" w:cs="Arial"/>
                <w:lang w:val="en-IN"/>
              </w:rPr>
            </w:pPr>
          </w:p>
        </w:tc>
        <w:tc>
          <w:tcPr>
            <w:tcW w:w="2952" w:type="dxa"/>
            <w:tcBorders>
              <w:top w:val="single" w:sz="4" w:space="0" w:color="auto"/>
            </w:tcBorders>
            <w:vAlign w:val="center"/>
            <w:hideMark/>
          </w:tcPr>
          <w:p w14:paraId="2789228D" w14:textId="77777777" w:rsidR="007352F4" w:rsidRPr="00307AC1" w:rsidRDefault="007352F4" w:rsidP="00897BD3">
            <w:pPr>
              <w:widowControl w:val="0"/>
              <w:tabs>
                <w:tab w:val="left" w:pos="709"/>
              </w:tabs>
              <w:contextualSpacing/>
              <w:jc w:val="center"/>
              <w:rPr>
                <w:rFonts w:ascii="Arial" w:eastAsia="Calibri" w:hAnsi="Arial" w:cs="Arial"/>
                <w:lang w:val="en-IN"/>
              </w:rPr>
            </w:pPr>
            <w:r w:rsidRPr="00307AC1">
              <w:rPr>
                <w:rFonts w:ascii="Arial" w:eastAsia="Calibri" w:hAnsi="Arial" w:cs="Arial"/>
                <w:lang w:val="en-IN"/>
              </w:rPr>
              <w:t>Oven dry weight of the sample</w:t>
            </w:r>
          </w:p>
        </w:tc>
        <w:tc>
          <w:tcPr>
            <w:tcW w:w="1868" w:type="dxa"/>
            <w:vMerge/>
            <w:vAlign w:val="center"/>
            <w:hideMark/>
          </w:tcPr>
          <w:p w14:paraId="52FF35AA" w14:textId="77777777" w:rsidR="007352F4" w:rsidRPr="00307AC1" w:rsidRDefault="007352F4" w:rsidP="00897BD3">
            <w:pPr>
              <w:contextualSpacing/>
              <w:jc w:val="both"/>
              <w:rPr>
                <w:rFonts w:ascii="Arial" w:eastAsia="Calibri" w:hAnsi="Arial" w:cs="Arial"/>
                <w:lang w:val="en-IN"/>
              </w:rPr>
            </w:pPr>
          </w:p>
        </w:tc>
      </w:tr>
    </w:tbl>
    <w:p w14:paraId="4BCBD640" w14:textId="77777777" w:rsidR="007352F4" w:rsidRDefault="007352F4" w:rsidP="007352F4">
      <w:pPr>
        <w:pStyle w:val="Body"/>
        <w:spacing w:after="0"/>
        <w:rPr>
          <w:rFonts w:ascii="Arial" w:hAnsi="Arial" w:cs="Arial"/>
          <w:bCs/>
          <w:iCs/>
        </w:rPr>
      </w:pPr>
    </w:p>
    <w:p w14:paraId="65E71FF4" w14:textId="77777777" w:rsidR="00A03B96" w:rsidRPr="00307AC1" w:rsidRDefault="00307AC1" w:rsidP="00307AC1">
      <w:pPr>
        <w:spacing w:before="100" w:beforeAutospacing="1" w:after="100" w:afterAutospacing="1"/>
        <w:ind w:right="571"/>
        <w:jc w:val="both"/>
        <w:rPr>
          <w:rFonts w:ascii="Arial" w:hAnsi="Arial" w:cs="Arial"/>
          <w:bCs/>
          <w:iCs/>
        </w:rPr>
      </w:pPr>
      <w:r w:rsidRPr="007B7693">
        <w:rPr>
          <w:rFonts w:ascii="Arial" w:hAnsi="Arial" w:cs="Arial"/>
          <w:b/>
          <w:bCs/>
          <w:u w:val="single"/>
        </w:rPr>
        <w:t>2.</w:t>
      </w:r>
      <w:r>
        <w:rPr>
          <w:rFonts w:ascii="Arial" w:hAnsi="Arial" w:cs="Arial"/>
          <w:b/>
          <w:bCs/>
          <w:u w:val="single"/>
        </w:rPr>
        <w:t xml:space="preserve">3.2 </w:t>
      </w:r>
      <w:r w:rsidRPr="00307AC1">
        <w:rPr>
          <w:rFonts w:ascii="Arial" w:hAnsi="Arial" w:cs="Arial"/>
          <w:b/>
          <w:bCs/>
          <w:u w:val="single"/>
        </w:rPr>
        <w:t>Acid insoluble lignin (%)</w:t>
      </w:r>
    </w:p>
    <w:p w14:paraId="6EC1B126" w14:textId="77777777" w:rsidR="00307AC1" w:rsidRPr="00307AC1" w:rsidRDefault="00307AC1" w:rsidP="00307AC1">
      <w:pPr>
        <w:pStyle w:val="Body"/>
        <w:spacing w:after="0"/>
        <w:rPr>
          <w:rFonts w:ascii="Arial" w:hAnsi="Arial" w:cs="Arial"/>
          <w:lang w:val="en-IN"/>
        </w:rPr>
      </w:pPr>
      <w:r w:rsidRPr="00307AC1">
        <w:rPr>
          <w:rFonts w:ascii="Arial" w:hAnsi="Arial" w:cs="Arial"/>
        </w:rPr>
        <w:t xml:space="preserve">The acid-insoluble lignin content was determined </w:t>
      </w:r>
      <w:r w:rsidRPr="006F6CC4">
        <w:rPr>
          <w:rFonts w:ascii="Arial" w:hAnsi="Arial" w:cs="Arial"/>
        </w:rPr>
        <w:t>using the TAPPI, (2006) method</w:t>
      </w:r>
      <w:r w:rsidR="006F6CC4">
        <w:rPr>
          <w:rFonts w:ascii="Arial" w:hAnsi="Arial" w:cs="Arial"/>
        </w:rPr>
        <w:t xml:space="preserve"> (Anonymous, 2006)</w:t>
      </w:r>
      <w:r w:rsidRPr="00307AC1">
        <w:rPr>
          <w:rFonts w:ascii="Arial" w:hAnsi="Arial" w:cs="Arial"/>
        </w:rPr>
        <w:t>. Each alcohol-benzene extracted sample (1.00 ± 0.01g) was placed in a 100 ml beaker and wetted with 2 ml of 72% H</w:t>
      </w:r>
      <w:r w:rsidRPr="00307AC1">
        <w:rPr>
          <w:rFonts w:ascii="Arial" w:hAnsi="Arial" w:cs="Arial"/>
          <w:vertAlign w:val="subscript"/>
        </w:rPr>
        <w:t>2</w:t>
      </w:r>
      <w:r w:rsidRPr="00307AC1">
        <w:rPr>
          <w:rFonts w:ascii="Arial" w:hAnsi="Arial" w:cs="Arial"/>
        </w:rPr>
        <w:t>SO</w:t>
      </w:r>
      <w:r w:rsidRPr="00307AC1">
        <w:rPr>
          <w:rFonts w:ascii="Arial" w:hAnsi="Arial" w:cs="Arial"/>
          <w:vertAlign w:val="subscript"/>
        </w:rPr>
        <w:t xml:space="preserve">4 </w:t>
      </w:r>
      <w:r w:rsidRPr="00307AC1">
        <w:rPr>
          <w:rFonts w:ascii="Arial" w:hAnsi="Arial" w:cs="Arial"/>
        </w:rPr>
        <w:t>(Sulfuric acid). Then, 130 milliliter of 72% H</w:t>
      </w:r>
      <w:r w:rsidRPr="00307AC1">
        <w:rPr>
          <w:rFonts w:ascii="Arial" w:hAnsi="Arial" w:cs="Arial"/>
          <w:vertAlign w:val="subscript"/>
        </w:rPr>
        <w:t>2</w:t>
      </w:r>
      <w:r w:rsidRPr="00307AC1">
        <w:rPr>
          <w:rFonts w:ascii="Arial" w:hAnsi="Arial" w:cs="Arial"/>
        </w:rPr>
        <w:t>SO</w:t>
      </w:r>
      <w:r w:rsidRPr="00307AC1">
        <w:rPr>
          <w:rFonts w:ascii="Arial" w:hAnsi="Arial" w:cs="Arial"/>
          <w:vertAlign w:val="subscript"/>
        </w:rPr>
        <w:t>4</w:t>
      </w:r>
      <w:r w:rsidRPr="00307AC1">
        <w:rPr>
          <w:rFonts w:ascii="Arial" w:hAnsi="Arial" w:cs="Arial"/>
        </w:rPr>
        <w:t xml:space="preserve"> was added. The beaker was placed in a water bath at 20°C for two hours, with occasional stirring. Afterward, the mixture was filtered through a pre-weighed G2 crucible (W</w:t>
      </w:r>
      <w:r w:rsidRPr="00307AC1">
        <w:rPr>
          <w:rFonts w:ascii="Arial" w:hAnsi="Arial" w:cs="Arial"/>
          <w:vertAlign w:val="subscript"/>
        </w:rPr>
        <w:t>1</w:t>
      </w:r>
      <w:r w:rsidRPr="00307AC1">
        <w:rPr>
          <w:rFonts w:ascii="Arial" w:hAnsi="Arial" w:cs="Arial"/>
        </w:rPr>
        <w:t>), washed with hot water, and the residues were weighed (W</w:t>
      </w:r>
      <w:r w:rsidRPr="00307AC1">
        <w:rPr>
          <w:rFonts w:ascii="Arial" w:hAnsi="Arial" w:cs="Arial"/>
          <w:vertAlign w:val="subscript"/>
        </w:rPr>
        <w:t>2</w:t>
      </w:r>
      <w:r w:rsidRPr="00307AC1">
        <w:rPr>
          <w:rFonts w:ascii="Arial" w:hAnsi="Arial" w:cs="Arial"/>
        </w:rPr>
        <w:t xml:space="preserve">). The lignin content percentage was then calculated by a specific </w:t>
      </w:r>
      <w:r w:rsidRPr="006F6CC4">
        <w:rPr>
          <w:rFonts w:ascii="Arial" w:hAnsi="Arial" w:cs="Arial"/>
        </w:rPr>
        <w:t>formula (</w:t>
      </w:r>
      <w:r w:rsidRPr="006F6CC4">
        <w:rPr>
          <w:rFonts w:ascii="Arial" w:hAnsi="Arial" w:cs="Arial"/>
          <w:lang w:val="en-IN"/>
        </w:rPr>
        <w:t xml:space="preserve">Malakani </w:t>
      </w:r>
      <w:r w:rsidRPr="006F6CC4">
        <w:rPr>
          <w:rFonts w:ascii="Arial" w:hAnsi="Arial" w:cs="Arial"/>
          <w:i/>
          <w:lang w:val="en-IN"/>
        </w:rPr>
        <w:t xml:space="preserve">et al., </w:t>
      </w:r>
      <w:r w:rsidRPr="006F6CC4">
        <w:rPr>
          <w:rFonts w:ascii="Arial" w:hAnsi="Arial" w:cs="Arial"/>
          <w:lang w:val="en-IN"/>
        </w:rPr>
        <w:t xml:space="preserve">2014, Dutta </w:t>
      </w:r>
      <w:r w:rsidRPr="006F6CC4">
        <w:rPr>
          <w:rFonts w:ascii="Arial" w:hAnsi="Arial" w:cs="Arial"/>
          <w:i/>
          <w:lang w:val="en-IN"/>
        </w:rPr>
        <w:t>et al.,</w:t>
      </w:r>
      <w:r w:rsidRPr="006F6CC4">
        <w:rPr>
          <w:rFonts w:ascii="Arial" w:hAnsi="Arial" w:cs="Arial"/>
          <w:lang w:val="en-IN"/>
        </w:rPr>
        <w:t xml:space="preserve"> 2025).</w:t>
      </w:r>
    </w:p>
    <w:tbl>
      <w:tblPr>
        <w:tblpPr w:leftFromText="180" w:rightFromText="180" w:vertAnchor="text" w:horzAnchor="margin" w:tblpXSpec="center" w:tblpY="53"/>
        <w:tblW w:w="0" w:type="auto"/>
        <w:tblLook w:val="04A0" w:firstRow="1" w:lastRow="0" w:firstColumn="1" w:lastColumn="0" w:noHBand="0" w:noVBand="1"/>
      </w:tblPr>
      <w:tblGrid>
        <w:gridCol w:w="2870"/>
        <w:gridCol w:w="2998"/>
        <w:gridCol w:w="1822"/>
      </w:tblGrid>
      <w:tr w:rsidR="00307AC1" w:rsidRPr="00307AC1" w14:paraId="212F1017" w14:textId="77777777" w:rsidTr="00897BD3">
        <w:trPr>
          <w:trHeight w:val="322"/>
        </w:trPr>
        <w:tc>
          <w:tcPr>
            <w:tcW w:w="2870" w:type="dxa"/>
            <w:vMerge w:val="restart"/>
            <w:vAlign w:val="center"/>
            <w:hideMark/>
          </w:tcPr>
          <w:p w14:paraId="17B5F305" w14:textId="77777777" w:rsidR="00307AC1" w:rsidRPr="00307AC1" w:rsidRDefault="00307AC1" w:rsidP="00897BD3">
            <w:pPr>
              <w:widowControl w:val="0"/>
              <w:tabs>
                <w:tab w:val="left" w:pos="709"/>
              </w:tabs>
              <w:ind w:firstLine="252"/>
              <w:contextualSpacing/>
              <w:jc w:val="both"/>
              <w:rPr>
                <w:rFonts w:ascii="Arial" w:eastAsia="Calibri" w:hAnsi="Arial" w:cs="Arial"/>
                <w:lang w:val="en-IN"/>
              </w:rPr>
            </w:pPr>
            <w:r w:rsidRPr="00307AC1">
              <w:rPr>
                <w:rFonts w:ascii="Arial" w:eastAsia="Calibri" w:hAnsi="Arial" w:cs="Arial"/>
                <w:lang w:val="en-IN"/>
              </w:rPr>
              <w:t xml:space="preserve">Acid insoluble lignin (%) =     </w:t>
            </w:r>
          </w:p>
        </w:tc>
        <w:tc>
          <w:tcPr>
            <w:tcW w:w="2998" w:type="dxa"/>
            <w:tcBorders>
              <w:bottom w:val="single" w:sz="4" w:space="0" w:color="auto"/>
            </w:tcBorders>
            <w:vAlign w:val="center"/>
            <w:hideMark/>
          </w:tcPr>
          <w:p w14:paraId="3A38D62B" w14:textId="77777777" w:rsidR="00307AC1" w:rsidRPr="00307AC1" w:rsidRDefault="00307AC1" w:rsidP="00897BD3">
            <w:pPr>
              <w:widowControl w:val="0"/>
              <w:tabs>
                <w:tab w:val="left" w:pos="709"/>
              </w:tabs>
              <w:contextualSpacing/>
              <w:jc w:val="center"/>
              <w:rPr>
                <w:rFonts w:ascii="Arial" w:eastAsia="Calibri" w:hAnsi="Arial" w:cs="Arial"/>
                <w:lang w:val="en-IN"/>
              </w:rPr>
            </w:pPr>
            <w:r w:rsidRPr="00307AC1">
              <w:rPr>
                <w:rFonts w:ascii="Arial" w:eastAsia="Calibri" w:hAnsi="Arial" w:cs="Arial"/>
                <w:lang w:val="en-IN"/>
              </w:rPr>
              <w:t>W</w:t>
            </w:r>
            <w:r w:rsidRPr="00307AC1">
              <w:rPr>
                <w:rFonts w:ascii="Arial" w:eastAsia="Calibri" w:hAnsi="Arial" w:cs="Arial"/>
                <w:vertAlign w:val="subscript"/>
                <w:lang w:val="en-IN"/>
              </w:rPr>
              <w:t>2</w:t>
            </w:r>
            <w:r w:rsidRPr="00307AC1">
              <w:rPr>
                <w:rFonts w:ascii="Arial" w:eastAsia="Calibri" w:hAnsi="Arial" w:cs="Arial"/>
                <w:lang w:val="en-IN"/>
              </w:rPr>
              <w:t>- W</w:t>
            </w:r>
            <w:r w:rsidRPr="00307AC1">
              <w:rPr>
                <w:rFonts w:ascii="Arial" w:eastAsia="Calibri" w:hAnsi="Arial" w:cs="Arial"/>
                <w:vertAlign w:val="subscript"/>
                <w:lang w:val="en-IN"/>
              </w:rPr>
              <w:t>1</w:t>
            </w:r>
          </w:p>
        </w:tc>
        <w:tc>
          <w:tcPr>
            <w:tcW w:w="1822" w:type="dxa"/>
            <w:vMerge w:val="restart"/>
            <w:tcBorders>
              <w:left w:val="nil"/>
            </w:tcBorders>
            <w:vAlign w:val="center"/>
            <w:hideMark/>
          </w:tcPr>
          <w:p w14:paraId="317CF0CF" w14:textId="77777777" w:rsidR="00307AC1" w:rsidRPr="00307AC1" w:rsidRDefault="00307AC1" w:rsidP="00897BD3">
            <w:pPr>
              <w:widowControl w:val="0"/>
              <w:tabs>
                <w:tab w:val="left" w:pos="709"/>
              </w:tabs>
              <w:contextualSpacing/>
              <w:jc w:val="both"/>
              <w:rPr>
                <w:rFonts w:ascii="Arial" w:eastAsia="Calibri" w:hAnsi="Arial" w:cs="Arial"/>
                <w:lang w:val="en-IN"/>
              </w:rPr>
            </w:pPr>
            <w:r w:rsidRPr="00307AC1">
              <w:rPr>
                <w:rFonts w:ascii="Arial" w:eastAsia="Calibri" w:hAnsi="Arial" w:cs="Arial"/>
                <w:lang w:val="en-IN"/>
              </w:rPr>
              <w:t xml:space="preserve"> × 100</w:t>
            </w:r>
          </w:p>
        </w:tc>
      </w:tr>
      <w:tr w:rsidR="00307AC1" w:rsidRPr="00307AC1" w14:paraId="59D86307" w14:textId="77777777" w:rsidTr="00897BD3">
        <w:trPr>
          <w:trHeight w:val="53"/>
        </w:trPr>
        <w:tc>
          <w:tcPr>
            <w:tcW w:w="2870" w:type="dxa"/>
            <w:vMerge/>
            <w:vAlign w:val="center"/>
            <w:hideMark/>
          </w:tcPr>
          <w:p w14:paraId="2589027F" w14:textId="77777777" w:rsidR="00307AC1" w:rsidRPr="00307AC1" w:rsidRDefault="00307AC1" w:rsidP="00897BD3">
            <w:pPr>
              <w:contextualSpacing/>
              <w:jc w:val="both"/>
              <w:rPr>
                <w:rFonts w:ascii="Arial" w:eastAsia="Calibri" w:hAnsi="Arial" w:cs="Arial"/>
                <w:lang w:val="en-IN"/>
              </w:rPr>
            </w:pPr>
          </w:p>
        </w:tc>
        <w:tc>
          <w:tcPr>
            <w:tcW w:w="2998" w:type="dxa"/>
            <w:tcBorders>
              <w:top w:val="single" w:sz="4" w:space="0" w:color="auto"/>
            </w:tcBorders>
            <w:vAlign w:val="center"/>
            <w:hideMark/>
          </w:tcPr>
          <w:p w14:paraId="14318833" w14:textId="77777777" w:rsidR="00307AC1" w:rsidRPr="00307AC1" w:rsidRDefault="00307AC1" w:rsidP="00897BD3">
            <w:pPr>
              <w:widowControl w:val="0"/>
              <w:tabs>
                <w:tab w:val="left" w:pos="709"/>
              </w:tabs>
              <w:contextualSpacing/>
              <w:jc w:val="center"/>
              <w:rPr>
                <w:rFonts w:ascii="Arial" w:eastAsia="Calibri" w:hAnsi="Arial" w:cs="Arial"/>
                <w:lang w:val="en-IN"/>
              </w:rPr>
            </w:pPr>
            <w:r w:rsidRPr="00307AC1">
              <w:rPr>
                <w:rFonts w:ascii="Arial" w:eastAsia="Calibri" w:hAnsi="Arial" w:cs="Arial"/>
                <w:lang w:val="en-IN"/>
              </w:rPr>
              <w:t>Oven dry weight of the sample</w:t>
            </w:r>
          </w:p>
        </w:tc>
        <w:tc>
          <w:tcPr>
            <w:tcW w:w="1822" w:type="dxa"/>
            <w:vMerge/>
            <w:tcBorders>
              <w:left w:val="nil"/>
            </w:tcBorders>
            <w:vAlign w:val="center"/>
            <w:hideMark/>
          </w:tcPr>
          <w:p w14:paraId="4B42B9A2" w14:textId="77777777" w:rsidR="00307AC1" w:rsidRPr="00307AC1" w:rsidRDefault="00307AC1" w:rsidP="00897BD3">
            <w:pPr>
              <w:contextualSpacing/>
              <w:jc w:val="both"/>
              <w:rPr>
                <w:rFonts w:ascii="Arial" w:eastAsia="Calibri" w:hAnsi="Arial" w:cs="Arial"/>
                <w:lang w:val="en-IN"/>
              </w:rPr>
            </w:pPr>
          </w:p>
        </w:tc>
      </w:tr>
    </w:tbl>
    <w:p w14:paraId="5D5BE1F3" w14:textId="77777777" w:rsidR="00307AC1" w:rsidRDefault="00307AC1" w:rsidP="00307AC1">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3.3 </w:t>
      </w:r>
      <w:r w:rsidRPr="00307AC1">
        <w:rPr>
          <w:rFonts w:ascii="Arial" w:hAnsi="Arial" w:cs="Arial"/>
          <w:b/>
          <w:bCs/>
          <w:u w:val="single"/>
        </w:rPr>
        <w:t>Holocellulose (%)</w:t>
      </w:r>
    </w:p>
    <w:p w14:paraId="28F82263" w14:textId="1A710A0E" w:rsidR="00307AC1" w:rsidRDefault="00307AC1" w:rsidP="00307AC1">
      <w:pPr>
        <w:pStyle w:val="Body"/>
        <w:spacing w:after="0"/>
        <w:rPr>
          <w:rFonts w:ascii="Arial" w:hAnsi="Arial" w:cs="Arial"/>
          <w:lang w:val="en-IN"/>
        </w:rPr>
      </w:pPr>
      <w:r w:rsidRPr="00307AC1">
        <w:rPr>
          <w:rFonts w:ascii="Arial" w:hAnsi="Arial" w:cs="Arial"/>
          <w:lang w:val="en-IN"/>
        </w:rPr>
        <w:t xml:space="preserve">To determine the holocellulose content, 5.00 ± 0.01g </w:t>
      </w:r>
      <w:r w:rsidRPr="00857493">
        <w:rPr>
          <w:rFonts w:ascii="Arial" w:hAnsi="Arial" w:cs="Arial"/>
          <w:highlight w:val="yellow"/>
          <w:lang w:val="en-IN"/>
        </w:rPr>
        <w:t xml:space="preserve">of </w:t>
      </w:r>
      <w:r w:rsidR="001645B7" w:rsidRPr="00857493">
        <w:rPr>
          <w:rFonts w:ascii="Arial" w:hAnsi="Arial" w:cs="Arial"/>
          <w:highlight w:val="yellow"/>
          <w:lang w:val="en-IN"/>
        </w:rPr>
        <w:t xml:space="preserve">the </w:t>
      </w:r>
      <w:r w:rsidRPr="00857493">
        <w:rPr>
          <w:rFonts w:ascii="Arial" w:hAnsi="Arial" w:cs="Arial"/>
          <w:highlight w:val="yellow"/>
          <w:lang w:val="en-IN"/>
        </w:rPr>
        <w:t>wood</w:t>
      </w:r>
      <w:r w:rsidRPr="00307AC1">
        <w:rPr>
          <w:rFonts w:ascii="Arial" w:hAnsi="Arial" w:cs="Arial"/>
          <w:lang w:val="en-IN"/>
        </w:rPr>
        <w:t xml:space="preserve"> sample was placed in a </w:t>
      </w:r>
      <w:proofErr w:type="gramStart"/>
      <w:r w:rsidRPr="00307AC1">
        <w:rPr>
          <w:rFonts w:ascii="Arial" w:hAnsi="Arial" w:cs="Arial"/>
          <w:lang w:val="en-IN"/>
        </w:rPr>
        <w:t>250 millilitre</w:t>
      </w:r>
      <w:proofErr w:type="gramEnd"/>
      <w:r w:rsidRPr="00307AC1">
        <w:rPr>
          <w:rFonts w:ascii="Arial" w:hAnsi="Arial" w:cs="Arial"/>
          <w:lang w:val="en-IN"/>
        </w:rPr>
        <w:t xml:space="preserve"> conical flask. The sample was moistened with 10 millilitre of distilled water, followed by the addition of 150 millilitre of distilled water, 1.5 gram of sodium chloride, and 0.5 millilitre of acetic acid. The flask was sealed with an inverted small flask and heated in a water bath at 70°C for one hour. After heating, the supernatant was poured into a pre-weighed crucible (W</w:t>
      </w:r>
      <w:r w:rsidRPr="00307AC1">
        <w:rPr>
          <w:rFonts w:ascii="Arial" w:hAnsi="Arial" w:cs="Arial"/>
          <w:vertAlign w:val="subscript"/>
          <w:lang w:val="en-IN"/>
        </w:rPr>
        <w:t>1</w:t>
      </w:r>
      <w:r w:rsidRPr="00307AC1">
        <w:rPr>
          <w:rFonts w:ascii="Arial" w:hAnsi="Arial" w:cs="Arial"/>
          <w:lang w:val="en-IN"/>
        </w:rPr>
        <w:t>). This process was repeated with the same reagents. The crucible and its contents were dried overnight at 105°C, then cooled and weighed again (W</w:t>
      </w:r>
      <w:r w:rsidRPr="00307AC1">
        <w:rPr>
          <w:rFonts w:ascii="Arial" w:hAnsi="Arial" w:cs="Arial"/>
          <w:vertAlign w:val="subscript"/>
          <w:lang w:val="en-IN"/>
        </w:rPr>
        <w:t>2</w:t>
      </w:r>
      <w:r w:rsidRPr="00307AC1">
        <w:rPr>
          <w:rFonts w:ascii="Arial" w:hAnsi="Arial" w:cs="Arial"/>
          <w:lang w:val="en-IN"/>
        </w:rPr>
        <w:t>). The holocellulose percentage was ca</w:t>
      </w:r>
      <w:r w:rsidR="00897BD3">
        <w:rPr>
          <w:rFonts w:ascii="Arial" w:hAnsi="Arial" w:cs="Arial"/>
          <w:lang w:val="en-IN"/>
        </w:rPr>
        <w:t xml:space="preserve">lculated by a specific </w:t>
      </w:r>
      <w:r w:rsidR="00897BD3" w:rsidRPr="006F6CC4">
        <w:rPr>
          <w:rFonts w:ascii="Arial" w:hAnsi="Arial" w:cs="Arial"/>
          <w:lang w:val="en-IN"/>
        </w:rPr>
        <w:t>formula (</w:t>
      </w:r>
      <w:r w:rsidRPr="006F6CC4">
        <w:rPr>
          <w:rFonts w:ascii="Arial" w:hAnsi="Arial" w:cs="Arial"/>
          <w:lang w:val="en-IN"/>
        </w:rPr>
        <w:t xml:space="preserve">Ona </w:t>
      </w:r>
      <w:r w:rsidRPr="006F6CC4">
        <w:rPr>
          <w:rFonts w:ascii="Arial" w:hAnsi="Arial" w:cs="Arial"/>
          <w:i/>
          <w:lang w:val="en-IN"/>
        </w:rPr>
        <w:t>et al.</w:t>
      </w:r>
      <w:r w:rsidR="00897BD3" w:rsidRPr="006F6CC4">
        <w:rPr>
          <w:rFonts w:ascii="Arial" w:hAnsi="Arial" w:cs="Arial"/>
          <w:lang w:val="en-IN"/>
        </w:rPr>
        <w:t xml:space="preserve"> </w:t>
      </w:r>
      <w:r w:rsidRPr="006F6CC4">
        <w:rPr>
          <w:rFonts w:ascii="Arial" w:hAnsi="Arial" w:cs="Arial"/>
          <w:lang w:val="en-IN"/>
        </w:rPr>
        <w:t>1995).</w:t>
      </w:r>
    </w:p>
    <w:tbl>
      <w:tblPr>
        <w:tblpPr w:leftFromText="180" w:rightFromText="180" w:vertAnchor="text" w:horzAnchor="margin" w:tblpXSpec="center" w:tblpY="53"/>
        <w:tblW w:w="0" w:type="auto"/>
        <w:tblLook w:val="04A0" w:firstRow="1" w:lastRow="0" w:firstColumn="1" w:lastColumn="0" w:noHBand="0" w:noVBand="1"/>
      </w:tblPr>
      <w:tblGrid>
        <w:gridCol w:w="2235"/>
        <w:gridCol w:w="3183"/>
        <w:gridCol w:w="2272"/>
      </w:tblGrid>
      <w:tr w:rsidR="00897BD3" w:rsidRPr="00897BD3" w14:paraId="5CF5D206" w14:textId="77777777" w:rsidTr="00897BD3">
        <w:trPr>
          <w:trHeight w:val="322"/>
        </w:trPr>
        <w:tc>
          <w:tcPr>
            <w:tcW w:w="2235" w:type="dxa"/>
            <w:vMerge w:val="restart"/>
            <w:vAlign w:val="center"/>
            <w:hideMark/>
          </w:tcPr>
          <w:p w14:paraId="524BF426" w14:textId="77777777" w:rsidR="00897BD3" w:rsidRPr="00897BD3" w:rsidRDefault="00897BD3" w:rsidP="00897BD3">
            <w:pPr>
              <w:widowControl w:val="0"/>
              <w:tabs>
                <w:tab w:val="left" w:pos="709"/>
              </w:tabs>
              <w:spacing w:before="240"/>
              <w:contextualSpacing/>
              <w:jc w:val="both"/>
              <w:rPr>
                <w:rFonts w:ascii="Arial" w:eastAsia="Calibri" w:hAnsi="Arial" w:cs="Arial"/>
                <w:lang w:val="en-IN"/>
              </w:rPr>
            </w:pPr>
            <w:r>
              <w:rPr>
                <w:rFonts w:ascii="Arial" w:eastAsia="Calibri" w:hAnsi="Arial" w:cs="Arial"/>
                <w:lang w:val="en-IN"/>
              </w:rPr>
              <w:t xml:space="preserve">     </w:t>
            </w:r>
            <w:r w:rsidRPr="00897BD3">
              <w:rPr>
                <w:rFonts w:ascii="Arial" w:eastAsia="Calibri" w:hAnsi="Arial" w:cs="Arial"/>
                <w:lang w:val="en-IN"/>
              </w:rPr>
              <w:t>Holocellulose (%) =</w:t>
            </w:r>
          </w:p>
        </w:tc>
        <w:tc>
          <w:tcPr>
            <w:tcW w:w="3183" w:type="dxa"/>
            <w:tcBorders>
              <w:bottom w:val="single" w:sz="4" w:space="0" w:color="auto"/>
            </w:tcBorders>
            <w:vAlign w:val="center"/>
            <w:hideMark/>
          </w:tcPr>
          <w:p w14:paraId="46E23AE2" w14:textId="77777777" w:rsidR="00897BD3" w:rsidRPr="00897BD3" w:rsidRDefault="00897BD3" w:rsidP="00897BD3">
            <w:pPr>
              <w:widowControl w:val="0"/>
              <w:tabs>
                <w:tab w:val="left" w:pos="709"/>
              </w:tabs>
              <w:spacing w:before="240"/>
              <w:contextualSpacing/>
              <w:jc w:val="center"/>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2</w:t>
            </w:r>
            <w:r w:rsidRPr="00897BD3">
              <w:rPr>
                <w:rFonts w:ascii="Arial" w:eastAsia="Calibri" w:hAnsi="Arial" w:cs="Arial"/>
                <w:lang w:val="en-IN"/>
              </w:rPr>
              <w:t>- W</w:t>
            </w:r>
            <w:r w:rsidRPr="00897BD3">
              <w:rPr>
                <w:rFonts w:ascii="Arial" w:eastAsia="Calibri" w:hAnsi="Arial" w:cs="Arial"/>
                <w:vertAlign w:val="subscript"/>
                <w:lang w:val="en-IN"/>
              </w:rPr>
              <w:t>1</w:t>
            </w:r>
          </w:p>
        </w:tc>
        <w:tc>
          <w:tcPr>
            <w:tcW w:w="2272" w:type="dxa"/>
            <w:vMerge w:val="restart"/>
            <w:tcBorders>
              <w:left w:val="nil"/>
            </w:tcBorders>
            <w:vAlign w:val="center"/>
            <w:hideMark/>
          </w:tcPr>
          <w:p w14:paraId="6FF9CB36" w14:textId="77777777" w:rsidR="00897BD3" w:rsidRPr="00897BD3" w:rsidRDefault="00897BD3" w:rsidP="00897BD3">
            <w:pPr>
              <w:widowControl w:val="0"/>
              <w:tabs>
                <w:tab w:val="left" w:pos="709"/>
              </w:tabs>
              <w:spacing w:before="240"/>
              <w:contextualSpacing/>
              <w:jc w:val="both"/>
              <w:rPr>
                <w:rFonts w:ascii="Arial" w:eastAsia="Calibri" w:hAnsi="Arial" w:cs="Arial"/>
                <w:lang w:val="en-IN"/>
              </w:rPr>
            </w:pPr>
            <w:r w:rsidRPr="00897BD3">
              <w:rPr>
                <w:rFonts w:ascii="Arial" w:eastAsia="Calibri" w:hAnsi="Arial" w:cs="Arial"/>
                <w:lang w:val="en-IN"/>
              </w:rPr>
              <w:t xml:space="preserve"> × 100 </w:t>
            </w:r>
          </w:p>
        </w:tc>
      </w:tr>
      <w:tr w:rsidR="00897BD3" w:rsidRPr="00897BD3" w14:paraId="3CCDA6BB" w14:textId="77777777" w:rsidTr="00897BD3">
        <w:trPr>
          <w:trHeight w:val="53"/>
        </w:trPr>
        <w:tc>
          <w:tcPr>
            <w:tcW w:w="2235" w:type="dxa"/>
            <w:vMerge/>
            <w:vAlign w:val="center"/>
            <w:hideMark/>
          </w:tcPr>
          <w:p w14:paraId="5D871050" w14:textId="77777777" w:rsidR="00897BD3" w:rsidRPr="00897BD3" w:rsidRDefault="00897BD3" w:rsidP="00897BD3">
            <w:pPr>
              <w:spacing w:before="240"/>
              <w:contextualSpacing/>
              <w:jc w:val="both"/>
              <w:rPr>
                <w:rFonts w:ascii="Arial" w:eastAsia="Calibri" w:hAnsi="Arial" w:cs="Arial"/>
                <w:lang w:val="en-IN"/>
              </w:rPr>
            </w:pPr>
          </w:p>
        </w:tc>
        <w:tc>
          <w:tcPr>
            <w:tcW w:w="3183" w:type="dxa"/>
            <w:tcBorders>
              <w:top w:val="single" w:sz="4" w:space="0" w:color="auto"/>
            </w:tcBorders>
            <w:vAlign w:val="center"/>
            <w:hideMark/>
          </w:tcPr>
          <w:p w14:paraId="2189A8A1" w14:textId="77777777" w:rsidR="00897BD3" w:rsidRPr="00897BD3" w:rsidRDefault="00897BD3" w:rsidP="00897BD3">
            <w:pPr>
              <w:widowControl w:val="0"/>
              <w:tabs>
                <w:tab w:val="left" w:pos="709"/>
              </w:tabs>
              <w:spacing w:before="240"/>
              <w:contextualSpacing/>
              <w:jc w:val="center"/>
              <w:rPr>
                <w:rFonts w:ascii="Arial" w:eastAsia="Calibri" w:hAnsi="Arial" w:cs="Arial"/>
                <w:lang w:val="en-IN"/>
              </w:rPr>
            </w:pPr>
            <w:r w:rsidRPr="00897BD3">
              <w:rPr>
                <w:rFonts w:ascii="Arial" w:eastAsia="Calibri" w:hAnsi="Arial" w:cs="Arial"/>
                <w:lang w:val="en-IN"/>
              </w:rPr>
              <w:t>Oven dry weight of the sample</w:t>
            </w:r>
          </w:p>
        </w:tc>
        <w:tc>
          <w:tcPr>
            <w:tcW w:w="2272" w:type="dxa"/>
            <w:vMerge/>
            <w:tcBorders>
              <w:left w:val="nil"/>
            </w:tcBorders>
            <w:vAlign w:val="center"/>
            <w:hideMark/>
          </w:tcPr>
          <w:p w14:paraId="3916DA9E" w14:textId="77777777" w:rsidR="00897BD3" w:rsidRPr="00897BD3" w:rsidRDefault="00897BD3" w:rsidP="00897BD3">
            <w:pPr>
              <w:spacing w:before="240"/>
              <w:contextualSpacing/>
              <w:jc w:val="both"/>
              <w:rPr>
                <w:rFonts w:ascii="Arial" w:eastAsia="Calibri" w:hAnsi="Arial" w:cs="Arial"/>
                <w:lang w:val="en-IN"/>
              </w:rPr>
            </w:pPr>
          </w:p>
        </w:tc>
      </w:tr>
    </w:tbl>
    <w:p w14:paraId="38822AC7" w14:textId="77777777" w:rsidR="00897BD3" w:rsidRPr="007352F4" w:rsidRDefault="00897BD3" w:rsidP="00897BD3">
      <w:pPr>
        <w:pStyle w:val="Body"/>
        <w:spacing w:before="240"/>
        <w:rPr>
          <w:rFonts w:ascii="Arial" w:hAnsi="Arial" w:cs="Arial"/>
          <w:b/>
          <w:bCs/>
          <w:iCs/>
          <w:sz w:val="22"/>
        </w:rPr>
      </w:pPr>
      <w:r>
        <w:rPr>
          <w:rFonts w:ascii="Arial" w:hAnsi="Arial" w:cs="Arial"/>
          <w:b/>
          <w:caps/>
          <w:sz w:val="22"/>
        </w:rPr>
        <w:t xml:space="preserve">2.4 </w:t>
      </w:r>
      <w:r w:rsidRPr="00897BD3">
        <w:rPr>
          <w:rFonts w:ascii="Arial" w:hAnsi="Arial" w:cs="Arial"/>
          <w:b/>
          <w:bCs/>
          <w:iCs/>
          <w:sz w:val="22"/>
        </w:rPr>
        <w:t>Thermochemical properties</w:t>
      </w:r>
    </w:p>
    <w:p w14:paraId="74AFDBC6" w14:textId="77777777" w:rsidR="00897BD3" w:rsidRPr="007352F4" w:rsidRDefault="00897BD3" w:rsidP="00897BD3">
      <w:pPr>
        <w:spacing w:before="100" w:beforeAutospacing="1" w:after="100" w:afterAutospacing="1"/>
        <w:ind w:right="571"/>
        <w:jc w:val="both"/>
        <w:rPr>
          <w:rFonts w:ascii="Arial" w:hAnsi="Arial" w:cs="Arial"/>
          <w:b/>
          <w:bCs/>
          <w:iCs/>
          <w:sz w:val="22"/>
        </w:rPr>
      </w:pPr>
      <w:r w:rsidRPr="007B7693">
        <w:rPr>
          <w:rFonts w:ascii="Arial" w:hAnsi="Arial" w:cs="Arial"/>
          <w:b/>
          <w:bCs/>
          <w:u w:val="single"/>
        </w:rPr>
        <w:t>2.</w:t>
      </w:r>
      <w:r>
        <w:rPr>
          <w:rFonts w:ascii="Arial" w:hAnsi="Arial" w:cs="Arial"/>
          <w:b/>
          <w:bCs/>
          <w:u w:val="single"/>
        </w:rPr>
        <w:t xml:space="preserve">4.1 </w:t>
      </w:r>
      <w:r w:rsidRPr="00897BD3">
        <w:rPr>
          <w:rFonts w:ascii="Arial" w:hAnsi="Arial" w:cs="Arial"/>
          <w:b/>
          <w:bCs/>
          <w:u w:val="single"/>
        </w:rPr>
        <w:t>Ash content (%)</w:t>
      </w:r>
    </w:p>
    <w:p w14:paraId="198F1FB6" w14:textId="77777777" w:rsidR="00897BD3" w:rsidRDefault="00897BD3" w:rsidP="00897BD3">
      <w:pPr>
        <w:pStyle w:val="Body"/>
        <w:spacing w:after="0"/>
        <w:rPr>
          <w:rFonts w:ascii="Arial" w:hAnsi="Arial" w:cs="Arial"/>
          <w:b/>
          <w:bCs/>
          <w:iCs/>
        </w:rPr>
      </w:pPr>
      <w:r w:rsidRPr="00897BD3">
        <w:rPr>
          <w:rFonts w:ascii="Arial" w:hAnsi="Arial" w:cs="Arial"/>
        </w:rPr>
        <w:t xml:space="preserve">The ash content percentage of the samples was determined according to the ASTM D3174-12 </w:t>
      </w:r>
      <w:r w:rsidRPr="0001213F">
        <w:rPr>
          <w:rFonts w:ascii="Arial" w:hAnsi="Arial" w:cs="Arial"/>
        </w:rPr>
        <w:t xml:space="preserve">standard (ASTM International, 2012; Kongprasert </w:t>
      </w:r>
      <w:r w:rsidRPr="0001213F">
        <w:rPr>
          <w:rFonts w:ascii="Arial" w:hAnsi="Arial" w:cs="Arial"/>
          <w:i/>
        </w:rPr>
        <w:t>et al.,</w:t>
      </w:r>
      <w:r w:rsidRPr="0001213F">
        <w:rPr>
          <w:rFonts w:ascii="Arial" w:hAnsi="Arial" w:cs="Arial"/>
        </w:rPr>
        <w:t xml:space="preserve"> 2019). Each</w:t>
      </w:r>
      <w:r w:rsidRPr="00897BD3">
        <w:rPr>
          <w:rFonts w:ascii="Arial" w:hAnsi="Arial" w:cs="Arial"/>
        </w:rPr>
        <w:t xml:space="preserve"> sample was put into crucibles weighing one gram, and the crucibles were heated for an hour in a muffle furnace. The temperature was raised from 450 to 600°C progressively during this procedure. After that, the temperature was raised to 750°C and kept there for two hours. The crucibles remained inside the furnace for an additional hour. After that the percentage of the ash content was determined</w:t>
      </w:r>
      <w:r w:rsidRPr="00897BD3">
        <w:rPr>
          <w:rFonts w:ascii="Arial" w:hAnsi="Arial" w:cs="Arial"/>
          <w:b/>
          <w:bCs/>
          <w:iCs/>
        </w:rPr>
        <w:t>.</w:t>
      </w:r>
    </w:p>
    <w:tbl>
      <w:tblPr>
        <w:tblpPr w:leftFromText="180" w:rightFromText="180" w:vertAnchor="text" w:horzAnchor="margin" w:tblpXSpec="center" w:tblpY="53"/>
        <w:tblW w:w="0" w:type="auto"/>
        <w:tblLook w:val="04A0" w:firstRow="1" w:lastRow="0" w:firstColumn="1" w:lastColumn="0" w:noHBand="0" w:noVBand="1"/>
      </w:tblPr>
      <w:tblGrid>
        <w:gridCol w:w="1998"/>
        <w:gridCol w:w="900"/>
        <w:gridCol w:w="1400"/>
      </w:tblGrid>
      <w:tr w:rsidR="00897BD3" w:rsidRPr="00897BD3" w14:paraId="4DA6AA9B" w14:textId="77777777" w:rsidTr="00897BD3">
        <w:trPr>
          <w:trHeight w:val="330"/>
        </w:trPr>
        <w:tc>
          <w:tcPr>
            <w:tcW w:w="1998" w:type="dxa"/>
            <w:vMerge w:val="restart"/>
            <w:vAlign w:val="center"/>
            <w:hideMark/>
          </w:tcPr>
          <w:p w14:paraId="22C0486F" w14:textId="77777777" w:rsidR="00897BD3" w:rsidRPr="00897BD3" w:rsidRDefault="00897BD3" w:rsidP="00897BD3">
            <w:pPr>
              <w:widowControl w:val="0"/>
              <w:tabs>
                <w:tab w:val="left" w:pos="709"/>
              </w:tabs>
              <w:ind w:right="61" w:firstLine="72"/>
              <w:contextualSpacing/>
              <w:jc w:val="both"/>
              <w:rPr>
                <w:rFonts w:ascii="Arial" w:eastAsia="Calibri" w:hAnsi="Arial" w:cs="Arial"/>
                <w:lang w:val="en-IN"/>
              </w:rPr>
            </w:pPr>
            <w:r w:rsidRPr="00897BD3">
              <w:rPr>
                <w:rFonts w:ascii="Arial" w:eastAsia="Calibri" w:hAnsi="Arial" w:cs="Arial"/>
                <w:lang w:val="en-IN"/>
              </w:rPr>
              <w:t xml:space="preserve">Ash content (%) = </w:t>
            </w:r>
          </w:p>
        </w:tc>
        <w:tc>
          <w:tcPr>
            <w:tcW w:w="900" w:type="dxa"/>
            <w:tcBorders>
              <w:bottom w:val="single" w:sz="4" w:space="0" w:color="auto"/>
            </w:tcBorders>
            <w:vAlign w:val="center"/>
            <w:hideMark/>
          </w:tcPr>
          <w:p w14:paraId="45A79075" w14:textId="77777777" w:rsidR="00897BD3" w:rsidRPr="00897BD3" w:rsidRDefault="00897BD3" w:rsidP="00897BD3">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 xml:space="preserve">3 </w:t>
            </w:r>
            <w:r w:rsidRPr="00897BD3">
              <w:rPr>
                <w:rFonts w:ascii="Arial" w:eastAsia="Calibri" w:hAnsi="Arial" w:cs="Arial"/>
                <w:lang w:val="en-IN"/>
              </w:rPr>
              <w:t>- W</w:t>
            </w:r>
            <w:r w:rsidRPr="00897BD3">
              <w:rPr>
                <w:rFonts w:ascii="Arial" w:eastAsia="Calibri" w:hAnsi="Arial" w:cs="Arial"/>
                <w:vertAlign w:val="subscript"/>
                <w:lang w:val="en-IN"/>
              </w:rPr>
              <w:t>1</w:t>
            </w:r>
          </w:p>
        </w:tc>
        <w:tc>
          <w:tcPr>
            <w:tcW w:w="1400" w:type="dxa"/>
            <w:vMerge w:val="restart"/>
            <w:tcBorders>
              <w:left w:val="nil"/>
            </w:tcBorders>
            <w:vAlign w:val="center"/>
            <w:hideMark/>
          </w:tcPr>
          <w:p w14:paraId="485DB2F1" w14:textId="77777777" w:rsidR="00897BD3" w:rsidRPr="00897BD3" w:rsidRDefault="00897BD3" w:rsidP="00897BD3">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 xml:space="preserve"> × 100</w:t>
            </w:r>
          </w:p>
        </w:tc>
      </w:tr>
      <w:tr w:rsidR="00897BD3" w:rsidRPr="00897BD3" w14:paraId="7E14C7B9" w14:textId="77777777" w:rsidTr="00897BD3">
        <w:trPr>
          <w:trHeight w:val="53"/>
        </w:trPr>
        <w:tc>
          <w:tcPr>
            <w:tcW w:w="1998" w:type="dxa"/>
            <w:vMerge/>
            <w:vAlign w:val="center"/>
            <w:hideMark/>
          </w:tcPr>
          <w:p w14:paraId="0DEBDB19" w14:textId="77777777" w:rsidR="00897BD3" w:rsidRPr="00897BD3" w:rsidRDefault="00897BD3" w:rsidP="00897BD3">
            <w:pPr>
              <w:contextualSpacing/>
              <w:jc w:val="both"/>
              <w:rPr>
                <w:rFonts w:ascii="Arial" w:eastAsia="Calibri" w:hAnsi="Arial" w:cs="Arial"/>
                <w:lang w:val="en-IN"/>
              </w:rPr>
            </w:pPr>
          </w:p>
        </w:tc>
        <w:tc>
          <w:tcPr>
            <w:tcW w:w="900" w:type="dxa"/>
            <w:tcBorders>
              <w:top w:val="single" w:sz="4" w:space="0" w:color="auto"/>
            </w:tcBorders>
            <w:vAlign w:val="center"/>
            <w:hideMark/>
          </w:tcPr>
          <w:p w14:paraId="2C40F8F1" w14:textId="77777777" w:rsidR="00897BD3" w:rsidRPr="00897BD3" w:rsidRDefault="00897BD3" w:rsidP="00897BD3">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 xml:space="preserve">2 </w:t>
            </w:r>
            <w:r w:rsidRPr="00897BD3">
              <w:rPr>
                <w:rFonts w:ascii="Arial" w:eastAsia="Calibri" w:hAnsi="Arial" w:cs="Arial"/>
                <w:lang w:val="en-IN"/>
              </w:rPr>
              <w:t>- W</w:t>
            </w:r>
            <w:r w:rsidRPr="00897BD3">
              <w:rPr>
                <w:rFonts w:ascii="Arial" w:eastAsia="Calibri" w:hAnsi="Arial" w:cs="Arial"/>
                <w:vertAlign w:val="subscript"/>
                <w:lang w:val="en-IN"/>
              </w:rPr>
              <w:t>1</w:t>
            </w:r>
          </w:p>
        </w:tc>
        <w:tc>
          <w:tcPr>
            <w:tcW w:w="1400" w:type="dxa"/>
            <w:vMerge/>
            <w:tcBorders>
              <w:left w:val="nil"/>
            </w:tcBorders>
            <w:vAlign w:val="center"/>
            <w:hideMark/>
          </w:tcPr>
          <w:p w14:paraId="539B0B7E" w14:textId="77777777" w:rsidR="00897BD3" w:rsidRPr="00897BD3" w:rsidRDefault="00897BD3" w:rsidP="00897BD3">
            <w:pPr>
              <w:contextualSpacing/>
              <w:jc w:val="both"/>
              <w:rPr>
                <w:rFonts w:ascii="Arial" w:eastAsia="Calibri" w:hAnsi="Arial" w:cs="Arial"/>
                <w:lang w:val="en-IN"/>
              </w:rPr>
            </w:pPr>
          </w:p>
        </w:tc>
      </w:tr>
    </w:tbl>
    <w:p w14:paraId="7E3EF412" w14:textId="77777777" w:rsidR="00897BD3" w:rsidRDefault="00897BD3" w:rsidP="00897BD3">
      <w:pPr>
        <w:pStyle w:val="Body"/>
        <w:spacing w:after="0"/>
        <w:rPr>
          <w:rFonts w:ascii="Arial" w:hAnsi="Arial" w:cs="Arial"/>
          <w:b/>
          <w:bCs/>
          <w:iCs/>
        </w:rPr>
      </w:pPr>
    </w:p>
    <w:p w14:paraId="50265E15" w14:textId="77777777" w:rsidR="00897BD3" w:rsidRDefault="00897BD3" w:rsidP="00897BD3">
      <w:pPr>
        <w:pStyle w:val="Body"/>
        <w:spacing w:after="0"/>
        <w:rPr>
          <w:rFonts w:ascii="Arial" w:hAnsi="Arial" w:cs="Arial"/>
          <w:b/>
          <w:bCs/>
          <w:iCs/>
        </w:rPr>
      </w:pPr>
    </w:p>
    <w:p w14:paraId="6AF43C18" w14:textId="77777777" w:rsidR="00897BD3" w:rsidRPr="00897BD3" w:rsidRDefault="00897BD3" w:rsidP="00897BD3">
      <w:pPr>
        <w:contextualSpacing/>
        <w:jc w:val="both"/>
        <w:rPr>
          <w:rFonts w:ascii="Arial" w:eastAsia="Calibri" w:hAnsi="Arial" w:cs="Arial"/>
          <w:lang w:val="en-IN"/>
        </w:rPr>
      </w:pPr>
      <w:r w:rsidRPr="00897BD3">
        <w:rPr>
          <w:rFonts w:ascii="Arial" w:eastAsia="Calibri" w:hAnsi="Arial" w:cs="Arial"/>
          <w:lang w:val="en-IN"/>
        </w:rPr>
        <w:t>Where,</w:t>
      </w:r>
    </w:p>
    <w:p w14:paraId="36B25736" w14:textId="77777777" w:rsidR="00897BD3" w:rsidRPr="00897BD3" w:rsidRDefault="00897BD3" w:rsidP="00897BD3">
      <w:pPr>
        <w:contextualSpacing/>
        <w:jc w:val="both"/>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1</w:t>
      </w:r>
      <w:r w:rsidRPr="00897BD3">
        <w:rPr>
          <w:rFonts w:ascii="Arial" w:eastAsia="Calibri" w:hAnsi="Arial" w:cs="Arial"/>
          <w:lang w:val="en-IN"/>
        </w:rPr>
        <w:t xml:space="preserve">= weight of empty crucible, (g) </w:t>
      </w:r>
    </w:p>
    <w:p w14:paraId="72C87B12" w14:textId="77777777" w:rsidR="00897BD3" w:rsidRPr="00897BD3" w:rsidRDefault="00897BD3" w:rsidP="00897BD3">
      <w:pPr>
        <w:contextualSpacing/>
        <w:jc w:val="both"/>
        <w:rPr>
          <w:rFonts w:ascii="Arial" w:eastAsia="Calibri" w:hAnsi="Arial" w:cs="Arial"/>
          <w:lang w:val="en-IN"/>
        </w:rPr>
      </w:pPr>
      <w:r w:rsidRPr="00897BD3">
        <w:rPr>
          <w:rFonts w:ascii="Arial" w:eastAsia="Calibri" w:hAnsi="Arial" w:cs="Arial"/>
          <w:lang w:val="en-IN"/>
        </w:rPr>
        <w:t>W</w:t>
      </w:r>
      <w:r w:rsidRPr="00897BD3">
        <w:rPr>
          <w:rFonts w:ascii="Arial" w:eastAsia="Calibri" w:hAnsi="Arial" w:cs="Arial"/>
          <w:vertAlign w:val="subscript"/>
          <w:lang w:val="en-IN"/>
        </w:rPr>
        <w:t>2</w:t>
      </w:r>
      <w:r w:rsidRPr="00897BD3">
        <w:rPr>
          <w:rFonts w:ascii="Arial" w:eastAsia="Calibri" w:hAnsi="Arial" w:cs="Arial"/>
          <w:lang w:val="en-IN"/>
        </w:rPr>
        <w:t xml:space="preserve">= weight of empty crucible + original sample, (g) and </w:t>
      </w:r>
    </w:p>
    <w:p w14:paraId="1026542F" w14:textId="77777777" w:rsidR="00897BD3" w:rsidRPr="00897BD3" w:rsidRDefault="00897BD3" w:rsidP="00897BD3">
      <w:pPr>
        <w:contextualSpacing/>
        <w:jc w:val="both"/>
        <w:rPr>
          <w:rFonts w:ascii="Arial" w:eastAsia="Calibri" w:hAnsi="Arial" w:cs="Arial"/>
          <w:lang w:val="en-IN"/>
        </w:rPr>
      </w:pPr>
      <w:r w:rsidRPr="00897BD3">
        <w:rPr>
          <w:rFonts w:ascii="Arial" w:eastAsia="Calibri" w:hAnsi="Arial" w:cs="Arial"/>
          <w:lang w:val="en-IN"/>
        </w:rPr>
        <w:lastRenderedPageBreak/>
        <w:t>W</w:t>
      </w:r>
      <w:r w:rsidRPr="00897BD3">
        <w:rPr>
          <w:rFonts w:ascii="Arial" w:eastAsia="Calibri" w:hAnsi="Arial" w:cs="Arial"/>
          <w:vertAlign w:val="subscript"/>
          <w:lang w:val="en-IN"/>
        </w:rPr>
        <w:t>3</w:t>
      </w:r>
      <w:r w:rsidRPr="00897BD3">
        <w:rPr>
          <w:rFonts w:ascii="Arial" w:eastAsia="Calibri" w:hAnsi="Arial" w:cs="Arial"/>
          <w:lang w:val="en-IN"/>
        </w:rPr>
        <w:t>= weight of empty crucible + ash, (g).</w:t>
      </w:r>
    </w:p>
    <w:p w14:paraId="29783F41" w14:textId="77777777" w:rsidR="00897BD3" w:rsidRDefault="00897BD3" w:rsidP="00897BD3">
      <w:pPr>
        <w:pStyle w:val="Body"/>
        <w:spacing w:after="0"/>
        <w:rPr>
          <w:rFonts w:ascii="Arial" w:hAnsi="Arial" w:cs="Arial"/>
          <w:b/>
          <w:bCs/>
          <w:iCs/>
        </w:rPr>
      </w:pPr>
    </w:p>
    <w:p w14:paraId="051F7297" w14:textId="77777777" w:rsidR="00897BD3" w:rsidRDefault="00897BD3" w:rsidP="00897BD3">
      <w:pPr>
        <w:spacing w:before="100" w:beforeAutospacing="1" w:after="100" w:afterAutospacing="1"/>
        <w:ind w:right="571"/>
        <w:jc w:val="both"/>
        <w:rPr>
          <w:rFonts w:ascii="Arial" w:hAnsi="Arial" w:cs="Arial"/>
          <w:b/>
          <w:bCs/>
          <w:u w:val="single"/>
        </w:rPr>
      </w:pPr>
      <w:r w:rsidRPr="007B7693">
        <w:rPr>
          <w:rFonts w:ascii="Arial" w:hAnsi="Arial" w:cs="Arial"/>
          <w:b/>
          <w:bCs/>
          <w:u w:val="single"/>
        </w:rPr>
        <w:t>2.</w:t>
      </w:r>
      <w:r>
        <w:rPr>
          <w:rFonts w:ascii="Arial" w:hAnsi="Arial" w:cs="Arial"/>
          <w:b/>
          <w:bCs/>
          <w:u w:val="single"/>
        </w:rPr>
        <w:t xml:space="preserve">4.2 </w:t>
      </w:r>
      <w:r w:rsidRPr="00897BD3">
        <w:rPr>
          <w:rFonts w:ascii="Arial" w:hAnsi="Arial" w:cs="Arial"/>
          <w:b/>
          <w:bCs/>
          <w:u w:val="single"/>
        </w:rPr>
        <w:t>Volatile matter (%)</w:t>
      </w:r>
    </w:p>
    <w:p w14:paraId="227BB365" w14:textId="77777777" w:rsidR="00897BD3" w:rsidRPr="00897BD3" w:rsidRDefault="00897BD3" w:rsidP="00897BD3">
      <w:pPr>
        <w:spacing w:before="100" w:beforeAutospacing="1" w:after="100" w:afterAutospacing="1"/>
        <w:ind w:right="571"/>
        <w:jc w:val="both"/>
        <w:rPr>
          <w:rFonts w:ascii="Arial" w:hAnsi="Arial" w:cs="Arial"/>
        </w:rPr>
      </w:pPr>
      <w:r w:rsidRPr="00897BD3">
        <w:rPr>
          <w:rFonts w:ascii="Arial" w:hAnsi="Arial" w:cs="Arial"/>
        </w:rPr>
        <w:t>The volatile matter content of the</w:t>
      </w:r>
      <w:r w:rsidR="007B1818">
        <w:rPr>
          <w:rFonts w:ascii="Arial" w:hAnsi="Arial" w:cs="Arial"/>
        </w:rPr>
        <w:t xml:space="preserve"> biomass samples</w:t>
      </w:r>
      <w:r w:rsidRPr="00897BD3">
        <w:rPr>
          <w:rFonts w:ascii="Arial" w:hAnsi="Arial" w:cs="Arial"/>
        </w:rPr>
        <w:t xml:space="preserve"> was determined using 2 grams of sun-dried material with a particle size of 425 μm, placed in a porcelain crucible. Each sample was initially sun-dried, then subjected to heating in a furnace at 500°C for 10 minutes. After cooling in a desiccator, the samples were </w:t>
      </w:r>
      <w:r w:rsidRPr="000D43F1">
        <w:rPr>
          <w:rFonts w:ascii="Arial" w:hAnsi="Arial" w:cs="Arial"/>
        </w:rPr>
        <w:t>weighed. The percentage of volatile matter (VM) was subsequently calculated using a standard formula (</w:t>
      </w:r>
      <w:r w:rsidRPr="000D43F1">
        <w:rPr>
          <w:rFonts w:ascii="Arial" w:hAnsi="Arial" w:cs="Arial"/>
          <w:lang w:val="en-IN"/>
        </w:rPr>
        <w:t xml:space="preserve">Ogunsola </w:t>
      </w:r>
      <w:r w:rsidRPr="000D43F1">
        <w:rPr>
          <w:rFonts w:ascii="Arial" w:hAnsi="Arial" w:cs="Arial"/>
          <w:i/>
          <w:lang w:val="en-IN"/>
        </w:rPr>
        <w:t>et al.,</w:t>
      </w:r>
      <w:r w:rsidRPr="000D43F1">
        <w:rPr>
          <w:rFonts w:ascii="Arial" w:hAnsi="Arial" w:cs="Arial"/>
          <w:lang w:val="en-IN"/>
        </w:rPr>
        <w:t xml:space="preserve"> 2018)</w:t>
      </w:r>
      <w:r w:rsidRPr="000D43F1">
        <w:rPr>
          <w:rFonts w:ascii="Arial" w:hAnsi="Arial" w:cs="Arial"/>
        </w:rPr>
        <w:t>.</w:t>
      </w:r>
    </w:p>
    <w:tbl>
      <w:tblPr>
        <w:tblpPr w:leftFromText="180" w:rightFromText="180" w:vertAnchor="text" w:horzAnchor="margin" w:tblpXSpec="center" w:tblpY="53"/>
        <w:tblW w:w="0" w:type="auto"/>
        <w:tblLook w:val="04A0" w:firstRow="1" w:lastRow="0" w:firstColumn="1" w:lastColumn="0" w:noHBand="0" w:noVBand="1"/>
      </w:tblPr>
      <w:tblGrid>
        <w:gridCol w:w="2444"/>
        <w:gridCol w:w="724"/>
        <w:gridCol w:w="1897"/>
      </w:tblGrid>
      <w:tr w:rsidR="00897BD3" w:rsidRPr="00897BD3" w14:paraId="3656F117" w14:textId="77777777" w:rsidTr="007B1818">
        <w:trPr>
          <w:trHeight w:val="322"/>
        </w:trPr>
        <w:tc>
          <w:tcPr>
            <w:tcW w:w="2444" w:type="dxa"/>
            <w:vMerge w:val="restart"/>
            <w:vAlign w:val="center"/>
            <w:hideMark/>
          </w:tcPr>
          <w:p w14:paraId="7E9DE76E" w14:textId="77777777" w:rsidR="00897BD3" w:rsidRPr="00897BD3" w:rsidRDefault="00897BD3" w:rsidP="007B1818">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Volatile matter (%) =</w:t>
            </w:r>
          </w:p>
        </w:tc>
        <w:tc>
          <w:tcPr>
            <w:tcW w:w="724" w:type="dxa"/>
            <w:tcBorders>
              <w:bottom w:val="single" w:sz="4" w:space="0" w:color="auto"/>
            </w:tcBorders>
            <w:vAlign w:val="center"/>
            <w:hideMark/>
          </w:tcPr>
          <w:p w14:paraId="0AC45A94" w14:textId="77777777" w:rsidR="00897BD3" w:rsidRPr="00897BD3" w:rsidRDefault="00897BD3" w:rsidP="007B1818">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X</w:t>
            </w:r>
            <w:r w:rsidRPr="00897BD3">
              <w:rPr>
                <w:rFonts w:ascii="Arial" w:eastAsia="Calibri" w:hAnsi="Arial" w:cs="Arial"/>
                <w:vertAlign w:val="subscript"/>
                <w:lang w:val="en-IN"/>
              </w:rPr>
              <w:t xml:space="preserve"> </w:t>
            </w:r>
            <w:r w:rsidRPr="00897BD3">
              <w:rPr>
                <w:rFonts w:ascii="Arial" w:eastAsia="Calibri" w:hAnsi="Arial" w:cs="Arial"/>
                <w:lang w:val="en-IN"/>
              </w:rPr>
              <w:t>- Y</w:t>
            </w:r>
          </w:p>
        </w:tc>
        <w:tc>
          <w:tcPr>
            <w:tcW w:w="1897" w:type="dxa"/>
            <w:vMerge w:val="restart"/>
            <w:tcBorders>
              <w:left w:val="nil"/>
            </w:tcBorders>
            <w:vAlign w:val="center"/>
            <w:hideMark/>
          </w:tcPr>
          <w:p w14:paraId="29D39DBC" w14:textId="77777777" w:rsidR="00897BD3" w:rsidRPr="00897BD3" w:rsidRDefault="00897BD3" w:rsidP="007B1818">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 xml:space="preserve"> × 100</w:t>
            </w:r>
          </w:p>
        </w:tc>
      </w:tr>
      <w:tr w:rsidR="00897BD3" w:rsidRPr="00897BD3" w14:paraId="606D644E" w14:textId="77777777" w:rsidTr="007B1818">
        <w:trPr>
          <w:trHeight w:val="53"/>
        </w:trPr>
        <w:tc>
          <w:tcPr>
            <w:tcW w:w="2444" w:type="dxa"/>
            <w:vMerge/>
            <w:vAlign w:val="center"/>
            <w:hideMark/>
          </w:tcPr>
          <w:p w14:paraId="406BD73F" w14:textId="77777777" w:rsidR="00897BD3" w:rsidRPr="00897BD3" w:rsidRDefault="00897BD3" w:rsidP="007B1818">
            <w:pPr>
              <w:contextualSpacing/>
              <w:jc w:val="both"/>
              <w:rPr>
                <w:rFonts w:ascii="Arial" w:eastAsia="Calibri" w:hAnsi="Arial" w:cs="Arial"/>
                <w:lang w:val="en-IN"/>
              </w:rPr>
            </w:pPr>
          </w:p>
        </w:tc>
        <w:tc>
          <w:tcPr>
            <w:tcW w:w="724" w:type="dxa"/>
            <w:tcBorders>
              <w:top w:val="single" w:sz="4" w:space="0" w:color="auto"/>
            </w:tcBorders>
            <w:vAlign w:val="center"/>
            <w:hideMark/>
          </w:tcPr>
          <w:p w14:paraId="042D6834" w14:textId="77777777" w:rsidR="00897BD3" w:rsidRPr="00897BD3" w:rsidRDefault="00897BD3" w:rsidP="007B1818">
            <w:pPr>
              <w:widowControl w:val="0"/>
              <w:tabs>
                <w:tab w:val="left" w:pos="709"/>
              </w:tabs>
              <w:contextualSpacing/>
              <w:jc w:val="both"/>
              <w:rPr>
                <w:rFonts w:ascii="Arial" w:eastAsia="Calibri" w:hAnsi="Arial" w:cs="Arial"/>
                <w:lang w:val="en-IN"/>
              </w:rPr>
            </w:pPr>
            <w:r w:rsidRPr="00897BD3">
              <w:rPr>
                <w:rFonts w:ascii="Arial" w:eastAsia="Calibri" w:hAnsi="Arial" w:cs="Arial"/>
                <w:lang w:val="en-IN"/>
              </w:rPr>
              <w:t xml:space="preserve">   X</w:t>
            </w:r>
          </w:p>
        </w:tc>
        <w:tc>
          <w:tcPr>
            <w:tcW w:w="1897" w:type="dxa"/>
            <w:vMerge/>
            <w:tcBorders>
              <w:left w:val="nil"/>
            </w:tcBorders>
            <w:vAlign w:val="center"/>
            <w:hideMark/>
          </w:tcPr>
          <w:p w14:paraId="5D033DF9" w14:textId="77777777" w:rsidR="00897BD3" w:rsidRPr="00897BD3" w:rsidRDefault="00897BD3" w:rsidP="007B1818">
            <w:pPr>
              <w:contextualSpacing/>
              <w:jc w:val="both"/>
              <w:rPr>
                <w:rFonts w:ascii="Arial" w:eastAsia="Calibri" w:hAnsi="Arial" w:cs="Arial"/>
                <w:lang w:val="en-IN"/>
              </w:rPr>
            </w:pPr>
          </w:p>
        </w:tc>
      </w:tr>
    </w:tbl>
    <w:p w14:paraId="5FADDEEC" w14:textId="77777777" w:rsidR="00897BD3" w:rsidRDefault="00897BD3" w:rsidP="00897BD3">
      <w:pPr>
        <w:spacing w:before="100" w:beforeAutospacing="1" w:after="100" w:afterAutospacing="1"/>
        <w:ind w:right="571"/>
        <w:jc w:val="both"/>
        <w:rPr>
          <w:rFonts w:ascii="Arial" w:hAnsi="Arial" w:cs="Arial"/>
        </w:rPr>
      </w:pPr>
    </w:p>
    <w:p w14:paraId="2C4DF4BA" w14:textId="77777777" w:rsidR="00897BD3" w:rsidRDefault="00897BD3" w:rsidP="00897BD3">
      <w:pPr>
        <w:spacing w:before="100" w:beforeAutospacing="1" w:after="100" w:afterAutospacing="1"/>
        <w:ind w:right="571"/>
        <w:jc w:val="both"/>
        <w:rPr>
          <w:rFonts w:ascii="Arial" w:hAnsi="Arial" w:cs="Arial"/>
        </w:rPr>
      </w:pPr>
    </w:p>
    <w:p w14:paraId="45B25A1D" w14:textId="77777777" w:rsidR="007B1818" w:rsidRPr="007B1818" w:rsidRDefault="007B1818" w:rsidP="007B1818">
      <w:pPr>
        <w:contextualSpacing/>
        <w:jc w:val="both"/>
        <w:rPr>
          <w:rFonts w:ascii="Arial" w:eastAsia="Calibri" w:hAnsi="Arial" w:cs="Arial"/>
          <w:lang w:val="en-IN"/>
        </w:rPr>
      </w:pPr>
      <w:r w:rsidRPr="007B1818">
        <w:rPr>
          <w:rFonts w:ascii="Arial" w:eastAsia="Calibri" w:hAnsi="Arial" w:cs="Arial"/>
          <w:lang w:val="en-IN"/>
        </w:rPr>
        <w:t xml:space="preserve">Where, </w:t>
      </w:r>
    </w:p>
    <w:p w14:paraId="6637DC81" w14:textId="77777777" w:rsidR="007B1818" w:rsidRPr="007B1818" w:rsidRDefault="007B1818" w:rsidP="007B1818">
      <w:pPr>
        <w:contextualSpacing/>
        <w:jc w:val="both"/>
        <w:rPr>
          <w:rFonts w:ascii="Arial" w:eastAsia="Calibri" w:hAnsi="Arial" w:cs="Arial"/>
          <w:lang w:val="en-IN"/>
        </w:rPr>
      </w:pPr>
      <w:r w:rsidRPr="007B1818">
        <w:rPr>
          <w:rFonts w:ascii="Arial" w:eastAsia="Calibri" w:hAnsi="Arial" w:cs="Arial"/>
          <w:lang w:val="en-IN"/>
        </w:rPr>
        <w:t>X</w:t>
      </w:r>
      <w:r w:rsidRPr="007B1818">
        <w:rPr>
          <w:rFonts w:ascii="Arial" w:eastAsia="Calibri" w:hAnsi="Arial" w:cs="Arial"/>
          <w:vertAlign w:val="subscript"/>
          <w:lang w:val="en-IN"/>
        </w:rPr>
        <w:t xml:space="preserve"> </w:t>
      </w:r>
      <w:r w:rsidRPr="007B1818">
        <w:rPr>
          <w:rFonts w:ascii="Arial" w:eastAsia="Calibri" w:hAnsi="Arial" w:cs="Arial"/>
          <w:lang w:val="en-IN"/>
        </w:rPr>
        <w:t xml:space="preserve">= </w:t>
      </w:r>
      <w:r w:rsidRPr="007B1818">
        <w:rPr>
          <w:rFonts w:ascii="Arial" w:eastAsia="Calibri" w:hAnsi="Arial" w:cs="Arial"/>
        </w:rPr>
        <w:t>weight of the sun-dried sample</w:t>
      </w:r>
    </w:p>
    <w:p w14:paraId="08133621" w14:textId="77777777" w:rsidR="007B1818" w:rsidRPr="007B1818" w:rsidRDefault="007B1818" w:rsidP="007B1818">
      <w:pPr>
        <w:contextualSpacing/>
        <w:jc w:val="both"/>
        <w:rPr>
          <w:rFonts w:ascii="Arial" w:eastAsia="Calibri" w:hAnsi="Arial" w:cs="Arial"/>
          <w:lang w:val="en-IN"/>
        </w:rPr>
      </w:pPr>
      <w:r w:rsidRPr="007B1818">
        <w:rPr>
          <w:rFonts w:ascii="Arial" w:eastAsia="Calibri" w:hAnsi="Arial" w:cs="Arial"/>
          <w:lang w:val="en-IN"/>
        </w:rPr>
        <w:t xml:space="preserve">Y= </w:t>
      </w:r>
      <w:r w:rsidRPr="007B1818">
        <w:rPr>
          <w:rFonts w:ascii="Arial" w:eastAsia="Calibri" w:hAnsi="Arial" w:cs="Arial"/>
        </w:rPr>
        <w:t>weight of the sample after 10 min in the furnace at 500˚C.</w:t>
      </w:r>
    </w:p>
    <w:p w14:paraId="64104DBA" w14:textId="77777777" w:rsidR="007B1818" w:rsidRDefault="007B1818" w:rsidP="00897BD3">
      <w:pPr>
        <w:spacing w:before="100" w:beforeAutospacing="1" w:after="100" w:afterAutospacing="1"/>
        <w:ind w:right="571"/>
        <w:jc w:val="both"/>
        <w:rPr>
          <w:rFonts w:ascii="Arial" w:hAnsi="Arial" w:cs="Arial"/>
        </w:rPr>
      </w:pPr>
    </w:p>
    <w:p w14:paraId="6082CC2F" w14:textId="77777777" w:rsidR="007B1818" w:rsidRDefault="007B1818" w:rsidP="00897BD3">
      <w:pPr>
        <w:spacing w:before="100" w:beforeAutospacing="1" w:after="100" w:afterAutospacing="1"/>
        <w:ind w:right="571"/>
        <w:jc w:val="both"/>
        <w:rPr>
          <w:rFonts w:ascii="Arial" w:hAnsi="Arial" w:cs="Arial"/>
        </w:rPr>
      </w:pPr>
      <w:r w:rsidRPr="007B1818">
        <w:rPr>
          <w:rFonts w:ascii="Arial" w:hAnsi="Arial" w:cs="Arial"/>
          <w:b/>
          <w:bCs/>
          <w:u w:val="single"/>
        </w:rPr>
        <w:t>2.4.</w:t>
      </w:r>
      <w:r>
        <w:rPr>
          <w:rFonts w:ascii="Arial" w:hAnsi="Arial" w:cs="Arial"/>
          <w:b/>
          <w:bCs/>
          <w:u w:val="single"/>
        </w:rPr>
        <w:t>3</w:t>
      </w:r>
      <w:r w:rsidRPr="007B1818">
        <w:rPr>
          <w:rFonts w:ascii="Arial" w:hAnsi="Arial" w:cs="Arial"/>
          <w:b/>
          <w:bCs/>
          <w:u w:val="single"/>
        </w:rPr>
        <w:t xml:space="preserve"> </w:t>
      </w:r>
      <w:r w:rsidR="00B31D3C" w:rsidRPr="00B31D3C">
        <w:rPr>
          <w:rFonts w:ascii="Arial" w:hAnsi="Arial" w:cs="Arial"/>
          <w:b/>
          <w:bCs/>
          <w:u w:val="single"/>
        </w:rPr>
        <w:t>Fixed carbon (%)</w:t>
      </w:r>
    </w:p>
    <w:p w14:paraId="14E00B55" w14:textId="77777777" w:rsidR="00B31D3C" w:rsidRDefault="00B31D3C" w:rsidP="00B31D3C">
      <w:pPr>
        <w:pStyle w:val="Body"/>
        <w:spacing w:after="0"/>
        <w:rPr>
          <w:rFonts w:ascii="Arial" w:hAnsi="Arial" w:cs="Arial"/>
          <w:lang w:val="en-IN"/>
        </w:rPr>
      </w:pPr>
      <w:r w:rsidRPr="00B31D3C">
        <w:rPr>
          <w:rFonts w:ascii="Arial" w:hAnsi="Arial" w:cs="Arial"/>
          <w:lang w:val="en-IN"/>
        </w:rPr>
        <w:t>Fixed carbon is the solid residue that is left over after volatile components burn. As per ASTM D3172-</w:t>
      </w:r>
      <w:r w:rsidRPr="000D43F1">
        <w:rPr>
          <w:rFonts w:ascii="Arial" w:hAnsi="Arial" w:cs="Arial"/>
          <w:lang w:val="en-IN"/>
        </w:rPr>
        <w:t>13 (ASTM International, 2021), the fixed carbon</w:t>
      </w:r>
      <w:r w:rsidRPr="00B31D3C">
        <w:rPr>
          <w:rFonts w:ascii="Arial" w:hAnsi="Arial" w:cs="Arial"/>
          <w:lang w:val="en-IN"/>
        </w:rPr>
        <w:t xml:space="preserve"> content was computed by deducting the initial mass of the sample from the percentages of moisture, volatile matter, and ash </w:t>
      </w:r>
      <w:r w:rsidRPr="000D43F1">
        <w:rPr>
          <w:rFonts w:ascii="Arial" w:hAnsi="Arial" w:cs="Arial"/>
          <w:lang w:val="en-IN"/>
        </w:rPr>
        <w:t xml:space="preserve">content </w:t>
      </w:r>
      <w:r w:rsidRPr="000D43F1">
        <w:rPr>
          <w:rFonts w:ascii="Arial" w:hAnsi="Arial" w:cs="Arial"/>
        </w:rPr>
        <w:t>(</w:t>
      </w:r>
      <w:r w:rsidRPr="000D43F1">
        <w:rPr>
          <w:rFonts w:ascii="Arial" w:hAnsi="Arial" w:cs="Arial"/>
          <w:lang w:val="en-IN"/>
        </w:rPr>
        <w:t xml:space="preserve">Ogunsola </w:t>
      </w:r>
      <w:r w:rsidRPr="000D43F1">
        <w:rPr>
          <w:rFonts w:ascii="Arial" w:hAnsi="Arial" w:cs="Arial"/>
          <w:i/>
          <w:lang w:val="en-IN"/>
        </w:rPr>
        <w:t>et al.,</w:t>
      </w:r>
      <w:r w:rsidRPr="000D43F1">
        <w:rPr>
          <w:rFonts w:ascii="Arial" w:hAnsi="Arial" w:cs="Arial"/>
          <w:lang w:val="en-IN"/>
        </w:rPr>
        <w:t xml:space="preserve"> 2018).</w:t>
      </w:r>
      <w:r w:rsidRPr="00B31D3C">
        <w:rPr>
          <w:rFonts w:ascii="Arial" w:hAnsi="Arial" w:cs="Arial"/>
          <w:lang w:val="en-IN"/>
        </w:rPr>
        <w:t xml:space="preserve"> </w:t>
      </w:r>
    </w:p>
    <w:p w14:paraId="721F70B3" w14:textId="77777777" w:rsidR="00B31D3C" w:rsidRDefault="00B31D3C" w:rsidP="00B31D3C">
      <w:pPr>
        <w:pStyle w:val="Body"/>
        <w:spacing w:after="0"/>
        <w:rPr>
          <w:rFonts w:ascii="Arial" w:hAnsi="Arial" w:cs="Arial"/>
          <w:lang w:val="en-IN"/>
        </w:rPr>
      </w:pPr>
    </w:p>
    <w:p w14:paraId="3B338567" w14:textId="77777777" w:rsidR="00B31D3C" w:rsidRDefault="00B31D3C" w:rsidP="00B31D3C">
      <w:pPr>
        <w:pStyle w:val="Body"/>
        <w:jc w:val="center"/>
        <w:rPr>
          <w:rFonts w:ascii="Arial" w:hAnsi="Arial" w:cs="Arial"/>
          <w:lang w:val="en-IN"/>
        </w:rPr>
      </w:pPr>
      <w:r w:rsidRPr="00B31D3C">
        <w:rPr>
          <w:rFonts w:ascii="Arial" w:hAnsi="Arial" w:cs="Arial"/>
          <w:lang w:val="en-IN"/>
        </w:rPr>
        <w:t>Fixed carbon (%) = 100 – % MC – % AC – % VM</w:t>
      </w:r>
    </w:p>
    <w:p w14:paraId="42919C5B"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 xml:space="preserve">Where, </w:t>
      </w:r>
    </w:p>
    <w:p w14:paraId="67282406"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MC % = Moisture content %</w:t>
      </w:r>
    </w:p>
    <w:p w14:paraId="09FAF9A3"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AC % = Ash content %</w:t>
      </w:r>
    </w:p>
    <w:p w14:paraId="7C479490"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VM % = Volatile matter %</w:t>
      </w:r>
    </w:p>
    <w:p w14:paraId="611B5AE9" w14:textId="77777777" w:rsidR="00B31D3C" w:rsidRDefault="00B31D3C" w:rsidP="00B31D3C">
      <w:pPr>
        <w:pStyle w:val="Body"/>
        <w:spacing w:after="0"/>
        <w:rPr>
          <w:rFonts w:ascii="Arial" w:hAnsi="Arial" w:cs="Arial"/>
          <w:lang w:val="en-IN"/>
        </w:rPr>
      </w:pPr>
    </w:p>
    <w:p w14:paraId="717B8D8F" w14:textId="77777777" w:rsidR="00B31D3C" w:rsidRPr="00B31D3C" w:rsidRDefault="00B31D3C" w:rsidP="00B31D3C">
      <w:pPr>
        <w:spacing w:before="100" w:beforeAutospacing="1" w:after="100" w:afterAutospacing="1"/>
        <w:ind w:right="571"/>
        <w:jc w:val="both"/>
        <w:rPr>
          <w:rFonts w:ascii="Arial" w:hAnsi="Arial" w:cs="Arial"/>
          <w:lang w:val="en-IN"/>
        </w:rPr>
      </w:pPr>
      <w:r w:rsidRPr="007B1818">
        <w:rPr>
          <w:rFonts w:ascii="Arial" w:hAnsi="Arial" w:cs="Arial"/>
          <w:b/>
          <w:bCs/>
          <w:u w:val="single"/>
        </w:rPr>
        <w:t>2.4.</w:t>
      </w:r>
      <w:r>
        <w:rPr>
          <w:rFonts w:ascii="Arial" w:hAnsi="Arial" w:cs="Arial"/>
          <w:b/>
          <w:bCs/>
          <w:u w:val="single"/>
        </w:rPr>
        <w:t>4</w:t>
      </w:r>
      <w:r w:rsidRPr="007B1818">
        <w:rPr>
          <w:rFonts w:ascii="Arial" w:hAnsi="Arial" w:cs="Arial"/>
          <w:b/>
          <w:bCs/>
          <w:u w:val="single"/>
        </w:rPr>
        <w:t xml:space="preserve"> </w:t>
      </w:r>
      <w:r w:rsidRPr="00B31D3C">
        <w:rPr>
          <w:rFonts w:ascii="Arial" w:hAnsi="Arial" w:cs="Arial"/>
          <w:b/>
          <w:bCs/>
          <w:u w:val="single"/>
        </w:rPr>
        <w:t>Calorific value</w:t>
      </w:r>
    </w:p>
    <w:p w14:paraId="2BF29CE3" w14:textId="77777777" w:rsidR="00B31D3C" w:rsidRDefault="00B31D3C" w:rsidP="00B31D3C">
      <w:pPr>
        <w:pStyle w:val="Body"/>
        <w:spacing w:after="0"/>
        <w:rPr>
          <w:rFonts w:ascii="Arial" w:hAnsi="Arial" w:cs="Arial"/>
          <w:lang w:val="en-IN"/>
        </w:rPr>
      </w:pPr>
      <w:r w:rsidRPr="00B31D3C">
        <w:rPr>
          <w:rFonts w:ascii="Arial" w:hAnsi="Arial" w:cs="Arial"/>
          <w:lang w:val="en-IN"/>
        </w:rPr>
        <w:t>A bomb calorimeter was used to calculate the calorific value of the sample in accordance with ASTM D5865</w:t>
      </w:r>
      <w:r w:rsidRPr="000D43F1">
        <w:rPr>
          <w:rFonts w:ascii="Arial" w:hAnsi="Arial" w:cs="Arial"/>
          <w:lang w:val="en-IN"/>
        </w:rPr>
        <w:t>-19 (ASTM International, 2019) standard</w:t>
      </w:r>
      <w:r w:rsidRPr="00B31D3C">
        <w:rPr>
          <w:rFonts w:ascii="Arial" w:hAnsi="Arial" w:cs="Arial"/>
          <w:lang w:val="en-IN"/>
        </w:rPr>
        <w:t xml:space="preserve"> protocol. Each sample weighted between 0.5 and 1 gram was put in a crucible, submerged in distilled water within the bomb calorimeter. The calorific value was recorded in megajoules per kilogram (MJ kg</w:t>
      </w:r>
      <w:r w:rsidRPr="00B31D3C">
        <w:rPr>
          <w:rFonts w:ascii="Arial" w:hAnsi="Arial" w:cs="Arial"/>
          <w:vertAlign w:val="superscript"/>
          <w:lang w:val="en-IN"/>
        </w:rPr>
        <w:t>-1</w:t>
      </w:r>
      <w:r w:rsidRPr="00B31D3C">
        <w:rPr>
          <w:rFonts w:ascii="Arial" w:hAnsi="Arial" w:cs="Arial"/>
          <w:lang w:val="en-IN"/>
        </w:rPr>
        <w:t>) of the biomass sample.</w:t>
      </w:r>
    </w:p>
    <w:p w14:paraId="157986B6" w14:textId="77777777" w:rsidR="00B31D3C" w:rsidRPr="00B31D3C" w:rsidRDefault="00B31D3C" w:rsidP="00B31D3C">
      <w:pPr>
        <w:spacing w:before="100" w:beforeAutospacing="1" w:after="100" w:afterAutospacing="1"/>
        <w:ind w:right="571"/>
        <w:jc w:val="both"/>
        <w:rPr>
          <w:rFonts w:ascii="Arial" w:hAnsi="Arial" w:cs="Arial"/>
          <w:lang w:val="en-IN"/>
        </w:rPr>
      </w:pPr>
      <w:r w:rsidRPr="007B1818">
        <w:rPr>
          <w:rFonts w:ascii="Arial" w:hAnsi="Arial" w:cs="Arial"/>
          <w:b/>
          <w:bCs/>
          <w:u w:val="single"/>
        </w:rPr>
        <w:t>2.4.</w:t>
      </w:r>
      <w:r>
        <w:rPr>
          <w:rFonts w:ascii="Arial" w:hAnsi="Arial" w:cs="Arial"/>
          <w:b/>
          <w:bCs/>
          <w:u w:val="single"/>
        </w:rPr>
        <w:t>5</w:t>
      </w:r>
      <w:r w:rsidRPr="007B1818">
        <w:rPr>
          <w:rFonts w:ascii="Arial" w:hAnsi="Arial" w:cs="Arial"/>
          <w:b/>
          <w:bCs/>
          <w:u w:val="single"/>
        </w:rPr>
        <w:t xml:space="preserve"> </w:t>
      </w:r>
      <w:r w:rsidRPr="00B31D3C">
        <w:rPr>
          <w:rFonts w:ascii="Arial" w:hAnsi="Arial" w:cs="Arial"/>
          <w:b/>
          <w:bCs/>
          <w:u w:val="single"/>
        </w:rPr>
        <w:t>Higher heating value</w:t>
      </w:r>
    </w:p>
    <w:p w14:paraId="7231AA36" w14:textId="77777777" w:rsidR="00B31D3C" w:rsidRPr="00B31D3C" w:rsidRDefault="00B31D3C" w:rsidP="00B31D3C">
      <w:pPr>
        <w:pStyle w:val="Body"/>
        <w:rPr>
          <w:rFonts w:ascii="Arial" w:hAnsi="Arial" w:cs="Arial"/>
        </w:rPr>
      </w:pPr>
      <w:r w:rsidRPr="00B31D3C">
        <w:rPr>
          <w:rFonts w:ascii="Arial" w:hAnsi="Arial" w:cs="Arial"/>
        </w:rPr>
        <w:t xml:space="preserve">An empirical correlation based on proximate analysis was used to determine the higher heating value of </w:t>
      </w:r>
      <w:r w:rsidRPr="000D43F1">
        <w:rPr>
          <w:rFonts w:ascii="Arial" w:hAnsi="Arial" w:cs="Arial"/>
        </w:rPr>
        <w:t xml:space="preserve">biomass </w:t>
      </w:r>
      <w:r w:rsidRPr="000D43F1">
        <w:rPr>
          <w:rFonts w:ascii="Arial" w:hAnsi="Arial" w:cs="Arial"/>
        </w:rPr>
        <w:fldChar w:fldCharType="begin"/>
      </w:r>
      <w:r w:rsidRPr="000D43F1">
        <w:rPr>
          <w:rFonts w:ascii="Arial" w:hAnsi="Arial" w:cs="Arial"/>
        </w:rPr>
        <w:instrText xml:space="preserve"> ADDIN EN.CITE &lt;EndNote&gt;&lt;Cite&gt;&lt;Author&gt;Yin&lt;/Author&gt;&lt;Year&gt;2011&lt;/Year&gt;&lt;RecNum&gt;384&lt;/RecNum&gt;&lt;DisplayText&gt;(Yin, 2011)&lt;/DisplayText&gt;&lt;record&gt;&lt;rec-number&gt;384&lt;/rec-number&gt;&lt;foreign-keys&gt;&lt;key app="EN" db-id="2aaefe2xje5dwyestdopwsp32fwavaxrv9zx" timestamp="1726315171"&gt;384&lt;/key&gt;&lt;key app="ENWeb" db-id=""&gt;0&lt;/key&gt;&lt;/foreign-keys&gt;&lt;ref-type name="Journal Article"&gt;17&lt;/ref-type&gt;&lt;contributors&gt;&lt;authors&gt;&lt;author&gt;Yin, CY&lt;/author&gt;&lt;/authors&gt;&lt;/contributors&gt;&lt;titles&gt;&lt;title&gt;Prediction of higher heating values of biomass from proximate and ultimate analyses&lt;/title&gt;&lt;secondary-title&gt;Fuel&lt;/secondary-title&gt;&lt;/titles&gt;&lt;periodical&gt;&lt;full-title&gt;Fuel&lt;/full-title&gt;&lt;/periodical&gt;&lt;pages&gt;1128-1132&lt;/pages&gt;&lt;volume&gt;&lt;style face="bold" font="default" size="100%"&gt;90&lt;/style&gt;&lt;/volume&gt;&lt;number&gt;3&lt;/number&gt;&lt;dates&gt;&lt;year&gt;2011&lt;/year&gt;&lt;/dates&gt;&lt;isbn&gt;0016-2361&lt;/isbn&gt;&lt;urls&gt;&lt;/urls&gt;&lt;/record&gt;&lt;/Cite&gt;&lt;/EndNote&gt;</w:instrText>
      </w:r>
      <w:r w:rsidRPr="000D43F1">
        <w:rPr>
          <w:rFonts w:ascii="Arial" w:hAnsi="Arial" w:cs="Arial"/>
        </w:rPr>
        <w:fldChar w:fldCharType="separate"/>
      </w:r>
      <w:r w:rsidRPr="000D43F1">
        <w:rPr>
          <w:rFonts w:ascii="Arial" w:hAnsi="Arial" w:cs="Arial"/>
        </w:rPr>
        <w:t>(Yin, 2011)</w:t>
      </w:r>
      <w:r w:rsidRPr="000D43F1">
        <w:rPr>
          <w:rFonts w:ascii="Arial" w:hAnsi="Arial" w:cs="Arial"/>
        </w:rPr>
        <w:fldChar w:fldCharType="end"/>
      </w:r>
      <w:r w:rsidRPr="000D43F1">
        <w:rPr>
          <w:rFonts w:ascii="Arial" w:hAnsi="Arial" w:cs="Arial"/>
        </w:rPr>
        <w:t>. The linear regression method was utilised to establish this correlation.</w:t>
      </w:r>
    </w:p>
    <w:p w14:paraId="765BDF5C" w14:textId="77777777" w:rsidR="00B31D3C" w:rsidRDefault="00B31D3C" w:rsidP="00B31D3C">
      <w:pPr>
        <w:pStyle w:val="Body"/>
        <w:jc w:val="center"/>
        <w:rPr>
          <w:rFonts w:ascii="Arial" w:hAnsi="Arial" w:cs="Arial"/>
          <w:lang w:val="en-IN"/>
        </w:rPr>
      </w:pPr>
      <w:r w:rsidRPr="00B31D3C">
        <w:rPr>
          <w:rFonts w:ascii="Arial" w:hAnsi="Arial" w:cs="Arial"/>
          <w:lang w:val="en-IN"/>
        </w:rPr>
        <w:lastRenderedPageBreak/>
        <w:t>HHV = 0.1905VM + 0.2521FC</w:t>
      </w:r>
    </w:p>
    <w:p w14:paraId="3D94D577"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 xml:space="preserve">Where, </w:t>
      </w:r>
    </w:p>
    <w:p w14:paraId="11CE189D"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 xml:space="preserve">VM = Volatile matter </w:t>
      </w:r>
    </w:p>
    <w:p w14:paraId="2A930578" w14:textId="77777777" w:rsidR="00B31D3C" w:rsidRPr="00B31D3C" w:rsidRDefault="00B31D3C" w:rsidP="00B31D3C">
      <w:pPr>
        <w:contextualSpacing/>
        <w:jc w:val="both"/>
        <w:rPr>
          <w:rFonts w:ascii="Arial" w:eastAsia="Calibri" w:hAnsi="Arial" w:cs="Arial"/>
          <w:lang w:val="en-IN"/>
        </w:rPr>
      </w:pPr>
      <w:r w:rsidRPr="00B31D3C">
        <w:rPr>
          <w:rFonts w:ascii="Arial" w:eastAsia="Calibri" w:hAnsi="Arial" w:cs="Arial"/>
          <w:lang w:val="en-IN"/>
        </w:rPr>
        <w:t>FC = Fixed carbon</w:t>
      </w:r>
    </w:p>
    <w:p w14:paraId="65459C8A" w14:textId="77777777" w:rsidR="00B31D3C" w:rsidRPr="00B31D3C" w:rsidRDefault="00B31D3C" w:rsidP="00B31D3C">
      <w:pPr>
        <w:spacing w:before="100" w:beforeAutospacing="1" w:after="100" w:afterAutospacing="1"/>
        <w:ind w:right="571"/>
        <w:jc w:val="both"/>
        <w:rPr>
          <w:rFonts w:ascii="Arial" w:hAnsi="Arial" w:cs="Arial"/>
          <w:lang w:val="en-IN"/>
        </w:rPr>
      </w:pPr>
      <w:r w:rsidRPr="007B1818">
        <w:rPr>
          <w:rFonts w:ascii="Arial" w:hAnsi="Arial" w:cs="Arial"/>
          <w:b/>
          <w:bCs/>
          <w:u w:val="single"/>
        </w:rPr>
        <w:t>2.4.</w:t>
      </w:r>
      <w:r>
        <w:rPr>
          <w:rFonts w:ascii="Arial" w:hAnsi="Arial" w:cs="Arial"/>
          <w:b/>
          <w:bCs/>
          <w:u w:val="single"/>
        </w:rPr>
        <w:t>6</w:t>
      </w:r>
      <w:r w:rsidRPr="007B1818">
        <w:rPr>
          <w:rFonts w:ascii="Arial" w:hAnsi="Arial" w:cs="Arial"/>
          <w:b/>
          <w:bCs/>
          <w:u w:val="single"/>
        </w:rPr>
        <w:t xml:space="preserve"> </w:t>
      </w:r>
      <w:r w:rsidRPr="00B31D3C">
        <w:rPr>
          <w:rFonts w:ascii="Arial" w:hAnsi="Arial" w:cs="Arial"/>
          <w:b/>
          <w:bCs/>
          <w:u w:val="single"/>
        </w:rPr>
        <w:t>Fuel value index (FVI)</w:t>
      </w:r>
    </w:p>
    <w:p w14:paraId="3A935311" w14:textId="77777777" w:rsidR="00B31D3C" w:rsidRPr="00B31D3C" w:rsidRDefault="00B31D3C" w:rsidP="00B31D3C">
      <w:pPr>
        <w:pStyle w:val="Body"/>
        <w:spacing w:after="0"/>
        <w:rPr>
          <w:rFonts w:ascii="Arial" w:hAnsi="Arial" w:cs="Arial"/>
        </w:rPr>
      </w:pPr>
      <w:r w:rsidRPr="00B31D3C">
        <w:rPr>
          <w:rFonts w:ascii="Arial" w:hAnsi="Arial" w:cs="Arial"/>
        </w:rPr>
        <w:t xml:space="preserve">The </w:t>
      </w:r>
      <w:r w:rsidRPr="000D43F1">
        <w:rPr>
          <w:rFonts w:ascii="Arial" w:hAnsi="Arial" w:cs="Arial"/>
        </w:rPr>
        <w:t xml:space="preserve">methodology used by Deka </w:t>
      </w:r>
      <w:r w:rsidRPr="000D43F1">
        <w:rPr>
          <w:rFonts w:ascii="Arial" w:hAnsi="Arial" w:cs="Arial"/>
          <w:i/>
        </w:rPr>
        <w:t xml:space="preserve">et al., </w:t>
      </w:r>
      <w:r w:rsidRPr="000D43F1">
        <w:rPr>
          <w:rFonts w:ascii="Arial" w:hAnsi="Arial" w:cs="Arial"/>
        </w:rPr>
        <w:t>(2007) was used to calculate the fuelwood value index. The moisture content</w:t>
      </w:r>
      <w:r w:rsidRPr="00B31D3C">
        <w:rPr>
          <w:rFonts w:ascii="Arial" w:hAnsi="Arial" w:cs="Arial"/>
        </w:rPr>
        <w:t xml:space="preserve"> is viewed as a negative element in this strategy, while the calorific value and density are considered favourable considerations. The calculatio</w:t>
      </w:r>
      <w:r>
        <w:rPr>
          <w:rFonts w:ascii="Arial" w:hAnsi="Arial" w:cs="Arial"/>
        </w:rPr>
        <w:t>n was performed using a standard formula</w:t>
      </w:r>
      <w:r w:rsidRPr="00B31D3C">
        <w:rPr>
          <w:rFonts w:ascii="Arial" w:hAnsi="Arial" w:cs="Arial"/>
        </w:rPr>
        <w:t>.</w:t>
      </w:r>
    </w:p>
    <w:tbl>
      <w:tblPr>
        <w:tblpPr w:leftFromText="180" w:rightFromText="180" w:vertAnchor="text" w:horzAnchor="margin" w:tblpXSpec="center" w:tblpY="76"/>
        <w:tblOverlap w:val="never"/>
        <w:tblW w:w="0" w:type="auto"/>
        <w:tblLook w:val="04A0" w:firstRow="1" w:lastRow="0" w:firstColumn="1" w:lastColumn="0" w:noHBand="0" w:noVBand="1"/>
      </w:tblPr>
      <w:tblGrid>
        <w:gridCol w:w="828"/>
        <w:gridCol w:w="4232"/>
      </w:tblGrid>
      <w:tr w:rsidR="00B31D3C" w:rsidRPr="00B31D3C" w14:paraId="5698CB9C" w14:textId="77777777" w:rsidTr="009263D6">
        <w:trPr>
          <w:trHeight w:val="290"/>
        </w:trPr>
        <w:tc>
          <w:tcPr>
            <w:tcW w:w="828" w:type="dxa"/>
            <w:vMerge w:val="restart"/>
            <w:vAlign w:val="center"/>
            <w:hideMark/>
          </w:tcPr>
          <w:p w14:paraId="40E69375" w14:textId="77777777" w:rsidR="00B31D3C" w:rsidRPr="00B31D3C" w:rsidRDefault="00B31D3C" w:rsidP="00B31D3C">
            <w:pPr>
              <w:widowControl w:val="0"/>
              <w:tabs>
                <w:tab w:val="left" w:pos="709"/>
              </w:tabs>
              <w:contextualSpacing/>
              <w:jc w:val="both"/>
              <w:rPr>
                <w:rFonts w:ascii="Arial" w:eastAsia="Calibri" w:hAnsi="Arial" w:cs="Arial"/>
                <w:lang w:val="en-IN"/>
              </w:rPr>
            </w:pPr>
            <w:r w:rsidRPr="00B31D3C">
              <w:rPr>
                <w:rFonts w:ascii="Arial" w:eastAsia="Calibri" w:hAnsi="Arial" w:cs="Arial"/>
                <w:lang w:val="en-IN"/>
              </w:rPr>
              <w:t>FVI =</w:t>
            </w:r>
          </w:p>
        </w:tc>
        <w:tc>
          <w:tcPr>
            <w:tcW w:w="4232" w:type="dxa"/>
            <w:tcBorders>
              <w:bottom w:val="single" w:sz="4" w:space="0" w:color="auto"/>
            </w:tcBorders>
            <w:vAlign w:val="center"/>
            <w:hideMark/>
          </w:tcPr>
          <w:p w14:paraId="68B3D900" w14:textId="77777777" w:rsidR="00B31D3C" w:rsidRPr="00B31D3C" w:rsidRDefault="00B31D3C" w:rsidP="00B31D3C">
            <w:pPr>
              <w:widowControl w:val="0"/>
              <w:tabs>
                <w:tab w:val="left" w:pos="709"/>
              </w:tabs>
              <w:contextualSpacing/>
              <w:jc w:val="center"/>
              <w:rPr>
                <w:rFonts w:ascii="Arial" w:eastAsia="Calibri" w:hAnsi="Arial" w:cs="Arial"/>
                <w:lang w:val="en-IN"/>
              </w:rPr>
            </w:pPr>
            <w:r w:rsidRPr="00B31D3C">
              <w:rPr>
                <w:rFonts w:ascii="Arial" w:eastAsia="Calibri" w:hAnsi="Arial" w:cs="Arial"/>
                <w:lang w:val="en-IN"/>
              </w:rPr>
              <w:t>Calorific value (KJ g</w:t>
            </w:r>
            <w:r w:rsidRPr="00B31D3C">
              <w:rPr>
                <w:rFonts w:ascii="Arial" w:eastAsia="Calibri" w:hAnsi="Arial" w:cs="Arial"/>
                <w:vertAlign w:val="superscript"/>
                <w:lang w:val="en-IN"/>
              </w:rPr>
              <w:t>-1</w:t>
            </w:r>
            <w:r w:rsidRPr="00B31D3C">
              <w:rPr>
                <w:rFonts w:ascii="Arial" w:eastAsia="Calibri" w:hAnsi="Arial" w:cs="Arial"/>
                <w:lang w:val="en-IN"/>
              </w:rPr>
              <w:t>) × Density (g cc</w:t>
            </w:r>
            <w:r w:rsidRPr="00B31D3C">
              <w:rPr>
                <w:rFonts w:ascii="Arial" w:eastAsia="Calibri" w:hAnsi="Arial" w:cs="Arial"/>
                <w:vertAlign w:val="superscript"/>
                <w:lang w:val="en-IN"/>
              </w:rPr>
              <w:t>-1</w:t>
            </w:r>
            <w:r w:rsidRPr="00B31D3C">
              <w:rPr>
                <w:rFonts w:ascii="Arial" w:eastAsia="Calibri" w:hAnsi="Arial" w:cs="Arial"/>
                <w:lang w:val="en-IN"/>
              </w:rPr>
              <w:t>)</w:t>
            </w:r>
          </w:p>
        </w:tc>
      </w:tr>
      <w:tr w:rsidR="00B31D3C" w:rsidRPr="00B31D3C" w14:paraId="716DEBA9" w14:textId="77777777" w:rsidTr="009263D6">
        <w:trPr>
          <w:trHeight w:val="142"/>
        </w:trPr>
        <w:tc>
          <w:tcPr>
            <w:tcW w:w="828" w:type="dxa"/>
            <w:vMerge/>
            <w:vAlign w:val="center"/>
            <w:hideMark/>
          </w:tcPr>
          <w:p w14:paraId="3EC80E1E" w14:textId="77777777" w:rsidR="00B31D3C" w:rsidRPr="00B31D3C" w:rsidRDefault="00B31D3C" w:rsidP="00B31D3C">
            <w:pPr>
              <w:contextualSpacing/>
              <w:jc w:val="both"/>
              <w:rPr>
                <w:rFonts w:ascii="Arial" w:eastAsia="Calibri" w:hAnsi="Arial" w:cs="Arial"/>
                <w:lang w:val="en-IN"/>
              </w:rPr>
            </w:pPr>
          </w:p>
        </w:tc>
        <w:tc>
          <w:tcPr>
            <w:tcW w:w="4232" w:type="dxa"/>
            <w:tcBorders>
              <w:top w:val="single" w:sz="4" w:space="0" w:color="auto"/>
            </w:tcBorders>
            <w:vAlign w:val="center"/>
            <w:hideMark/>
          </w:tcPr>
          <w:p w14:paraId="1BD264B3" w14:textId="77777777" w:rsidR="00B31D3C" w:rsidRPr="00B31D3C" w:rsidRDefault="00B31D3C" w:rsidP="00B31D3C">
            <w:pPr>
              <w:widowControl w:val="0"/>
              <w:tabs>
                <w:tab w:val="left" w:pos="709"/>
              </w:tabs>
              <w:contextualSpacing/>
              <w:jc w:val="center"/>
              <w:rPr>
                <w:rFonts w:ascii="Arial" w:eastAsia="Calibri" w:hAnsi="Arial" w:cs="Arial"/>
                <w:lang w:val="en-IN"/>
              </w:rPr>
            </w:pPr>
            <w:r w:rsidRPr="00B31D3C">
              <w:rPr>
                <w:rFonts w:ascii="Arial" w:eastAsia="Calibri" w:hAnsi="Arial" w:cs="Arial"/>
                <w:lang w:val="en-IN"/>
              </w:rPr>
              <w:t>Ash content (g g</w:t>
            </w:r>
            <w:r w:rsidRPr="00B31D3C">
              <w:rPr>
                <w:rFonts w:ascii="Arial" w:eastAsia="Calibri" w:hAnsi="Arial" w:cs="Arial"/>
                <w:vertAlign w:val="superscript"/>
                <w:lang w:val="en-IN"/>
              </w:rPr>
              <w:t>-1</w:t>
            </w:r>
            <w:r w:rsidRPr="00B31D3C">
              <w:rPr>
                <w:rFonts w:ascii="Arial" w:eastAsia="Calibri" w:hAnsi="Arial" w:cs="Arial"/>
                <w:lang w:val="en-IN"/>
              </w:rPr>
              <w:t>)</w:t>
            </w:r>
          </w:p>
        </w:tc>
      </w:tr>
    </w:tbl>
    <w:p w14:paraId="20F69AEC" w14:textId="77777777" w:rsidR="00B31D3C" w:rsidRDefault="00B31D3C" w:rsidP="00B31D3C">
      <w:pPr>
        <w:pStyle w:val="Body"/>
        <w:spacing w:after="0"/>
        <w:rPr>
          <w:rFonts w:ascii="Arial" w:hAnsi="Arial" w:cs="Arial"/>
        </w:rPr>
      </w:pPr>
    </w:p>
    <w:p w14:paraId="2FA21232" w14:textId="77777777" w:rsidR="00B31D3C" w:rsidRDefault="00B31D3C" w:rsidP="00B31D3C">
      <w:pPr>
        <w:pStyle w:val="Body"/>
        <w:spacing w:after="0"/>
        <w:rPr>
          <w:rFonts w:ascii="Arial" w:hAnsi="Arial" w:cs="Arial"/>
        </w:rPr>
      </w:pPr>
    </w:p>
    <w:p w14:paraId="77A0E66C" w14:textId="77777777" w:rsidR="00B31D3C" w:rsidRDefault="00B31D3C" w:rsidP="00B31D3C">
      <w:pPr>
        <w:pStyle w:val="Body"/>
        <w:spacing w:after="0"/>
        <w:rPr>
          <w:rFonts w:ascii="Arial" w:hAnsi="Arial" w:cs="Arial"/>
        </w:rPr>
      </w:pPr>
    </w:p>
    <w:p w14:paraId="72B4AA67" w14:textId="77777777" w:rsidR="00A04158" w:rsidRPr="00A04158" w:rsidRDefault="00A04158" w:rsidP="00A04158">
      <w:pPr>
        <w:pStyle w:val="Body"/>
        <w:spacing w:before="240"/>
        <w:rPr>
          <w:rFonts w:ascii="Arial" w:hAnsi="Arial" w:cs="Arial"/>
          <w:b/>
          <w:bCs/>
          <w:iCs/>
          <w:sz w:val="22"/>
        </w:rPr>
      </w:pPr>
      <w:r>
        <w:rPr>
          <w:rFonts w:ascii="Arial" w:hAnsi="Arial" w:cs="Arial"/>
          <w:b/>
          <w:caps/>
          <w:sz w:val="22"/>
        </w:rPr>
        <w:t xml:space="preserve">2.5 </w:t>
      </w:r>
      <w:r w:rsidRPr="00A04158">
        <w:rPr>
          <w:rFonts w:ascii="Arial" w:hAnsi="Arial" w:cs="Arial"/>
          <w:b/>
          <w:bCs/>
          <w:iCs/>
          <w:sz w:val="22"/>
        </w:rPr>
        <w:t>Principal Component Analysis (PCA)</w:t>
      </w:r>
    </w:p>
    <w:p w14:paraId="17FA2449" w14:textId="77777777" w:rsidR="00A04158" w:rsidRPr="00A04158" w:rsidRDefault="00A04158" w:rsidP="00A04158">
      <w:pPr>
        <w:pStyle w:val="Body"/>
        <w:spacing w:after="0"/>
        <w:rPr>
          <w:rFonts w:ascii="Arial" w:hAnsi="Arial" w:cs="Arial"/>
        </w:rPr>
      </w:pPr>
      <w:r w:rsidRPr="00A04158">
        <w:rPr>
          <w:rFonts w:ascii="Arial" w:hAnsi="Arial" w:cs="Arial"/>
        </w:rPr>
        <w:t>Principal Components Analysis (PCA) was conducted using xlstat version 2024 software to determine the number of clusters and identify variation patterns. The PCA calculation was performed using the given equation.</w:t>
      </w:r>
    </w:p>
    <w:p w14:paraId="724EC987" w14:textId="77777777" w:rsidR="00A04158" w:rsidRPr="00A04158" w:rsidRDefault="00A04158" w:rsidP="00A04158">
      <w:pPr>
        <w:pStyle w:val="Body"/>
        <w:spacing w:after="0"/>
        <w:rPr>
          <w:rFonts w:ascii="Arial" w:hAnsi="Arial" w:cs="Arial"/>
        </w:rPr>
      </w:pPr>
      <w:r w:rsidRPr="00A04158">
        <w:rPr>
          <w:rFonts w:ascii="Arial" w:hAnsi="Arial" w:cs="Arial"/>
        </w:rPr>
        <w:t xml:space="preserve">                                                   PCA = </w:t>
      </w:r>
      <m:oMath>
        <m:nary>
          <m:naryPr>
            <m:chr m:val="∑"/>
            <m:limLoc m:val="undOvr"/>
            <m:subHide m:val="1"/>
            <m:supHide m:val="1"/>
            <m:ctrlPr>
              <w:rPr>
                <w:rFonts w:ascii="Cambria Math" w:hAnsi="Cambria Math" w:cs="Arial"/>
                <w:i/>
              </w:rPr>
            </m:ctrlPr>
          </m:naryPr>
          <m:sub/>
          <m:sup/>
          <m:e>
            <m:r>
              <m:rPr>
                <m:nor/>
              </m:rPr>
              <w:rPr>
                <w:rFonts w:ascii="Arial" w:hAnsi="Arial" w:cs="Arial"/>
              </w:rPr>
              <m:t>a j X j.</m:t>
            </m:r>
          </m:e>
        </m:nary>
      </m:oMath>
    </w:p>
    <w:p w14:paraId="5396250C" w14:textId="77777777" w:rsidR="00A04158" w:rsidRPr="00A04158" w:rsidRDefault="00A04158" w:rsidP="00A04158">
      <w:pPr>
        <w:pStyle w:val="Body"/>
        <w:spacing w:before="240"/>
        <w:rPr>
          <w:rFonts w:ascii="Arial" w:hAnsi="Arial" w:cs="Arial"/>
          <w:b/>
          <w:bCs/>
          <w:iCs/>
          <w:sz w:val="22"/>
        </w:rPr>
      </w:pPr>
      <w:r>
        <w:rPr>
          <w:rFonts w:ascii="Arial" w:hAnsi="Arial" w:cs="Arial"/>
          <w:b/>
          <w:caps/>
          <w:sz w:val="22"/>
        </w:rPr>
        <w:t xml:space="preserve">2.6 </w:t>
      </w:r>
      <w:r w:rsidRPr="00A04158">
        <w:rPr>
          <w:rFonts w:ascii="Arial" w:hAnsi="Arial" w:cs="Arial"/>
          <w:b/>
          <w:bCs/>
          <w:iCs/>
          <w:sz w:val="22"/>
        </w:rPr>
        <w:t>Experimental design and Statistical Analysis</w:t>
      </w:r>
    </w:p>
    <w:p w14:paraId="42181181" w14:textId="77777777" w:rsidR="00A04158" w:rsidRPr="00A04158" w:rsidRDefault="00A04158" w:rsidP="00A04158">
      <w:pPr>
        <w:pStyle w:val="Body"/>
        <w:spacing w:before="240"/>
        <w:rPr>
          <w:rFonts w:ascii="Arial" w:hAnsi="Arial" w:cs="Arial"/>
          <w:lang w:val="en-IN"/>
        </w:rPr>
      </w:pPr>
      <w:r w:rsidRPr="00A04158">
        <w:rPr>
          <w:rFonts w:ascii="Arial" w:hAnsi="Arial" w:cs="Arial"/>
        </w:rPr>
        <w:t>The experimental data were analyzed using a Completely Randomized Design (CRD). Statistical analysis was performed with SPSS version 23. To determine the significance of differences among treatment means, analysis of variance (ANOVA) was carried out at a 5% probability level (</w:t>
      </w:r>
      <w:r w:rsidRPr="00A04158">
        <w:rPr>
          <w:rFonts w:ascii="Arial" w:hAnsi="Arial" w:cs="Arial"/>
          <w:i/>
        </w:rPr>
        <w:t>P</w:t>
      </w:r>
      <w:r w:rsidR="006F76E6">
        <w:rPr>
          <w:rFonts w:ascii="Arial" w:hAnsi="Arial" w:cs="Arial"/>
          <w:i/>
        </w:rPr>
        <w:t xml:space="preserve"> </w:t>
      </w:r>
      <w:r w:rsidRPr="00A04158">
        <w:rPr>
          <w:rFonts w:ascii="Arial" w:hAnsi="Arial" w:cs="Arial"/>
        </w:rPr>
        <w:t>&lt; 0.05), followed by Duncan’s Multiple Range Test (DMRT) to categorize and compare the means.</w:t>
      </w:r>
    </w:p>
    <w:p w14:paraId="30645B07" w14:textId="77777777" w:rsidR="00A04158" w:rsidRDefault="00A04158" w:rsidP="00A04158">
      <w:pPr>
        <w:pStyle w:val="Head1"/>
        <w:jc w:val="both"/>
        <w:rPr>
          <w:rFonts w:ascii="Arial" w:hAnsi="Arial" w:cs="Arial"/>
        </w:rPr>
      </w:pPr>
      <w:r>
        <w:rPr>
          <w:rFonts w:ascii="Arial" w:hAnsi="Arial" w:cs="Arial"/>
        </w:rPr>
        <w:t>3. results and discussion</w:t>
      </w:r>
    </w:p>
    <w:p w14:paraId="1504FB3B" w14:textId="77777777" w:rsidR="009263D6" w:rsidRPr="009263D6" w:rsidRDefault="00A04158" w:rsidP="009263D6">
      <w:pPr>
        <w:pStyle w:val="Body"/>
        <w:spacing w:before="240"/>
        <w:rPr>
          <w:rFonts w:ascii="Arial" w:hAnsi="Arial" w:cs="Arial"/>
          <w:b/>
          <w:bCs/>
          <w:iCs/>
          <w:sz w:val="22"/>
        </w:rPr>
      </w:pPr>
      <w:r>
        <w:rPr>
          <w:rFonts w:ascii="Arial" w:hAnsi="Arial" w:cs="Arial"/>
          <w:b/>
          <w:caps/>
          <w:sz w:val="22"/>
        </w:rPr>
        <w:t xml:space="preserve">3.1 </w:t>
      </w:r>
      <w:r w:rsidR="009263D6" w:rsidRPr="009263D6">
        <w:rPr>
          <w:rFonts w:ascii="Arial" w:hAnsi="Arial" w:cs="Arial"/>
          <w:b/>
          <w:bCs/>
          <w:iCs/>
          <w:sz w:val="22"/>
        </w:rPr>
        <w:t>Physical properties</w:t>
      </w:r>
    </w:p>
    <w:p w14:paraId="7B26B82F" w14:textId="77777777" w:rsidR="009263D6" w:rsidRPr="00EA2A59" w:rsidRDefault="009263D6" w:rsidP="009263D6">
      <w:pPr>
        <w:spacing w:before="100" w:beforeAutospacing="1" w:after="100" w:afterAutospacing="1"/>
        <w:ind w:right="571"/>
        <w:jc w:val="both"/>
        <w:rPr>
          <w:rFonts w:ascii="Arial" w:hAnsi="Arial" w:cs="Arial"/>
          <w:b/>
          <w:bCs/>
          <w:u w:val="single"/>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1.1 </w:t>
      </w:r>
      <w:r w:rsidRPr="00EA2A59">
        <w:rPr>
          <w:rFonts w:ascii="Arial" w:hAnsi="Arial" w:cs="Arial"/>
          <w:b/>
          <w:bCs/>
          <w:u w:val="single"/>
        </w:rPr>
        <w:t>Moisture content (%)</w:t>
      </w:r>
    </w:p>
    <w:p w14:paraId="1774D44B" w14:textId="77777777" w:rsidR="009263D6" w:rsidRPr="009263D6" w:rsidRDefault="009263D6" w:rsidP="009263D6">
      <w:pPr>
        <w:pStyle w:val="Body"/>
        <w:spacing w:after="0"/>
        <w:rPr>
          <w:rFonts w:ascii="Arial" w:hAnsi="Arial" w:cs="Arial"/>
        </w:rPr>
      </w:pPr>
      <w:r w:rsidRPr="009263D6">
        <w:rPr>
          <w:rFonts w:ascii="Arial" w:hAnsi="Arial" w:cs="Arial"/>
        </w:rPr>
        <w:t xml:space="preserve">The moisture content of the investigated mulberry clones exhibited considerable variation, ranging from </w:t>
      </w:r>
      <w:r w:rsidRPr="009263D6">
        <w:rPr>
          <w:rFonts w:ascii="Arial" w:hAnsi="Arial" w:cs="Arial"/>
          <w:bCs/>
        </w:rPr>
        <w:t>29.97% to 41.10%</w:t>
      </w:r>
      <w:r w:rsidRPr="009263D6">
        <w:rPr>
          <w:rFonts w:ascii="Arial" w:hAnsi="Arial" w:cs="Arial"/>
        </w:rPr>
        <w:t xml:space="preserve"> (Table 1</w:t>
      </w:r>
      <w:r w:rsidR="00F81711">
        <w:rPr>
          <w:rFonts w:ascii="Arial" w:hAnsi="Arial" w:cs="Arial"/>
        </w:rPr>
        <w:t>.</w:t>
      </w:r>
      <w:r w:rsidRPr="009263D6">
        <w:rPr>
          <w:rFonts w:ascii="Arial" w:hAnsi="Arial" w:cs="Arial"/>
        </w:rPr>
        <w:t xml:space="preserve">). Clone </w:t>
      </w:r>
      <w:r w:rsidRPr="009263D6">
        <w:rPr>
          <w:rFonts w:ascii="Arial" w:hAnsi="Arial" w:cs="Arial"/>
          <w:bCs/>
        </w:rPr>
        <w:t>ME-0174</w:t>
      </w:r>
      <w:r w:rsidRPr="009263D6">
        <w:rPr>
          <w:rFonts w:ascii="Arial" w:hAnsi="Arial" w:cs="Arial"/>
        </w:rPr>
        <w:t xml:space="preserve"> recorded the</w:t>
      </w:r>
      <w:r w:rsidRPr="009263D6">
        <w:rPr>
          <w:rFonts w:ascii="Arial" w:hAnsi="Arial" w:cs="Arial"/>
          <w:b/>
        </w:rPr>
        <w:t xml:space="preserve"> </w:t>
      </w:r>
      <w:r w:rsidRPr="009263D6">
        <w:rPr>
          <w:rFonts w:ascii="Arial" w:hAnsi="Arial" w:cs="Arial"/>
          <w:bCs/>
        </w:rPr>
        <w:t>highest moisture content</w:t>
      </w:r>
      <w:r w:rsidRPr="009263D6">
        <w:rPr>
          <w:rFonts w:ascii="Arial" w:hAnsi="Arial" w:cs="Arial"/>
        </w:rPr>
        <w:t xml:space="preserve"> (41.10 ± 0.68%), whereas</w:t>
      </w:r>
      <w:r w:rsidRPr="009263D6">
        <w:rPr>
          <w:rFonts w:ascii="Arial" w:hAnsi="Arial" w:cs="Arial"/>
          <w:b/>
        </w:rPr>
        <w:t xml:space="preserve"> </w:t>
      </w:r>
      <w:r w:rsidRPr="009263D6">
        <w:rPr>
          <w:rFonts w:ascii="Arial" w:hAnsi="Arial" w:cs="Arial"/>
          <w:bCs/>
        </w:rPr>
        <w:t>MI-0845</w:t>
      </w:r>
      <w:r w:rsidRPr="009263D6">
        <w:rPr>
          <w:rFonts w:ascii="Arial" w:hAnsi="Arial" w:cs="Arial"/>
          <w:b/>
        </w:rPr>
        <w:t xml:space="preserve"> </w:t>
      </w:r>
      <w:r w:rsidRPr="009263D6">
        <w:rPr>
          <w:rFonts w:ascii="Arial" w:hAnsi="Arial" w:cs="Arial"/>
        </w:rPr>
        <w:t>showed the</w:t>
      </w:r>
      <w:r w:rsidRPr="009263D6">
        <w:rPr>
          <w:rFonts w:ascii="Arial" w:hAnsi="Arial" w:cs="Arial"/>
          <w:b/>
        </w:rPr>
        <w:t xml:space="preserve"> </w:t>
      </w:r>
      <w:r w:rsidRPr="009263D6">
        <w:rPr>
          <w:rFonts w:ascii="Arial" w:hAnsi="Arial" w:cs="Arial"/>
          <w:bCs/>
        </w:rPr>
        <w:t>lowest</w:t>
      </w:r>
      <w:r w:rsidRPr="009263D6">
        <w:rPr>
          <w:rFonts w:ascii="Arial" w:hAnsi="Arial" w:cs="Arial"/>
          <w:b/>
        </w:rPr>
        <w:t xml:space="preserve"> </w:t>
      </w:r>
      <w:r w:rsidRPr="009263D6">
        <w:rPr>
          <w:rFonts w:ascii="Arial" w:hAnsi="Arial" w:cs="Arial"/>
        </w:rPr>
        <w:t>(29.97 ± 2.55%). The</w:t>
      </w:r>
      <w:r w:rsidRPr="009263D6">
        <w:rPr>
          <w:rFonts w:ascii="Arial" w:hAnsi="Arial" w:cs="Arial"/>
          <w:b/>
        </w:rPr>
        <w:t xml:space="preserve"> </w:t>
      </w:r>
      <w:r w:rsidRPr="009263D6">
        <w:rPr>
          <w:rFonts w:ascii="Arial" w:hAnsi="Arial" w:cs="Arial"/>
          <w:bCs/>
        </w:rPr>
        <w:t>mean moisture content</w:t>
      </w:r>
      <w:r w:rsidRPr="009263D6">
        <w:rPr>
          <w:rFonts w:ascii="Arial" w:hAnsi="Arial" w:cs="Arial"/>
          <w:b/>
        </w:rPr>
        <w:t xml:space="preserve"> </w:t>
      </w:r>
      <w:r w:rsidRPr="009263D6">
        <w:rPr>
          <w:rFonts w:ascii="Arial" w:hAnsi="Arial" w:cs="Arial"/>
        </w:rPr>
        <w:t>across all clones was calculated to be</w:t>
      </w:r>
      <w:r w:rsidRPr="009263D6">
        <w:rPr>
          <w:rFonts w:ascii="Arial" w:hAnsi="Arial" w:cs="Arial"/>
          <w:b/>
        </w:rPr>
        <w:t xml:space="preserve"> </w:t>
      </w:r>
      <w:r w:rsidRPr="009263D6">
        <w:rPr>
          <w:rFonts w:ascii="Arial" w:hAnsi="Arial" w:cs="Arial"/>
          <w:bCs/>
        </w:rPr>
        <w:t>36.52%</w:t>
      </w:r>
      <w:r w:rsidRPr="009263D6">
        <w:rPr>
          <w:rFonts w:ascii="Arial" w:hAnsi="Arial" w:cs="Arial"/>
          <w:b/>
        </w:rPr>
        <w:t xml:space="preserve">. </w:t>
      </w:r>
      <w:r w:rsidRPr="009263D6">
        <w:rPr>
          <w:rFonts w:ascii="Arial" w:hAnsi="Arial" w:cs="Arial"/>
          <w:bCs/>
        </w:rPr>
        <w:t>Analysis of variance (ANOVA)</w:t>
      </w:r>
      <w:r w:rsidRPr="009263D6">
        <w:rPr>
          <w:rFonts w:ascii="Arial" w:hAnsi="Arial" w:cs="Arial"/>
        </w:rPr>
        <w:t xml:space="preserve"> revealed statistically significant differences among the clones (</w:t>
      </w:r>
      <w:r w:rsidRPr="009263D6">
        <w:rPr>
          <w:rFonts w:ascii="Arial" w:hAnsi="Arial" w:cs="Arial"/>
          <w:bCs/>
          <w:i/>
        </w:rPr>
        <w:t>P</w:t>
      </w:r>
      <w:r w:rsidRPr="009263D6">
        <w:rPr>
          <w:rFonts w:ascii="Arial" w:hAnsi="Arial" w:cs="Arial"/>
          <w:bCs/>
        </w:rPr>
        <w:t xml:space="preserve"> &lt; 0.05</w:t>
      </w:r>
      <w:r w:rsidRPr="009263D6">
        <w:rPr>
          <w:rFonts w:ascii="Arial" w:hAnsi="Arial" w:cs="Arial"/>
        </w:rPr>
        <w:t>), suggesting inherent genetic variability in moisture retention capacity among the mulberry genetic resources.</w:t>
      </w:r>
    </w:p>
    <w:p w14:paraId="78010667" w14:textId="77777777" w:rsidR="009263D6" w:rsidRPr="009263D6" w:rsidRDefault="009263D6" w:rsidP="009263D6">
      <w:pPr>
        <w:pStyle w:val="Body"/>
        <w:spacing w:after="0"/>
        <w:rPr>
          <w:rFonts w:ascii="Arial" w:hAnsi="Arial" w:cs="Arial"/>
        </w:rPr>
      </w:pPr>
      <w:r w:rsidRPr="009263D6">
        <w:rPr>
          <w:rFonts w:ascii="Arial" w:hAnsi="Arial" w:cs="Arial"/>
        </w:rPr>
        <w:t xml:space="preserve">Moisture content is a critical determinant of the combustion characteristics and fuel efficiency of biomass. High moisture levels are generally associated with reduced </w:t>
      </w:r>
      <w:r w:rsidRPr="009263D6">
        <w:rPr>
          <w:rFonts w:ascii="Arial" w:hAnsi="Arial" w:cs="Arial"/>
          <w:bCs/>
        </w:rPr>
        <w:t>calorific value</w:t>
      </w:r>
      <w:r w:rsidRPr="009263D6">
        <w:rPr>
          <w:rFonts w:ascii="Arial" w:hAnsi="Arial" w:cs="Arial"/>
        </w:rPr>
        <w:t xml:space="preserve">, diminished combustion efficiency, and increased </w:t>
      </w:r>
      <w:r w:rsidRPr="009263D6">
        <w:rPr>
          <w:rFonts w:ascii="Arial" w:hAnsi="Arial" w:cs="Arial"/>
          <w:bCs/>
        </w:rPr>
        <w:t>operational costs</w:t>
      </w:r>
      <w:r w:rsidRPr="009263D6">
        <w:rPr>
          <w:rFonts w:ascii="Arial" w:hAnsi="Arial" w:cs="Arial"/>
        </w:rPr>
        <w:t xml:space="preserve"> due to higher energy consumption for drying and increased transportation </w:t>
      </w:r>
      <w:r w:rsidRPr="000D43F1">
        <w:rPr>
          <w:rFonts w:ascii="Arial" w:hAnsi="Arial" w:cs="Arial"/>
        </w:rPr>
        <w:t xml:space="preserve">weight (Askowuah </w:t>
      </w:r>
      <w:r w:rsidRPr="000D43F1">
        <w:rPr>
          <w:rFonts w:ascii="Arial" w:hAnsi="Arial" w:cs="Arial"/>
          <w:i/>
        </w:rPr>
        <w:t>et al.,</w:t>
      </w:r>
      <w:r w:rsidRPr="000D43F1">
        <w:rPr>
          <w:rFonts w:ascii="Arial" w:hAnsi="Arial" w:cs="Arial"/>
        </w:rPr>
        <w:t xml:space="preserve"> 2012).</w:t>
      </w:r>
      <w:r w:rsidRPr="009263D6">
        <w:rPr>
          <w:rFonts w:ascii="Arial" w:hAnsi="Arial" w:cs="Arial"/>
        </w:rPr>
        <w:t xml:space="preserve"> The acceptable moisture content range for woody biomass fuels, as </w:t>
      </w:r>
      <w:r w:rsidRPr="0053674F">
        <w:rPr>
          <w:rFonts w:ascii="Arial" w:hAnsi="Arial" w:cs="Arial"/>
        </w:rPr>
        <w:t xml:space="preserve">suggested by Dai </w:t>
      </w:r>
      <w:r w:rsidRPr="0053674F">
        <w:rPr>
          <w:rFonts w:ascii="Arial" w:hAnsi="Arial" w:cs="Arial"/>
          <w:i/>
        </w:rPr>
        <w:t>et al.,</w:t>
      </w:r>
      <w:r w:rsidRPr="0053674F">
        <w:rPr>
          <w:rFonts w:ascii="Arial" w:hAnsi="Arial" w:cs="Arial"/>
        </w:rPr>
        <w:t xml:space="preserve"> (2015), lies between </w:t>
      </w:r>
      <w:r w:rsidRPr="0053674F">
        <w:rPr>
          <w:rFonts w:ascii="Arial" w:hAnsi="Arial" w:cs="Arial"/>
          <w:bCs/>
        </w:rPr>
        <w:t>10% and 60%</w:t>
      </w:r>
      <w:r w:rsidRPr="0053674F">
        <w:rPr>
          <w:rFonts w:ascii="Arial" w:hAnsi="Arial" w:cs="Arial"/>
          <w:b/>
        </w:rPr>
        <w:t>,</w:t>
      </w:r>
      <w:r w:rsidRPr="0053674F">
        <w:rPr>
          <w:rFonts w:ascii="Arial" w:hAnsi="Arial" w:cs="Arial"/>
        </w:rPr>
        <w:t xml:space="preserve"> within which the mulberry clones in this study fall</w:t>
      </w:r>
      <w:r w:rsidRPr="009263D6">
        <w:rPr>
          <w:rFonts w:ascii="Arial" w:hAnsi="Arial" w:cs="Arial"/>
        </w:rPr>
        <w:t xml:space="preserve"> comfortably. Typically, freshly felled trees exhibit moisture content ranging from </w:t>
      </w:r>
      <w:r w:rsidRPr="009263D6">
        <w:rPr>
          <w:rFonts w:ascii="Arial" w:hAnsi="Arial" w:cs="Arial"/>
          <w:bCs/>
        </w:rPr>
        <w:t>40% to 60%</w:t>
      </w:r>
      <w:r w:rsidRPr="009263D6">
        <w:rPr>
          <w:rFonts w:ascii="Arial" w:hAnsi="Arial" w:cs="Arial"/>
        </w:rPr>
        <w:t xml:space="preserve">, influenced by species type and environmental </w:t>
      </w:r>
      <w:r w:rsidRPr="0053674F">
        <w:rPr>
          <w:rFonts w:ascii="Arial" w:hAnsi="Arial" w:cs="Arial"/>
        </w:rPr>
        <w:t xml:space="preserve">conditions (Mitchual </w:t>
      </w:r>
      <w:r w:rsidRPr="0053674F">
        <w:rPr>
          <w:rFonts w:ascii="Arial" w:hAnsi="Arial" w:cs="Arial"/>
          <w:i/>
        </w:rPr>
        <w:t>et al.,</w:t>
      </w:r>
      <w:r w:rsidR="0053674F">
        <w:rPr>
          <w:rFonts w:ascii="Arial" w:hAnsi="Arial" w:cs="Arial"/>
        </w:rPr>
        <w:t xml:space="preserve"> 2014</w:t>
      </w:r>
      <w:r w:rsidRPr="0053674F">
        <w:rPr>
          <w:rFonts w:ascii="Arial" w:hAnsi="Arial" w:cs="Arial"/>
        </w:rPr>
        <w:t>). Tropical</w:t>
      </w:r>
      <w:r w:rsidRPr="009263D6">
        <w:rPr>
          <w:rFonts w:ascii="Arial" w:hAnsi="Arial" w:cs="Arial"/>
        </w:rPr>
        <w:t xml:space="preserve"> and </w:t>
      </w:r>
      <w:r w:rsidRPr="009263D6">
        <w:rPr>
          <w:rFonts w:ascii="Arial" w:hAnsi="Arial" w:cs="Arial"/>
        </w:rPr>
        <w:lastRenderedPageBreak/>
        <w:t xml:space="preserve">subtropical species often retain more moisture than temperate </w:t>
      </w:r>
      <w:r w:rsidRPr="0053674F">
        <w:rPr>
          <w:rFonts w:ascii="Arial" w:hAnsi="Arial" w:cs="Arial"/>
        </w:rPr>
        <w:t xml:space="preserve">ones (Bhatt </w:t>
      </w:r>
      <w:r w:rsidRPr="0053674F">
        <w:rPr>
          <w:rFonts w:ascii="Arial" w:hAnsi="Arial" w:cs="Arial"/>
          <w:i/>
        </w:rPr>
        <w:t>et al.,</w:t>
      </w:r>
      <w:r w:rsidRPr="0053674F">
        <w:rPr>
          <w:rFonts w:ascii="Arial" w:hAnsi="Arial" w:cs="Arial"/>
        </w:rPr>
        <w:t xml:space="preserve"> 2010),</w:t>
      </w:r>
      <w:r w:rsidRPr="009263D6">
        <w:rPr>
          <w:rFonts w:ascii="Arial" w:hAnsi="Arial" w:cs="Arial"/>
        </w:rPr>
        <w:t xml:space="preserve"> which aligns with the values observed in this study.</w:t>
      </w:r>
    </w:p>
    <w:p w14:paraId="5A5F905B" w14:textId="77777777" w:rsidR="009263D6" w:rsidRDefault="009263D6" w:rsidP="009263D6">
      <w:pPr>
        <w:pStyle w:val="Body"/>
        <w:spacing w:after="0"/>
        <w:rPr>
          <w:rFonts w:ascii="Arial" w:hAnsi="Arial" w:cs="Arial"/>
        </w:rPr>
      </w:pPr>
      <w:r w:rsidRPr="009263D6">
        <w:rPr>
          <w:rFonts w:ascii="Arial" w:hAnsi="Arial" w:cs="Arial"/>
        </w:rPr>
        <w:t xml:space="preserve">The relatively </w:t>
      </w:r>
      <w:r w:rsidRPr="009263D6">
        <w:rPr>
          <w:rFonts w:ascii="Arial" w:hAnsi="Arial" w:cs="Arial"/>
          <w:bCs/>
        </w:rPr>
        <w:t>moderate moisture content</w:t>
      </w:r>
      <w:r w:rsidRPr="009263D6">
        <w:rPr>
          <w:rFonts w:ascii="Arial" w:hAnsi="Arial" w:cs="Arial"/>
        </w:rPr>
        <w:t xml:space="preserve"> (29.97- 41.10%) observed in the mulberry clones indicates their suitability as potential fuelwood sources. These findings are in line with the report </w:t>
      </w:r>
      <w:r w:rsidRPr="0053674F">
        <w:rPr>
          <w:rFonts w:ascii="Arial" w:hAnsi="Arial" w:cs="Arial"/>
        </w:rPr>
        <w:t xml:space="preserve">of Baqir </w:t>
      </w:r>
      <w:r w:rsidRPr="0053674F">
        <w:rPr>
          <w:rFonts w:ascii="Arial" w:hAnsi="Arial" w:cs="Arial"/>
          <w:i/>
        </w:rPr>
        <w:t>et al.,</w:t>
      </w:r>
      <w:r w:rsidRPr="0053674F">
        <w:rPr>
          <w:rFonts w:ascii="Arial" w:hAnsi="Arial" w:cs="Arial"/>
        </w:rPr>
        <w:t xml:space="preserve"> (2019), who</w:t>
      </w:r>
      <w:r w:rsidRPr="009263D6">
        <w:rPr>
          <w:rFonts w:ascii="Arial" w:hAnsi="Arial" w:cs="Arial"/>
        </w:rPr>
        <w:t xml:space="preserve"> recorded moisture contents ranging from </w:t>
      </w:r>
      <w:r w:rsidRPr="009263D6">
        <w:rPr>
          <w:rFonts w:ascii="Arial" w:hAnsi="Arial" w:cs="Arial"/>
          <w:bCs/>
        </w:rPr>
        <w:t>38.70% to 58.67%</w:t>
      </w:r>
      <w:r w:rsidRPr="009263D6">
        <w:rPr>
          <w:rFonts w:ascii="Arial" w:hAnsi="Arial" w:cs="Arial"/>
        </w:rPr>
        <w:t xml:space="preserve"> in various subtropical tree species. Lower moisture levels, such as those recorded in clone MI-0845, are </w:t>
      </w:r>
      <w:r w:rsidRPr="009263D6">
        <w:rPr>
          <w:rFonts w:ascii="Arial" w:hAnsi="Arial" w:cs="Arial"/>
          <w:bCs/>
        </w:rPr>
        <w:t>advantageous</w:t>
      </w:r>
      <w:r w:rsidRPr="009263D6">
        <w:rPr>
          <w:rFonts w:ascii="Arial" w:hAnsi="Arial" w:cs="Arial"/>
        </w:rPr>
        <w:t xml:space="preserve"> for fuel applications, as they enhance </w:t>
      </w:r>
      <w:r w:rsidRPr="009263D6">
        <w:rPr>
          <w:rFonts w:ascii="Arial" w:hAnsi="Arial" w:cs="Arial"/>
          <w:bCs/>
        </w:rPr>
        <w:t>energy density</w:t>
      </w:r>
      <w:r w:rsidRPr="009263D6">
        <w:rPr>
          <w:rFonts w:ascii="Arial" w:hAnsi="Arial" w:cs="Arial"/>
        </w:rPr>
        <w:t xml:space="preserve">, improve </w:t>
      </w:r>
      <w:r w:rsidRPr="009263D6">
        <w:rPr>
          <w:rFonts w:ascii="Arial" w:hAnsi="Arial" w:cs="Arial"/>
          <w:bCs/>
        </w:rPr>
        <w:t>combustion efficiency</w:t>
      </w:r>
      <w:r w:rsidRPr="009263D6">
        <w:rPr>
          <w:rFonts w:ascii="Arial" w:hAnsi="Arial" w:cs="Arial"/>
        </w:rPr>
        <w:t xml:space="preserve">, and reduce the generation of </w:t>
      </w:r>
      <w:r w:rsidRPr="009263D6">
        <w:rPr>
          <w:rFonts w:ascii="Arial" w:hAnsi="Arial" w:cs="Arial"/>
          <w:bCs/>
        </w:rPr>
        <w:t>exhaust gases</w:t>
      </w:r>
      <w:r w:rsidRPr="009263D6">
        <w:rPr>
          <w:rFonts w:ascii="Arial" w:hAnsi="Arial" w:cs="Arial"/>
        </w:rPr>
        <w:t xml:space="preserve"> </w:t>
      </w:r>
      <w:r w:rsidRPr="0053674F">
        <w:rPr>
          <w:rFonts w:ascii="Arial" w:hAnsi="Arial" w:cs="Arial"/>
        </w:rPr>
        <w:t xml:space="preserve">(Kataki &amp; Konwer, 2002; Tsai </w:t>
      </w:r>
      <w:r w:rsidRPr="0053674F">
        <w:rPr>
          <w:rFonts w:ascii="Arial" w:hAnsi="Arial" w:cs="Arial"/>
          <w:i/>
        </w:rPr>
        <w:t>et al.,</w:t>
      </w:r>
      <w:r w:rsidRPr="0053674F">
        <w:rPr>
          <w:rFonts w:ascii="Arial" w:hAnsi="Arial" w:cs="Arial"/>
        </w:rPr>
        <w:t xml:space="preserve"> 2018). Moreover,</w:t>
      </w:r>
      <w:r w:rsidRPr="009263D6">
        <w:rPr>
          <w:rFonts w:ascii="Arial" w:hAnsi="Arial" w:cs="Arial"/>
        </w:rPr>
        <w:t xml:space="preserve"> the </w:t>
      </w:r>
      <w:r w:rsidRPr="009263D6">
        <w:rPr>
          <w:rFonts w:ascii="Arial" w:hAnsi="Arial" w:cs="Arial"/>
          <w:bCs/>
        </w:rPr>
        <w:t>comparatively lower moisture content</w:t>
      </w:r>
      <w:r w:rsidRPr="009263D6">
        <w:rPr>
          <w:rFonts w:ascii="Arial" w:hAnsi="Arial" w:cs="Arial"/>
        </w:rPr>
        <w:t xml:space="preserve"> in mulberry clones compared to species like </w:t>
      </w:r>
      <w:r w:rsidRPr="009263D6">
        <w:rPr>
          <w:rFonts w:ascii="Arial" w:hAnsi="Arial" w:cs="Arial"/>
          <w:i/>
          <w:iCs/>
        </w:rPr>
        <w:t>Ficus natalensis</w:t>
      </w:r>
      <w:r w:rsidRPr="009263D6">
        <w:rPr>
          <w:rFonts w:ascii="Arial" w:hAnsi="Arial" w:cs="Arial"/>
        </w:rPr>
        <w:t xml:space="preserve"> (69.41%) or </w:t>
      </w:r>
      <w:r w:rsidRPr="009263D6">
        <w:rPr>
          <w:rFonts w:ascii="Arial" w:hAnsi="Arial" w:cs="Arial"/>
          <w:i/>
          <w:iCs/>
        </w:rPr>
        <w:t>A. grandibracteata</w:t>
      </w:r>
      <w:r w:rsidRPr="009263D6">
        <w:rPr>
          <w:rFonts w:ascii="Arial" w:hAnsi="Arial" w:cs="Arial"/>
        </w:rPr>
        <w:t xml:space="preserve"> (36.18%) evaluated </w:t>
      </w:r>
      <w:r w:rsidRPr="0053674F">
        <w:rPr>
          <w:rFonts w:ascii="Arial" w:hAnsi="Arial" w:cs="Arial"/>
        </w:rPr>
        <w:t xml:space="preserve">by Ojelel </w:t>
      </w:r>
      <w:r w:rsidRPr="0053674F">
        <w:rPr>
          <w:rFonts w:ascii="Arial" w:hAnsi="Arial" w:cs="Arial"/>
          <w:i/>
        </w:rPr>
        <w:t xml:space="preserve">et al., </w:t>
      </w:r>
      <w:r w:rsidRPr="0053674F">
        <w:rPr>
          <w:rFonts w:ascii="Arial" w:hAnsi="Arial" w:cs="Arial"/>
        </w:rPr>
        <w:t>(2015) in Uganda, reinforces</w:t>
      </w:r>
      <w:r w:rsidRPr="009263D6">
        <w:rPr>
          <w:rFonts w:ascii="Arial" w:hAnsi="Arial" w:cs="Arial"/>
        </w:rPr>
        <w:t xml:space="preserve"> the potential of mulberry as a </w:t>
      </w:r>
      <w:r w:rsidRPr="009263D6">
        <w:rPr>
          <w:rFonts w:ascii="Arial" w:hAnsi="Arial" w:cs="Arial"/>
          <w:bCs/>
        </w:rPr>
        <w:t>viable and efficient</w:t>
      </w:r>
      <w:r w:rsidRPr="009263D6">
        <w:rPr>
          <w:rFonts w:ascii="Arial" w:hAnsi="Arial" w:cs="Arial"/>
          <w:b/>
          <w:bCs/>
        </w:rPr>
        <w:t xml:space="preserve"> </w:t>
      </w:r>
      <w:r w:rsidRPr="009263D6">
        <w:rPr>
          <w:rFonts w:ascii="Arial" w:hAnsi="Arial" w:cs="Arial"/>
          <w:bCs/>
        </w:rPr>
        <w:t>fuelwood species</w:t>
      </w:r>
      <w:r w:rsidRPr="009263D6">
        <w:rPr>
          <w:rFonts w:ascii="Arial" w:hAnsi="Arial" w:cs="Arial"/>
        </w:rPr>
        <w:t>.</w:t>
      </w:r>
    </w:p>
    <w:p w14:paraId="1F31E57A" w14:textId="77777777" w:rsidR="009263D6" w:rsidRPr="009263D6" w:rsidRDefault="009263D6" w:rsidP="009263D6">
      <w:pPr>
        <w:spacing w:before="100" w:beforeAutospacing="1" w:after="100" w:afterAutospacing="1"/>
        <w:ind w:right="571"/>
        <w:jc w:val="both"/>
        <w:rPr>
          <w:rFonts w:ascii="Arial" w:hAnsi="Arial" w:cs="Arial"/>
          <w:b/>
          <w:bCs/>
          <w:u w:val="single"/>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1.2 </w:t>
      </w:r>
      <w:r w:rsidRPr="009263D6">
        <w:rPr>
          <w:rFonts w:ascii="Arial" w:hAnsi="Arial" w:cs="Arial"/>
          <w:b/>
          <w:bCs/>
          <w:u w:val="single"/>
        </w:rPr>
        <w:t>Bulk and Basic density</w:t>
      </w:r>
    </w:p>
    <w:p w14:paraId="583D3ACE" w14:textId="77777777" w:rsidR="009263D6" w:rsidRPr="009263D6" w:rsidRDefault="009263D6" w:rsidP="009263D6">
      <w:pPr>
        <w:pStyle w:val="Body"/>
        <w:spacing w:after="0"/>
        <w:rPr>
          <w:rFonts w:ascii="Arial" w:hAnsi="Arial" w:cs="Arial"/>
        </w:rPr>
      </w:pPr>
      <w:r w:rsidRPr="009263D6">
        <w:rPr>
          <w:rFonts w:ascii="Arial" w:hAnsi="Arial" w:cs="Arial"/>
        </w:rPr>
        <w:t xml:space="preserve">The </w:t>
      </w:r>
      <w:r w:rsidRPr="009263D6">
        <w:rPr>
          <w:rFonts w:ascii="Arial" w:hAnsi="Arial" w:cs="Arial"/>
          <w:bCs/>
        </w:rPr>
        <w:t>bulk density</w:t>
      </w:r>
      <w:r w:rsidRPr="009263D6">
        <w:rPr>
          <w:rFonts w:ascii="Arial" w:hAnsi="Arial" w:cs="Arial"/>
        </w:rPr>
        <w:t xml:space="preserve"> of the evaluated mulberry clones exhibited considerable variation, ranging from </w:t>
      </w:r>
      <w:r w:rsidRPr="009263D6">
        <w:rPr>
          <w:rFonts w:ascii="Arial" w:hAnsi="Arial" w:cs="Arial"/>
          <w:bCs/>
        </w:rPr>
        <w:t>166.96 ± 0.70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in clone </w:t>
      </w:r>
      <w:r w:rsidRPr="009263D6">
        <w:rPr>
          <w:rFonts w:ascii="Arial" w:hAnsi="Arial" w:cs="Arial"/>
          <w:bCs/>
        </w:rPr>
        <w:t>MI-0828</w:t>
      </w:r>
      <w:r w:rsidRPr="009263D6">
        <w:rPr>
          <w:rFonts w:ascii="Arial" w:hAnsi="Arial" w:cs="Arial"/>
        </w:rPr>
        <w:t xml:space="preserve"> to </w:t>
      </w:r>
      <w:r w:rsidRPr="009263D6">
        <w:rPr>
          <w:rFonts w:ascii="Arial" w:hAnsi="Arial" w:cs="Arial"/>
          <w:bCs/>
        </w:rPr>
        <w:t>225.43 ± 6.01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in clone </w:t>
      </w:r>
      <w:r w:rsidRPr="009263D6">
        <w:rPr>
          <w:rFonts w:ascii="Arial" w:hAnsi="Arial" w:cs="Arial"/>
          <w:bCs/>
        </w:rPr>
        <w:t>ME-0006</w:t>
      </w:r>
      <w:r w:rsidRPr="009263D6">
        <w:rPr>
          <w:rFonts w:ascii="Arial" w:hAnsi="Arial" w:cs="Arial"/>
        </w:rPr>
        <w:t xml:space="preserve">, as presented in Table 1. The </w:t>
      </w:r>
      <w:r w:rsidRPr="009263D6">
        <w:rPr>
          <w:rFonts w:ascii="Arial" w:hAnsi="Arial" w:cs="Arial"/>
          <w:bCs/>
        </w:rPr>
        <w:t>mean bulk density</w:t>
      </w:r>
      <w:r w:rsidRPr="009263D6">
        <w:rPr>
          <w:rFonts w:ascii="Arial" w:hAnsi="Arial" w:cs="Arial"/>
        </w:rPr>
        <w:t xml:space="preserve"> across all clones was </w:t>
      </w:r>
      <w:r w:rsidRPr="009263D6">
        <w:rPr>
          <w:rFonts w:ascii="Arial" w:hAnsi="Arial" w:cs="Arial"/>
          <w:bCs/>
        </w:rPr>
        <w:t>207.31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Statistical analysis revealed </w:t>
      </w:r>
      <w:r w:rsidRPr="009263D6">
        <w:rPr>
          <w:rFonts w:ascii="Arial" w:hAnsi="Arial" w:cs="Arial"/>
          <w:bCs/>
        </w:rPr>
        <w:t>significant differences (</w:t>
      </w:r>
      <w:r w:rsidRPr="009263D6">
        <w:rPr>
          <w:rFonts w:ascii="Arial" w:hAnsi="Arial" w:cs="Arial"/>
          <w:bCs/>
          <w:i/>
        </w:rPr>
        <w:t>P</w:t>
      </w:r>
      <w:r w:rsidRPr="009263D6">
        <w:rPr>
          <w:rFonts w:ascii="Arial" w:hAnsi="Arial" w:cs="Arial"/>
          <w:bCs/>
        </w:rPr>
        <w:t xml:space="preserve"> &lt; 0.05)</w:t>
      </w:r>
      <w:r w:rsidRPr="009263D6">
        <w:rPr>
          <w:rFonts w:ascii="Arial" w:hAnsi="Arial" w:cs="Arial"/>
        </w:rPr>
        <w:t xml:space="preserve"> in bulk density among the clones, reflecting variation in their </w:t>
      </w:r>
      <w:r w:rsidRPr="009263D6">
        <w:rPr>
          <w:rFonts w:ascii="Arial" w:hAnsi="Arial" w:cs="Arial"/>
          <w:bCs/>
        </w:rPr>
        <w:t>compactness and structural attributes</w:t>
      </w:r>
      <w:r w:rsidRPr="009263D6">
        <w:rPr>
          <w:rFonts w:ascii="Arial" w:hAnsi="Arial" w:cs="Arial"/>
        </w:rPr>
        <w:t>.</w:t>
      </w:r>
    </w:p>
    <w:p w14:paraId="4005E799" w14:textId="77777777" w:rsidR="009263D6" w:rsidRPr="009263D6" w:rsidRDefault="009263D6" w:rsidP="009263D6">
      <w:pPr>
        <w:pStyle w:val="Body"/>
        <w:spacing w:after="0"/>
        <w:rPr>
          <w:rFonts w:ascii="Arial" w:hAnsi="Arial" w:cs="Arial"/>
        </w:rPr>
      </w:pPr>
      <w:r w:rsidRPr="009263D6">
        <w:rPr>
          <w:rFonts w:ascii="Arial" w:hAnsi="Arial" w:cs="Arial"/>
        </w:rPr>
        <w:t xml:space="preserve">Similarly, </w:t>
      </w:r>
      <w:r w:rsidRPr="009263D6">
        <w:rPr>
          <w:rFonts w:ascii="Arial" w:hAnsi="Arial" w:cs="Arial"/>
          <w:bCs/>
        </w:rPr>
        <w:t>basic density</w:t>
      </w:r>
      <w:r w:rsidRPr="009263D6">
        <w:rPr>
          <w:rFonts w:ascii="Arial" w:hAnsi="Arial" w:cs="Arial"/>
        </w:rPr>
        <w:t xml:space="preserve"> varied significantly among the clones, with values ranging from </w:t>
      </w:r>
      <w:r w:rsidRPr="009263D6">
        <w:rPr>
          <w:rFonts w:ascii="Arial" w:hAnsi="Arial" w:cs="Arial"/>
          <w:bCs/>
        </w:rPr>
        <w:t>619.09 ± 8.94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in </w:t>
      </w:r>
      <w:r w:rsidRPr="009263D6">
        <w:rPr>
          <w:rFonts w:ascii="Arial" w:hAnsi="Arial" w:cs="Arial"/>
          <w:bCs/>
        </w:rPr>
        <w:t>ME-0174</w:t>
      </w:r>
      <w:r w:rsidRPr="009263D6">
        <w:rPr>
          <w:rFonts w:ascii="Arial" w:hAnsi="Arial" w:cs="Arial"/>
        </w:rPr>
        <w:t xml:space="preserve"> to </w:t>
      </w:r>
      <w:r w:rsidRPr="009263D6">
        <w:rPr>
          <w:rFonts w:ascii="Arial" w:hAnsi="Arial" w:cs="Arial"/>
          <w:bCs/>
        </w:rPr>
        <w:t>701.80 ± 40.06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in </w:t>
      </w:r>
      <w:r w:rsidRPr="009263D6">
        <w:rPr>
          <w:rFonts w:ascii="Arial" w:hAnsi="Arial" w:cs="Arial"/>
          <w:bCs/>
        </w:rPr>
        <w:t>ME-0168</w:t>
      </w:r>
      <w:r w:rsidRPr="009263D6">
        <w:rPr>
          <w:rFonts w:ascii="Arial" w:hAnsi="Arial" w:cs="Arial"/>
        </w:rPr>
        <w:t xml:space="preserve">, with an </w:t>
      </w:r>
      <w:r w:rsidRPr="009263D6">
        <w:rPr>
          <w:rFonts w:ascii="Arial" w:hAnsi="Arial" w:cs="Arial"/>
          <w:bCs/>
        </w:rPr>
        <w:t>average of 654.34 kg m</w:t>
      </w:r>
      <w:r w:rsidRPr="009263D6">
        <w:rPr>
          <w:rFonts w:ascii="Cambria Math" w:hAnsi="Cambria Math" w:cs="Cambria Math"/>
          <w:bCs/>
        </w:rPr>
        <w:t>⁻</w:t>
      </w:r>
      <w:r w:rsidRPr="009263D6">
        <w:rPr>
          <w:rFonts w:ascii="Arial" w:hAnsi="Arial" w:cs="Arial"/>
          <w:bCs/>
        </w:rPr>
        <w:t>³</w:t>
      </w:r>
      <w:r w:rsidRPr="009263D6">
        <w:rPr>
          <w:rFonts w:ascii="Arial" w:hAnsi="Arial" w:cs="Arial"/>
        </w:rPr>
        <w:t xml:space="preserve">. The observed </w:t>
      </w:r>
      <w:r w:rsidRPr="009263D6">
        <w:rPr>
          <w:rFonts w:ascii="Arial" w:hAnsi="Arial" w:cs="Arial"/>
          <w:bCs/>
        </w:rPr>
        <w:t>clonal variation in basic density</w:t>
      </w:r>
      <w:r w:rsidRPr="009263D6">
        <w:rPr>
          <w:rFonts w:ascii="Arial" w:hAnsi="Arial" w:cs="Arial"/>
        </w:rPr>
        <w:t xml:space="preserve"> was statistically significant (</w:t>
      </w:r>
      <w:r w:rsidRPr="009263D6">
        <w:rPr>
          <w:rFonts w:ascii="Arial" w:hAnsi="Arial" w:cs="Arial"/>
          <w:bCs/>
        </w:rPr>
        <w:t>P &lt; 0.05</w:t>
      </w:r>
      <w:r w:rsidRPr="009263D6">
        <w:rPr>
          <w:rFonts w:ascii="Arial" w:hAnsi="Arial" w:cs="Arial"/>
        </w:rPr>
        <w:t xml:space="preserve">), indicating </w:t>
      </w:r>
      <w:r w:rsidRPr="009263D6">
        <w:rPr>
          <w:rFonts w:ascii="Arial" w:hAnsi="Arial" w:cs="Arial"/>
          <w:bCs/>
        </w:rPr>
        <w:t>distinct wood density profiles</w:t>
      </w:r>
      <w:r w:rsidRPr="009263D6">
        <w:rPr>
          <w:rFonts w:ascii="Arial" w:hAnsi="Arial" w:cs="Arial"/>
        </w:rPr>
        <w:t xml:space="preserve"> among the genetic resources.</w:t>
      </w:r>
    </w:p>
    <w:p w14:paraId="3D92AE9A" w14:textId="77777777" w:rsidR="009263D6" w:rsidRPr="009263D6" w:rsidRDefault="009263D6" w:rsidP="009263D6">
      <w:pPr>
        <w:pStyle w:val="Body"/>
        <w:spacing w:after="0"/>
        <w:rPr>
          <w:rFonts w:ascii="Arial" w:hAnsi="Arial" w:cs="Arial"/>
        </w:rPr>
      </w:pPr>
      <w:r w:rsidRPr="009263D6">
        <w:rPr>
          <w:rFonts w:ascii="Arial" w:hAnsi="Arial" w:cs="Arial"/>
        </w:rPr>
        <w:t xml:space="preserve">Wood density is a pivotal parameter that influences the </w:t>
      </w:r>
      <w:r w:rsidRPr="009263D6">
        <w:rPr>
          <w:rFonts w:ascii="Arial" w:hAnsi="Arial" w:cs="Arial"/>
          <w:bCs/>
        </w:rPr>
        <w:t>fuel quality and combustion efficiency</w:t>
      </w:r>
      <w:r w:rsidRPr="009263D6">
        <w:rPr>
          <w:rFonts w:ascii="Arial" w:hAnsi="Arial" w:cs="Arial"/>
        </w:rPr>
        <w:t xml:space="preserve"> of biomass materials. Denser wood contains </w:t>
      </w:r>
      <w:r w:rsidRPr="009263D6">
        <w:rPr>
          <w:rFonts w:ascii="Arial" w:hAnsi="Arial" w:cs="Arial"/>
          <w:bCs/>
        </w:rPr>
        <w:t>higher energy content per unit volume</w:t>
      </w:r>
      <w:r w:rsidRPr="009263D6">
        <w:rPr>
          <w:rFonts w:ascii="Arial" w:hAnsi="Arial" w:cs="Arial"/>
        </w:rPr>
        <w:t xml:space="preserve">, thereby contributing to </w:t>
      </w:r>
      <w:r w:rsidRPr="009263D6">
        <w:rPr>
          <w:rFonts w:ascii="Arial" w:hAnsi="Arial" w:cs="Arial"/>
          <w:bCs/>
        </w:rPr>
        <w:t>prolonged burning time</w:t>
      </w:r>
      <w:r w:rsidRPr="009263D6">
        <w:rPr>
          <w:rFonts w:ascii="Arial" w:hAnsi="Arial" w:cs="Arial"/>
        </w:rPr>
        <w:t xml:space="preserve"> and enhanced heat </w:t>
      </w:r>
      <w:r w:rsidRPr="0053674F">
        <w:rPr>
          <w:rFonts w:ascii="Arial" w:hAnsi="Arial" w:cs="Arial"/>
        </w:rPr>
        <w:t>yield (Desta and Ambaye, 2020). In</w:t>
      </w:r>
      <w:r w:rsidRPr="009263D6">
        <w:rPr>
          <w:rFonts w:ascii="Arial" w:hAnsi="Arial" w:cs="Arial"/>
        </w:rPr>
        <w:t xml:space="preserve"> this study, the range of </w:t>
      </w:r>
      <w:r w:rsidRPr="009263D6">
        <w:rPr>
          <w:rFonts w:ascii="Arial" w:hAnsi="Arial" w:cs="Arial"/>
          <w:bCs/>
        </w:rPr>
        <w:t>bulk density</w:t>
      </w:r>
      <w:r w:rsidRPr="009263D6">
        <w:rPr>
          <w:rFonts w:ascii="Arial" w:hAnsi="Arial" w:cs="Arial"/>
        </w:rPr>
        <w:t xml:space="preserve"> observed (166.96 to 225.43 kg m</w:t>
      </w:r>
      <w:r w:rsidRPr="009263D6">
        <w:rPr>
          <w:rFonts w:ascii="Cambria Math" w:hAnsi="Cambria Math" w:cs="Cambria Math"/>
        </w:rPr>
        <w:t>⁻</w:t>
      </w:r>
      <w:r w:rsidRPr="009263D6">
        <w:rPr>
          <w:rFonts w:ascii="Arial" w:hAnsi="Arial" w:cs="Arial"/>
        </w:rPr>
        <w:t xml:space="preserve">³) falls within the acceptable limits for woody biomass fuels, </w:t>
      </w:r>
      <w:r w:rsidRPr="0053674F">
        <w:rPr>
          <w:rFonts w:ascii="Arial" w:hAnsi="Arial" w:cs="Arial"/>
        </w:rPr>
        <w:t xml:space="preserve">which typically vary between </w:t>
      </w:r>
      <w:r w:rsidRPr="0053674F">
        <w:rPr>
          <w:rFonts w:ascii="Arial" w:hAnsi="Arial" w:cs="Arial"/>
          <w:bCs/>
        </w:rPr>
        <w:t>100 and 750 kg m</w:t>
      </w:r>
      <w:r w:rsidRPr="0053674F">
        <w:rPr>
          <w:rFonts w:ascii="Cambria Math" w:hAnsi="Cambria Math" w:cs="Cambria Math"/>
          <w:bCs/>
        </w:rPr>
        <w:t>⁻</w:t>
      </w:r>
      <w:r w:rsidRPr="0053674F">
        <w:rPr>
          <w:rFonts w:ascii="Arial" w:hAnsi="Arial" w:cs="Arial"/>
          <w:bCs/>
        </w:rPr>
        <w:t>³</w:t>
      </w:r>
      <w:r w:rsidRPr="0053674F">
        <w:rPr>
          <w:rFonts w:ascii="Arial" w:hAnsi="Arial" w:cs="Arial"/>
        </w:rPr>
        <w:t xml:space="preserve">, as reported by Dai </w:t>
      </w:r>
      <w:r w:rsidRPr="0053674F">
        <w:rPr>
          <w:rFonts w:ascii="Arial" w:hAnsi="Arial" w:cs="Arial"/>
          <w:i/>
        </w:rPr>
        <w:t>et al.,</w:t>
      </w:r>
      <w:r w:rsidRPr="0053674F">
        <w:rPr>
          <w:rFonts w:ascii="Arial" w:hAnsi="Arial" w:cs="Arial"/>
        </w:rPr>
        <w:t xml:space="preserve"> (2015). These results are in agreement with Bora </w:t>
      </w:r>
      <w:r w:rsidRPr="0053674F">
        <w:rPr>
          <w:rFonts w:ascii="Arial" w:hAnsi="Arial" w:cs="Arial"/>
          <w:i/>
        </w:rPr>
        <w:t>et al.,</w:t>
      </w:r>
      <w:r w:rsidRPr="0053674F">
        <w:rPr>
          <w:rFonts w:ascii="Arial" w:hAnsi="Arial" w:cs="Arial"/>
        </w:rPr>
        <w:t xml:space="preserve"> (2023), who documented </w:t>
      </w:r>
      <w:r w:rsidRPr="0053674F">
        <w:rPr>
          <w:rFonts w:ascii="Arial" w:hAnsi="Arial" w:cs="Arial"/>
          <w:bCs/>
        </w:rPr>
        <w:t>bulk densities for mulberry wood</w:t>
      </w:r>
      <w:r w:rsidRPr="0053674F">
        <w:rPr>
          <w:rFonts w:ascii="Arial" w:hAnsi="Arial" w:cs="Arial"/>
        </w:rPr>
        <w:t xml:space="preserve"> between </w:t>
      </w:r>
      <w:r w:rsidRPr="0053674F">
        <w:rPr>
          <w:rFonts w:ascii="Arial" w:hAnsi="Arial" w:cs="Arial"/>
          <w:bCs/>
        </w:rPr>
        <w:t>165.69 kg m</w:t>
      </w:r>
      <w:r w:rsidRPr="0053674F">
        <w:rPr>
          <w:rFonts w:ascii="Cambria Math" w:hAnsi="Cambria Math" w:cs="Cambria Math"/>
          <w:bCs/>
        </w:rPr>
        <w:t>⁻</w:t>
      </w:r>
      <w:r w:rsidRPr="0053674F">
        <w:rPr>
          <w:rFonts w:ascii="Arial" w:hAnsi="Arial" w:cs="Arial"/>
          <w:bCs/>
        </w:rPr>
        <w:t>³ and 210.98 kg m</w:t>
      </w:r>
      <w:r w:rsidRPr="0053674F">
        <w:rPr>
          <w:rFonts w:ascii="Cambria Math" w:hAnsi="Cambria Math" w:cs="Cambria Math"/>
          <w:bCs/>
        </w:rPr>
        <w:t>⁻</w:t>
      </w:r>
      <w:r w:rsidRPr="0053674F">
        <w:rPr>
          <w:rFonts w:ascii="Arial" w:hAnsi="Arial" w:cs="Arial"/>
          <w:bCs/>
        </w:rPr>
        <w:t>³</w:t>
      </w:r>
      <w:r w:rsidRPr="0053674F">
        <w:rPr>
          <w:rFonts w:ascii="Arial" w:hAnsi="Arial" w:cs="Arial"/>
        </w:rPr>
        <w:t>, further validating the current findings.</w:t>
      </w:r>
    </w:p>
    <w:p w14:paraId="3F411181" w14:textId="77777777" w:rsidR="009263D6" w:rsidRPr="009263D6" w:rsidRDefault="009263D6" w:rsidP="009263D6">
      <w:pPr>
        <w:pStyle w:val="Body"/>
        <w:spacing w:after="0"/>
        <w:rPr>
          <w:rFonts w:ascii="Arial" w:hAnsi="Arial" w:cs="Arial"/>
        </w:rPr>
      </w:pPr>
      <w:r w:rsidRPr="009263D6">
        <w:rPr>
          <w:rFonts w:ascii="Arial" w:hAnsi="Arial" w:cs="Arial"/>
        </w:rPr>
        <w:t xml:space="preserve">The </w:t>
      </w:r>
      <w:r w:rsidRPr="009263D6">
        <w:rPr>
          <w:rFonts w:ascii="Arial" w:hAnsi="Arial" w:cs="Arial"/>
          <w:bCs/>
        </w:rPr>
        <w:t>basic density</w:t>
      </w:r>
      <w:r w:rsidRPr="009263D6">
        <w:rPr>
          <w:rFonts w:ascii="Arial" w:hAnsi="Arial" w:cs="Arial"/>
        </w:rPr>
        <w:t xml:space="preserve"> values recorded in the present study (619.09–701.80 kg m</w:t>
      </w:r>
      <w:r w:rsidRPr="009263D6">
        <w:rPr>
          <w:rFonts w:ascii="Cambria Math" w:hAnsi="Cambria Math" w:cs="Cambria Math"/>
        </w:rPr>
        <w:t>⁻</w:t>
      </w:r>
      <w:r w:rsidRPr="009263D6">
        <w:rPr>
          <w:rFonts w:ascii="Arial" w:hAnsi="Arial" w:cs="Arial"/>
        </w:rPr>
        <w:t xml:space="preserve">³) are also consistent with the findings </w:t>
      </w:r>
      <w:r w:rsidRPr="00780253">
        <w:rPr>
          <w:rFonts w:ascii="Arial" w:hAnsi="Arial" w:cs="Arial"/>
        </w:rPr>
        <w:t xml:space="preserve">of Parthiban </w:t>
      </w:r>
      <w:r w:rsidRPr="00780253">
        <w:rPr>
          <w:rFonts w:ascii="Arial" w:hAnsi="Arial" w:cs="Arial"/>
          <w:i/>
        </w:rPr>
        <w:t>et al.,</w:t>
      </w:r>
      <w:r w:rsidRPr="00780253">
        <w:rPr>
          <w:rFonts w:ascii="Arial" w:hAnsi="Arial" w:cs="Arial"/>
        </w:rPr>
        <w:t xml:space="preserve"> (2020), who reported</w:t>
      </w:r>
      <w:r w:rsidRPr="009263D6">
        <w:rPr>
          <w:rFonts w:ascii="Arial" w:hAnsi="Arial" w:cs="Arial"/>
        </w:rPr>
        <w:t xml:space="preserve"> similar density values for multiple fuelwood species such as </w:t>
      </w:r>
      <w:r w:rsidRPr="009263D6">
        <w:rPr>
          <w:rFonts w:ascii="Arial" w:hAnsi="Arial" w:cs="Arial"/>
          <w:i/>
          <w:iCs/>
        </w:rPr>
        <w:t>Eucalyptus</w:t>
      </w:r>
      <w:r w:rsidRPr="009263D6">
        <w:rPr>
          <w:rFonts w:ascii="Arial" w:hAnsi="Arial" w:cs="Arial"/>
        </w:rPr>
        <w:t xml:space="preserve"> (540 kg m</w:t>
      </w:r>
      <w:r w:rsidRPr="009263D6">
        <w:rPr>
          <w:rFonts w:ascii="Cambria Math" w:hAnsi="Cambria Math" w:cs="Cambria Math"/>
        </w:rPr>
        <w:t>⁻</w:t>
      </w:r>
      <w:r w:rsidRPr="009263D6">
        <w:rPr>
          <w:rFonts w:ascii="Arial" w:hAnsi="Arial" w:cs="Arial"/>
        </w:rPr>
        <w:t xml:space="preserve">³), </w:t>
      </w:r>
      <w:r w:rsidRPr="009263D6">
        <w:rPr>
          <w:rFonts w:ascii="Arial" w:hAnsi="Arial" w:cs="Arial"/>
          <w:i/>
          <w:iCs/>
        </w:rPr>
        <w:t>Casuarina</w:t>
      </w:r>
      <w:r w:rsidRPr="009263D6">
        <w:rPr>
          <w:rFonts w:ascii="Arial" w:hAnsi="Arial" w:cs="Arial"/>
        </w:rPr>
        <w:t xml:space="preserve"> (495 kg m</w:t>
      </w:r>
      <w:r w:rsidRPr="009263D6">
        <w:rPr>
          <w:rFonts w:ascii="Cambria Math" w:hAnsi="Cambria Math" w:cs="Cambria Math"/>
        </w:rPr>
        <w:t>⁻</w:t>
      </w:r>
      <w:r w:rsidRPr="009263D6">
        <w:rPr>
          <w:rFonts w:ascii="Arial" w:hAnsi="Arial" w:cs="Arial"/>
        </w:rPr>
        <w:t xml:space="preserve">³), </w:t>
      </w:r>
      <w:r w:rsidRPr="009263D6">
        <w:rPr>
          <w:rFonts w:ascii="Arial" w:hAnsi="Arial" w:cs="Arial"/>
          <w:i/>
          <w:iCs/>
        </w:rPr>
        <w:t>Chukrasia tabularis</w:t>
      </w:r>
      <w:r w:rsidRPr="009263D6">
        <w:rPr>
          <w:rFonts w:ascii="Arial" w:hAnsi="Arial" w:cs="Arial"/>
        </w:rPr>
        <w:t xml:space="preserve"> (467.11 kg m</w:t>
      </w:r>
      <w:r w:rsidRPr="009263D6">
        <w:rPr>
          <w:rFonts w:ascii="Cambria Math" w:hAnsi="Cambria Math" w:cs="Cambria Math"/>
        </w:rPr>
        <w:t>⁻</w:t>
      </w:r>
      <w:r w:rsidRPr="009263D6">
        <w:rPr>
          <w:rFonts w:ascii="Arial" w:hAnsi="Arial" w:cs="Arial"/>
        </w:rPr>
        <w:t xml:space="preserve">³), </w:t>
      </w:r>
      <w:r w:rsidRPr="009263D6">
        <w:rPr>
          <w:rFonts w:ascii="Arial" w:hAnsi="Arial" w:cs="Arial"/>
          <w:i/>
          <w:iCs/>
        </w:rPr>
        <w:t>Dalbergia sissoo</w:t>
      </w:r>
      <w:r w:rsidRPr="009263D6">
        <w:rPr>
          <w:rFonts w:ascii="Arial" w:hAnsi="Arial" w:cs="Arial"/>
        </w:rPr>
        <w:t xml:space="preserve"> (610 kg m</w:t>
      </w:r>
      <w:r w:rsidRPr="009263D6">
        <w:rPr>
          <w:rFonts w:ascii="Cambria Math" w:hAnsi="Cambria Math" w:cs="Cambria Math"/>
        </w:rPr>
        <w:t>⁻</w:t>
      </w:r>
      <w:r w:rsidRPr="009263D6">
        <w:rPr>
          <w:rFonts w:ascii="Arial" w:hAnsi="Arial" w:cs="Arial"/>
        </w:rPr>
        <w:t xml:space="preserve">³), </w:t>
      </w:r>
      <w:r w:rsidRPr="009263D6">
        <w:rPr>
          <w:rFonts w:ascii="Arial" w:hAnsi="Arial" w:cs="Arial"/>
          <w:i/>
          <w:iCs/>
        </w:rPr>
        <w:t>Acacia auriculiformis</w:t>
      </w:r>
      <w:r w:rsidRPr="009263D6">
        <w:rPr>
          <w:rFonts w:ascii="Arial" w:hAnsi="Arial" w:cs="Arial"/>
        </w:rPr>
        <w:t xml:space="preserve"> (580 kg m</w:t>
      </w:r>
      <w:r w:rsidRPr="009263D6">
        <w:rPr>
          <w:rFonts w:ascii="Cambria Math" w:hAnsi="Cambria Math" w:cs="Cambria Math"/>
        </w:rPr>
        <w:t>⁻</w:t>
      </w:r>
      <w:r w:rsidRPr="009263D6">
        <w:rPr>
          <w:rFonts w:ascii="Arial" w:hAnsi="Arial" w:cs="Arial"/>
        </w:rPr>
        <w:t xml:space="preserve">³), and </w:t>
      </w:r>
      <w:r w:rsidRPr="009263D6">
        <w:rPr>
          <w:rFonts w:ascii="Arial" w:hAnsi="Arial" w:cs="Arial"/>
          <w:i/>
          <w:iCs/>
        </w:rPr>
        <w:t>Leucaena leucocephala</w:t>
      </w:r>
      <w:r w:rsidRPr="009263D6">
        <w:rPr>
          <w:rFonts w:ascii="Arial" w:hAnsi="Arial" w:cs="Arial"/>
        </w:rPr>
        <w:t xml:space="preserve"> (546 kg m</w:t>
      </w:r>
      <w:r w:rsidRPr="009263D6">
        <w:rPr>
          <w:rFonts w:ascii="Cambria Math" w:hAnsi="Cambria Math" w:cs="Cambria Math"/>
        </w:rPr>
        <w:t>⁻</w:t>
      </w:r>
      <w:r w:rsidRPr="009263D6">
        <w:rPr>
          <w:rFonts w:ascii="Arial" w:hAnsi="Arial" w:cs="Arial"/>
        </w:rPr>
        <w:t xml:space="preserve">³). </w:t>
      </w:r>
      <w:r w:rsidRPr="00780253">
        <w:rPr>
          <w:rFonts w:ascii="Arial" w:hAnsi="Arial" w:cs="Arial"/>
        </w:rPr>
        <w:t xml:space="preserve">Furthermore, Bora </w:t>
      </w:r>
      <w:r w:rsidRPr="00780253">
        <w:rPr>
          <w:rFonts w:ascii="Arial" w:hAnsi="Arial" w:cs="Arial"/>
          <w:i/>
        </w:rPr>
        <w:t>et al.,</w:t>
      </w:r>
      <w:r w:rsidRPr="00780253">
        <w:rPr>
          <w:rFonts w:ascii="Arial" w:hAnsi="Arial" w:cs="Arial"/>
        </w:rPr>
        <w:t xml:space="preserve"> (2023) also</w:t>
      </w:r>
      <w:r w:rsidRPr="009263D6">
        <w:rPr>
          <w:rFonts w:ascii="Arial" w:hAnsi="Arial" w:cs="Arial"/>
        </w:rPr>
        <w:t xml:space="preserve"> observed comparable basic densities in mulberry clones, supporting the findings of this study.</w:t>
      </w:r>
    </w:p>
    <w:p w14:paraId="3E49473F" w14:textId="77777777" w:rsidR="009263D6" w:rsidRDefault="009263D6" w:rsidP="009263D6">
      <w:pPr>
        <w:pStyle w:val="Body"/>
        <w:spacing w:after="0"/>
        <w:rPr>
          <w:rFonts w:ascii="Arial" w:hAnsi="Arial" w:cs="Arial"/>
        </w:rPr>
      </w:pPr>
      <w:r w:rsidRPr="009263D6">
        <w:rPr>
          <w:rFonts w:ascii="Arial" w:hAnsi="Arial" w:cs="Arial"/>
        </w:rPr>
        <w:t xml:space="preserve">The </w:t>
      </w:r>
      <w:r w:rsidRPr="009263D6">
        <w:rPr>
          <w:rFonts w:ascii="Arial" w:hAnsi="Arial" w:cs="Arial"/>
          <w:bCs/>
        </w:rPr>
        <w:t>significant inter-clonal differences</w:t>
      </w:r>
      <w:r w:rsidRPr="009263D6">
        <w:rPr>
          <w:rFonts w:ascii="Arial" w:hAnsi="Arial" w:cs="Arial"/>
        </w:rPr>
        <w:t xml:space="preserve"> in both bulk and basic densities among the seventeen mulberry genetic resources highlight their </w:t>
      </w:r>
      <w:r w:rsidRPr="009263D6">
        <w:rPr>
          <w:rFonts w:ascii="Arial" w:hAnsi="Arial" w:cs="Arial"/>
          <w:bCs/>
        </w:rPr>
        <w:t>diverse structural characteristics and potential utility in energy-related applications</w:t>
      </w:r>
      <w:r w:rsidRPr="009263D6">
        <w:rPr>
          <w:rFonts w:ascii="Arial" w:hAnsi="Arial" w:cs="Arial"/>
        </w:rPr>
        <w:t>.</w:t>
      </w:r>
    </w:p>
    <w:p w14:paraId="1C3F1D5F" w14:textId="77777777" w:rsidR="009263D6" w:rsidRPr="009263D6" w:rsidRDefault="009263D6" w:rsidP="009263D6">
      <w:pPr>
        <w:spacing w:before="100" w:beforeAutospacing="1" w:after="100" w:afterAutospacing="1"/>
        <w:ind w:right="571"/>
        <w:jc w:val="both"/>
        <w:rPr>
          <w:rFonts w:ascii="Arial" w:hAnsi="Arial" w:cs="Arial"/>
          <w:b/>
          <w:bCs/>
          <w:i/>
          <w:u w:val="single"/>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1.3 </w:t>
      </w:r>
      <w:r w:rsidRPr="000B61ED">
        <w:rPr>
          <w:rFonts w:ascii="Arial" w:hAnsi="Arial" w:cs="Arial"/>
          <w:b/>
          <w:bCs/>
          <w:u w:val="single"/>
        </w:rPr>
        <w:t>Specific gravity</w:t>
      </w:r>
    </w:p>
    <w:p w14:paraId="3C56850D" w14:textId="77777777" w:rsidR="009263D6" w:rsidRPr="009263D6" w:rsidRDefault="009263D6" w:rsidP="009263D6">
      <w:pPr>
        <w:pStyle w:val="Body"/>
        <w:spacing w:after="0"/>
        <w:rPr>
          <w:rFonts w:ascii="Arial" w:hAnsi="Arial" w:cs="Arial"/>
        </w:rPr>
      </w:pPr>
      <w:r w:rsidRPr="009263D6">
        <w:rPr>
          <w:rFonts w:ascii="Arial" w:hAnsi="Arial" w:cs="Arial"/>
        </w:rPr>
        <w:t xml:space="preserve">The </w:t>
      </w:r>
      <w:r w:rsidRPr="009263D6">
        <w:rPr>
          <w:rFonts w:ascii="Arial" w:hAnsi="Arial" w:cs="Arial"/>
          <w:bCs/>
        </w:rPr>
        <w:t>specific gravity</w:t>
      </w:r>
      <w:r w:rsidRPr="009263D6">
        <w:rPr>
          <w:rFonts w:ascii="Arial" w:hAnsi="Arial" w:cs="Arial"/>
        </w:rPr>
        <w:t xml:space="preserve"> of the mulberry clones displayed notable variation, ranging from </w:t>
      </w:r>
      <w:r w:rsidRPr="009263D6">
        <w:rPr>
          <w:rFonts w:ascii="Arial" w:hAnsi="Arial" w:cs="Arial"/>
          <w:bCs/>
        </w:rPr>
        <w:t>0.55 ± 0.02</w:t>
      </w:r>
      <w:r w:rsidRPr="009263D6">
        <w:rPr>
          <w:rFonts w:ascii="Arial" w:hAnsi="Arial" w:cs="Arial"/>
        </w:rPr>
        <w:t xml:space="preserve"> in </w:t>
      </w:r>
      <w:r w:rsidRPr="009263D6">
        <w:rPr>
          <w:rFonts w:ascii="Arial" w:hAnsi="Arial" w:cs="Arial"/>
          <w:bCs/>
        </w:rPr>
        <w:t>ME-0174</w:t>
      </w:r>
      <w:r w:rsidRPr="009263D6">
        <w:rPr>
          <w:rFonts w:ascii="Arial" w:hAnsi="Arial" w:cs="Arial"/>
        </w:rPr>
        <w:t xml:space="preserve"> to </w:t>
      </w:r>
      <w:r w:rsidRPr="009263D6">
        <w:rPr>
          <w:rFonts w:ascii="Arial" w:hAnsi="Arial" w:cs="Arial"/>
          <w:bCs/>
        </w:rPr>
        <w:t>0.74 ± 0.03</w:t>
      </w:r>
      <w:r w:rsidRPr="009263D6">
        <w:rPr>
          <w:rFonts w:ascii="Arial" w:hAnsi="Arial" w:cs="Arial"/>
        </w:rPr>
        <w:t xml:space="preserve"> in </w:t>
      </w:r>
      <w:r w:rsidRPr="009263D6">
        <w:rPr>
          <w:rFonts w:ascii="Arial" w:hAnsi="Arial" w:cs="Arial"/>
          <w:bCs/>
        </w:rPr>
        <w:t>MI-0845</w:t>
      </w:r>
      <w:r w:rsidRPr="009263D6">
        <w:rPr>
          <w:rFonts w:ascii="Arial" w:hAnsi="Arial" w:cs="Arial"/>
        </w:rPr>
        <w:t xml:space="preserve">, as shown in Table 1. The </w:t>
      </w:r>
      <w:r w:rsidRPr="009263D6">
        <w:rPr>
          <w:rFonts w:ascii="Arial" w:hAnsi="Arial" w:cs="Arial"/>
          <w:bCs/>
        </w:rPr>
        <w:t>mean specific gravity</w:t>
      </w:r>
      <w:r w:rsidRPr="009263D6">
        <w:rPr>
          <w:rFonts w:ascii="Arial" w:hAnsi="Arial" w:cs="Arial"/>
        </w:rPr>
        <w:t xml:space="preserve"> across the seventeen clones was recorded as </w:t>
      </w:r>
      <w:r w:rsidRPr="009263D6">
        <w:rPr>
          <w:rFonts w:ascii="Arial" w:hAnsi="Arial" w:cs="Arial"/>
          <w:bCs/>
        </w:rPr>
        <w:t>0.63</w:t>
      </w:r>
      <w:r w:rsidRPr="009263D6">
        <w:rPr>
          <w:rFonts w:ascii="Arial" w:hAnsi="Arial" w:cs="Arial"/>
        </w:rPr>
        <w:t xml:space="preserve">. </w:t>
      </w:r>
      <w:r w:rsidRPr="009263D6">
        <w:rPr>
          <w:rFonts w:ascii="Arial" w:hAnsi="Arial" w:cs="Arial"/>
          <w:bCs/>
        </w:rPr>
        <w:t>Statistical analysis (</w:t>
      </w:r>
      <w:r w:rsidRPr="009263D6">
        <w:rPr>
          <w:rFonts w:ascii="Arial" w:hAnsi="Arial" w:cs="Arial"/>
          <w:bCs/>
          <w:i/>
        </w:rPr>
        <w:t>P</w:t>
      </w:r>
      <w:r w:rsidRPr="009263D6">
        <w:rPr>
          <w:rFonts w:ascii="Arial" w:hAnsi="Arial" w:cs="Arial"/>
          <w:bCs/>
        </w:rPr>
        <w:t xml:space="preserve"> &lt; 0.05)</w:t>
      </w:r>
      <w:r w:rsidRPr="009263D6">
        <w:rPr>
          <w:rFonts w:ascii="Arial" w:hAnsi="Arial" w:cs="Arial"/>
        </w:rPr>
        <w:t xml:space="preserve"> confirmed significant differences among the clones, indicating substantial variation in their specific gravity values.</w:t>
      </w:r>
    </w:p>
    <w:p w14:paraId="5E3B1EC2" w14:textId="7D9B6C3D" w:rsidR="009263D6" w:rsidRPr="009263D6" w:rsidRDefault="009263D6" w:rsidP="005526DF">
      <w:pPr>
        <w:pStyle w:val="Body"/>
        <w:spacing w:before="240" w:after="0"/>
        <w:rPr>
          <w:rFonts w:ascii="Arial" w:hAnsi="Arial" w:cs="Arial"/>
        </w:rPr>
      </w:pPr>
      <w:r w:rsidRPr="009263D6">
        <w:rPr>
          <w:rFonts w:ascii="Arial" w:hAnsi="Arial" w:cs="Arial"/>
        </w:rPr>
        <w:lastRenderedPageBreak/>
        <w:t xml:space="preserve">Specific gravity serves as an important indicator of </w:t>
      </w:r>
      <w:r w:rsidRPr="009263D6">
        <w:rPr>
          <w:rFonts w:ascii="Arial" w:hAnsi="Arial" w:cs="Arial"/>
          <w:bCs/>
        </w:rPr>
        <w:t>carbon distribution and biomass density</w:t>
      </w:r>
      <w:r w:rsidRPr="009263D6">
        <w:rPr>
          <w:rFonts w:ascii="Arial" w:hAnsi="Arial" w:cs="Arial"/>
        </w:rPr>
        <w:t xml:space="preserve"> in woody </w:t>
      </w:r>
      <w:r w:rsidRPr="00780253">
        <w:rPr>
          <w:rFonts w:ascii="Arial" w:hAnsi="Arial" w:cs="Arial"/>
        </w:rPr>
        <w:t>materials (Woodcock and Shier, 2002). In this</w:t>
      </w:r>
      <w:r w:rsidRPr="009263D6">
        <w:rPr>
          <w:rFonts w:ascii="Arial" w:hAnsi="Arial" w:cs="Arial"/>
        </w:rPr>
        <w:t xml:space="preserve"> study, the </w:t>
      </w:r>
      <w:r w:rsidRPr="00780253">
        <w:rPr>
          <w:rFonts w:ascii="Arial" w:hAnsi="Arial" w:cs="Arial"/>
        </w:rPr>
        <w:t xml:space="preserve">observed range (0.55–0.74) aligns well with the optimal range for energy wood species proposed by Chow and Lucas (1998), who recommended a typical range of </w:t>
      </w:r>
      <w:r w:rsidRPr="00780253">
        <w:rPr>
          <w:rFonts w:ascii="Arial" w:hAnsi="Arial" w:cs="Arial"/>
          <w:bCs/>
        </w:rPr>
        <w:t>0.45 to 0.70</w:t>
      </w:r>
      <w:r w:rsidRPr="00780253">
        <w:rPr>
          <w:rFonts w:ascii="Arial" w:hAnsi="Arial" w:cs="Arial"/>
        </w:rPr>
        <w:t>. Although the upper limit in</w:t>
      </w:r>
      <w:r w:rsidRPr="009263D6">
        <w:rPr>
          <w:rFonts w:ascii="Arial" w:hAnsi="Arial" w:cs="Arial"/>
        </w:rPr>
        <w:t xml:space="preserve"> clone MI-0845 slightly exceeded this range, it still reflects the </w:t>
      </w:r>
      <w:r w:rsidRPr="009263D6">
        <w:rPr>
          <w:rFonts w:ascii="Arial" w:hAnsi="Arial" w:cs="Arial"/>
          <w:bCs/>
        </w:rPr>
        <w:t>high biomass potential</w:t>
      </w:r>
      <w:r w:rsidRPr="009263D6">
        <w:rPr>
          <w:rFonts w:ascii="Arial" w:hAnsi="Arial" w:cs="Arial"/>
        </w:rPr>
        <w:t xml:space="preserve"> of the clone. Furthermore, the current findings are </w:t>
      </w:r>
      <w:r w:rsidRPr="00780253">
        <w:rPr>
          <w:rFonts w:ascii="Arial" w:hAnsi="Arial" w:cs="Arial"/>
        </w:rPr>
        <w:t xml:space="preserve">consistent with </w:t>
      </w:r>
      <w:r w:rsidR="00780253" w:rsidRPr="00780253">
        <w:rPr>
          <w:rFonts w:ascii="Arial" w:hAnsi="Arial" w:cs="Arial"/>
        </w:rPr>
        <w:t xml:space="preserve">Se </w:t>
      </w:r>
      <w:r w:rsidRPr="00780253">
        <w:rPr>
          <w:rFonts w:ascii="Arial" w:hAnsi="Arial" w:cs="Arial"/>
        </w:rPr>
        <w:t xml:space="preserve">Golpayegani </w:t>
      </w:r>
      <w:r w:rsidRPr="00780253">
        <w:rPr>
          <w:rFonts w:ascii="Arial" w:hAnsi="Arial" w:cs="Arial"/>
          <w:i/>
        </w:rPr>
        <w:t>et al.,</w:t>
      </w:r>
      <w:r w:rsidRPr="00780253">
        <w:rPr>
          <w:rFonts w:ascii="Arial" w:hAnsi="Arial" w:cs="Arial"/>
        </w:rPr>
        <w:t xml:space="preserve"> (2012),</w:t>
      </w:r>
      <w:r w:rsidRPr="009263D6">
        <w:rPr>
          <w:rFonts w:ascii="Arial" w:hAnsi="Arial" w:cs="Arial"/>
        </w:rPr>
        <w:t xml:space="preserve"> who reported </w:t>
      </w:r>
      <w:r w:rsidRPr="009263D6">
        <w:rPr>
          <w:rFonts w:ascii="Arial" w:hAnsi="Arial" w:cs="Arial"/>
          <w:bCs/>
        </w:rPr>
        <w:t>specific gravity values between 0.45 and 0.61</w:t>
      </w:r>
      <w:r w:rsidRPr="009263D6">
        <w:rPr>
          <w:rFonts w:ascii="Arial" w:hAnsi="Arial" w:cs="Arial"/>
        </w:rPr>
        <w:t xml:space="preserve"> for </w:t>
      </w:r>
      <w:r w:rsidRPr="009263D6">
        <w:rPr>
          <w:rFonts w:ascii="Arial" w:hAnsi="Arial" w:cs="Arial"/>
          <w:i/>
          <w:iCs/>
        </w:rPr>
        <w:t>Morus alba</w:t>
      </w:r>
      <w:r w:rsidRPr="009263D6">
        <w:rPr>
          <w:rFonts w:ascii="Arial" w:hAnsi="Arial" w:cs="Arial"/>
        </w:rPr>
        <w:t xml:space="preserve">. Similar ranges of specific gravity have been reported in other energy wood species, with </w:t>
      </w:r>
      <w:r w:rsidRPr="009263D6">
        <w:rPr>
          <w:rFonts w:ascii="Arial" w:hAnsi="Arial" w:cs="Arial"/>
          <w:i/>
          <w:iCs/>
        </w:rPr>
        <w:t>Cassia siamea</w:t>
      </w:r>
      <w:r w:rsidRPr="009263D6">
        <w:rPr>
          <w:rFonts w:ascii="Arial" w:hAnsi="Arial" w:cs="Arial"/>
        </w:rPr>
        <w:t xml:space="preserve"> exhibiting a value of 0.43, </w:t>
      </w:r>
      <w:r w:rsidRPr="009263D6">
        <w:rPr>
          <w:rFonts w:ascii="Arial" w:hAnsi="Arial" w:cs="Arial"/>
          <w:i/>
          <w:iCs/>
        </w:rPr>
        <w:t>Leucaena leucocephala</w:t>
      </w:r>
      <w:r w:rsidRPr="009263D6">
        <w:rPr>
          <w:rFonts w:ascii="Arial" w:hAnsi="Arial" w:cs="Arial"/>
        </w:rPr>
        <w:t xml:space="preserve"> at 0.69, and </w:t>
      </w:r>
      <w:r w:rsidRPr="009263D6">
        <w:rPr>
          <w:rFonts w:ascii="Arial" w:hAnsi="Arial" w:cs="Arial"/>
          <w:i/>
          <w:iCs/>
        </w:rPr>
        <w:t>Gliricidia sepium</w:t>
      </w:r>
      <w:r w:rsidRPr="009263D6">
        <w:rPr>
          <w:rFonts w:ascii="Arial" w:hAnsi="Arial" w:cs="Arial"/>
        </w:rPr>
        <w:t xml:space="preserve"> ranging from 0.45 to 0.75, as documented by </w:t>
      </w:r>
      <w:proofErr w:type="spellStart"/>
      <w:r w:rsidRPr="00780253">
        <w:rPr>
          <w:rFonts w:ascii="Arial" w:hAnsi="Arial" w:cs="Arial"/>
        </w:rPr>
        <w:t>Mainoo</w:t>
      </w:r>
      <w:proofErr w:type="spellEnd"/>
      <w:r w:rsidRPr="00780253">
        <w:rPr>
          <w:rFonts w:ascii="Arial" w:hAnsi="Arial" w:cs="Arial"/>
        </w:rPr>
        <w:t xml:space="preserve"> and </w:t>
      </w:r>
      <w:proofErr w:type="spellStart"/>
      <w:r w:rsidRPr="00780253">
        <w:rPr>
          <w:rFonts w:ascii="Arial" w:hAnsi="Arial" w:cs="Arial"/>
        </w:rPr>
        <w:t>Ulzen</w:t>
      </w:r>
      <w:proofErr w:type="spellEnd"/>
      <w:r w:rsidRPr="00780253">
        <w:rPr>
          <w:rFonts w:ascii="Arial" w:hAnsi="Arial" w:cs="Arial"/>
        </w:rPr>
        <w:t>-Appiah (</w:t>
      </w:r>
      <w:r w:rsidRPr="00857493">
        <w:rPr>
          <w:rFonts w:ascii="Arial" w:hAnsi="Arial" w:cs="Arial"/>
          <w:highlight w:val="yellow"/>
        </w:rPr>
        <w:t>1996).</w:t>
      </w:r>
      <w:r w:rsidR="001645B7" w:rsidRPr="00857493">
        <w:rPr>
          <w:rFonts w:ascii="Arial" w:hAnsi="Arial" w:cs="Arial"/>
          <w:highlight w:val="yellow"/>
        </w:rPr>
        <w:t xml:space="preserve"> </w:t>
      </w:r>
      <w:r w:rsidRPr="00857493">
        <w:rPr>
          <w:rFonts w:ascii="Arial" w:hAnsi="Arial" w:cs="Arial"/>
          <w:highlight w:val="yellow"/>
        </w:rPr>
        <w:t>These results</w:t>
      </w:r>
      <w:r w:rsidRPr="009263D6">
        <w:rPr>
          <w:rFonts w:ascii="Arial" w:hAnsi="Arial" w:cs="Arial"/>
        </w:rPr>
        <w:t xml:space="preserve"> reinforce the potential of </w:t>
      </w:r>
      <w:r w:rsidRPr="009263D6">
        <w:rPr>
          <w:rFonts w:ascii="Arial" w:hAnsi="Arial" w:cs="Arial"/>
          <w:bCs/>
        </w:rPr>
        <w:t>mulberry clones as viable biomass resources</w:t>
      </w:r>
      <w:r w:rsidRPr="009263D6">
        <w:rPr>
          <w:rFonts w:ascii="Arial" w:hAnsi="Arial" w:cs="Arial"/>
        </w:rPr>
        <w:t xml:space="preserve">. The considerable clonal variation in specific gravity observed in this study offers valuable insight for </w:t>
      </w:r>
      <w:r w:rsidRPr="009263D6">
        <w:rPr>
          <w:rFonts w:ascii="Arial" w:hAnsi="Arial" w:cs="Arial"/>
          <w:bCs/>
        </w:rPr>
        <w:t>selection and breeding programs</w:t>
      </w:r>
      <w:r w:rsidRPr="009263D6">
        <w:rPr>
          <w:rFonts w:ascii="Arial" w:hAnsi="Arial" w:cs="Arial"/>
        </w:rPr>
        <w:t xml:space="preserve"> aimed at enhancing </w:t>
      </w:r>
      <w:r w:rsidRPr="009263D6">
        <w:rPr>
          <w:rFonts w:ascii="Arial" w:hAnsi="Arial" w:cs="Arial"/>
          <w:bCs/>
        </w:rPr>
        <w:t>biomass density and energy efficiency</w:t>
      </w:r>
      <w:r w:rsidRPr="009263D6">
        <w:rPr>
          <w:rFonts w:ascii="Arial" w:hAnsi="Arial" w:cs="Arial"/>
        </w:rPr>
        <w:t>.</w:t>
      </w:r>
    </w:p>
    <w:p w14:paraId="1D17ECEB" w14:textId="77777777" w:rsidR="005526DF" w:rsidRPr="005526DF" w:rsidRDefault="005526DF" w:rsidP="005526DF">
      <w:pPr>
        <w:spacing w:before="240" w:after="160"/>
        <w:jc w:val="both"/>
        <w:rPr>
          <w:rFonts w:ascii="Arial" w:eastAsia="Calibri" w:hAnsi="Arial" w:cs="Arial"/>
          <w:b/>
        </w:rPr>
      </w:pPr>
      <w:r>
        <w:rPr>
          <w:rFonts w:ascii="Arial" w:eastAsia="Calibri" w:hAnsi="Arial" w:cs="Arial"/>
          <w:b/>
        </w:rPr>
        <w:t>Table 1</w:t>
      </w:r>
      <w:r w:rsidRPr="00EE2CED">
        <w:rPr>
          <w:rFonts w:ascii="Arial" w:eastAsia="Calibri" w:hAnsi="Arial" w:cs="Arial"/>
          <w:b/>
        </w:rPr>
        <w:t xml:space="preserve">. </w:t>
      </w:r>
      <w:r w:rsidRPr="005526DF">
        <w:rPr>
          <w:rFonts w:ascii="Arial" w:eastAsia="Calibri" w:hAnsi="Arial" w:cs="Arial"/>
          <w:b/>
        </w:rPr>
        <w:t>Physical properties of mulberry genetic resources</w:t>
      </w:r>
    </w:p>
    <w:tbl>
      <w:tblPr>
        <w:tblStyle w:val="TableGrid1"/>
        <w:tblW w:w="9183"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1697"/>
        <w:gridCol w:w="1718"/>
        <w:gridCol w:w="1716"/>
        <w:gridCol w:w="1625"/>
      </w:tblGrid>
      <w:tr w:rsidR="00E03127" w:rsidRPr="005526DF" w14:paraId="5BE3D8FD" w14:textId="77777777" w:rsidTr="00E03127">
        <w:trPr>
          <w:trHeight w:val="493"/>
        </w:trPr>
        <w:tc>
          <w:tcPr>
            <w:tcW w:w="2427" w:type="dxa"/>
            <w:tcBorders>
              <w:top w:val="single" w:sz="4" w:space="0" w:color="auto"/>
              <w:bottom w:val="single" w:sz="4" w:space="0" w:color="auto"/>
            </w:tcBorders>
            <w:noWrap/>
            <w:hideMark/>
          </w:tcPr>
          <w:p w14:paraId="39E8B130" w14:textId="77777777" w:rsidR="005526DF" w:rsidRPr="005526DF" w:rsidRDefault="005526DF" w:rsidP="00E03127">
            <w:pPr>
              <w:rPr>
                <w:rFonts w:ascii="Arial" w:hAnsi="Arial" w:cs="Arial"/>
                <w:b/>
                <w:sz w:val="20"/>
                <w:szCs w:val="20"/>
              </w:rPr>
            </w:pPr>
            <w:r w:rsidRPr="005526DF">
              <w:rPr>
                <w:rFonts w:ascii="Arial" w:hAnsi="Arial" w:cs="Arial"/>
                <w:b/>
                <w:sz w:val="20"/>
                <w:szCs w:val="20"/>
              </w:rPr>
              <w:t>Clones</w:t>
            </w:r>
          </w:p>
        </w:tc>
        <w:tc>
          <w:tcPr>
            <w:tcW w:w="1697" w:type="dxa"/>
            <w:tcBorders>
              <w:top w:val="single" w:sz="4" w:space="0" w:color="auto"/>
              <w:bottom w:val="single" w:sz="4" w:space="0" w:color="auto"/>
            </w:tcBorders>
            <w:noWrap/>
            <w:hideMark/>
          </w:tcPr>
          <w:p w14:paraId="2EE252A9" w14:textId="77777777" w:rsidR="005526DF" w:rsidRPr="005526DF" w:rsidRDefault="005526DF" w:rsidP="00E03127">
            <w:pPr>
              <w:rPr>
                <w:rFonts w:ascii="Arial" w:hAnsi="Arial" w:cs="Arial"/>
                <w:b/>
                <w:sz w:val="20"/>
                <w:szCs w:val="20"/>
              </w:rPr>
            </w:pPr>
            <w:r w:rsidRPr="005526DF">
              <w:rPr>
                <w:rFonts w:ascii="Arial" w:hAnsi="Arial" w:cs="Arial"/>
                <w:b/>
                <w:sz w:val="20"/>
                <w:szCs w:val="20"/>
              </w:rPr>
              <w:t>Moisture content (%)</w:t>
            </w:r>
          </w:p>
        </w:tc>
        <w:tc>
          <w:tcPr>
            <w:tcW w:w="1718" w:type="dxa"/>
            <w:tcBorders>
              <w:top w:val="single" w:sz="4" w:space="0" w:color="auto"/>
              <w:bottom w:val="single" w:sz="4" w:space="0" w:color="auto"/>
            </w:tcBorders>
            <w:noWrap/>
            <w:hideMark/>
          </w:tcPr>
          <w:p w14:paraId="3B89D72A" w14:textId="77777777" w:rsidR="005526DF" w:rsidRPr="005526DF" w:rsidRDefault="005526DF" w:rsidP="00E03127">
            <w:pPr>
              <w:rPr>
                <w:rFonts w:ascii="Arial" w:hAnsi="Arial" w:cs="Arial"/>
                <w:b/>
                <w:sz w:val="20"/>
                <w:szCs w:val="20"/>
              </w:rPr>
            </w:pPr>
            <w:r w:rsidRPr="005526DF">
              <w:rPr>
                <w:rFonts w:ascii="Arial" w:hAnsi="Arial" w:cs="Arial"/>
                <w:b/>
                <w:sz w:val="20"/>
                <w:szCs w:val="20"/>
              </w:rPr>
              <w:t>Bulk density (Kg m</w:t>
            </w:r>
            <w:r w:rsidRPr="005526DF">
              <w:rPr>
                <w:rFonts w:ascii="Arial" w:hAnsi="Arial" w:cs="Arial"/>
                <w:b/>
                <w:sz w:val="20"/>
                <w:szCs w:val="20"/>
                <w:vertAlign w:val="superscript"/>
              </w:rPr>
              <w:t>-3</w:t>
            </w:r>
            <w:r w:rsidRPr="005526DF">
              <w:rPr>
                <w:rFonts w:ascii="Arial" w:hAnsi="Arial" w:cs="Arial"/>
                <w:b/>
                <w:sz w:val="20"/>
                <w:szCs w:val="20"/>
              </w:rPr>
              <w:t>)</w:t>
            </w:r>
          </w:p>
        </w:tc>
        <w:tc>
          <w:tcPr>
            <w:tcW w:w="1716" w:type="dxa"/>
            <w:tcBorders>
              <w:top w:val="single" w:sz="4" w:space="0" w:color="auto"/>
              <w:bottom w:val="single" w:sz="4" w:space="0" w:color="auto"/>
            </w:tcBorders>
            <w:noWrap/>
            <w:hideMark/>
          </w:tcPr>
          <w:p w14:paraId="321041D2" w14:textId="77777777" w:rsidR="005526DF" w:rsidRPr="005526DF" w:rsidRDefault="005526DF" w:rsidP="00E03127">
            <w:pPr>
              <w:rPr>
                <w:rFonts w:ascii="Arial" w:hAnsi="Arial" w:cs="Arial"/>
                <w:b/>
                <w:sz w:val="20"/>
                <w:szCs w:val="20"/>
              </w:rPr>
            </w:pPr>
            <w:r w:rsidRPr="005526DF">
              <w:rPr>
                <w:rFonts w:ascii="Arial" w:hAnsi="Arial" w:cs="Arial"/>
                <w:b/>
                <w:sz w:val="20"/>
                <w:szCs w:val="20"/>
              </w:rPr>
              <w:t>Basic density (Kg m</w:t>
            </w:r>
            <w:r w:rsidRPr="005526DF">
              <w:rPr>
                <w:rFonts w:ascii="Arial" w:hAnsi="Arial" w:cs="Arial"/>
                <w:b/>
                <w:sz w:val="20"/>
                <w:szCs w:val="20"/>
                <w:vertAlign w:val="superscript"/>
              </w:rPr>
              <w:t>-3</w:t>
            </w:r>
            <w:r w:rsidRPr="005526DF">
              <w:rPr>
                <w:rFonts w:ascii="Arial" w:hAnsi="Arial" w:cs="Arial"/>
                <w:b/>
                <w:sz w:val="20"/>
                <w:szCs w:val="20"/>
              </w:rPr>
              <w:t>)</w:t>
            </w:r>
          </w:p>
        </w:tc>
        <w:tc>
          <w:tcPr>
            <w:tcW w:w="1625" w:type="dxa"/>
            <w:tcBorders>
              <w:top w:val="single" w:sz="4" w:space="0" w:color="auto"/>
              <w:bottom w:val="single" w:sz="4" w:space="0" w:color="auto"/>
            </w:tcBorders>
            <w:noWrap/>
            <w:hideMark/>
          </w:tcPr>
          <w:p w14:paraId="34B9EDC8" w14:textId="77777777" w:rsidR="005526DF" w:rsidRPr="005526DF" w:rsidRDefault="005526DF" w:rsidP="00E03127">
            <w:pPr>
              <w:rPr>
                <w:rFonts w:ascii="Arial" w:hAnsi="Arial" w:cs="Arial"/>
                <w:b/>
                <w:sz w:val="20"/>
                <w:szCs w:val="20"/>
              </w:rPr>
            </w:pPr>
            <w:r w:rsidRPr="005526DF">
              <w:rPr>
                <w:rFonts w:ascii="Arial" w:hAnsi="Arial" w:cs="Arial"/>
                <w:b/>
                <w:sz w:val="20"/>
                <w:szCs w:val="20"/>
              </w:rPr>
              <w:t>Specific gravity</w:t>
            </w:r>
          </w:p>
        </w:tc>
      </w:tr>
      <w:tr w:rsidR="00E03127" w:rsidRPr="005526DF" w14:paraId="2061D180" w14:textId="77777777" w:rsidTr="00E03127">
        <w:trPr>
          <w:trHeight w:val="350"/>
        </w:trPr>
        <w:tc>
          <w:tcPr>
            <w:tcW w:w="2427" w:type="dxa"/>
            <w:tcBorders>
              <w:top w:val="single" w:sz="4" w:space="0" w:color="auto"/>
            </w:tcBorders>
            <w:noWrap/>
            <w:hideMark/>
          </w:tcPr>
          <w:p w14:paraId="4F0838C0" w14:textId="77777777" w:rsidR="005526DF" w:rsidRPr="005526DF" w:rsidRDefault="005526DF" w:rsidP="00E03127">
            <w:pPr>
              <w:rPr>
                <w:rFonts w:ascii="Arial" w:hAnsi="Arial" w:cs="Arial"/>
                <w:sz w:val="20"/>
                <w:szCs w:val="20"/>
              </w:rPr>
            </w:pPr>
            <w:r w:rsidRPr="005526DF">
              <w:rPr>
                <w:rFonts w:ascii="Arial" w:hAnsi="Arial" w:cs="Arial"/>
                <w:sz w:val="20"/>
                <w:szCs w:val="20"/>
              </w:rPr>
              <w:t>MI- 0674</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tcBorders>
              <w:top w:val="single" w:sz="4" w:space="0" w:color="auto"/>
            </w:tcBorders>
            <w:noWrap/>
            <w:hideMark/>
          </w:tcPr>
          <w:p w14:paraId="09760B99" w14:textId="77777777" w:rsidR="005526DF" w:rsidRPr="005526DF" w:rsidRDefault="005526DF" w:rsidP="00E03127">
            <w:pPr>
              <w:rPr>
                <w:rFonts w:ascii="Arial" w:hAnsi="Arial" w:cs="Arial"/>
                <w:sz w:val="20"/>
                <w:szCs w:val="20"/>
              </w:rPr>
            </w:pPr>
            <w:r w:rsidRPr="005526DF">
              <w:rPr>
                <w:rFonts w:ascii="Arial" w:hAnsi="Arial" w:cs="Arial"/>
                <w:sz w:val="20"/>
                <w:szCs w:val="20"/>
              </w:rPr>
              <w:t>31.41±0.68</w:t>
            </w:r>
            <w:r w:rsidRPr="005526DF">
              <w:rPr>
                <w:rFonts w:ascii="Arial" w:hAnsi="Arial" w:cs="Arial"/>
                <w:sz w:val="20"/>
                <w:szCs w:val="20"/>
                <w:vertAlign w:val="superscript"/>
              </w:rPr>
              <w:t>de</w:t>
            </w:r>
          </w:p>
        </w:tc>
        <w:tc>
          <w:tcPr>
            <w:tcW w:w="1718" w:type="dxa"/>
            <w:tcBorders>
              <w:top w:val="single" w:sz="4" w:space="0" w:color="auto"/>
            </w:tcBorders>
            <w:noWrap/>
            <w:hideMark/>
          </w:tcPr>
          <w:p w14:paraId="10A7AB00" w14:textId="77777777" w:rsidR="005526DF" w:rsidRPr="005526DF" w:rsidRDefault="005526DF" w:rsidP="00E03127">
            <w:pPr>
              <w:rPr>
                <w:rFonts w:ascii="Arial" w:hAnsi="Arial" w:cs="Arial"/>
                <w:sz w:val="20"/>
                <w:szCs w:val="20"/>
              </w:rPr>
            </w:pPr>
            <w:r w:rsidRPr="005526DF">
              <w:rPr>
                <w:rFonts w:ascii="Arial" w:hAnsi="Arial" w:cs="Arial"/>
                <w:sz w:val="20"/>
                <w:szCs w:val="20"/>
              </w:rPr>
              <w:t>168.70±0.55</w:t>
            </w:r>
            <w:r w:rsidRPr="005526DF">
              <w:rPr>
                <w:rFonts w:ascii="Arial" w:hAnsi="Arial" w:cs="Arial"/>
                <w:sz w:val="20"/>
                <w:szCs w:val="20"/>
                <w:vertAlign w:val="superscript"/>
              </w:rPr>
              <w:t>h</w:t>
            </w:r>
          </w:p>
        </w:tc>
        <w:tc>
          <w:tcPr>
            <w:tcW w:w="1716" w:type="dxa"/>
            <w:tcBorders>
              <w:top w:val="single" w:sz="4" w:space="0" w:color="auto"/>
            </w:tcBorders>
            <w:noWrap/>
            <w:hideMark/>
          </w:tcPr>
          <w:p w14:paraId="0B57DE3E" w14:textId="77777777" w:rsidR="005526DF" w:rsidRPr="005526DF" w:rsidRDefault="005526DF" w:rsidP="00E03127">
            <w:pPr>
              <w:rPr>
                <w:rFonts w:ascii="Arial" w:hAnsi="Arial" w:cs="Arial"/>
                <w:sz w:val="20"/>
                <w:szCs w:val="20"/>
              </w:rPr>
            </w:pPr>
            <w:r w:rsidRPr="005526DF">
              <w:rPr>
                <w:rFonts w:ascii="Arial" w:hAnsi="Arial" w:cs="Arial"/>
                <w:sz w:val="20"/>
                <w:szCs w:val="20"/>
              </w:rPr>
              <w:t>683.34±7.44</w:t>
            </w:r>
            <w:r w:rsidRPr="005526DF">
              <w:rPr>
                <w:rFonts w:ascii="Arial" w:hAnsi="Arial" w:cs="Arial"/>
                <w:sz w:val="20"/>
                <w:szCs w:val="20"/>
                <w:vertAlign w:val="superscript"/>
              </w:rPr>
              <w:t>ab</w:t>
            </w:r>
          </w:p>
        </w:tc>
        <w:tc>
          <w:tcPr>
            <w:tcW w:w="1625" w:type="dxa"/>
            <w:tcBorders>
              <w:top w:val="single" w:sz="4" w:space="0" w:color="auto"/>
            </w:tcBorders>
            <w:noWrap/>
            <w:hideMark/>
          </w:tcPr>
          <w:p w14:paraId="44F5AFB0" w14:textId="77777777" w:rsidR="005526DF" w:rsidRPr="005526DF" w:rsidRDefault="005526DF" w:rsidP="00E03127">
            <w:pPr>
              <w:rPr>
                <w:rFonts w:ascii="Arial" w:hAnsi="Arial" w:cs="Arial"/>
                <w:sz w:val="20"/>
                <w:szCs w:val="20"/>
              </w:rPr>
            </w:pPr>
            <w:r w:rsidRPr="005526DF">
              <w:rPr>
                <w:rFonts w:ascii="Arial" w:hAnsi="Arial" w:cs="Arial"/>
                <w:sz w:val="20"/>
                <w:szCs w:val="20"/>
              </w:rPr>
              <w:t>0.56±0.02</w:t>
            </w:r>
            <w:r w:rsidRPr="005526DF">
              <w:rPr>
                <w:rFonts w:ascii="Arial" w:hAnsi="Arial" w:cs="Arial"/>
                <w:sz w:val="20"/>
                <w:szCs w:val="20"/>
                <w:vertAlign w:val="superscript"/>
              </w:rPr>
              <w:t>de</w:t>
            </w:r>
          </w:p>
        </w:tc>
      </w:tr>
      <w:tr w:rsidR="00E03127" w:rsidRPr="005526DF" w14:paraId="0D40016A" w14:textId="77777777" w:rsidTr="00E03127">
        <w:trPr>
          <w:trHeight w:val="188"/>
        </w:trPr>
        <w:tc>
          <w:tcPr>
            <w:tcW w:w="2427" w:type="dxa"/>
            <w:noWrap/>
            <w:hideMark/>
          </w:tcPr>
          <w:p w14:paraId="63AED7D1" w14:textId="77777777" w:rsidR="005526DF" w:rsidRPr="005526DF" w:rsidRDefault="005526DF" w:rsidP="00E03127">
            <w:pPr>
              <w:rPr>
                <w:rFonts w:ascii="Arial" w:hAnsi="Arial" w:cs="Arial"/>
                <w:sz w:val="20"/>
                <w:szCs w:val="20"/>
              </w:rPr>
            </w:pPr>
            <w:r w:rsidRPr="005526DF">
              <w:rPr>
                <w:rFonts w:ascii="Arial" w:hAnsi="Arial" w:cs="Arial"/>
                <w:sz w:val="20"/>
                <w:szCs w:val="20"/>
              </w:rPr>
              <w:t>MI- 0665</w:t>
            </w:r>
            <w:r w:rsidR="00E03127">
              <w:rPr>
                <w:rFonts w:ascii="Arial" w:hAnsi="Arial" w:cs="Arial"/>
                <w:sz w:val="20"/>
                <w:szCs w:val="20"/>
              </w:rPr>
              <w:t xml:space="preserve"> (</w:t>
            </w:r>
            <w:r w:rsidR="00E03127" w:rsidRPr="00E03127">
              <w:rPr>
                <w:rFonts w:ascii="Arial" w:hAnsi="Arial" w:cs="Arial"/>
                <w:i/>
                <w:sz w:val="20"/>
                <w:szCs w:val="20"/>
              </w:rPr>
              <w:t>M. latifolia</w:t>
            </w:r>
            <w:r w:rsidR="00E03127">
              <w:rPr>
                <w:rFonts w:ascii="Arial" w:hAnsi="Arial" w:cs="Arial"/>
                <w:sz w:val="20"/>
                <w:szCs w:val="20"/>
              </w:rPr>
              <w:t>)</w:t>
            </w:r>
          </w:p>
        </w:tc>
        <w:tc>
          <w:tcPr>
            <w:tcW w:w="1697" w:type="dxa"/>
            <w:noWrap/>
            <w:hideMark/>
          </w:tcPr>
          <w:p w14:paraId="459A4F3B" w14:textId="77777777" w:rsidR="005526DF" w:rsidRPr="005526DF" w:rsidRDefault="005526DF" w:rsidP="00E03127">
            <w:pPr>
              <w:rPr>
                <w:rFonts w:ascii="Arial" w:hAnsi="Arial" w:cs="Arial"/>
                <w:sz w:val="20"/>
                <w:szCs w:val="20"/>
              </w:rPr>
            </w:pPr>
            <w:r w:rsidRPr="005526DF">
              <w:rPr>
                <w:rFonts w:ascii="Arial" w:hAnsi="Arial" w:cs="Arial"/>
                <w:sz w:val="20"/>
                <w:szCs w:val="20"/>
              </w:rPr>
              <w:t>37.81±1.43</w:t>
            </w:r>
            <w:r w:rsidRPr="005526DF">
              <w:rPr>
                <w:rFonts w:ascii="Arial" w:hAnsi="Arial" w:cs="Arial"/>
                <w:sz w:val="20"/>
                <w:szCs w:val="20"/>
                <w:vertAlign w:val="superscript"/>
              </w:rPr>
              <w:t>abc</w:t>
            </w:r>
          </w:p>
        </w:tc>
        <w:tc>
          <w:tcPr>
            <w:tcW w:w="1718" w:type="dxa"/>
            <w:noWrap/>
            <w:hideMark/>
          </w:tcPr>
          <w:p w14:paraId="4BDE7043" w14:textId="77777777" w:rsidR="005526DF" w:rsidRPr="005526DF" w:rsidRDefault="005526DF" w:rsidP="00E03127">
            <w:pPr>
              <w:rPr>
                <w:rFonts w:ascii="Arial" w:hAnsi="Arial" w:cs="Arial"/>
                <w:sz w:val="20"/>
                <w:szCs w:val="20"/>
              </w:rPr>
            </w:pPr>
            <w:r w:rsidRPr="005526DF">
              <w:rPr>
                <w:rFonts w:ascii="Arial" w:hAnsi="Arial" w:cs="Arial"/>
                <w:sz w:val="20"/>
                <w:szCs w:val="20"/>
              </w:rPr>
              <w:t>220.67±3.47</w:t>
            </w:r>
            <w:r w:rsidRPr="005526DF">
              <w:rPr>
                <w:rFonts w:ascii="Arial" w:hAnsi="Arial" w:cs="Arial"/>
                <w:sz w:val="20"/>
                <w:szCs w:val="20"/>
                <w:vertAlign w:val="superscript"/>
              </w:rPr>
              <w:t>abc</w:t>
            </w:r>
          </w:p>
        </w:tc>
        <w:tc>
          <w:tcPr>
            <w:tcW w:w="1716" w:type="dxa"/>
            <w:noWrap/>
            <w:hideMark/>
          </w:tcPr>
          <w:p w14:paraId="2F858E69" w14:textId="77777777" w:rsidR="005526DF" w:rsidRPr="005526DF" w:rsidRDefault="005526DF" w:rsidP="00E03127">
            <w:pPr>
              <w:rPr>
                <w:rFonts w:ascii="Arial" w:hAnsi="Arial" w:cs="Arial"/>
                <w:sz w:val="20"/>
                <w:szCs w:val="20"/>
              </w:rPr>
            </w:pPr>
            <w:r w:rsidRPr="005526DF">
              <w:rPr>
                <w:rFonts w:ascii="Arial" w:hAnsi="Arial" w:cs="Arial"/>
                <w:sz w:val="20"/>
                <w:szCs w:val="20"/>
              </w:rPr>
              <w:t>647.85±14.27</w:t>
            </w:r>
            <w:r w:rsidRPr="005526DF">
              <w:rPr>
                <w:rFonts w:ascii="Arial" w:hAnsi="Arial" w:cs="Arial"/>
                <w:sz w:val="20"/>
                <w:szCs w:val="20"/>
                <w:vertAlign w:val="superscript"/>
              </w:rPr>
              <w:t>bcd</w:t>
            </w:r>
          </w:p>
        </w:tc>
        <w:tc>
          <w:tcPr>
            <w:tcW w:w="1625" w:type="dxa"/>
            <w:noWrap/>
            <w:hideMark/>
          </w:tcPr>
          <w:p w14:paraId="31B52458" w14:textId="77777777" w:rsidR="005526DF" w:rsidRPr="005526DF" w:rsidRDefault="005526DF" w:rsidP="00E03127">
            <w:pPr>
              <w:rPr>
                <w:rFonts w:ascii="Arial" w:hAnsi="Arial" w:cs="Arial"/>
                <w:sz w:val="20"/>
                <w:szCs w:val="20"/>
              </w:rPr>
            </w:pPr>
            <w:r w:rsidRPr="005526DF">
              <w:rPr>
                <w:rFonts w:ascii="Arial" w:hAnsi="Arial" w:cs="Arial"/>
                <w:sz w:val="20"/>
                <w:szCs w:val="20"/>
              </w:rPr>
              <w:t>0.61±0.05</w:t>
            </w:r>
            <w:r w:rsidRPr="005526DF">
              <w:rPr>
                <w:rFonts w:ascii="Arial" w:hAnsi="Arial" w:cs="Arial"/>
                <w:sz w:val="20"/>
                <w:szCs w:val="20"/>
                <w:vertAlign w:val="superscript"/>
              </w:rPr>
              <w:t>bcde</w:t>
            </w:r>
          </w:p>
        </w:tc>
      </w:tr>
      <w:tr w:rsidR="00E03127" w:rsidRPr="005526DF" w14:paraId="4EB94767" w14:textId="77777777" w:rsidTr="00E03127">
        <w:trPr>
          <w:trHeight w:val="350"/>
        </w:trPr>
        <w:tc>
          <w:tcPr>
            <w:tcW w:w="2427" w:type="dxa"/>
            <w:noWrap/>
            <w:hideMark/>
          </w:tcPr>
          <w:p w14:paraId="6B82F0E2" w14:textId="77777777" w:rsidR="005526DF" w:rsidRPr="005526DF" w:rsidRDefault="005526DF" w:rsidP="00E03127">
            <w:pPr>
              <w:rPr>
                <w:rFonts w:ascii="Arial" w:hAnsi="Arial" w:cs="Arial"/>
                <w:sz w:val="20"/>
                <w:szCs w:val="20"/>
              </w:rPr>
            </w:pPr>
            <w:r w:rsidRPr="005526DF">
              <w:rPr>
                <w:rFonts w:ascii="Arial" w:hAnsi="Arial" w:cs="Arial"/>
                <w:sz w:val="20"/>
                <w:szCs w:val="20"/>
              </w:rPr>
              <w:t>ME- 0174</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196002D8" w14:textId="77777777" w:rsidR="005526DF" w:rsidRPr="005526DF" w:rsidRDefault="005526DF" w:rsidP="00E03127">
            <w:pPr>
              <w:rPr>
                <w:rFonts w:ascii="Arial" w:hAnsi="Arial" w:cs="Arial"/>
                <w:sz w:val="20"/>
                <w:szCs w:val="20"/>
              </w:rPr>
            </w:pPr>
            <w:r w:rsidRPr="005526DF">
              <w:rPr>
                <w:rFonts w:ascii="Arial" w:hAnsi="Arial" w:cs="Arial"/>
                <w:sz w:val="20"/>
                <w:szCs w:val="20"/>
              </w:rPr>
              <w:t>41.10±0.68</w:t>
            </w:r>
            <w:r w:rsidRPr="005526DF">
              <w:rPr>
                <w:rFonts w:ascii="Arial" w:hAnsi="Arial" w:cs="Arial"/>
                <w:sz w:val="20"/>
                <w:szCs w:val="20"/>
                <w:vertAlign w:val="superscript"/>
              </w:rPr>
              <w:t>a</w:t>
            </w:r>
          </w:p>
        </w:tc>
        <w:tc>
          <w:tcPr>
            <w:tcW w:w="1718" w:type="dxa"/>
            <w:noWrap/>
            <w:hideMark/>
          </w:tcPr>
          <w:p w14:paraId="1359CBF3" w14:textId="77777777" w:rsidR="005526DF" w:rsidRPr="005526DF" w:rsidRDefault="005526DF" w:rsidP="00E03127">
            <w:pPr>
              <w:rPr>
                <w:rFonts w:ascii="Arial" w:hAnsi="Arial" w:cs="Arial"/>
                <w:sz w:val="20"/>
                <w:szCs w:val="20"/>
              </w:rPr>
            </w:pPr>
            <w:r w:rsidRPr="005526DF">
              <w:rPr>
                <w:rFonts w:ascii="Arial" w:hAnsi="Arial" w:cs="Arial"/>
                <w:sz w:val="20"/>
                <w:szCs w:val="20"/>
              </w:rPr>
              <w:t>214.90±3.04</w:t>
            </w:r>
            <w:r w:rsidRPr="005526DF">
              <w:rPr>
                <w:rFonts w:ascii="Arial" w:hAnsi="Arial" w:cs="Arial"/>
                <w:sz w:val="20"/>
                <w:szCs w:val="20"/>
                <w:vertAlign w:val="superscript"/>
              </w:rPr>
              <w:t>abcde</w:t>
            </w:r>
          </w:p>
        </w:tc>
        <w:tc>
          <w:tcPr>
            <w:tcW w:w="1716" w:type="dxa"/>
            <w:noWrap/>
            <w:hideMark/>
          </w:tcPr>
          <w:p w14:paraId="76F1D495" w14:textId="77777777" w:rsidR="005526DF" w:rsidRPr="005526DF" w:rsidRDefault="005526DF" w:rsidP="00E03127">
            <w:pPr>
              <w:rPr>
                <w:rFonts w:ascii="Arial" w:hAnsi="Arial" w:cs="Arial"/>
                <w:sz w:val="20"/>
                <w:szCs w:val="20"/>
              </w:rPr>
            </w:pPr>
            <w:r w:rsidRPr="005526DF">
              <w:rPr>
                <w:rFonts w:ascii="Arial" w:hAnsi="Arial" w:cs="Arial"/>
                <w:sz w:val="20"/>
                <w:szCs w:val="20"/>
              </w:rPr>
              <w:t>619.09±8.94</w:t>
            </w:r>
            <w:r w:rsidRPr="005526DF">
              <w:rPr>
                <w:rFonts w:ascii="Arial" w:hAnsi="Arial" w:cs="Arial"/>
                <w:sz w:val="20"/>
                <w:szCs w:val="20"/>
                <w:vertAlign w:val="superscript"/>
              </w:rPr>
              <w:t>d</w:t>
            </w:r>
          </w:p>
        </w:tc>
        <w:tc>
          <w:tcPr>
            <w:tcW w:w="1625" w:type="dxa"/>
            <w:noWrap/>
            <w:hideMark/>
          </w:tcPr>
          <w:p w14:paraId="367557E2" w14:textId="77777777" w:rsidR="005526DF" w:rsidRPr="005526DF" w:rsidRDefault="005526DF" w:rsidP="00E03127">
            <w:pPr>
              <w:rPr>
                <w:rFonts w:ascii="Arial" w:hAnsi="Arial" w:cs="Arial"/>
                <w:sz w:val="20"/>
                <w:szCs w:val="20"/>
              </w:rPr>
            </w:pPr>
            <w:r w:rsidRPr="005526DF">
              <w:rPr>
                <w:rFonts w:ascii="Arial" w:hAnsi="Arial" w:cs="Arial"/>
                <w:sz w:val="20"/>
                <w:szCs w:val="20"/>
              </w:rPr>
              <w:t>0.55±0.02</w:t>
            </w:r>
            <w:r w:rsidRPr="005526DF">
              <w:rPr>
                <w:rFonts w:ascii="Arial" w:hAnsi="Arial" w:cs="Arial"/>
                <w:sz w:val="20"/>
                <w:szCs w:val="20"/>
                <w:vertAlign w:val="superscript"/>
              </w:rPr>
              <w:t>e</w:t>
            </w:r>
          </w:p>
        </w:tc>
      </w:tr>
      <w:tr w:rsidR="00E03127" w:rsidRPr="005526DF" w14:paraId="08095A00" w14:textId="77777777" w:rsidTr="00E03127">
        <w:trPr>
          <w:trHeight w:val="287"/>
        </w:trPr>
        <w:tc>
          <w:tcPr>
            <w:tcW w:w="2427" w:type="dxa"/>
            <w:noWrap/>
            <w:hideMark/>
          </w:tcPr>
          <w:p w14:paraId="34F50D24" w14:textId="77777777" w:rsidR="005526DF" w:rsidRPr="005526DF" w:rsidRDefault="005526DF" w:rsidP="00E03127">
            <w:pPr>
              <w:rPr>
                <w:rFonts w:ascii="Arial" w:hAnsi="Arial" w:cs="Arial"/>
                <w:sz w:val="20"/>
                <w:szCs w:val="20"/>
              </w:rPr>
            </w:pPr>
            <w:r w:rsidRPr="005526DF">
              <w:rPr>
                <w:rFonts w:ascii="Arial" w:hAnsi="Arial" w:cs="Arial"/>
                <w:sz w:val="20"/>
                <w:szCs w:val="20"/>
              </w:rPr>
              <w:t>MI- 0145</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3805E5EF" w14:textId="77777777" w:rsidR="005526DF" w:rsidRPr="005526DF" w:rsidRDefault="005526DF" w:rsidP="00E03127">
            <w:pPr>
              <w:rPr>
                <w:rFonts w:ascii="Arial" w:hAnsi="Arial" w:cs="Arial"/>
                <w:sz w:val="20"/>
                <w:szCs w:val="20"/>
              </w:rPr>
            </w:pPr>
            <w:r w:rsidRPr="005526DF">
              <w:rPr>
                <w:rFonts w:ascii="Arial" w:hAnsi="Arial" w:cs="Arial"/>
                <w:sz w:val="20"/>
                <w:szCs w:val="20"/>
              </w:rPr>
              <w:t>39.17±0.91</w:t>
            </w:r>
            <w:r w:rsidRPr="005526DF">
              <w:rPr>
                <w:rFonts w:ascii="Arial" w:hAnsi="Arial" w:cs="Arial"/>
                <w:sz w:val="20"/>
                <w:szCs w:val="20"/>
                <w:vertAlign w:val="superscript"/>
              </w:rPr>
              <w:t>abc</w:t>
            </w:r>
          </w:p>
        </w:tc>
        <w:tc>
          <w:tcPr>
            <w:tcW w:w="1718" w:type="dxa"/>
            <w:noWrap/>
            <w:hideMark/>
          </w:tcPr>
          <w:p w14:paraId="5552E315" w14:textId="77777777" w:rsidR="005526DF" w:rsidRPr="005526DF" w:rsidRDefault="005526DF" w:rsidP="00E03127">
            <w:pPr>
              <w:rPr>
                <w:rFonts w:ascii="Arial" w:hAnsi="Arial" w:cs="Arial"/>
                <w:sz w:val="20"/>
                <w:szCs w:val="20"/>
              </w:rPr>
            </w:pPr>
            <w:r w:rsidRPr="005526DF">
              <w:rPr>
                <w:rFonts w:ascii="Arial" w:hAnsi="Arial" w:cs="Arial"/>
                <w:sz w:val="20"/>
                <w:szCs w:val="20"/>
              </w:rPr>
              <w:t>205.97±2.08</w:t>
            </w:r>
            <w:r w:rsidRPr="005526DF">
              <w:rPr>
                <w:rFonts w:ascii="Arial" w:hAnsi="Arial" w:cs="Arial"/>
                <w:sz w:val="20"/>
                <w:szCs w:val="20"/>
                <w:vertAlign w:val="superscript"/>
              </w:rPr>
              <w:t>defg</w:t>
            </w:r>
          </w:p>
        </w:tc>
        <w:tc>
          <w:tcPr>
            <w:tcW w:w="1716" w:type="dxa"/>
            <w:noWrap/>
            <w:hideMark/>
          </w:tcPr>
          <w:p w14:paraId="67DE6DA0" w14:textId="77777777" w:rsidR="005526DF" w:rsidRPr="005526DF" w:rsidRDefault="005526DF" w:rsidP="00E03127">
            <w:pPr>
              <w:rPr>
                <w:rFonts w:ascii="Arial" w:hAnsi="Arial" w:cs="Arial"/>
                <w:sz w:val="20"/>
                <w:szCs w:val="20"/>
              </w:rPr>
            </w:pPr>
            <w:r w:rsidRPr="005526DF">
              <w:rPr>
                <w:rFonts w:ascii="Arial" w:hAnsi="Arial" w:cs="Arial"/>
                <w:sz w:val="20"/>
                <w:szCs w:val="20"/>
              </w:rPr>
              <w:t>675.41±9.9</w:t>
            </w:r>
            <w:r w:rsidRPr="005526DF">
              <w:rPr>
                <w:rFonts w:ascii="Arial" w:hAnsi="Arial" w:cs="Arial"/>
                <w:sz w:val="20"/>
                <w:szCs w:val="20"/>
                <w:vertAlign w:val="superscript"/>
              </w:rPr>
              <w:t>abc</w:t>
            </w:r>
          </w:p>
        </w:tc>
        <w:tc>
          <w:tcPr>
            <w:tcW w:w="1625" w:type="dxa"/>
            <w:noWrap/>
            <w:hideMark/>
          </w:tcPr>
          <w:p w14:paraId="5B207A86" w14:textId="77777777" w:rsidR="005526DF" w:rsidRPr="005526DF" w:rsidRDefault="005526DF" w:rsidP="00E03127">
            <w:pPr>
              <w:rPr>
                <w:rFonts w:ascii="Arial" w:hAnsi="Arial" w:cs="Arial"/>
                <w:sz w:val="20"/>
                <w:szCs w:val="20"/>
              </w:rPr>
            </w:pPr>
            <w:r w:rsidRPr="005526DF">
              <w:rPr>
                <w:rFonts w:ascii="Arial" w:hAnsi="Arial" w:cs="Arial"/>
                <w:sz w:val="20"/>
                <w:szCs w:val="20"/>
              </w:rPr>
              <w:t>0.57±0.04</w:t>
            </w:r>
            <w:r w:rsidRPr="005526DF">
              <w:rPr>
                <w:rFonts w:ascii="Arial" w:hAnsi="Arial" w:cs="Arial"/>
                <w:sz w:val="20"/>
                <w:szCs w:val="20"/>
                <w:vertAlign w:val="superscript"/>
              </w:rPr>
              <w:t>de</w:t>
            </w:r>
          </w:p>
        </w:tc>
      </w:tr>
      <w:tr w:rsidR="00E03127" w:rsidRPr="005526DF" w14:paraId="71CE99BF" w14:textId="77777777" w:rsidTr="00E03127">
        <w:trPr>
          <w:trHeight w:val="305"/>
        </w:trPr>
        <w:tc>
          <w:tcPr>
            <w:tcW w:w="2427" w:type="dxa"/>
            <w:noWrap/>
            <w:hideMark/>
          </w:tcPr>
          <w:p w14:paraId="69CE5404" w14:textId="77777777" w:rsidR="005526DF" w:rsidRPr="005526DF" w:rsidRDefault="005526DF" w:rsidP="00E03127">
            <w:pPr>
              <w:rPr>
                <w:rFonts w:ascii="Arial" w:hAnsi="Arial" w:cs="Arial"/>
                <w:sz w:val="20"/>
                <w:szCs w:val="20"/>
              </w:rPr>
            </w:pPr>
            <w:r w:rsidRPr="005526DF">
              <w:rPr>
                <w:rFonts w:ascii="Arial" w:hAnsi="Arial" w:cs="Arial"/>
                <w:sz w:val="20"/>
                <w:szCs w:val="20"/>
              </w:rPr>
              <w:t>MI- 0211</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2B7A0920" w14:textId="77777777" w:rsidR="005526DF" w:rsidRPr="005526DF" w:rsidRDefault="005526DF" w:rsidP="00E03127">
            <w:pPr>
              <w:rPr>
                <w:rFonts w:ascii="Arial" w:hAnsi="Arial" w:cs="Arial"/>
                <w:sz w:val="20"/>
                <w:szCs w:val="20"/>
              </w:rPr>
            </w:pPr>
            <w:r w:rsidRPr="005526DF">
              <w:rPr>
                <w:rFonts w:ascii="Arial" w:hAnsi="Arial" w:cs="Arial"/>
                <w:sz w:val="20"/>
                <w:szCs w:val="20"/>
              </w:rPr>
              <w:t>35.67±0.53</w:t>
            </w:r>
            <w:r w:rsidRPr="005526DF">
              <w:rPr>
                <w:rFonts w:ascii="Arial" w:hAnsi="Arial" w:cs="Arial"/>
                <w:sz w:val="20"/>
                <w:szCs w:val="20"/>
                <w:vertAlign w:val="superscript"/>
              </w:rPr>
              <w:t>bcd</w:t>
            </w:r>
          </w:p>
        </w:tc>
        <w:tc>
          <w:tcPr>
            <w:tcW w:w="1718" w:type="dxa"/>
            <w:noWrap/>
            <w:hideMark/>
          </w:tcPr>
          <w:p w14:paraId="03BCEB24" w14:textId="77777777" w:rsidR="005526DF" w:rsidRPr="005526DF" w:rsidRDefault="005526DF" w:rsidP="00E03127">
            <w:pPr>
              <w:rPr>
                <w:rFonts w:ascii="Arial" w:hAnsi="Arial" w:cs="Arial"/>
                <w:sz w:val="20"/>
                <w:szCs w:val="20"/>
              </w:rPr>
            </w:pPr>
            <w:r w:rsidRPr="005526DF">
              <w:rPr>
                <w:rFonts w:ascii="Arial" w:hAnsi="Arial" w:cs="Arial"/>
                <w:sz w:val="20"/>
                <w:szCs w:val="20"/>
              </w:rPr>
              <w:t>222.69±5.17</w:t>
            </w:r>
            <w:r w:rsidRPr="005526DF">
              <w:rPr>
                <w:rFonts w:ascii="Arial" w:hAnsi="Arial" w:cs="Arial"/>
                <w:sz w:val="20"/>
                <w:szCs w:val="20"/>
                <w:vertAlign w:val="superscript"/>
              </w:rPr>
              <w:t>ab</w:t>
            </w:r>
          </w:p>
        </w:tc>
        <w:tc>
          <w:tcPr>
            <w:tcW w:w="1716" w:type="dxa"/>
            <w:noWrap/>
            <w:hideMark/>
          </w:tcPr>
          <w:p w14:paraId="019587BE" w14:textId="77777777" w:rsidR="005526DF" w:rsidRPr="005526DF" w:rsidRDefault="005526DF" w:rsidP="00E03127">
            <w:pPr>
              <w:rPr>
                <w:rFonts w:ascii="Arial" w:hAnsi="Arial" w:cs="Arial"/>
                <w:sz w:val="20"/>
                <w:szCs w:val="20"/>
              </w:rPr>
            </w:pPr>
            <w:r w:rsidRPr="005526DF">
              <w:rPr>
                <w:rFonts w:ascii="Arial" w:hAnsi="Arial" w:cs="Arial"/>
                <w:sz w:val="20"/>
                <w:szCs w:val="20"/>
              </w:rPr>
              <w:t>647.09±2.77</w:t>
            </w:r>
            <w:r w:rsidRPr="005526DF">
              <w:rPr>
                <w:rFonts w:ascii="Arial" w:hAnsi="Arial" w:cs="Arial"/>
                <w:sz w:val="20"/>
                <w:szCs w:val="20"/>
                <w:vertAlign w:val="superscript"/>
              </w:rPr>
              <w:t>bcd</w:t>
            </w:r>
          </w:p>
        </w:tc>
        <w:tc>
          <w:tcPr>
            <w:tcW w:w="1625" w:type="dxa"/>
            <w:noWrap/>
            <w:hideMark/>
          </w:tcPr>
          <w:p w14:paraId="60853852" w14:textId="77777777" w:rsidR="005526DF" w:rsidRPr="005526DF" w:rsidRDefault="005526DF" w:rsidP="00E03127">
            <w:pPr>
              <w:rPr>
                <w:rFonts w:ascii="Arial" w:hAnsi="Arial" w:cs="Arial"/>
                <w:sz w:val="20"/>
                <w:szCs w:val="20"/>
              </w:rPr>
            </w:pPr>
            <w:r w:rsidRPr="005526DF">
              <w:rPr>
                <w:rFonts w:ascii="Arial" w:hAnsi="Arial" w:cs="Arial"/>
                <w:sz w:val="20"/>
                <w:szCs w:val="20"/>
              </w:rPr>
              <w:t>0.63±0.01</w:t>
            </w:r>
            <w:r w:rsidRPr="005526DF">
              <w:rPr>
                <w:rFonts w:ascii="Arial" w:hAnsi="Arial" w:cs="Arial"/>
                <w:sz w:val="20"/>
                <w:szCs w:val="20"/>
                <w:vertAlign w:val="superscript"/>
              </w:rPr>
              <w:t>bcde</w:t>
            </w:r>
          </w:p>
        </w:tc>
      </w:tr>
      <w:tr w:rsidR="00E03127" w:rsidRPr="005526DF" w14:paraId="26697D1E" w14:textId="77777777" w:rsidTr="00E03127">
        <w:trPr>
          <w:trHeight w:val="332"/>
        </w:trPr>
        <w:tc>
          <w:tcPr>
            <w:tcW w:w="2427" w:type="dxa"/>
            <w:noWrap/>
            <w:hideMark/>
          </w:tcPr>
          <w:p w14:paraId="1DED38A3" w14:textId="77777777" w:rsidR="005526DF" w:rsidRPr="005526DF" w:rsidRDefault="00E03127" w:rsidP="00E03127">
            <w:pPr>
              <w:rPr>
                <w:rFonts w:ascii="Arial" w:hAnsi="Arial" w:cs="Arial"/>
                <w:sz w:val="20"/>
                <w:szCs w:val="20"/>
              </w:rPr>
            </w:pPr>
            <w:r>
              <w:rPr>
                <w:rFonts w:ascii="Arial" w:hAnsi="Arial" w:cs="Arial"/>
                <w:sz w:val="20"/>
                <w:szCs w:val="20"/>
              </w:rPr>
              <w:t xml:space="preserve"> </w:t>
            </w:r>
            <w:r w:rsidR="005526DF" w:rsidRPr="005526DF">
              <w:rPr>
                <w:rFonts w:ascii="Arial" w:hAnsi="Arial" w:cs="Arial"/>
                <w:sz w:val="20"/>
                <w:szCs w:val="20"/>
              </w:rPr>
              <w:t>ME- 0006</w:t>
            </w:r>
            <w:r>
              <w:rPr>
                <w:rFonts w:ascii="Arial" w:hAnsi="Arial" w:cs="Arial"/>
                <w:sz w:val="20"/>
                <w:szCs w:val="20"/>
              </w:rPr>
              <w:t xml:space="preserve"> (</w:t>
            </w:r>
            <w:r w:rsidRPr="00E03127">
              <w:rPr>
                <w:rFonts w:ascii="Arial" w:hAnsi="Arial" w:cs="Arial"/>
                <w:i/>
                <w:sz w:val="20"/>
                <w:szCs w:val="20"/>
              </w:rPr>
              <w:t>M. latifolia</w:t>
            </w:r>
            <w:r w:rsidRPr="00E03127">
              <w:rPr>
                <w:rFonts w:ascii="Arial" w:hAnsi="Arial" w:cs="Arial"/>
                <w:sz w:val="20"/>
                <w:szCs w:val="20"/>
              </w:rPr>
              <w:t>)</w:t>
            </w:r>
          </w:p>
        </w:tc>
        <w:tc>
          <w:tcPr>
            <w:tcW w:w="1697" w:type="dxa"/>
            <w:noWrap/>
            <w:hideMark/>
          </w:tcPr>
          <w:p w14:paraId="30A28F9F" w14:textId="77777777" w:rsidR="005526DF" w:rsidRPr="005526DF" w:rsidRDefault="005526DF" w:rsidP="00E03127">
            <w:pPr>
              <w:rPr>
                <w:rFonts w:ascii="Arial" w:hAnsi="Arial" w:cs="Arial"/>
                <w:sz w:val="20"/>
                <w:szCs w:val="20"/>
              </w:rPr>
            </w:pPr>
            <w:r w:rsidRPr="005526DF">
              <w:rPr>
                <w:rFonts w:ascii="Arial" w:hAnsi="Arial" w:cs="Arial"/>
                <w:sz w:val="20"/>
                <w:szCs w:val="20"/>
              </w:rPr>
              <w:t>35.39±0.06</w:t>
            </w:r>
            <w:r w:rsidRPr="005526DF">
              <w:rPr>
                <w:rFonts w:ascii="Arial" w:hAnsi="Arial" w:cs="Arial"/>
                <w:sz w:val="20"/>
                <w:szCs w:val="20"/>
                <w:vertAlign w:val="superscript"/>
              </w:rPr>
              <w:t>bcd</w:t>
            </w:r>
          </w:p>
        </w:tc>
        <w:tc>
          <w:tcPr>
            <w:tcW w:w="1718" w:type="dxa"/>
            <w:noWrap/>
            <w:hideMark/>
          </w:tcPr>
          <w:p w14:paraId="676C8866" w14:textId="77777777" w:rsidR="005526DF" w:rsidRPr="005526DF" w:rsidRDefault="005526DF" w:rsidP="00E03127">
            <w:pPr>
              <w:rPr>
                <w:rFonts w:ascii="Arial" w:hAnsi="Arial" w:cs="Arial"/>
                <w:sz w:val="20"/>
                <w:szCs w:val="20"/>
              </w:rPr>
            </w:pPr>
            <w:r w:rsidRPr="005526DF">
              <w:rPr>
                <w:rFonts w:ascii="Arial" w:hAnsi="Arial" w:cs="Arial"/>
                <w:sz w:val="20"/>
                <w:szCs w:val="20"/>
              </w:rPr>
              <w:t>225.43±6.01</w:t>
            </w:r>
            <w:r w:rsidRPr="005526DF">
              <w:rPr>
                <w:rFonts w:ascii="Arial" w:hAnsi="Arial" w:cs="Arial"/>
                <w:sz w:val="20"/>
                <w:szCs w:val="20"/>
                <w:vertAlign w:val="superscript"/>
              </w:rPr>
              <w:t>a</w:t>
            </w:r>
          </w:p>
        </w:tc>
        <w:tc>
          <w:tcPr>
            <w:tcW w:w="1716" w:type="dxa"/>
            <w:noWrap/>
            <w:hideMark/>
          </w:tcPr>
          <w:p w14:paraId="49B98F64" w14:textId="77777777" w:rsidR="005526DF" w:rsidRPr="005526DF" w:rsidRDefault="005526DF" w:rsidP="00E03127">
            <w:pPr>
              <w:rPr>
                <w:rFonts w:ascii="Arial" w:hAnsi="Arial" w:cs="Arial"/>
                <w:sz w:val="20"/>
                <w:szCs w:val="20"/>
              </w:rPr>
            </w:pPr>
            <w:r w:rsidRPr="005526DF">
              <w:rPr>
                <w:rFonts w:ascii="Arial" w:hAnsi="Arial" w:cs="Arial"/>
                <w:sz w:val="20"/>
                <w:szCs w:val="20"/>
              </w:rPr>
              <w:t>669.99±6.23</w:t>
            </w:r>
            <w:r w:rsidRPr="005526DF">
              <w:rPr>
                <w:rFonts w:ascii="Arial" w:hAnsi="Arial" w:cs="Arial"/>
                <w:sz w:val="20"/>
                <w:szCs w:val="20"/>
                <w:vertAlign w:val="superscript"/>
              </w:rPr>
              <w:t>abc</w:t>
            </w:r>
          </w:p>
        </w:tc>
        <w:tc>
          <w:tcPr>
            <w:tcW w:w="1625" w:type="dxa"/>
            <w:noWrap/>
            <w:hideMark/>
          </w:tcPr>
          <w:p w14:paraId="6EBEBD1A" w14:textId="77777777" w:rsidR="005526DF" w:rsidRPr="005526DF" w:rsidRDefault="005526DF" w:rsidP="00E03127">
            <w:pPr>
              <w:rPr>
                <w:rFonts w:ascii="Arial" w:hAnsi="Arial" w:cs="Arial"/>
                <w:sz w:val="20"/>
                <w:szCs w:val="20"/>
              </w:rPr>
            </w:pPr>
            <w:r w:rsidRPr="005526DF">
              <w:rPr>
                <w:rFonts w:ascii="Arial" w:hAnsi="Arial" w:cs="Arial"/>
                <w:sz w:val="20"/>
                <w:szCs w:val="20"/>
              </w:rPr>
              <w:t>0.67±0.00</w:t>
            </w:r>
            <w:r w:rsidRPr="005526DF">
              <w:rPr>
                <w:rFonts w:ascii="Arial" w:hAnsi="Arial" w:cs="Arial"/>
                <w:sz w:val="20"/>
                <w:szCs w:val="20"/>
                <w:vertAlign w:val="superscript"/>
              </w:rPr>
              <w:t>abc</w:t>
            </w:r>
          </w:p>
        </w:tc>
      </w:tr>
      <w:tr w:rsidR="00E03127" w:rsidRPr="005526DF" w14:paraId="5BB57538" w14:textId="77777777" w:rsidTr="00E03127">
        <w:trPr>
          <w:trHeight w:val="278"/>
        </w:trPr>
        <w:tc>
          <w:tcPr>
            <w:tcW w:w="2427" w:type="dxa"/>
            <w:noWrap/>
            <w:hideMark/>
          </w:tcPr>
          <w:p w14:paraId="37F1A651" w14:textId="77777777" w:rsidR="005526DF" w:rsidRPr="005526DF" w:rsidRDefault="005526DF" w:rsidP="00E03127">
            <w:pPr>
              <w:rPr>
                <w:rFonts w:ascii="Arial" w:hAnsi="Arial" w:cs="Arial"/>
                <w:sz w:val="20"/>
                <w:szCs w:val="20"/>
              </w:rPr>
            </w:pPr>
            <w:r w:rsidRPr="005526DF">
              <w:rPr>
                <w:rFonts w:ascii="Arial" w:hAnsi="Arial" w:cs="Arial"/>
                <w:sz w:val="20"/>
                <w:szCs w:val="20"/>
              </w:rPr>
              <w:t>MI- 0532</w:t>
            </w:r>
            <w:r w:rsidR="00E03127">
              <w:rPr>
                <w:rFonts w:ascii="Arial" w:hAnsi="Arial" w:cs="Arial"/>
                <w:sz w:val="20"/>
                <w:szCs w:val="20"/>
              </w:rPr>
              <w:t xml:space="preserve"> (</w:t>
            </w:r>
            <w:r w:rsidR="00E03127" w:rsidRPr="00E03127">
              <w:rPr>
                <w:rFonts w:ascii="Arial" w:hAnsi="Arial" w:cs="Arial"/>
                <w:i/>
                <w:sz w:val="20"/>
                <w:szCs w:val="20"/>
              </w:rPr>
              <w:t>M. laevigata</w:t>
            </w:r>
            <w:r w:rsidR="00E03127">
              <w:rPr>
                <w:rFonts w:ascii="Arial" w:hAnsi="Arial" w:cs="Arial"/>
                <w:sz w:val="20"/>
                <w:szCs w:val="20"/>
              </w:rPr>
              <w:t>)</w:t>
            </w:r>
          </w:p>
        </w:tc>
        <w:tc>
          <w:tcPr>
            <w:tcW w:w="1697" w:type="dxa"/>
            <w:noWrap/>
            <w:hideMark/>
          </w:tcPr>
          <w:p w14:paraId="4C8630AA" w14:textId="77777777" w:rsidR="005526DF" w:rsidRPr="005526DF" w:rsidRDefault="005526DF" w:rsidP="00E03127">
            <w:pPr>
              <w:rPr>
                <w:rFonts w:ascii="Arial" w:hAnsi="Arial" w:cs="Arial"/>
                <w:sz w:val="20"/>
                <w:szCs w:val="20"/>
              </w:rPr>
            </w:pPr>
            <w:r w:rsidRPr="005526DF">
              <w:rPr>
                <w:rFonts w:ascii="Arial" w:hAnsi="Arial" w:cs="Arial"/>
                <w:sz w:val="20"/>
                <w:szCs w:val="20"/>
              </w:rPr>
              <w:t>35.22±0.70</w:t>
            </w:r>
            <w:r w:rsidRPr="005526DF">
              <w:rPr>
                <w:rFonts w:ascii="Arial" w:hAnsi="Arial" w:cs="Arial"/>
                <w:sz w:val="20"/>
                <w:szCs w:val="20"/>
                <w:vertAlign w:val="superscript"/>
              </w:rPr>
              <w:t>bcd</w:t>
            </w:r>
          </w:p>
        </w:tc>
        <w:tc>
          <w:tcPr>
            <w:tcW w:w="1718" w:type="dxa"/>
            <w:noWrap/>
            <w:hideMark/>
          </w:tcPr>
          <w:p w14:paraId="5305CF49" w14:textId="77777777" w:rsidR="005526DF" w:rsidRPr="005526DF" w:rsidRDefault="005526DF" w:rsidP="00E03127">
            <w:pPr>
              <w:rPr>
                <w:rFonts w:ascii="Arial" w:hAnsi="Arial" w:cs="Arial"/>
                <w:sz w:val="20"/>
                <w:szCs w:val="20"/>
              </w:rPr>
            </w:pPr>
            <w:r w:rsidRPr="005526DF">
              <w:rPr>
                <w:rFonts w:ascii="Arial" w:hAnsi="Arial" w:cs="Arial"/>
                <w:sz w:val="20"/>
                <w:szCs w:val="20"/>
              </w:rPr>
              <w:t>208.63±5.44</w:t>
            </w:r>
            <w:r w:rsidRPr="005526DF">
              <w:rPr>
                <w:rFonts w:ascii="Arial" w:hAnsi="Arial" w:cs="Arial"/>
                <w:sz w:val="20"/>
                <w:szCs w:val="20"/>
                <w:vertAlign w:val="superscript"/>
              </w:rPr>
              <w:t>cdefg</w:t>
            </w:r>
          </w:p>
        </w:tc>
        <w:tc>
          <w:tcPr>
            <w:tcW w:w="1716" w:type="dxa"/>
            <w:noWrap/>
            <w:hideMark/>
          </w:tcPr>
          <w:p w14:paraId="20EE0215" w14:textId="77777777" w:rsidR="005526DF" w:rsidRPr="005526DF" w:rsidRDefault="005526DF" w:rsidP="00E03127">
            <w:pPr>
              <w:rPr>
                <w:rFonts w:ascii="Arial" w:hAnsi="Arial" w:cs="Arial"/>
                <w:sz w:val="20"/>
                <w:szCs w:val="20"/>
              </w:rPr>
            </w:pPr>
            <w:r w:rsidRPr="005526DF">
              <w:rPr>
                <w:rFonts w:ascii="Arial" w:hAnsi="Arial" w:cs="Arial"/>
                <w:sz w:val="20"/>
                <w:szCs w:val="20"/>
              </w:rPr>
              <w:t>625.12±13.27</w:t>
            </w:r>
            <w:r w:rsidRPr="005526DF">
              <w:rPr>
                <w:rFonts w:ascii="Arial" w:hAnsi="Arial" w:cs="Arial"/>
                <w:sz w:val="20"/>
                <w:szCs w:val="20"/>
                <w:vertAlign w:val="superscript"/>
              </w:rPr>
              <w:t>d</w:t>
            </w:r>
          </w:p>
        </w:tc>
        <w:tc>
          <w:tcPr>
            <w:tcW w:w="1625" w:type="dxa"/>
            <w:noWrap/>
            <w:hideMark/>
          </w:tcPr>
          <w:p w14:paraId="65D29BF2" w14:textId="77777777" w:rsidR="005526DF" w:rsidRPr="005526DF" w:rsidRDefault="005526DF" w:rsidP="00E03127">
            <w:pPr>
              <w:rPr>
                <w:rFonts w:ascii="Arial" w:hAnsi="Arial" w:cs="Arial"/>
                <w:sz w:val="20"/>
                <w:szCs w:val="20"/>
              </w:rPr>
            </w:pPr>
            <w:r w:rsidRPr="005526DF">
              <w:rPr>
                <w:rFonts w:ascii="Arial" w:hAnsi="Arial" w:cs="Arial"/>
                <w:sz w:val="20"/>
                <w:szCs w:val="20"/>
              </w:rPr>
              <w:t>0.68±0.00</w:t>
            </w:r>
            <w:r w:rsidRPr="005526DF">
              <w:rPr>
                <w:rFonts w:ascii="Arial" w:hAnsi="Arial" w:cs="Arial"/>
                <w:sz w:val="20"/>
                <w:szCs w:val="20"/>
                <w:vertAlign w:val="superscript"/>
              </w:rPr>
              <w:t>abc</w:t>
            </w:r>
          </w:p>
        </w:tc>
      </w:tr>
      <w:tr w:rsidR="00E03127" w:rsidRPr="005526DF" w14:paraId="2955542A" w14:textId="77777777" w:rsidTr="00E03127">
        <w:trPr>
          <w:trHeight w:val="215"/>
        </w:trPr>
        <w:tc>
          <w:tcPr>
            <w:tcW w:w="2427" w:type="dxa"/>
            <w:noWrap/>
            <w:hideMark/>
          </w:tcPr>
          <w:p w14:paraId="5B5ECB2C" w14:textId="77777777" w:rsidR="005526DF" w:rsidRPr="00E03127" w:rsidRDefault="005526DF" w:rsidP="00E03127">
            <w:pPr>
              <w:rPr>
                <w:rFonts w:ascii="Arial" w:hAnsi="Arial" w:cs="Arial"/>
                <w:sz w:val="20"/>
                <w:szCs w:val="20"/>
              </w:rPr>
            </w:pPr>
            <w:r w:rsidRPr="005526DF">
              <w:rPr>
                <w:rFonts w:ascii="Arial" w:hAnsi="Arial" w:cs="Arial"/>
                <w:sz w:val="20"/>
                <w:szCs w:val="20"/>
              </w:rPr>
              <w:t>MI- 0828</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5EA52B0D" w14:textId="77777777" w:rsidR="005526DF" w:rsidRPr="005526DF" w:rsidRDefault="005526DF" w:rsidP="00E03127">
            <w:pPr>
              <w:rPr>
                <w:rFonts w:ascii="Arial" w:hAnsi="Arial" w:cs="Arial"/>
                <w:sz w:val="20"/>
                <w:szCs w:val="20"/>
              </w:rPr>
            </w:pPr>
            <w:r w:rsidRPr="005526DF">
              <w:rPr>
                <w:rFonts w:ascii="Arial" w:hAnsi="Arial" w:cs="Arial"/>
                <w:sz w:val="20"/>
                <w:szCs w:val="20"/>
              </w:rPr>
              <w:t>38.31±0.78</w:t>
            </w:r>
            <w:r w:rsidRPr="005526DF">
              <w:rPr>
                <w:rFonts w:ascii="Arial" w:hAnsi="Arial" w:cs="Arial"/>
                <w:sz w:val="20"/>
                <w:szCs w:val="20"/>
                <w:vertAlign w:val="superscript"/>
              </w:rPr>
              <w:t>abc</w:t>
            </w:r>
          </w:p>
        </w:tc>
        <w:tc>
          <w:tcPr>
            <w:tcW w:w="1718" w:type="dxa"/>
            <w:noWrap/>
            <w:hideMark/>
          </w:tcPr>
          <w:p w14:paraId="01718A49" w14:textId="77777777" w:rsidR="005526DF" w:rsidRPr="005526DF" w:rsidRDefault="005526DF" w:rsidP="00E03127">
            <w:pPr>
              <w:rPr>
                <w:rFonts w:ascii="Arial" w:hAnsi="Arial" w:cs="Arial"/>
                <w:sz w:val="20"/>
                <w:szCs w:val="20"/>
              </w:rPr>
            </w:pPr>
            <w:r w:rsidRPr="005526DF">
              <w:rPr>
                <w:rFonts w:ascii="Arial" w:hAnsi="Arial" w:cs="Arial"/>
                <w:sz w:val="20"/>
                <w:szCs w:val="20"/>
              </w:rPr>
              <w:t>166.96±0.70</w:t>
            </w:r>
            <w:r w:rsidRPr="005526DF">
              <w:rPr>
                <w:rFonts w:ascii="Arial" w:hAnsi="Arial" w:cs="Arial"/>
                <w:sz w:val="20"/>
                <w:szCs w:val="20"/>
                <w:vertAlign w:val="superscript"/>
              </w:rPr>
              <w:t>h</w:t>
            </w:r>
          </w:p>
        </w:tc>
        <w:tc>
          <w:tcPr>
            <w:tcW w:w="1716" w:type="dxa"/>
            <w:noWrap/>
            <w:hideMark/>
          </w:tcPr>
          <w:p w14:paraId="7BD2CFF5" w14:textId="77777777" w:rsidR="005526DF" w:rsidRPr="005526DF" w:rsidRDefault="005526DF" w:rsidP="00E03127">
            <w:pPr>
              <w:rPr>
                <w:rFonts w:ascii="Arial" w:hAnsi="Arial" w:cs="Arial"/>
                <w:sz w:val="20"/>
                <w:szCs w:val="20"/>
              </w:rPr>
            </w:pPr>
            <w:r w:rsidRPr="005526DF">
              <w:rPr>
                <w:rFonts w:ascii="Arial" w:hAnsi="Arial" w:cs="Arial"/>
                <w:sz w:val="20"/>
                <w:szCs w:val="20"/>
              </w:rPr>
              <w:t>621.95±1.54</w:t>
            </w:r>
            <w:r w:rsidRPr="005526DF">
              <w:rPr>
                <w:rFonts w:ascii="Arial" w:hAnsi="Arial" w:cs="Arial"/>
                <w:sz w:val="20"/>
                <w:szCs w:val="20"/>
                <w:vertAlign w:val="superscript"/>
              </w:rPr>
              <w:t>d</w:t>
            </w:r>
          </w:p>
        </w:tc>
        <w:tc>
          <w:tcPr>
            <w:tcW w:w="1625" w:type="dxa"/>
            <w:noWrap/>
            <w:hideMark/>
          </w:tcPr>
          <w:p w14:paraId="6180E81C" w14:textId="77777777" w:rsidR="005526DF" w:rsidRPr="005526DF" w:rsidRDefault="005526DF" w:rsidP="00E03127">
            <w:pPr>
              <w:rPr>
                <w:rFonts w:ascii="Arial" w:hAnsi="Arial" w:cs="Arial"/>
                <w:sz w:val="20"/>
                <w:szCs w:val="20"/>
              </w:rPr>
            </w:pPr>
            <w:r w:rsidRPr="005526DF">
              <w:rPr>
                <w:rFonts w:ascii="Arial" w:hAnsi="Arial" w:cs="Arial"/>
                <w:sz w:val="20"/>
                <w:szCs w:val="20"/>
              </w:rPr>
              <w:t>0.69±0.02</w:t>
            </w:r>
            <w:r w:rsidRPr="005526DF">
              <w:rPr>
                <w:rFonts w:ascii="Arial" w:hAnsi="Arial" w:cs="Arial"/>
                <w:sz w:val="20"/>
                <w:szCs w:val="20"/>
                <w:vertAlign w:val="superscript"/>
              </w:rPr>
              <w:t>ab</w:t>
            </w:r>
          </w:p>
        </w:tc>
      </w:tr>
      <w:tr w:rsidR="00E03127" w:rsidRPr="005526DF" w14:paraId="09232CDA" w14:textId="77777777" w:rsidTr="00E03127">
        <w:trPr>
          <w:trHeight w:val="323"/>
        </w:trPr>
        <w:tc>
          <w:tcPr>
            <w:tcW w:w="2427" w:type="dxa"/>
            <w:noWrap/>
            <w:hideMark/>
          </w:tcPr>
          <w:p w14:paraId="498A8881" w14:textId="77777777" w:rsidR="005526DF" w:rsidRPr="005526DF" w:rsidRDefault="005526DF" w:rsidP="00E03127">
            <w:pPr>
              <w:rPr>
                <w:rFonts w:ascii="Arial" w:hAnsi="Arial" w:cs="Arial"/>
                <w:sz w:val="20"/>
                <w:szCs w:val="20"/>
              </w:rPr>
            </w:pPr>
            <w:r w:rsidRPr="005526DF">
              <w:rPr>
                <w:rFonts w:ascii="Arial" w:hAnsi="Arial" w:cs="Arial"/>
                <w:sz w:val="20"/>
                <w:szCs w:val="20"/>
              </w:rPr>
              <w:t>MI- 0783</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62A38E02" w14:textId="77777777" w:rsidR="005526DF" w:rsidRPr="005526DF" w:rsidRDefault="005526DF" w:rsidP="00E03127">
            <w:pPr>
              <w:rPr>
                <w:rFonts w:ascii="Arial" w:hAnsi="Arial" w:cs="Arial"/>
                <w:sz w:val="20"/>
                <w:szCs w:val="20"/>
              </w:rPr>
            </w:pPr>
            <w:r w:rsidRPr="005526DF">
              <w:rPr>
                <w:rFonts w:ascii="Arial" w:hAnsi="Arial" w:cs="Arial"/>
                <w:sz w:val="20"/>
                <w:szCs w:val="20"/>
              </w:rPr>
              <w:t>37.42±0.35</w:t>
            </w:r>
            <w:r w:rsidRPr="005526DF">
              <w:rPr>
                <w:rFonts w:ascii="Arial" w:hAnsi="Arial" w:cs="Arial"/>
                <w:sz w:val="20"/>
                <w:szCs w:val="20"/>
                <w:vertAlign w:val="superscript"/>
              </w:rPr>
              <w:t>abc</w:t>
            </w:r>
          </w:p>
        </w:tc>
        <w:tc>
          <w:tcPr>
            <w:tcW w:w="1718" w:type="dxa"/>
            <w:noWrap/>
            <w:hideMark/>
          </w:tcPr>
          <w:p w14:paraId="378BD811" w14:textId="77777777" w:rsidR="005526DF" w:rsidRPr="005526DF" w:rsidRDefault="005526DF" w:rsidP="00E03127">
            <w:pPr>
              <w:rPr>
                <w:rFonts w:ascii="Arial" w:hAnsi="Arial" w:cs="Arial"/>
                <w:sz w:val="20"/>
                <w:szCs w:val="20"/>
              </w:rPr>
            </w:pPr>
            <w:r w:rsidRPr="005526DF">
              <w:rPr>
                <w:rFonts w:ascii="Arial" w:hAnsi="Arial" w:cs="Arial"/>
                <w:sz w:val="20"/>
                <w:szCs w:val="20"/>
              </w:rPr>
              <w:t>211.20±2.82</w:t>
            </w:r>
            <w:r w:rsidRPr="005526DF">
              <w:rPr>
                <w:rFonts w:ascii="Arial" w:hAnsi="Arial" w:cs="Arial"/>
                <w:sz w:val="20"/>
                <w:szCs w:val="20"/>
                <w:vertAlign w:val="superscript"/>
              </w:rPr>
              <w:t>bcdefg</w:t>
            </w:r>
          </w:p>
        </w:tc>
        <w:tc>
          <w:tcPr>
            <w:tcW w:w="1716" w:type="dxa"/>
            <w:noWrap/>
            <w:hideMark/>
          </w:tcPr>
          <w:p w14:paraId="0AECC8E3" w14:textId="77777777" w:rsidR="005526DF" w:rsidRPr="005526DF" w:rsidRDefault="005526DF" w:rsidP="00E03127">
            <w:pPr>
              <w:rPr>
                <w:rFonts w:ascii="Arial" w:hAnsi="Arial" w:cs="Arial"/>
                <w:sz w:val="20"/>
                <w:szCs w:val="20"/>
              </w:rPr>
            </w:pPr>
            <w:r w:rsidRPr="005526DF">
              <w:rPr>
                <w:rFonts w:ascii="Arial" w:hAnsi="Arial" w:cs="Arial"/>
                <w:sz w:val="20"/>
                <w:szCs w:val="20"/>
              </w:rPr>
              <w:t>669.32±10</w:t>
            </w:r>
            <w:r w:rsidRPr="005526DF">
              <w:rPr>
                <w:rFonts w:ascii="Arial" w:hAnsi="Arial" w:cs="Arial"/>
                <w:sz w:val="20"/>
                <w:szCs w:val="20"/>
                <w:vertAlign w:val="superscript"/>
              </w:rPr>
              <w:t>abc</w:t>
            </w:r>
          </w:p>
        </w:tc>
        <w:tc>
          <w:tcPr>
            <w:tcW w:w="1625" w:type="dxa"/>
            <w:noWrap/>
            <w:hideMark/>
          </w:tcPr>
          <w:p w14:paraId="38E37598" w14:textId="77777777" w:rsidR="005526DF" w:rsidRPr="005526DF" w:rsidRDefault="005526DF" w:rsidP="00E03127">
            <w:pPr>
              <w:rPr>
                <w:rFonts w:ascii="Arial" w:hAnsi="Arial" w:cs="Arial"/>
                <w:sz w:val="20"/>
                <w:szCs w:val="20"/>
              </w:rPr>
            </w:pPr>
            <w:r w:rsidRPr="005526DF">
              <w:rPr>
                <w:rFonts w:ascii="Arial" w:hAnsi="Arial" w:cs="Arial"/>
                <w:sz w:val="20"/>
                <w:szCs w:val="20"/>
              </w:rPr>
              <w:t>0.61±0.00</w:t>
            </w:r>
            <w:r w:rsidRPr="005526DF">
              <w:rPr>
                <w:rFonts w:ascii="Arial" w:hAnsi="Arial" w:cs="Arial"/>
                <w:sz w:val="20"/>
                <w:szCs w:val="20"/>
                <w:vertAlign w:val="superscript"/>
              </w:rPr>
              <w:t>cde</w:t>
            </w:r>
          </w:p>
        </w:tc>
      </w:tr>
      <w:tr w:rsidR="00E03127" w:rsidRPr="005526DF" w14:paraId="7D64A1F3" w14:textId="77777777" w:rsidTr="00E03127">
        <w:trPr>
          <w:trHeight w:val="260"/>
        </w:trPr>
        <w:tc>
          <w:tcPr>
            <w:tcW w:w="2427" w:type="dxa"/>
            <w:noWrap/>
            <w:hideMark/>
          </w:tcPr>
          <w:p w14:paraId="257C5880" w14:textId="77777777" w:rsidR="005526DF" w:rsidRPr="005526DF" w:rsidRDefault="005526DF" w:rsidP="00E03127">
            <w:pPr>
              <w:rPr>
                <w:rFonts w:ascii="Arial" w:hAnsi="Arial" w:cs="Arial"/>
                <w:sz w:val="20"/>
                <w:szCs w:val="20"/>
              </w:rPr>
            </w:pPr>
            <w:r w:rsidRPr="005526DF">
              <w:rPr>
                <w:rFonts w:ascii="Arial" w:hAnsi="Arial" w:cs="Arial"/>
                <w:sz w:val="20"/>
                <w:szCs w:val="20"/>
              </w:rPr>
              <w:t>ME- 0168</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2E5BEDE8" w14:textId="77777777" w:rsidR="005526DF" w:rsidRPr="005526DF" w:rsidRDefault="005526DF" w:rsidP="00E03127">
            <w:pPr>
              <w:rPr>
                <w:rFonts w:ascii="Arial" w:hAnsi="Arial" w:cs="Arial"/>
                <w:sz w:val="20"/>
                <w:szCs w:val="20"/>
              </w:rPr>
            </w:pPr>
            <w:r w:rsidRPr="005526DF">
              <w:rPr>
                <w:rFonts w:ascii="Arial" w:hAnsi="Arial" w:cs="Arial"/>
                <w:sz w:val="20"/>
                <w:szCs w:val="20"/>
              </w:rPr>
              <w:t>35.56±1.87</w:t>
            </w:r>
            <w:r w:rsidRPr="005526DF">
              <w:rPr>
                <w:rFonts w:ascii="Arial" w:hAnsi="Arial" w:cs="Arial"/>
                <w:sz w:val="20"/>
                <w:szCs w:val="20"/>
                <w:vertAlign w:val="superscript"/>
              </w:rPr>
              <w:t>bcd</w:t>
            </w:r>
          </w:p>
        </w:tc>
        <w:tc>
          <w:tcPr>
            <w:tcW w:w="1718" w:type="dxa"/>
            <w:noWrap/>
            <w:hideMark/>
          </w:tcPr>
          <w:p w14:paraId="17C2BB18" w14:textId="77777777" w:rsidR="005526DF" w:rsidRPr="005526DF" w:rsidRDefault="005526DF" w:rsidP="00E03127">
            <w:pPr>
              <w:rPr>
                <w:rFonts w:ascii="Arial" w:hAnsi="Arial" w:cs="Arial"/>
                <w:sz w:val="20"/>
                <w:szCs w:val="20"/>
              </w:rPr>
            </w:pPr>
            <w:r w:rsidRPr="005526DF">
              <w:rPr>
                <w:rFonts w:ascii="Arial" w:hAnsi="Arial" w:cs="Arial"/>
                <w:sz w:val="20"/>
                <w:szCs w:val="20"/>
              </w:rPr>
              <w:t>224.63±0.49</w:t>
            </w:r>
            <w:r w:rsidRPr="005526DF">
              <w:rPr>
                <w:rFonts w:ascii="Arial" w:hAnsi="Arial" w:cs="Arial"/>
                <w:sz w:val="20"/>
                <w:szCs w:val="20"/>
                <w:vertAlign w:val="superscript"/>
              </w:rPr>
              <w:t>ab</w:t>
            </w:r>
          </w:p>
        </w:tc>
        <w:tc>
          <w:tcPr>
            <w:tcW w:w="1716" w:type="dxa"/>
            <w:noWrap/>
            <w:hideMark/>
          </w:tcPr>
          <w:p w14:paraId="24904B15" w14:textId="77777777" w:rsidR="005526DF" w:rsidRPr="005526DF" w:rsidRDefault="005526DF" w:rsidP="00E03127">
            <w:pPr>
              <w:rPr>
                <w:rFonts w:ascii="Arial" w:hAnsi="Arial" w:cs="Arial"/>
                <w:sz w:val="20"/>
                <w:szCs w:val="20"/>
              </w:rPr>
            </w:pPr>
            <w:r w:rsidRPr="005526DF">
              <w:rPr>
                <w:rFonts w:ascii="Arial" w:hAnsi="Arial" w:cs="Arial"/>
                <w:sz w:val="20"/>
                <w:szCs w:val="20"/>
              </w:rPr>
              <w:t>701.80±40.06</w:t>
            </w:r>
            <w:r w:rsidRPr="005526DF">
              <w:rPr>
                <w:rFonts w:ascii="Arial" w:hAnsi="Arial" w:cs="Arial"/>
                <w:sz w:val="20"/>
                <w:szCs w:val="20"/>
                <w:vertAlign w:val="superscript"/>
              </w:rPr>
              <w:t>a</w:t>
            </w:r>
          </w:p>
        </w:tc>
        <w:tc>
          <w:tcPr>
            <w:tcW w:w="1625" w:type="dxa"/>
            <w:noWrap/>
            <w:hideMark/>
          </w:tcPr>
          <w:p w14:paraId="4E9D236B" w14:textId="77777777" w:rsidR="005526DF" w:rsidRPr="005526DF" w:rsidRDefault="005526DF" w:rsidP="00E03127">
            <w:pPr>
              <w:rPr>
                <w:rFonts w:ascii="Arial" w:hAnsi="Arial" w:cs="Arial"/>
                <w:sz w:val="20"/>
                <w:szCs w:val="20"/>
              </w:rPr>
            </w:pPr>
            <w:r w:rsidRPr="005526DF">
              <w:rPr>
                <w:rFonts w:ascii="Arial" w:hAnsi="Arial" w:cs="Arial"/>
                <w:sz w:val="20"/>
                <w:szCs w:val="20"/>
              </w:rPr>
              <w:t>0.66±0.05</w:t>
            </w:r>
            <w:r w:rsidRPr="005526DF">
              <w:rPr>
                <w:rFonts w:ascii="Arial" w:hAnsi="Arial" w:cs="Arial"/>
                <w:sz w:val="20"/>
                <w:szCs w:val="20"/>
                <w:vertAlign w:val="superscript"/>
              </w:rPr>
              <w:t>abc</w:t>
            </w:r>
          </w:p>
        </w:tc>
      </w:tr>
      <w:tr w:rsidR="00E03127" w:rsidRPr="005526DF" w14:paraId="6E027C02" w14:textId="77777777" w:rsidTr="00E03127">
        <w:trPr>
          <w:trHeight w:val="242"/>
        </w:trPr>
        <w:tc>
          <w:tcPr>
            <w:tcW w:w="2427" w:type="dxa"/>
            <w:noWrap/>
            <w:hideMark/>
          </w:tcPr>
          <w:p w14:paraId="18A5DE91" w14:textId="77777777" w:rsidR="005526DF" w:rsidRPr="005526DF" w:rsidRDefault="005526DF" w:rsidP="00E03127">
            <w:pPr>
              <w:rPr>
                <w:rFonts w:ascii="Arial" w:hAnsi="Arial" w:cs="Arial"/>
                <w:sz w:val="20"/>
                <w:szCs w:val="20"/>
              </w:rPr>
            </w:pPr>
            <w:r w:rsidRPr="005526DF">
              <w:rPr>
                <w:rFonts w:ascii="Arial" w:hAnsi="Arial" w:cs="Arial"/>
                <w:sz w:val="20"/>
                <w:szCs w:val="20"/>
              </w:rPr>
              <w:t>MI- 0300</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2E581ABF" w14:textId="77777777" w:rsidR="005526DF" w:rsidRPr="005526DF" w:rsidRDefault="005526DF" w:rsidP="00E03127">
            <w:pPr>
              <w:rPr>
                <w:rFonts w:ascii="Arial" w:hAnsi="Arial" w:cs="Arial"/>
                <w:sz w:val="20"/>
                <w:szCs w:val="20"/>
              </w:rPr>
            </w:pPr>
            <w:r w:rsidRPr="005526DF">
              <w:rPr>
                <w:rFonts w:ascii="Arial" w:hAnsi="Arial" w:cs="Arial"/>
                <w:sz w:val="20"/>
                <w:szCs w:val="20"/>
              </w:rPr>
              <w:t>39.67±0.61</w:t>
            </w:r>
            <w:r w:rsidRPr="005526DF">
              <w:rPr>
                <w:rFonts w:ascii="Arial" w:hAnsi="Arial" w:cs="Arial"/>
                <w:sz w:val="20"/>
                <w:szCs w:val="20"/>
                <w:vertAlign w:val="superscript"/>
              </w:rPr>
              <w:t>ab</w:t>
            </w:r>
          </w:p>
        </w:tc>
        <w:tc>
          <w:tcPr>
            <w:tcW w:w="1718" w:type="dxa"/>
            <w:noWrap/>
            <w:hideMark/>
          </w:tcPr>
          <w:p w14:paraId="0506E277" w14:textId="77777777" w:rsidR="005526DF" w:rsidRPr="005526DF" w:rsidRDefault="005526DF" w:rsidP="00E03127">
            <w:pPr>
              <w:rPr>
                <w:rFonts w:ascii="Arial" w:hAnsi="Arial" w:cs="Arial"/>
                <w:sz w:val="20"/>
                <w:szCs w:val="20"/>
              </w:rPr>
            </w:pPr>
            <w:r w:rsidRPr="005526DF">
              <w:rPr>
                <w:rFonts w:ascii="Arial" w:hAnsi="Arial" w:cs="Arial"/>
                <w:sz w:val="20"/>
                <w:szCs w:val="20"/>
              </w:rPr>
              <w:t>205.40±6.12</w:t>
            </w:r>
            <w:r w:rsidRPr="005526DF">
              <w:rPr>
                <w:rFonts w:ascii="Arial" w:hAnsi="Arial" w:cs="Arial"/>
                <w:sz w:val="20"/>
                <w:szCs w:val="20"/>
                <w:vertAlign w:val="superscript"/>
              </w:rPr>
              <w:t>efg</w:t>
            </w:r>
          </w:p>
        </w:tc>
        <w:tc>
          <w:tcPr>
            <w:tcW w:w="1716" w:type="dxa"/>
            <w:noWrap/>
            <w:hideMark/>
          </w:tcPr>
          <w:p w14:paraId="742A90DF" w14:textId="77777777" w:rsidR="005526DF" w:rsidRPr="005526DF" w:rsidRDefault="005526DF" w:rsidP="00E03127">
            <w:pPr>
              <w:rPr>
                <w:rFonts w:ascii="Arial" w:hAnsi="Arial" w:cs="Arial"/>
                <w:sz w:val="20"/>
                <w:szCs w:val="20"/>
              </w:rPr>
            </w:pPr>
            <w:r w:rsidRPr="005526DF">
              <w:rPr>
                <w:rFonts w:ascii="Arial" w:hAnsi="Arial" w:cs="Arial"/>
                <w:sz w:val="20"/>
                <w:szCs w:val="20"/>
              </w:rPr>
              <w:t>640.98±9.98</w:t>
            </w:r>
            <w:r w:rsidRPr="005526DF">
              <w:rPr>
                <w:rFonts w:ascii="Arial" w:hAnsi="Arial" w:cs="Arial"/>
                <w:sz w:val="20"/>
                <w:szCs w:val="20"/>
                <w:vertAlign w:val="superscript"/>
              </w:rPr>
              <w:t>cd</w:t>
            </w:r>
          </w:p>
        </w:tc>
        <w:tc>
          <w:tcPr>
            <w:tcW w:w="1625" w:type="dxa"/>
            <w:noWrap/>
            <w:hideMark/>
          </w:tcPr>
          <w:p w14:paraId="2004AA35" w14:textId="77777777" w:rsidR="005526DF" w:rsidRPr="005526DF" w:rsidRDefault="005526DF" w:rsidP="00E03127">
            <w:pPr>
              <w:rPr>
                <w:rFonts w:ascii="Arial" w:hAnsi="Arial" w:cs="Arial"/>
                <w:sz w:val="20"/>
                <w:szCs w:val="20"/>
              </w:rPr>
            </w:pPr>
            <w:r w:rsidRPr="005526DF">
              <w:rPr>
                <w:rFonts w:ascii="Arial" w:hAnsi="Arial" w:cs="Arial"/>
                <w:sz w:val="20"/>
                <w:szCs w:val="20"/>
              </w:rPr>
              <w:t>0.57±0.02</w:t>
            </w:r>
            <w:r w:rsidRPr="005526DF">
              <w:rPr>
                <w:rFonts w:ascii="Arial" w:hAnsi="Arial" w:cs="Arial"/>
                <w:sz w:val="20"/>
                <w:szCs w:val="20"/>
                <w:vertAlign w:val="superscript"/>
              </w:rPr>
              <w:t>de</w:t>
            </w:r>
          </w:p>
        </w:tc>
      </w:tr>
      <w:tr w:rsidR="00E03127" w:rsidRPr="005526DF" w14:paraId="5C46EB0E" w14:textId="77777777" w:rsidTr="00E03127">
        <w:trPr>
          <w:trHeight w:val="350"/>
        </w:trPr>
        <w:tc>
          <w:tcPr>
            <w:tcW w:w="2427" w:type="dxa"/>
            <w:noWrap/>
            <w:hideMark/>
          </w:tcPr>
          <w:p w14:paraId="705C40E0" w14:textId="77777777" w:rsidR="005526DF" w:rsidRPr="005526DF" w:rsidRDefault="005526DF" w:rsidP="00E03127">
            <w:pPr>
              <w:rPr>
                <w:rFonts w:ascii="Arial" w:hAnsi="Arial" w:cs="Arial"/>
                <w:sz w:val="20"/>
                <w:szCs w:val="20"/>
              </w:rPr>
            </w:pPr>
            <w:r w:rsidRPr="005526DF">
              <w:rPr>
                <w:rFonts w:ascii="Arial" w:hAnsi="Arial" w:cs="Arial"/>
                <w:sz w:val="20"/>
                <w:szCs w:val="20"/>
              </w:rPr>
              <w:t>ME- 0169</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1E31BDCC" w14:textId="77777777" w:rsidR="005526DF" w:rsidRPr="005526DF" w:rsidRDefault="005526DF" w:rsidP="00E03127">
            <w:pPr>
              <w:rPr>
                <w:rFonts w:ascii="Arial" w:hAnsi="Arial" w:cs="Arial"/>
                <w:sz w:val="20"/>
                <w:szCs w:val="20"/>
              </w:rPr>
            </w:pPr>
            <w:r w:rsidRPr="005526DF">
              <w:rPr>
                <w:rFonts w:ascii="Arial" w:hAnsi="Arial" w:cs="Arial"/>
                <w:sz w:val="20"/>
                <w:szCs w:val="20"/>
              </w:rPr>
              <w:t>35.60±0.89</w:t>
            </w:r>
            <w:r w:rsidRPr="005526DF">
              <w:rPr>
                <w:rFonts w:ascii="Arial" w:hAnsi="Arial" w:cs="Arial"/>
                <w:sz w:val="20"/>
                <w:szCs w:val="20"/>
                <w:vertAlign w:val="superscript"/>
              </w:rPr>
              <w:t>bcd</w:t>
            </w:r>
          </w:p>
        </w:tc>
        <w:tc>
          <w:tcPr>
            <w:tcW w:w="1718" w:type="dxa"/>
            <w:noWrap/>
            <w:hideMark/>
          </w:tcPr>
          <w:p w14:paraId="754B0EA7" w14:textId="77777777" w:rsidR="005526DF" w:rsidRPr="005526DF" w:rsidRDefault="005526DF" w:rsidP="00E03127">
            <w:pPr>
              <w:rPr>
                <w:rFonts w:ascii="Arial" w:hAnsi="Arial" w:cs="Arial"/>
                <w:sz w:val="20"/>
                <w:szCs w:val="20"/>
              </w:rPr>
            </w:pPr>
            <w:r w:rsidRPr="005526DF">
              <w:rPr>
                <w:rFonts w:ascii="Arial" w:hAnsi="Arial" w:cs="Arial"/>
                <w:sz w:val="20"/>
                <w:szCs w:val="20"/>
              </w:rPr>
              <w:t>199.17±6.80</w:t>
            </w:r>
            <w:r w:rsidRPr="005526DF">
              <w:rPr>
                <w:rFonts w:ascii="Arial" w:hAnsi="Arial" w:cs="Arial"/>
                <w:sz w:val="20"/>
                <w:szCs w:val="20"/>
                <w:vertAlign w:val="superscript"/>
              </w:rPr>
              <w:t>fg</w:t>
            </w:r>
          </w:p>
        </w:tc>
        <w:tc>
          <w:tcPr>
            <w:tcW w:w="1716" w:type="dxa"/>
            <w:noWrap/>
            <w:hideMark/>
          </w:tcPr>
          <w:p w14:paraId="5B7E0AD0" w14:textId="77777777" w:rsidR="005526DF" w:rsidRPr="005526DF" w:rsidRDefault="005526DF" w:rsidP="00E03127">
            <w:pPr>
              <w:rPr>
                <w:rFonts w:ascii="Arial" w:hAnsi="Arial" w:cs="Arial"/>
                <w:sz w:val="20"/>
                <w:szCs w:val="20"/>
              </w:rPr>
            </w:pPr>
            <w:r w:rsidRPr="005526DF">
              <w:rPr>
                <w:rFonts w:ascii="Arial" w:hAnsi="Arial" w:cs="Arial"/>
                <w:sz w:val="20"/>
                <w:szCs w:val="20"/>
              </w:rPr>
              <w:t>656.56±11.3</w:t>
            </w:r>
            <w:r w:rsidRPr="005526DF">
              <w:rPr>
                <w:rFonts w:ascii="Arial" w:hAnsi="Arial" w:cs="Arial"/>
                <w:sz w:val="20"/>
                <w:szCs w:val="20"/>
                <w:vertAlign w:val="superscript"/>
              </w:rPr>
              <w:t>bcd</w:t>
            </w:r>
          </w:p>
        </w:tc>
        <w:tc>
          <w:tcPr>
            <w:tcW w:w="1625" w:type="dxa"/>
            <w:noWrap/>
            <w:hideMark/>
          </w:tcPr>
          <w:p w14:paraId="0D71A801" w14:textId="77777777" w:rsidR="005526DF" w:rsidRPr="005526DF" w:rsidRDefault="005526DF" w:rsidP="00E03127">
            <w:pPr>
              <w:rPr>
                <w:rFonts w:ascii="Arial" w:hAnsi="Arial" w:cs="Arial"/>
                <w:sz w:val="20"/>
                <w:szCs w:val="20"/>
              </w:rPr>
            </w:pPr>
            <w:r w:rsidRPr="005526DF">
              <w:rPr>
                <w:rFonts w:ascii="Arial" w:hAnsi="Arial" w:cs="Arial"/>
                <w:sz w:val="20"/>
                <w:szCs w:val="20"/>
              </w:rPr>
              <w:t>0.64±0.01</w:t>
            </w:r>
            <w:r w:rsidRPr="005526DF">
              <w:rPr>
                <w:rFonts w:ascii="Arial" w:hAnsi="Arial" w:cs="Arial"/>
                <w:sz w:val="20"/>
                <w:szCs w:val="20"/>
                <w:vertAlign w:val="superscript"/>
              </w:rPr>
              <w:t>bcd</w:t>
            </w:r>
          </w:p>
        </w:tc>
      </w:tr>
      <w:tr w:rsidR="00E03127" w:rsidRPr="005526DF" w14:paraId="11E91951" w14:textId="77777777" w:rsidTr="00E03127">
        <w:trPr>
          <w:trHeight w:val="287"/>
        </w:trPr>
        <w:tc>
          <w:tcPr>
            <w:tcW w:w="2427" w:type="dxa"/>
            <w:noWrap/>
            <w:hideMark/>
          </w:tcPr>
          <w:p w14:paraId="27B456DF" w14:textId="77777777" w:rsidR="005526DF" w:rsidRPr="005526DF" w:rsidRDefault="005526DF" w:rsidP="00E03127">
            <w:pPr>
              <w:rPr>
                <w:rFonts w:ascii="Arial" w:hAnsi="Arial" w:cs="Arial"/>
                <w:sz w:val="20"/>
                <w:szCs w:val="20"/>
              </w:rPr>
            </w:pPr>
            <w:r w:rsidRPr="005526DF">
              <w:rPr>
                <w:rFonts w:ascii="Arial" w:hAnsi="Arial" w:cs="Arial"/>
                <w:sz w:val="20"/>
                <w:szCs w:val="20"/>
              </w:rPr>
              <w:t>MI- 0549</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4C757A3C" w14:textId="77777777" w:rsidR="005526DF" w:rsidRPr="005526DF" w:rsidRDefault="005526DF" w:rsidP="00E03127">
            <w:pPr>
              <w:rPr>
                <w:rFonts w:ascii="Arial" w:hAnsi="Arial" w:cs="Arial"/>
                <w:sz w:val="20"/>
                <w:szCs w:val="20"/>
              </w:rPr>
            </w:pPr>
            <w:r w:rsidRPr="005526DF">
              <w:rPr>
                <w:rFonts w:ascii="Arial" w:hAnsi="Arial" w:cs="Arial"/>
                <w:sz w:val="20"/>
                <w:szCs w:val="20"/>
              </w:rPr>
              <w:t>37.45±1.23</w:t>
            </w:r>
            <w:r w:rsidRPr="005526DF">
              <w:rPr>
                <w:rFonts w:ascii="Arial" w:hAnsi="Arial" w:cs="Arial"/>
                <w:sz w:val="20"/>
                <w:szCs w:val="20"/>
                <w:vertAlign w:val="superscript"/>
              </w:rPr>
              <w:t>abc</w:t>
            </w:r>
          </w:p>
        </w:tc>
        <w:tc>
          <w:tcPr>
            <w:tcW w:w="1718" w:type="dxa"/>
            <w:noWrap/>
            <w:hideMark/>
          </w:tcPr>
          <w:p w14:paraId="51DF25BD" w14:textId="77777777" w:rsidR="005526DF" w:rsidRPr="005526DF" w:rsidRDefault="005526DF" w:rsidP="00E03127">
            <w:pPr>
              <w:rPr>
                <w:rFonts w:ascii="Arial" w:hAnsi="Arial" w:cs="Arial"/>
                <w:sz w:val="20"/>
                <w:szCs w:val="20"/>
              </w:rPr>
            </w:pPr>
            <w:r w:rsidRPr="005526DF">
              <w:rPr>
                <w:rFonts w:ascii="Arial" w:hAnsi="Arial" w:cs="Arial"/>
                <w:sz w:val="20"/>
                <w:szCs w:val="20"/>
              </w:rPr>
              <w:t>203.53±7.97</w:t>
            </w:r>
            <w:r w:rsidRPr="005526DF">
              <w:rPr>
                <w:rFonts w:ascii="Arial" w:hAnsi="Arial" w:cs="Arial"/>
                <w:sz w:val="20"/>
                <w:szCs w:val="20"/>
                <w:vertAlign w:val="superscript"/>
              </w:rPr>
              <w:t>efg</w:t>
            </w:r>
          </w:p>
        </w:tc>
        <w:tc>
          <w:tcPr>
            <w:tcW w:w="1716" w:type="dxa"/>
            <w:noWrap/>
            <w:hideMark/>
          </w:tcPr>
          <w:p w14:paraId="78B7AA9C" w14:textId="77777777" w:rsidR="005526DF" w:rsidRPr="005526DF" w:rsidRDefault="005526DF" w:rsidP="00E03127">
            <w:pPr>
              <w:rPr>
                <w:rFonts w:ascii="Arial" w:hAnsi="Arial" w:cs="Arial"/>
                <w:sz w:val="20"/>
                <w:szCs w:val="20"/>
              </w:rPr>
            </w:pPr>
            <w:r w:rsidRPr="005526DF">
              <w:rPr>
                <w:rFonts w:ascii="Arial" w:hAnsi="Arial" w:cs="Arial"/>
                <w:sz w:val="20"/>
                <w:szCs w:val="20"/>
              </w:rPr>
              <w:t>668.17±14.85</w:t>
            </w:r>
            <w:r w:rsidRPr="005526DF">
              <w:rPr>
                <w:rFonts w:ascii="Arial" w:hAnsi="Arial" w:cs="Arial"/>
                <w:sz w:val="20"/>
                <w:szCs w:val="20"/>
                <w:vertAlign w:val="superscript"/>
              </w:rPr>
              <w:t>abc</w:t>
            </w:r>
          </w:p>
        </w:tc>
        <w:tc>
          <w:tcPr>
            <w:tcW w:w="1625" w:type="dxa"/>
            <w:noWrap/>
            <w:hideMark/>
          </w:tcPr>
          <w:p w14:paraId="3919128A" w14:textId="77777777" w:rsidR="005526DF" w:rsidRPr="005526DF" w:rsidRDefault="005526DF" w:rsidP="00E03127">
            <w:pPr>
              <w:rPr>
                <w:rFonts w:ascii="Arial" w:hAnsi="Arial" w:cs="Arial"/>
                <w:sz w:val="20"/>
                <w:szCs w:val="20"/>
              </w:rPr>
            </w:pPr>
            <w:r w:rsidRPr="005526DF">
              <w:rPr>
                <w:rFonts w:ascii="Arial" w:hAnsi="Arial" w:cs="Arial"/>
                <w:sz w:val="20"/>
                <w:szCs w:val="20"/>
              </w:rPr>
              <w:t>0.63±0.01</w:t>
            </w:r>
            <w:r w:rsidRPr="005526DF">
              <w:rPr>
                <w:rFonts w:ascii="Arial" w:hAnsi="Arial" w:cs="Arial"/>
                <w:sz w:val="20"/>
                <w:szCs w:val="20"/>
                <w:vertAlign w:val="superscript"/>
              </w:rPr>
              <w:t>bcde</w:t>
            </w:r>
          </w:p>
        </w:tc>
      </w:tr>
      <w:tr w:rsidR="00E03127" w:rsidRPr="005526DF" w14:paraId="070B7C7C" w14:textId="77777777" w:rsidTr="00E03127">
        <w:trPr>
          <w:trHeight w:val="305"/>
        </w:trPr>
        <w:tc>
          <w:tcPr>
            <w:tcW w:w="2427" w:type="dxa"/>
            <w:noWrap/>
            <w:hideMark/>
          </w:tcPr>
          <w:p w14:paraId="367D0275" w14:textId="77777777" w:rsidR="005526DF" w:rsidRPr="005526DF" w:rsidRDefault="005526DF" w:rsidP="00E03127">
            <w:pPr>
              <w:rPr>
                <w:rFonts w:ascii="Arial" w:hAnsi="Arial" w:cs="Arial"/>
                <w:sz w:val="20"/>
                <w:szCs w:val="20"/>
              </w:rPr>
            </w:pPr>
            <w:r w:rsidRPr="005526DF">
              <w:rPr>
                <w:rFonts w:ascii="Arial" w:hAnsi="Arial" w:cs="Arial"/>
                <w:sz w:val="20"/>
                <w:szCs w:val="20"/>
              </w:rPr>
              <w:t>MI- 0632</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74D407A9" w14:textId="77777777" w:rsidR="005526DF" w:rsidRPr="005526DF" w:rsidRDefault="005526DF" w:rsidP="00E03127">
            <w:pPr>
              <w:rPr>
                <w:rFonts w:ascii="Arial" w:hAnsi="Arial" w:cs="Arial"/>
                <w:sz w:val="20"/>
                <w:szCs w:val="20"/>
              </w:rPr>
            </w:pPr>
            <w:r w:rsidRPr="005526DF">
              <w:rPr>
                <w:rFonts w:ascii="Arial" w:hAnsi="Arial" w:cs="Arial"/>
                <w:sz w:val="20"/>
                <w:szCs w:val="20"/>
              </w:rPr>
              <w:t>37.60±5.27</w:t>
            </w:r>
            <w:r w:rsidRPr="005526DF">
              <w:rPr>
                <w:rFonts w:ascii="Arial" w:hAnsi="Arial" w:cs="Arial"/>
                <w:sz w:val="20"/>
                <w:szCs w:val="20"/>
                <w:vertAlign w:val="superscript"/>
              </w:rPr>
              <w:t>abc</w:t>
            </w:r>
          </w:p>
        </w:tc>
        <w:tc>
          <w:tcPr>
            <w:tcW w:w="1718" w:type="dxa"/>
            <w:noWrap/>
            <w:hideMark/>
          </w:tcPr>
          <w:p w14:paraId="0536D157" w14:textId="77777777" w:rsidR="005526DF" w:rsidRPr="005526DF" w:rsidRDefault="005526DF" w:rsidP="00E03127">
            <w:pPr>
              <w:rPr>
                <w:rFonts w:ascii="Arial" w:hAnsi="Arial" w:cs="Arial"/>
                <w:sz w:val="20"/>
                <w:szCs w:val="20"/>
              </w:rPr>
            </w:pPr>
            <w:r w:rsidRPr="005526DF">
              <w:rPr>
                <w:rFonts w:ascii="Arial" w:hAnsi="Arial" w:cs="Arial"/>
                <w:sz w:val="20"/>
                <w:szCs w:val="20"/>
              </w:rPr>
              <w:t>211.83±5.20</w:t>
            </w:r>
            <w:r w:rsidRPr="005526DF">
              <w:rPr>
                <w:rFonts w:ascii="Arial" w:hAnsi="Arial" w:cs="Arial"/>
                <w:sz w:val="20"/>
                <w:szCs w:val="20"/>
                <w:vertAlign w:val="superscript"/>
              </w:rPr>
              <w:t>abcdef</w:t>
            </w:r>
          </w:p>
        </w:tc>
        <w:tc>
          <w:tcPr>
            <w:tcW w:w="1716" w:type="dxa"/>
            <w:noWrap/>
            <w:hideMark/>
          </w:tcPr>
          <w:p w14:paraId="23099C4C" w14:textId="77777777" w:rsidR="005526DF" w:rsidRPr="005526DF" w:rsidRDefault="005526DF" w:rsidP="00E03127">
            <w:pPr>
              <w:rPr>
                <w:rFonts w:ascii="Arial" w:hAnsi="Arial" w:cs="Arial"/>
                <w:sz w:val="20"/>
                <w:szCs w:val="20"/>
              </w:rPr>
            </w:pPr>
            <w:r w:rsidRPr="005526DF">
              <w:rPr>
                <w:rFonts w:ascii="Arial" w:hAnsi="Arial" w:cs="Arial"/>
                <w:sz w:val="20"/>
                <w:szCs w:val="20"/>
              </w:rPr>
              <w:t>643.3±14.24</w:t>
            </w:r>
            <w:r w:rsidRPr="005526DF">
              <w:rPr>
                <w:rFonts w:ascii="Arial" w:hAnsi="Arial" w:cs="Arial"/>
                <w:sz w:val="20"/>
                <w:szCs w:val="20"/>
                <w:vertAlign w:val="superscript"/>
              </w:rPr>
              <w:t>cd</w:t>
            </w:r>
          </w:p>
        </w:tc>
        <w:tc>
          <w:tcPr>
            <w:tcW w:w="1625" w:type="dxa"/>
            <w:noWrap/>
            <w:hideMark/>
          </w:tcPr>
          <w:p w14:paraId="42BDD119" w14:textId="77777777" w:rsidR="005526DF" w:rsidRPr="005526DF" w:rsidRDefault="005526DF" w:rsidP="00E03127">
            <w:pPr>
              <w:rPr>
                <w:rFonts w:ascii="Arial" w:hAnsi="Arial" w:cs="Arial"/>
                <w:sz w:val="20"/>
                <w:szCs w:val="20"/>
              </w:rPr>
            </w:pPr>
            <w:r w:rsidRPr="005526DF">
              <w:rPr>
                <w:rFonts w:ascii="Arial" w:hAnsi="Arial" w:cs="Arial"/>
                <w:sz w:val="20"/>
                <w:szCs w:val="20"/>
              </w:rPr>
              <w:t>0.62±0.06</w:t>
            </w:r>
            <w:r w:rsidRPr="005526DF">
              <w:rPr>
                <w:rFonts w:ascii="Arial" w:hAnsi="Arial" w:cs="Arial"/>
                <w:sz w:val="20"/>
                <w:szCs w:val="20"/>
                <w:vertAlign w:val="superscript"/>
              </w:rPr>
              <w:t>bcde</w:t>
            </w:r>
          </w:p>
        </w:tc>
      </w:tr>
      <w:tr w:rsidR="00E03127" w:rsidRPr="005526DF" w14:paraId="482848D5" w14:textId="77777777" w:rsidTr="00E03127">
        <w:trPr>
          <w:trHeight w:val="332"/>
        </w:trPr>
        <w:tc>
          <w:tcPr>
            <w:tcW w:w="2427" w:type="dxa"/>
            <w:noWrap/>
            <w:hideMark/>
          </w:tcPr>
          <w:p w14:paraId="5EB350B3" w14:textId="77777777" w:rsidR="005526DF" w:rsidRPr="005526DF" w:rsidRDefault="005526DF" w:rsidP="00E03127">
            <w:pPr>
              <w:rPr>
                <w:rFonts w:ascii="Arial" w:hAnsi="Arial" w:cs="Arial"/>
                <w:sz w:val="20"/>
                <w:szCs w:val="20"/>
              </w:rPr>
            </w:pPr>
            <w:r w:rsidRPr="005526DF">
              <w:rPr>
                <w:rFonts w:ascii="Arial" w:hAnsi="Arial" w:cs="Arial"/>
                <w:sz w:val="20"/>
                <w:szCs w:val="20"/>
              </w:rPr>
              <w:t>MI- 0034</w:t>
            </w:r>
            <w:r w:rsidR="00E03127">
              <w:rPr>
                <w:rFonts w:ascii="Arial" w:hAnsi="Arial" w:cs="Arial"/>
                <w:sz w:val="20"/>
                <w:szCs w:val="20"/>
              </w:rPr>
              <w:t xml:space="preserve"> (</w:t>
            </w:r>
            <w:r w:rsidR="00E03127" w:rsidRPr="00E03127">
              <w:rPr>
                <w:rFonts w:ascii="Arial" w:hAnsi="Arial" w:cs="Arial"/>
                <w:i/>
                <w:sz w:val="20"/>
                <w:szCs w:val="20"/>
              </w:rPr>
              <w:t>M. alba</w:t>
            </w:r>
            <w:r w:rsidR="00E03127">
              <w:rPr>
                <w:rFonts w:ascii="Arial" w:hAnsi="Arial" w:cs="Arial"/>
                <w:sz w:val="20"/>
                <w:szCs w:val="20"/>
              </w:rPr>
              <w:t>)</w:t>
            </w:r>
          </w:p>
        </w:tc>
        <w:tc>
          <w:tcPr>
            <w:tcW w:w="1697" w:type="dxa"/>
            <w:noWrap/>
            <w:hideMark/>
          </w:tcPr>
          <w:p w14:paraId="202BD0F3" w14:textId="77777777" w:rsidR="005526DF" w:rsidRPr="005526DF" w:rsidRDefault="005526DF" w:rsidP="00E03127">
            <w:pPr>
              <w:rPr>
                <w:rFonts w:ascii="Arial" w:hAnsi="Arial" w:cs="Arial"/>
                <w:sz w:val="20"/>
                <w:szCs w:val="20"/>
              </w:rPr>
            </w:pPr>
            <w:r w:rsidRPr="005526DF">
              <w:rPr>
                <w:rFonts w:ascii="Arial" w:hAnsi="Arial" w:cs="Arial"/>
                <w:sz w:val="20"/>
                <w:szCs w:val="20"/>
              </w:rPr>
              <w:t>34.63±1.98</w:t>
            </w:r>
            <w:r w:rsidRPr="005526DF">
              <w:rPr>
                <w:rFonts w:ascii="Arial" w:hAnsi="Arial" w:cs="Arial"/>
                <w:sz w:val="20"/>
                <w:szCs w:val="20"/>
                <w:vertAlign w:val="superscript"/>
              </w:rPr>
              <w:t>cde</w:t>
            </w:r>
          </w:p>
        </w:tc>
        <w:tc>
          <w:tcPr>
            <w:tcW w:w="1718" w:type="dxa"/>
            <w:noWrap/>
            <w:hideMark/>
          </w:tcPr>
          <w:p w14:paraId="4BFBBFA9" w14:textId="77777777" w:rsidR="005526DF" w:rsidRPr="005526DF" w:rsidRDefault="005526DF" w:rsidP="00E03127">
            <w:pPr>
              <w:rPr>
                <w:rFonts w:ascii="Arial" w:hAnsi="Arial" w:cs="Arial"/>
                <w:sz w:val="20"/>
                <w:szCs w:val="20"/>
              </w:rPr>
            </w:pPr>
            <w:r w:rsidRPr="005526DF">
              <w:rPr>
                <w:rFonts w:ascii="Arial" w:hAnsi="Arial" w:cs="Arial"/>
                <w:sz w:val="20"/>
                <w:szCs w:val="20"/>
              </w:rPr>
              <w:t>197.35±2.86</w:t>
            </w:r>
            <w:r w:rsidRPr="005526DF">
              <w:rPr>
                <w:rFonts w:ascii="Arial" w:hAnsi="Arial" w:cs="Arial"/>
                <w:sz w:val="20"/>
                <w:szCs w:val="20"/>
                <w:vertAlign w:val="superscript"/>
              </w:rPr>
              <w:t>g</w:t>
            </w:r>
          </w:p>
        </w:tc>
        <w:tc>
          <w:tcPr>
            <w:tcW w:w="1716" w:type="dxa"/>
            <w:noWrap/>
            <w:hideMark/>
          </w:tcPr>
          <w:p w14:paraId="13F497E1" w14:textId="77777777" w:rsidR="005526DF" w:rsidRPr="005526DF" w:rsidRDefault="005526DF" w:rsidP="00E03127">
            <w:pPr>
              <w:rPr>
                <w:rFonts w:ascii="Arial" w:hAnsi="Arial" w:cs="Arial"/>
                <w:sz w:val="20"/>
                <w:szCs w:val="20"/>
              </w:rPr>
            </w:pPr>
            <w:r w:rsidRPr="005526DF">
              <w:rPr>
                <w:rFonts w:ascii="Arial" w:hAnsi="Arial" w:cs="Arial"/>
                <w:sz w:val="20"/>
                <w:szCs w:val="20"/>
              </w:rPr>
              <w:t>622.48±7.34</w:t>
            </w:r>
            <w:r w:rsidRPr="005526DF">
              <w:rPr>
                <w:rFonts w:ascii="Arial" w:hAnsi="Arial" w:cs="Arial"/>
                <w:sz w:val="20"/>
                <w:szCs w:val="20"/>
                <w:vertAlign w:val="superscript"/>
              </w:rPr>
              <w:t>d</w:t>
            </w:r>
          </w:p>
        </w:tc>
        <w:tc>
          <w:tcPr>
            <w:tcW w:w="1625" w:type="dxa"/>
            <w:noWrap/>
            <w:hideMark/>
          </w:tcPr>
          <w:p w14:paraId="29735247" w14:textId="77777777" w:rsidR="005526DF" w:rsidRPr="005526DF" w:rsidRDefault="005526DF" w:rsidP="00E03127">
            <w:pPr>
              <w:rPr>
                <w:rFonts w:ascii="Arial" w:hAnsi="Arial" w:cs="Arial"/>
                <w:sz w:val="20"/>
                <w:szCs w:val="20"/>
              </w:rPr>
            </w:pPr>
            <w:r w:rsidRPr="005526DF">
              <w:rPr>
                <w:rFonts w:ascii="Arial" w:hAnsi="Arial" w:cs="Arial"/>
                <w:sz w:val="20"/>
                <w:szCs w:val="20"/>
              </w:rPr>
              <w:t>0.64±0.02</w:t>
            </w:r>
            <w:r w:rsidRPr="005526DF">
              <w:rPr>
                <w:rFonts w:ascii="Arial" w:hAnsi="Arial" w:cs="Arial"/>
                <w:sz w:val="20"/>
                <w:szCs w:val="20"/>
                <w:vertAlign w:val="superscript"/>
              </w:rPr>
              <w:t>bcd</w:t>
            </w:r>
          </w:p>
        </w:tc>
      </w:tr>
      <w:tr w:rsidR="00E03127" w:rsidRPr="005526DF" w14:paraId="726BA989" w14:textId="77777777" w:rsidTr="00E03127">
        <w:trPr>
          <w:trHeight w:val="278"/>
        </w:trPr>
        <w:tc>
          <w:tcPr>
            <w:tcW w:w="2427" w:type="dxa"/>
            <w:noWrap/>
            <w:hideMark/>
          </w:tcPr>
          <w:p w14:paraId="4C7EE174" w14:textId="77777777" w:rsidR="005526DF" w:rsidRPr="005526DF" w:rsidRDefault="005526DF" w:rsidP="00E03127">
            <w:pPr>
              <w:rPr>
                <w:rFonts w:ascii="Arial" w:hAnsi="Arial" w:cs="Arial"/>
                <w:sz w:val="20"/>
                <w:szCs w:val="20"/>
              </w:rPr>
            </w:pPr>
            <w:r w:rsidRPr="005526DF">
              <w:rPr>
                <w:rFonts w:ascii="Arial" w:hAnsi="Arial" w:cs="Arial"/>
                <w:sz w:val="20"/>
                <w:szCs w:val="20"/>
              </w:rPr>
              <w:t>MI- 0818</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3A9C0352" w14:textId="77777777" w:rsidR="005526DF" w:rsidRPr="005526DF" w:rsidRDefault="005526DF" w:rsidP="00E03127">
            <w:pPr>
              <w:rPr>
                <w:rFonts w:ascii="Arial" w:hAnsi="Arial" w:cs="Arial"/>
                <w:sz w:val="20"/>
                <w:szCs w:val="20"/>
              </w:rPr>
            </w:pPr>
            <w:r w:rsidRPr="005526DF">
              <w:rPr>
                <w:rFonts w:ascii="Arial" w:hAnsi="Arial" w:cs="Arial"/>
                <w:sz w:val="20"/>
                <w:szCs w:val="20"/>
              </w:rPr>
              <w:t>38.92±1.34</w:t>
            </w:r>
            <w:r w:rsidRPr="005526DF">
              <w:rPr>
                <w:rFonts w:ascii="Arial" w:hAnsi="Arial" w:cs="Arial"/>
                <w:sz w:val="20"/>
                <w:szCs w:val="20"/>
                <w:vertAlign w:val="superscript"/>
              </w:rPr>
              <w:t>abc</w:t>
            </w:r>
          </w:p>
        </w:tc>
        <w:tc>
          <w:tcPr>
            <w:tcW w:w="1718" w:type="dxa"/>
            <w:noWrap/>
            <w:hideMark/>
          </w:tcPr>
          <w:p w14:paraId="0E383503" w14:textId="77777777" w:rsidR="005526DF" w:rsidRPr="005526DF" w:rsidRDefault="005526DF" w:rsidP="00E03127">
            <w:pPr>
              <w:rPr>
                <w:rFonts w:ascii="Arial" w:hAnsi="Arial" w:cs="Arial"/>
                <w:sz w:val="20"/>
                <w:szCs w:val="20"/>
              </w:rPr>
            </w:pPr>
            <w:r w:rsidRPr="005526DF">
              <w:rPr>
                <w:rFonts w:ascii="Arial" w:hAnsi="Arial" w:cs="Arial"/>
                <w:sz w:val="20"/>
                <w:szCs w:val="20"/>
              </w:rPr>
              <w:t>217.43±5.04</w:t>
            </w:r>
            <w:r w:rsidRPr="005526DF">
              <w:rPr>
                <w:rFonts w:ascii="Arial" w:hAnsi="Arial" w:cs="Arial"/>
                <w:sz w:val="20"/>
                <w:szCs w:val="20"/>
                <w:vertAlign w:val="superscript"/>
              </w:rPr>
              <w:t>abcde</w:t>
            </w:r>
          </w:p>
        </w:tc>
        <w:tc>
          <w:tcPr>
            <w:tcW w:w="1716" w:type="dxa"/>
            <w:noWrap/>
            <w:hideMark/>
          </w:tcPr>
          <w:p w14:paraId="1D566DDD" w14:textId="77777777" w:rsidR="005526DF" w:rsidRPr="005526DF" w:rsidRDefault="005526DF" w:rsidP="00E03127">
            <w:pPr>
              <w:rPr>
                <w:rFonts w:ascii="Arial" w:hAnsi="Arial" w:cs="Arial"/>
                <w:sz w:val="20"/>
                <w:szCs w:val="20"/>
              </w:rPr>
            </w:pPr>
            <w:r w:rsidRPr="005526DF">
              <w:rPr>
                <w:rFonts w:ascii="Arial" w:hAnsi="Arial" w:cs="Arial"/>
                <w:sz w:val="20"/>
                <w:szCs w:val="20"/>
              </w:rPr>
              <w:t>657.57±10.96</w:t>
            </w:r>
            <w:r w:rsidRPr="005526DF">
              <w:rPr>
                <w:rFonts w:ascii="Arial" w:hAnsi="Arial" w:cs="Arial"/>
                <w:sz w:val="20"/>
                <w:szCs w:val="20"/>
                <w:vertAlign w:val="superscript"/>
              </w:rPr>
              <w:t>bcd</w:t>
            </w:r>
          </w:p>
        </w:tc>
        <w:tc>
          <w:tcPr>
            <w:tcW w:w="1625" w:type="dxa"/>
            <w:noWrap/>
            <w:hideMark/>
          </w:tcPr>
          <w:p w14:paraId="17C16C7D" w14:textId="77777777" w:rsidR="005526DF" w:rsidRPr="005526DF" w:rsidRDefault="005526DF" w:rsidP="00E03127">
            <w:pPr>
              <w:rPr>
                <w:rFonts w:ascii="Arial" w:hAnsi="Arial" w:cs="Arial"/>
                <w:sz w:val="20"/>
                <w:szCs w:val="20"/>
              </w:rPr>
            </w:pPr>
            <w:r w:rsidRPr="005526DF">
              <w:rPr>
                <w:rFonts w:ascii="Arial" w:hAnsi="Arial" w:cs="Arial"/>
                <w:sz w:val="20"/>
                <w:szCs w:val="20"/>
              </w:rPr>
              <w:t>0.61±0.03</w:t>
            </w:r>
            <w:r w:rsidRPr="005526DF">
              <w:rPr>
                <w:rFonts w:ascii="Arial" w:hAnsi="Arial" w:cs="Arial"/>
                <w:sz w:val="20"/>
                <w:szCs w:val="20"/>
                <w:vertAlign w:val="superscript"/>
              </w:rPr>
              <w:t>bcde</w:t>
            </w:r>
          </w:p>
        </w:tc>
      </w:tr>
      <w:tr w:rsidR="00E03127" w:rsidRPr="005526DF" w14:paraId="57AB8594" w14:textId="77777777" w:rsidTr="00E03127">
        <w:trPr>
          <w:trHeight w:val="215"/>
        </w:trPr>
        <w:tc>
          <w:tcPr>
            <w:tcW w:w="2427" w:type="dxa"/>
            <w:noWrap/>
            <w:hideMark/>
          </w:tcPr>
          <w:p w14:paraId="2753DA77" w14:textId="77777777" w:rsidR="005526DF" w:rsidRPr="005526DF" w:rsidRDefault="005526DF" w:rsidP="00E03127">
            <w:pPr>
              <w:rPr>
                <w:rFonts w:ascii="Arial" w:hAnsi="Arial" w:cs="Arial"/>
                <w:sz w:val="20"/>
                <w:szCs w:val="20"/>
              </w:rPr>
            </w:pPr>
            <w:r w:rsidRPr="005526DF">
              <w:rPr>
                <w:rFonts w:ascii="Arial" w:hAnsi="Arial" w:cs="Arial"/>
                <w:sz w:val="20"/>
                <w:szCs w:val="20"/>
              </w:rPr>
              <w:t>MI- 0845</w:t>
            </w:r>
            <w:r w:rsidR="00E03127">
              <w:rPr>
                <w:rFonts w:ascii="Arial" w:hAnsi="Arial" w:cs="Arial"/>
                <w:sz w:val="20"/>
                <w:szCs w:val="20"/>
              </w:rPr>
              <w:t xml:space="preserve"> (</w:t>
            </w:r>
            <w:r w:rsidR="00E03127" w:rsidRPr="00E03127">
              <w:rPr>
                <w:rFonts w:ascii="Arial" w:hAnsi="Arial" w:cs="Arial"/>
                <w:i/>
                <w:sz w:val="20"/>
                <w:szCs w:val="20"/>
              </w:rPr>
              <w:t>M. latifolia</w:t>
            </w:r>
            <w:r w:rsidR="00E03127" w:rsidRPr="00E03127">
              <w:rPr>
                <w:rFonts w:ascii="Arial" w:hAnsi="Arial" w:cs="Arial"/>
                <w:sz w:val="20"/>
                <w:szCs w:val="20"/>
              </w:rPr>
              <w:t>)</w:t>
            </w:r>
          </w:p>
        </w:tc>
        <w:tc>
          <w:tcPr>
            <w:tcW w:w="1697" w:type="dxa"/>
            <w:noWrap/>
            <w:hideMark/>
          </w:tcPr>
          <w:p w14:paraId="56F0DE12" w14:textId="77777777" w:rsidR="005526DF" w:rsidRPr="005526DF" w:rsidRDefault="005526DF" w:rsidP="00E03127">
            <w:pPr>
              <w:rPr>
                <w:rFonts w:ascii="Arial" w:hAnsi="Arial" w:cs="Arial"/>
                <w:sz w:val="20"/>
                <w:szCs w:val="20"/>
              </w:rPr>
            </w:pPr>
            <w:r w:rsidRPr="005526DF">
              <w:rPr>
                <w:rFonts w:ascii="Arial" w:hAnsi="Arial" w:cs="Arial"/>
                <w:sz w:val="20"/>
                <w:szCs w:val="20"/>
              </w:rPr>
              <w:t>29.97±2.55</w:t>
            </w:r>
            <w:r w:rsidRPr="005526DF">
              <w:rPr>
                <w:rFonts w:ascii="Arial" w:hAnsi="Arial" w:cs="Arial"/>
                <w:sz w:val="20"/>
                <w:szCs w:val="20"/>
                <w:vertAlign w:val="superscript"/>
              </w:rPr>
              <w:t>e</w:t>
            </w:r>
          </w:p>
        </w:tc>
        <w:tc>
          <w:tcPr>
            <w:tcW w:w="1718" w:type="dxa"/>
            <w:noWrap/>
            <w:hideMark/>
          </w:tcPr>
          <w:p w14:paraId="71844662" w14:textId="77777777" w:rsidR="005526DF" w:rsidRPr="005526DF" w:rsidRDefault="005526DF" w:rsidP="00E03127">
            <w:pPr>
              <w:rPr>
                <w:rFonts w:ascii="Arial" w:hAnsi="Arial" w:cs="Arial"/>
                <w:sz w:val="20"/>
                <w:szCs w:val="20"/>
              </w:rPr>
            </w:pPr>
            <w:r w:rsidRPr="005526DF">
              <w:rPr>
                <w:rFonts w:ascii="Arial" w:hAnsi="Arial" w:cs="Arial"/>
                <w:sz w:val="20"/>
                <w:szCs w:val="20"/>
              </w:rPr>
              <w:t>219.73±8.36</w:t>
            </w:r>
            <w:r w:rsidRPr="005526DF">
              <w:rPr>
                <w:rFonts w:ascii="Arial" w:hAnsi="Arial" w:cs="Arial"/>
                <w:sz w:val="20"/>
                <w:szCs w:val="20"/>
                <w:vertAlign w:val="superscript"/>
              </w:rPr>
              <w:t>abcd</w:t>
            </w:r>
          </w:p>
        </w:tc>
        <w:tc>
          <w:tcPr>
            <w:tcW w:w="1716" w:type="dxa"/>
            <w:noWrap/>
            <w:hideMark/>
          </w:tcPr>
          <w:p w14:paraId="7A8D0260" w14:textId="77777777" w:rsidR="005526DF" w:rsidRPr="005526DF" w:rsidRDefault="005526DF" w:rsidP="00E03127">
            <w:pPr>
              <w:rPr>
                <w:rFonts w:ascii="Arial" w:hAnsi="Arial" w:cs="Arial"/>
                <w:sz w:val="20"/>
                <w:szCs w:val="20"/>
              </w:rPr>
            </w:pPr>
            <w:r w:rsidRPr="005526DF">
              <w:rPr>
                <w:rFonts w:ascii="Arial" w:hAnsi="Arial" w:cs="Arial"/>
                <w:sz w:val="20"/>
                <w:szCs w:val="20"/>
              </w:rPr>
              <w:t>673.69±3.05</w:t>
            </w:r>
            <w:r w:rsidRPr="005526DF">
              <w:rPr>
                <w:rFonts w:ascii="Arial" w:hAnsi="Arial" w:cs="Arial"/>
                <w:sz w:val="20"/>
                <w:szCs w:val="20"/>
                <w:vertAlign w:val="superscript"/>
              </w:rPr>
              <w:t>abc</w:t>
            </w:r>
          </w:p>
        </w:tc>
        <w:tc>
          <w:tcPr>
            <w:tcW w:w="1625" w:type="dxa"/>
            <w:noWrap/>
            <w:hideMark/>
          </w:tcPr>
          <w:p w14:paraId="0EA128EB" w14:textId="77777777" w:rsidR="005526DF" w:rsidRPr="005526DF" w:rsidRDefault="005526DF" w:rsidP="00E03127">
            <w:pPr>
              <w:rPr>
                <w:rFonts w:ascii="Arial" w:hAnsi="Arial" w:cs="Arial"/>
                <w:sz w:val="20"/>
                <w:szCs w:val="20"/>
              </w:rPr>
            </w:pPr>
            <w:r w:rsidRPr="005526DF">
              <w:rPr>
                <w:rFonts w:ascii="Arial" w:hAnsi="Arial" w:cs="Arial"/>
                <w:sz w:val="20"/>
                <w:szCs w:val="20"/>
              </w:rPr>
              <w:t>0.74±0.03</w:t>
            </w:r>
            <w:r w:rsidRPr="005526DF">
              <w:rPr>
                <w:rFonts w:ascii="Arial" w:hAnsi="Arial" w:cs="Arial"/>
                <w:sz w:val="20"/>
                <w:szCs w:val="20"/>
                <w:vertAlign w:val="superscript"/>
              </w:rPr>
              <w:t>a</w:t>
            </w:r>
          </w:p>
        </w:tc>
      </w:tr>
      <w:tr w:rsidR="00E03127" w:rsidRPr="005526DF" w14:paraId="51E2360D" w14:textId="77777777" w:rsidTr="00E03127">
        <w:trPr>
          <w:trHeight w:val="323"/>
        </w:trPr>
        <w:tc>
          <w:tcPr>
            <w:tcW w:w="2427" w:type="dxa"/>
            <w:noWrap/>
            <w:hideMark/>
          </w:tcPr>
          <w:p w14:paraId="6A30602C" w14:textId="77777777" w:rsidR="005526DF" w:rsidRPr="005526DF" w:rsidRDefault="005526DF" w:rsidP="00E03127">
            <w:pPr>
              <w:rPr>
                <w:rFonts w:ascii="Arial" w:hAnsi="Arial" w:cs="Arial"/>
                <w:sz w:val="20"/>
                <w:szCs w:val="20"/>
              </w:rPr>
            </w:pPr>
            <w:r w:rsidRPr="005526DF">
              <w:rPr>
                <w:rFonts w:ascii="Arial" w:hAnsi="Arial" w:cs="Arial"/>
                <w:sz w:val="20"/>
                <w:szCs w:val="20"/>
              </w:rPr>
              <w:t>Mean</w:t>
            </w:r>
          </w:p>
        </w:tc>
        <w:tc>
          <w:tcPr>
            <w:tcW w:w="1697" w:type="dxa"/>
            <w:noWrap/>
            <w:hideMark/>
          </w:tcPr>
          <w:p w14:paraId="5CE656EB" w14:textId="77777777" w:rsidR="005526DF" w:rsidRPr="005526DF" w:rsidRDefault="005526DF" w:rsidP="00E03127">
            <w:pPr>
              <w:rPr>
                <w:rFonts w:ascii="Arial" w:hAnsi="Arial" w:cs="Arial"/>
                <w:sz w:val="20"/>
                <w:szCs w:val="20"/>
              </w:rPr>
            </w:pPr>
            <w:r w:rsidRPr="005526DF">
              <w:rPr>
                <w:rFonts w:ascii="Arial" w:hAnsi="Arial" w:cs="Arial"/>
                <w:sz w:val="20"/>
                <w:szCs w:val="20"/>
              </w:rPr>
              <w:t>36.52</w:t>
            </w:r>
          </w:p>
        </w:tc>
        <w:tc>
          <w:tcPr>
            <w:tcW w:w="1718" w:type="dxa"/>
            <w:noWrap/>
            <w:hideMark/>
          </w:tcPr>
          <w:p w14:paraId="0BA15489" w14:textId="77777777" w:rsidR="005526DF" w:rsidRPr="005526DF" w:rsidRDefault="005526DF" w:rsidP="00E03127">
            <w:pPr>
              <w:rPr>
                <w:rFonts w:ascii="Arial" w:hAnsi="Arial" w:cs="Arial"/>
                <w:sz w:val="20"/>
                <w:szCs w:val="20"/>
              </w:rPr>
            </w:pPr>
            <w:r w:rsidRPr="005526DF">
              <w:rPr>
                <w:rFonts w:ascii="Arial" w:hAnsi="Arial" w:cs="Arial"/>
                <w:sz w:val="20"/>
                <w:szCs w:val="20"/>
              </w:rPr>
              <w:t>207.31</w:t>
            </w:r>
          </w:p>
        </w:tc>
        <w:tc>
          <w:tcPr>
            <w:tcW w:w="1716" w:type="dxa"/>
            <w:noWrap/>
            <w:hideMark/>
          </w:tcPr>
          <w:p w14:paraId="4734B31B" w14:textId="77777777" w:rsidR="005526DF" w:rsidRPr="005526DF" w:rsidRDefault="005526DF" w:rsidP="00E03127">
            <w:pPr>
              <w:rPr>
                <w:rFonts w:ascii="Arial" w:hAnsi="Arial" w:cs="Arial"/>
                <w:sz w:val="20"/>
                <w:szCs w:val="20"/>
              </w:rPr>
            </w:pPr>
            <w:r w:rsidRPr="005526DF">
              <w:rPr>
                <w:rFonts w:ascii="Arial" w:hAnsi="Arial" w:cs="Arial"/>
                <w:sz w:val="20"/>
                <w:szCs w:val="20"/>
              </w:rPr>
              <w:t>654.34</w:t>
            </w:r>
          </w:p>
        </w:tc>
        <w:tc>
          <w:tcPr>
            <w:tcW w:w="1625" w:type="dxa"/>
            <w:noWrap/>
            <w:hideMark/>
          </w:tcPr>
          <w:p w14:paraId="4BC7FA82" w14:textId="77777777" w:rsidR="005526DF" w:rsidRPr="005526DF" w:rsidRDefault="005526DF" w:rsidP="00E03127">
            <w:pPr>
              <w:rPr>
                <w:rFonts w:ascii="Arial" w:hAnsi="Arial" w:cs="Arial"/>
                <w:sz w:val="20"/>
                <w:szCs w:val="20"/>
              </w:rPr>
            </w:pPr>
            <w:r w:rsidRPr="005526DF">
              <w:rPr>
                <w:rFonts w:ascii="Arial" w:hAnsi="Arial" w:cs="Arial"/>
                <w:sz w:val="20"/>
                <w:szCs w:val="20"/>
              </w:rPr>
              <w:t>0.63</w:t>
            </w:r>
          </w:p>
        </w:tc>
      </w:tr>
      <w:tr w:rsidR="00E03127" w:rsidRPr="005526DF" w14:paraId="6DFE17FF" w14:textId="77777777" w:rsidTr="00E03127">
        <w:trPr>
          <w:trHeight w:val="197"/>
        </w:trPr>
        <w:tc>
          <w:tcPr>
            <w:tcW w:w="2427" w:type="dxa"/>
            <w:tcBorders>
              <w:bottom w:val="single" w:sz="4" w:space="0" w:color="auto"/>
            </w:tcBorders>
            <w:noWrap/>
            <w:hideMark/>
          </w:tcPr>
          <w:p w14:paraId="6E406EFB"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value</w:t>
            </w:r>
          </w:p>
        </w:tc>
        <w:tc>
          <w:tcPr>
            <w:tcW w:w="1697" w:type="dxa"/>
            <w:tcBorders>
              <w:bottom w:val="single" w:sz="4" w:space="0" w:color="auto"/>
            </w:tcBorders>
            <w:noWrap/>
            <w:hideMark/>
          </w:tcPr>
          <w:p w14:paraId="38EE805B"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&lt; 0.05</w:t>
            </w:r>
          </w:p>
        </w:tc>
        <w:tc>
          <w:tcPr>
            <w:tcW w:w="1718" w:type="dxa"/>
            <w:tcBorders>
              <w:bottom w:val="single" w:sz="4" w:space="0" w:color="auto"/>
            </w:tcBorders>
            <w:noWrap/>
            <w:hideMark/>
          </w:tcPr>
          <w:p w14:paraId="30BEEF90"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&lt; 0.05</w:t>
            </w:r>
          </w:p>
        </w:tc>
        <w:tc>
          <w:tcPr>
            <w:tcW w:w="1716" w:type="dxa"/>
            <w:tcBorders>
              <w:bottom w:val="single" w:sz="4" w:space="0" w:color="auto"/>
            </w:tcBorders>
            <w:noWrap/>
            <w:hideMark/>
          </w:tcPr>
          <w:p w14:paraId="27F92C40"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&lt; 0.05</w:t>
            </w:r>
          </w:p>
        </w:tc>
        <w:tc>
          <w:tcPr>
            <w:tcW w:w="1625" w:type="dxa"/>
            <w:tcBorders>
              <w:bottom w:val="single" w:sz="4" w:space="0" w:color="auto"/>
            </w:tcBorders>
            <w:noWrap/>
            <w:hideMark/>
          </w:tcPr>
          <w:p w14:paraId="1D234AED" w14:textId="77777777" w:rsidR="005526DF" w:rsidRPr="005526DF" w:rsidRDefault="005526DF" w:rsidP="00E03127">
            <w:pPr>
              <w:rPr>
                <w:rFonts w:ascii="Arial" w:hAnsi="Arial" w:cs="Arial"/>
                <w:sz w:val="20"/>
                <w:szCs w:val="20"/>
              </w:rPr>
            </w:pPr>
            <w:r w:rsidRPr="005526DF">
              <w:rPr>
                <w:rFonts w:ascii="Arial" w:hAnsi="Arial" w:cs="Arial"/>
                <w:i/>
                <w:sz w:val="20"/>
                <w:szCs w:val="20"/>
              </w:rPr>
              <w:t>P</w:t>
            </w:r>
            <w:r w:rsidRPr="005526DF">
              <w:rPr>
                <w:rFonts w:ascii="Arial" w:hAnsi="Arial" w:cs="Arial"/>
                <w:sz w:val="20"/>
                <w:szCs w:val="20"/>
              </w:rPr>
              <w:t xml:space="preserve"> &lt; 0.05</w:t>
            </w:r>
          </w:p>
        </w:tc>
      </w:tr>
    </w:tbl>
    <w:p w14:paraId="47EB90CA" w14:textId="77777777" w:rsidR="00F81711" w:rsidRPr="005F2DCC" w:rsidRDefault="00F81711" w:rsidP="00F81711">
      <w:pPr>
        <w:spacing w:before="240" w:after="160"/>
        <w:jc w:val="both"/>
        <w:rPr>
          <w:rFonts w:ascii="Arial" w:eastAsia="Calibri" w:hAnsi="Arial" w:cs="Arial"/>
          <w:vertAlign w:val="superscript"/>
        </w:rPr>
      </w:pPr>
      <w:r w:rsidRPr="005F2DCC">
        <w:rPr>
          <w:rFonts w:ascii="Arial" w:eastAsia="Calibri" w:hAnsi="Arial" w:cs="Arial"/>
          <w:vertAlign w:val="superscript"/>
        </w:rPr>
        <w:t xml:space="preserve">*Data expressed as Mean ± S.E. values within the same column with different superscript are significant at </w:t>
      </w:r>
      <w:r w:rsidRPr="005F2DCC">
        <w:rPr>
          <w:rFonts w:ascii="Arial" w:eastAsia="Calibri" w:hAnsi="Arial" w:cs="Arial"/>
          <w:i/>
          <w:vertAlign w:val="superscript"/>
        </w:rPr>
        <w:t>P</w:t>
      </w:r>
      <w:r>
        <w:rPr>
          <w:rFonts w:ascii="Arial" w:eastAsia="Calibri" w:hAnsi="Arial" w:cs="Arial"/>
          <w:i/>
          <w:vertAlign w:val="superscript"/>
        </w:rPr>
        <w:t xml:space="preserve"> </w:t>
      </w:r>
      <w:r w:rsidRPr="005F2DCC">
        <w:rPr>
          <w:rFonts w:ascii="Arial" w:eastAsia="Calibri" w:hAnsi="Arial" w:cs="Arial"/>
          <w:vertAlign w:val="superscript"/>
        </w:rPr>
        <w:t>&lt; 0.05 levels of probability.</w:t>
      </w:r>
    </w:p>
    <w:p w14:paraId="331E78AA" w14:textId="77777777" w:rsidR="00F81711" w:rsidRPr="009263D6" w:rsidRDefault="00F81711" w:rsidP="00F81711">
      <w:pPr>
        <w:pStyle w:val="Body"/>
        <w:spacing w:before="240"/>
        <w:rPr>
          <w:rFonts w:ascii="Arial" w:hAnsi="Arial" w:cs="Arial"/>
          <w:b/>
          <w:bCs/>
          <w:iCs/>
          <w:sz w:val="22"/>
        </w:rPr>
      </w:pPr>
      <w:r>
        <w:rPr>
          <w:rFonts w:ascii="Arial" w:hAnsi="Arial" w:cs="Arial"/>
          <w:b/>
          <w:caps/>
          <w:sz w:val="22"/>
        </w:rPr>
        <w:t xml:space="preserve">3.2 </w:t>
      </w:r>
      <w:r>
        <w:rPr>
          <w:rFonts w:ascii="Arial" w:hAnsi="Arial" w:cs="Arial"/>
          <w:b/>
          <w:bCs/>
          <w:iCs/>
          <w:sz w:val="22"/>
        </w:rPr>
        <w:t>Chemical</w:t>
      </w:r>
      <w:r w:rsidRPr="009263D6">
        <w:rPr>
          <w:rFonts w:ascii="Arial" w:hAnsi="Arial" w:cs="Arial"/>
          <w:b/>
          <w:bCs/>
          <w:iCs/>
          <w:sz w:val="22"/>
        </w:rPr>
        <w:t xml:space="preserve"> properties</w:t>
      </w:r>
    </w:p>
    <w:p w14:paraId="3307DF16" w14:textId="77777777" w:rsidR="009263D6" w:rsidRDefault="00F81711" w:rsidP="00F81711">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2.1 </w:t>
      </w:r>
      <w:r w:rsidRPr="00F81711">
        <w:rPr>
          <w:rFonts w:ascii="Arial" w:hAnsi="Arial" w:cs="Arial"/>
          <w:b/>
          <w:bCs/>
          <w:u w:val="single"/>
        </w:rPr>
        <w:t>A-B (Alcohol- benzene) extractive (%)</w:t>
      </w:r>
    </w:p>
    <w:p w14:paraId="500613DA" w14:textId="77777777" w:rsidR="00F81711" w:rsidRPr="00F81711" w:rsidRDefault="00F81711" w:rsidP="00F81711">
      <w:pPr>
        <w:pStyle w:val="Body"/>
        <w:spacing w:after="0"/>
        <w:rPr>
          <w:rFonts w:ascii="Arial" w:hAnsi="Arial" w:cs="Arial"/>
        </w:rPr>
      </w:pPr>
      <w:r w:rsidRPr="00F81711">
        <w:rPr>
          <w:rFonts w:ascii="Arial" w:hAnsi="Arial" w:cs="Arial"/>
        </w:rPr>
        <w:t xml:space="preserve">The </w:t>
      </w:r>
      <w:r w:rsidRPr="00F81711">
        <w:rPr>
          <w:rFonts w:ascii="Arial" w:hAnsi="Arial" w:cs="Arial"/>
          <w:bCs/>
        </w:rPr>
        <w:t>Alcohol-Benzene (A-B) extractive content</w:t>
      </w:r>
      <w:r w:rsidRPr="00F81711">
        <w:rPr>
          <w:rFonts w:ascii="Arial" w:hAnsi="Arial" w:cs="Arial"/>
        </w:rPr>
        <w:t xml:space="preserve"> exhibited substantial variation among the seventeen mulberry clones evaluated. As presented in </w:t>
      </w:r>
      <w:r w:rsidRPr="00F81711">
        <w:rPr>
          <w:rFonts w:ascii="Arial" w:hAnsi="Arial" w:cs="Arial"/>
          <w:bCs/>
        </w:rPr>
        <w:t>Table 2</w:t>
      </w:r>
      <w:r>
        <w:rPr>
          <w:rFonts w:ascii="Arial" w:hAnsi="Arial" w:cs="Arial"/>
          <w:bCs/>
        </w:rPr>
        <w:t>.</w:t>
      </w:r>
      <w:r w:rsidR="006F76E6">
        <w:rPr>
          <w:rFonts w:ascii="Arial" w:hAnsi="Arial" w:cs="Arial"/>
        </w:rPr>
        <w:t xml:space="preserve"> T</w:t>
      </w:r>
      <w:r w:rsidRPr="00F81711">
        <w:rPr>
          <w:rFonts w:ascii="Arial" w:hAnsi="Arial" w:cs="Arial"/>
        </w:rPr>
        <w:t xml:space="preserve">he A-B extractives ranged from </w:t>
      </w:r>
      <w:r w:rsidRPr="00F81711">
        <w:rPr>
          <w:rFonts w:ascii="Arial" w:hAnsi="Arial" w:cs="Arial"/>
          <w:bCs/>
        </w:rPr>
        <w:t>2.05 ± 0.36%</w:t>
      </w:r>
      <w:r w:rsidRPr="00F81711">
        <w:rPr>
          <w:rFonts w:ascii="Arial" w:hAnsi="Arial" w:cs="Arial"/>
        </w:rPr>
        <w:t xml:space="preserve"> in </w:t>
      </w:r>
      <w:r w:rsidRPr="00F81711">
        <w:rPr>
          <w:rFonts w:ascii="Arial" w:hAnsi="Arial" w:cs="Arial"/>
          <w:bCs/>
        </w:rPr>
        <w:t>MI-0300</w:t>
      </w:r>
      <w:r w:rsidRPr="00F81711">
        <w:rPr>
          <w:rFonts w:ascii="Arial" w:hAnsi="Arial" w:cs="Arial"/>
        </w:rPr>
        <w:t xml:space="preserve"> to </w:t>
      </w:r>
      <w:r w:rsidRPr="00F81711">
        <w:rPr>
          <w:rFonts w:ascii="Arial" w:hAnsi="Arial" w:cs="Arial"/>
          <w:bCs/>
        </w:rPr>
        <w:t>3.79 ± 0.42%</w:t>
      </w:r>
      <w:r w:rsidRPr="00F81711">
        <w:rPr>
          <w:rFonts w:ascii="Arial" w:hAnsi="Arial" w:cs="Arial"/>
        </w:rPr>
        <w:t xml:space="preserve"> in </w:t>
      </w:r>
      <w:r w:rsidRPr="00F81711">
        <w:rPr>
          <w:rFonts w:ascii="Arial" w:hAnsi="Arial" w:cs="Arial"/>
          <w:bCs/>
        </w:rPr>
        <w:t>MI-0845</w:t>
      </w:r>
      <w:r w:rsidRPr="00F81711">
        <w:rPr>
          <w:rFonts w:ascii="Arial" w:hAnsi="Arial" w:cs="Arial"/>
        </w:rPr>
        <w:t xml:space="preserve">, with an </w:t>
      </w:r>
      <w:r w:rsidRPr="00F81711">
        <w:rPr>
          <w:rFonts w:ascii="Arial" w:hAnsi="Arial" w:cs="Arial"/>
          <w:bCs/>
        </w:rPr>
        <w:t>average value</w:t>
      </w:r>
      <w:r w:rsidRPr="00F81711">
        <w:rPr>
          <w:rFonts w:ascii="Arial" w:hAnsi="Arial" w:cs="Arial"/>
        </w:rPr>
        <w:t xml:space="preserve"> of </w:t>
      </w:r>
      <w:r w:rsidRPr="00F81711">
        <w:rPr>
          <w:rFonts w:ascii="Arial" w:hAnsi="Arial" w:cs="Arial"/>
          <w:bCs/>
        </w:rPr>
        <w:t>3.06%</w:t>
      </w:r>
      <w:r w:rsidRPr="00F81711">
        <w:rPr>
          <w:rFonts w:ascii="Arial" w:hAnsi="Arial" w:cs="Arial"/>
        </w:rPr>
        <w:t xml:space="preserve">. </w:t>
      </w:r>
      <w:r w:rsidRPr="00F81711">
        <w:rPr>
          <w:rFonts w:ascii="Arial" w:hAnsi="Arial" w:cs="Arial"/>
        </w:rPr>
        <w:lastRenderedPageBreak/>
        <w:t xml:space="preserve">Statistical analysis revealed </w:t>
      </w:r>
      <w:r w:rsidRPr="00F81711">
        <w:rPr>
          <w:rFonts w:ascii="Arial" w:hAnsi="Arial" w:cs="Arial"/>
          <w:bCs/>
        </w:rPr>
        <w:t>significant differences (</w:t>
      </w:r>
      <w:r w:rsidRPr="00F81711">
        <w:rPr>
          <w:rFonts w:ascii="Arial" w:hAnsi="Arial" w:cs="Arial"/>
          <w:bCs/>
          <w:i/>
        </w:rPr>
        <w:t>P</w:t>
      </w:r>
      <w:r w:rsidRPr="00F81711">
        <w:rPr>
          <w:rFonts w:ascii="Arial" w:hAnsi="Arial" w:cs="Arial"/>
          <w:bCs/>
        </w:rPr>
        <w:t xml:space="preserve"> &lt; 0.05)</w:t>
      </w:r>
      <w:r w:rsidRPr="00F81711">
        <w:rPr>
          <w:rFonts w:ascii="Arial" w:hAnsi="Arial" w:cs="Arial"/>
        </w:rPr>
        <w:t xml:space="preserve"> among the clones, indicating distinct chemical extractive profiles across the genetic resources studied.</w:t>
      </w:r>
    </w:p>
    <w:p w14:paraId="14346944" w14:textId="46DC6E51" w:rsidR="00F81711" w:rsidRPr="00F81711" w:rsidRDefault="00F81711" w:rsidP="00F81711">
      <w:pPr>
        <w:pStyle w:val="Body"/>
        <w:spacing w:after="0"/>
        <w:rPr>
          <w:rFonts w:ascii="Arial" w:hAnsi="Arial" w:cs="Arial"/>
        </w:rPr>
      </w:pPr>
      <w:r w:rsidRPr="00F81711">
        <w:rPr>
          <w:rFonts w:ascii="Arial" w:hAnsi="Arial" w:cs="Arial"/>
        </w:rPr>
        <w:t xml:space="preserve">Extractives in woody biomass play essential roles in </w:t>
      </w:r>
      <w:r w:rsidRPr="00F81711">
        <w:rPr>
          <w:rFonts w:ascii="Arial" w:hAnsi="Arial" w:cs="Arial"/>
          <w:bCs/>
        </w:rPr>
        <w:t>tree physiology and metabolism</w:t>
      </w:r>
      <w:r w:rsidRPr="00F81711">
        <w:rPr>
          <w:rFonts w:ascii="Arial" w:hAnsi="Arial" w:cs="Arial"/>
        </w:rPr>
        <w:t xml:space="preserve">, functioning as </w:t>
      </w:r>
      <w:proofErr w:type="spellStart"/>
      <w:r w:rsidR="001645B7" w:rsidRPr="00857493">
        <w:rPr>
          <w:rFonts w:ascii="Arial" w:hAnsi="Arial" w:cs="Arial"/>
          <w:bCs/>
          <w:highlight w:val="yellow"/>
        </w:rPr>
        <w:t>defence</w:t>
      </w:r>
      <w:proofErr w:type="spellEnd"/>
      <w:r w:rsidR="001645B7" w:rsidRPr="00857493">
        <w:rPr>
          <w:rFonts w:ascii="Arial" w:hAnsi="Arial" w:cs="Arial"/>
          <w:bCs/>
          <w:highlight w:val="yellow"/>
        </w:rPr>
        <w:t xml:space="preserve"> </w:t>
      </w:r>
      <w:r w:rsidRPr="00857493">
        <w:rPr>
          <w:rFonts w:ascii="Arial" w:hAnsi="Arial" w:cs="Arial"/>
          <w:bCs/>
          <w:highlight w:val="yellow"/>
        </w:rPr>
        <w:t>c</w:t>
      </w:r>
      <w:r w:rsidRPr="00F81711">
        <w:rPr>
          <w:rFonts w:ascii="Arial" w:hAnsi="Arial" w:cs="Arial"/>
          <w:bCs/>
        </w:rPr>
        <w:t>ompounds, energy reserves</w:t>
      </w:r>
      <w:r w:rsidRPr="00F81711">
        <w:rPr>
          <w:rFonts w:ascii="Arial" w:hAnsi="Arial" w:cs="Arial"/>
        </w:rPr>
        <w:t xml:space="preserve">, and contributors to </w:t>
      </w:r>
      <w:r w:rsidRPr="00F81711">
        <w:rPr>
          <w:rFonts w:ascii="Arial" w:hAnsi="Arial" w:cs="Arial"/>
          <w:bCs/>
        </w:rPr>
        <w:t>overall biomass quality</w:t>
      </w:r>
      <w:r w:rsidRPr="00F81711">
        <w:rPr>
          <w:rFonts w:ascii="Arial" w:hAnsi="Arial" w:cs="Arial"/>
        </w:rPr>
        <w:t xml:space="preserve"> </w:t>
      </w:r>
      <w:r w:rsidRPr="00F86E12">
        <w:rPr>
          <w:rFonts w:ascii="Arial" w:hAnsi="Arial" w:cs="Arial"/>
        </w:rPr>
        <w:t>(Telmo &amp; Lousada, 2011). Importantly</w:t>
      </w:r>
      <w:r w:rsidRPr="00F81711">
        <w:rPr>
          <w:rFonts w:ascii="Arial" w:hAnsi="Arial" w:cs="Arial"/>
        </w:rPr>
        <w:t xml:space="preserve">, the </w:t>
      </w:r>
      <w:r w:rsidRPr="00F81711">
        <w:rPr>
          <w:rFonts w:ascii="Arial" w:hAnsi="Arial" w:cs="Arial"/>
          <w:bCs/>
        </w:rPr>
        <w:t>quantity and composition</w:t>
      </w:r>
      <w:r w:rsidRPr="00F81711">
        <w:rPr>
          <w:rFonts w:ascii="Arial" w:hAnsi="Arial" w:cs="Arial"/>
        </w:rPr>
        <w:t xml:space="preserve"> of these extractives are known to significantly influence the </w:t>
      </w:r>
      <w:r w:rsidRPr="00F81711">
        <w:rPr>
          <w:rFonts w:ascii="Arial" w:hAnsi="Arial" w:cs="Arial"/>
          <w:bCs/>
        </w:rPr>
        <w:t>heating value and combustion performance</w:t>
      </w:r>
      <w:r w:rsidRPr="00F81711">
        <w:rPr>
          <w:rFonts w:ascii="Arial" w:hAnsi="Arial" w:cs="Arial"/>
        </w:rPr>
        <w:t xml:space="preserve"> of biomass </w:t>
      </w:r>
      <w:r w:rsidRPr="00F86E12">
        <w:rPr>
          <w:rFonts w:ascii="Arial" w:hAnsi="Arial" w:cs="Arial"/>
        </w:rPr>
        <w:t xml:space="preserve">fuels (Dadile </w:t>
      </w:r>
      <w:r w:rsidRPr="00F86E12">
        <w:rPr>
          <w:rFonts w:ascii="Arial" w:hAnsi="Arial" w:cs="Arial"/>
          <w:i/>
        </w:rPr>
        <w:t>et al.,</w:t>
      </w:r>
      <w:r w:rsidRPr="00F86E12">
        <w:rPr>
          <w:rFonts w:ascii="Arial" w:hAnsi="Arial" w:cs="Arial"/>
        </w:rPr>
        <w:t xml:space="preserve"> 2020). In the</w:t>
      </w:r>
      <w:r w:rsidRPr="00F81711">
        <w:rPr>
          <w:rFonts w:ascii="Arial" w:hAnsi="Arial" w:cs="Arial"/>
        </w:rPr>
        <w:t xml:space="preserve"> present study, the A-B extractive content ranged from </w:t>
      </w:r>
      <w:r w:rsidRPr="00F81711">
        <w:rPr>
          <w:rFonts w:ascii="Arial" w:hAnsi="Arial" w:cs="Arial"/>
          <w:bCs/>
        </w:rPr>
        <w:t>2.05% to 3.79%</w:t>
      </w:r>
      <w:r w:rsidRPr="00F81711">
        <w:rPr>
          <w:rFonts w:ascii="Arial" w:hAnsi="Arial" w:cs="Arial"/>
        </w:rPr>
        <w:t xml:space="preserve">, which aligns well with the findings </w:t>
      </w:r>
      <w:r w:rsidRPr="00F86E12">
        <w:rPr>
          <w:rFonts w:ascii="Arial" w:hAnsi="Arial" w:cs="Arial"/>
        </w:rPr>
        <w:t xml:space="preserve">of </w:t>
      </w:r>
      <w:r w:rsidRPr="00F86E12">
        <w:rPr>
          <w:rFonts w:ascii="Arial" w:hAnsi="Arial" w:cs="Arial"/>
          <w:bCs/>
        </w:rPr>
        <w:t xml:space="preserve">Bora </w:t>
      </w:r>
      <w:r w:rsidRPr="00F86E12">
        <w:rPr>
          <w:rFonts w:ascii="Arial" w:hAnsi="Arial" w:cs="Arial"/>
          <w:bCs/>
          <w:i/>
        </w:rPr>
        <w:t>et al.,</w:t>
      </w:r>
      <w:r w:rsidRPr="00F86E12">
        <w:rPr>
          <w:rFonts w:ascii="Arial" w:hAnsi="Arial" w:cs="Arial"/>
          <w:bCs/>
        </w:rPr>
        <w:t xml:space="preserve"> (2023)</w:t>
      </w:r>
      <w:r w:rsidRPr="00F86E12">
        <w:rPr>
          <w:rFonts w:ascii="Arial" w:hAnsi="Arial" w:cs="Arial"/>
        </w:rPr>
        <w:t>, who</w:t>
      </w:r>
      <w:r w:rsidRPr="00F81711">
        <w:rPr>
          <w:rFonts w:ascii="Arial" w:hAnsi="Arial" w:cs="Arial"/>
        </w:rPr>
        <w:t xml:space="preserve"> reported A-B extractive values in mulberry species ranging from </w:t>
      </w:r>
      <w:r w:rsidRPr="00F81711">
        <w:rPr>
          <w:rFonts w:ascii="Arial" w:hAnsi="Arial" w:cs="Arial"/>
          <w:bCs/>
        </w:rPr>
        <w:t>2.21% to 3.77%</w:t>
      </w:r>
      <w:r w:rsidRPr="00F81711">
        <w:rPr>
          <w:rFonts w:ascii="Arial" w:hAnsi="Arial" w:cs="Arial"/>
        </w:rPr>
        <w:t xml:space="preserve">. </w:t>
      </w:r>
      <w:r w:rsidRPr="00F86E12">
        <w:rPr>
          <w:rFonts w:ascii="Arial" w:hAnsi="Arial" w:cs="Arial"/>
        </w:rPr>
        <w:t xml:space="preserve">Similarly, </w:t>
      </w:r>
      <w:r w:rsidRPr="00F86E12">
        <w:rPr>
          <w:rFonts w:ascii="Arial" w:hAnsi="Arial" w:cs="Arial"/>
          <w:bCs/>
        </w:rPr>
        <w:t>Walia (2013)</w:t>
      </w:r>
      <w:r w:rsidRPr="00F86E12">
        <w:rPr>
          <w:rFonts w:ascii="Arial" w:hAnsi="Arial" w:cs="Arial"/>
        </w:rPr>
        <w:t xml:space="preserve"> documented</w:t>
      </w:r>
      <w:r w:rsidRPr="00F81711">
        <w:rPr>
          <w:rFonts w:ascii="Arial" w:hAnsi="Arial" w:cs="Arial"/>
        </w:rPr>
        <w:t xml:space="preserve"> an extractive content of </w:t>
      </w:r>
      <w:r w:rsidRPr="00F81711">
        <w:rPr>
          <w:rFonts w:ascii="Arial" w:hAnsi="Arial" w:cs="Arial"/>
          <w:bCs/>
        </w:rPr>
        <w:t>2.60%</w:t>
      </w:r>
      <w:r w:rsidRPr="00F81711">
        <w:rPr>
          <w:rFonts w:ascii="Arial" w:hAnsi="Arial" w:cs="Arial"/>
        </w:rPr>
        <w:t xml:space="preserve"> in </w:t>
      </w:r>
      <w:r w:rsidRPr="00F81711">
        <w:rPr>
          <w:rFonts w:ascii="Arial" w:hAnsi="Arial" w:cs="Arial"/>
          <w:i/>
          <w:iCs/>
        </w:rPr>
        <w:t>Morus rubra</w:t>
      </w:r>
      <w:r w:rsidRPr="00F81711">
        <w:rPr>
          <w:rFonts w:ascii="Arial" w:hAnsi="Arial" w:cs="Arial"/>
        </w:rPr>
        <w:t xml:space="preserve"> (red mulberry), further supporting the validity of the results obtained in this investigation.</w:t>
      </w:r>
    </w:p>
    <w:p w14:paraId="39B70BBA" w14:textId="77777777" w:rsidR="00F81711" w:rsidRDefault="00F81711" w:rsidP="00F81711">
      <w:pPr>
        <w:pStyle w:val="Body"/>
        <w:spacing w:after="0"/>
        <w:rPr>
          <w:rFonts w:ascii="Arial" w:hAnsi="Arial" w:cs="Arial"/>
        </w:rPr>
      </w:pPr>
      <w:r w:rsidRPr="00F81711">
        <w:rPr>
          <w:rFonts w:ascii="Arial" w:hAnsi="Arial" w:cs="Arial"/>
        </w:rPr>
        <w:t xml:space="preserve">The observed </w:t>
      </w:r>
      <w:r w:rsidRPr="00F81711">
        <w:rPr>
          <w:rFonts w:ascii="Arial" w:hAnsi="Arial" w:cs="Arial"/>
          <w:bCs/>
        </w:rPr>
        <w:t>variation in extractive content</w:t>
      </w:r>
      <w:r w:rsidRPr="00F81711">
        <w:rPr>
          <w:rFonts w:ascii="Arial" w:hAnsi="Arial" w:cs="Arial"/>
        </w:rPr>
        <w:t xml:space="preserve"> among the mulberry clones highlights their </w:t>
      </w:r>
      <w:r w:rsidRPr="00F81711">
        <w:rPr>
          <w:rFonts w:ascii="Arial" w:hAnsi="Arial" w:cs="Arial"/>
          <w:bCs/>
        </w:rPr>
        <w:t>chemical diversity</w:t>
      </w:r>
      <w:r w:rsidRPr="00F81711">
        <w:rPr>
          <w:rFonts w:ascii="Arial" w:hAnsi="Arial" w:cs="Arial"/>
        </w:rPr>
        <w:t xml:space="preserve"> and potential differences in </w:t>
      </w:r>
      <w:r w:rsidRPr="00F81711">
        <w:rPr>
          <w:rFonts w:ascii="Arial" w:hAnsi="Arial" w:cs="Arial"/>
          <w:bCs/>
        </w:rPr>
        <w:t>thermal behavior</w:t>
      </w:r>
      <w:r w:rsidRPr="00F81711">
        <w:rPr>
          <w:rFonts w:ascii="Arial" w:hAnsi="Arial" w:cs="Arial"/>
        </w:rPr>
        <w:t xml:space="preserve">, which can directly impact their </w:t>
      </w:r>
      <w:r w:rsidRPr="00F81711">
        <w:rPr>
          <w:rFonts w:ascii="Arial" w:hAnsi="Arial" w:cs="Arial"/>
          <w:bCs/>
        </w:rPr>
        <w:t>suitability as bioenergy feedstocks</w:t>
      </w:r>
      <w:r w:rsidRPr="00F81711">
        <w:rPr>
          <w:rFonts w:ascii="Arial" w:hAnsi="Arial" w:cs="Arial"/>
        </w:rPr>
        <w:t>.</w:t>
      </w:r>
    </w:p>
    <w:p w14:paraId="3E49B6FC" w14:textId="77777777" w:rsidR="00F81711" w:rsidRDefault="00F81711" w:rsidP="00F81711">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2.2 </w:t>
      </w:r>
      <w:r w:rsidRPr="00F81711">
        <w:rPr>
          <w:rFonts w:ascii="Arial" w:hAnsi="Arial" w:cs="Arial"/>
          <w:b/>
          <w:bCs/>
          <w:u w:val="single"/>
        </w:rPr>
        <w:t>Acid insoluble lignin (%)</w:t>
      </w:r>
    </w:p>
    <w:p w14:paraId="2CFDC846" w14:textId="77777777" w:rsidR="00F81711" w:rsidRPr="00F81711" w:rsidRDefault="00F81711" w:rsidP="00F81711">
      <w:pPr>
        <w:pStyle w:val="Body"/>
        <w:spacing w:after="0"/>
        <w:rPr>
          <w:rFonts w:ascii="Arial" w:hAnsi="Arial" w:cs="Arial"/>
        </w:rPr>
      </w:pPr>
      <w:r w:rsidRPr="00F81711">
        <w:rPr>
          <w:rFonts w:ascii="Arial" w:hAnsi="Arial" w:cs="Arial"/>
        </w:rPr>
        <w:t xml:space="preserve">Substantial variation in </w:t>
      </w:r>
      <w:r w:rsidRPr="00F81711">
        <w:rPr>
          <w:rFonts w:ascii="Arial" w:hAnsi="Arial" w:cs="Arial"/>
          <w:bCs/>
        </w:rPr>
        <w:t>acid-insoluble lignin content</w:t>
      </w:r>
      <w:r w:rsidRPr="00F81711">
        <w:rPr>
          <w:rFonts w:ascii="Arial" w:hAnsi="Arial" w:cs="Arial"/>
        </w:rPr>
        <w:t xml:space="preserve"> was observed among the seventeen mulberry clones evaluated, as presented in </w:t>
      </w:r>
      <w:r w:rsidRPr="00F81711">
        <w:rPr>
          <w:rFonts w:ascii="Arial" w:hAnsi="Arial" w:cs="Arial"/>
          <w:bCs/>
        </w:rPr>
        <w:t>Table 2</w:t>
      </w:r>
      <w:r w:rsidRPr="00F81711">
        <w:rPr>
          <w:rFonts w:ascii="Arial" w:hAnsi="Arial" w:cs="Arial"/>
        </w:rPr>
        <w:t xml:space="preserve">. Clone </w:t>
      </w:r>
      <w:r w:rsidRPr="00F81711">
        <w:rPr>
          <w:rFonts w:ascii="Arial" w:hAnsi="Arial" w:cs="Arial"/>
          <w:bCs/>
        </w:rPr>
        <w:t>MI-0845</w:t>
      </w:r>
      <w:r w:rsidRPr="00F81711">
        <w:rPr>
          <w:rFonts w:ascii="Arial" w:hAnsi="Arial" w:cs="Arial"/>
        </w:rPr>
        <w:t xml:space="preserve"> recorded the </w:t>
      </w:r>
      <w:r w:rsidRPr="00F81711">
        <w:rPr>
          <w:rFonts w:ascii="Arial" w:hAnsi="Arial" w:cs="Arial"/>
          <w:bCs/>
        </w:rPr>
        <w:t>maximum lignin content</w:t>
      </w:r>
      <w:r w:rsidRPr="00F81711">
        <w:rPr>
          <w:rFonts w:ascii="Arial" w:hAnsi="Arial" w:cs="Arial"/>
        </w:rPr>
        <w:t xml:space="preserve"> at </w:t>
      </w:r>
      <w:r w:rsidRPr="00F81711">
        <w:rPr>
          <w:rFonts w:ascii="Arial" w:hAnsi="Arial" w:cs="Arial"/>
          <w:bCs/>
        </w:rPr>
        <w:t>28.41 ± 0.14%</w:t>
      </w:r>
      <w:r w:rsidRPr="00F81711">
        <w:rPr>
          <w:rFonts w:ascii="Arial" w:hAnsi="Arial" w:cs="Arial"/>
        </w:rPr>
        <w:t xml:space="preserve">, whereas clones </w:t>
      </w:r>
      <w:r w:rsidRPr="00F81711">
        <w:rPr>
          <w:rFonts w:ascii="Arial" w:hAnsi="Arial" w:cs="Arial"/>
          <w:bCs/>
        </w:rPr>
        <w:t>ME-0169</w:t>
      </w:r>
      <w:r w:rsidRPr="00F81711">
        <w:rPr>
          <w:rFonts w:ascii="Arial" w:hAnsi="Arial" w:cs="Arial"/>
        </w:rPr>
        <w:t xml:space="preserve"> and </w:t>
      </w:r>
      <w:r w:rsidRPr="00F81711">
        <w:rPr>
          <w:rFonts w:ascii="Arial" w:hAnsi="Arial" w:cs="Arial"/>
          <w:bCs/>
        </w:rPr>
        <w:t>MI-0034</w:t>
      </w:r>
      <w:r w:rsidRPr="00F81711">
        <w:rPr>
          <w:rFonts w:ascii="Arial" w:hAnsi="Arial" w:cs="Arial"/>
        </w:rPr>
        <w:t xml:space="preserve"> exhibited the </w:t>
      </w:r>
      <w:r w:rsidRPr="00F81711">
        <w:rPr>
          <w:rFonts w:ascii="Arial" w:hAnsi="Arial" w:cs="Arial"/>
          <w:bCs/>
        </w:rPr>
        <w:t>lowest values</w:t>
      </w:r>
      <w:r w:rsidRPr="00F81711">
        <w:rPr>
          <w:rFonts w:ascii="Arial" w:hAnsi="Arial" w:cs="Arial"/>
        </w:rPr>
        <w:t xml:space="preserve">, with </w:t>
      </w:r>
      <w:r w:rsidRPr="00F81711">
        <w:rPr>
          <w:rFonts w:ascii="Arial" w:hAnsi="Arial" w:cs="Arial"/>
          <w:bCs/>
        </w:rPr>
        <w:t>23.71 ± 0.16%</w:t>
      </w:r>
      <w:r w:rsidRPr="00F81711">
        <w:rPr>
          <w:rFonts w:ascii="Arial" w:hAnsi="Arial" w:cs="Arial"/>
        </w:rPr>
        <w:t xml:space="preserve"> and </w:t>
      </w:r>
      <w:r w:rsidRPr="00F81711">
        <w:rPr>
          <w:rFonts w:ascii="Arial" w:hAnsi="Arial" w:cs="Arial"/>
          <w:bCs/>
        </w:rPr>
        <w:t>23.48 ± 0.19%</w:t>
      </w:r>
      <w:r w:rsidRPr="00F81711">
        <w:rPr>
          <w:rFonts w:ascii="Arial" w:hAnsi="Arial" w:cs="Arial"/>
        </w:rPr>
        <w:t xml:space="preserve">, respectively. The </w:t>
      </w:r>
      <w:r w:rsidRPr="00F81711">
        <w:rPr>
          <w:rFonts w:ascii="Arial" w:hAnsi="Arial" w:cs="Arial"/>
          <w:bCs/>
        </w:rPr>
        <w:t>mean lignin content</w:t>
      </w:r>
      <w:r w:rsidRPr="00F81711">
        <w:rPr>
          <w:rFonts w:ascii="Arial" w:hAnsi="Arial" w:cs="Arial"/>
        </w:rPr>
        <w:t xml:space="preserve"> across all clones was found to be </w:t>
      </w:r>
      <w:r w:rsidRPr="00F81711">
        <w:rPr>
          <w:rFonts w:ascii="Arial" w:hAnsi="Arial" w:cs="Arial"/>
          <w:bCs/>
        </w:rPr>
        <w:t>25.61%</w:t>
      </w:r>
      <w:r w:rsidRPr="00F81711">
        <w:rPr>
          <w:rFonts w:ascii="Arial" w:hAnsi="Arial" w:cs="Arial"/>
        </w:rPr>
        <w:t xml:space="preserve">. </w:t>
      </w:r>
      <w:r w:rsidRPr="00F81711">
        <w:rPr>
          <w:rFonts w:ascii="Arial" w:hAnsi="Arial" w:cs="Arial"/>
          <w:bCs/>
        </w:rPr>
        <w:t>Statistical analysis</w:t>
      </w:r>
      <w:r w:rsidRPr="00F81711">
        <w:rPr>
          <w:rFonts w:ascii="Arial" w:hAnsi="Arial" w:cs="Arial"/>
        </w:rPr>
        <w:t xml:space="preserve"> confirmed that these differences were </w:t>
      </w:r>
      <w:r w:rsidRPr="00F81711">
        <w:rPr>
          <w:rFonts w:ascii="Arial" w:hAnsi="Arial" w:cs="Arial"/>
          <w:bCs/>
        </w:rPr>
        <w:t>significant (</w:t>
      </w:r>
      <w:r w:rsidRPr="00F81711">
        <w:rPr>
          <w:rFonts w:ascii="Arial" w:hAnsi="Arial" w:cs="Arial"/>
          <w:bCs/>
          <w:i/>
        </w:rPr>
        <w:t>P</w:t>
      </w:r>
      <w:r w:rsidRPr="00F81711">
        <w:rPr>
          <w:rFonts w:ascii="Arial" w:hAnsi="Arial" w:cs="Arial"/>
          <w:bCs/>
        </w:rPr>
        <w:t xml:space="preserve"> &lt; 0.05)</w:t>
      </w:r>
      <w:r w:rsidRPr="00F81711">
        <w:rPr>
          <w:rFonts w:ascii="Arial" w:hAnsi="Arial" w:cs="Arial"/>
        </w:rPr>
        <w:t xml:space="preserve">, highlighting the </w:t>
      </w:r>
      <w:r w:rsidRPr="00F81711">
        <w:rPr>
          <w:rFonts w:ascii="Arial" w:hAnsi="Arial" w:cs="Arial"/>
          <w:bCs/>
        </w:rPr>
        <w:t>diverse lignin accumulation potential</w:t>
      </w:r>
      <w:r w:rsidRPr="00F81711">
        <w:rPr>
          <w:rFonts w:ascii="Arial" w:hAnsi="Arial" w:cs="Arial"/>
        </w:rPr>
        <w:t xml:space="preserve"> among the mulberry clonal genotypes.</w:t>
      </w:r>
    </w:p>
    <w:p w14:paraId="1EF90065" w14:textId="77777777" w:rsidR="00F81711" w:rsidRPr="00F81711" w:rsidRDefault="00F81711" w:rsidP="00F81711">
      <w:pPr>
        <w:pStyle w:val="Body"/>
        <w:spacing w:after="0"/>
        <w:rPr>
          <w:rFonts w:ascii="Arial" w:hAnsi="Arial" w:cs="Arial"/>
        </w:rPr>
      </w:pPr>
      <w:r w:rsidRPr="00F81711">
        <w:rPr>
          <w:rFonts w:ascii="Arial" w:hAnsi="Arial" w:cs="Arial"/>
        </w:rPr>
        <w:t xml:space="preserve">Lignin plays a </w:t>
      </w:r>
      <w:r w:rsidRPr="00F81711">
        <w:rPr>
          <w:rFonts w:ascii="Arial" w:hAnsi="Arial" w:cs="Arial"/>
          <w:bCs/>
        </w:rPr>
        <w:t>crucial role in determining the combustion efficiency</w:t>
      </w:r>
      <w:r w:rsidRPr="00F81711">
        <w:rPr>
          <w:rFonts w:ascii="Arial" w:hAnsi="Arial" w:cs="Arial"/>
        </w:rPr>
        <w:t xml:space="preserve"> of woody biomass. Its content is strongly correlated with the </w:t>
      </w:r>
      <w:r w:rsidRPr="00F81711">
        <w:rPr>
          <w:rFonts w:ascii="Arial" w:hAnsi="Arial" w:cs="Arial"/>
          <w:bCs/>
        </w:rPr>
        <w:t>heating value</w:t>
      </w:r>
      <w:r w:rsidRPr="00F81711">
        <w:rPr>
          <w:rFonts w:ascii="Arial" w:hAnsi="Arial" w:cs="Arial"/>
        </w:rPr>
        <w:t xml:space="preserve">, as higher lignin concentrations enhance the </w:t>
      </w:r>
      <w:r w:rsidRPr="00F81711">
        <w:rPr>
          <w:rFonts w:ascii="Arial" w:hAnsi="Arial" w:cs="Arial"/>
          <w:bCs/>
        </w:rPr>
        <w:t>thermal stability</w:t>
      </w:r>
      <w:r w:rsidRPr="00F81711">
        <w:rPr>
          <w:rFonts w:ascii="Arial" w:hAnsi="Arial" w:cs="Arial"/>
        </w:rPr>
        <w:t xml:space="preserve"> and </w:t>
      </w:r>
      <w:r w:rsidRPr="00F81711">
        <w:rPr>
          <w:rFonts w:ascii="Arial" w:hAnsi="Arial" w:cs="Arial"/>
          <w:bCs/>
        </w:rPr>
        <w:t>energy yield</w:t>
      </w:r>
      <w:r w:rsidRPr="00F81711">
        <w:rPr>
          <w:rFonts w:ascii="Arial" w:hAnsi="Arial" w:cs="Arial"/>
        </w:rPr>
        <w:t xml:space="preserve"> of </w:t>
      </w:r>
      <w:r w:rsidRPr="00F86E12">
        <w:rPr>
          <w:rFonts w:ascii="Arial" w:hAnsi="Arial" w:cs="Arial"/>
        </w:rPr>
        <w:t xml:space="preserve">biofuels (Demirbas, 2007; Dadile </w:t>
      </w:r>
      <w:r w:rsidRPr="00F86E12">
        <w:rPr>
          <w:rFonts w:ascii="Arial" w:hAnsi="Arial" w:cs="Arial"/>
          <w:i/>
        </w:rPr>
        <w:t xml:space="preserve">et al., </w:t>
      </w:r>
      <w:r w:rsidRPr="00F86E12">
        <w:rPr>
          <w:rFonts w:ascii="Arial" w:hAnsi="Arial" w:cs="Arial"/>
        </w:rPr>
        <w:t>2020).</w:t>
      </w:r>
      <w:r w:rsidRPr="00F81711">
        <w:rPr>
          <w:rFonts w:ascii="Arial" w:hAnsi="Arial" w:cs="Arial"/>
        </w:rPr>
        <w:t xml:space="preserve"> In this study, the acid-insoluble lignin content ranged from </w:t>
      </w:r>
      <w:r w:rsidRPr="00F81711">
        <w:rPr>
          <w:rFonts w:ascii="Arial" w:hAnsi="Arial" w:cs="Arial"/>
          <w:bCs/>
        </w:rPr>
        <w:t>23.48% to 28.41%</w:t>
      </w:r>
      <w:r w:rsidRPr="00F81711">
        <w:rPr>
          <w:rFonts w:ascii="Arial" w:hAnsi="Arial" w:cs="Arial"/>
        </w:rPr>
        <w:t xml:space="preserve">, consistent with the findings </w:t>
      </w:r>
      <w:r w:rsidRPr="00F86E12">
        <w:rPr>
          <w:rFonts w:ascii="Arial" w:hAnsi="Arial" w:cs="Arial"/>
        </w:rPr>
        <w:t xml:space="preserve">of </w:t>
      </w:r>
      <w:r w:rsidRPr="00F86E12">
        <w:rPr>
          <w:rFonts w:ascii="Arial" w:hAnsi="Arial" w:cs="Arial"/>
          <w:bCs/>
        </w:rPr>
        <w:t>Rahman and Jahan (2014)</w:t>
      </w:r>
      <w:r w:rsidRPr="00F86E12">
        <w:rPr>
          <w:rFonts w:ascii="Arial" w:hAnsi="Arial" w:cs="Arial"/>
        </w:rPr>
        <w:t>, who reported</w:t>
      </w:r>
      <w:r w:rsidRPr="00F81711">
        <w:rPr>
          <w:rFonts w:ascii="Arial" w:hAnsi="Arial" w:cs="Arial"/>
        </w:rPr>
        <w:t xml:space="preserve"> </w:t>
      </w:r>
      <w:r w:rsidRPr="00F81711">
        <w:rPr>
          <w:rFonts w:ascii="Arial" w:hAnsi="Arial" w:cs="Arial"/>
          <w:bCs/>
        </w:rPr>
        <w:t>23% lignin</w:t>
      </w:r>
      <w:r w:rsidRPr="00F81711">
        <w:rPr>
          <w:rFonts w:ascii="Arial" w:hAnsi="Arial" w:cs="Arial"/>
        </w:rPr>
        <w:t xml:space="preserve"> content in </w:t>
      </w:r>
      <w:r w:rsidRPr="00F81711">
        <w:rPr>
          <w:rFonts w:ascii="Arial" w:hAnsi="Arial" w:cs="Arial"/>
          <w:i/>
          <w:iCs/>
        </w:rPr>
        <w:t>Morus</w:t>
      </w:r>
      <w:r w:rsidRPr="00F81711">
        <w:rPr>
          <w:rFonts w:ascii="Arial" w:hAnsi="Arial" w:cs="Arial"/>
        </w:rPr>
        <w:t xml:space="preserve"> species, </w:t>
      </w:r>
      <w:r w:rsidRPr="00F86E12">
        <w:rPr>
          <w:rFonts w:ascii="Arial" w:hAnsi="Arial" w:cs="Arial"/>
        </w:rPr>
        <w:t xml:space="preserve">and </w:t>
      </w:r>
      <w:r w:rsidRPr="00F86E12">
        <w:rPr>
          <w:rFonts w:ascii="Arial" w:hAnsi="Arial" w:cs="Arial"/>
          <w:bCs/>
        </w:rPr>
        <w:t>Walia (2013)</w:t>
      </w:r>
      <w:r w:rsidRPr="00F86E12">
        <w:rPr>
          <w:rFonts w:ascii="Arial" w:hAnsi="Arial" w:cs="Arial"/>
        </w:rPr>
        <w:t>, who</w:t>
      </w:r>
      <w:r w:rsidRPr="00F81711">
        <w:rPr>
          <w:rFonts w:ascii="Arial" w:hAnsi="Arial" w:cs="Arial"/>
        </w:rPr>
        <w:t xml:space="preserve"> found </w:t>
      </w:r>
      <w:r w:rsidRPr="00F81711">
        <w:rPr>
          <w:rFonts w:ascii="Arial" w:hAnsi="Arial" w:cs="Arial"/>
          <w:bCs/>
        </w:rPr>
        <w:t>21.42% lignin</w:t>
      </w:r>
      <w:r w:rsidRPr="00F81711">
        <w:rPr>
          <w:rFonts w:ascii="Arial" w:hAnsi="Arial" w:cs="Arial"/>
        </w:rPr>
        <w:t xml:space="preserve"> in </w:t>
      </w:r>
      <w:r w:rsidRPr="00F81711">
        <w:rPr>
          <w:rFonts w:ascii="Arial" w:hAnsi="Arial" w:cs="Arial"/>
          <w:i/>
          <w:iCs/>
        </w:rPr>
        <w:t>Morus nigra</w:t>
      </w:r>
      <w:r w:rsidRPr="00F81711">
        <w:rPr>
          <w:rFonts w:ascii="Arial" w:hAnsi="Arial" w:cs="Arial"/>
        </w:rPr>
        <w:t>. Furthermore</w:t>
      </w:r>
      <w:r w:rsidRPr="00F86E12">
        <w:rPr>
          <w:rFonts w:ascii="Arial" w:hAnsi="Arial" w:cs="Arial"/>
        </w:rPr>
        <w:t xml:space="preserve">, </w:t>
      </w:r>
      <w:r w:rsidRPr="00F86E12">
        <w:rPr>
          <w:rFonts w:ascii="Arial" w:hAnsi="Arial" w:cs="Arial"/>
          <w:bCs/>
        </w:rPr>
        <w:t xml:space="preserve">Parthiban </w:t>
      </w:r>
      <w:r w:rsidRPr="00F86E12">
        <w:rPr>
          <w:rFonts w:ascii="Arial" w:hAnsi="Arial" w:cs="Arial"/>
          <w:bCs/>
          <w:i/>
        </w:rPr>
        <w:t>et al.,</w:t>
      </w:r>
      <w:r w:rsidRPr="00F86E12">
        <w:rPr>
          <w:rFonts w:ascii="Arial" w:hAnsi="Arial" w:cs="Arial"/>
          <w:bCs/>
        </w:rPr>
        <w:t xml:space="preserve"> (2020)</w:t>
      </w:r>
      <w:r w:rsidRPr="00F86E12">
        <w:rPr>
          <w:rFonts w:ascii="Arial" w:hAnsi="Arial" w:cs="Arial"/>
        </w:rPr>
        <w:t xml:space="preserve"> reported lignin values between </w:t>
      </w:r>
      <w:r w:rsidRPr="00F86E12">
        <w:rPr>
          <w:rFonts w:ascii="Arial" w:hAnsi="Arial" w:cs="Arial"/>
          <w:bCs/>
        </w:rPr>
        <w:t>22.00% and 28.31%</w:t>
      </w:r>
      <w:r w:rsidRPr="00F86E12">
        <w:rPr>
          <w:rFonts w:ascii="Arial" w:hAnsi="Arial" w:cs="Arial"/>
        </w:rPr>
        <w:t xml:space="preserve"> in various energy species, aligning closely with the current findings.</w:t>
      </w:r>
    </w:p>
    <w:p w14:paraId="5190E9CC" w14:textId="77777777" w:rsidR="00257094" w:rsidRDefault="00257094" w:rsidP="00257094">
      <w:pPr>
        <w:spacing w:before="100" w:beforeAutospacing="1" w:after="100" w:afterAutospacing="1"/>
        <w:ind w:right="571"/>
        <w:jc w:val="both"/>
        <w:rPr>
          <w:rFonts w:ascii="Arial" w:hAnsi="Arial" w:cs="Arial"/>
          <w:b/>
          <w:bCs/>
          <w:u w:val="single"/>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2.3 </w:t>
      </w:r>
      <w:r w:rsidRPr="00257094">
        <w:rPr>
          <w:rFonts w:ascii="Arial" w:hAnsi="Arial" w:cs="Arial"/>
          <w:b/>
          <w:bCs/>
          <w:u w:val="single"/>
        </w:rPr>
        <w:t>Holocellulose (%)</w:t>
      </w:r>
    </w:p>
    <w:p w14:paraId="3F661F69" w14:textId="77777777" w:rsidR="00257094" w:rsidRPr="00257094" w:rsidRDefault="00257094" w:rsidP="00257094">
      <w:pPr>
        <w:pStyle w:val="Body"/>
        <w:spacing w:after="0"/>
        <w:rPr>
          <w:rFonts w:ascii="Arial" w:hAnsi="Arial" w:cs="Arial"/>
        </w:rPr>
      </w:pPr>
      <w:r w:rsidRPr="00257094">
        <w:rPr>
          <w:rFonts w:ascii="Arial" w:hAnsi="Arial" w:cs="Arial"/>
        </w:rPr>
        <w:t xml:space="preserve">Among the seventeen mulberry clones evaluated, </w:t>
      </w:r>
      <w:r w:rsidRPr="00257094">
        <w:rPr>
          <w:rFonts w:ascii="Arial" w:hAnsi="Arial" w:cs="Arial"/>
          <w:bCs/>
        </w:rPr>
        <w:t>holocellulose content</w:t>
      </w:r>
      <w:r w:rsidRPr="00257094">
        <w:rPr>
          <w:rFonts w:ascii="Arial" w:hAnsi="Arial" w:cs="Arial"/>
        </w:rPr>
        <w:t xml:space="preserve"> exhibited marked diversity, as detailed in </w:t>
      </w:r>
      <w:r w:rsidRPr="00257094">
        <w:rPr>
          <w:rFonts w:ascii="Arial" w:hAnsi="Arial" w:cs="Arial"/>
          <w:bCs/>
        </w:rPr>
        <w:t>Table 2</w:t>
      </w:r>
      <w:r w:rsidRPr="00257094">
        <w:rPr>
          <w:rFonts w:ascii="Arial" w:hAnsi="Arial" w:cs="Arial"/>
        </w:rPr>
        <w:t xml:space="preserve">. Values spanned a range from </w:t>
      </w:r>
      <w:r w:rsidRPr="00257094">
        <w:rPr>
          <w:rFonts w:ascii="Arial" w:hAnsi="Arial" w:cs="Arial"/>
          <w:bCs/>
        </w:rPr>
        <w:t>68.68% ± 0.25</w:t>
      </w:r>
      <w:r w:rsidRPr="00257094">
        <w:rPr>
          <w:rFonts w:ascii="Arial" w:hAnsi="Arial" w:cs="Arial"/>
        </w:rPr>
        <w:t xml:space="preserve"> in </w:t>
      </w:r>
      <w:r w:rsidRPr="00257094">
        <w:rPr>
          <w:rFonts w:ascii="Arial" w:hAnsi="Arial" w:cs="Arial"/>
          <w:bCs/>
        </w:rPr>
        <w:t>MI-0532</w:t>
      </w:r>
      <w:r w:rsidRPr="00257094">
        <w:rPr>
          <w:rFonts w:ascii="Arial" w:hAnsi="Arial" w:cs="Arial"/>
        </w:rPr>
        <w:t xml:space="preserve">, the clone with the lowest recorded content, to </w:t>
      </w:r>
      <w:r w:rsidRPr="00257094">
        <w:rPr>
          <w:rFonts w:ascii="Arial" w:hAnsi="Arial" w:cs="Arial"/>
          <w:bCs/>
        </w:rPr>
        <w:t>73.28% ± 0.19</w:t>
      </w:r>
      <w:r w:rsidRPr="00257094">
        <w:rPr>
          <w:rFonts w:ascii="Arial" w:hAnsi="Arial" w:cs="Arial"/>
        </w:rPr>
        <w:t xml:space="preserve"> in </w:t>
      </w:r>
      <w:r w:rsidRPr="00257094">
        <w:rPr>
          <w:rFonts w:ascii="Arial" w:hAnsi="Arial" w:cs="Arial"/>
          <w:bCs/>
        </w:rPr>
        <w:t>MI-0034</w:t>
      </w:r>
      <w:r w:rsidRPr="00257094">
        <w:rPr>
          <w:rFonts w:ascii="Arial" w:hAnsi="Arial" w:cs="Arial"/>
        </w:rPr>
        <w:t xml:space="preserve">, which registered the highest. The </w:t>
      </w:r>
      <w:r w:rsidRPr="00257094">
        <w:rPr>
          <w:rFonts w:ascii="Arial" w:hAnsi="Arial" w:cs="Arial"/>
          <w:bCs/>
        </w:rPr>
        <w:t>overall mean</w:t>
      </w:r>
      <w:r w:rsidRPr="00257094">
        <w:rPr>
          <w:rFonts w:ascii="Arial" w:hAnsi="Arial" w:cs="Arial"/>
        </w:rPr>
        <w:t xml:space="preserve"> for holocellulose across the genotypes was </w:t>
      </w:r>
      <w:r w:rsidRPr="00257094">
        <w:rPr>
          <w:rFonts w:ascii="Arial" w:hAnsi="Arial" w:cs="Arial"/>
          <w:bCs/>
        </w:rPr>
        <w:t>70.71%</w:t>
      </w:r>
      <w:r w:rsidRPr="00257094">
        <w:rPr>
          <w:rFonts w:ascii="Arial" w:hAnsi="Arial" w:cs="Arial"/>
        </w:rPr>
        <w:t xml:space="preserve">. The differences were found to be </w:t>
      </w:r>
      <w:r w:rsidRPr="00257094">
        <w:rPr>
          <w:rFonts w:ascii="Arial" w:hAnsi="Arial" w:cs="Arial"/>
          <w:bCs/>
        </w:rPr>
        <w:t>statistically significant (</w:t>
      </w:r>
      <w:r w:rsidRPr="00257094">
        <w:rPr>
          <w:rFonts w:ascii="Arial" w:hAnsi="Arial" w:cs="Arial"/>
          <w:bCs/>
          <w:i/>
        </w:rPr>
        <w:t>P</w:t>
      </w:r>
      <w:r w:rsidRPr="00257094">
        <w:rPr>
          <w:rFonts w:ascii="Arial" w:hAnsi="Arial" w:cs="Arial"/>
          <w:bCs/>
        </w:rPr>
        <w:t xml:space="preserve"> &lt; 0.05)</w:t>
      </w:r>
      <w:r w:rsidRPr="00257094">
        <w:rPr>
          <w:rFonts w:ascii="Arial" w:hAnsi="Arial" w:cs="Arial"/>
        </w:rPr>
        <w:t xml:space="preserve">, underscoring the presence of </w:t>
      </w:r>
      <w:r w:rsidRPr="00257094">
        <w:rPr>
          <w:rFonts w:ascii="Arial" w:hAnsi="Arial" w:cs="Arial"/>
          <w:bCs/>
        </w:rPr>
        <w:t>substantial genetic variability</w:t>
      </w:r>
      <w:r w:rsidRPr="00257094">
        <w:rPr>
          <w:rFonts w:ascii="Arial" w:hAnsi="Arial" w:cs="Arial"/>
        </w:rPr>
        <w:t xml:space="preserve"> in holocellulose deposition among the studied clones.</w:t>
      </w:r>
    </w:p>
    <w:p w14:paraId="4BCFD2FD" w14:textId="1AE1AACD" w:rsidR="00257094" w:rsidRDefault="00257094" w:rsidP="00257094">
      <w:pPr>
        <w:pStyle w:val="Body"/>
        <w:spacing w:after="0"/>
        <w:rPr>
          <w:rFonts w:ascii="Arial" w:hAnsi="Arial" w:cs="Arial"/>
        </w:rPr>
      </w:pPr>
      <w:r w:rsidRPr="00257094">
        <w:rPr>
          <w:rFonts w:ascii="Arial" w:hAnsi="Arial" w:cs="Arial"/>
        </w:rPr>
        <w:t xml:space="preserve">Holocellulose plays a pivotal role in determining the energy properties of biomass, particularly within the realm of bioenergy production. The higher the holocellulose content in biomass, the greater the potential energy yield during thermochemical processes such as pyrolysis and gasification. These processes convert </w:t>
      </w:r>
      <w:proofErr w:type="spellStart"/>
      <w:r w:rsidRPr="00257094">
        <w:rPr>
          <w:rFonts w:ascii="Arial" w:hAnsi="Arial" w:cs="Arial"/>
        </w:rPr>
        <w:t>holocellulose</w:t>
      </w:r>
      <w:proofErr w:type="spellEnd"/>
      <w:r w:rsidRPr="00257094">
        <w:rPr>
          <w:rFonts w:ascii="Arial" w:hAnsi="Arial" w:cs="Arial"/>
        </w:rPr>
        <w:t xml:space="preserve"> into bio-oil, syngas, and other energy-dense products, largely due to the relatively simpler structure of the </w:t>
      </w:r>
      <w:r w:rsidRPr="00F86E12">
        <w:rPr>
          <w:rFonts w:ascii="Arial" w:hAnsi="Arial" w:cs="Arial"/>
        </w:rPr>
        <w:t xml:space="preserve">polysaccharides in holocellulose, which enhances their susceptibility to thermal degradation (Marques </w:t>
      </w:r>
      <w:r w:rsidRPr="00F86E12">
        <w:rPr>
          <w:rFonts w:ascii="Arial" w:hAnsi="Arial" w:cs="Arial"/>
          <w:i/>
        </w:rPr>
        <w:t>et al.,</w:t>
      </w:r>
      <w:r w:rsidRPr="00F86E12">
        <w:rPr>
          <w:rFonts w:ascii="Arial" w:hAnsi="Arial" w:cs="Arial"/>
        </w:rPr>
        <w:t xml:space="preserve"> 2020). In the current</w:t>
      </w:r>
      <w:r w:rsidRPr="00257094">
        <w:rPr>
          <w:rFonts w:ascii="Arial" w:hAnsi="Arial" w:cs="Arial"/>
        </w:rPr>
        <w:t xml:space="preserve"> study, the holocellulose content of the analysed mulberry clones ranged from 68.68% to 73.28%, with clone MI- 0034 exhibiting the highest content and clone MI- 0532 the lowest. These findings are consistent with the work of </w:t>
      </w:r>
      <w:r w:rsidRPr="00F86E12">
        <w:rPr>
          <w:rFonts w:ascii="Arial" w:hAnsi="Arial" w:cs="Arial"/>
        </w:rPr>
        <w:t xml:space="preserve">Parthiban </w:t>
      </w:r>
      <w:r w:rsidRPr="00F86E12">
        <w:rPr>
          <w:rFonts w:ascii="Arial" w:hAnsi="Arial" w:cs="Arial"/>
          <w:i/>
        </w:rPr>
        <w:t>et al.,</w:t>
      </w:r>
      <w:r w:rsidRPr="00F86E12">
        <w:rPr>
          <w:rFonts w:ascii="Arial" w:hAnsi="Arial" w:cs="Arial"/>
        </w:rPr>
        <w:t xml:space="preserve"> (2020), who reported holocellulose content ranging from 63.50% to 78% across various energy species. Additionally, the results align with those of Bora </w:t>
      </w:r>
      <w:r w:rsidRPr="00F86E12">
        <w:rPr>
          <w:rFonts w:ascii="Arial" w:hAnsi="Arial" w:cs="Arial"/>
          <w:i/>
        </w:rPr>
        <w:t>et al.,</w:t>
      </w:r>
      <w:r w:rsidRPr="00F86E12">
        <w:rPr>
          <w:rFonts w:ascii="Arial" w:hAnsi="Arial" w:cs="Arial"/>
        </w:rPr>
        <w:t xml:space="preserve"> </w:t>
      </w:r>
      <w:r w:rsidRPr="00F86E12">
        <w:rPr>
          <w:rFonts w:ascii="Arial" w:hAnsi="Arial" w:cs="Arial"/>
        </w:rPr>
        <w:lastRenderedPageBreak/>
        <w:t>(2023), who observed a holocellulose</w:t>
      </w:r>
      <w:r w:rsidRPr="00257094">
        <w:rPr>
          <w:rFonts w:ascii="Arial" w:hAnsi="Arial" w:cs="Arial"/>
        </w:rPr>
        <w:t xml:space="preserve"> content range of 68.59% to 73.28% in different mulberry species. This consistency across studies underscores the reliability of the present data and further supports the suitability of these mulberry clones for bioenergy production, given their high holocellulose content and the associated energy yield potential.</w:t>
      </w:r>
    </w:p>
    <w:p w14:paraId="7EDE1790" w14:textId="77777777" w:rsidR="006F76E6" w:rsidRPr="00257094" w:rsidRDefault="006F76E6" w:rsidP="00257094">
      <w:pPr>
        <w:pStyle w:val="Body"/>
        <w:spacing w:after="0"/>
        <w:rPr>
          <w:rFonts w:ascii="Arial" w:hAnsi="Arial" w:cs="Arial"/>
        </w:rPr>
      </w:pPr>
    </w:p>
    <w:p w14:paraId="293ADF7B" w14:textId="77777777" w:rsidR="006F76E6" w:rsidRDefault="006F76E6" w:rsidP="006F76E6">
      <w:pPr>
        <w:spacing w:before="240" w:after="160"/>
        <w:jc w:val="both"/>
        <w:rPr>
          <w:rFonts w:ascii="Times New Roman" w:eastAsia="Calibri" w:hAnsi="Times New Roman"/>
          <w:b/>
          <w:bCs/>
          <w:sz w:val="22"/>
          <w:szCs w:val="22"/>
        </w:rPr>
      </w:pPr>
      <w:r>
        <w:rPr>
          <w:rFonts w:ascii="Arial" w:eastAsia="Calibri" w:hAnsi="Arial" w:cs="Arial"/>
          <w:b/>
        </w:rPr>
        <w:t>Table 2</w:t>
      </w:r>
      <w:r w:rsidRPr="00EE2CED">
        <w:rPr>
          <w:rFonts w:ascii="Arial" w:eastAsia="Calibri" w:hAnsi="Arial" w:cs="Arial"/>
          <w:b/>
        </w:rPr>
        <w:t xml:space="preserve">. </w:t>
      </w:r>
      <w:r w:rsidRPr="006F76E6">
        <w:rPr>
          <w:rFonts w:ascii="Times New Roman" w:eastAsia="Calibri" w:hAnsi="Times New Roman"/>
          <w:b/>
          <w:bCs/>
          <w:sz w:val="22"/>
          <w:szCs w:val="22"/>
        </w:rPr>
        <w:t>Chemical properties of mulberry genetic resources</w:t>
      </w:r>
    </w:p>
    <w:tbl>
      <w:tblPr>
        <w:tblStyle w:val="TableGrid2"/>
        <w:tblW w:w="927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890"/>
        <w:gridCol w:w="2610"/>
        <w:gridCol w:w="2430"/>
      </w:tblGrid>
      <w:tr w:rsidR="006F76E6" w:rsidRPr="006F76E6" w14:paraId="21AD8BC0" w14:textId="77777777" w:rsidTr="00F014E4">
        <w:trPr>
          <w:trHeight w:val="438"/>
        </w:trPr>
        <w:tc>
          <w:tcPr>
            <w:tcW w:w="2340" w:type="dxa"/>
            <w:tcBorders>
              <w:top w:val="single" w:sz="4" w:space="0" w:color="auto"/>
              <w:bottom w:val="single" w:sz="4" w:space="0" w:color="auto"/>
            </w:tcBorders>
            <w:noWrap/>
            <w:hideMark/>
          </w:tcPr>
          <w:p w14:paraId="529C4860" w14:textId="77777777" w:rsidR="006F76E6" w:rsidRPr="006F76E6" w:rsidRDefault="006F76E6" w:rsidP="006F76E6">
            <w:pPr>
              <w:rPr>
                <w:rFonts w:ascii="Arial" w:hAnsi="Arial" w:cs="Arial"/>
                <w:b/>
                <w:sz w:val="20"/>
                <w:szCs w:val="20"/>
              </w:rPr>
            </w:pPr>
            <w:r w:rsidRPr="006F76E6">
              <w:rPr>
                <w:rFonts w:ascii="Arial" w:hAnsi="Arial" w:cs="Arial"/>
                <w:b/>
                <w:sz w:val="20"/>
                <w:szCs w:val="20"/>
              </w:rPr>
              <w:t>Clones</w:t>
            </w:r>
          </w:p>
        </w:tc>
        <w:tc>
          <w:tcPr>
            <w:tcW w:w="1890" w:type="dxa"/>
            <w:tcBorders>
              <w:top w:val="single" w:sz="4" w:space="0" w:color="auto"/>
              <w:bottom w:val="single" w:sz="4" w:space="0" w:color="auto"/>
            </w:tcBorders>
            <w:noWrap/>
            <w:hideMark/>
          </w:tcPr>
          <w:p w14:paraId="50916AC8" w14:textId="77777777" w:rsidR="006F76E6" w:rsidRPr="006F76E6" w:rsidRDefault="006F76E6" w:rsidP="006F76E6">
            <w:pPr>
              <w:rPr>
                <w:rFonts w:ascii="Arial" w:hAnsi="Arial" w:cs="Arial"/>
                <w:b/>
                <w:sz w:val="20"/>
                <w:szCs w:val="20"/>
              </w:rPr>
            </w:pPr>
            <w:r w:rsidRPr="006F76E6">
              <w:rPr>
                <w:rFonts w:ascii="Arial" w:hAnsi="Arial" w:cs="Arial"/>
                <w:b/>
                <w:sz w:val="20"/>
                <w:szCs w:val="20"/>
              </w:rPr>
              <w:t>AB extractive (%)</w:t>
            </w:r>
          </w:p>
        </w:tc>
        <w:tc>
          <w:tcPr>
            <w:tcW w:w="2610" w:type="dxa"/>
            <w:tcBorders>
              <w:top w:val="single" w:sz="4" w:space="0" w:color="auto"/>
              <w:bottom w:val="single" w:sz="4" w:space="0" w:color="auto"/>
            </w:tcBorders>
            <w:noWrap/>
            <w:hideMark/>
          </w:tcPr>
          <w:p w14:paraId="75BA67AD" w14:textId="77777777" w:rsidR="006F76E6" w:rsidRPr="006F76E6" w:rsidRDefault="006F76E6" w:rsidP="006F76E6">
            <w:pPr>
              <w:rPr>
                <w:rFonts w:ascii="Arial" w:hAnsi="Arial" w:cs="Arial"/>
                <w:b/>
                <w:sz w:val="20"/>
                <w:szCs w:val="20"/>
              </w:rPr>
            </w:pPr>
            <w:r w:rsidRPr="006F76E6">
              <w:rPr>
                <w:rFonts w:ascii="Arial" w:hAnsi="Arial" w:cs="Arial"/>
                <w:b/>
                <w:sz w:val="20"/>
                <w:szCs w:val="20"/>
              </w:rPr>
              <w:t>Acid insoluble lignin (%)</w:t>
            </w:r>
          </w:p>
        </w:tc>
        <w:tc>
          <w:tcPr>
            <w:tcW w:w="2430" w:type="dxa"/>
            <w:tcBorders>
              <w:top w:val="single" w:sz="4" w:space="0" w:color="auto"/>
              <w:bottom w:val="single" w:sz="4" w:space="0" w:color="auto"/>
            </w:tcBorders>
            <w:noWrap/>
            <w:hideMark/>
          </w:tcPr>
          <w:p w14:paraId="0B283CB4" w14:textId="77777777" w:rsidR="006F76E6" w:rsidRPr="006F76E6" w:rsidRDefault="006F76E6" w:rsidP="006F76E6">
            <w:pPr>
              <w:rPr>
                <w:rFonts w:ascii="Arial" w:hAnsi="Arial" w:cs="Arial"/>
                <w:b/>
                <w:sz w:val="20"/>
                <w:szCs w:val="20"/>
              </w:rPr>
            </w:pPr>
            <w:r w:rsidRPr="006F76E6">
              <w:rPr>
                <w:rFonts w:ascii="Arial" w:hAnsi="Arial" w:cs="Arial"/>
                <w:b/>
                <w:sz w:val="20"/>
                <w:szCs w:val="20"/>
              </w:rPr>
              <w:t>Holocellulose (%)</w:t>
            </w:r>
          </w:p>
        </w:tc>
      </w:tr>
      <w:tr w:rsidR="006F76E6" w:rsidRPr="006F76E6" w14:paraId="3945BEF4" w14:textId="77777777" w:rsidTr="00F014E4">
        <w:trPr>
          <w:trHeight w:val="368"/>
        </w:trPr>
        <w:tc>
          <w:tcPr>
            <w:tcW w:w="2340" w:type="dxa"/>
            <w:tcBorders>
              <w:top w:val="single" w:sz="4" w:space="0" w:color="auto"/>
            </w:tcBorders>
            <w:noWrap/>
            <w:hideMark/>
          </w:tcPr>
          <w:p w14:paraId="19D70DBC" w14:textId="77777777" w:rsidR="006F76E6" w:rsidRPr="006F76E6" w:rsidRDefault="006F76E6" w:rsidP="006F76E6">
            <w:pPr>
              <w:rPr>
                <w:rFonts w:ascii="Arial" w:hAnsi="Arial" w:cs="Arial"/>
                <w:sz w:val="20"/>
                <w:szCs w:val="20"/>
              </w:rPr>
            </w:pPr>
            <w:r w:rsidRPr="006F76E6">
              <w:rPr>
                <w:rFonts w:ascii="Arial" w:hAnsi="Arial" w:cs="Arial"/>
                <w:sz w:val="20"/>
                <w:szCs w:val="20"/>
              </w:rPr>
              <w:t>MI- 0674</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tcBorders>
              <w:top w:val="single" w:sz="4" w:space="0" w:color="auto"/>
            </w:tcBorders>
            <w:noWrap/>
            <w:hideMark/>
          </w:tcPr>
          <w:p w14:paraId="6A3695A0" w14:textId="77777777" w:rsidR="006F76E6" w:rsidRPr="006F76E6" w:rsidRDefault="006F76E6" w:rsidP="006F76E6">
            <w:pPr>
              <w:rPr>
                <w:rFonts w:ascii="Arial" w:hAnsi="Arial" w:cs="Arial"/>
                <w:sz w:val="20"/>
                <w:szCs w:val="20"/>
              </w:rPr>
            </w:pPr>
            <w:r w:rsidRPr="006F76E6">
              <w:rPr>
                <w:rFonts w:ascii="Arial" w:hAnsi="Arial" w:cs="Arial"/>
                <w:sz w:val="20"/>
                <w:szCs w:val="20"/>
              </w:rPr>
              <w:t>3.37±0.06</w:t>
            </w:r>
            <w:r w:rsidRPr="006F76E6">
              <w:rPr>
                <w:rFonts w:ascii="Arial" w:hAnsi="Arial" w:cs="Arial"/>
                <w:sz w:val="20"/>
                <w:szCs w:val="20"/>
                <w:vertAlign w:val="superscript"/>
              </w:rPr>
              <w:t>abc</w:t>
            </w:r>
          </w:p>
        </w:tc>
        <w:tc>
          <w:tcPr>
            <w:tcW w:w="2610" w:type="dxa"/>
            <w:tcBorders>
              <w:top w:val="single" w:sz="4" w:space="0" w:color="auto"/>
            </w:tcBorders>
            <w:noWrap/>
            <w:hideMark/>
          </w:tcPr>
          <w:p w14:paraId="4B16FB08" w14:textId="77777777" w:rsidR="006F76E6" w:rsidRPr="006F76E6" w:rsidRDefault="006F76E6" w:rsidP="006F76E6">
            <w:pPr>
              <w:rPr>
                <w:rFonts w:ascii="Arial" w:hAnsi="Arial" w:cs="Arial"/>
                <w:sz w:val="20"/>
                <w:szCs w:val="20"/>
              </w:rPr>
            </w:pPr>
            <w:r w:rsidRPr="006F76E6">
              <w:rPr>
                <w:rFonts w:ascii="Arial" w:hAnsi="Arial" w:cs="Arial"/>
                <w:sz w:val="20"/>
                <w:szCs w:val="20"/>
              </w:rPr>
              <w:t>26.71±0.47</w:t>
            </w:r>
            <w:r w:rsidRPr="006F76E6">
              <w:rPr>
                <w:rFonts w:ascii="Arial" w:hAnsi="Arial" w:cs="Arial"/>
                <w:sz w:val="20"/>
                <w:szCs w:val="20"/>
                <w:vertAlign w:val="superscript"/>
              </w:rPr>
              <w:t>c</w:t>
            </w:r>
          </w:p>
        </w:tc>
        <w:tc>
          <w:tcPr>
            <w:tcW w:w="2430" w:type="dxa"/>
            <w:tcBorders>
              <w:top w:val="single" w:sz="4" w:space="0" w:color="auto"/>
            </w:tcBorders>
            <w:noWrap/>
            <w:hideMark/>
          </w:tcPr>
          <w:p w14:paraId="4BA94EED" w14:textId="77777777" w:rsidR="006F76E6" w:rsidRPr="006F76E6" w:rsidRDefault="006F76E6" w:rsidP="006F76E6">
            <w:pPr>
              <w:rPr>
                <w:rFonts w:ascii="Arial" w:hAnsi="Arial" w:cs="Arial"/>
                <w:sz w:val="20"/>
                <w:szCs w:val="20"/>
              </w:rPr>
            </w:pPr>
            <w:r w:rsidRPr="006F76E6">
              <w:rPr>
                <w:rFonts w:ascii="Arial" w:hAnsi="Arial" w:cs="Arial"/>
                <w:sz w:val="20"/>
                <w:szCs w:val="20"/>
              </w:rPr>
              <w:t>70.01±0.46</w:t>
            </w:r>
            <w:r w:rsidRPr="006F76E6">
              <w:rPr>
                <w:rFonts w:ascii="Arial" w:hAnsi="Arial" w:cs="Arial"/>
                <w:sz w:val="20"/>
                <w:szCs w:val="20"/>
                <w:vertAlign w:val="superscript"/>
              </w:rPr>
              <w:t>defg</w:t>
            </w:r>
          </w:p>
        </w:tc>
      </w:tr>
      <w:tr w:rsidR="006F76E6" w:rsidRPr="006F76E6" w14:paraId="62E03570" w14:textId="77777777" w:rsidTr="00F014E4">
        <w:trPr>
          <w:trHeight w:val="287"/>
        </w:trPr>
        <w:tc>
          <w:tcPr>
            <w:tcW w:w="2340" w:type="dxa"/>
            <w:noWrap/>
            <w:hideMark/>
          </w:tcPr>
          <w:p w14:paraId="43BB5CD9" w14:textId="77777777" w:rsidR="006F76E6" w:rsidRPr="006F76E6" w:rsidRDefault="006F76E6" w:rsidP="006F76E6">
            <w:pPr>
              <w:rPr>
                <w:rFonts w:ascii="Arial" w:hAnsi="Arial" w:cs="Arial"/>
                <w:sz w:val="20"/>
                <w:szCs w:val="20"/>
              </w:rPr>
            </w:pPr>
            <w:r w:rsidRPr="006F76E6">
              <w:rPr>
                <w:rFonts w:ascii="Arial" w:hAnsi="Arial" w:cs="Arial"/>
                <w:sz w:val="20"/>
                <w:szCs w:val="20"/>
              </w:rPr>
              <w:t>MI- 0665</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05E5D23E" w14:textId="77777777" w:rsidR="006F76E6" w:rsidRPr="006F76E6" w:rsidRDefault="006F76E6" w:rsidP="006F76E6">
            <w:pPr>
              <w:rPr>
                <w:rFonts w:ascii="Arial" w:hAnsi="Arial" w:cs="Arial"/>
                <w:sz w:val="20"/>
                <w:szCs w:val="20"/>
              </w:rPr>
            </w:pPr>
            <w:r w:rsidRPr="006F76E6">
              <w:rPr>
                <w:rFonts w:ascii="Arial" w:hAnsi="Arial" w:cs="Arial"/>
                <w:sz w:val="20"/>
                <w:szCs w:val="20"/>
              </w:rPr>
              <w:t>2.80±0.14</w:t>
            </w:r>
            <w:r w:rsidRPr="006F76E6">
              <w:rPr>
                <w:rFonts w:ascii="Arial" w:hAnsi="Arial" w:cs="Arial"/>
                <w:sz w:val="20"/>
                <w:szCs w:val="20"/>
                <w:vertAlign w:val="superscript"/>
              </w:rPr>
              <w:t>cdef</w:t>
            </w:r>
          </w:p>
        </w:tc>
        <w:tc>
          <w:tcPr>
            <w:tcW w:w="2610" w:type="dxa"/>
            <w:noWrap/>
            <w:hideMark/>
          </w:tcPr>
          <w:p w14:paraId="5CBF4D18" w14:textId="77777777" w:rsidR="006F76E6" w:rsidRPr="006F76E6" w:rsidRDefault="006F76E6" w:rsidP="006F76E6">
            <w:pPr>
              <w:rPr>
                <w:rFonts w:ascii="Arial" w:hAnsi="Arial" w:cs="Arial"/>
                <w:sz w:val="20"/>
                <w:szCs w:val="20"/>
              </w:rPr>
            </w:pPr>
            <w:r w:rsidRPr="006F76E6">
              <w:rPr>
                <w:rFonts w:ascii="Arial" w:hAnsi="Arial" w:cs="Arial"/>
                <w:sz w:val="20"/>
                <w:szCs w:val="20"/>
              </w:rPr>
              <w:t>25.23±0.11</w:t>
            </w:r>
            <w:r w:rsidRPr="006F76E6">
              <w:rPr>
                <w:rFonts w:ascii="Arial" w:hAnsi="Arial" w:cs="Arial"/>
                <w:sz w:val="20"/>
                <w:szCs w:val="20"/>
                <w:vertAlign w:val="superscript"/>
              </w:rPr>
              <w:t>fgh</w:t>
            </w:r>
          </w:p>
        </w:tc>
        <w:tc>
          <w:tcPr>
            <w:tcW w:w="2430" w:type="dxa"/>
            <w:noWrap/>
            <w:hideMark/>
          </w:tcPr>
          <w:p w14:paraId="31FD70E1" w14:textId="77777777" w:rsidR="006F76E6" w:rsidRPr="006F76E6" w:rsidRDefault="006F76E6" w:rsidP="006F76E6">
            <w:pPr>
              <w:rPr>
                <w:rFonts w:ascii="Arial" w:hAnsi="Arial" w:cs="Arial"/>
                <w:sz w:val="20"/>
                <w:szCs w:val="20"/>
              </w:rPr>
            </w:pPr>
            <w:r w:rsidRPr="006F76E6">
              <w:rPr>
                <w:rFonts w:ascii="Arial" w:hAnsi="Arial" w:cs="Arial"/>
                <w:sz w:val="20"/>
                <w:szCs w:val="20"/>
              </w:rPr>
              <w:t>70.40±0.13</w:t>
            </w:r>
            <w:r w:rsidRPr="006F76E6">
              <w:rPr>
                <w:rFonts w:ascii="Arial" w:hAnsi="Arial" w:cs="Arial"/>
                <w:sz w:val="20"/>
                <w:szCs w:val="20"/>
                <w:vertAlign w:val="superscript"/>
              </w:rPr>
              <w:t>cde</w:t>
            </w:r>
          </w:p>
        </w:tc>
      </w:tr>
      <w:tr w:rsidR="006F76E6" w:rsidRPr="006F76E6" w14:paraId="6D03042D" w14:textId="77777777" w:rsidTr="00F014E4">
        <w:trPr>
          <w:trHeight w:val="323"/>
        </w:trPr>
        <w:tc>
          <w:tcPr>
            <w:tcW w:w="2340" w:type="dxa"/>
            <w:noWrap/>
            <w:hideMark/>
          </w:tcPr>
          <w:p w14:paraId="4E6EF163" w14:textId="77777777" w:rsidR="006F76E6" w:rsidRPr="006F76E6" w:rsidRDefault="006F76E6" w:rsidP="006F76E6">
            <w:pPr>
              <w:rPr>
                <w:rFonts w:ascii="Arial" w:hAnsi="Arial" w:cs="Arial"/>
                <w:sz w:val="20"/>
                <w:szCs w:val="20"/>
              </w:rPr>
            </w:pPr>
            <w:r w:rsidRPr="006F76E6">
              <w:rPr>
                <w:rFonts w:ascii="Arial" w:hAnsi="Arial" w:cs="Arial"/>
                <w:sz w:val="20"/>
                <w:szCs w:val="20"/>
              </w:rPr>
              <w:t>ME- 0174</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112F4BCB" w14:textId="77777777" w:rsidR="006F76E6" w:rsidRPr="006F76E6" w:rsidRDefault="006F76E6" w:rsidP="006F76E6">
            <w:pPr>
              <w:rPr>
                <w:rFonts w:ascii="Arial" w:hAnsi="Arial" w:cs="Arial"/>
                <w:sz w:val="20"/>
                <w:szCs w:val="20"/>
              </w:rPr>
            </w:pPr>
            <w:r w:rsidRPr="006F76E6">
              <w:rPr>
                <w:rFonts w:ascii="Arial" w:hAnsi="Arial" w:cs="Arial"/>
                <w:sz w:val="20"/>
                <w:szCs w:val="20"/>
              </w:rPr>
              <w:t>2.69±0.15</w:t>
            </w:r>
            <w:r w:rsidRPr="006F76E6">
              <w:rPr>
                <w:rFonts w:ascii="Arial" w:hAnsi="Arial" w:cs="Arial"/>
                <w:sz w:val="20"/>
                <w:szCs w:val="20"/>
                <w:vertAlign w:val="superscript"/>
              </w:rPr>
              <w:t>ef</w:t>
            </w:r>
          </w:p>
        </w:tc>
        <w:tc>
          <w:tcPr>
            <w:tcW w:w="2610" w:type="dxa"/>
            <w:noWrap/>
            <w:hideMark/>
          </w:tcPr>
          <w:p w14:paraId="5E7B62A4" w14:textId="77777777" w:rsidR="006F76E6" w:rsidRPr="006F76E6" w:rsidRDefault="006F76E6" w:rsidP="006F76E6">
            <w:pPr>
              <w:rPr>
                <w:rFonts w:ascii="Arial" w:hAnsi="Arial" w:cs="Arial"/>
                <w:sz w:val="20"/>
                <w:szCs w:val="20"/>
              </w:rPr>
            </w:pPr>
            <w:r w:rsidRPr="006F76E6">
              <w:rPr>
                <w:rFonts w:ascii="Arial" w:hAnsi="Arial" w:cs="Arial"/>
                <w:sz w:val="20"/>
                <w:szCs w:val="20"/>
              </w:rPr>
              <w:t>26.12±0.06</w:t>
            </w:r>
            <w:r w:rsidRPr="006F76E6">
              <w:rPr>
                <w:rFonts w:ascii="Arial" w:hAnsi="Arial" w:cs="Arial"/>
                <w:sz w:val="20"/>
                <w:szCs w:val="20"/>
                <w:vertAlign w:val="superscript"/>
              </w:rPr>
              <w:t>d</w:t>
            </w:r>
          </w:p>
        </w:tc>
        <w:tc>
          <w:tcPr>
            <w:tcW w:w="2430" w:type="dxa"/>
            <w:noWrap/>
            <w:hideMark/>
          </w:tcPr>
          <w:p w14:paraId="3E841AC0" w14:textId="77777777" w:rsidR="006F76E6" w:rsidRPr="006F76E6" w:rsidRDefault="006F76E6" w:rsidP="006F76E6">
            <w:pPr>
              <w:rPr>
                <w:rFonts w:ascii="Arial" w:hAnsi="Arial" w:cs="Arial"/>
                <w:sz w:val="20"/>
                <w:szCs w:val="20"/>
              </w:rPr>
            </w:pPr>
            <w:r w:rsidRPr="006F76E6">
              <w:rPr>
                <w:rFonts w:ascii="Arial" w:hAnsi="Arial" w:cs="Arial"/>
                <w:sz w:val="20"/>
                <w:szCs w:val="20"/>
              </w:rPr>
              <w:t>72.98±0.30</w:t>
            </w:r>
            <w:r w:rsidRPr="006F76E6">
              <w:rPr>
                <w:rFonts w:ascii="Arial" w:hAnsi="Arial" w:cs="Arial"/>
                <w:sz w:val="20"/>
                <w:szCs w:val="20"/>
                <w:vertAlign w:val="superscript"/>
              </w:rPr>
              <w:t>a</w:t>
            </w:r>
          </w:p>
        </w:tc>
      </w:tr>
      <w:tr w:rsidR="006F76E6" w:rsidRPr="006F76E6" w14:paraId="398BA9C0" w14:textId="77777777" w:rsidTr="00F014E4">
        <w:trPr>
          <w:trHeight w:val="260"/>
        </w:trPr>
        <w:tc>
          <w:tcPr>
            <w:tcW w:w="2340" w:type="dxa"/>
            <w:noWrap/>
            <w:hideMark/>
          </w:tcPr>
          <w:p w14:paraId="27C416AE" w14:textId="77777777" w:rsidR="006F76E6" w:rsidRPr="006F76E6" w:rsidRDefault="006F76E6" w:rsidP="006F76E6">
            <w:pPr>
              <w:rPr>
                <w:rFonts w:ascii="Arial" w:hAnsi="Arial" w:cs="Arial"/>
                <w:sz w:val="20"/>
                <w:szCs w:val="20"/>
              </w:rPr>
            </w:pPr>
            <w:r w:rsidRPr="006F76E6">
              <w:rPr>
                <w:rFonts w:ascii="Arial" w:hAnsi="Arial" w:cs="Arial"/>
                <w:sz w:val="20"/>
                <w:szCs w:val="20"/>
              </w:rPr>
              <w:t>MI- 0145</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28A6CD15" w14:textId="77777777" w:rsidR="006F76E6" w:rsidRPr="006F76E6" w:rsidRDefault="006F76E6" w:rsidP="006F76E6">
            <w:pPr>
              <w:rPr>
                <w:rFonts w:ascii="Arial" w:hAnsi="Arial" w:cs="Arial"/>
                <w:sz w:val="20"/>
                <w:szCs w:val="20"/>
              </w:rPr>
            </w:pPr>
            <w:r w:rsidRPr="006F76E6">
              <w:rPr>
                <w:rFonts w:ascii="Arial" w:hAnsi="Arial" w:cs="Arial"/>
                <w:sz w:val="20"/>
                <w:szCs w:val="20"/>
              </w:rPr>
              <w:t>3.36±0.20</w:t>
            </w:r>
            <w:r w:rsidRPr="006F76E6">
              <w:rPr>
                <w:rFonts w:ascii="Arial" w:hAnsi="Arial" w:cs="Arial"/>
                <w:sz w:val="20"/>
                <w:szCs w:val="20"/>
                <w:vertAlign w:val="superscript"/>
              </w:rPr>
              <w:t>abc</w:t>
            </w:r>
          </w:p>
        </w:tc>
        <w:tc>
          <w:tcPr>
            <w:tcW w:w="2610" w:type="dxa"/>
            <w:noWrap/>
            <w:hideMark/>
          </w:tcPr>
          <w:p w14:paraId="22165721" w14:textId="77777777" w:rsidR="006F76E6" w:rsidRPr="006F76E6" w:rsidRDefault="006F76E6" w:rsidP="006F76E6">
            <w:pPr>
              <w:rPr>
                <w:rFonts w:ascii="Arial" w:hAnsi="Arial" w:cs="Arial"/>
                <w:sz w:val="20"/>
                <w:szCs w:val="20"/>
              </w:rPr>
            </w:pPr>
            <w:r w:rsidRPr="006F76E6">
              <w:rPr>
                <w:rFonts w:ascii="Arial" w:hAnsi="Arial" w:cs="Arial"/>
                <w:sz w:val="20"/>
                <w:szCs w:val="20"/>
              </w:rPr>
              <w:t>27.31±0.13</w:t>
            </w:r>
            <w:r w:rsidRPr="006F76E6">
              <w:rPr>
                <w:rFonts w:ascii="Arial" w:hAnsi="Arial" w:cs="Arial"/>
                <w:sz w:val="20"/>
                <w:szCs w:val="20"/>
                <w:vertAlign w:val="superscript"/>
              </w:rPr>
              <w:t>b</w:t>
            </w:r>
          </w:p>
        </w:tc>
        <w:tc>
          <w:tcPr>
            <w:tcW w:w="2430" w:type="dxa"/>
            <w:noWrap/>
            <w:hideMark/>
          </w:tcPr>
          <w:p w14:paraId="4E193ED1" w14:textId="77777777" w:rsidR="006F76E6" w:rsidRPr="006F76E6" w:rsidRDefault="006F76E6" w:rsidP="006F76E6">
            <w:pPr>
              <w:rPr>
                <w:rFonts w:ascii="Arial" w:hAnsi="Arial" w:cs="Arial"/>
                <w:sz w:val="20"/>
                <w:szCs w:val="20"/>
              </w:rPr>
            </w:pPr>
            <w:r w:rsidRPr="006F76E6">
              <w:rPr>
                <w:rFonts w:ascii="Arial" w:hAnsi="Arial" w:cs="Arial"/>
                <w:sz w:val="20"/>
                <w:szCs w:val="20"/>
              </w:rPr>
              <w:t>72.17±0.20</w:t>
            </w:r>
            <w:r w:rsidRPr="006F76E6">
              <w:rPr>
                <w:rFonts w:ascii="Arial" w:hAnsi="Arial" w:cs="Arial"/>
                <w:sz w:val="20"/>
                <w:szCs w:val="20"/>
                <w:vertAlign w:val="superscript"/>
              </w:rPr>
              <w:t>ab</w:t>
            </w:r>
          </w:p>
        </w:tc>
      </w:tr>
      <w:tr w:rsidR="006F76E6" w:rsidRPr="006F76E6" w14:paraId="0EB58079" w14:textId="77777777" w:rsidTr="00F014E4">
        <w:trPr>
          <w:trHeight w:val="278"/>
        </w:trPr>
        <w:tc>
          <w:tcPr>
            <w:tcW w:w="2340" w:type="dxa"/>
            <w:noWrap/>
            <w:hideMark/>
          </w:tcPr>
          <w:p w14:paraId="3DFBEBB7" w14:textId="77777777" w:rsidR="006F76E6" w:rsidRPr="006F76E6" w:rsidRDefault="006F76E6" w:rsidP="006F76E6">
            <w:pPr>
              <w:rPr>
                <w:rFonts w:ascii="Arial" w:hAnsi="Arial" w:cs="Arial"/>
                <w:sz w:val="20"/>
                <w:szCs w:val="20"/>
              </w:rPr>
            </w:pPr>
            <w:r w:rsidRPr="006F76E6">
              <w:rPr>
                <w:rFonts w:ascii="Arial" w:hAnsi="Arial" w:cs="Arial"/>
                <w:sz w:val="20"/>
                <w:szCs w:val="20"/>
              </w:rPr>
              <w:t>MI- 0211</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048E9178" w14:textId="77777777" w:rsidR="006F76E6" w:rsidRPr="006F76E6" w:rsidRDefault="006F76E6" w:rsidP="006F76E6">
            <w:pPr>
              <w:rPr>
                <w:rFonts w:ascii="Arial" w:hAnsi="Arial" w:cs="Arial"/>
                <w:sz w:val="20"/>
                <w:szCs w:val="20"/>
              </w:rPr>
            </w:pPr>
            <w:r w:rsidRPr="006F76E6">
              <w:rPr>
                <w:rFonts w:ascii="Arial" w:hAnsi="Arial" w:cs="Arial"/>
                <w:sz w:val="20"/>
                <w:szCs w:val="20"/>
              </w:rPr>
              <w:t>3.53±0.16</w:t>
            </w:r>
            <w:r w:rsidRPr="006F76E6">
              <w:rPr>
                <w:rFonts w:ascii="Arial" w:hAnsi="Arial" w:cs="Arial"/>
                <w:sz w:val="20"/>
                <w:szCs w:val="20"/>
                <w:vertAlign w:val="superscript"/>
              </w:rPr>
              <w:t>ab</w:t>
            </w:r>
          </w:p>
        </w:tc>
        <w:tc>
          <w:tcPr>
            <w:tcW w:w="2610" w:type="dxa"/>
            <w:noWrap/>
            <w:hideMark/>
          </w:tcPr>
          <w:p w14:paraId="6C6F4EBB" w14:textId="77777777" w:rsidR="006F76E6" w:rsidRPr="006F76E6" w:rsidRDefault="006F76E6" w:rsidP="006F76E6">
            <w:pPr>
              <w:rPr>
                <w:rFonts w:ascii="Arial" w:hAnsi="Arial" w:cs="Arial"/>
                <w:sz w:val="20"/>
                <w:szCs w:val="20"/>
              </w:rPr>
            </w:pPr>
            <w:r w:rsidRPr="006F76E6">
              <w:rPr>
                <w:rFonts w:ascii="Arial" w:hAnsi="Arial" w:cs="Arial"/>
                <w:sz w:val="20"/>
                <w:szCs w:val="20"/>
              </w:rPr>
              <w:t>24.74±0.12</w:t>
            </w:r>
            <w:r w:rsidRPr="006F76E6">
              <w:rPr>
                <w:rFonts w:ascii="Arial" w:hAnsi="Arial" w:cs="Arial"/>
                <w:sz w:val="20"/>
                <w:szCs w:val="20"/>
                <w:vertAlign w:val="superscript"/>
              </w:rPr>
              <w:t>h</w:t>
            </w:r>
          </w:p>
        </w:tc>
        <w:tc>
          <w:tcPr>
            <w:tcW w:w="2430" w:type="dxa"/>
            <w:noWrap/>
            <w:hideMark/>
          </w:tcPr>
          <w:p w14:paraId="052C473C" w14:textId="77777777" w:rsidR="006F76E6" w:rsidRPr="006F76E6" w:rsidRDefault="006F76E6" w:rsidP="006F76E6">
            <w:pPr>
              <w:rPr>
                <w:rFonts w:ascii="Arial" w:hAnsi="Arial" w:cs="Arial"/>
                <w:sz w:val="20"/>
                <w:szCs w:val="20"/>
              </w:rPr>
            </w:pPr>
            <w:r w:rsidRPr="006F76E6">
              <w:rPr>
                <w:rFonts w:ascii="Arial" w:hAnsi="Arial" w:cs="Arial"/>
                <w:sz w:val="20"/>
                <w:szCs w:val="20"/>
              </w:rPr>
              <w:t>68.99±0.20</w:t>
            </w:r>
            <w:r w:rsidRPr="006F76E6">
              <w:rPr>
                <w:rFonts w:ascii="Arial" w:hAnsi="Arial" w:cs="Arial"/>
                <w:sz w:val="20"/>
                <w:szCs w:val="20"/>
                <w:vertAlign w:val="superscript"/>
              </w:rPr>
              <w:t>fgh</w:t>
            </w:r>
          </w:p>
        </w:tc>
      </w:tr>
      <w:tr w:rsidR="006F76E6" w:rsidRPr="006F76E6" w14:paraId="56960C92" w14:textId="77777777" w:rsidTr="00F014E4">
        <w:trPr>
          <w:trHeight w:val="305"/>
        </w:trPr>
        <w:tc>
          <w:tcPr>
            <w:tcW w:w="2340" w:type="dxa"/>
            <w:noWrap/>
            <w:hideMark/>
          </w:tcPr>
          <w:p w14:paraId="640E53DB" w14:textId="77777777" w:rsidR="006F76E6" w:rsidRPr="006F76E6" w:rsidRDefault="006F76E6" w:rsidP="006F76E6">
            <w:pPr>
              <w:rPr>
                <w:rFonts w:ascii="Arial" w:hAnsi="Arial" w:cs="Arial"/>
                <w:sz w:val="20"/>
                <w:szCs w:val="20"/>
              </w:rPr>
            </w:pPr>
            <w:r w:rsidRPr="006F76E6">
              <w:rPr>
                <w:rFonts w:ascii="Arial" w:hAnsi="Arial" w:cs="Arial"/>
                <w:sz w:val="20"/>
                <w:szCs w:val="20"/>
              </w:rPr>
              <w:t>ME- 0006</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14B3F7B7" w14:textId="77777777" w:rsidR="006F76E6" w:rsidRPr="006F76E6" w:rsidRDefault="006F76E6" w:rsidP="006F76E6">
            <w:pPr>
              <w:rPr>
                <w:rFonts w:ascii="Arial" w:hAnsi="Arial" w:cs="Arial"/>
                <w:sz w:val="20"/>
                <w:szCs w:val="20"/>
              </w:rPr>
            </w:pPr>
            <w:r w:rsidRPr="006F76E6">
              <w:rPr>
                <w:rFonts w:ascii="Arial" w:hAnsi="Arial" w:cs="Arial"/>
                <w:sz w:val="20"/>
                <w:szCs w:val="20"/>
              </w:rPr>
              <w:t>3.07±0.07</w:t>
            </w:r>
            <w:r w:rsidRPr="006F76E6">
              <w:rPr>
                <w:rFonts w:ascii="Arial" w:hAnsi="Arial" w:cs="Arial"/>
                <w:sz w:val="20"/>
                <w:szCs w:val="20"/>
                <w:vertAlign w:val="superscript"/>
              </w:rPr>
              <w:t>bcde</w:t>
            </w:r>
          </w:p>
        </w:tc>
        <w:tc>
          <w:tcPr>
            <w:tcW w:w="2610" w:type="dxa"/>
            <w:noWrap/>
            <w:hideMark/>
          </w:tcPr>
          <w:p w14:paraId="5732E452" w14:textId="77777777" w:rsidR="006F76E6" w:rsidRPr="006F76E6" w:rsidRDefault="006F76E6" w:rsidP="006F76E6">
            <w:pPr>
              <w:rPr>
                <w:rFonts w:ascii="Arial" w:hAnsi="Arial" w:cs="Arial"/>
                <w:sz w:val="20"/>
                <w:szCs w:val="20"/>
              </w:rPr>
            </w:pPr>
            <w:r w:rsidRPr="006F76E6">
              <w:rPr>
                <w:rFonts w:ascii="Arial" w:hAnsi="Arial" w:cs="Arial"/>
                <w:sz w:val="20"/>
                <w:szCs w:val="20"/>
              </w:rPr>
              <w:t>24.81±0.06</w:t>
            </w:r>
            <w:r w:rsidRPr="006F76E6">
              <w:rPr>
                <w:rFonts w:ascii="Arial" w:hAnsi="Arial" w:cs="Arial"/>
                <w:sz w:val="20"/>
                <w:szCs w:val="20"/>
                <w:vertAlign w:val="superscript"/>
              </w:rPr>
              <w:t>gh</w:t>
            </w:r>
          </w:p>
        </w:tc>
        <w:tc>
          <w:tcPr>
            <w:tcW w:w="2430" w:type="dxa"/>
            <w:noWrap/>
            <w:hideMark/>
          </w:tcPr>
          <w:p w14:paraId="566E0A82" w14:textId="77777777" w:rsidR="006F76E6" w:rsidRPr="006F76E6" w:rsidRDefault="006F76E6" w:rsidP="006F76E6">
            <w:pPr>
              <w:rPr>
                <w:rFonts w:ascii="Arial" w:hAnsi="Arial" w:cs="Arial"/>
                <w:sz w:val="20"/>
                <w:szCs w:val="20"/>
              </w:rPr>
            </w:pPr>
            <w:r w:rsidRPr="006F76E6">
              <w:rPr>
                <w:rFonts w:ascii="Arial" w:hAnsi="Arial" w:cs="Arial"/>
                <w:sz w:val="20"/>
                <w:szCs w:val="20"/>
              </w:rPr>
              <w:t>71.39±0.04</w:t>
            </w:r>
            <w:r w:rsidRPr="006F76E6">
              <w:rPr>
                <w:rFonts w:ascii="Arial" w:hAnsi="Arial" w:cs="Arial"/>
                <w:sz w:val="20"/>
                <w:szCs w:val="20"/>
                <w:vertAlign w:val="superscript"/>
              </w:rPr>
              <w:t>bc</w:t>
            </w:r>
          </w:p>
        </w:tc>
      </w:tr>
      <w:tr w:rsidR="006F76E6" w:rsidRPr="006F76E6" w14:paraId="10D52DE5" w14:textId="77777777" w:rsidTr="00F014E4">
        <w:trPr>
          <w:trHeight w:val="332"/>
        </w:trPr>
        <w:tc>
          <w:tcPr>
            <w:tcW w:w="2340" w:type="dxa"/>
            <w:noWrap/>
            <w:hideMark/>
          </w:tcPr>
          <w:p w14:paraId="556D13BB" w14:textId="77777777" w:rsidR="006F76E6" w:rsidRPr="006F76E6" w:rsidRDefault="006F76E6" w:rsidP="006F76E6">
            <w:pPr>
              <w:rPr>
                <w:rFonts w:ascii="Arial" w:hAnsi="Arial" w:cs="Arial"/>
                <w:sz w:val="20"/>
                <w:szCs w:val="20"/>
              </w:rPr>
            </w:pPr>
            <w:r w:rsidRPr="006F76E6">
              <w:rPr>
                <w:rFonts w:ascii="Arial" w:hAnsi="Arial" w:cs="Arial"/>
                <w:sz w:val="20"/>
                <w:szCs w:val="20"/>
              </w:rPr>
              <w:t>MI- 0532</w:t>
            </w:r>
            <w:r w:rsidR="00F014E4">
              <w:rPr>
                <w:rFonts w:ascii="Arial" w:hAnsi="Arial" w:cs="Arial"/>
                <w:sz w:val="20"/>
                <w:szCs w:val="20"/>
              </w:rPr>
              <w:t xml:space="preserve"> (</w:t>
            </w:r>
            <w:r w:rsidR="00F014E4" w:rsidRPr="00F014E4">
              <w:rPr>
                <w:rFonts w:ascii="Arial" w:hAnsi="Arial" w:cs="Arial"/>
                <w:i/>
                <w:sz w:val="20"/>
                <w:szCs w:val="20"/>
              </w:rPr>
              <w:t>M. laevigata</w:t>
            </w:r>
            <w:r w:rsidR="00F014E4">
              <w:rPr>
                <w:rFonts w:ascii="Arial" w:hAnsi="Arial" w:cs="Arial"/>
                <w:sz w:val="20"/>
                <w:szCs w:val="20"/>
              </w:rPr>
              <w:t>)</w:t>
            </w:r>
          </w:p>
        </w:tc>
        <w:tc>
          <w:tcPr>
            <w:tcW w:w="1890" w:type="dxa"/>
            <w:noWrap/>
            <w:hideMark/>
          </w:tcPr>
          <w:p w14:paraId="549ACCD7" w14:textId="77777777" w:rsidR="006F76E6" w:rsidRPr="006F76E6" w:rsidRDefault="006F76E6" w:rsidP="006F76E6">
            <w:pPr>
              <w:rPr>
                <w:rFonts w:ascii="Arial" w:hAnsi="Arial" w:cs="Arial"/>
                <w:sz w:val="20"/>
                <w:szCs w:val="20"/>
              </w:rPr>
            </w:pPr>
            <w:r w:rsidRPr="006F76E6">
              <w:rPr>
                <w:rFonts w:ascii="Arial" w:hAnsi="Arial" w:cs="Arial"/>
                <w:sz w:val="20"/>
                <w:szCs w:val="20"/>
              </w:rPr>
              <w:t>2.34±0.03</w:t>
            </w:r>
            <w:r w:rsidRPr="006F76E6">
              <w:rPr>
                <w:rFonts w:ascii="Arial" w:hAnsi="Arial" w:cs="Arial"/>
                <w:sz w:val="20"/>
                <w:szCs w:val="20"/>
                <w:vertAlign w:val="superscript"/>
              </w:rPr>
              <w:t>fg</w:t>
            </w:r>
          </w:p>
        </w:tc>
        <w:tc>
          <w:tcPr>
            <w:tcW w:w="2610" w:type="dxa"/>
            <w:noWrap/>
            <w:hideMark/>
          </w:tcPr>
          <w:p w14:paraId="51B14120" w14:textId="77777777" w:rsidR="006F76E6" w:rsidRPr="006F76E6" w:rsidRDefault="006F76E6" w:rsidP="006F76E6">
            <w:pPr>
              <w:rPr>
                <w:rFonts w:ascii="Arial" w:hAnsi="Arial" w:cs="Arial"/>
                <w:sz w:val="20"/>
                <w:szCs w:val="20"/>
              </w:rPr>
            </w:pPr>
            <w:r w:rsidRPr="006F76E6">
              <w:rPr>
                <w:rFonts w:ascii="Arial" w:hAnsi="Arial" w:cs="Arial"/>
                <w:sz w:val="20"/>
                <w:szCs w:val="20"/>
              </w:rPr>
              <w:t>25.49±1.83</w:t>
            </w:r>
            <w:r w:rsidRPr="006F76E6">
              <w:rPr>
                <w:rFonts w:ascii="Arial" w:hAnsi="Arial" w:cs="Arial"/>
                <w:sz w:val="20"/>
                <w:szCs w:val="20"/>
                <w:vertAlign w:val="superscript"/>
              </w:rPr>
              <w:t>ef</w:t>
            </w:r>
          </w:p>
        </w:tc>
        <w:tc>
          <w:tcPr>
            <w:tcW w:w="2430" w:type="dxa"/>
            <w:noWrap/>
            <w:hideMark/>
          </w:tcPr>
          <w:p w14:paraId="181C4D7B" w14:textId="77777777" w:rsidR="006F76E6" w:rsidRPr="006F76E6" w:rsidRDefault="006F76E6" w:rsidP="006F76E6">
            <w:pPr>
              <w:rPr>
                <w:rFonts w:ascii="Arial" w:hAnsi="Arial" w:cs="Arial"/>
                <w:sz w:val="20"/>
                <w:szCs w:val="20"/>
              </w:rPr>
            </w:pPr>
            <w:r w:rsidRPr="006F76E6">
              <w:rPr>
                <w:rFonts w:ascii="Arial" w:hAnsi="Arial" w:cs="Arial"/>
                <w:sz w:val="20"/>
                <w:szCs w:val="20"/>
              </w:rPr>
              <w:t>68.68±0.25</w:t>
            </w:r>
            <w:r w:rsidRPr="006F76E6">
              <w:rPr>
                <w:rFonts w:ascii="Arial" w:hAnsi="Arial" w:cs="Arial"/>
                <w:sz w:val="20"/>
                <w:szCs w:val="20"/>
                <w:vertAlign w:val="superscript"/>
              </w:rPr>
              <w:t>h</w:t>
            </w:r>
          </w:p>
        </w:tc>
      </w:tr>
      <w:tr w:rsidR="006F76E6" w:rsidRPr="006F76E6" w14:paraId="05538C93" w14:textId="77777777" w:rsidTr="00F014E4">
        <w:trPr>
          <w:trHeight w:val="278"/>
        </w:trPr>
        <w:tc>
          <w:tcPr>
            <w:tcW w:w="2340" w:type="dxa"/>
            <w:noWrap/>
            <w:hideMark/>
          </w:tcPr>
          <w:p w14:paraId="5D4E653C" w14:textId="77777777" w:rsidR="006F76E6" w:rsidRPr="006F76E6" w:rsidRDefault="006F76E6" w:rsidP="006F76E6">
            <w:pPr>
              <w:rPr>
                <w:rFonts w:ascii="Arial" w:hAnsi="Arial" w:cs="Arial"/>
                <w:sz w:val="20"/>
                <w:szCs w:val="20"/>
              </w:rPr>
            </w:pPr>
            <w:r w:rsidRPr="006F76E6">
              <w:rPr>
                <w:rFonts w:ascii="Arial" w:hAnsi="Arial" w:cs="Arial"/>
                <w:sz w:val="20"/>
                <w:szCs w:val="20"/>
              </w:rPr>
              <w:t>MI- 0828</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238E8DBC" w14:textId="77777777" w:rsidR="006F76E6" w:rsidRPr="006F76E6" w:rsidRDefault="006F76E6" w:rsidP="006F76E6">
            <w:pPr>
              <w:rPr>
                <w:rFonts w:ascii="Arial" w:hAnsi="Arial" w:cs="Arial"/>
                <w:sz w:val="20"/>
                <w:szCs w:val="20"/>
              </w:rPr>
            </w:pPr>
            <w:r w:rsidRPr="006F76E6">
              <w:rPr>
                <w:rFonts w:ascii="Arial" w:hAnsi="Arial" w:cs="Arial"/>
                <w:sz w:val="20"/>
                <w:szCs w:val="20"/>
              </w:rPr>
              <w:t>2.71±0.09</w:t>
            </w:r>
            <w:r w:rsidRPr="006F76E6">
              <w:rPr>
                <w:rFonts w:ascii="Arial" w:hAnsi="Arial" w:cs="Arial"/>
                <w:sz w:val="20"/>
                <w:szCs w:val="20"/>
                <w:vertAlign w:val="superscript"/>
              </w:rPr>
              <w:t>def</w:t>
            </w:r>
          </w:p>
        </w:tc>
        <w:tc>
          <w:tcPr>
            <w:tcW w:w="2610" w:type="dxa"/>
            <w:noWrap/>
            <w:hideMark/>
          </w:tcPr>
          <w:p w14:paraId="2EE01E18" w14:textId="77777777" w:rsidR="006F76E6" w:rsidRPr="006F76E6" w:rsidRDefault="006F76E6" w:rsidP="006F76E6">
            <w:pPr>
              <w:rPr>
                <w:rFonts w:ascii="Arial" w:hAnsi="Arial" w:cs="Arial"/>
                <w:sz w:val="20"/>
                <w:szCs w:val="20"/>
              </w:rPr>
            </w:pPr>
            <w:r w:rsidRPr="006F76E6">
              <w:rPr>
                <w:rFonts w:ascii="Arial" w:hAnsi="Arial" w:cs="Arial"/>
                <w:sz w:val="20"/>
                <w:szCs w:val="20"/>
              </w:rPr>
              <w:t>25.31±0.24</w:t>
            </w:r>
            <w:r w:rsidRPr="006F76E6">
              <w:rPr>
                <w:rFonts w:ascii="Arial" w:hAnsi="Arial" w:cs="Arial"/>
                <w:sz w:val="20"/>
                <w:szCs w:val="20"/>
                <w:vertAlign w:val="superscript"/>
              </w:rPr>
              <w:t>fg</w:t>
            </w:r>
          </w:p>
        </w:tc>
        <w:tc>
          <w:tcPr>
            <w:tcW w:w="2430" w:type="dxa"/>
            <w:noWrap/>
            <w:hideMark/>
          </w:tcPr>
          <w:p w14:paraId="66EF4C6B" w14:textId="77777777" w:rsidR="006F76E6" w:rsidRPr="006F76E6" w:rsidRDefault="006F76E6" w:rsidP="006F76E6">
            <w:pPr>
              <w:rPr>
                <w:rFonts w:ascii="Arial" w:hAnsi="Arial" w:cs="Arial"/>
                <w:sz w:val="20"/>
                <w:szCs w:val="20"/>
              </w:rPr>
            </w:pPr>
            <w:r w:rsidRPr="006F76E6">
              <w:rPr>
                <w:rFonts w:ascii="Arial" w:hAnsi="Arial" w:cs="Arial"/>
                <w:sz w:val="20"/>
                <w:szCs w:val="20"/>
              </w:rPr>
              <w:t>71.49±0.11</w:t>
            </w:r>
            <w:r w:rsidRPr="006F76E6">
              <w:rPr>
                <w:rFonts w:ascii="Arial" w:hAnsi="Arial" w:cs="Arial"/>
                <w:sz w:val="20"/>
                <w:szCs w:val="20"/>
                <w:vertAlign w:val="superscript"/>
              </w:rPr>
              <w:t>bc</w:t>
            </w:r>
          </w:p>
        </w:tc>
      </w:tr>
      <w:tr w:rsidR="006F76E6" w:rsidRPr="006F76E6" w14:paraId="20DFF8D8" w14:textId="77777777" w:rsidTr="00F014E4">
        <w:trPr>
          <w:trHeight w:val="197"/>
        </w:trPr>
        <w:tc>
          <w:tcPr>
            <w:tcW w:w="2340" w:type="dxa"/>
            <w:noWrap/>
            <w:hideMark/>
          </w:tcPr>
          <w:p w14:paraId="7144A5DC" w14:textId="77777777" w:rsidR="006F76E6" w:rsidRPr="006F76E6" w:rsidRDefault="006F76E6" w:rsidP="006F76E6">
            <w:pPr>
              <w:rPr>
                <w:rFonts w:ascii="Arial" w:hAnsi="Arial" w:cs="Arial"/>
                <w:sz w:val="20"/>
                <w:szCs w:val="20"/>
              </w:rPr>
            </w:pPr>
            <w:r w:rsidRPr="006F76E6">
              <w:rPr>
                <w:rFonts w:ascii="Arial" w:hAnsi="Arial" w:cs="Arial"/>
                <w:sz w:val="20"/>
                <w:szCs w:val="20"/>
              </w:rPr>
              <w:t>MI- 0783</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719BED8B" w14:textId="77777777" w:rsidR="006F76E6" w:rsidRPr="006F76E6" w:rsidRDefault="006F76E6" w:rsidP="006F76E6">
            <w:pPr>
              <w:rPr>
                <w:rFonts w:ascii="Arial" w:hAnsi="Arial" w:cs="Arial"/>
                <w:sz w:val="20"/>
                <w:szCs w:val="20"/>
              </w:rPr>
            </w:pPr>
            <w:r w:rsidRPr="006F76E6">
              <w:rPr>
                <w:rFonts w:ascii="Arial" w:hAnsi="Arial" w:cs="Arial"/>
                <w:sz w:val="20"/>
                <w:szCs w:val="20"/>
              </w:rPr>
              <w:t>3.41±0.08</w:t>
            </w:r>
            <w:r w:rsidRPr="006F76E6">
              <w:rPr>
                <w:rFonts w:ascii="Arial" w:hAnsi="Arial" w:cs="Arial"/>
                <w:sz w:val="20"/>
                <w:szCs w:val="20"/>
                <w:vertAlign w:val="superscript"/>
              </w:rPr>
              <w:t>ab</w:t>
            </w:r>
          </w:p>
        </w:tc>
        <w:tc>
          <w:tcPr>
            <w:tcW w:w="2610" w:type="dxa"/>
            <w:noWrap/>
            <w:hideMark/>
          </w:tcPr>
          <w:p w14:paraId="05F4DAD2" w14:textId="77777777" w:rsidR="006F76E6" w:rsidRPr="006F76E6" w:rsidRDefault="006F76E6" w:rsidP="006F76E6">
            <w:pPr>
              <w:rPr>
                <w:rFonts w:ascii="Arial" w:hAnsi="Arial" w:cs="Arial"/>
                <w:sz w:val="20"/>
                <w:szCs w:val="20"/>
              </w:rPr>
            </w:pPr>
            <w:r w:rsidRPr="006F76E6">
              <w:rPr>
                <w:rFonts w:ascii="Arial" w:hAnsi="Arial" w:cs="Arial"/>
                <w:sz w:val="20"/>
                <w:szCs w:val="20"/>
              </w:rPr>
              <w:t>25.14±0.32</w:t>
            </w:r>
            <w:r w:rsidRPr="006F76E6">
              <w:rPr>
                <w:rFonts w:ascii="Arial" w:hAnsi="Arial" w:cs="Arial"/>
                <w:sz w:val="20"/>
                <w:szCs w:val="20"/>
                <w:vertAlign w:val="superscript"/>
              </w:rPr>
              <w:t>fgh</w:t>
            </w:r>
          </w:p>
        </w:tc>
        <w:tc>
          <w:tcPr>
            <w:tcW w:w="2430" w:type="dxa"/>
            <w:noWrap/>
            <w:hideMark/>
          </w:tcPr>
          <w:p w14:paraId="1D7B5E5E" w14:textId="77777777" w:rsidR="006F76E6" w:rsidRPr="006F76E6" w:rsidRDefault="006F76E6" w:rsidP="006F76E6">
            <w:pPr>
              <w:rPr>
                <w:rFonts w:ascii="Arial" w:hAnsi="Arial" w:cs="Arial"/>
                <w:sz w:val="20"/>
                <w:szCs w:val="20"/>
              </w:rPr>
            </w:pPr>
            <w:r w:rsidRPr="006F76E6">
              <w:rPr>
                <w:rFonts w:ascii="Arial" w:hAnsi="Arial" w:cs="Arial"/>
                <w:sz w:val="20"/>
                <w:szCs w:val="20"/>
              </w:rPr>
              <w:t>69.61±0.96</w:t>
            </w:r>
            <w:r w:rsidRPr="006F76E6">
              <w:rPr>
                <w:rFonts w:ascii="Arial" w:hAnsi="Arial" w:cs="Arial"/>
                <w:sz w:val="20"/>
                <w:szCs w:val="20"/>
                <w:vertAlign w:val="superscript"/>
              </w:rPr>
              <w:t>efgh</w:t>
            </w:r>
          </w:p>
        </w:tc>
      </w:tr>
      <w:tr w:rsidR="006F76E6" w:rsidRPr="006F76E6" w14:paraId="088871A0" w14:textId="77777777" w:rsidTr="00F014E4">
        <w:trPr>
          <w:trHeight w:val="323"/>
        </w:trPr>
        <w:tc>
          <w:tcPr>
            <w:tcW w:w="2340" w:type="dxa"/>
            <w:noWrap/>
            <w:hideMark/>
          </w:tcPr>
          <w:p w14:paraId="4B5A2EE4" w14:textId="77777777" w:rsidR="006F76E6" w:rsidRPr="006F76E6" w:rsidRDefault="006F76E6" w:rsidP="006F76E6">
            <w:pPr>
              <w:rPr>
                <w:rFonts w:ascii="Arial" w:hAnsi="Arial" w:cs="Arial"/>
                <w:sz w:val="20"/>
                <w:szCs w:val="20"/>
              </w:rPr>
            </w:pPr>
            <w:r w:rsidRPr="006F76E6">
              <w:rPr>
                <w:rFonts w:ascii="Arial" w:hAnsi="Arial" w:cs="Arial"/>
                <w:sz w:val="20"/>
                <w:szCs w:val="20"/>
              </w:rPr>
              <w:t>ME- 0168</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5DC5B20D" w14:textId="77777777" w:rsidR="006F76E6" w:rsidRPr="006F76E6" w:rsidRDefault="006F76E6" w:rsidP="006F76E6">
            <w:pPr>
              <w:rPr>
                <w:rFonts w:ascii="Arial" w:hAnsi="Arial" w:cs="Arial"/>
                <w:sz w:val="20"/>
                <w:szCs w:val="20"/>
              </w:rPr>
            </w:pPr>
            <w:r w:rsidRPr="006F76E6">
              <w:rPr>
                <w:rFonts w:ascii="Arial" w:hAnsi="Arial" w:cs="Arial"/>
                <w:sz w:val="20"/>
                <w:szCs w:val="20"/>
              </w:rPr>
              <w:t>3.49±0.05</w:t>
            </w:r>
            <w:r w:rsidRPr="006F76E6">
              <w:rPr>
                <w:rFonts w:ascii="Arial" w:hAnsi="Arial" w:cs="Arial"/>
                <w:sz w:val="20"/>
                <w:szCs w:val="20"/>
                <w:vertAlign w:val="superscript"/>
              </w:rPr>
              <w:t>ab</w:t>
            </w:r>
          </w:p>
        </w:tc>
        <w:tc>
          <w:tcPr>
            <w:tcW w:w="2610" w:type="dxa"/>
            <w:noWrap/>
            <w:hideMark/>
          </w:tcPr>
          <w:p w14:paraId="044C72AB" w14:textId="77777777" w:rsidR="006F76E6" w:rsidRPr="006F76E6" w:rsidRDefault="006F76E6" w:rsidP="006F76E6">
            <w:pPr>
              <w:rPr>
                <w:rFonts w:ascii="Arial" w:hAnsi="Arial" w:cs="Arial"/>
                <w:sz w:val="20"/>
                <w:szCs w:val="20"/>
              </w:rPr>
            </w:pPr>
            <w:r w:rsidRPr="006F76E6">
              <w:rPr>
                <w:rFonts w:ascii="Arial" w:hAnsi="Arial" w:cs="Arial"/>
                <w:sz w:val="20"/>
                <w:szCs w:val="20"/>
              </w:rPr>
              <w:t>26.12±0.21</w:t>
            </w:r>
            <w:r w:rsidRPr="006F76E6">
              <w:rPr>
                <w:rFonts w:ascii="Arial" w:hAnsi="Arial" w:cs="Arial"/>
                <w:sz w:val="20"/>
                <w:szCs w:val="20"/>
                <w:vertAlign w:val="superscript"/>
              </w:rPr>
              <w:t>d</w:t>
            </w:r>
          </w:p>
        </w:tc>
        <w:tc>
          <w:tcPr>
            <w:tcW w:w="2430" w:type="dxa"/>
            <w:noWrap/>
            <w:hideMark/>
          </w:tcPr>
          <w:p w14:paraId="03D7CAB7" w14:textId="77777777" w:rsidR="006F76E6" w:rsidRPr="006F76E6" w:rsidRDefault="006F76E6" w:rsidP="006F76E6">
            <w:pPr>
              <w:rPr>
                <w:rFonts w:ascii="Arial" w:hAnsi="Arial" w:cs="Arial"/>
                <w:sz w:val="20"/>
                <w:szCs w:val="20"/>
              </w:rPr>
            </w:pPr>
            <w:r w:rsidRPr="006F76E6">
              <w:rPr>
                <w:rFonts w:ascii="Arial" w:hAnsi="Arial" w:cs="Arial"/>
                <w:sz w:val="20"/>
                <w:szCs w:val="20"/>
              </w:rPr>
              <w:t>68.82±0.31</w:t>
            </w:r>
            <w:r w:rsidRPr="006F76E6">
              <w:rPr>
                <w:rFonts w:ascii="Arial" w:hAnsi="Arial" w:cs="Arial"/>
                <w:sz w:val="20"/>
                <w:szCs w:val="20"/>
                <w:vertAlign w:val="superscript"/>
              </w:rPr>
              <w:t>gh</w:t>
            </w:r>
          </w:p>
        </w:tc>
      </w:tr>
      <w:tr w:rsidR="006F76E6" w:rsidRPr="006F76E6" w14:paraId="53E3A142" w14:textId="77777777" w:rsidTr="00F014E4">
        <w:trPr>
          <w:trHeight w:val="350"/>
        </w:trPr>
        <w:tc>
          <w:tcPr>
            <w:tcW w:w="2340" w:type="dxa"/>
            <w:noWrap/>
            <w:hideMark/>
          </w:tcPr>
          <w:p w14:paraId="757BC1DE" w14:textId="77777777" w:rsidR="006F76E6" w:rsidRPr="006F76E6" w:rsidRDefault="006F76E6" w:rsidP="006F76E6">
            <w:pPr>
              <w:rPr>
                <w:rFonts w:ascii="Arial" w:hAnsi="Arial" w:cs="Arial"/>
                <w:sz w:val="20"/>
                <w:szCs w:val="20"/>
              </w:rPr>
            </w:pPr>
            <w:r w:rsidRPr="006F76E6">
              <w:rPr>
                <w:rFonts w:ascii="Arial" w:hAnsi="Arial" w:cs="Arial"/>
                <w:sz w:val="20"/>
                <w:szCs w:val="20"/>
              </w:rPr>
              <w:t>MI- 0300</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27C94B13" w14:textId="77777777" w:rsidR="006F76E6" w:rsidRPr="006F76E6" w:rsidRDefault="006F76E6" w:rsidP="006F76E6">
            <w:pPr>
              <w:rPr>
                <w:rFonts w:ascii="Arial" w:hAnsi="Arial" w:cs="Arial"/>
                <w:sz w:val="20"/>
                <w:szCs w:val="20"/>
              </w:rPr>
            </w:pPr>
            <w:r w:rsidRPr="006F76E6">
              <w:rPr>
                <w:rFonts w:ascii="Arial" w:hAnsi="Arial" w:cs="Arial"/>
                <w:sz w:val="20"/>
                <w:szCs w:val="20"/>
              </w:rPr>
              <w:t>2.05±0.36</w:t>
            </w:r>
            <w:r w:rsidRPr="006F76E6">
              <w:rPr>
                <w:rFonts w:ascii="Arial" w:hAnsi="Arial" w:cs="Arial"/>
                <w:sz w:val="20"/>
                <w:szCs w:val="20"/>
                <w:vertAlign w:val="superscript"/>
              </w:rPr>
              <w:t>g</w:t>
            </w:r>
          </w:p>
        </w:tc>
        <w:tc>
          <w:tcPr>
            <w:tcW w:w="2610" w:type="dxa"/>
            <w:noWrap/>
            <w:hideMark/>
          </w:tcPr>
          <w:p w14:paraId="7051E141" w14:textId="77777777" w:rsidR="006F76E6" w:rsidRPr="006F76E6" w:rsidRDefault="006F76E6" w:rsidP="006F76E6">
            <w:pPr>
              <w:rPr>
                <w:rFonts w:ascii="Arial" w:hAnsi="Arial" w:cs="Arial"/>
                <w:sz w:val="20"/>
                <w:szCs w:val="20"/>
              </w:rPr>
            </w:pPr>
            <w:r w:rsidRPr="006F76E6">
              <w:rPr>
                <w:rFonts w:ascii="Arial" w:hAnsi="Arial" w:cs="Arial"/>
                <w:sz w:val="20"/>
                <w:szCs w:val="20"/>
              </w:rPr>
              <w:t>25.51±0.11</w:t>
            </w:r>
            <w:r w:rsidRPr="006F76E6">
              <w:rPr>
                <w:rFonts w:ascii="Arial" w:hAnsi="Arial" w:cs="Arial"/>
                <w:sz w:val="20"/>
                <w:szCs w:val="20"/>
                <w:vertAlign w:val="superscript"/>
              </w:rPr>
              <w:t>ef</w:t>
            </w:r>
          </w:p>
        </w:tc>
        <w:tc>
          <w:tcPr>
            <w:tcW w:w="2430" w:type="dxa"/>
            <w:noWrap/>
            <w:hideMark/>
          </w:tcPr>
          <w:p w14:paraId="103B7426" w14:textId="77777777" w:rsidR="006F76E6" w:rsidRPr="006F76E6" w:rsidRDefault="006F76E6" w:rsidP="006F76E6">
            <w:pPr>
              <w:rPr>
                <w:rFonts w:ascii="Arial" w:hAnsi="Arial" w:cs="Arial"/>
                <w:sz w:val="20"/>
                <w:szCs w:val="20"/>
              </w:rPr>
            </w:pPr>
            <w:r w:rsidRPr="006F76E6">
              <w:rPr>
                <w:rFonts w:ascii="Arial" w:hAnsi="Arial" w:cs="Arial"/>
                <w:sz w:val="20"/>
                <w:szCs w:val="20"/>
              </w:rPr>
              <w:t>70.26±0.37</w:t>
            </w:r>
            <w:r w:rsidRPr="006F76E6">
              <w:rPr>
                <w:rFonts w:ascii="Arial" w:hAnsi="Arial" w:cs="Arial"/>
                <w:sz w:val="20"/>
                <w:szCs w:val="20"/>
                <w:vertAlign w:val="superscript"/>
              </w:rPr>
              <w:t>cdef</w:t>
            </w:r>
          </w:p>
        </w:tc>
      </w:tr>
      <w:tr w:rsidR="006F76E6" w:rsidRPr="006F76E6" w14:paraId="36968EB9" w14:textId="77777777" w:rsidTr="00F014E4">
        <w:trPr>
          <w:trHeight w:val="377"/>
        </w:trPr>
        <w:tc>
          <w:tcPr>
            <w:tcW w:w="2340" w:type="dxa"/>
            <w:noWrap/>
            <w:hideMark/>
          </w:tcPr>
          <w:p w14:paraId="5EAE3771" w14:textId="77777777" w:rsidR="006F76E6" w:rsidRPr="006F76E6" w:rsidRDefault="006F76E6" w:rsidP="006F76E6">
            <w:pPr>
              <w:rPr>
                <w:rFonts w:ascii="Arial" w:hAnsi="Arial" w:cs="Arial"/>
                <w:sz w:val="20"/>
                <w:szCs w:val="20"/>
              </w:rPr>
            </w:pPr>
            <w:r w:rsidRPr="006F76E6">
              <w:rPr>
                <w:rFonts w:ascii="Arial" w:hAnsi="Arial" w:cs="Arial"/>
                <w:sz w:val="20"/>
                <w:szCs w:val="20"/>
              </w:rPr>
              <w:t>ME- 0169</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5C91DB6A" w14:textId="77777777" w:rsidR="006F76E6" w:rsidRPr="006F76E6" w:rsidRDefault="006F76E6" w:rsidP="006F76E6">
            <w:pPr>
              <w:rPr>
                <w:rFonts w:ascii="Arial" w:hAnsi="Arial" w:cs="Arial"/>
                <w:sz w:val="20"/>
                <w:szCs w:val="20"/>
              </w:rPr>
            </w:pPr>
            <w:r w:rsidRPr="006F76E6">
              <w:rPr>
                <w:rFonts w:ascii="Arial" w:hAnsi="Arial" w:cs="Arial"/>
                <w:sz w:val="20"/>
                <w:szCs w:val="20"/>
              </w:rPr>
              <w:t>3.27±0.19</w:t>
            </w:r>
            <w:r w:rsidRPr="006F76E6">
              <w:rPr>
                <w:rFonts w:ascii="Arial" w:hAnsi="Arial" w:cs="Arial"/>
                <w:sz w:val="20"/>
                <w:szCs w:val="20"/>
                <w:vertAlign w:val="superscript"/>
              </w:rPr>
              <w:t>abcd</w:t>
            </w:r>
          </w:p>
        </w:tc>
        <w:tc>
          <w:tcPr>
            <w:tcW w:w="2610" w:type="dxa"/>
            <w:noWrap/>
            <w:hideMark/>
          </w:tcPr>
          <w:p w14:paraId="629B6AE4" w14:textId="77777777" w:rsidR="006F76E6" w:rsidRPr="006F76E6" w:rsidRDefault="006F76E6" w:rsidP="006F76E6">
            <w:pPr>
              <w:rPr>
                <w:rFonts w:ascii="Arial" w:hAnsi="Arial" w:cs="Arial"/>
                <w:sz w:val="20"/>
                <w:szCs w:val="20"/>
              </w:rPr>
            </w:pPr>
            <w:r w:rsidRPr="006F76E6">
              <w:rPr>
                <w:rFonts w:ascii="Arial" w:hAnsi="Arial" w:cs="Arial"/>
                <w:sz w:val="20"/>
                <w:szCs w:val="20"/>
              </w:rPr>
              <w:t>23.71±0.16</w:t>
            </w:r>
            <w:r w:rsidRPr="006F76E6">
              <w:rPr>
                <w:rFonts w:ascii="Arial" w:hAnsi="Arial" w:cs="Arial"/>
                <w:sz w:val="20"/>
                <w:szCs w:val="20"/>
                <w:vertAlign w:val="superscript"/>
              </w:rPr>
              <w:t>i</w:t>
            </w:r>
          </w:p>
        </w:tc>
        <w:tc>
          <w:tcPr>
            <w:tcW w:w="2430" w:type="dxa"/>
            <w:noWrap/>
            <w:hideMark/>
          </w:tcPr>
          <w:p w14:paraId="7F60908E" w14:textId="77777777" w:rsidR="006F76E6" w:rsidRPr="006F76E6" w:rsidRDefault="006F76E6" w:rsidP="006F76E6">
            <w:pPr>
              <w:rPr>
                <w:rFonts w:ascii="Arial" w:hAnsi="Arial" w:cs="Arial"/>
                <w:sz w:val="20"/>
                <w:szCs w:val="20"/>
              </w:rPr>
            </w:pPr>
            <w:r w:rsidRPr="006F76E6">
              <w:rPr>
                <w:rFonts w:ascii="Arial" w:hAnsi="Arial" w:cs="Arial"/>
                <w:sz w:val="20"/>
                <w:szCs w:val="20"/>
              </w:rPr>
              <w:t>71.44±0.23</w:t>
            </w:r>
            <w:r w:rsidRPr="006F76E6">
              <w:rPr>
                <w:rFonts w:ascii="Arial" w:hAnsi="Arial" w:cs="Arial"/>
                <w:sz w:val="20"/>
                <w:szCs w:val="20"/>
                <w:vertAlign w:val="superscript"/>
              </w:rPr>
              <w:t>bc</w:t>
            </w:r>
          </w:p>
        </w:tc>
      </w:tr>
      <w:tr w:rsidR="006F76E6" w:rsidRPr="006F76E6" w14:paraId="4879C204" w14:textId="77777777" w:rsidTr="00F014E4">
        <w:trPr>
          <w:trHeight w:val="305"/>
        </w:trPr>
        <w:tc>
          <w:tcPr>
            <w:tcW w:w="2340" w:type="dxa"/>
            <w:noWrap/>
            <w:hideMark/>
          </w:tcPr>
          <w:p w14:paraId="48EE21DA" w14:textId="77777777" w:rsidR="006F76E6" w:rsidRPr="006F76E6" w:rsidRDefault="006F76E6" w:rsidP="006F76E6">
            <w:pPr>
              <w:rPr>
                <w:rFonts w:ascii="Arial" w:hAnsi="Arial" w:cs="Arial"/>
                <w:sz w:val="20"/>
                <w:szCs w:val="20"/>
              </w:rPr>
            </w:pPr>
            <w:r w:rsidRPr="006F76E6">
              <w:rPr>
                <w:rFonts w:ascii="Arial" w:hAnsi="Arial" w:cs="Arial"/>
                <w:sz w:val="20"/>
                <w:szCs w:val="20"/>
              </w:rPr>
              <w:t>MI- 0549</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72958F72" w14:textId="77777777" w:rsidR="006F76E6" w:rsidRPr="006F76E6" w:rsidRDefault="006F76E6" w:rsidP="006F76E6">
            <w:pPr>
              <w:rPr>
                <w:rFonts w:ascii="Arial" w:hAnsi="Arial" w:cs="Arial"/>
                <w:sz w:val="20"/>
                <w:szCs w:val="20"/>
              </w:rPr>
            </w:pPr>
            <w:r w:rsidRPr="006F76E6">
              <w:rPr>
                <w:rFonts w:ascii="Arial" w:hAnsi="Arial" w:cs="Arial"/>
                <w:sz w:val="20"/>
                <w:szCs w:val="20"/>
              </w:rPr>
              <w:t>3.45±0.08</w:t>
            </w:r>
            <w:r w:rsidRPr="006F76E6">
              <w:rPr>
                <w:rFonts w:ascii="Arial" w:hAnsi="Arial" w:cs="Arial"/>
                <w:sz w:val="20"/>
                <w:szCs w:val="20"/>
                <w:vertAlign w:val="superscript"/>
              </w:rPr>
              <w:t>ab</w:t>
            </w:r>
          </w:p>
        </w:tc>
        <w:tc>
          <w:tcPr>
            <w:tcW w:w="2610" w:type="dxa"/>
            <w:noWrap/>
            <w:hideMark/>
          </w:tcPr>
          <w:p w14:paraId="6EACEDCA" w14:textId="77777777" w:rsidR="006F76E6" w:rsidRPr="006F76E6" w:rsidRDefault="006F76E6" w:rsidP="006F76E6">
            <w:pPr>
              <w:rPr>
                <w:rFonts w:ascii="Arial" w:hAnsi="Arial" w:cs="Arial"/>
                <w:sz w:val="20"/>
                <w:szCs w:val="20"/>
              </w:rPr>
            </w:pPr>
            <w:r w:rsidRPr="006F76E6">
              <w:rPr>
                <w:rFonts w:ascii="Arial" w:hAnsi="Arial" w:cs="Arial"/>
                <w:sz w:val="20"/>
                <w:szCs w:val="20"/>
              </w:rPr>
              <w:t>25.55±0.19</w:t>
            </w:r>
            <w:r w:rsidRPr="006F76E6">
              <w:rPr>
                <w:rFonts w:ascii="Arial" w:hAnsi="Arial" w:cs="Arial"/>
                <w:sz w:val="20"/>
                <w:szCs w:val="20"/>
                <w:vertAlign w:val="superscript"/>
              </w:rPr>
              <w:t>ef</w:t>
            </w:r>
          </w:p>
        </w:tc>
        <w:tc>
          <w:tcPr>
            <w:tcW w:w="2430" w:type="dxa"/>
            <w:noWrap/>
            <w:hideMark/>
          </w:tcPr>
          <w:p w14:paraId="7B2B5571" w14:textId="77777777" w:rsidR="006F76E6" w:rsidRPr="006F76E6" w:rsidRDefault="006F76E6" w:rsidP="006F76E6">
            <w:pPr>
              <w:rPr>
                <w:rFonts w:ascii="Arial" w:hAnsi="Arial" w:cs="Arial"/>
                <w:sz w:val="20"/>
                <w:szCs w:val="20"/>
              </w:rPr>
            </w:pPr>
            <w:r w:rsidRPr="006F76E6">
              <w:rPr>
                <w:rFonts w:ascii="Arial" w:hAnsi="Arial" w:cs="Arial"/>
                <w:sz w:val="20"/>
                <w:szCs w:val="20"/>
              </w:rPr>
              <w:t>70.64±0.57</w:t>
            </w:r>
            <w:r w:rsidRPr="006F76E6">
              <w:rPr>
                <w:rFonts w:ascii="Arial" w:hAnsi="Arial" w:cs="Arial"/>
                <w:sz w:val="20"/>
                <w:szCs w:val="20"/>
                <w:vertAlign w:val="superscript"/>
              </w:rPr>
              <w:t>cde</w:t>
            </w:r>
          </w:p>
        </w:tc>
      </w:tr>
      <w:tr w:rsidR="006F76E6" w:rsidRPr="006F76E6" w14:paraId="466D249F" w14:textId="77777777" w:rsidTr="00F014E4">
        <w:trPr>
          <w:trHeight w:val="242"/>
        </w:trPr>
        <w:tc>
          <w:tcPr>
            <w:tcW w:w="2340" w:type="dxa"/>
            <w:noWrap/>
            <w:hideMark/>
          </w:tcPr>
          <w:p w14:paraId="0214F7F0" w14:textId="77777777" w:rsidR="006F76E6" w:rsidRPr="006F76E6" w:rsidRDefault="006F76E6" w:rsidP="006F76E6">
            <w:pPr>
              <w:rPr>
                <w:rFonts w:ascii="Arial" w:hAnsi="Arial" w:cs="Arial"/>
                <w:sz w:val="20"/>
                <w:szCs w:val="20"/>
              </w:rPr>
            </w:pPr>
            <w:r w:rsidRPr="006F76E6">
              <w:rPr>
                <w:rFonts w:ascii="Arial" w:hAnsi="Arial" w:cs="Arial"/>
                <w:sz w:val="20"/>
                <w:szCs w:val="20"/>
              </w:rPr>
              <w:t>MI- 0632</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7978558D" w14:textId="77777777" w:rsidR="006F76E6" w:rsidRPr="006F76E6" w:rsidRDefault="006F76E6" w:rsidP="006F76E6">
            <w:pPr>
              <w:rPr>
                <w:rFonts w:ascii="Arial" w:hAnsi="Arial" w:cs="Arial"/>
                <w:sz w:val="20"/>
                <w:szCs w:val="20"/>
              </w:rPr>
            </w:pPr>
            <w:r w:rsidRPr="006F76E6">
              <w:rPr>
                <w:rFonts w:ascii="Arial" w:hAnsi="Arial" w:cs="Arial"/>
                <w:sz w:val="20"/>
                <w:szCs w:val="20"/>
              </w:rPr>
              <w:t>2.79±0.39</w:t>
            </w:r>
            <w:r w:rsidRPr="006F76E6">
              <w:rPr>
                <w:rFonts w:ascii="Arial" w:hAnsi="Arial" w:cs="Arial"/>
                <w:sz w:val="20"/>
                <w:szCs w:val="20"/>
                <w:vertAlign w:val="superscript"/>
              </w:rPr>
              <w:t>def</w:t>
            </w:r>
          </w:p>
        </w:tc>
        <w:tc>
          <w:tcPr>
            <w:tcW w:w="2610" w:type="dxa"/>
            <w:noWrap/>
            <w:hideMark/>
          </w:tcPr>
          <w:p w14:paraId="1876F83D" w14:textId="77777777" w:rsidR="006F76E6" w:rsidRPr="006F76E6" w:rsidRDefault="006F76E6" w:rsidP="006F76E6">
            <w:pPr>
              <w:rPr>
                <w:rFonts w:ascii="Arial" w:hAnsi="Arial" w:cs="Arial"/>
                <w:sz w:val="20"/>
                <w:szCs w:val="20"/>
              </w:rPr>
            </w:pPr>
            <w:r w:rsidRPr="006F76E6">
              <w:rPr>
                <w:rFonts w:ascii="Arial" w:hAnsi="Arial" w:cs="Arial"/>
                <w:sz w:val="20"/>
                <w:szCs w:val="20"/>
              </w:rPr>
              <w:t>25.84±0.11</w:t>
            </w:r>
            <w:r w:rsidRPr="006F76E6">
              <w:rPr>
                <w:rFonts w:ascii="Arial" w:hAnsi="Arial" w:cs="Arial"/>
                <w:sz w:val="20"/>
                <w:szCs w:val="20"/>
                <w:vertAlign w:val="superscript"/>
              </w:rPr>
              <w:t>de</w:t>
            </w:r>
          </w:p>
        </w:tc>
        <w:tc>
          <w:tcPr>
            <w:tcW w:w="2430" w:type="dxa"/>
            <w:noWrap/>
            <w:hideMark/>
          </w:tcPr>
          <w:p w14:paraId="271E09DD" w14:textId="77777777" w:rsidR="006F76E6" w:rsidRPr="006F76E6" w:rsidRDefault="006F76E6" w:rsidP="006F76E6">
            <w:pPr>
              <w:rPr>
                <w:rFonts w:ascii="Arial" w:hAnsi="Arial" w:cs="Arial"/>
                <w:sz w:val="20"/>
                <w:szCs w:val="20"/>
              </w:rPr>
            </w:pPr>
            <w:r w:rsidRPr="006F76E6">
              <w:rPr>
                <w:rFonts w:ascii="Arial" w:hAnsi="Arial" w:cs="Arial"/>
                <w:sz w:val="20"/>
                <w:szCs w:val="20"/>
              </w:rPr>
              <w:t>71.30±0.62</w:t>
            </w:r>
            <w:r w:rsidRPr="006F76E6">
              <w:rPr>
                <w:rFonts w:ascii="Arial" w:hAnsi="Arial" w:cs="Arial"/>
                <w:sz w:val="20"/>
                <w:szCs w:val="20"/>
                <w:vertAlign w:val="superscript"/>
              </w:rPr>
              <w:t>bcd</w:t>
            </w:r>
          </w:p>
        </w:tc>
      </w:tr>
      <w:tr w:rsidR="006F76E6" w:rsidRPr="006F76E6" w14:paraId="7A819538" w14:textId="77777777" w:rsidTr="00F014E4">
        <w:trPr>
          <w:trHeight w:val="278"/>
        </w:trPr>
        <w:tc>
          <w:tcPr>
            <w:tcW w:w="2340" w:type="dxa"/>
            <w:noWrap/>
            <w:hideMark/>
          </w:tcPr>
          <w:p w14:paraId="6422D096" w14:textId="77777777" w:rsidR="006F76E6" w:rsidRPr="006F76E6" w:rsidRDefault="006F76E6" w:rsidP="006F76E6">
            <w:pPr>
              <w:rPr>
                <w:rFonts w:ascii="Arial" w:hAnsi="Arial" w:cs="Arial"/>
                <w:sz w:val="20"/>
                <w:szCs w:val="20"/>
              </w:rPr>
            </w:pPr>
            <w:r w:rsidRPr="006F76E6">
              <w:rPr>
                <w:rFonts w:ascii="Arial" w:hAnsi="Arial" w:cs="Arial"/>
                <w:sz w:val="20"/>
                <w:szCs w:val="20"/>
              </w:rPr>
              <w:t>MI- 0034</w:t>
            </w:r>
            <w:r w:rsidR="00F014E4">
              <w:rPr>
                <w:rFonts w:ascii="Arial" w:hAnsi="Arial" w:cs="Arial"/>
                <w:sz w:val="20"/>
                <w:szCs w:val="20"/>
              </w:rPr>
              <w:t xml:space="preserve"> (</w:t>
            </w:r>
            <w:r w:rsidR="00F014E4" w:rsidRPr="00F014E4">
              <w:rPr>
                <w:rFonts w:ascii="Arial" w:hAnsi="Arial" w:cs="Arial"/>
                <w:i/>
                <w:sz w:val="20"/>
                <w:szCs w:val="20"/>
              </w:rPr>
              <w:t>M. alba</w:t>
            </w:r>
            <w:r w:rsidR="00F014E4">
              <w:rPr>
                <w:rFonts w:ascii="Arial" w:hAnsi="Arial" w:cs="Arial"/>
                <w:sz w:val="20"/>
                <w:szCs w:val="20"/>
              </w:rPr>
              <w:t>)</w:t>
            </w:r>
          </w:p>
        </w:tc>
        <w:tc>
          <w:tcPr>
            <w:tcW w:w="1890" w:type="dxa"/>
            <w:noWrap/>
            <w:hideMark/>
          </w:tcPr>
          <w:p w14:paraId="26A8E8C1" w14:textId="77777777" w:rsidR="006F76E6" w:rsidRPr="006F76E6" w:rsidRDefault="006F76E6" w:rsidP="006F76E6">
            <w:pPr>
              <w:rPr>
                <w:rFonts w:ascii="Arial" w:hAnsi="Arial" w:cs="Arial"/>
                <w:sz w:val="20"/>
                <w:szCs w:val="20"/>
              </w:rPr>
            </w:pPr>
            <w:r w:rsidRPr="006F76E6">
              <w:rPr>
                <w:rFonts w:ascii="Arial" w:hAnsi="Arial" w:cs="Arial"/>
                <w:sz w:val="20"/>
                <w:szCs w:val="20"/>
              </w:rPr>
              <w:t>3.23±0.04</w:t>
            </w:r>
            <w:r w:rsidRPr="006F76E6">
              <w:rPr>
                <w:rFonts w:ascii="Arial" w:hAnsi="Arial" w:cs="Arial"/>
                <w:sz w:val="20"/>
                <w:szCs w:val="20"/>
                <w:vertAlign w:val="superscript"/>
              </w:rPr>
              <w:t>abcde</w:t>
            </w:r>
          </w:p>
        </w:tc>
        <w:tc>
          <w:tcPr>
            <w:tcW w:w="2610" w:type="dxa"/>
            <w:noWrap/>
            <w:hideMark/>
          </w:tcPr>
          <w:p w14:paraId="38F5FAEC" w14:textId="77777777" w:rsidR="006F76E6" w:rsidRPr="006F76E6" w:rsidRDefault="006F76E6" w:rsidP="006F76E6">
            <w:pPr>
              <w:rPr>
                <w:rFonts w:ascii="Arial" w:hAnsi="Arial" w:cs="Arial"/>
                <w:sz w:val="20"/>
                <w:szCs w:val="20"/>
              </w:rPr>
            </w:pPr>
            <w:r w:rsidRPr="006F76E6">
              <w:rPr>
                <w:rFonts w:ascii="Arial" w:hAnsi="Arial" w:cs="Arial"/>
                <w:sz w:val="20"/>
                <w:szCs w:val="20"/>
              </w:rPr>
              <w:t>23.48±0.19</w:t>
            </w:r>
            <w:r w:rsidRPr="006F76E6">
              <w:rPr>
                <w:rFonts w:ascii="Arial" w:hAnsi="Arial" w:cs="Arial"/>
                <w:sz w:val="20"/>
                <w:szCs w:val="20"/>
                <w:vertAlign w:val="superscript"/>
              </w:rPr>
              <w:t>i</w:t>
            </w:r>
          </w:p>
        </w:tc>
        <w:tc>
          <w:tcPr>
            <w:tcW w:w="2430" w:type="dxa"/>
            <w:noWrap/>
            <w:hideMark/>
          </w:tcPr>
          <w:p w14:paraId="4FA7FC29" w14:textId="77777777" w:rsidR="006F76E6" w:rsidRPr="006F76E6" w:rsidRDefault="006F76E6" w:rsidP="006F76E6">
            <w:pPr>
              <w:rPr>
                <w:rFonts w:ascii="Arial" w:hAnsi="Arial" w:cs="Arial"/>
                <w:sz w:val="20"/>
                <w:szCs w:val="20"/>
              </w:rPr>
            </w:pPr>
            <w:r w:rsidRPr="006F76E6">
              <w:rPr>
                <w:rFonts w:ascii="Arial" w:hAnsi="Arial" w:cs="Arial"/>
                <w:sz w:val="20"/>
                <w:szCs w:val="20"/>
              </w:rPr>
              <w:t>73.28±0.19</w:t>
            </w:r>
            <w:r w:rsidRPr="006F76E6">
              <w:rPr>
                <w:rFonts w:ascii="Arial" w:hAnsi="Arial" w:cs="Arial"/>
                <w:sz w:val="20"/>
                <w:szCs w:val="20"/>
                <w:vertAlign w:val="superscript"/>
              </w:rPr>
              <w:t>a</w:t>
            </w:r>
          </w:p>
        </w:tc>
      </w:tr>
      <w:tr w:rsidR="006F76E6" w:rsidRPr="006F76E6" w14:paraId="0F78AC5D" w14:textId="77777777" w:rsidTr="00F014E4">
        <w:trPr>
          <w:trHeight w:val="305"/>
        </w:trPr>
        <w:tc>
          <w:tcPr>
            <w:tcW w:w="2340" w:type="dxa"/>
            <w:noWrap/>
            <w:hideMark/>
          </w:tcPr>
          <w:p w14:paraId="58468DDD" w14:textId="77777777" w:rsidR="006F76E6" w:rsidRPr="006F76E6" w:rsidRDefault="006F76E6" w:rsidP="006F76E6">
            <w:pPr>
              <w:rPr>
                <w:rFonts w:ascii="Arial" w:hAnsi="Arial" w:cs="Arial"/>
                <w:sz w:val="20"/>
                <w:szCs w:val="20"/>
              </w:rPr>
            </w:pPr>
            <w:r w:rsidRPr="006F76E6">
              <w:rPr>
                <w:rFonts w:ascii="Arial" w:hAnsi="Arial" w:cs="Arial"/>
                <w:sz w:val="20"/>
                <w:szCs w:val="20"/>
              </w:rPr>
              <w:t>MI- 0818</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25BD2F54" w14:textId="77777777" w:rsidR="006F76E6" w:rsidRPr="006F76E6" w:rsidRDefault="006F76E6" w:rsidP="006F76E6">
            <w:pPr>
              <w:rPr>
                <w:rFonts w:ascii="Arial" w:hAnsi="Arial" w:cs="Arial"/>
                <w:sz w:val="20"/>
                <w:szCs w:val="20"/>
              </w:rPr>
            </w:pPr>
            <w:r w:rsidRPr="006F76E6">
              <w:rPr>
                <w:rFonts w:ascii="Arial" w:hAnsi="Arial" w:cs="Arial"/>
                <w:sz w:val="20"/>
                <w:szCs w:val="20"/>
              </w:rPr>
              <w:t>2.67±0.18</w:t>
            </w:r>
            <w:r w:rsidRPr="006F76E6">
              <w:rPr>
                <w:rFonts w:ascii="Arial" w:hAnsi="Arial" w:cs="Arial"/>
                <w:sz w:val="20"/>
                <w:szCs w:val="20"/>
                <w:vertAlign w:val="superscript"/>
              </w:rPr>
              <w:t>ef</w:t>
            </w:r>
          </w:p>
        </w:tc>
        <w:tc>
          <w:tcPr>
            <w:tcW w:w="2610" w:type="dxa"/>
            <w:noWrap/>
            <w:hideMark/>
          </w:tcPr>
          <w:p w14:paraId="65CD6D66" w14:textId="77777777" w:rsidR="006F76E6" w:rsidRPr="006F76E6" w:rsidRDefault="006F76E6" w:rsidP="006F76E6">
            <w:pPr>
              <w:rPr>
                <w:rFonts w:ascii="Arial" w:hAnsi="Arial" w:cs="Arial"/>
                <w:sz w:val="20"/>
                <w:szCs w:val="20"/>
              </w:rPr>
            </w:pPr>
            <w:r w:rsidRPr="006F76E6">
              <w:rPr>
                <w:rFonts w:ascii="Arial" w:hAnsi="Arial" w:cs="Arial"/>
                <w:sz w:val="20"/>
                <w:szCs w:val="20"/>
              </w:rPr>
              <w:t>25.91±0.09</w:t>
            </w:r>
            <w:r w:rsidRPr="006F76E6">
              <w:rPr>
                <w:rFonts w:ascii="Arial" w:hAnsi="Arial" w:cs="Arial"/>
                <w:sz w:val="20"/>
                <w:szCs w:val="20"/>
                <w:vertAlign w:val="superscript"/>
              </w:rPr>
              <w:t>de</w:t>
            </w:r>
          </w:p>
        </w:tc>
        <w:tc>
          <w:tcPr>
            <w:tcW w:w="2430" w:type="dxa"/>
            <w:noWrap/>
            <w:hideMark/>
          </w:tcPr>
          <w:p w14:paraId="14EAD1A0" w14:textId="77777777" w:rsidR="006F76E6" w:rsidRPr="006F76E6" w:rsidRDefault="006F76E6" w:rsidP="006F76E6">
            <w:pPr>
              <w:rPr>
                <w:rFonts w:ascii="Arial" w:hAnsi="Arial" w:cs="Arial"/>
                <w:sz w:val="20"/>
                <w:szCs w:val="20"/>
              </w:rPr>
            </w:pPr>
            <w:r w:rsidRPr="006F76E6">
              <w:rPr>
                <w:rFonts w:ascii="Arial" w:hAnsi="Arial" w:cs="Arial"/>
                <w:sz w:val="20"/>
                <w:szCs w:val="20"/>
              </w:rPr>
              <w:t>69.84±0.96</w:t>
            </w:r>
            <w:r w:rsidRPr="006F76E6">
              <w:rPr>
                <w:rFonts w:ascii="Arial" w:hAnsi="Arial" w:cs="Arial"/>
                <w:sz w:val="20"/>
                <w:szCs w:val="20"/>
                <w:vertAlign w:val="superscript"/>
              </w:rPr>
              <w:t>efgh</w:t>
            </w:r>
          </w:p>
        </w:tc>
      </w:tr>
      <w:tr w:rsidR="006F76E6" w:rsidRPr="006F76E6" w14:paraId="76E6FE45" w14:textId="77777777" w:rsidTr="00F014E4">
        <w:trPr>
          <w:trHeight w:val="233"/>
        </w:trPr>
        <w:tc>
          <w:tcPr>
            <w:tcW w:w="2340" w:type="dxa"/>
            <w:noWrap/>
            <w:hideMark/>
          </w:tcPr>
          <w:p w14:paraId="237918F8" w14:textId="77777777" w:rsidR="006F76E6" w:rsidRPr="006F76E6" w:rsidRDefault="006F76E6" w:rsidP="006F76E6">
            <w:pPr>
              <w:rPr>
                <w:rFonts w:ascii="Arial" w:hAnsi="Arial" w:cs="Arial"/>
                <w:sz w:val="20"/>
                <w:szCs w:val="20"/>
              </w:rPr>
            </w:pPr>
            <w:r w:rsidRPr="006F76E6">
              <w:rPr>
                <w:rFonts w:ascii="Arial" w:hAnsi="Arial" w:cs="Arial"/>
                <w:sz w:val="20"/>
                <w:szCs w:val="20"/>
              </w:rPr>
              <w:t>MI- 0845</w:t>
            </w:r>
            <w:r w:rsidR="00F014E4">
              <w:rPr>
                <w:rFonts w:ascii="Arial" w:hAnsi="Arial" w:cs="Arial"/>
                <w:sz w:val="20"/>
                <w:szCs w:val="20"/>
              </w:rPr>
              <w:t xml:space="preserve"> (</w:t>
            </w:r>
            <w:r w:rsidR="00F014E4" w:rsidRPr="00F014E4">
              <w:rPr>
                <w:rFonts w:ascii="Arial" w:hAnsi="Arial" w:cs="Arial"/>
                <w:i/>
                <w:sz w:val="20"/>
                <w:szCs w:val="20"/>
              </w:rPr>
              <w:t>M. latifolia</w:t>
            </w:r>
            <w:r w:rsidR="00F014E4">
              <w:rPr>
                <w:rFonts w:ascii="Arial" w:hAnsi="Arial" w:cs="Arial"/>
                <w:sz w:val="20"/>
                <w:szCs w:val="20"/>
              </w:rPr>
              <w:t>)</w:t>
            </w:r>
          </w:p>
        </w:tc>
        <w:tc>
          <w:tcPr>
            <w:tcW w:w="1890" w:type="dxa"/>
            <w:noWrap/>
            <w:hideMark/>
          </w:tcPr>
          <w:p w14:paraId="77BFA9DF" w14:textId="77777777" w:rsidR="006F76E6" w:rsidRPr="006F76E6" w:rsidRDefault="006F76E6" w:rsidP="006F76E6">
            <w:pPr>
              <w:rPr>
                <w:rFonts w:ascii="Arial" w:hAnsi="Arial" w:cs="Arial"/>
                <w:sz w:val="20"/>
                <w:szCs w:val="20"/>
              </w:rPr>
            </w:pPr>
            <w:r w:rsidRPr="006F76E6">
              <w:rPr>
                <w:rFonts w:ascii="Arial" w:hAnsi="Arial" w:cs="Arial"/>
                <w:sz w:val="20"/>
                <w:szCs w:val="20"/>
              </w:rPr>
              <w:t>3.79±0.42</w:t>
            </w:r>
            <w:r w:rsidRPr="006F76E6">
              <w:rPr>
                <w:rFonts w:ascii="Arial" w:hAnsi="Arial" w:cs="Arial"/>
                <w:sz w:val="20"/>
                <w:szCs w:val="20"/>
                <w:vertAlign w:val="superscript"/>
              </w:rPr>
              <w:t>a</w:t>
            </w:r>
          </w:p>
        </w:tc>
        <w:tc>
          <w:tcPr>
            <w:tcW w:w="2610" w:type="dxa"/>
            <w:noWrap/>
            <w:hideMark/>
          </w:tcPr>
          <w:p w14:paraId="0EE4D0AB" w14:textId="77777777" w:rsidR="006F76E6" w:rsidRPr="006F76E6" w:rsidRDefault="006F76E6" w:rsidP="006F76E6">
            <w:pPr>
              <w:rPr>
                <w:rFonts w:ascii="Arial" w:hAnsi="Arial" w:cs="Arial"/>
                <w:sz w:val="20"/>
                <w:szCs w:val="20"/>
              </w:rPr>
            </w:pPr>
            <w:r w:rsidRPr="006F76E6">
              <w:rPr>
                <w:rFonts w:ascii="Arial" w:hAnsi="Arial" w:cs="Arial"/>
                <w:sz w:val="20"/>
                <w:szCs w:val="20"/>
              </w:rPr>
              <w:t>28.41±0.14</w:t>
            </w:r>
            <w:r w:rsidRPr="006F76E6">
              <w:rPr>
                <w:rFonts w:ascii="Arial" w:hAnsi="Arial" w:cs="Arial"/>
                <w:sz w:val="20"/>
                <w:szCs w:val="20"/>
                <w:vertAlign w:val="superscript"/>
              </w:rPr>
              <w:t>a</w:t>
            </w:r>
          </w:p>
        </w:tc>
        <w:tc>
          <w:tcPr>
            <w:tcW w:w="2430" w:type="dxa"/>
            <w:noWrap/>
            <w:hideMark/>
          </w:tcPr>
          <w:p w14:paraId="7B25DEF3" w14:textId="77777777" w:rsidR="006F76E6" w:rsidRPr="006F76E6" w:rsidRDefault="006F76E6" w:rsidP="006F76E6">
            <w:pPr>
              <w:rPr>
                <w:rFonts w:ascii="Arial" w:hAnsi="Arial" w:cs="Arial"/>
                <w:sz w:val="20"/>
                <w:szCs w:val="20"/>
              </w:rPr>
            </w:pPr>
            <w:r w:rsidRPr="006F76E6">
              <w:rPr>
                <w:rFonts w:ascii="Arial" w:hAnsi="Arial" w:cs="Arial"/>
                <w:sz w:val="20"/>
                <w:szCs w:val="20"/>
              </w:rPr>
              <w:t>70.84±0.32</w:t>
            </w:r>
            <w:r w:rsidRPr="006F76E6">
              <w:rPr>
                <w:rFonts w:ascii="Arial" w:hAnsi="Arial" w:cs="Arial"/>
                <w:sz w:val="20"/>
                <w:szCs w:val="20"/>
                <w:vertAlign w:val="superscript"/>
              </w:rPr>
              <w:t>h</w:t>
            </w:r>
          </w:p>
        </w:tc>
      </w:tr>
      <w:tr w:rsidR="006F76E6" w:rsidRPr="006F76E6" w14:paraId="5A3558D0" w14:textId="77777777" w:rsidTr="00F014E4">
        <w:trPr>
          <w:trHeight w:val="260"/>
        </w:trPr>
        <w:tc>
          <w:tcPr>
            <w:tcW w:w="2340" w:type="dxa"/>
            <w:noWrap/>
            <w:hideMark/>
          </w:tcPr>
          <w:p w14:paraId="16B58FC9" w14:textId="77777777" w:rsidR="006F76E6" w:rsidRPr="006F76E6" w:rsidRDefault="006F76E6" w:rsidP="006F76E6">
            <w:pPr>
              <w:rPr>
                <w:rFonts w:ascii="Arial" w:hAnsi="Arial" w:cs="Arial"/>
                <w:sz w:val="20"/>
                <w:szCs w:val="20"/>
              </w:rPr>
            </w:pPr>
            <w:r w:rsidRPr="006F76E6">
              <w:rPr>
                <w:rFonts w:ascii="Arial" w:hAnsi="Arial" w:cs="Arial"/>
                <w:sz w:val="20"/>
                <w:szCs w:val="20"/>
              </w:rPr>
              <w:t>Mean</w:t>
            </w:r>
          </w:p>
        </w:tc>
        <w:tc>
          <w:tcPr>
            <w:tcW w:w="1890" w:type="dxa"/>
            <w:noWrap/>
            <w:hideMark/>
          </w:tcPr>
          <w:p w14:paraId="4E59C917" w14:textId="77777777" w:rsidR="006F76E6" w:rsidRPr="006F76E6" w:rsidRDefault="006F76E6" w:rsidP="006F76E6">
            <w:pPr>
              <w:rPr>
                <w:rFonts w:ascii="Arial" w:hAnsi="Arial" w:cs="Arial"/>
                <w:sz w:val="20"/>
                <w:szCs w:val="20"/>
              </w:rPr>
            </w:pPr>
            <w:r w:rsidRPr="006F76E6">
              <w:rPr>
                <w:rFonts w:ascii="Arial" w:hAnsi="Arial" w:cs="Arial"/>
                <w:sz w:val="20"/>
                <w:szCs w:val="20"/>
              </w:rPr>
              <w:t>3.06</w:t>
            </w:r>
          </w:p>
        </w:tc>
        <w:tc>
          <w:tcPr>
            <w:tcW w:w="2610" w:type="dxa"/>
            <w:noWrap/>
            <w:hideMark/>
          </w:tcPr>
          <w:p w14:paraId="65846499" w14:textId="77777777" w:rsidR="006F76E6" w:rsidRPr="006F76E6" w:rsidRDefault="006F76E6" w:rsidP="006F76E6">
            <w:pPr>
              <w:rPr>
                <w:rFonts w:ascii="Arial" w:hAnsi="Arial" w:cs="Arial"/>
                <w:sz w:val="20"/>
                <w:szCs w:val="20"/>
              </w:rPr>
            </w:pPr>
            <w:r w:rsidRPr="006F76E6">
              <w:rPr>
                <w:rFonts w:ascii="Arial" w:hAnsi="Arial" w:cs="Arial"/>
                <w:sz w:val="20"/>
                <w:szCs w:val="20"/>
              </w:rPr>
              <w:t>25.61</w:t>
            </w:r>
          </w:p>
        </w:tc>
        <w:tc>
          <w:tcPr>
            <w:tcW w:w="2430" w:type="dxa"/>
            <w:noWrap/>
            <w:hideMark/>
          </w:tcPr>
          <w:p w14:paraId="23143B58" w14:textId="77777777" w:rsidR="006F76E6" w:rsidRPr="006F76E6" w:rsidRDefault="006F76E6" w:rsidP="006F76E6">
            <w:pPr>
              <w:rPr>
                <w:rFonts w:ascii="Arial" w:hAnsi="Arial" w:cs="Arial"/>
                <w:sz w:val="20"/>
                <w:szCs w:val="20"/>
              </w:rPr>
            </w:pPr>
            <w:r w:rsidRPr="006F76E6">
              <w:rPr>
                <w:rFonts w:ascii="Arial" w:hAnsi="Arial" w:cs="Arial"/>
                <w:sz w:val="20"/>
                <w:szCs w:val="20"/>
              </w:rPr>
              <w:t>70.71</w:t>
            </w:r>
          </w:p>
        </w:tc>
      </w:tr>
      <w:tr w:rsidR="006F76E6" w:rsidRPr="006F76E6" w14:paraId="0EB53798" w14:textId="77777777" w:rsidTr="00F014E4">
        <w:trPr>
          <w:trHeight w:val="215"/>
        </w:trPr>
        <w:tc>
          <w:tcPr>
            <w:tcW w:w="2340" w:type="dxa"/>
            <w:tcBorders>
              <w:bottom w:val="single" w:sz="4" w:space="0" w:color="auto"/>
            </w:tcBorders>
            <w:noWrap/>
            <w:hideMark/>
          </w:tcPr>
          <w:p w14:paraId="4B9D0618" w14:textId="77777777" w:rsidR="006F76E6" w:rsidRPr="006F76E6" w:rsidRDefault="006F76E6" w:rsidP="006F76E6">
            <w:pPr>
              <w:rPr>
                <w:rFonts w:ascii="Arial" w:hAnsi="Arial" w:cs="Arial"/>
                <w:sz w:val="20"/>
                <w:szCs w:val="20"/>
              </w:rPr>
            </w:pPr>
            <w:r w:rsidRPr="006F76E6">
              <w:rPr>
                <w:rFonts w:ascii="Arial" w:hAnsi="Arial" w:cs="Arial"/>
                <w:sz w:val="20"/>
                <w:szCs w:val="20"/>
              </w:rPr>
              <w:t>P value</w:t>
            </w:r>
          </w:p>
        </w:tc>
        <w:tc>
          <w:tcPr>
            <w:tcW w:w="1890" w:type="dxa"/>
            <w:tcBorders>
              <w:bottom w:val="single" w:sz="4" w:space="0" w:color="auto"/>
            </w:tcBorders>
            <w:noWrap/>
            <w:hideMark/>
          </w:tcPr>
          <w:p w14:paraId="61FF9B16" w14:textId="77777777" w:rsidR="006F76E6" w:rsidRPr="006F76E6" w:rsidRDefault="006F76E6" w:rsidP="006F76E6">
            <w:pPr>
              <w:rPr>
                <w:rFonts w:ascii="Arial" w:hAnsi="Arial" w:cs="Arial"/>
                <w:sz w:val="20"/>
                <w:szCs w:val="20"/>
              </w:rPr>
            </w:pPr>
            <w:r w:rsidRPr="006F76E6">
              <w:rPr>
                <w:rFonts w:ascii="Arial" w:hAnsi="Arial" w:cs="Arial"/>
                <w:i/>
                <w:sz w:val="20"/>
                <w:szCs w:val="20"/>
              </w:rPr>
              <w:t>P</w:t>
            </w:r>
            <w:r w:rsidRPr="006F76E6">
              <w:rPr>
                <w:rFonts w:ascii="Arial" w:hAnsi="Arial" w:cs="Arial"/>
                <w:sz w:val="20"/>
                <w:szCs w:val="20"/>
              </w:rPr>
              <w:t xml:space="preserve"> &lt; 0.05</w:t>
            </w:r>
          </w:p>
        </w:tc>
        <w:tc>
          <w:tcPr>
            <w:tcW w:w="2610" w:type="dxa"/>
            <w:tcBorders>
              <w:bottom w:val="single" w:sz="4" w:space="0" w:color="auto"/>
            </w:tcBorders>
            <w:noWrap/>
            <w:hideMark/>
          </w:tcPr>
          <w:p w14:paraId="25ED8910" w14:textId="77777777" w:rsidR="006F76E6" w:rsidRPr="006F76E6" w:rsidRDefault="006F76E6" w:rsidP="006F76E6">
            <w:pPr>
              <w:rPr>
                <w:rFonts w:ascii="Arial" w:hAnsi="Arial" w:cs="Arial"/>
                <w:sz w:val="20"/>
                <w:szCs w:val="20"/>
              </w:rPr>
            </w:pPr>
            <w:r w:rsidRPr="006F76E6">
              <w:rPr>
                <w:rFonts w:ascii="Arial" w:hAnsi="Arial" w:cs="Arial"/>
                <w:i/>
                <w:sz w:val="20"/>
                <w:szCs w:val="20"/>
              </w:rPr>
              <w:t>P</w:t>
            </w:r>
            <w:r w:rsidRPr="006F76E6">
              <w:rPr>
                <w:rFonts w:ascii="Arial" w:hAnsi="Arial" w:cs="Arial"/>
                <w:sz w:val="20"/>
                <w:szCs w:val="20"/>
              </w:rPr>
              <w:t xml:space="preserve"> &lt; 0.05</w:t>
            </w:r>
          </w:p>
        </w:tc>
        <w:tc>
          <w:tcPr>
            <w:tcW w:w="2430" w:type="dxa"/>
            <w:tcBorders>
              <w:bottom w:val="single" w:sz="4" w:space="0" w:color="auto"/>
            </w:tcBorders>
            <w:noWrap/>
            <w:hideMark/>
          </w:tcPr>
          <w:p w14:paraId="24AFFE22" w14:textId="77777777" w:rsidR="006F76E6" w:rsidRPr="006F76E6" w:rsidRDefault="006F76E6" w:rsidP="006F76E6">
            <w:pPr>
              <w:rPr>
                <w:rFonts w:ascii="Arial" w:hAnsi="Arial" w:cs="Arial"/>
                <w:sz w:val="20"/>
                <w:szCs w:val="20"/>
              </w:rPr>
            </w:pPr>
            <w:r w:rsidRPr="006F76E6">
              <w:rPr>
                <w:rFonts w:ascii="Arial" w:hAnsi="Arial" w:cs="Arial"/>
                <w:i/>
                <w:sz w:val="20"/>
                <w:szCs w:val="20"/>
              </w:rPr>
              <w:t>P</w:t>
            </w:r>
            <w:r w:rsidRPr="006F76E6">
              <w:rPr>
                <w:rFonts w:ascii="Arial" w:hAnsi="Arial" w:cs="Arial"/>
                <w:sz w:val="20"/>
                <w:szCs w:val="20"/>
              </w:rPr>
              <w:t xml:space="preserve"> &lt; 0.05</w:t>
            </w:r>
          </w:p>
        </w:tc>
      </w:tr>
    </w:tbl>
    <w:p w14:paraId="59228282" w14:textId="77777777" w:rsidR="006F76E6" w:rsidRPr="005F2DCC" w:rsidRDefault="006F76E6" w:rsidP="006F76E6">
      <w:pPr>
        <w:spacing w:before="240" w:after="160"/>
        <w:jc w:val="both"/>
        <w:rPr>
          <w:rFonts w:ascii="Arial" w:eastAsia="Calibri" w:hAnsi="Arial" w:cs="Arial"/>
          <w:vertAlign w:val="superscript"/>
        </w:rPr>
      </w:pPr>
      <w:r w:rsidRPr="005F2DCC">
        <w:rPr>
          <w:rFonts w:ascii="Arial" w:eastAsia="Calibri" w:hAnsi="Arial" w:cs="Arial"/>
          <w:vertAlign w:val="superscript"/>
        </w:rPr>
        <w:t xml:space="preserve">*Data expressed as Mean ± S.E. values within the same column with different superscript are significant at </w:t>
      </w:r>
      <w:r w:rsidRPr="005F2DCC">
        <w:rPr>
          <w:rFonts w:ascii="Arial" w:eastAsia="Calibri" w:hAnsi="Arial" w:cs="Arial"/>
          <w:i/>
          <w:vertAlign w:val="superscript"/>
        </w:rPr>
        <w:t>P</w:t>
      </w:r>
      <w:r>
        <w:rPr>
          <w:rFonts w:ascii="Arial" w:eastAsia="Calibri" w:hAnsi="Arial" w:cs="Arial"/>
          <w:i/>
          <w:vertAlign w:val="superscript"/>
        </w:rPr>
        <w:t xml:space="preserve"> </w:t>
      </w:r>
      <w:r w:rsidRPr="005F2DCC">
        <w:rPr>
          <w:rFonts w:ascii="Arial" w:eastAsia="Calibri" w:hAnsi="Arial" w:cs="Arial"/>
          <w:vertAlign w:val="superscript"/>
        </w:rPr>
        <w:t>&lt; 0.05 levels of probability.</w:t>
      </w:r>
    </w:p>
    <w:p w14:paraId="1BF58939" w14:textId="77777777" w:rsidR="006F76E6" w:rsidRPr="006F76E6" w:rsidRDefault="006F76E6" w:rsidP="006F76E6">
      <w:pPr>
        <w:pStyle w:val="Body"/>
        <w:rPr>
          <w:rFonts w:ascii="Arial" w:hAnsi="Arial" w:cs="Arial"/>
          <w:b/>
          <w:bCs/>
          <w:iCs/>
          <w:sz w:val="22"/>
        </w:rPr>
      </w:pPr>
      <w:r>
        <w:rPr>
          <w:rFonts w:ascii="Arial" w:hAnsi="Arial" w:cs="Arial"/>
          <w:b/>
          <w:caps/>
          <w:sz w:val="22"/>
        </w:rPr>
        <w:t xml:space="preserve">3.3 </w:t>
      </w:r>
      <w:r w:rsidRPr="006F76E6">
        <w:rPr>
          <w:rFonts w:ascii="Arial" w:hAnsi="Arial" w:cs="Arial"/>
          <w:b/>
          <w:bCs/>
          <w:iCs/>
          <w:sz w:val="22"/>
        </w:rPr>
        <w:t>Thermochemical properties</w:t>
      </w:r>
    </w:p>
    <w:p w14:paraId="359E1AF0" w14:textId="77777777" w:rsidR="006F76E6" w:rsidRPr="009263D6" w:rsidRDefault="006F76E6" w:rsidP="006F76E6">
      <w:pPr>
        <w:spacing w:before="100" w:beforeAutospacing="1" w:after="100" w:afterAutospacing="1"/>
        <w:ind w:right="571"/>
        <w:jc w:val="both"/>
        <w:rPr>
          <w:rFonts w:ascii="Arial" w:hAnsi="Arial" w:cs="Arial"/>
          <w:b/>
          <w:bCs/>
          <w:iCs/>
          <w:sz w:val="22"/>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3.1 </w:t>
      </w:r>
      <w:r w:rsidRPr="006F76E6">
        <w:rPr>
          <w:rFonts w:ascii="Arial" w:hAnsi="Arial" w:cs="Arial"/>
          <w:b/>
          <w:bCs/>
          <w:u w:val="single"/>
        </w:rPr>
        <w:t>Ash content (%)</w:t>
      </w:r>
    </w:p>
    <w:p w14:paraId="0D7C2AC1" w14:textId="77777777" w:rsidR="006F76E6" w:rsidRDefault="006F76E6" w:rsidP="006F76E6">
      <w:pPr>
        <w:pStyle w:val="Body"/>
        <w:spacing w:after="0"/>
        <w:rPr>
          <w:rFonts w:ascii="Arial" w:hAnsi="Arial" w:cs="Arial"/>
        </w:rPr>
      </w:pPr>
      <w:r w:rsidRPr="006F76E6">
        <w:rPr>
          <w:rFonts w:ascii="Arial" w:hAnsi="Arial" w:cs="Arial"/>
        </w:rPr>
        <w:t xml:space="preserve">Considerable variation in </w:t>
      </w:r>
      <w:r w:rsidRPr="006F76E6">
        <w:rPr>
          <w:rFonts w:ascii="Arial" w:hAnsi="Arial" w:cs="Arial"/>
          <w:bCs/>
        </w:rPr>
        <w:t>ash content</w:t>
      </w:r>
      <w:r w:rsidRPr="006F76E6">
        <w:rPr>
          <w:rFonts w:ascii="Arial" w:hAnsi="Arial" w:cs="Arial"/>
        </w:rPr>
        <w:t xml:space="preserve"> was observed among the mulberry clones, indicating differences in the </w:t>
      </w:r>
      <w:r w:rsidRPr="006F76E6">
        <w:rPr>
          <w:rFonts w:ascii="Arial" w:hAnsi="Arial" w:cs="Arial"/>
          <w:bCs/>
        </w:rPr>
        <w:t>inorganic matter</w:t>
      </w:r>
      <w:r w:rsidRPr="006F76E6">
        <w:rPr>
          <w:rFonts w:ascii="Arial" w:hAnsi="Arial" w:cs="Arial"/>
        </w:rPr>
        <w:t xml:space="preserve"> remaining post-combustion. The </w:t>
      </w:r>
      <w:r w:rsidRPr="006F76E6">
        <w:rPr>
          <w:rFonts w:ascii="Arial" w:hAnsi="Arial" w:cs="Arial"/>
          <w:bCs/>
        </w:rPr>
        <w:t>highest ash content</w:t>
      </w:r>
      <w:r w:rsidRPr="006F76E6">
        <w:rPr>
          <w:rFonts w:ascii="Arial" w:hAnsi="Arial" w:cs="Arial"/>
        </w:rPr>
        <w:t xml:space="preserve"> was recorded in clone </w:t>
      </w:r>
      <w:r w:rsidRPr="006F76E6">
        <w:rPr>
          <w:rFonts w:ascii="Arial" w:hAnsi="Arial" w:cs="Arial"/>
          <w:bCs/>
        </w:rPr>
        <w:t>MI-0632</w:t>
      </w:r>
      <w:r w:rsidRPr="006F76E6">
        <w:rPr>
          <w:rFonts w:ascii="Arial" w:hAnsi="Arial" w:cs="Arial"/>
        </w:rPr>
        <w:t xml:space="preserve"> (</w:t>
      </w:r>
      <w:r w:rsidRPr="006F76E6">
        <w:rPr>
          <w:rFonts w:ascii="Arial" w:hAnsi="Arial" w:cs="Arial"/>
          <w:bCs/>
        </w:rPr>
        <w:t>2.46% ± 0.02%</w:t>
      </w:r>
      <w:r w:rsidR="00696869">
        <w:rPr>
          <w:rFonts w:ascii="Arial" w:hAnsi="Arial" w:cs="Arial"/>
        </w:rPr>
        <w:t>) (Fig.2</w:t>
      </w:r>
      <w:r w:rsidRPr="006F76E6">
        <w:rPr>
          <w:rFonts w:ascii="Arial" w:hAnsi="Arial" w:cs="Arial"/>
        </w:rPr>
        <w:t xml:space="preserve">), reflecting a greater accumulation of </w:t>
      </w:r>
      <w:r w:rsidRPr="006F76E6">
        <w:rPr>
          <w:rFonts w:ascii="Arial" w:hAnsi="Arial" w:cs="Arial"/>
          <w:bCs/>
        </w:rPr>
        <w:t>non-combustible mineral residues</w:t>
      </w:r>
      <w:r w:rsidRPr="006F76E6">
        <w:rPr>
          <w:rFonts w:ascii="Arial" w:hAnsi="Arial" w:cs="Arial"/>
        </w:rPr>
        <w:t xml:space="preserve">. In contrast, clone </w:t>
      </w:r>
      <w:r w:rsidRPr="006F76E6">
        <w:rPr>
          <w:rFonts w:ascii="Arial" w:hAnsi="Arial" w:cs="Arial"/>
          <w:bCs/>
        </w:rPr>
        <w:t>MI-0674</w:t>
      </w:r>
      <w:r w:rsidRPr="006F76E6">
        <w:rPr>
          <w:rFonts w:ascii="Arial" w:hAnsi="Arial" w:cs="Arial"/>
        </w:rPr>
        <w:t xml:space="preserve"> exhibited the </w:t>
      </w:r>
      <w:r w:rsidRPr="006F76E6">
        <w:rPr>
          <w:rFonts w:ascii="Arial" w:hAnsi="Arial" w:cs="Arial"/>
          <w:bCs/>
        </w:rPr>
        <w:t>lowest ash content</w:t>
      </w:r>
      <w:r w:rsidRPr="006F76E6">
        <w:rPr>
          <w:rFonts w:ascii="Arial" w:hAnsi="Arial" w:cs="Arial"/>
        </w:rPr>
        <w:t xml:space="preserve"> (</w:t>
      </w:r>
      <w:r w:rsidRPr="006F76E6">
        <w:rPr>
          <w:rFonts w:ascii="Arial" w:hAnsi="Arial" w:cs="Arial"/>
          <w:bCs/>
        </w:rPr>
        <w:t>0.69% ± 0.08%</w:t>
      </w:r>
      <w:r w:rsidR="00714F92">
        <w:rPr>
          <w:rFonts w:ascii="Arial" w:hAnsi="Arial" w:cs="Arial"/>
        </w:rPr>
        <w:t>) (Fig.2</w:t>
      </w:r>
      <w:r w:rsidRPr="006F76E6">
        <w:rPr>
          <w:rFonts w:ascii="Arial" w:hAnsi="Arial" w:cs="Arial"/>
        </w:rPr>
        <w:t xml:space="preserve">), suggesting superior combustion characteristics with </w:t>
      </w:r>
      <w:r w:rsidRPr="006F76E6">
        <w:rPr>
          <w:rFonts w:ascii="Arial" w:hAnsi="Arial" w:cs="Arial"/>
          <w:bCs/>
        </w:rPr>
        <w:t>minimal residual ash</w:t>
      </w:r>
      <w:r w:rsidRPr="006F76E6">
        <w:rPr>
          <w:rFonts w:ascii="Arial" w:hAnsi="Arial" w:cs="Arial"/>
        </w:rPr>
        <w:t xml:space="preserve">. The </w:t>
      </w:r>
      <w:r w:rsidRPr="006F76E6">
        <w:rPr>
          <w:rFonts w:ascii="Arial" w:hAnsi="Arial" w:cs="Arial"/>
          <w:bCs/>
        </w:rPr>
        <w:t>average ash content</w:t>
      </w:r>
      <w:r w:rsidRPr="006F76E6">
        <w:rPr>
          <w:rFonts w:ascii="Arial" w:hAnsi="Arial" w:cs="Arial"/>
        </w:rPr>
        <w:t xml:space="preserve"> across all clones was </w:t>
      </w:r>
      <w:r w:rsidRPr="006F76E6">
        <w:rPr>
          <w:rFonts w:ascii="Arial" w:hAnsi="Arial" w:cs="Arial"/>
          <w:bCs/>
        </w:rPr>
        <w:t>1.25%</w:t>
      </w:r>
      <w:r w:rsidRPr="006F76E6">
        <w:rPr>
          <w:rFonts w:ascii="Arial" w:hAnsi="Arial" w:cs="Arial"/>
        </w:rPr>
        <w:t xml:space="preserve">, and the differences were found to be </w:t>
      </w:r>
      <w:r w:rsidRPr="006F76E6">
        <w:rPr>
          <w:rFonts w:ascii="Arial" w:hAnsi="Arial" w:cs="Arial"/>
          <w:bCs/>
        </w:rPr>
        <w:t>statistically significant (</w:t>
      </w:r>
      <w:r w:rsidRPr="00696869">
        <w:rPr>
          <w:rFonts w:ascii="Arial" w:hAnsi="Arial" w:cs="Arial"/>
          <w:bCs/>
          <w:i/>
        </w:rPr>
        <w:t>P</w:t>
      </w:r>
      <w:r w:rsidRPr="006F76E6">
        <w:rPr>
          <w:rFonts w:ascii="Arial" w:hAnsi="Arial" w:cs="Arial"/>
          <w:bCs/>
        </w:rPr>
        <w:t xml:space="preserve"> &lt; 0.05)</w:t>
      </w:r>
      <w:r w:rsidRPr="006F76E6">
        <w:rPr>
          <w:rFonts w:ascii="Arial" w:hAnsi="Arial" w:cs="Arial"/>
        </w:rPr>
        <w:t xml:space="preserve">, confirming </w:t>
      </w:r>
      <w:r w:rsidRPr="006F76E6">
        <w:rPr>
          <w:rFonts w:ascii="Arial" w:hAnsi="Arial" w:cs="Arial"/>
          <w:bCs/>
        </w:rPr>
        <w:t>substantial inter-clonal variability</w:t>
      </w:r>
      <w:r w:rsidRPr="006F76E6">
        <w:rPr>
          <w:rFonts w:ascii="Arial" w:hAnsi="Arial" w:cs="Arial"/>
        </w:rPr>
        <w:t xml:space="preserve"> in mineral composition.</w:t>
      </w:r>
    </w:p>
    <w:p w14:paraId="6F80DF1D" w14:textId="77777777" w:rsidR="00696869" w:rsidRPr="006F76E6" w:rsidRDefault="00696869" w:rsidP="006F76E6">
      <w:pPr>
        <w:pStyle w:val="Body"/>
        <w:spacing w:after="0"/>
        <w:rPr>
          <w:rFonts w:ascii="Arial" w:hAnsi="Arial" w:cs="Arial"/>
        </w:rPr>
      </w:pPr>
      <w:r>
        <w:rPr>
          <w:noProof/>
        </w:rPr>
        <w:lastRenderedPageBreak/>
        <w:drawing>
          <wp:anchor distT="0" distB="0" distL="114300" distR="114300" simplePos="0" relativeHeight="251661312" behindDoc="1" locked="0" layoutInCell="1" allowOverlap="1" wp14:anchorId="1CAA652A" wp14:editId="4FF7B308">
            <wp:simplePos x="0" y="0"/>
            <wp:positionH relativeFrom="margin">
              <wp:posOffset>323850</wp:posOffset>
            </wp:positionH>
            <wp:positionV relativeFrom="paragraph">
              <wp:posOffset>132715</wp:posOffset>
            </wp:positionV>
            <wp:extent cx="4572000" cy="2114550"/>
            <wp:effectExtent l="0" t="0" r="0" b="0"/>
            <wp:wrapTight wrapText="bothSides">
              <wp:wrapPolygon edited="0">
                <wp:start x="0" y="0"/>
                <wp:lineTo x="0" y="21405"/>
                <wp:lineTo x="21510" y="21405"/>
                <wp:lineTo x="21510"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3DFC53CC" w14:textId="77777777" w:rsidR="00696869" w:rsidRDefault="00696869" w:rsidP="00F81711">
      <w:pPr>
        <w:pStyle w:val="Body"/>
        <w:spacing w:after="0"/>
        <w:rPr>
          <w:rFonts w:ascii="Arial" w:hAnsi="Arial" w:cs="Arial"/>
        </w:rPr>
      </w:pPr>
    </w:p>
    <w:p w14:paraId="1427811E" w14:textId="77777777" w:rsidR="00696869" w:rsidRDefault="00696869" w:rsidP="00F81711">
      <w:pPr>
        <w:pStyle w:val="Body"/>
        <w:spacing w:after="0"/>
        <w:rPr>
          <w:rFonts w:ascii="Arial" w:hAnsi="Arial" w:cs="Arial"/>
        </w:rPr>
      </w:pPr>
    </w:p>
    <w:p w14:paraId="4A9124BA" w14:textId="77777777" w:rsidR="00696869" w:rsidRDefault="00696869" w:rsidP="00F81711">
      <w:pPr>
        <w:pStyle w:val="Body"/>
        <w:spacing w:after="0"/>
        <w:rPr>
          <w:rFonts w:ascii="Arial" w:hAnsi="Arial" w:cs="Arial"/>
        </w:rPr>
      </w:pPr>
    </w:p>
    <w:p w14:paraId="3D3AE2B1" w14:textId="77777777" w:rsidR="00696869" w:rsidRDefault="00696869" w:rsidP="00F81711">
      <w:pPr>
        <w:pStyle w:val="Body"/>
        <w:spacing w:after="0"/>
        <w:rPr>
          <w:rFonts w:ascii="Arial" w:hAnsi="Arial" w:cs="Arial"/>
        </w:rPr>
      </w:pPr>
    </w:p>
    <w:p w14:paraId="17176217" w14:textId="77777777" w:rsidR="00696869" w:rsidRDefault="00696869" w:rsidP="00F81711">
      <w:pPr>
        <w:pStyle w:val="Body"/>
        <w:spacing w:after="0"/>
        <w:rPr>
          <w:rFonts w:ascii="Arial" w:hAnsi="Arial" w:cs="Arial"/>
        </w:rPr>
      </w:pPr>
    </w:p>
    <w:p w14:paraId="771AD243" w14:textId="77777777" w:rsidR="00696869" w:rsidRDefault="00696869" w:rsidP="00F81711">
      <w:pPr>
        <w:pStyle w:val="Body"/>
        <w:spacing w:after="0"/>
        <w:rPr>
          <w:rFonts w:ascii="Arial" w:hAnsi="Arial" w:cs="Arial"/>
        </w:rPr>
      </w:pPr>
    </w:p>
    <w:p w14:paraId="5B01403C" w14:textId="77777777" w:rsidR="00696869" w:rsidRDefault="00696869" w:rsidP="00F81711">
      <w:pPr>
        <w:pStyle w:val="Body"/>
        <w:spacing w:after="0"/>
        <w:rPr>
          <w:rFonts w:ascii="Arial" w:hAnsi="Arial" w:cs="Arial"/>
        </w:rPr>
      </w:pPr>
    </w:p>
    <w:p w14:paraId="5A0A2D37" w14:textId="77777777" w:rsidR="00696869" w:rsidRDefault="00696869" w:rsidP="00F81711">
      <w:pPr>
        <w:pStyle w:val="Body"/>
        <w:spacing w:after="0"/>
        <w:rPr>
          <w:rFonts w:ascii="Arial" w:hAnsi="Arial" w:cs="Arial"/>
        </w:rPr>
      </w:pPr>
    </w:p>
    <w:p w14:paraId="537574A4" w14:textId="77777777" w:rsidR="00696869" w:rsidRDefault="00696869" w:rsidP="00F81711">
      <w:pPr>
        <w:pStyle w:val="Body"/>
        <w:spacing w:after="0"/>
        <w:rPr>
          <w:rFonts w:ascii="Arial" w:hAnsi="Arial" w:cs="Arial"/>
        </w:rPr>
      </w:pPr>
    </w:p>
    <w:p w14:paraId="5C08935D" w14:textId="77777777" w:rsidR="00696869" w:rsidRDefault="00696869" w:rsidP="00F81711">
      <w:pPr>
        <w:pStyle w:val="Body"/>
        <w:spacing w:after="0"/>
        <w:rPr>
          <w:rFonts w:ascii="Arial" w:hAnsi="Arial" w:cs="Arial"/>
        </w:rPr>
      </w:pPr>
    </w:p>
    <w:p w14:paraId="500A442E" w14:textId="77777777" w:rsidR="00696869" w:rsidRDefault="00696869" w:rsidP="00F81711">
      <w:pPr>
        <w:pStyle w:val="Body"/>
        <w:spacing w:after="0"/>
        <w:rPr>
          <w:rFonts w:ascii="Arial" w:hAnsi="Arial" w:cs="Arial"/>
        </w:rPr>
      </w:pPr>
    </w:p>
    <w:p w14:paraId="34E67A0B" w14:textId="77777777" w:rsidR="00696869" w:rsidRDefault="00696869" w:rsidP="00F81711">
      <w:pPr>
        <w:pStyle w:val="Body"/>
        <w:spacing w:after="0"/>
        <w:rPr>
          <w:rFonts w:ascii="Arial" w:hAnsi="Arial" w:cs="Arial"/>
        </w:rPr>
      </w:pPr>
    </w:p>
    <w:p w14:paraId="08E4CFF7" w14:textId="77777777" w:rsidR="00696869" w:rsidRDefault="00696869" w:rsidP="00F81711">
      <w:pPr>
        <w:pStyle w:val="Body"/>
        <w:spacing w:after="0"/>
        <w:rPr>
          <w:rFonts w:ascii="Arial" w:hAnsi="Arial" w:cs="Arial"/>
        </w:rPr>
      </w:pPr>
    </w:p>
    <w:p w14:paraId="4D0AF3A6" w14:textId="77777777" w:rsidR="00696869" w:rsidRDefault="00696869" w:rsidP="00F81711">
      <w:pPr>
        <w:pStyle w:val="Body"/>
        <w:spacing w:after="0"/>
        <w:rPr>
          <w:rFonts w:ascii="Arial" w:hAnsi="Arial" w:cs="Arial"/>
        </w:rPr>
      </w:pPr>
    </w:p>
    <w:p w14:paraId="3831F4A2" w14:textId="77777777" w:rsidR="00696869" w:rsidRDefault="00696869" w:rsidP="00F81711">
      <w:pPr>
        <w:pStyle w:val="Body"/>
        <w:spacing w:after="0"/>
        <w:rPr>
          <w:rFonts w:ascii="Arial" w:hAnsi="Arial" w:cs="Arial"/>
        </w:rPr>
      </w:pPr>
    </w:p>
    <w:p w14:paraId="6F82AFB5" w14:textId="77777777" w:rsidR="00696869" w:rsidRDefault="00696869" w:rsidP="00696869">
      <w:pPr>
        <w:contextualSpacing/>
        <w:jc w:val="both"/>
        <w:rPr>
          <w:rFonts w:ascii="Arial" w:eastAsia="Calibri" w:hAnsi="Arial" w:cs="Arial"/>
          <w:b/>
          <w:noProof/>
        </w:rPr>
      </w:pPr>
      <w:r w:rsidRPr="00BB760E">
        <w:rPr>
          <w:rFonts w:ascii="Arial" w:eastAsia="Calibri" w:hAnsi="Arial" w:cs="Arial"/>
          <w:b/>
          <w:noProof/>
        </w:rPr>
        <w:t xml:space="preserve">Fig. 2. </w:t>
      </w:r>
      <w:r w:rsidRPr="00696869">
        <w:rPr>
          <w:rFonts w:ascii="Arial" w:eastAsia="Calibri" w:hAnsi="Arial" w:cs="Arial"/>
          <w:b/>
          <w:noProof/>
        </w:rPr>
        <w:t>Ash content of the wood of mulberry clonal genetic resources</w:t>
      </w:r>
    </w:p>
    <w:p w14:paraId="039BB030" w14:textId="77777777" w:rsidR="00696869" w:rsidRPr="00BB760E" w:rsidRDefault="00696869" w:rsidP="00696869">
      <w:pPr>
        <w:contextualSpacing/>
        <w:jc w:val="both"/>
        <w:rPr>
          <w:rFonts w:ascii="Arial" w:eastAsia="Calibri" w:hAnsi="Arial" w:cs="Arial"/>
          <w:b/>
          <w:lang w:val="en-IN"/>
        </w:rPr>
      </w:pPr>
    </w:p>
    <w:p w14:paraId="06C2D79D" w14:textId="77777777" w:rsidR="00696869" w:rsidRDefault="00696869" w:rsidP="00696869">
      <w:pPr>
        <w:pStyle w:val="Body"/>
        <w:spacing w:after="0"/>
        <w:rPr>
          <w:rFonts w:ascii="Arial" w:hAnsi="Arial" w:cs="Arial"/>
        </w:rPr>
      </w:pPr>
      <w:r w:rsidRPr="00696869">
        <w:rPr>
          <w:rFonts w:ascii="Arial" w:hAnsi="Arial" w:cs="Arial"/>
        </w:rPr>
        <w:t xml:space="preserve">Ash content is a critical factor in determining the suitability of fuelwood for combustion, as higher ash content can negatively impact the combustion process by leaving behind non-combustible residues, thereby reducing the overall energy efficiency of </w:t>
      </w:r>
      <w:r w:rsidRPr="00714F92">
        <w:rPr>
          <w:rFonts w:ascii="Arial" w:hAnsi="Arial" w:cs="Arial"/>
        </w:rPr>
        <w:t xml:space="preserve">the fuel (Kumar </w:t>
      </w:r>
      <w:r w:rsidRPr="00714F92">
        <w:rPr>
          <w:rFonts w:ascii="Arial" w:hAnsi="Arial" w:cs="Arial"/>
          <w:i/>
        </w:rPr>
        <w:t>et al.,</w:t>
      </w:r>
      <w:r w:rsidRPr="00714F92">
        <w:rPr>
          <w:rFonts w:ascii="Arial" w:hAnsi="Arial" w:cs="Arial"/>
        </w:rPr>
        <w:t xml:space="preserve"> 2011). In the present study, the ash content varied among the mulberry clones, with clone</w:t>
      </w:r>
      <w:r w:rsidRPr="00696869">
        <w:rPr>
          <w:rFonts w:ascii="Arial" w:hAnsi="Arial" w:cs="Arial"/>
        </w:rPr>
        <w:t xml:space="preserve"> MI- 0632 exhibiting the highest ash content at 2.46%, while clone MI- 0674 had the lowest at 0.69%. These findings are consistent with the </w:t>
      </w:r>
      <w:r w:rsidRPr="0053674F">
        <w:rPr>
          <w:rFonts w:ascii="Arial" w:hAnsi="Arial" w:cs="Arial"/>
        </w:rPr>
        <w:t xml:space="preserve">recommendations of Dai </w:t>
      </w:r>
      <w:r w:rsidRPr="0053674F">
        <w:rPr>
          <w:rFonts w:ascii="Arial" w:hAnsi="Arial" w:cs="Arial"/>
          <w:i/>
        </w:rPr>
        <w:t>et al.</w:t>
      </w:r>
      <w:r w:rsidRPr="0053674F">
        <w:rPr>
          <w:rFonts w:ascii="Arial" w:hAnsi="Arial" w:cs="Arial"/>
        </w:rPr>
        <w:t xml:space="preserve"> (2015), who</w:t>
      </w:r>
      <w:r w:rsidRPr="00696869">
        <w:rPr>
          <w:rFonts w:ascii="Arial" w:hAnsi="Arial" w:cs="Arial"/>
        </w:rPr>
        <w:t xml:space="preserve"> suggested that the ash content of woody biomass fuels should ideally be below 2.5% to ensure optimal combustion performance. The results also align with previous studies by </w:t>
      </w:r>
      <w:r w:rsidRPr="00714F92">
        <w:rPr>
          <w:rFonts w:ascii="Arial" w:hAnsi="Arial" w:cs="Arial"/>
        </w:rPr>
        <w:t>Goswami and Das (2020),</w:t>
      </w:r>
      <w:r w:rsidRPr="00696869">
        <w:rPr>
          <w:rFonts w:ascii="Arial" w:hAnsi="Arial" w:cs="Arial"/>
        </w:rPr>
        <w:t xml:space="preserve"> who reported an ash content of 2.21% in </w:t>
      </w:r>
      <w:r w:rsidRPr="0053674F">
        <w:rPr>
          <w:rFonts w:ascii="Arial" w:hAnsi="Arial" w:cs="Arial"/>
        </w:rPr>
        <w:t xml:space="preserve">mulberry, and Baqir </w:t>
      </w:r>
      <w:r w:rsidRPr="0053674F">
        <w:rPr>
          <w:rFonts w:ascii="Arial" w:hAnsi="Arial" w:cs="Arial"/>
          <w:i/>
        </w:rPr>
        <w:t>et al.,</w:t>
      </w:r>
      <w:r w:rsidRPr="0053674F">
        <w:rPr>
          <w:rFonts w:ascii="Arial" w:hAnsi="Arial" w:cs="Arial"/>
        </w:rPr>
        <w:t xml:space="preserve"> (2019),</w:t>
      </w:r>
      <w:r w:rsidRPr="00696869">
        <w:rPr>
          <w:rFonts w:ascii="Arial" w:hAnsi="Arial" w:cs="Arial"/>
        </w:rPr>
        <w:t xml:space="preserve"> who observed ash content ranging from 0.82% to 2.81% across 12 wood species. Similar observations were made </w:t>
      </w:r>
      <w:r w:rsidRPr="00714F92">
        <w:rPr>
          <w:rFonts w:ascii="Arial" w:hAnsi="Arial" w:cs="Arial"/>
        </w:rPr>
        <w:t>by Nabi</w:t>
      </w:r>
      <w:r w:rsidRPr="00714F92">
        <w:rPr>
          <w:rFonts w:ascii="Arial" w:hAnsi="Arial" w:cs="Arial"/>
          <w:i/>
        </w:rPr>
        <w:t xml:space="preserve"> et al.,</w:t>
      </w:r>
      <w:r w:rsidRPr="00714F92">
        <w:rPr>
          <w:rFonts w:ascii="Arial" w:hAnsi="Arial" w:cs="Arial"/>
        </w:rPr>
        <w:t xml:space="preserve"> (2017) in key tree</w:t>
      </w:r>
      <w:r w:rsidRPr="00696869">
        <w:rPr>
          <w:rFonts w:ascii="Arial" w:hAnsi="Arial" w:cs="Arial"/>
        </w:rPr>
        <w:t xml:space="preserve"> species of the Kashmir Valley. The consistency of these findings with the literature further validates the current results, emphasizing the importance of selecting clones with lower ash content for improved fuelwood quality and combustion efficiency.</w:t>
      </w:r>
    </w:p>
    <w:p w14:paraId="38B04075" w14:textId="77777777" w:rsidR="000B61ED" w:rsidRDefault="000B61ED" w:rsidP="00696869">
      <w:pPr>
        <w:pStyle w:val="Body"/>
        <w:spacing w:after="0"/>
        <w:rPr>
          <w:rFonts w:ascii="Arial" w:hAnsi="Arial" w:cs="Arial"/>
        </w:rPr>
      </w:pPr>
    </w:p>
    <w:p w14:paraId="5CA5ABC8" w14:textId="77777777" w:rsidR="000B61ED" w:rsidRPr="00696869" w:rsidRDefault="000B61ED" w:rsidP="00696869">
      <w:pPr>
        <w:pStyle w:val="Body"/>
        <w:spacing w:after="0"/>
        <w:rPr>
          <w:rFonts w:ascii="Arial" w:hAnsi="Arial" w:cs="Arial"/>
        </w:rPr>
      </w:pPr>
    </w:p>
    <w:p w14:paraId="7BD66205" w14:textId="77777777" w:rsidR="00696869" w:rsidRDefault="00696869" w:rsidP="00696869">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3.2 </w:t>
      </w:r>
      <w:r w:rsidRPr="00696869">
        <w:rPr>
          <w:rFonts w:ascii="Arial" w:hAnsi="Arial" w:cs="Arial"/>
          <w:b/>
          <w:bCs/>
          <w:u w:val="single"/>
        </w:rPr>
        <w:t>Volatile matter (%)</w:t>
      </w:r>
    </w:p>
    <w:p w14:paraId="6A7B5EA9" w14:textId="77777777" w:rsidR="00696869" w:rsidRDefault="00696869" w:rsidP="00696869">
      <w:pPr>
        <w:pStyle w:val="Body"/>
        <w:spacing w:after="0"/>
        <w:rPr>
          <w:rFonts w:ascii="Arial" w:hAnsi="Arial" w:cs="Arial"/>
        </w:rPr>
      </w:pPr>
      <w:r w:rsidRPr="00696869">
        <w:rPr>
          <w:rFonts w:ascii="Arial" w:hAnsi="Arial" w:cs="Arial"/>
        </w:rPr>
        <w:t>The percentage of volatile matter, representing the fraction of biomass that vaporizes upon thermal exposure, exhibited noticeable diversity among the studied clones, as illustrated in Fig.</w:t>
      </w:r>
      <w:r>
        <w:rPr>
          <w:rFonts w:ascii="Arial" w:hAnsi="Arial" w:cs="Arial"/>
        </w:rPr>
        <w:t xml:space="preserve"> 3</w:t>
      </w:r>
      <w:r w:rsidRPr="00696869">
        <w:rPr>
          <w:rFonts w:ascii="Arial" w:hAnsi="Arial" w:cs="Arial"/>
        </w:rPr>
        <w:t>. The highest level was identified in clone MI-0828, which released 87.48% ± 0.08%</w:t>
      </w:r>
      <w:r>
        <w:rPr>
          <w:rFonts w:ascii="Arial" w:hAnsi="Arial" w:cs="Arial"/>
        </w:rPr>
        <w:t xml:space="preserve"> (Fig.3</w:t>
      </w:r>
      <w:r w:rsidRPr="00696869">
        <w:rPr>
          <w:rFonts w:ascii="Arial" w:hAnsi="Arial" w:cs="Arial"/>
        </w:rPr>
        <w:t>) of its mass as volatile compounds, highlighting its elevated proportion of thermally responsive constituents. In contrast, clone MI-0632 retained more of its mass under heat, with a comparatively lower volatile matter value of 81.48% ± 0.18%</w:t>
      </w:r>
      <w:r>
        <w:rPr>
          <w:rFonts w:ascii="Arial" w:hAnsi="Arial" w:cs="Arial"/>
        </w:rPr>
        <w:t xml:space="preserve"> (Fig.3</w:t>
      </w:r>
      <w:r w:rsidRPr="00696869">
        <w:rPr>
          <w:rFonts w:ascii="Arial" w:hAnsi="Arial" w:cs="Arial"/>
        </w:rPr>
        <w:t>), suggesting enhanced thermal resistance. The overall mean volatile content was 82.99%, and the observed differences were statistically significant (</w:t>
      </w:r>
      <w:r w:rsidRPr="00696869">
        <w:rPr>
          <w:rFonts w:ascii="Arial" w:hAnsi="Arial" w:cs="Arial"/>
          <w:i/>
        </w:rPr>
        <w:t>P</w:t>
      </w:r>
      <w:r w:rsidRPr="00696869">
        <w:rPr>
          <w:rFonts w:ascii="Arial" w:hAnsi="Arial" w:cs="Arial"/>
        </w:rPr>
        <w:t xml:space="preserve"> &lt; 0.05), reinforcing the presence of substantial compositional variation across genotypes.</w:t>
      </w:r>
    </w:p>
    <w:p w14:paraId="19EB7B8C" w14:textId="77777777" w:rsidR="00941A38" w:rsidRDefault="00941A38" w:rsidP="00696869">
      <w:pPr>
        <w:pStyle w:val="Body"/>
        <w:spacing w:after="0"/>
        <w:rPr>
          <w:rFonts w:ascii="Arial" w:hAnsi="Arial" w:cs="Arial"/>
        </w:rPr>
      </w:pPr>
    </w:p>
    <w:p w14:paraId="79EF70E3" w14:textId="77777777" w:rsidR="00696869" w:rsidRDefault="00696869" w:rsidP="00696869">
      <w:pPr>
        <w:pStyle w:val="Body"/>
        <w:spacing w:after="0"/>
        <w:rPr>
          <w:rFonts w:ascii="Arial" w:hAnsi="Arial" w:cs="Arial"/>
        </w:rPr>
      </w:pPr>
      <w:r>
        <w:rPr>
          <w:noProof/>
        </w:rPr>
        <w:lastRenderedPageBreak/>
        <w:drawing>
          <wp:inline distT="0" distB="0" distL="0" distR="0" wp14:anchorId="6C9C0B47" wp14:editId="396986AC">
            <wp:extent cx="4803775" cy="2292985"/>
            <wp:effectExtent l="0" t="0" r="15875"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CABC28" w14:textId="77777777" w:rsidR="00941A38" w:rsidRDefault="00941A38" w:rsidP="00941A38">
      <w:pPr>
        <w:contextualSpacing/>
        <w:jc w:val="both"/>
        <w:rPr>
          <w:rFonts w:ascii="Arial" w:eastAsia="Calibri" w:hAnsi="Arial" w:cs="Arial"/>
          <w:b/>
          <w:noProof/>
        </w:rPr>
      </w:pPr>
      <w:r>
        <w:rPr>
          <w:rFonts w:ascii="Arial" w:eastAsia="Calibri" w:hAnsi="Arial" w:cs="Arial"/>
          <w:b/>
          <w:noProof/>
        </w:rPr>
        <w:t>Fig. 3</w:t>
      </w:r>
      <w:r w:rsidRPr="00BB760E">
        <w:rPr>
          <w:rFonts w:ascii="Arial" w:eastAsia="Calibri" w:hAnsi="Arial" w:cs="Arial"/>
          <w:b/>
          <w:noProof/>
        </w:rPr>
        <w:t xml:space="preserve">. </w:t>
      </w:r>
      <w:r w:rsidRPr="00941A38">
        <w:rPr>
          <w:rFonts w:ascii="Arial" w:eastAsia="Calibri" w:hAnsi="Arial" w:cs="Arial"/>
          <w:b/>
          <w:bCs/>
          <w:noProof/>
        </w:rPr>
        <w:t>Volatile matter composition of the wood of mulberry clonal genetic resources</w:t>
      </w:r>
    </w:p>
    <w:p w14:paraId="09A148F0" w14:textId="77777777" w:rsidR="00941A38" w:rsidRPr="00696869" w:rsidRDefault="00941A38" w:rsidP="00696869">
      <w:pPr>
        <w:pStyle w:val="Body"/>
        <w:spacing w:after="0"/>
        <w:rPr>
          <w:rFonts w:ascii="Arial" w:hAnsi="Arial" w:cs="Arial"/>
        </w:rPr>
      </w:pPr>
    </w:p>
    <w:p w14:paraId="0B77E327" w14:textId="440F3BBA" w:rsidR="00941A38" w:rsidRDefault="00941A38" w:rsidP="00941A38">
      <w:pPr>
        <w:pStyle w:val="Body"/>
        <w:spacing w:after="0"/>
        <w:rPr>
          <w:rFonts w:ascii="Arial" w:hAnsi="Arial" w:cs="Arial"/>
        </w:rPr>
      </w:pPr>
      <w:r w:rsidRPr="00941A38">
        <w:rPr>
          <w:rFonts w:ascii="Arial" w:hAnsi="Arial" w:cs="Arial"/>
        </w:rPr>
        <w:t xml:space="preserve">The volatile matter content in biomass is a crucial determinant of its combustion characteristics, as higher volatile content tends to lower the ignition temperature and enhance combustion reactivity, thereby improving the efficiency of the </w:t>
      </w:r>
      <w:r w:rsidRPr="00073863">
        <w:rPr>
          <w:rFonts w:ascii="Arial" w:hAnsi="Arial" w:cs="Arial"/>
        </w:rPr>
        <w:t xml:space="preserve">fuel (Marques </w:t>
      </w:r>
      <w:r w:rsidRPr="00073863">
        <w:rPr>
          <w:rFonts w:ascii="Arial" w:hAnsi="Arial" w:cs="Arial"/>
          <w:i/>
        </w:rPr>
        <w:t>et al.,</w:t>
      </w:r>
      <w:r w:rsidRPr="00073863">
        <w:rPr>
          <w:rFonts w:ascii="Arial" w:hAnsi="Arial" w:cs="Arial"/>
        </w:rPr>
        <w:t xml:space="preserve"> 2020). In</w:t>
      </w:r>
      <w:r w:rsidRPr="00941A38">
        <w:rPr>
          <w:rFonts w:ascii="Arial" w:hAnsi="Arial" w:cs="Arial"/>
        </w:rPr>
        <w:t xml:space="preserve"> this study, the volatile matter content among the mulberry clones ranged from 81.48% in MI-0632 to 87.48% in MI-</w:t>
      </w:r>
      <w:r w:rsidRPr="00857493">
        <w:rPr>
          <w:rFonts w:ascii="Arial" w:hAnsi="Arial" w:cs="Arial"/>
          <w:highlight w:val="yellow"/>
        </w:rPr>
        <w:t xml:space="preserve">0828, </w:t>
      </w:r>
      <w:r w:rsidR="00C073C9" w:rsidRPr="00857493">
        <w:rPr>
          <w:rFonts w:ascii="Arial" w:hAnsi="Arial" w:cs="Arial"/>
          <w:highlight w:val="yellow"/>
        </w:rPr>
        <w:t xml:space="preserve">which </w:t>
      </w:r>
      <w:r w:rsidRPr="00857493">
        <w:rPr>
          <w:rFonts w:ascii="Arial" w:hAnsi="Arial" w:cs="Arial"/>
          <w:highlight w:val="yellow"/>
        </w:rPr>
        <w:t>falls within</w:t>
      </w:r>
      <w:r w:rsidRPr="00941A38">
        <w:rPr>
          <w:rFonts w:ascii="Arial" w:hAnsi="Arial" w:cs="Arial"/>
        </w:rPr>
        <w:t xml:space="preserve"> the optimal range for woody biomass fuel, </w:t>
      </w:r>
      <w:r w:rsidRPr="0053674F">
        <w:rPr>
          <w:rFonts w:ascii="Arial" w:hAnsi="Arial" w:cs="Arial"/>
        </w:rPr>
        <w:t xml:space="preserve">which Dai </w:t>
      </w:r>
      <w:r w:rsidRPr="0053674F">
        <w:rPr>
          <w:rFonts w:ascii="Arial" w:hAnsi="Arial" w:cs="Arial"/>
          <w:i/>
        </w:rPr>
        <w:t>et al.,</w:t>
      </w:r>
      <w:r w:rsidRPr="0053674F">
        <w:rPr>
          <w:rFonts w:ascii="Arial" w:hAnsi="Arial" w:cs="Arial"/>
        </w:rPr>
        <w:t xml:space="preserve"> (2015) identified</w:t>
      </w:r>
      <w:r w:rsidRPr="00941A38">
        <w:rPr>
          <w:rFonts w:ascii="Arial" w:hAnsi="Arial" w:cs="Arial"/>
        </w:rPr>
        <w:t xml:space="preserve"> as between 70% and 90%. These findings are consistent with the volatile matter content reported by </w:t>
      </w:r>
      <w:r w:rsidRPr="00714F92">
        <w:rPr>
          <w:rFonts w:ascii="Arial" w:hAnsi="Arial" w:cs="Arial"/>
        </w:rPr>
        <w:t>Goswami and Das (2020) in red mulberry (</w:t>
      </w:r>
      <w:r w:rsidRPr="00714F92">
        <w:rPr>
          <w:rFonts w:ascii="Arial" w:hAnsi="Arial" w:cs="Arial"/>
          <w:i/>
        </w:rPr>
        <w:t>Morus rubra</w:t>
      </w:r>
      <w:r w:rsidRPr="00714F92">
        <w:rPr>
          <w:rFonts w:ascii="Arial" w:hAnsi="Arial" w:cs="Arial"/>
        </w:rPr>
        <w:t>), which was 85.13%. Additionally</w:t>
      </w:r>
      <w:r w:rsidRPr="0053674F">
        <w:rPr>
          <w:rFonts w:ascii="Arial" w:hAnsi="Arial" w:cs="Arial"/>
        </w:rPr>
        <w:t xml:space="preserve">, Baqir </w:t>
      </w:r>
      <w:r w:rsidRPr="0053674F">
        <w:rPr>
          <w:rFonts w:ascii="Arial" w:hAnsi="Arial" w:cs="Arial"/>
          <w:i/>
        </w:rPr>
        <w:t>et al.,</w:t>
      </w:r>
      <w:r w:rsidRPr="0053674F">
        <w:rPr>
          <w:rFonts w:ascii="Arial" w:hAnsi="Arial" w:cs="Arial"/>
        </w:rPr>
        <w:t xml:space="preserve"> (2019) observed</w:t>
      </w:r>
      <w:r w:rsidRPr="00941A38">
        <w:rPr>
          <w:rFonts w:ascii="Arial" w:hAnsi="Arial" w:cs="Arial"/>
        </w:rPr>
        <w:t xml:space="preserve"> volatile matter content ranging from 76.89% in </w:t>
      </w:r>
      <w:r w:rsidRPr="00941A38">
        <w:rPr>
          <w:rFonts w:ascii="Arial" w:hAnsi="Arial" w:cs="Arial"/>
          <w:i/>
        </w:rPr>
        <w:t>Eucalyptus spp</w:t>
      </w:r>
      <w:r w:rsidRPr="00941A38">
        <w:rPr>
          <w:rFonts w:ascii="Arial" w:hAnsi="Arial" w:cs="Arial"/>
        </w:rPr>
        <w:t xml:space="preserve">. to 85.64% in </w:t>
      </w:r>
      <w:r w:rsidRPr="00941A38">
        <w:rPr>
          <w:rFonts w:ascii="Arial" w:hAnsi="Arial" w:cs="Arial"/>
          <w:i/>
        </w:rPr>
        <w:t>Pithecellobium dulce</w:t>
      </w:r>
      <w:r w:rsidRPr="00941A38">
        <w:rPr>
          <w:rFonts w:ascii="Arial" w:hAnsi="Arial" w:cs="Arial"/>
        </w:rPr>
        <w:t xml:space="preserve"> across 12 wood species, further corroborating the results of the </w:t>
      </w:r>
      <w:r w:rsidRPr="00714F92">
        <w:rPr>
          <w:rFonts w:ascii="Arial" w:hAnsi="Arial" w:cs="Arial"/>
        </w:rPr>
        <w:t>current study. Desta and Ambaye (2020) also reported a volatile content range of 70.71% to 79.67% in various fuelwood species, su</w:t>
      </w:r>
      <w:r w:rsidRPr="00941A38">
        <w:rPr>
          <w:rFonts w:ascii="Arial" w:hAnsi="Arial" w:cs="Arial"/>
        </w:rPr>
        <w:t>pporting the general trend observed here. These consistent findings across different studies emphasize the high combustion efficiency potential of the mulberry clones examined, making them suitable candidates for bioenergy production.</w:t>
      </w:r>
    </w:p>
    <w:p w14:paraId="7F62C6AA" w14:textId="77777777" w:rsidR="005D0CB0" w:rsidRDefault="005D0CB0" w:rsidP="005D0CB0">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3.3 </w:t>
      </w:r>
      <w:r w:rsidRPr="005D0CB0">
        <w:rPr>
          <w:rFonts w:ascii="Arial" w:hAnsi="Arial" w:cs="Arial"/>
          <w:b/>
          <w:bCs/>
          <w:u w:val="single"/>
        </w:rPr>
        <w:t>Fixed carbon (%)</w:t>
      </w:r>
    </w:p>
    <w:p w14:paraId="0B6C53CF" w14:textId="77777777" w:rsidR="005D0CB0" w:rsidRDefault="005D0CB0" w:rsidP="005D0CB0">
      <w:pPr>
        <w:pStyle w:val="Body"/>
        <w:spacing w:after="0"/>
        <w:rPr>
          <w:rFonts w:ascii="Arial" w:hAnsi="Arial" w:cs="Arial"/>
        </w:rPr>
      </w:pPr>
      <w:r w:rsidRPr="005D0CB0">
        <w:rPr>
          <w:rFonts w:ascii="Arial" w:hAnsi="Arial" w:cs="Arial"/>
        </w:rPr>
        <w:t>Fixed carbon represents the solid carbonaceous residue remaining after volatile matter is released and is crucial for sustained combustion. The amount of fixed carbon varied significantly among the clones, ranging from a low value of 11.35% in clone MI- 0034 to a high value of 17.33% in clone MI-</w:t>
      </w:r>
      <w:r>
        <w:rPr>
          <w:rFonts w:ascii="Arial" w:hAnsi="Arial" w:cs="Arial"/>
        </w:rPr>
        <w:t xml:space="preserve"> 0845 as shown in Fig. 4</w:t>
      </w:r>
      <w:r w:rsidRPr="005D0CB0">
        <w:rPr>
          <w:rFonts w:ascii="Arial" w:hAnsi="Arial" w:cs="Arial"/>
        </w:rPr>
        <w:t>. The average fixed carbon content was 15.75%, with significant P value (</w:t>
      </w:r>
      <w:r w:rsidRPr="005D0CB0">
        <w:rPr>
          <w:rFonts w:ascii="Arial" w:hAnsi="Arial" w:cs="Arial"/>
          <w:i/>
        </w:rPr>
        <w:t>P</w:t>
      </w:r>
      <w:r w:rsidRPr="005D0CB0">
        <w:rPr>
          <w:rFonts w:ascii="Arial" w:hAnsi="Arial" w:cs="Arial"/>
        </w:rPr>
        <w:t xml:space="preserve"> &lt; 0.05) indicating substantial differences among the clones.</w:t>
      </w:r>
    </w:p>
    <w:p w14:paraId="55D7DCFA" w14:textId="77777777" w:rsidR="005D0CB0" w:rsidRDefault="005D0CB0" w:rsidP="005D0CB0">
      <w:pPr>
        <w:pStyle w:val="Body"/>
        <w:spacing w:after="0"/>
        <w:rPr>
          <w:rFonts w:ascii="Arial" w:hAnsi="Arial" w:cs="Arial"/>
        </w:rPr>
      </w:pPr>
      <w:r>
        <w:rPr>
          <w:noProof/>
        </w:rPr>
        <w:lastRenderedPageBreak/>
        <w:drawing>
          <wp:inline distT="0" distB="0" distL="0" distR="0" wp14:anchorId="20605345" wp14:editId="2A674F4A">
            <wp:extent cx="4776470" cy="2101850"/>
            <wp:effectExtent l="0" t="0" r="508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45462D" w14:textId="77777777" w:rsidR="005D0CB0" w:rsidRPr="005D0CB0" w:rsidRDefault="005D0CB0" w:rsidP="005D0CB0">
      <w:pPr>
        <w:contextualSpacing/>
        <w:jc w:val="both"/>
        <w:rPr>
          <w:rFonts w:ascii="Arial" w:hAnsi="Arial" w:cs="Arial"/>
        </w:rPr>
      </w:pPr>
      <w:r>
        <w:rPr>
          <w:rFonts w:ascii="Arial" w:eastAsia="Calibri" w:hAnsi="Arial" w:cs="Arial"/>
          <w:b/>
          <w:noProof/>
        </w:rPr>
        <w:t>Fig. 4</w:t>
      </w:r>
      <w:r w:rsidRPr="00BB760E">
        <w:rPr>
          <w:rFonts w:ascii="Arial" w:eastAsia="Calibri" w:hAnsi="Arial" w:cs="Arial"/>
          <w:b/>
          <w:noProof/>
        </w:rPr>
        <w:t xml:space="preserve">. </w:t>
      </w:r>
      <w:r w:rsidRPr="005D0CB0">
        <w:rPr>
          <w:rFonts w:ascii="Arial" w:eastAsia="Calibri" w:hAnsi="Arial" w:cs="Arial"/>
          <w:b/>
          <w:bCs/>
          <w:noProof/>
        </w:rPr>
        <w:t>Fixed carbon content of the wood of mulberry clonal genetic resources</w:t>
      </w:r>
    </w:p>
    <w:p w14:paraId="5DA200A4" w14:textId="77777777" w:rsidR="005D0CB0" w:rsidRPr="00941A38" w:rsidRDefault="005D0CB0" w:rsidP="00941A38">
      <w:pPr>
        <w:pStyle w:val="Body"/>
        <w:spacing w:after="0"/>
        <w:rPr>
          <w:rFonts w:ascii="Arial" w:hAnsi="Arial" w:cs="Arial"/>
        </w:rPr>
      </w:pPr>
    </w:p>
    <w:p w14:paraId="2AFF7AAE" w14:textId="77777777" w:rsidR="005D0CB0" w:rsidRDefault="005D0CB0" w:rsidP="005D0CB0">
      <w:pPr>
        <w:pStyle w:val="Body"/>
        <w:spacing w:after="0"/>
        <w:rPr>
          <w:rFonts w:ascii="Arial" w:hAnsi="Arial" w:cs="Arial"/>
        </w:rPr>
      </w:pPr>
      <w:r w:rsidRPr="005D0CB0">
        <w:rPr>
          <w:rFonts w:ascii="Arial" w:hAnsi="Arial" w:cs="Arial"/>
        </w:rPr>
        <w:t xml:space="preserve">Fixed carbon in fuel represents the proportion of carbon available for combustion into char, essential for generating carbon-intensive gases like carbon </w:t>
      </w:r>
      <w:r w:rsidRPr="00714F92">
        <w:rPr>
          <w:rFonts w:ascii="Arial" w:hAnsi="Arial" w:cs="Arial"/>
        </w:rPr>
        <w:t xml:space="preserve">monoxide (Assima </w:t>
      </w:r>
      <w:r w:rsidRPr="00714F92">
        <w:rPr>
          <w:rFonts w:ascii="Arial" w:hAnsi="Arial" w:cs="Arial"/>
          <w:i/>
        </w:rPr>
        <w:t>et al.,</w:t>
      </w:r>
      <w:r w:rsidRPr="00714F92">
        <w:rPr>
          <w:rFonts w:ascii="Arial" w:hAnsi="Arial" w:cs="Arial"/>
        </w:rPr>
        <w:t xml:space="preserve"> 2018).</w:t>
      </w:r>
      <w:r w:rsidRPr="005D0CB0">
        <w:rPr>
          <w:rFonts w:ascii="Arial" w:hAnsi="Arial" w:cs="Arial"/>
        </w:rPr>
        <w:t xml:space="preserve"> Higher fixed carbon content is directly associated with increased energy values of biomass </w:t>
      </w:r>
      <w:r w:rsidRPr="00177B2A">
        <w:rPr>
          <w:rFonts w:ascii="Arial" w:hAnsi="Arial" w:cs="Arial"/>
        </w:rPr>
        <w:t xml:space="preserve">(Kumar </w:t>
      </w:r>
      <w:r w:rsidRPr="00177B2A">
        <w:rPr>
          <w:rFonts w:ascii="Arial" w:hAnsi="Arial" w:cs="Arial"/>
          <w:i/>
        </w:rPr>
        <w:t>et al.,</w:t>
      </w:r>
      <w:r w:rsidRPr="00177B2A">
        <w:rPr>
          <w:rFonts w:ascii="Arial" w:hAnsi="Arial" w:cs="Arial"/>
        </w:rPr>
        <w:t xml:space="preserve"> 1992; Kumar </w:t>
      </w:r>
      <w:r w:rsidRPr="00177B2A">
        <w:rPr>
          <w:rFonts w:ascii="Arial" w:hAnsi="Arial" w:cs="Arial"/>
          <w:i/>
        </w:rPr>
        <w:t>et al.,</w:t>
      </w:r>
      <w:r w:rsidRPr="00177B2A">
        <w:rPr>
          <w:rFonts w:ascii="Arial" w:hAnsi="Arial" w:cs="Arial"/>
        </w:rPr>
        <w:t xml:space="preserve"> 2010 b). In this</w:t>
      </w:r>
      <w:r w:rsidRPr="005D0CB0">
        <w:rPr>
          <w:rFonts w:ascii="Arial" w:hAnsi="Arial" w:cs="Arial"/>
        </w:rPr>
        <w:t xml:space="preserve"> study, fixed carbon content ranged from 11.35% (MI- 0034) to 17.33% (MI- 0845) among the examined </w:t>
      </w:r>
      <w:r w:rsidRPr="0053674F">
        <w:rPr>
          <w:rFonts w:ascii="Arial" w:hAnsi="Arial" w:cs="Arial"/>
        </w:rPr>
        <w:t xml:space="preserve">samples. Baqir </w:t>
      </w:r>
      <w:r w:rsidRPr="0053674F">
        <w:rPr>
          <w:rFonts w:ascii="Arial" w:hAnsi="Arial" w:cs="Arial"/>
          <w:i/>
        </w:rPr>
        <w:t>et al.,</w:t>
      </w:r>
      <w:r w:rsidRPr="0053674F">
        <w:rPr>
          <w:rFonts w:ascii="Arial" w:hAnsi="Arial" w:cs="Arial"/>
        </w:rPr>
        <w:t xml:space="preserve"> (2019)</w:t>
      </w:r>
      <w:r w:rsidRPr="005D0CB0">
        <w:rPr>
          <w:rFonts w:ascii="Arial" w:hAnsi="Arial" w:cs="Arial"/>
        </w:rPr>
        <w:t xml:space="preserve"> reported that </w:t>
      </w:r>
      <w:r w:rsidRPr="005D0CB0">
        <w:rPr>
          <w:rFonts w:ascii="Arial" w:hAnsi="Arial" w:cs="Arial"/>
          <w:i/>
        </w:rPr>
        <w:t>P. Juliflora</w:t>
      </w:r>
      <w:r w:rsidRPr="005D0CB0">
        <w:rPr>
          <w:rFonts w:ascii="Arial" w:hAnsi="Arial" w:cs="Arial"/>
        </w:rPr>
        <w:t xml:space="preserve"> had the highest fixed carbon content at 22.04%, while </w:t>
      </w:r>
      <w:r w:rsidRPr="005D0CB0">
        <w:rPr>
          <w:rFonts w:ascii="Arial" w:hAnsi="Arial" w:cs="Arial"/>
          <w:i/>
        </w:rPr>
        <w:t>P. dulce</w:t>
      </w:r>
      <w:r w:rsidRPr="005D0CB0">
        <w:rPr>
          <w:rFonts w:ascii="Arial" w:hAnsi="Arial" w:cs="Arial"/>
        </w:rPr>
        <w:t xml:space="preserve"> had the lowest at 12.19%. </w:t>
      </w:r>
      <w:r w:rsidRPr="00073863">
        <w:rPr>
          <w:rFonts w:ascii="Arial" w:hAnsi="Arial" w:cs="Arial"/>
        </w:rPr>
        <w:t xml:space="preserve">Similarly, Marques </w:t>
      </w:r>
      <w:r w:rsidRPr="00073863">
        <w:rPr>
          <w:rFonts w:ascii="Arial" w:hAnsi="Arial" w:cs="Arial"/>
          <w:i/>
        </w:rPr>
        <w:t>et al.</w:t>
      </w:r>
      <w:r w:rsidRPr="00073863">
        <w:rPr>
          <w:rFonts w:ascii="Arial" w:hAnsi="Arial" w:cs="Arial"/>
        </w:rPr>
        <w:t xml:space="preserve"> (2020) found</w:t>
      </w:r>
      <w:r w:rsidRPr="005D0CB0">
        <w:rPr>
          <w:rFonts w:ascii="Arial" w:hAnsi="Arial" w:cs="Arial"/>
        </w:rPr>
        <w:t xml:space="preserve"> a high fixed carbon content of 16.21% in their assessment of five different fuelwood </w:t>
      </w:r>
      <w:r w:rsidRPr="00714F92">
        <w:rPr>
          <w:rFonts w:ascii="Arial" w:hAnsi="Arial" w:cs="Arial"/>
        </w:rPr>
        <w:t>species. Goswami and Das, (2020)</w:t>
      </w:r>
      <w:r w:rsidRPr="005D0CB0">
        <w:rPr>
          <w:rFonts w:ascii="Arial" w:hAnsi="Arial" w:cs="Arial"/>
        </w:rPr>
        <w:t xml:space="preserve"> reported a fixed carbon content of 12.65% in red mulberry (</w:t>
      </w:r>
      <w:r w:rsidRPr="005D0CB0">
        <w:rPr>
          <w:rFonts w:ascii="Arial" w:hAnsi="Arial" w:cs="Arial"/>
          <w:i/>
        </w:rPr>
        <w:t>Morus rubra</w:t>
      </w:r>
      <w:r w:rsidRPr="005D0CB0">
        <w:rPr>
          <w:rFonts w:ascii="Arial" w:hAnsi="Arial" w:cs="Arial"/>
        </w:rPr>
        <w:t>), which falls within the range observed in the current study. These results suggest that the mulberry clones under investigation possess a fixed carbon content conducive to efficient energy production, further supporting their potential as a viable fuelwood source.</w:t>
      </w:r>
    </w:p>
    <w:p w14:paraId="26123CA7" w14:textId="77777777" w:rsidR="006F76E6" w:rsidRDefault="00A02E4E" w:rsidP="00A02E4E">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3.4 </w:t>
      </w:r>
      <w:r w:rsidRPr="00A02E4E">
        <w:rPr>
          <w:rFonts w:ascii="Arial" w:hAnsi="Arial" w:cs="Arial"/>
          <w:b/>
          <w:bCs/>
          <w:u w:val="single"/>
        </w:rPr>
        <w:t>Calorific value and Higher heating value</w:t>
      </w:r>
    </w:p>
    <w:p w14:paraId="24ADAB89" w14:textId="77777777" w:rsidR="00A02E4E" w:rsidRPr="00A02E4E" w:rsidRDefault="00A02E4E" w:rsidP="00A02E4E">
      <w:pPr>
        <w:pStyle w:val="Body"/>
        <w:spacing w:before="240" w:after="0"/>
        <w:rPr>
          <w:rFonts w:ascii="Arial" w:hAnsi="Arial" w:cs="Arial"/>
        </w:rPr>
      </w:pPr>
      <w:r w:rsidRPr="00A02E4E">
        <w:rPr>
          <w:rFonts w:ascii="Arial" w:hAnsi="Arial" w:cs="Arial"/>
        </w:rPr>
        <w:t xml:space="preserve">Substantial inter-clonal differences were observed in both </w:t>
      </w:r>
      <w:r w:rsidRPr="00A02E4E">
        <w:rPr>
          <w:rFonts w:ascii="Arial" w:hAnsi="Arial" w:cs="Arial"/>
          <w:bCs/>
        </w:rPr>
        <w:t>calorific value</w:t>
      </w:r>
      <w:r w:rsidRPr="00A02E4E">
        <w:rPr>
          <w:rFonts w:ascii="Arial" w:hAnsi="Arial" w:cs="Arial"/>
          <w:b/>
        </w:rPr>
        <w:t xml:space="preserve"> </w:t>
      </w:r>
      <w:r w:rsidRPr="00A02E4E">
        <w:rPr>
          <w:rFonts w:ascii="Arial" w:hAnsi="Arial" w:cs="Arial"/>
        </w:rPr>
        <w:t>and</w:t>
      </w:r>
      <w:r w:rsidRPr="00A02E4E">
        <w:rPr>
          <w:rFonts w:ascii="Arial" w:hAnsi="Arial" w:cs="Arial"/>
          <w:b/>
        </w:rPr>
        <w:t xml:space="preserve"> </w:t>
      </w:r>
      <w:r w:rsidRPr="00A02E4E">
        <w:rPr>
          <w:rFonts w:ascii="Arial" w:hAnsi="Arial" w:cs="Arial"/>
          <w:bCs/>
        </w:rPr>
        <w:t>higher heating value</w:t>
      </w:r>
      <w:r w:rsidRPr="00A02E4E">
        <w:rPr>
          <w:rFonts w:ascii="Arial" w:hAnsi="Arial" w:cs="Arial"/>
          <w:b/>
          <w:bCs/>
        </w:rPr>
        <w:t xml:space="preserve"> </w:t>
      </w:r>
      <w:r w:rsidRPr="00A02E4E">
        <w:rPr>
          <w:rFonts w:ascii="Arial" w:hAnsi="Arial" w:cs="Arial"/>
          <w:bCs/>
        </w:rPr>
        <w:t>(HHV)</w:t>
      </w:r>
      <w:r w:rsidRPr="00A02E4E">
        <w:rPr>
          <w:rFonts w:ascii="Arial" w:hAnsi="Arial" w:cs="Arial"/>
          <w:b/>
        </w:rPr>
        <w:t>,</w:t>
      </w:r>
      <w:r w:rsidRPr="00A02E4E">
        <w:rPr>
          <w:rFonts w:ascii="Arial" w:hAnsi="Arial" w:cs="Arial"/>
        </w:rPr>
        <w:t xml:space="preserve"> reflecting variation in the </w:t>
      </w:r>
      <w:r w:rsidRPr="00A02E4E">
        <w:rPr>
          <w:rFonts w:ascii="Arial" w:hAnsi="Arial" w:cs="Arial"/>
          <w:bCs/>
        </w:rPr>
        <w:t>energy potential</w:t>
      </w:r>
      <w:r w:rsidRPr="00A02E4E">
        <w:rPr>
          <w:rFonts w:ascii="Arial" w:hAnsi="Arial" w:cs="Arial"/>
        </w:rPr>
        <w:t xml:space="preserve"> of the mulberry biomass, as illustrated in </w:t>
      </w:r>
      <w:r>
        <w:rPr>
          <w:rFonts w:ascii="Arial" w:hAnsi="Arial" w:cs="Arial"/>
          <w:bCs/>
        </w:rPr>
        <w:t>Fig. 5</w:t>
      </w:r>
      <w:r w:rsidRPr="00A02E4E">
        <w:rPr>
          <w:rFonts w:ascii="Arial" w:hAnsi="Arial" w:cs="Arial"/>
        </w:rPr>
        <w:t xml:space="preserve">. The </w:t>
      </w:r>
      <w:r w:rsidRPr="00A02E4E">
        <w:rPr>
          <w:rFonts w:ascii="Arial" w:hAnsi="Arial" w:cs="Arial"/>
          <w:bCs/>
        </w:rPr>
        <w:t>calorific value</w:t>
      </w:r>
      <w:r w:rsidRPr="00A02E4E">
        <w:rPr>
          <w:rFonts w:ascii="Arial" w:hAnsi="Arial" w:cs="Arial"/>
        </w:rPr>
        <w:t xml:space="preserve">, which quantifies the energy yield from complete combustion of the biomass, ranged from </w:t>
      </w:r>
      <w:r w:rsidRPr="00A02E4E">
        <w:rPr>
          <w:rFonts w:ascii="Arial" w:hAnsi="Arial" w:cs="Arial"/>
          <w:bCs/>
        </w:rPr>
        <w:t>16.76 MJ kg</w:t>
      </w:r>
      <w:r w:rsidRPr="00A02E4E">
        <w:rPr>
          <w:rFonts w:ascii="Cambria Math" w:hAnsi="Cambria Math" w:cs="Cambria Math"/>
          <w:bCs/>
        </w:rPr>
        <w:t>⁻</w:t>
      </w:r>
      <w:r w:rsidRPr="00A02E4E">
        <w:rPr>
          <w:rFonts w:ascii="Arial" w:hAnsi="Arial" w:cs="Arial"/>
          <w:bCs/>
        </w:rPr>
        <w:t>¹</w:t>
      </w:r>
      <w:r w:rsidRPr="00A02E4E">
        <w:rPr>
          <w:rFonts w:ascii="Arial" w:hAnsi="Arial" w:cs="Arial"/>
          <w:b/>
          <w:bCs/>
        </w:rPr>
        <w:t xml:space="preserve"> </w:t>
      </w:r>
      <w:r w:rsidRPr="00A02E4E">
        <w:rPr>
          <w:rFonts w:ascii="Arial" w:hAnsi="Arial" w:cs="Arial"/>
          <w:bCs/>
        </w:rPr>
        <w:t>±</w:t>
      </w:r>
      <w:r w:rsidRPr="00A02E4E">
        <w:rPr>
          <w:rFonts w:ascii="Arial" w:hAnsi="Arial" w:cs="Arial"/>
          <w:b/>
          <w:bCs/>
        </w:rPr>
        <w:t xml:space="preserve"> </w:t>
      </w:r>
      <w:r w:rsidRPr="00A02E4E">
        <w:rPr>
          <w:rFonts w:ascii="Arial" w:hAnsi="Arial" w:cs="Arial"/>
          <w:bCs/>
        </w:rPr>
        <w:t>0.30</w:t>
      </w:r>
      <w:r w:rsidRPr="00A02E4E">
        <w:rPr>
          <w:rFonts w:ascii="Arial" w:hAnsi="Arial" w:cs="Arial"/>
        </w:rPr>
        <w:t xml:space="preserve"> in </w:t>
      </w:r>
      <w:r w:rsidRPr="00A02E4E">
        <w:rPr>
          <w:rFonts w:ascii="Arial" w:hAnsi="Arial" w:cs="Arial"/>
          <w:bCs/>
        </w:rPr>
        <w:t>clone MI-0145</w:t>
      </w:r>
      <w:r w:rsidRPr="00A02E4E">
        <w:rPr>
          <w:rFonts w:ascii="Arial" w:hAnsi="Arial" w:cs="Arial"/>
        </w:rPr>
        <w:t xml:space="preserve"> to </w:t>
      </w:r>
      <w:r w:rsidRPr="00A02E4E">
        <w:rPr>
          <w:rFonts w:ascii="Arial" w:hAnsi="Arial" w:cs="Arial"/>
          <w:bCs/>
        </w:rPr>
        <w:t>19.34 MJ kg</w:t>
      </w:r>
      <w:r w:rsidRPr="00A02E4E">
        <w:rPr>
          <w:rFonts w:ascii="Cambria Math" w:hAnsi="Cambria Math" w:cs="Cambria Math"/>
          <w:bCs/>
        </w:rPr>
        <w:t>⁻</w:t>
      </w:r>
      <w:r w:rsidRPr="00A02E4E">
        <w:rPr>
          <w:rFonts w:ascii="Arial" w:hAnsi="Arial" w:cs="Arial"/>
          <w:bCs/>
        </w:rPr>
        <w:t>¹ ± 0.08</w:t>
      </w:r>
      <w:r w:rsidRPr="00A02E4E">
        <w:rPr>
          <w:rFonts w:ascii="Arial" w:hAnsi="Arial" w:cs="Arial"/>
        </w:rPr>
        <w:t xml:space="preserve"> in </w:t>
      </w:r>
      <w:r w:rsidRPr="00A02E4E">
        <w:rPr>
          <w:rFonts w:ascii="Arial" w:hAnsi="Arial" w:cs="Arial"/>
          <w:bCs/>
        </w:rPr>
        <w:t>clone MI-0845</w:t>
      </w:r>
      <w:r w:rsidRPr="00A02E4E">
        <w:rPr>
          <w:rFonts w:ascii="Arial" w:hAnsi="Arial" w:cs="Arial"/>
        </w:rPr>
        <w:t xml:space="preserve">, with an average of </w:t>
      </w:r>
      <w:r w:rsidRPr="00A02E4E">
        <w:rPr>
          <w:rFonts w:ascii="Arial" w:hAnsi="Arial" w:cs="Arial"/>
          <w:bCs/>
        </w:rPr>
        <w:t>18.10 MJ kg</w:t>
      </w:r>
      <w:r w:rsidRPr="00A02E4E">
        <w:rPr>
          <w:rFonts w:ascii="Cambria Math" w:hAnsi="Cambria Math" w:cs="Cambria Math"/>
          <w:bCs/>
        </w:rPr>
        <w:t>⁻</w:t>
      </w:r>
      <w:r w:rsidRPr="00A02E4E">
        <w:rPr>
          <w:rFonts w:ascii="Arial" w:hAnsi="Arial" w:cs="Arial"/>
          <w:bCs/>
        </w:rPr>
        <w:t>¹</w:t>
      </w:r>
      <w:r w:rsidRPr="00A02E4E">
        <w:rPr>
          <w:rFonts w:ascii="Arial" w:hAnsi="Arial" w:cs="Arial"/>
        </w:rPr>
        <w:t>. These values indicate significant differences in energy content among the clones (</w:t>
      </w:r>
      <w:r w:rsidRPr="00A02E4E">
        <w:rPr>
          <w:rFonts w:ascii="Arial" w:hAnsi="Arial" w:cs="Arial"/>
          <w:bCs/>
          <w:i/>
        </w:rPr>
        <w:t>P</w:t>
      </w:r>
      <w:r w:rsidRPr="00A02E4E">
        <w:rPr>
          <w:rFonts w:ascii="Arial" w:hAnsi="Arial" w:cs="Arial"/>
          <w:bCs/>
        </w:rPr>
        <w:t xml:space="preserve"> &lt; 0.05</w:t>
      </w:r>
      <w:r w:rsidRPr="00A02E4E">
        <w:rPr>
          <w:rFonts w:ascii="Arial" w:hAnsi="Arial" w:cs="Arial"/>
        </w:rPr>
        <w:t>).</w:t>
      </w:r>
    </w:p>
    <w:p w14:paraId="359A6A95" w14:textId="77777777" w:rsidR="00A02E4E" w:rsidRDefault="00A02E4E" w:rsidP="00A02E4E">
      <w:pPr>
        <w:pStyle w:val="Body"/>
        <w:spacing w:before="240" w:after="0"/>
        <w:rPr>
          <w:rFonts w:ascii="Arial" w:hAnsi="Arial" w:cs="Arial"/>
        </w:rPr>
      </w:pPr>
      <w:r w:rsidRPr="00A02E4E">
        <w:rPr>
          <w:rFonts w:ascii="Arial" w:hAnsi="Arial" w:cs="Arial"/>
        </w:rPr>
        <w:t xml:space="preserve">Similarly, the </w:t>
      </w:r>
      <w:r>
        <w:rPr>
          <w:rFonts w:ascii="Arial" w:hAnsi="Arial" w:cs="Arial"/>
          <w:bCs/>
        </w:rPr>
        <w:t>H</w:t>
      </w:r>
      <w:r w:rsidRPr="00A02E4E">
        <w:rPr>
          <w:rFonts w:ascii="Arial" w:hAnsi="Arial" w:cs="Arial"/>
          <w:bCs/>
        </w:rPr>
        <w:t>igher heating value (HHV)</w:t>
      </w:r>
      <w:r w:rsidRPr="00A02E4E">
        <w:rPr>
          <w:rFonts w:ascii="Arial" w:hAnsi="Arial" w:cs="Arial"/>
        </w:rPr>
        <w:t>, which includes the latent heat of vaporization of water and thus represents the total recoverable energy during combustion, also varied significantly (</w:t>
      </w:r>
      <w:r w:rsidRPr="00A02E4E">
        <w:rPr>
          <w:rFonts w:ascii="Arial" w:hAnsi="Arial" w:cs="Arial"/>
          <w:bCs/>
          <w:i/>
        </w:rPr>
        <w:t>P</w:t>
      </w:r>
      <w:r w:rsidRPr="00A02E4E">
        <w:rPr>
          <w:rFonts w:ascii="Arial" w:hAnsi="Arial" w:cs="Arial"/>
          <w:bCs/>
        </w:rPr>
        <w:t xml:space="preserve"> &lt; 0.05</w:t>
      </w:r>
      <w:r w:rsidRPr="00A02E4E">
        <w:rPr>
          <w:rFonts w:ascii="Arial" w:hAnsi="Arial" w:cs="Arial"/>
        </w:rPr>
        <w:t xml:space="preserve">). The highest HHV was recorded in </w:t>
      </w:r>
      <w:r w:rsidRPr="00A02E4E">
        <w:rPr>
          <w:rFonts w:ascii="Arial" w:hAnsi="Arial" w:cs="Arial"/>
          <w:bCs/>
        </w:rPr>
        <w:t>clone MI-0828</w:t>
      </w:r>
      <w:r w:rsidRPr="00A02E4E">
        <w:rPr>
          <w:rFonts w:ascii="Arial" w:hAnsi="Arial" w:cs="Arial"/>
          <w:b/>
        </w:rPr>
        <w:t xml:space="preserve"> (</w:t>
      </w:r>
      <w:r w:rsidRPr="00A02E4E">
        <w:rPr>
          <w:rFonts w:ascii="Arial" w:hAnsi="Arial" w:cs="Arial"/>
          <w:bCs/>
        </w:rPr>
        <w:t>20.64 MJ kg</w:t>
      </w:r>
      <w:r w:rsidRPr="00A02E4E">
        <w:rPr>
          <w:rFonts w:ascii="Cambria Math" w:hAnsi="Cambria Math" w:cs="Cambria Math"/>
          <w:bCs/>
        </w:rPr>
        <w:t>⁻</w:t>
      </w:r>
      <w:r w:rsidRPr="00A02E4E">
        <w:rPr>
          <w:rFonts w:ascii="Arial" w:hAnsi="Arial" w:cs="Arial"/>
          <w:bCs/>
        </w:rPr>
        <w:t>¹ ± 0.02</w:t>
      </w:r>
      <w:r w:rsidRPr="00A02E4E">
        <w:rPr>
          <w:rFonts w:ascii="Arial" w:hAnsi="Arial" w:cs="Arial"/>
        </w:rPr>
        <w:t>)</w:t>
      </w:r>
      <w:r>
        <w:rPr>
          <w:rFonts w:ascii="Arial" w:hAnsi="Arial" w:cs="Arial"/>
        </w:rPr>
        <w:t xml:space="preserve"> (Fig. 5</w:t>
      </w:r>
      <w:r w:rsidRPr="00A02E4E">
        <w:rPr>
          <w:rFonts w:ascii="Arial" w:hAnsi="Arial" w:cs="Arial"/>
        </w:rPr>
        <w:t xml:space="preserve">.), while </w:t>
      </w:r>
      <w:r w:rsidRPr="00A02E4E">
        <w:rPr>
          <w:rFonts w:ascii="Arial" w:hAnsi="Arial" w:cs="Arial"/>
          <w:bCs/>
        </w:rPr>
        <w:t>clone MI-0034</w:t>
      </w:r>
      <w:r w:rsidRPr="00A02E4E">
        <w:rPr>
          <w:rFonts w:ascii="Arial" w:hAnsi="Arial" w:cs="Arial"/>
        </w:rPr>
        <w:t xml:space="preserve"> exhibited the lowest (</w:t>
      </w:r>
      <w:r w:rsidRPr="00A02E4E">
        <w:rPr>
          <w:rFonts w:ascii="Arial" w:hAnsi="Arial" w:cs="Arial"/>
          <w:bCs/>
        </w:rPr>
        <w:t>18.73 MJ kg</w:t>
      </w:r>
      <w:r w:rsidRPr="00A02E4E">
        <w:rPr>
          <w:rFonts w:ascii="Cambria Math" w:hAnsi="Cambria Math" w:cs="Cambria Math"/>
          <w:bCs/>
        </w:rPr>
        <w:t>⁻</w:t>
      </w:r>
      <w:r w:rsidRPr="00A02E4E">
        <w:rPr>
          <w:rFonts w:ascii="Arial" w:hAnsi="Arial" w:cs="Arial"/>
          <w:bCs/>
        </w:rPr>
        <w:t>¹ ± 0.02</w:t>
      </w:r>
      <w:r w:rsidRPr="00A02E4E">
        <w:rPr>
          <w:rFonts w:ascii="Arial" w:hAnsi="Arial" w:cs="Arial"/>
        </w:rPr>
        <w:t xml:space="preserve">) (Fig. 6.), with a mean HHV of </w:t>
      </w:r>
      <w:r w:rsidRPr="00A02E4E">
        <w:rPr>
          <w:rFonts w:ascii="Arial" w:hAnsi="Arial" w:cs="Arial"/>
          <w:bCs/>
        </w:rPr>
        <w:t>19.78 MJ kg</w:t>
      </w:r>
      <w:r w:rsidRPr="00A02E4E">
        <w:rPr>
          <w:rFonts w:ascii="Cambria Math" w:hAnsi="Cambria Math" w:cs="Cambria Math"/>
          <w:bCs/>
        </w:rPr>
        <w:t>⁻</w:t>
      </w:r>
      <w:r w:rsidRPr="00A02E4E">
        <w:rPr>
          <w:rFonts w:ascii="Arial" w:hAnsi="Arial" w:cs="Arial"/>
          <w:bCs/>
        </w:rPr>
        <w:t>¹</w:t>
      </w:r>
      <w:r w:rsidRPr="00A02E4E">
        <w:rPr>
          <w:rFonts w:ascii="Arial" w:hAnsi="Arial" w:cs="Arial"/>
        </w:rPr>
        <w:t xml:space="preserve"> across all clones. </w:t>
      </w:r>
    </w:p>
    <w:p w14:paraId="7FF7985D" w14:textId="77777777" w:rsidR="00A02E4E" w:rsidRDefault="00A02E4E" w:rsidP="00A02E4E">
      <w:pPr>
        <w:pStyle w:val="Body"/>
        <w:spacing w:before="240" w:after="0"/>
        <w:rPr>
          <w:rFonts w:ascii="Arial" w:hAnsi="Arial" w:cs="Arial"/>
        </w:rPr>
      </w:pPr>
      <w:r>
        <w:rPr>
          <w:noProof/>
        </w:rPr>
        <w:lastRenderedPageBreak/>
        <w:drawing>
          <wp:inline distT="0" distB="0" distL="0" distR="0" wp14:anchorId="58599FD3" wp14:editId="0155489C">
            <wp:extent cx="4646295" cy="2785745"/>
            <wp:effectExtent l="0" t="0" r="1905"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9D1781" w14:textId="77777777" w:rsidR="00A02E4E" w:rsidRPr="005D0CB0" w:rsidRDefault="00A02E4E" w:rsidP="00A02E4E">
      <w:pPr>
        <w:contextualSpacing/>
        <w:jc w:val="both"/>
        <w:rPr>
          <w:rFonts w:ascii="Arial" w:hAnsi="Arial" w:cs="Arial"/>
        </w:rPr>
      </w:pPr>
      <w:r>
        <w:rPr>
          <w:rFonts w:ascii="Arial" w:eastAsia="Calibri" w:hAnsi="Arial" w:cs="Arial"/>
          <w:b/>
          <w:noProof/>
        </w:rPr>
        <w:t>Fig. 5</w:t>
      </w:r>
      <w:r w:rsidRPr="00BB760E">
        <w:rPr>
          <w:rFonts w:ascii="Arial" w:eastAsia="Calibri" w:hAnsi="Arial" w:cs="Arial"/>
          <w:b/>
          <w:noProof/>
        </w:rPr>
        <w:t xml:space="preserve">. </w:t>
      </w:r>
      <w:r w:rsidRPr="00A02E4E">
        <w:rPr>
          <w:rFonts w:ascii="Arial" w:eastAsia="Calibri" w:hAnsi="Arial" w:cs="Arial"/>
          <w:b/>
          <w:bCs/>
          <w:noProof/>
        </w:rPr>
        <w:t>Calorific value and higher heating value of the wood of mulberry clonal genetic resources</w:t>
      </w:r>
    </w:p>
    <w:p w14:paraId="1D9B831C" w14:textId="77777777" w:rsidR="00A02E4E" w:rsidRPr="00A02E4E" w:rsidRDefault="00A02E4E" w:rsidP="00A02E4E">
      <w:pPr>
        <w:pStyle w:val="Body"/>
        <w:spacing w:before="240" w:after="0"/>
        <w:rPr>
          <w:rFonts w:ascii="Arial" w:hAnsi="Arial" w:cs="Arial"/>
        </w:rPr>
      </w:pPr>
      <w:r w:rsidRPr="00A02E4E">
        <w:rPr>
          <w:rFonts w:ascii="Arial" w:hAnsi="Arial" w:cs="Arial"/>
        </w:rPr>
        <w:t>The calorific value of wood is a critical factor in determining its energy content. In this study, the highest calorific value was recorded in clone MI- 0845 (19.34 MJ kg</w:t>
      </w:r>
      <w:r w:rsidRPr="00A02E4E">
        <w:rPr>
          <w:rFonts w:ascii="Cambria Math" w:hAnsi="Cambria Math" w:cs="Cambria Math"/>
        </w:rPr>
        <w:t>⁻</w:t>
      </w:r>
      <w:r w:rsidRPr="00A02E4E">
        <w:rPr>
          <w:rFonts w:ascii="Arial" w:hAnsi="Arial" w:cs="Arial"/>
        </w:rPr>
        <w:t>¹), while the lowest was in clone MI- 0145 (16.76 MJ kg</w:t>
      </w:r>
      <w:r w:rsidRPr="00A02E4E">
        <w:rPr>
          <w:rFonts w:ascii="Cambria Math" w:hAnsi="Cambria Math" w:cs="Cambria Math"/>
        </w:rPr>
        <w:t>⁻</w:t>
      </w:r>
      <w:r w:rsidRPr="00A02E4E">
        <w:rPr>
          <w:rFonts w:ascii="Arial" w:hAnsi="Arial" w:cs="Arial"/>
        </w:rPr>
        <w:t xml:space="preserve">¹). These findings are consistent </w:t>
      </w:r>
      <w:r w:rsidRPr="00177B2A">
        <w:rPr>
          <w:rFonts w:ascii="Arial" w:hAnsi="Arial" w:cs="Arial"/>
        </w:rPr>
        <w:t xml:space="preserve">with Lu </w:t>
      </w:r>
      <w:r w:rsidRPr="00177B2A">
        <w:rPr>
          <w:rFonts w:ascii="Arial" w:hAnsi="Arial" w:cs="Arial"/>
          <w:i/>
        </w:rPr>
        <w:t>et al.,</w:t>
      </w:r>
      <w:r w:rsidRPr="00177B2A">
        <w:rPr>
          <w:rFonts w:ascii="Arial" w:hAnsi="Arial" w:cs="Arial"/>
        </w:rPr>
        <w:t xml:space="preserve"> (2009),</w:t>
      </w:r>
      <w:r w:rsidRPr="00A02E4E">
        <w:rPr>
          <w:rFonts w:ascii="Arial" w:hAnsi="Arial" w:cs="Arial"/>
        </w:rPr>
        <w:t xml:space="preserve"> who reported a calorific value of 17.053 MJ kg</w:t>
      </w:r>
      <w:r w:rsidRPr="00A02E4E">
        <w:rPr>
          <w:rFonts w:ascii="Cambria Math" w:hAnsi="Cambria Math" w:cs="Cambria Math"/>
        </w:rPr>
        <w:t>⁻</w:t>
      </w:r>
      <w:r w:rsidRPr="00A02E4E">
        <w:rPr>
          <w:rFonts w:ascii="Arial" w:hAnsi="Arial" w:cs="Arial"/>
        </w:rPr>
        <w:t xml:space="preserve">¹ for mulberry branches. </w:t>
      </w:r>
      <w:r w:rsidRPr="00177B2A">
        <w:rPr>
          <w:rFonts w:ascii="Arial" w:hAnsi="Arial" w:cs="Arial"/>
        </w:rPr>
        <w:t xml:space="preserve">Additionally, Adeleke </w:t>
      </w:r>
      <w:r w:rsidRPr="00177B2A">
        <w:rPr>
          <w:rFonts w:ascii="Arial" w:hAnsi="Arial" w:cs="Arial"/>
          <w:i/>
        </w:rPr>
        <w:t>et al.,</w:t>
      </w:r>
      <w:r w:rsidRPr="00177B2A">
        <w:rPr>
          <w:rFonts w:ascii="Arial" w:hAnsi="Arial" w:cs="Arial"/>
        </w:rPr>
        <w:t xml:space="preserve"> (2021) found a calorific value of 18.72 MJ kg</w:t>
      </w:r>
      <w:r w:rsidRPr="00177B2A">
        <w:rPr>
          <w:rFonts w:ascii="Cambria Math" w:hAnsi="Cambria Math" w:cs="Cambria Math"/>
        </w:rPr>
        <w:t>⁻</w:t>
      </w:r>
      <w:r w:rsidRPr="00177B2A">
        <w:rPr>
          <w:rFonts w:ascii="Arial" w:hAnsi="Arial" w:cs="Arial"/>
        </w:rPr>
        <w:t xml:space="preserve">¹ in </w:t>
      </w:r>
      <w:r w:rsidRPr="00177B2A">
        <w:rPr>
          <w:rFonts w:ascii="Arial" w:hAnsi="Arial" w:cs="Arial"/>
          <w:i/>
        </w:rPr>
        <w:t>melina</w:t>
      </w:r>
      <w:r w:rsidRPr="00177B2A">
        <w:rPr>
          <w:rFonts w:ascii="Arial" w:hAnsi="Arial" w:cs="Arial"/>
        </w:rPr>
        <w:t xml:space="preserve"> wood, further supporting the results of the present study.</w:t>
      </w:r>
      <w:r w:rsidRPr="00A02E4E">
        <w:rPr>
          <w:rFonts w:ascii="Arial" w:hAnsi="Arial" w:cs="Arial"/>
        </w:rPr>
        <w:t xml:space="preserve"> </w:t>
      </w:r>
    </w:p>
    <w:p w14:paraId="72019B71" w14:textId="77777777" w:rsidR="00A02E4E" w:rsidRPr="00A02E4E" w:rsidRDefault="00A02E4E" w:rsidP="00A02E4E">
      <w:pPr>
        <w:pStyle w:val="Body"/>
        <w:spacing w:before="240" w:after="0"/>
        <w:rPr>
          <w:rFonts w:ascii="Arial" w:hAnsi="Arial" w:cs="Arial"/>
        </w:rPr>
      </w:pPr>
      <w:r w:rsidRPr="00A02E4E">
        <w:rPr>
          <w:rFonts w:ascii="Arial" w:hAnsi="Arial" w:cs="Arial"/>
        </w:rPr>
        <w:t>The higher heating value (HHV) measures the total heat produced when a fuel burns, including the water already present in the fuel and the water vapor generated during combustion. In the present study, the HHV ranged from 18.73 MJ kg</w:t>
      </w:r>
      <w:r w:rsidRPr="00A02E4E">
        <w:rPr>
          <w:rFonts w:ascii="Arial" w:hAnsi="Arial" w:cs="Arial"/>
          <w:vertAlign w:val="superscript"/>
        </w:rPr>
        <w:t>-1</w:t>
      </w:r>
      <w:r w:rsidRPr="00A02E4E">
        <w:rPr>
          <w:rFonts w:ascii="Arial" w:hAnsi="Arial" w:cs="Arial"/>
        </w:rPr>
        <w:t xml:space="preserve"> (MI- 0034) to 20.64 MJ kg</w:t>
      </w:r>
      <w:r w:rsidRPr="00A02E4E">
        <w:rPr>
          <w:rFonts w:ascii="Arial" w:hAnsi="Arial" w:cs="Arial"/>
          <w:vertAlign w:val="superscript"/>
        </w:rPr>
        <w:t>-1</w:t>
      </w:r>
      <w:r w:rsidRPr="00A02E4E">
        <w:rPr>
          <w:rFonts w:ascii="Arial" w:hAnsi="Arial" w:cs="Arial"/>
        </w:rPr>
        <w:t xml:space="preserve"> (MI- 0828). Comparable results were reported </w:t>
      </w:r>
      <w:r w:rsidRPr="00714F92">
        <w:rPr>
          <w:rFonts w:ascii="Arial" w:hAnsi="Arial" w:cs="Arial"/>
        </w:rPr>
        <w:t>by Goswami and Das, (2020) for</w:t>
      </w:r>
      <w:r w:rsidRPr="00A02E4E">
        <w:rPr>
          <w:rFonts w:ascii="Arial" w:hAnsi="Arial" w:cs="Arial"/>
        </w:rPr>
        <w:t xml:space="preserve"> </w:t>
      </w:r>
      <w:r w:rsidRPr="00A02E4E">
        <w:rPr>
          <w:rFonts w:ascii="Arial" w:hAnsi="Arial" w:cs="Arial"/>
          <w:i/>
        </w:rPr>
        <w:t>Morus rubra</w:t>
      </w:r>
      <w:r w:rsidRPr="00A02E4E">
        <w:rPr>
          <w:rFonts w:ascii="Arial" w:hAnsi="Arial" w:cs="Arial"/>
        </w:rPr>
        <w:t>, with an HHV of 18.36 MJ kg</w:t>
      </w:r>
      <w:r w:rsidRPr="00A02E4E">
        <w:rPr>
          <w:rFonts w:ascii="Arial" w:hAnsi="Arial" w:cs="Arial"/>
          <w:vertAlign w:val="superscript"/>
        </w:rPr>
        <w:t>-1</w:t>
      </w:r>
      <w:r w:rsidRPr="00A02E4E">
        <w:rPr>
          <w:rFonts w:ascii="Arial" w:hAnsi="Arial" w:cs="Arial"/>
        </w:rPr>
        <w:t xml:space="preserve">. </w:t>
      </w:r>
      <w:r w:rsidRPr="00177B2A">
        <w:rPr>
          <w:rFonts w:ascii="Arial" w:hAnsi="Arial" w:cs="Arial"/>
        </w:rPr>
        <w:t>Additionally, Selenwa and Sims, (1999)</w:t>
      </w:r>
      <w:r w:rsidRPr="00A02E4E">
        <w:rPr>
          <w:rFonts w:ascii="Arial" w:hAnsi="Arial" w:cs="Arial"/>
        </w:rPr>
        <w:t xml:space="preserve"> investigated the fuel characteristics of biomass from 12 tree species grown under short rotation forestry and found HHV values ranging from 19.6 to 20.5 MJ kg</w:t>
      </w:r>
      <w:r w:rsidRPr="00A02E4E">
        <w:rPr>
          <w:rFonts w:ascii="Arial" w:hAnsi="Arial" w:cs="Arial"/>
          <w:vertAlign w:val="superscript"/>
        </w:rPr>
        <w:t>-1</w:t>
      </w:r>
      <w:r w:rsidRPr="00A02E4E">
        <w:rPr>
          <w:rFonts w:ascii="Arial" w:hAnsi="Arial" w:cs="Arial"/>
        </w:rPr>
        <w:t>, aligning with the trends observed in the current study. These findings underscore the considerable genetic variability in the thermal energy characteristics of mulberry wood, supporting the selection of superior clones for bioenergy applications.</w:t>
      </w:r>
    </w:p>
    <w:p w14:paraId="42B528D3" w14:textId="77777777" w:rsidR="00A02E4E" w:rsidRPr="00A02E4E" w:rsidRDefault="00A02E4E" w:rsidP="00A02E4E">
      <w:pPr>
        <w:spacing w:before="100" w:beforeAutospacing="1" w:after="100" w:afterAutospacing="1"/>
        <w:ind w:right="571"/>
        <w:jc w:val="both"/>
        <w:rPr>
          <w:rFonts w:ascii="Arial" w:hAnsi="Arial" w:cs="Arial"/>
        </w:rPr>
      </w:pPr>
      <w:r>
        <w:rPr>
          <w:rFonts w:ascii="Arial" w:hAnsi="Arial" w:cs="Arial"/>
          <w:b/>
          <w:bCs/>
          <w:u w:val="single"/>
        </w:rPr>
        <w:t>3</w:t>
      </w:r>
      <w:r w:rsidRPr="007B7693">
        <w:rPr>
          <w:rFonts w:ascii="Arial" w:hAnsi="Arial" w:cs="Arial"/>
          <w:b/>
          <w:bCs/>
          <w:u w:val="single"/>
        </w:rPr>
        <w:t>.</w:t>
      </w:r>
      <w:r>
        <w:rPr>
          <w:rFonts w:ascii="Arial" w:hAnsi="Arial" w:cs="Arial"/>
          <w:b/>
          <w:bCs/>
          <w:u w:val="single"/>
        </w:rPr>
        <w:t xml:space="preserve">3.5 </w:t>
      </w:r>
      <w:r w:rsidRPr="00A02E4E">
        <w:rPr>
          <w:rFonts w:ascii="Arial" w:hAnsi="Arial" w:cs="Arial"/>
          <w:b/>
          <w:bCs/>
          <w:u w:val="single"/>
        </w:rPr>
        <w:t>Fuel value index</w:t>
      </w:r>
    </w:p>
    <w:p w14:paraId="3AEBFA59" w14:textId="77777777" w:rsidR="00A02E4E" w:rsidRDefault="00A02E4E" w:rsidP="00A02E4E">
      <w:pPr>
        <w:pStyle w:val="Body"/>
        <w:spacing w:after="0"/>
        <w:rPr>
          <w:rFonts w:ascii="Arial" w:hAnsi="Arial" w:cs="Arial"/>
        </w:rPr>
      </w:pPr>
      <w:r w:rsidRPr="00A02E4E">
        <w:rPr>
          <w:rFonts w:ascii="Arial" w:hAnsi="Arial" w:cs="Arial"/>
        </w:rPr>
        <w:t>Fuel value index (FVI), a combined measure of various fuel characteristics, was used to assess overall fuel quality. Clone MI- 0674 exhibited the best fuel properties with the highest FVI value (1933.65 ± 246.67), while MI- 0632 had the lowest FVI (452.88 ± 13.46), indicating inferior</w:t>
      </w:r>
      <w:r w:rsidR="00CB12E4">
        <w:rPr>
          <w:rFonts w:ascii="Arial" w:hAnsi="Arial" w:cs="Arial"/>
        </w:rPr>
        <w:t xml:space="preserve"> fuel quality as shown in Fig. 6</w:t>
      </w:r>
      <w:r w:rsidRPr="00A02E4E">
        <w:rPr>
          <w:rFonts w:ascii="Arial" w:hAnsi="Arial" w:cs="Arial"/>
        </w:rPr>
        <w:t>. The mean FVI was 1062.19, with significant differences among the clones (</w:t>
      </w:r>
      <w:r w:rsidRPr="00CB12E4">
        <w:rPr>
          <w:rFonts w:ascii="Arial" w:hAnsi="Arial" w:cs="Arial"/>
          <w:i/>
        </w:rPr>
        <w:t>P</w:t>
      </w:r>
      <w:r w:rsidRPr="00A02E4E">
        <w:rPr>
          <w:rFonts w:ascii="Arial" w:hAnsi="Arial" w:cs="Arial"/>
        </w:rPr>
        <w:t xml:space="preserve"> &lt; 0.05).</w:t>
      </w:r>
    </w:p>
    <w:p w14:paraId="09EFFE0E" w14:textId="77777777" w:rsidR="00CB12E4" w:rsidRDefault="00CB12E4" w:rsidP="005D0CB0">
      <w:pPr>
        <w:pStyle w:val="Body"/>
        <w:spacing w:after="0"/>
        <w:rPr>
          <w:rFonts w:ascii="Arial" w:hAnsi="Arial" w:cs="Arial"/>
        </w:rPr>
      </w:pPr>
      <w:r>
        <w:rPr>
          <w:noProof/>
        </w:rPr>
        <w:lastRenderedPageBreak/>
        <w:drawing>
          <wp:inline distT="0" distB="0" distL="0" distR="0" wp14:anchorId="3FCF2BD0" wp14:editId="09D0ABAD">
            <wp:extent cx="4582795" cy="2509520"/>
            <wp:effectExtent l="0" t="0" r="8255"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F20AC5" w14:textId="77777777" w:rsidR="00CB12E4" w:rsidRPr="00CB12E4" w:rsidRDefault="00CB12E4" w:rsidP="00CB12E4">
      <w:pPr>
        <w:contextualSpacing/>
        <w:jc w:val="both"/>
        <w:rPr>
          <w:rFonts w:ascii="Arial" w:eastAsia="Calibri" w:hAnsi="Arial" w:cs="Arial"/>
          <w:b/>
          <w:bCs/>
          <w:noProof/>
        </w:rPr>
      </w:pPr>
      <w:r>
        <w:rPr>
          <w:rFonts w:ascii="Arial" w:eastAsia="Calibri" w:hAnsi="Arial" w:cs="Arial"/>
          <w:b/>
          <w:noProof/>
        </w:rPr>
        <w:t>Fig. 6</w:t>
      </w:r>
      <w:r w:rsidRPr="00BB760E">
        <w:rPr>
          <w:rFonts w:ascii="Arial" w:eastAsia="Calibri" w:hAnsi="Arial" w:cs="Arial"/>
          <w:b/>
          <w:noProof/>
        </w:rPr>
        <w:t xml:space="preserve">. </w:t>
      </w:r>
      <w:r w:rsidRPr="00CB12E4">
        <w:rPr>
          <w:rFonts w:ascii="Arial" w:eastAsia="Calibri" w:hAnsi="Arial" w:cs="Arial"/>
          <w:b/>
          <w:bCs/>
          <w:noProof/>
        </w:rPr>
        <w:t>Fuel value index (FVI) of the wood of mulberry clonal genetic resources</w:t>
      </w:r>
    </w:p>
    <w:p w14:paraId="1E93FD70" w14:textId="77777777" w:rsidR="00CB12E4" w:rsidRDefault="00CB12E4" w:rsidP="00CB12E4">
      <w:pPr>
        <w:contextualSpacing/>
        <w:jc w:val="both"/>
        <w:rPr>
          <w:rFonts w:ascii="Arial" w:hAnsi="Arial" w:cs="Arial"/>
        </w:rPr>
      </w:pPr>
    </w:p>
    <w:p w14:paraId="2E6E6B4F" w14:textId="77777777" w:rsidR="00CB12E4" w:rsidRPr="00CB12E4" w:rsidRDefault="00CB12E4" w:rsidP="00CB12E4">
      <w:pPr>
        <w:contextualSpacing/>
        <w:jc w:val="both"/>
        <w:rPr>
          <w:rFonts w:ascii="Arial" w:hAnsi="Arial" w:cs="Arial"/>
          <w:b/>
          <w:bCs/>
        </w:rPr>
      </w:pPr>
      <w:r w:rsidRPr="00CB12E4">
        <w:rPr>
          <w:rFonts w:ascii="Arial" w:hAnsi="Arial" w:cs="Arial"/>
        </w:rPr>
        <w:t xml:space="preserve">The fuel value index (FVI) serves as a crucial parameter for assessing species combustibility and their ability to produce intense heat during combustion, commonly used to rank preferred fuel wood species </w:t>
      </w:r>
      <w:r w:rsidRPr="00177B2A">
        <w:rPr>
          <w:rFonts w:ascii="Arial" w:hAnsi="Arial" w:cs="Arial"/>
        </w:rPr>
        <w:t xml:space="preserve">(Deka </w:t>
      </w:r>
      <w:r w:rsidRPr="00177B2A">
        <w:rPr>
          <w:rFonts w:ascii="Arial" w:hAnsi="Arial" w:cs="Arial"/>
          <w:i/>
        </w:rPr>
        <w:t>et al.,</w:t>
      </w:r>
      <w:r w:rsidRPr="00177B2A">
        <w:rPr>
          <w:rFonts w:ascii="Arial" w:hAnsi="Arial" w:cs="Arial"/>
        </w:rPr>
        <w:t xml:space="preserve"> 2007; Cardoso </w:t>
      </w:r>
      <w:r w:rsidRPr="00177B2A">
        <w:rPr>
          <w:rFonts w:ascii="Arial" w:hAnsi="Arial" w:cs="Arial"/>
          <w:i/>
        </w:rPr>
        <w:t>et al.,</w:t>
      </w:r>
      <w:r w:rsidRPr="00177B2A">
        <w:rPr>
          <w:rFonts w:ascii="Arial" w:hAnsi="Arial" w:cs="Arial"/>
        </w:rPr>
        <w:t xml:space="preserve"> 2015). In</w:t>
      </w:r>
      <w:r w:rsidRPr="00CB12E4">
        <w:rPr>
          <w:rFonts w:ascii="Arial" w:hAnsi="Arial" w:cs="Arial"/>
        </w:rPr>
        <w:t xml:space="preserve"> the current study, the FVI varied from 452.88 (MI- 0632) to 1933.65 (</w:t>
      </w:r>
      <w:r w:rsidRPr="00177B2A">
        <w:rPr>
          <w:rFonts w:ascii="Arial" w:hAnsi="Arial" w:cs="Arial"/>
        </w:rPr>
        <w:t xml:space="preserve">MI- 0674). Bhatt </w:t>
      </w:r>
      <w:r w:rsidRPr="00177B2A">
        <w:rPr>
          <w:rFonts w:ascii="Arial" w:hAnsi="Arial" w:cs="Arial"/>
          <w:i/>
        </w:rPr>
        <w:t>et al.,</w:t>
      </w:r>
      <w:r w:rsidRPr="00177B2A">
        <w:rPr>
          <w:rFonts w:ascii="Arial" w:hAnsi="Arial" w:cs="Arial"/>
        </w:rPr>
        <w:t xml:space="preserve"> (2010) observed</w:t>
      </w:r>
      <w:r w:rsidRPr="00CB12E4">
        <w:rPr>
          <w:rFonts w:ascii="Arial" w:hAnsi="Arial" w:cs="Arial"/>
        </w:rPr>
        <w:t xml:space="preserve"> a similar trend in firewood trees, reporting an FVI range of 306.9 to 1178.6, which falls within the range of this study.</w:t>
      </w:r>
      <w:r w:rsidRPr="00CB12E4">
        <w:rPr>
          <w:rFonts w:ascii="Arial" w:hAnsi="Arial" w:cs="Arial"/>
          <w:bCs/>
        </w:rPr>
        <w:t xml:space="preserve"> Results of the current study also align with the results obtained by </w:t>
      </w:r>
      <w:r w:rsidRPr="00177B2A">
        <w:rPr>
          <w:rFonts w:ascii="Arial" w:hAnsi="Arial" w:cs="Arial"/>
          <w:bCs/>
        </w:rPr>
        <w:t xml:space="preserve">Puri </w:t>
      </w:r>
      <w:r w:rsidRPr="00177B2A">
        <w:rPr>
          <w:rFonts w:ascii="Arial" w:hAnsi="Arial" w:cs="Arial"/>
          <w:bCs/>
          <w:i/>
        </w:rPr>
        <w:t>et al.</w:t>
      </w:r>
      <w:r w:rsidRPr="00177B2A">
        <w:rPr>
          <w:rFonts w:ascii="Arial" w:hAnsi="Arial" w:cs="Arial"/>
          <w:bCs/>
        </w:rPr>
        <w:t xml:space="preserve"> (1994), where</w:t>
      </w:r>
      <w:r w:rsidRPr="00CB12E4">
        <w:rPr>
          <w:rFonts w:ascii="Arial" w:hAnsi="Arial" w:cs="Arial"/>
          <w:bCs/>
        </w:rPr>
        <w:t xml:space="preserve"> it has been recorded a fuel value index of 533.4 to 2815 among ten fuelwood species. </w:t>
      </w:r>
      <w:r w:rsidRPr="00CB12E4">
        <w:rPr>
          <w:rFonts w:ascii="Arial" w:hAnsi="Arial" w:cs="Arial"/>
        </w:rPr>
        <w:t xml:space="preserve"> </w:t>
      </w:r>
      <w:r w:rsidRPr="00177B2A">
        <w:rPr>
          <w:rFonts w:ascii="Arial" w:hAnsi="Arial" w:cs="Arial"/>
        </w:rPr>
        <w:t>Similarly, Kataki and Konwer, (2002) investigated</w:t>
      </w:r>
      <w:r w:rsidRPr="00CB12E4">
        <w:rPr>
          <w:rFonts w:ascii="Arial" w:hAnsi="Arial" w:cs="Arial"/>
        </w:rPr>
        <w:t xml:space="preserve"> indigenous tree species in northeast India and reported FVI values ranging from 369 to 2089, which strongly supports the current findings. These results underscore the suitability of the studied species for efficient combustion and highlight their potential as reliable sources of energy.</w:t>
      </w:r>
    </w:p>
    <w:p w14:paraId="5D178353" w14:textId="77777777" w:rsidR="00CB12E4" w:rsidRDefault="00CB12E4" w:rsidP="00CB12E4">
      <w:pPr>
        <w:contextualSpacing/>
        <w:jc w:val="both"/>
        <w:rPr>
          <w:rFonts w:ascii="Arial" w:hAnsi="Arial" w:cs="Arial"/>
        </w:rPr>
      </w:pPr>
    </w:p>
    <w:p w14:paraId="6A15E7E2" w14:textId="77777777" w:rsidR="00CB12E4" w:rsidRPr="00CB12E4" w:rsidRDefault="00CB12E4" w:rsidP="00CB12E4">
      <w:pPr>
        <w:pStyle w:val="Body"/>
        <w:rPr>
          <w:rFonts w:ascii="Arial" w:hAnsi="Arial" w:cs="Arial"/>
          <w:b/>
          <w:bCs/>
          <w:iCs/>
          <w:sz w:val="22"/>
        </w:rPr>
      </w:pPr>
      <w:r>
        <w:rPr>
          <w:rFonts w:ascii="Arial" w:hAnsi="Arial" w:cs="Arial"/>
          <w:b/>
          <w:caps/>
          <w:sz w:val="22"/>
        </w:rPr>
        <w:t xml:space="preserve">3.4 </w:t>
      </w:r>
      <w:r w:rsidRPr="00CB12E4">
        <w:rPr>
          <w:rFonts w:ascii="Arial" w:hAnsi="Arial" w:cs="Arial"/>
          <w:b/>
          <w:bCs/>
          <w:iCs/>
          <w:sz w:val="22"/>
        </w:rPr>
        <w:t>Principal Component Analysis (PCA)</w:t>
      </w:r>
    </w:p>
    <w:p w14:paraId="656DB60C" w14:textId="77777777" w:rsidR="00CB12E4" w:rsidRDefault="00CB12E4" w:rsidP="00CB12E4">
      <w:pPr>
        <w:pStyle w:val="Body"/>
        <w:spacing w:after="0"/>
        <w:rPr>
          <w:rFonts w:ascii="Arial" w:hAnsi="Arial" w:cs="Arial"/>
        </w:rPr>
      </w:pPr>
      <w:r w:rsidRPr="00CB12E4">
        <w:rPr>
          <w:rFonts w:ascii="Arial" w:hAnsi="Arial" w:cs="Arial"/>
        </w:rPr>
        <w:t>Principal Component Analysis (PCA) is a technique for data reduction that simplifies a large set of unstructured variables into a smaller subset that captures the majority of the variance present in the original correlation matrix. In the present study, PCA was employed to assess mulberry clonal genetic resources based on their physical, chemical, and thermochemical characteristics. Among the thirteen principal components (PCs) analyzed, only five had eigenvalues greater than 1.0, collectively explaining about 85.092% of the total variability in the traits studied,</w:t>
      </w:r>
      <w:r>
        <w:rPr>
          <w:rFonts w:ascii="Arial" w:hAnsi="Arial" w:cs="Arial"/>
        </w:rPr>
        <w:t xml:space="preserve"> which is illustrated in Table 3</w:t>
      </w:r>
      <w:r w:rsidRPr="00CB12E4">
        <w:rPr>
          <w:rFonts w:ascii="Arial" w:hAnsi="Arial" w:cs="Arial"/>
        </w:rPr>
        <w:t>.</w:t>
      </w:r>
    </w:p>
    <w:p w14:paraId="3CEDC83F" w14:textId="77777777" w:rsidR="00CB12E4" w:rsidRPr="00CB12E4" w:rsidRDefault="00CB12E4" w:rsidP="00CB12E4">
      <w:pPr>
        <w:spacing w:before="240"/>
        <w:jc w:val="both"/>
        <w:rPr>
          <w:rFonts w:ascii="Arial" w:eastAsia="Calibri" w:hAnsi="Arial" w:cs="Arial"/>
          <w:b/>
          <w:bCs/>
        </w:rPr>
      </w:pPr>
      <w:r w:rsidRPr="00CB12E4">
        <w:rPr>
          <w:rFonts w:ascii="Arial" w:eastAsia="Calibri" w:hAnsi="Arial" w:cs="Arial"/>
          <w:b/>
        </w:rPr>
        <w:t>Table 3. Eigen values, % variance and cumulative variability of mulberry clones</w:t>
      </w:r>
    </w:p>
    <w:p w14:paraId="0927E338" w14:textId="77777777" w:rsidR="00CB12E4" w:rsidRDefault="00CB12E4" w:rsidP="00CB12E4">
      <w:pPr>
        <w:pStyle w:val="Body"/>
        <w:spacing w:after="0"/>
        <w:rPr>
          <w:rFonts w:ascii="Arial" w:hAnsi="Arial" w:cs="Arial"/>
        </w:rPr>
      </w:pPr>
    </w:p>
    <w:tbl>
      <w:tblPr>
        <w:tblStyle w:val="TableGrid2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433"/>
        <w:gridCol w:w="1366"/>
        <w:gridCol w:w="1700"/>
        <w:gridCol w:w="1786"/>
      </w:tblGrid>
      <w:tr w:rsidR="00CB12E4" w:rsidRPr="00CB12E4" w14:paraId="63748973" w14:textId="77777777" w:rsidTr="00122B2E">
        <w:trPr>
          <w:trHeight w:val="489"/>
        </w:trPr>
        <w:tc>
          <w:tcPr>
            <w:tcW w:w="2421" w:type="dxa"/>
            <w:tcBorders>
              <w:top w:val="single" w:sz="4" w:space="0" w:color="auto"/>
              <w:bottom w:val="single" w:sz="4" w:space="0" w:color="auto"/>
            </w:tcBorders>
            <w:hideMark/>
          </w:tcPr>
          <w:p w14:paraId="5A449603" w14:textId="77777777" w:rsidR="00CB12E4" w:rsidRPr="00CB12E4" w:rsidRDefault="00CB12E4" w:rsidP="00122B2E">
            <w:pPr>
              <w:rPr>
                <w:rFonts w:ascii="Arial" w:hAnsi="Arial" w:cs="Arial"/>
                <w:b/>
                <w:sz w:val="20"/>
                <w:szCs w:val="20"/>
              </w:rPr>
            </w:pPr>
            <w:r w:rsidRPr="00CB12E4">
              <w:rPr>
                <w:rFonts w:ascii="Arial" w:hAnsi="Arial" w:cs="Arial"/>
                <w:b/>
                <w:sz w:val="20"/>
                <w:szCs w:val="20"/>
              </w:rPr>
              <w:t>Traits</w:t>
            </w:r>
          </w:p>
        </w:tc>
        <w:tc>
          <w:tcPr>
            <w:tcW w:w="1443" w:type="dxa"/>
            <w:tcBorders>
              <w:top w:val="single" w:sz="4" w:space="0" w:color="auto"/>
              <w:bottom w:val="single" w:sz="4" w:space="0" w:color="auto"/>
            </w:tcBorders>
            <w:hideMark/>
          </w:tcPr>
          <w:p w14:paraId="143BD38C" w14:textId="77777777" w:rsidR="00CB12E4" w:rsidRPr="00CB12E4" w:rsidRDefault="00CB12E4" w:rsidP="00122B2E">
            <w:pPr>
              <w:rPr>
                <w:rFonts w:ascii="Arial" w:hAnsi="Arial" w:cs="Arial"/>
                <w:b/>
                <w:sz w:val="20"/>
                <w:szCs w:val="20"/>
              </w:rPr>
            </w:pPr>
            <w:r w:rsidRPr="00CB12E4">
              <w:rPr>
                <w:rFonts w:ascii="Arial" w:hAnsi="Arial" w:cs="Arial"/>
                <w:b/>
                <w:sz w:val="20"/>
                <w:szCs w:val="20"/>
              </w:rPr>
              <w:t>Principal components</w:t>
            </w:r>
          </w:p>
        </w:tc>
        <w:tc>
          <w:tcPr>
            <w:tcW w:w="1564" w:type="dxa"/>
            <w:tcBorders>
              <w:top w:val="single" w:sz="4" w:space="0" w:color="auto"/>
              <w:bottom w:val="single" w:sz="4" w:space="0" w:color="auto"/>
            </w:tcBorders>
            <w:hideMark/>
          </w:tcPr>
          <w:p w14:paraId="562F6F42" w14:textId="77777777" w:rsidR="00CB12E4" w:rsidRPr="00CB12E4" w:rsidRDefault="00CB12E4" w:rsidP="00122B2E">
            <w:pPr>
              <w:rPr>
                <w:rFonts w:ascii="Arial" w:hAnsi="Arial" w:cs="Arial"/>
                <w:b/>
                <w:sz w:val="20"/>
                <w:szCs w:val="20"/>
              </w:rPr>
            </w:pPr>
            <w:r w:rsidRPr="00CB12E4">
              <w:rPr>
                <w:rFonts w:ascii="Arial" w:hAnsi="Arial" w:cs="Arial"/>
                <w:b/>
                <w:sz w:val="20"/>
                <w:szCs w:val="20"/>
              </w:rPr>
              <w:t>Eigen values</w:t>
            </w:r>
          </w:p>
        </w:tc>
        <w:tc>
          <w:tcPr>
            <w:tcW w:w="1952" w:type="dxa"/>
            <w:tcBorders>
              <w:top w:val="single" w:sz="4" w:space="0" w:color="auto"/>
              <w:bottom w:val="single" w:sz="4" w:space="0" w:color="auto"/>
            </w:tcBorders>
            <w:hideMark/>
          </w:tcPr>
          <w:p w14:paraId="74CC292A" w14:textId="77777777" w:rsidR="00CB12E4" w:rsidRPr="00CB12E4" w:rsidRDefault="00CB12E4" w:rsidP="00122B2E">
            <w:pPr>
              <w:rPr>
                <w:rFonts w:ascii="Arial" w:hAnsi="Arial" w:cs="Arial"/>
                <w:b/>
                <w:sz w:val="20"/>
                <w:szCs w:val="20"/>
              </w:rPr>
            </w:pPr>
            <w:r w:rsidRPr="00CB12E4">
              <w:rPr>
                <w:rFonts w:ascii="Arial" w:hAnsi="Arial" w:cs="Arial"/>
                <w:b/>
                <w:sz w:val="20"/>
                <w:szCs w:val="20"/>
              </w:rPr>
              <w:t>% of variance</w:t>
            </w:r>
          </w:p>
        </w:tc>
        <w:tc>
          <w:tcPr>
            <w:tcW w:w="1970" w:type="dxa"/>
            <w:tcBorders>
              <w:top w:val="single" w:sz="4" w:space="0" w:color="auto"/>
              <w:bottom w:val="single" w:sz="4" w:space="0" w:color="auto"/>
            </w:tcBorders>
          </w:tcPr>
          <w:p w14:paraId="57542991" w14:textId="77777777" w:rsidR="00CB12E4" w:rsidRPr="00CB12E4" w:rsidRDefault="00CB12E4" w:rsidP="00122B2E">
            <w:pPr>
              <w:rPr>
                <w:rFonts w:ascii="Arial" w:hAnsi="Arial" w:cs="Arial"/>
                <w:b/>
                <w:sz w:val="20"/>
                <w:szCs w:val="20"/>
              </w:rPr>
            </w:pPr>
            <w:r w:rsidRPr="00CB12E4">
              <w:rPr>
                <w:rFonts w:ascii="Arial" w:hAnsi="Arial" w:cs="Arial"/>
                <w:b/>
                <w:sz w:val="20"/>
                <w:szCs w:val="20"/>
              </w:rPr>
              <w:t>Cumulative %</w:t>
            </w:r>
          </w:p>
          <w:p w14:paraId="52CB7C83" w14:textId="77777777" w:rsidR="00CB12E4" w:rsidRPr="00CB12E4" w:rsidRDefault="00CB12E4" w:rsidP="00122B2E">
            <w:pPr>
              <w:rPr>
                <w:rFonts w:ascii="Arial" w:hAnsi="Arial" w:cs="Arial"/>
                <w:b/>
                <w:sz w:val="20"/>
                <w:szCs w:val="20"/>
              </w:rPr>
            </w:pPr>
          </w:p>
        </w:tc>
      </w:tr>
      <w:tr w:rsidR="00CB12E4" w:rsidRPr="00CB12E4" w14:paraId="147E4C23" w14:textId="77777777" w:rsidTr="00122B2E">
        <w:trPr>
          <w:trHeight w:val="485"/>
        </w:trPr>
        <w:tc>
          <w:tcPr>
            <w:tcW w:w="2421" w:type="dxa"/>
            <w:tcBorders>
              <w:top w:val="single" w:sz="4" w:space="0" w:color="auto"/>
            </w:tcBorders>
          </w:tcPr>
          <w:p w14:paraId="08C9F525" w14:textId="77777777" w:rsidR="00CB12E4" w:rsidRPr="00CB12E4" w:rsidRDefault="00CB12E4" w:rsidP="00122B2E">
            <w:pPr>
              <w:rPr>
                <w:rFonts w:ascii="Arial" w:hAnsi="Arial" w:cs="Arial"/>
                <w:color w:val="000000"/>
                <w:sz w:val="20"/>
                <w:szCs w:val="20"/>
              </w:rPr>
            </w:pPr>
            <w:r w:rsidRPr="00CB12E4">
              <w:rPr>
                <w:rFonts w:ascii="Arial" w:hAnsi="Arial" w:cs="Arial"/>
                <w:color w:val="000000"/>
                <w:sz w:val="20"/>
                <w:szCs w:val="20"/>
              </w:rPr>
              <w:t>Moisture content</w:t>
            </w:r>
          </w:p>
          <w:p w14:paraId="46CE434A" w14:textId="77777777" w:rsidR="00CB12E4" w:rsidRPr="00CB12E4" w:rsidRDefault="00CB12E4" w:rsidP="00122B2E">
            <w:pPr>
              <w:rPr>
                <w:rFonts w:ascii="Arial" w:hAnsi="Arial" w:cs="Arial"/>
                <w:sz w:val="20"/>
                <w:szCs w:val="20"/>
                <w:u w:val="single"/>
              </w:rPr>
            </w:pPr>
          </w:p>
        </w:tc>
        <w:tc>
          <w:tcPr>
            <w:tcW w:w="1443" w:type="dxa"/>
            <w:tcBorders>
              <w:top w:val="single" w:sz="4" w:space="0" w:color="auto"/>
            </w:tcBorders>
            <w:hideMark/>
          </w:tcPr>
          <w:p w14:paraId="71F84638" w14:textId="77777777" w:rsidR="00CB12E4" w:rsidRPr="00CB12E4" w:rsidRDefault="00CB12E4" w:rsidP="00122B2E">
            <w:pPr>
              <w:rPr>
                <w:rFonts w:ascii="Arial" w:hAnsi="Arial" w:cs="Arial"/>
                <w:sz w:val="20"/>
                <w:szCs w:val="20"/>
              </w:rPr>
            </w:pPr>
            <w:r w:rsidRPr="00CB12E4">
              <w:rPr>
                <w:rFonts w:ascii="Arial" w:hAnsi="Arial" w:cs="Arial"/>
                <w:sz w:val="20"/>
                <w:szCs w:val="20"/>
              </w:rPr>
              <w:t>PC1</w:t>
            </w:r>
          </w:p>
        </w:tc>
        <w:tc>
          <w:tcPr>
            <w:tcW w:w="1564" w:type="dxa"/>
            <w:tcBorders>
              <w:top w:val="single" w:sz="4" w:space="0" w:color="auto"/>
            </w:tcBorders>
            <w:hideMark/>
          </w:tcPr>
          <w:p w14:paraId="5CAAD877" w14:textId="77777777" w:rsidR="00CB12E4" w:rsidRPr="00CB12E4" w:rsidRDefault="00CB12E4" w:rsidP="00122B2E">
            <w:pPr>
              <w:rPr>
                <w:rFonts w:ascii="Arial" w:hAnsi="Arial" w:cs="Arial"/>
                <w:sz w:val="20"/>
                <w:szCs w:val="20"/>
              </w:rPr>
            </w:pPr>
            <w:r w:rsidRPr="00CB12E4">
              <w:rPr>
                <w:rFonts w:ascii="Arial" w:hAnsi="Arial" w:cs="Arial"/>
                <w:sz w:val="20"/>
                <w:szCs w:val="20"/>
              </w:rPr>
              <w:t>4.109</w:t>
            </w:r>
          </w:p>
        </w:tc>
        <w:tc>
          <w:tcPr>
            <w:tcW w:w="1952" w:type="dxa"/>
            <w:tcBorders>
              <w:top w:val="single" w:sz="4" w:space="0" w:color="auto"/>
            </w:tcBorders>
            <w:hideMark/>
          </w:tcPr>
          <w:p w14:paraId="213F2C77" w14:textId="77777777" w:rsidR="00CB12E4" w:rsidRPr="00CB12E4" w:rsidRDefault="00CB12E4" w:rsidP="00122B2E">
            <w:pPr>
              <w:rPr>
                <w:rFonts w:ascii="Arial" w:hAnsi="Arial" w:cs="Arial"/>
                <w:sz w:val="20"/>
                <w:szCs w:val="20"/>
              </w:rPr>
            </w:pPr>
            <w:r w:rsidRPr="00CB12E4">
              <w:rPr>
                <w:rFonts w:ascii="Arial" w:hAnsi="Arial" w:cs="Arial"/>
                <w:sz w:val="20"/>
                <w:szCs w:val="20"/>
              </w:rPr>
              <w:t>31.606</w:t>
            </w:r>
          </w:p>
        </w:tc>
        <w:tc>
          <w:tcPr>
            <w:tcW w:w="1970" w:type="dxa"/>
            <w:tcBorders>
              <w:top w:val="single" w:sz="4" w:space="0" w:color="auto"/>
            </w:tcBorders>
            <w:hideMark/>
          </w:tcPr>
          <w:p w14:paraId="0F99A5E7" w14:textId="77777777" w:rsidR="00CB12E4" w:rsidRPr="00CB12E4" w:rsidRDefault="00CB12E4" w:rsidP="00122B2E">
            <w:pPr>
              <w:rPr>
                <w:rFonts w:ascii="Arial" w:hAnsi="Arial" w:cs="Arial"/>
                <w:sz w:val="20"/>
                <w:szCs w:val="20"/>
              </w:rPr>
            </w:pPr>
            <w:r w:rsidRPr="00CB12E4">
              <w:rPr>
                <w:rFonts w:ascii="Arial" w:hAnsi="Arial" w:cs="Arial"/>
                <w:sz w:val="20"/>
                <w:szCs w:val="20"/>
              </w:rPr>
              <w:t>31.606</w:t>
            </w:r>
          </w:p>
        </w:tc>
      </w:tr>
      <w:tr w:rsidR="00CB12E4" w:rsidRPr="00CB12E4" w14:paraId="7FB3F2DC" w14:textId="77777777" w:rsidTr="00122B2E">
        <w:trPr>
          <w:trHeight w:val="242"/>
        </w:trPr>
        <w:tc>
          <w:tcPr>
            <w:tcW w:w="2421" w:type="dxa"/>
          </w:tcPr>
          <w:p w14:paraId="4C3B9D8D" w14:textId="77777777" w:rsidR="00CB12E4" w:rsidRPr="00CB12E4" w:rsidRDefault="00CB12E4" w:rsidP="00122B2E">
            <w:pPr>
              <w:rPr>
                <w:rFonts w:ascii="Arial" w:hAnsi="Arial" w:cs="Arial"/>
                <w:color w:val="000000"/>
                <w:sz w:val="20"/>
                <w:szCs w:val="20"/>
              </w:rPr>
            </w:pPr>
            <w:r w:rsidRPr="00CB12E4">
              <w:rPr>
                <w:rFonts w:ascii="Arial" w:hAnsi="Arial" w:cs="Arial"/>
                <w:color w:val="000000"/>
                <w:sz w:val="20"/>
                <w:szCs w:val="20"/>
              </w:rPr>
              <w:t>Bulk density</w:t>
            </w:r>
          </w:p>
          <w:p w14:paraId="261804F6" w14:textId="77777777" w:rsidR="00CB12E4" w:rsidRPr="00CB12E4" w:rsidRDefault="00CB12E4" w:rsidP="00122B2E">
            <w:pPr>
              <w:rPr>
                <w:rFonts w:ascii="Arial" w:hAnsi="Arial" w:cs="Arial"/>
                <w:sz w:val="20"/>
                <w:szCs w:val="20"/>
                <w:u w:val="single"/>
              </w:rPr>
            </w:pPr>
          </w:p>
        </w:tc>
        <w:tc>
          <w:tcPr>
            <w:tcW w:w="1443" w:type="dxa"/>
            <w:hideMark/>
          </w:tcPr>
          <w:p w14:paraId="028329F0" w14:textId="77777777" w:rsidR="00CB12E4" w:rsidRPr="00CB12E4" w:rsidRDefault="00CB12E4" w:rsidP="00122B2E">
            <w:pPr>
              <w:rPr>
                <w:rFonts w:ascii="Arial" w:hAnsi="Arial" w:cs="Arial"/>
                <w:sz w:val="20"/>
                <w:szCs w:val="20"/>
              </w:rPr>
            </w:pPr>
            <w:r w:rsidRPr="00CB12E4">
              <w:rPr>
                <w:rFonts w:ascii="Arial" w:hAnsi="Arial" w:cs="Arial"/>
                <w:sz w:val="20"/>
                <w:szCs w:val="20"/>
              </w:rPr>
              <w:t>PC2</w:t>
            </w:r>
          </w:p>
        </w:tc>
        <w:tc>
          <w:tcPr>
            <w:tcW w:w="1564" w:type="dxa"/>
            <w:hideMark/>
          </w:tcPr>
          <w:p w14:paraId="7CEC841F" w14:textId="77777777" w:rsidR="00CB12E4" w:rsidRPr="00CB12E4" w:rsidRDefault="00CB12E4" w:rsidP="00122B2E">
            <w:pPr>
              <w:rPr>
                <w:rFonts w:ascii="Arial" w:hAnsi="Arial" w:cs="Arial"/>
                <w:sz w:val="20"/>
                <w:szCs w:val="20"/>
              </w:rPr>
            </w:pPr>
            <w:r w:rsidRPr="00CB12E4">
              <w:rPr>
                <w:rFonts w:ascii="Arial" w:hAnsi="Arial" w:cs="Arial"/>
                <w:sz w:val="20"/>
                <w:szCs w:val="20"/>
              </w:rPr>
              <w:t>2.286</w:t>
            </w:r>
          </w:p>
        </w:tc>
        <w:tc>
          <w:tcPr>
            <w:tcW w:w="1952" w:type="dxa"/>
            <w:hideMark/>
          </w:tcPr>
          <w:p w14:paraId="1895925A" w14:textId="77777777" w:rsidR="00CB12E4" w:rsidRPr="00CB12E4" w:rsidRDefault="00CB12E4" w:rsidP="00122B2E">
            <w:pPr>
              <w:rPr>
                <w:rFonts w:ascii="Arial" w:hAnsi="Arial" w:cs="Arial"/>
                <w:sz w:val="20"/>
                <w:szCs w:val="20"/>
              </w:rPr>
            </w:pPr>
            <w:r w:rsidRPr="00CB12E4">
              <w:rPr>
                <w:rFonts w:ascii="Arial" w:hAnsi="Arial" w:cs="Arial"/>
                <w:sz w:val="20"/>
                <w:szCs w:val="20"/>
              </w:rPr>
              <w:t>17.582</w:t>
            </w:r>
          </w:p>
        </w:tc>
        <w:tc>
          <w:tcPr>
            <w:tcW w:w="1970" w:type="dxa"/>
            <w:hideMark/>
          </w:tcPr>
          <w:p w14:paraId="3D1C3F44" w14:textId="77777777" w:rsidR="00CB12E4" w:rsidRPr="00CB12E4" w:rsidRDefault="00CB12E4" w:rsidP="00122B2E">
            <w:pPr>
              <w:rPr>
                <w:rFonts w:ascii="Arial" w:hAnsi="Arial" w:cs="Arial"/>
                <w:sz w:val="20"/>
                <w:szCs w:val="20"/>
              </w:rPr>
            </w:pPr>
            <w:r w:rsidRPr="00CB12E4">
              <w:rPr>
                <w:rFonts w:ascii="Arial" w:hAnsi="Arial" w:cs="Arial"/>
                <w:sz w:val="20"/>
                <w:szCs w:val="20"/>
              </w:rPr>
              <w:t>49.188</w:t>
            </w:r>
          </w:p>
        </w:tc>
      </w:tr>
      <w:tr w:rsidR="00CB12E4" w:rsidRPr="00CB12E4" w14:paraId="7C3FC740" w14:textId="77777777" w:rsidTr="00122B2E">
        <w:trPr>
          <w:trHeight w:val="169"/>
        </w:trPr>
        <w:tc>
          <w:tcPr>
            <w:tcW w:w="2421" w:type="dxa"/>
          </w:tcPr>
          <w:p w14:paraId="3578D5FD" w14:textId="77777777" w:rsidR="00CB12E4" w:rsidRPr="00CB12E4" w:rsidRDefault="00CB12E4" w:rsidP="00122B2E">
            <w:pPr>
              <w:rPr>
                <w:rFonts w:ascii="Arial" w:hAnsi="Arial" w:cs="Arial"/>
                <w:sz w:val="20"/>
                <w:szCs w:val="20"/>
              </w:rPr>
            </w:pPr>
            <w:r w:rsidRPr="00CB12E4">
              <w:rPr>
                <w:rFonts w:ascii="Arial" w:hAnsi="Arial" w:cs="Arial"/>
                <w:sz w:val="20"/>
                <w:szCs w:val="20"/>
              </w:rPr>
              <w:t>Basic density</w:t>
            </w:r>
          </w:p>
          <w:p w14:paraId="77B60C52" w14:textId="77777777" w:rsidR="00CB12E4" w:rsidRPr="00CB12E4" w:rsidRDefault="00CB12E4" w:rsidP="00122B2E">
            <w:pPr>
              <w:rPr>
                <w:rFonts w:ascii="Arial" w:hAnsi="Arial" w:cs="Arial"/>
                <w:sz w:val="20"/>
                <w:szCs w:val="20"/>
                <w:u w:val="single"/>
              </w:rPr>
            </w:pPr>
          </w:p>
        </w:tc>
        <w:tc>
          <w:tcPr>
            <w:tcW w:w="1443" w:type="dxa"/>
            <w:hideMark/>
          </w:tcPr>
          <w:p w14:paraId="1E039596" w14:textId="77777777" w:rsidR="00CB12E4" w:rsidRPr="00CB12E4" w:rsidRDefault="00CB12E4" w:rsidP="00122B2E">
            <w:pPr>
              <w:rPr>
                <w:rFonts w:ascii="Arial" w:hAnsi="Arial" w:cs="Arial"/>
                <w:sz w:val="20"/>
                <w:szCs w:val="20"/>
              </w:rPr>
            </w:pPr>
            <w:r w:rsidRPr="00CB12E4">
              <w:rPr>
                <w:rFonts w:ascii="Arial" w:hAnsi="Arial" w:cs="Arial"/>
                <w:sz w:val="20"/>
                <w:szCs w:val="20"/>
              </w:rPr>
              <w:t>PC3</w:t>
            </w:r>
          </w:p>
        </w:tc>
        <w:tc>
          <w:tcPr>
            <w:tcW w:w="1564" w:type="dxa"/>
            <w:hideMark/>
          </w:tcPr>
          <w:p w14:paraId="0A8E4F45" w14:textId="77777777" w:rsidR="00CB12E4" w:rsidRPr="00CB12E4" w:rsidRDefault="00CB12E4" w:rsidP="00122B2E">
            <w:pPr>
              <w:rPr>
                <w:rFonts w:ascii="Arial" w:hAnsi="Arial" w:cs="Arial"/>
                <w:sz w:val="20"/>
                <w:szCs w:val="20"/>
              </w:rPr>
            </w:pPr>
            <w:r w:rsidRPr="00CB12E4">
              <w:rPr>
                <w:rFonts w:ascii="Arial" w:hAnsi="Arial" w:cs="Arial"/>
                <w:sz w:val="20"/>
                <w:szCs w:val="20"/>
              </w:rPr>
              <w:t>1.961</w:t>
            </w:r>
          </w:p>
        </w:tc>
        <w:tc>
          <w:tcPr>
            <w:tcW w:w="1952" w:type="dxa"/>
            <w:hideMark/>
          </w:tcPr>
          <w:p w14:paraId="1083D140" w14:textId="77777777" w:rsidR="00CB12E4" w:rsidRPr="00CB12E4" w:rsidRDefault="00CB12E4" w:rsidP="00122B2E">
            <w:pPr>
              <w:rPr>
                <w:rFonts w:ascii="Arial" w:hAnsi="Arial" w:cs="Arial"/>
                <w:sz w:val="20"/>
                <w:szCs w:val="20"/>
              </w:rPr>
            </w:pPr>
            <w:r w:rsidRPr="00CB12E4">
              <w:rPr>
                <w:rFonts w:ascii="Arial" w:hAnsi="Arial" w:cs="Arial"/>
                <w:sz w:val="20"/>
                <w:szCs w:val="20"/>
              </w:rPr>
              <w:t>15.083</w:t>
            </w:r>
          </w:p>
        </w:tc>
        <w:tc>
          <w:tcPr>
            <w:tcW w:w="1970" w:type="dxa"/>
            <w:hideMark/>
          </w:tcPr>
          <w:p w14:paraId="2BFF4D28" w14:textId="77777777" w:rsidR="00CB12E4" w:rsidRPr="00CB12E4" w:rsidRDefault="00CB12E4" w:rsidP="00122B2E">
            <w:pPr>
              <w:rPr>
                <w:rFonts w:ascii="Arial" w:hAnsi="Arial" w:cs="Arial"/>
                <w:sz w:val="20"/>
                <w:szCs w:val="20"/>
              </w:rPr>
            </w:pPr>
            <w:r w:rsidRPr="00CB12E4">
              <w:rPr>
                <w:rFonts w:ascii="Arial" w:hAnsi="Arial" w:cs="Arial"/>
                <w:sz w:val="20"/>
                <w:szCs w:val="20"/>
              </w:rPr>
              <w:t>64.271</w:t>
            </w:r>
          </w:p>
        </w:tc>
      </w:tr>
      <w:tr w:rsidR="00CB12E4" w:rsidRPr="00CB12E4" w14:paraId="5D091DA2" w14:textId="77777777" w:rsidTr="00122B2E">
        <w:trPr>
          <w:trHeight w:val="217"/>
        </w:trPr>
        <w:tc>
          <w:tcPr>
            <w:tcW w:w="2421" w:type="dxa"/>
          </w:tcPr>
          <w:p w14:paraId="35CBECA5" w14:textId="77777777" w:rsidR="00CB12E4" w:rsidRPr="00CB12E4" w:rsidRDefault="00CB12E4" w:rsidP="00122B2E">
            <w:pPr>
              <w:rPr>
                <w:rFonts w:ascii="Arial" w:hAnsi="Arial" w:cs="Arial"/>
                <w:sz w:val="20"/>
                <w:szCs w:val="20"/>
              </w:rPr>
            </w:pPr>
            <w:r w:rsidRPr="00CB12E4">
              <w:rPr>
                <w:rFonts w:ascii="Arial" w:hAnsi="Arial" w:cs="Arial"/>
                <w:sz w:val="20"/>
                <w:szCs w:val="20"/>
              </w:rPr>
              <w:t>Specific gravity</w:t>
            </w:r>
          </w:p>
          <w:p w14:paraId="6B423C4C" w14:textId="77777777" w:rsidR="00CB12E4" w:rsidRPr="00CB12E4" w:rsidRDefault="00CB12E4" w:rsidP="00122B2E">
            <w:pPr>
              <w:rPr>
                <w:rFonts w:ascii="Arial" w:hAnsi="Arial" w:cs="Arial"/>
                <w:sz w:val="20"/>
                <w:szCs w:val="20"/>
              </w:rPr>
            </w:pPr>
          </w:p>
        </w:tc>
        <w:tc>
          <w:tcPr>
            <w:tcW w:w="1443" w:type="dxa"/>
            <w:hideMark/>
          </w:tcPr>
          <w:p w14:paraId="67101EF3" w14:textId="77777777" w:rsidR="00CB12E4" w:rsidRPr="00CB12E4" w:rsidRDefault="00CB12E4" w:rsidP="00122B2E">
            <w:pPr>
              <w:rPr>
                <w:rFonts w:ascii="Arial" w:hAnsi="Arial" w:cs="Arial"/>
                <w:sz w:val="20"/>
                <w:szCs w:val="20"/>
              </w:rPr>
            </w:pPr>
            <w:r w:rsidRPr="00CB12E4">
              <w:rPr>
                <w:rFonts w:ascii="Arial" w:hAnsi="Arial" w:cs="Arial"/>
                <w:sz w:val="20"/>
                <w:szCs w:val="20"/>
              </w:rPr>
              <w:t>PC4</w:t>
            </w:r>
          </w:p>
        </w:tc>
        <w:tc>
          <w:tcPr>
            <w:tcW w:w="1564" w:type="dxa"/>
            <w:hideMark/>
          </w:tcPr>
          <w:p w14:paraId="70804D7B" w14:textId="77777777" w:rsidR="00CB12E4" w:rsidRPr="00CB12E4" w:rsidRDefault="00CB12E4" w:rsidP="00122B2E">
            <w:pPr>
              <w:rPr>
                <w:rFonts w:ascii="Arial" w:hAnsi="Arial" w:cs="Arial"/>
                <w:sz w:val="20"/>
                <w:szCs w:val="20"/>
              </w:rPr>
            </w:pPr>
            <w:r w:rsidRPr="00CB12E4">
              <w:rPr>
                <w:rFonts w:ascii="Arial" w:hAnsi="Arial" w:cs="Arial"/>
                <w:sz w:val="20"/>
                <w:szCs w:val="20"/>
              </w:rPr>
              <w:t>1.533</w:t>
            </w:r>
          </w:p>
        </w:tc>
        <w:tc>
          <w:tcPr>
            <w:tcW w:w="1952" w:type="dxa"/>
            <w:hideMark/>
          </w:tcPr>
          <w:p w14:paraId="05295588" w14:textId="77777777" w:rsidR="00CB12E4" w:rsidRPr="00CB12E4" w:rsidRDefault="00CB12E4" w:rsidP="00122B2E">
            <w:pPr>
              <w:rPr>
                <w:rFonts w:ascii="Arial" w:hAnsi="Arial" w:cs="Arial"/>
                <w:sz w:val="20"/>
                <w:szCs w:val="20"/>
              </w:rPr>
            </w:pPr>
            <w:r w:rsidRPr="00CB12E4">
              <w:rPr>
                <w:rFonts w:ascii="Arial" w:hAnsi="Arial" w:cs="Arial"/>
                <w:sz w:val="20"/>
                <w:szCs w:val="20"/>
              </w:rPr>
              <w:t>11.789</w:t>
            </w:r>
          </w:p>
        </w:tc>
        <w:tc>
          <w:tcPr>
            <w:tcW w:w="1970" w:type="dxa"/>
            <w:hideMark/>
          </w:tcPr>
          <w:p w14:paraId="1DC300F9" w14:textId="77777777" w:rsidR="00CB12E4" w:rsidRPr="00CB12E4" w:rsidRDefault="00CB12E4" w:rsidP="00122B2E">
            <w:pPr>
              <w:rPr>
                <w:rFonts w:ascii="Arial" w:hAnsi="Arial" w:cs="Arial"/>
                <w:sz w:val="20"/>
                <w:szCs w:val="20"/>
              </w:rPr>
            </w:pPr>
            <w:r w:rsidRPr="00CB12E4">
              <w:rPr>
                <w:rFonts w:ascii="Arial" w:hAnsi="Arial" w:cs="Arial"/>
                <w:sz w:val="20"/>
                <w:szCs w:val="20"/>
              </w:rPr>
              <w:t>76.060</w:t>
            </w:r>
          </w:p>
        </w:tc>
      </w:tr>
      <w:tr w:rsidR="00CB12E4" w:rsidRPr="00CB12E4" w14:paraId="1467D196" w14:textId="77777777" w:rsidTr="00122B2E">
        <w:trPr>
          <w:trHeight w:val="209"/>
        </w:trPr>
        <w:tc>
          <w:tcPr>
            <w:tcW w:w="2421" w:type="dxa"/>
          </w:tcPr>
          <w:p w14:paraId="41C2AD23" w14:textId="77777777" w:rsidR="00CB12E4" w:rsidRPr="00CB12E4" w:rsidRDefault="00CB12E4" w:rsidP="00122B2E">
            <w:pPr>
              <w:rPr>
                <w:rFonts w:ascii="Arial" w:hAnsi="Arial" w:cs="Arial"/>
                <w:sz w:val="20"/>
                <w:szCs w:val="20"/>
              </w:rPr>
            </w:pPr>
            <w:r w:rsidRPr="00CB12E4">
              <w:rPr>
                <w:rFonts w:ascii="Arial" w:hAnsi="Arial" w:cs="Arial"/>
                <w:sz w:val="20"/>
                <w:szCs w:val="20"/>
              </w:rPr>
              <w:lastRenderedPageBreak/>
              <w:t>AB extractive</w:t>
            </w:r>
          </w:p>
          <w:p w14:paraId="6478F706" w14:textId="77777777" w:rsidR="00CB12E4" w:rsidRPr="00CB12E4" w:rsidRDefault="00CB12E4" w:rsidP="00122B2E">
            <w:pPr>
              <w:rPr>
                <w:rFonts w:ascii="Arial" w:hAnsi="Arial" w:cs="Arial"/>
                <w:sz w:val="20"/>
                <w:szCs w:val="20"/>
              </w:rPr>
            </w:pPr>
          </w:p>
        </w:tc>
        <w:tc>
          <w:tcPr>
            <w:tcW w:w="1443" w:type="dxa"/>
            <w:hideMark/>
          </w:tcPr>
          <w:p w14:paraId="0FA97CD2" w14:textId="77777777" w:rsidR="00CB12E4" w:rsidRPr="00CB12E4" w:rsidRDefault="00CB12E4" w:rsidP="00122B2E">
            <w:pPr>
              <w:rPr>
                <w:rFonts w:ascii="Arial" w:hAnsi="Arial" w:cs="Arial"/>
                <w:sz w:val="20"/>
                <w:szCs w:val="20"/>
              </w:rPr>
            </w:pPr>
            <w:r w:rsidRPr="00CB12E4">
              <w:rPr>
                <w:rFonts w:ascii="Arial" w:hAnsi="Arial" w:cs="Arial"/>
                <w:sz w:val="20"/>
                <w:szCs w:val="20"/>
              </w:rPr>
              <w:t>PC5</w:t>
            </w:r>
          </w:p>
        </w:tc>
        <w:tc>
          <w:tcPr>
            <w:tcW w:w="1564" w:type="dxa"/>
            <w:hideMark/>
          </w:tcPr>
          <w:p w14:paraId="74263D62" w14:textId="77777777" w:rsidR="00CB12E4" w:rsidRPr="00CB12E4" w:rsidRDefault="00CB12E4" w:rsidP="00122B2E">
            <w:pPr>
              <w:rPr>
                <w:rFonts w:ascii="Arial" w:hAnsi="Arial" w:cs="Arial"/>
                <w:sz w:val="20"/>
                <w:szCs w:val="20"/>
              </w:rPr>
            </w:pPr>
            <w:r w:rsidRPr="00CB12E4">
              <w:rPr>
                <w:rFonts w:ascii="Arial" w:hAnsi="Arial" w:cs="Arial"/>
                <w:sz w:val="20"/>
                <w:szCs w:val="20"/>
              </w:rPr>
              <w:t>1.174</w:t>
            </w:r>
          </w:p>
        </w:tc>
        <w:tc>
          <w:tcPr>
            <w:tcW w:w="1952" w:type="dxa"/>
            <w:hideMark/>
          </w:tcPr>
          <w:p w14:paraId="7A0DC22C" w14:textId="77777777" w:rsidR="00CB12E4" w:rsidRPr="00CB12E4" w:rsidRDefault="00CB12E4" w:rsidP="00122B2E">
            <w:pPr>
              <w:rPr>
                <w:rFonts w:ascii="Arial" w:hAnsi="Arial" w:cs="Arial"/>
                <w:sz w:val="20"/>
                <w:szCs w:val="20"/>
              </w:rPr>
            </w:pPr>
            <w:r w:rsidRPr="00CB12E4">
              <w:rPr>
                <w:rFonts w:ascii="Arial" w:hAnsi="Arial" w:cs="Arial"/>
                <w:sz w:val="20"/>
                <w:szCs w:val="20"/>
              </w:rPr>
              <w:t>9.032</w:t>
            </w:r>
          </w:p>
        </w:tc>
        <w:tc>
          <w:tcPr>
            <w:tcW w:w="1970" w:type="dxa"/>
            <w:hideMark/>
          </w:tcPr>
          <w:p w14:paraId="7CDF0FA3" w14:textId="77777777" w:rsidR="00CB12E4" w:rsidRPr="00CB12E4" w:rsidRDefault="00CB12E4" w:rsidP="00122B2E">
            <w:pPr>
              <w:rPr>
                <w:rFonts w:ascii="Arial" w:hAnsi="Arial" w:cs="Arial"/>
                <w:sz w:val="20"/>
                <w:szCs w:val="20"/>
              </w:rPr>
            </w:pPr>
            <w:r w:rsidRPr="00CB12E4">
              <w:rPr>
                <w:rFonts w:ascii="Arial" w:hAnsi="Arial" w:cs="Arial"/>
                <w:sz w:val="20"/>
                <w:szCs w:val="20"/>
              </w:rPr>
              <w:t>85.092</w:t>
            </w:r>
          </w:p>
        </w:tc>
      </w:tr>
      <w:tr w:rsidR="00CB12E4" w:rsidRPr="00CB12E4" w14:paraId="023F8706" w14:textId="77777777" w:rsidTr="00122B2E">
        <w:trPr>
          <w:trHeight w:val="339"/>
        </w:trPr>
        <w:tc>
          <w:tcPr>
            <w:tcW w:w="2421" w:type="dxa"/>
            <w:hideMark/>
          </w:tcPr>
          <w:p w14:paraId="6DE01439" w14:textId="77777777" w:rsidR="00CB12E4" w:rsidRPr="00CB12E4" w:rsidRDefault="00CB12E4" w:rsidP="00122B2E">
            <w:pPr>
              <w:rPr>
                <w:rFonts w:ascii="Arial" w:hAnsi="Arial" w:cs="Arial"/>
                <w:sz w:val="20"/>
                <w:szCs w:val="20"/>
              </w:rPr>
            </w:pPr>
            <w:r w:rsidRPr="00CB12E4">
              <w:rPr>
                <w:rFonts w:ascii="Arial" w:hAnsi="Arial" w:cs="Arial"/>
                <w:sz w:val="20"/>
                <w:szCs w:val="20"/>
              </w:rPr>
              <w:t>Acid insoluble lignin</w:t>
            </w:r>
          </w:p>
        </w:tc>
        <w:tc>
          <w:tcPr>
            <w:tcW w:w="1443" w:type="dxa"/>
            <w:hideMark/>
          </w:tcPr>
          <w:p w14:paraId="4874B968" w14:textId="77777777" w:rsidR="00CB12E4" w:rsidRPr="00CB12E4" w:rsidRDefault="00CB12E4" w:rsidP="00122B2E">
            <w:pPr>
              <w:rPr>
                <w:rFonts w:ascii="Arial" w:hAnsi="Arial" w:cs="Arial"/>
                <w:sz w:val="20"/>
                <w:szCs w:val="20"/>
              </w:rPr>
            </w:pPr>
            <w:r w:rsidRPr="00CB12E4">
              <w:rPr>
                <w:rFonts w:ascii="Arial" w:hAnsi="Arial" w:cs="Arial"/>
                <w:sz w:val="20"/>
                <w:szCs w:val="20"/>
              </w:rPr>
              <w:t>PC6</w:t>
            </w:r>
          </w:p>
        </w:tc>
        <w:tc>
          <w:tcPr>
            <w:tcW w:w="1564" w:type="dxa"/>
            <w:hideMark/>
          </w:tcPr>
          <w:p w14:paraId="40F9976F" w14:textId="77777777" w:rsidR="00CB12E4" w:rsidRPr="00CB12E4" w:rsidRDefault="00CB12E4" w:rsidP="00122B2E">
            <w:pPr>
              <w:rPr>
                <w:rFonts w:ascii="Arial" w:hAnsi="Arial" w:cs="Arial"/>
                <w:sz w:val="20"/>
                <w:szCs w:val="20"/>
              </w:rPr>
            </w:pPr>
            <w:r w:rsidRPr="00CB12E4">
              <w:rPr>
                <w:rFonts w:ascii="Arial" w:hAnsi="Arial" w:cs="Arial"/>
                <w:sz w:val="20"/>
                <w:szCs w:val="20"/>
              </w:rPr>
              <w:t>0.720</w:t>
            </w:r>
          </w:p>
        </w:tc>
        <w:tc>
          <w:tcPr>
            <w:tcW w:w="1952" w:type="dxa"/>
            <w:hideMark/>
          </w:tcPr>
          <w:p w14:paraId="42335032" w14:textId="77777777" w:rsidR="00CB12E4" w:rsidRPr="00CB12E4" w:rsidRDefault="00CB12E4" w:rsidP="00122B2E">
            <w:pPr>
              <w:rPr>
                <w:rFonts w:ascii="Arial" w:hAnsi="Arial" w:cs="Arial"/>
                <w:sz w:val="20"/>
                <w:szCs w:val="20"/>
              </w:rPr>
            </w:pPr>
            <w:r w:rsidRPr="00CB12E4">
              <w:rPr>
                <w:rFonts w:ascii="Arial" w:hAnsi="Arial" w:cs="Arial"/>
                <w:sz w:val="20"/>
                <w:szCs w:val="20"/>
              </w:rPr>
              <w:t>5.538</w:t>
            </w:r>
          </w:p>
        </w:tc>
        <w:tc>
          <w:tcPr>
            <w:tcW w:w="1970" w:type="dxa"/>
            <w:hideMark/>
          </w:tcPr>
          <w:p w14:paraId="459863F5" w14:textId="77777777" w:rsidR="00CB12E4" w:rsidRPr="00CB12E4" w:rsidRDefault="00CB12E4" w:rsidP="00122B2E">
            <w:pPr>
              <w:rPr>
                <w:rFonts w:ascii="Arial" w:hAnsi="Arial" w:cs="Arial"/>
                <w:sz w:val="20"/>
                <w:szCs w:val="20"/>
              </w:rPr>
            </w:pPr>
            <w:r w:rsidRPr="00CB12E4">
              <w:rPr>
                <w:rFonts w:ascii="Arial" w:hAnsi="Arial" w:cs="Arial"/>
                <w:sz w:val="20"/>
                <w:szCs w:val="20"/>
              </w:rPr>
              <w:t>90.631</w:t>
            </w:r>
          </w:p>
        </w:tc>
      </w:tr>
      <w:tr w:rsidR="00CB12E4" w:rsidRPr="00CB12E4" w14:paraId="604198C2" w14:textId="77777777" w:rsidTr="00122B2E">
        <w:trPr>
          <w:trHeight w:val="493"/>
        </w:trPr>
        <w:tc>
          <w:tcPr>
            <w:tcW w:w="2421" w:type="dxa"/>
            <w:hideMark/>
          </w:tcPr>
          <w:p w14:paraId="5A2B9C90" w14:textId="77777777" w:rsidR="00CB12E4" w:rsidRPr="00CB12E4" w:rsidRDefault="00CB12E4" w:rsidP="00122B2E">
            <w:pPr>
              <w:rPr>
                <w:rFonts w:ascii="Arial" w:hAnsi="Arial" w:cs="Arial"/>
                <w:sz w:val="20"/>
                <w:szCs w:val="20"/>
              </w:rPr>
            </w:pPr>
            <w:r w:rsidRPr="00CB12E4">
              <w:rPr>
                <w:rFonts w:ascii="Arial" w:hAnsi="Arial" w:cs="Arial"/>
                <w:sz w:val="20"/>
                <w:szCs w:val="20"/>
              </w:rPr>
              <w:t>Holocellulose</w:t>
            </w:r>
          </w:p>
        </w:tc>
        <w:tc>
          <w:tcPr>
            <w:tcW w:w="1443" w:type="dxa"/>
            <w:hideMark/>
          </w:tcPr>
          <w:p w14:paraId="562220AC" w14:textId="77777777" w:rsidR="00CB12E4" w:rsidRPr="00CB12E4" w:rsidRDefault="00CB12E4" w:rsidP="00122B2E">
            <w:pPr>
              <w:rPr>
                <w:rFonts w:ascii="Arial" w:hAnsi="Arial" w:cs="Arial"/>
                <w:sz w:val="20"/>
                <w:szCs w:val="20"/>
              </w:rPr>
            </w:pPr>
            <w:r w:rsidRPr="00CB12E4">
              <w:rPr>
                <w:rFonts w:ascii="Arial" w:hAnsi="Arial" w:cs="Arial"/>
                <w:sz w:val="20"/>
                <w:szCs w:val="20"/>
              </w:rPr>
              <w:t>PC7</w:t>
            </w:r>
          </w:p>
        </w:tc>
        <w:tc>
          <w:tcPr>
            <w:tcW w:w="1564" w:type="dxa"/>
            <w:hideMark/>
          </w:tcPr>
          <w:p w14:paraId="764C4797" w14:textId="77777777" w:rsidR="00CB12E4" w:rsidRPr="00CB12E4" w:rsidRDefault="00CB12E4" w:rsidP="00122B2E">
            <w:pPr>
              <w:rPr>
                <w:rFonts w:ascii="Arial" w:hAnsi="Arial" w:cs="Arial"/>
                <w:sz w:val="20"/>
                <w:szCs w:val="20"/>
              </w:rPr>
            </w:pPr>
            <w:r w:rsidRPr="00CB12E4">
              <w:rPr>
                <w:rFonts w:ascii="Arial" w:hAnsi="Arial" w:cs="Arial"/>
                <w:sz w:val="20"/>
                <w:szCs w:val="20"/>
              </w:rPr>
              <w:t>0.619</w:t>
            </w:r>
          </w:p>
        </w:tc>
        <w:tc>
          <w:tcPr>
            <w:tcW w:w="1952" w:type="dxa"/>
            <w:hideMark/>
          </w:tcPr>
          <w:p w14:paraId="67635547" w14:textId="77777777" w:rsidR="00CB12E4" w:rsidRPr="00CB12E4" w:rsidRDefault="00CB12E4" w:rsidP="00122B2E">
            <w:pPr>
              <w:rPr>
                <w:rFonts w:ascii="Arial" w:hAnsi="Arial" w:cs="Arial"/>
                <w:sz w:val="20"/>
                <w:szCs w:val="20"/>
              </w:rPr>
            </w:pPr>
            <w:r w:rsidRPr="00CB12E4">
              <w:rPr>
                <w:rFonts w:ascii="Arial" w:hAnsi="Arial" w:cs="Arial"/>
                <w:sz w:val="20"/>
                <w:szCs w:val="20"/>
              </w:rPr>
              <w:t>4.761</w:t>
            </w:r>
          </w:p>
        </w:tc>
        <w:tc>
          <w:tcPr>
            <w:tcW w:w="1970" w:type="dxa"/>
            <w:hideMark/>
          </w:tcPr>
          <w:p w14:paraId="68CB7482" w14:textId="77777777" w:rsidR="00CB12E4" w:rsidRPr="00CB12E4" w:rsidRDefault="00CB12E4" w:rsidP="00122B2E">
            <w:pPr>
              <w:rPr>
                <w:rFonts w:ascii="Arial" w:hAnsi="Arial" w:cs="Arial"/>
                <w:sz w:val="20"/>
                <w:szCs w:val="20"/>
              </w:rPr>
            </w:pPr>
            <w:r w:rsidRPr="00CB12E4">
              <w:rPr>
                <w:rFonts w:ascii="Arial" w:hAnsi="Arial" w:cs="Arial"/>
                <w:sz w:val="20"/>
                <w:szCs w:val="20"/>
              </w:rPr>
              <w:t>95.391</w:t>
            </w:r>
          </w:p>
        </w:tc>
      </w:tr>
      <w:tr w:rsidR="00CB12E4" w:rsidRPr="00CB12E4" w14:paraId="15B42C3E" w14:textId="77777777" w:rsidTr="00122B2E">
        <w:trPr>
          <w:trHeight w:val="217"/>
        </w:trPr>
        <w:tc>
          <w:tcPr>
            <w:tcW w:w="2421" w:type="dxa"/>
            <w:hideMark/>
          </w:tcPr>
          <w:p w14:paraId="4F8E3C24" w14:textId="77777777" w:rsidR="00CB12E4" w:rsidRPr="00CB12E4" w:rsidRDefault="00CB12E4" w:rsidP="00122B2E">
            <w:pPr>
              <w:rPr>
                <w:rFonts w:ascii="Arial" w:hAnsi="Arial" w:cs="Arial"/>
                <w:sz w:val="20"/>
                <w:szCs w:val="20"/>
              </w:rPr>
            </w:pPr>
            <w:r w:rsidRPr="00CB12E4">
              <w:rPr>
                <w:rFonts w:ascii="Arial" w:hAnsi="Arial" w:cs="Arial"/>
                <w:sz w:val="20"/>
                <w:szCs w:val="20"/>
              </w:rPr>
              <w:t>Ash content</w:t>
            </w:r>
          </w:p>
        </w:tc>
        <w:tc>
          <w:tcPr>
            <w:tcW w:w="1443" w:type="dxa"/>
            <w:hideMark/>
          </w:tcPr>
          <w:p w14:paraId="1EA61FF9" w14:textId="77777777" w:rsidR="00CB12E4" w:rsidRPr="00CB12E4" w:rsidRDefault="00CB12E4" w:rsidP="00122B2E">
            <w:pPr>
              <w:rPr>
                <w:rFonts w:ascii="Arial" w:hAnsi="Arial" w:cs="Arial"/>
                <w:sz w:val="20"/>
                <w:szCs w:val="20"/>
              </w:rPr>
            </w:pPr>
            <w:r w:rsidRPr="00CB12E4">
              <w:rPr>
                <w:rFonts w:ascii="Arial" w:hAnsi="Arial" w:cs="Arial"/>
                <w:sz w:val="20"/>
                <w:szCs w:val="20"/>
              </w:rPr>
              <w:t>PC8</w:t>
            </w:r>
          </w:p>
        </w:tc>
        <w:tc>
          <w:tcPr>
            <w:tcW w:w="1564" w:type="dxa"/>
            <w:hideMark/>
          </w:tcPr>
          <w:p w14:paraId="662566B3" w14:textId="77777777" w:rsidR="00CB12E4" w:rsidRPr="00CB12E4" w:rsidRDefault="00CB12E4" w:rsidP="00122B2E">
            <w:pPr>
              <w:rPr>
                <w:rFonts w:ascii="Arial" w:hAnsi="Arial" w:cs="Arial"/>
                <w:sz w:val="20"/>
                <w:szCs w:val="20"/>
              </w:rPr>
            </w:pPr>
            <w:r w:rsidRPr="00CB12E4">
              <w:rPr>
                <w:rFonts w:ascii="Arial" w:hAnsi="Arial" w:cs="Arial"/>
                <w:sz w:val="20"/>
                <w:szCs w:val="20"/>
              </w:rPr>
              <w:t>0.301</w:t>
            </w:r>
          </w:p>
        </w:tc>
        <w:tc>
          <w:tcPr>
            <w:tcW w:w="1952" w:type="dxa"/>
            <w:hideMark/>
          </w:tcPr>
          <w:p w14:paraId="43E1D9A9" w14:textId="77777777" w:rsidR="00CB12E4" w:rsidRPr="00CB12E4" w:rsidRDefault="00CB12E4" w:rsidP="00122B2E">
            <w:pPr>
              <w:rPr>
                <w:rFonts w:ascii="Arial" w:hAnsi="Arial" w:cs="Arial"/>
                <w:sz w:val="20"/>
                <w:szCs w:val="20"/>
              </w:rPr>
            </w:pPr>
            <w:r w:rsidRPr="00CB12E4">
              <w:rPr>
                <w:rFonts w:ascii="Arial" w:hAnsi="Arial" w:cs="Arial"/>
                <w:sz w:val="20"/>
                <w:szCs w:val="20"/>
              </w:rPr>
              <w:t>2.313</w:t>
            </w:r>
          </w:p>
        </w:tc>
        <w:tc>
          <w:tcPr>
            <w:tcW w:w="1970" w:type="dxa"/>
            <w:hideMark/>
          </w:tcPr>
          <w:p w14:paraId="4A68132B" w14:textId="77777777" w:rsidR="00CB12E4" w:rsidRPr="00CB12E4" w:rsidRDefault="00CB12E4" w:rsidP="00122B2E">
            <w:pPr>
              <w:rPr>
                <w:rFonts w:ascii="Arial" w:hAnsi="Arial" w:cs="Arial"/>
                <w:sz w:val="20"/>
                <w:szCs w:val="20"/>
              </w:rPr>
            </w:pPr>
            <w:r w:rsidRPr="00CB12E4">
              <w:rPr>
                <w:rFonts w:ascii="Arial" w:hAnsi="Arial" w:cs="Arial"/>
                <w:sz w:val="20"/>
                <w:szCs w:val="20"/>
              </w:rPr>
              <w:t>97.704</w:t>
            </w:r>
          </w:p>
        </w:tc>
      </w:tr>
      <w:tr w:rsidR="00CB12E4" w:rsidRPr="00CB12E4" w14:paraId="0835AA79" w14:textId="77777777" w:rsidTr="00122B2E">
        <w:trPr>
          <w:trHeight w:val="242"/>
        </w:trPr>
        <w:tc>
          <w:tcPr>
            <w:tcW w:w="2421" w:type="dxa"/>
          </w:tcPr>
          <w:p w14:paraId="3C121546" w14:textId="77777777" w:rsidR="00CB12E4" w:rsidRPr="00CB12E4" w:rsidRDefault="00CB12E4" w:rsidP="00122B2E">
            <w:pPr>
              <w:rPr>
                <w:rFonts w:ascii="Arial" w:hAnsi="Arial" w:cs="Arial"/>
                <w:sz w:val="20"/>
                <w:szCs w:val="20"/>
              </w:rPr>
            </w:pPr>
            <w:r w:rsidRPr="00CB12E4">
              <w:rPr>
                <w:rFonts w:ascii="Arial" w:hAnsi="Arial" w:cs="Arial"/>
                <w:sz w:val="20"/>
                <w:szCs w:val="20"/>
              </w:rPr>
              <w:t>Volatile matter</w:t>
            </w:r>
          </w:p>
          <w:p w14:paraId="1CC6F49A" w14:textId="77777777" w:rsidR="00CB12E4" w:rsidRPr="00CB12E4" w:rsidRDefault="00CB12E4" w:rsidP="00122B2E">
            <w:pPr>
              <w:rPr>
                <w:rFonts w:ascii="Arial" w:hAnsi="Arial" w:cs="Arial"/>
                <w:sz w:val="20"/>
                <w:szCs w:val="20"/>
                <w:u w:val="single"/>
              </w:rPr>
            </w:pPr>
          </w:p>
        </w:tc>
        <w:tc>
          <w:tcPr>
            <w:tcW w:w="1443" w:type="dxa"/>
            <w:hideMark/>
          </w:tcPr>
          <w:p w14:paraId="17A26714" w14:textId="77777777" w:rsidR="00CB12E4" w:rsidRPr="00CB12E4" w:rsidRDefault="00CB12E4" w:rsidP="00122B2E">
            <w:pPr>
              <w:rPr>
                <w:rFonts w:ascii="Arial" w:hAnsi="Arial" w:cs="Arial"/>
                <w:sz w:val="20"/>
                <w:szCs w:val="20"/>
              </w:rPr>
            </w:pPr>
            <w:r w:rsidRPr="00CB12E4">
              <w:rPr>
                <w:rFonts w:ascii="Arial" w:hAnsi="Arial" w:cs="Arial"/>
                <w:sz w:val="20"/>
                <w:szCs w:val="20"/>
              </w:rPr>
              <w:t>PC9</w:t>
            </w:r>
          </w:p>
        </w:tc>
        <w:tc>
          <w:tcPr>
            <w:tcW w:w="1564" w:type="dxa"/>
            <w:hideMark/>
          </w:tcPr>
          <w:p w14:paraId="4C592768" w14:textId="77777777" w:rsidR="00CB12E4" w:rsidRPr="00CB12E4" w:rsidRDefault="00CB12E4" w:rsidP="00122B2E">
            <w:pPr>
              <w:rPr>
                <w:rFonts w:ascii="Arial" w:hAnsi="Arial" w:cs="Arial"/>
                <w:sz w:val="20"/>
                <w:szCs w:val="20"/>
              </w:rPr>
            </w:pPr>
            <w:r w:rsidRPr="00CB12E4">
              <w:rPr>
                <w:rFonts w:ascii="Arial" w:hAnsi="Arial" w:cs="Arial"/>
                <w:sz w:val="20"/>
                <w:szCs w:val="20"/>
              </w:rPr>
              <w:t>0.169</w:t>
            </w:r>
          </w:p>
        </w:tc>
        <w:tc>
          <w:tcPr>
            <w:tcW w:w="1952" w:type="dxa"/>
            <w:hideMark/>
          </w:tcPr>
          <w:p w14:paraId="1349A304" w14:textId="77777777" w:rsidR="00CB12E4" w:rsidRPr="00CB12E4" w:rsidRDefault="00CB12E4" w:rsidP="00122B2E">
            <w:pPr>
              <w:rPr>
                <w:rFonts w:ascii="Arial" w:hAnsi="Arial" w:cs="Arial"/>
                <w:sz w:val="20"/>
                <w:szCs w:val="20"/>
              </w:rPr>
            </w:pPr>
            <w:r w:rsidRPr="00CB12E4">
              <w:rPr>
                <w:rFonts w:ascii="Arial" w:hAnsi="Arial" w:cs="Arial"/>
                <w:sz w:val="20"/>
                <w:szCs w:val="20"/>
              </w:rPr>
              <w:t>1.298</w:t>
            </w:r>
          </w:p>
        </w:tc>
        <w:tc>
          <w:tcPr>
            <w:tcW w:w="1970" w:type="dxa"/>
            <w:hideMark/>
          </w:tcPr>
          <w:p w14:paraId="0AFF88F4" w14:textId="77777777" w:rsidR="00CB12E4" w:rsidRPr="00CB12E4" w:rsidRDefault="00CB12E4" w:rsidP="00122B2E">
            <w:pPr>
              <w:rPr>
                <w:rFonts w:ascii="Arial" w:hAnsi="Arial" w:cs="Arial"/>
                <w:sz w:val="20"/>
                <w:szCs w:val="20"/>
              </w:rPr>
            </w:pPr>
            <w:r w:rsidRPr="00CB12E4">
              <w:rPr>
                <w:rFonts w:ascii="Arial" w:hAnsi="Arial" w:cs="Arial"/>
                <w:sz w:val="20"/>
                <w:szCs w:val="20"/>
              </w:rPr>
              <w:t>99.002</w:t>
            </w:r>
          </w:p>
        </w:tc>
      </w:tr>
      <w:tr w:rsidR="00CB12E4" w:rsidRPr="00CB12E4" w14:paraId="06B451F8" w14:textId="77777777" w:rsidTr="00122B2E">
        <w:trPr>
          <w:trHeight w:val="413"/>
        </w:trPr>
        <w:tc>
          <w:tcPr>
            <w:tcW w:w="2421" w:type="dxa"/>
          </w:tcPr>
          <w:p w14:paraId="0DD98F6B" w14:textId="77777777" w:rsidR="00CB12E4" w:rsidRPr="00CB12E4" w:rsidRDefault="00CB12E4" w:rsidP="00122B2E">
            <w:pPr>
              <w:rPr>
                <w:rFonts w:ascii="Arial" w:hAnsi="Arial" w:cs="Arial"/>
                <w:sz w:val="20"/>
                <w:szCs w:val="20"/>
              </w:rPr>
            </w:pPr>
            <w:r w:rsidRPr="00CB12E4">
              <w:rPr>
                <w:rFonts w:ascii="Arial" w:hAnsi="Arial" w:cs="Arial"/>
                <w:sz w:val="20"/>
                <w:szCs w:val="20"/>
              </w:rPr>
              <w:t>Fixed carbon</w:t>
            </w:r>
          </w:p>
          <w:p w14:paraId="6E5FBCD5" w14:textId="77777777" w:rsidR="00CB12E4" w:rsidRPr="00CB12E4" w:rsidRDefault="00CB12E4" w:rsidP="00122B2E">
            <w:pPr>
              <w:rPr>
                <w:rFonts w:ascii="Arial" w:hAnsi="Arial" w:cs="Arial"/>
                <w:sz w:val="20"/>
                <w:szCs w:val="20"/>
                <w:u w:val="single"/>
              </w:rPr>
            </w:pPr>
          </w:p>
        </w:tc>
        <w:tc>
          <w:tcPr>
            <w:tcW w:w="1443" w:type="dxa"/>
            <w:hideMark/>
          </w:tcPr>
          <w:p w14:paraId="69DC23B9" w14:textId="77777777" w:rsidR="00CB12E4" w:rsidRPr="00CB12E4" w:rsidRDefault="00CB12E4" w:rsidP="00122B2E">
            <w:pPr>
              <w:rPr>
                <w:rFonts w:ascii="Arial" w:hAnsi="Arial" w:cs="Arial"/>
                <w:sz w:val="20"/>
                <w:szCs w:val="20"/>
              </w:rPr>
            </w:pPr>
            <w:r w:rsidRPr="00CB12E4">
              <w:rPr>
                <w:rFonts w:ascii="Arial" w:hAnsi="Arial" w:cs="Arial"/>
                <w:sz w:val="20"/>
                <w:szCs w:val="20"/>
              </w:rPr>
              <w:t>PC10</w:t>
            </w:r>
          </w:p>
        </w:tc>
        <w:tc>
          <w:tcPr>
            <w:tcW w:w="1564" w:type="dxa"/>
            <w:hideMark/>
          </w:tcPr>
          <w:p w14:paraId="3D536339" w14:textId="77777777" w:rsidR="00CB12E4" w:rsidRPr="00CB12E4" w:rsidRDefault="00CB12E4" w:rsidP="00122B2E">
            <w:pPr>
              <w:rPr>
                <w:rFonts w:ascii="Arial" w:hAnsi="Arial" w:cs="Arial"/>
                <w:sz w:val="20"/>
                <w:szCs w:val="20"/>
              </w:rPr>
            </w:pPr>
            <w:r w:rsidRPr="00CB12E4">
              <w:rPr>
                <w:rFonts w:ascii="Arial" w:hAnsi="Arial" w:cs="Arial"/>
                <w:sz w:val="20"/>
                <w:szCs w:val="20"/>
              </w:rPr>
              <w:t>0.085</w:t>
            </w:r>
          </w:p>
        </w:tc>
        <w:tc>
          <w:tcPr>
            <w:tcW w:w="1952" w:type="dxa"/>
            <w:hideMark/>
          </w:tcPr>
          <w:p w14:paraId="43125494" w14:textId="77777777" w:rsidR="00CB12E4" w:rsidRPr="00CB12E4" w:rsidRDefault="00CB12E4" w:rsidP="00122B2E">
            <w:pPr>
              <w:rPr>
                <w:rFonts w:ascii="Arial" w:hAnsi="Arial" w:cs="Arial"/>
                <w:sz w:val="20"/>
                <w:szCs w:val="20"/>
              </w:rPr>
            </w:pPr>
            <w:r w:rsidRPr="00CB12E4">
              <w:rPr>
                <w:rFonts w:ascii="Arial" w:hAnsi="Arial" w:cs="Arial"/>
                <w:sz w:val="20"/>
                <w:szCs w:val="20"/>
              </w:rPr>
              <w:t>0.653</w:t>
            </w:r>
          </w:p>
        </w:tc>
        <w:tc>
          <w:tcPr>
            <w:tcW w:w="1970" w:type="dxa"/>
            <w:hideMark/>
          </w:tcPr>
          <w:p w14:paraId="3143878F" w14:textId="77777777" w:rsidR="00CB12E4" w:rsidRPr="00CB12E4" w:rsidRDefault="00CB12E4" w:rsidP="00122B2E">
            <w:pPr>
              <w:rPr>
                <w:rFonts w:ascii="Arial" w:hAnsi="Arial" w:cs="Arial"/>
                <w:sz w:val="20"/>
                <w:szCs w:val="20"/>
              </w:rPr>
            </w:pPr>
            <w:r w:rsidRPr="00CB12E4">
              <w:rPr>
                <w:rFonts w:ascii="Arial" w:hAnsi="Arial" w:cs="Arial"/>
                <w:sz w:val="20"/>
                <w:szCs w:val="20"/>
              </w:rPr>
              <w:t>99.655</w:t>
            </w:r>
          </w:p>
        </w:tc>
      </w:tr>
      <w:tr w:rsidR="00CB12E4" w:rsidRPr="00CB12E4" w14:paraId="119ADFFA" w14:textId="77777777" w:rsidTr="00122B2E">
        <w:trPr>
          <w:trHeight w:val="287"/>
        </w:trPr>
        <w:tc>
          <w:tcPr>
            <w:tcW w:w="2421" w:type="dxa"/>
          </w:tcPr>
          <w:p w14:paraId="4EB9427A" w14:textId="77777777" w:rsidR="00CB12E4" w:rsidRPr="00CB12E4" w:rsidRDefault="00CB12E4" w:rsidP="00122B2E">
            <w:pPr>
              <w:rPr>
                <w:rFonts w:ascii="Arial" w:hAnsi="Arial" w:cs="Arial"/>
                <w:sz w:val="20"/>
                <w:szCs w:val="20"/>
              </w:rPr>
            </w:pPr>
            <w:r w:rsidRPr="00CB12E4">
              <w:rPr>
                <w:rFonts w:ascii="Arial" w:hAnsi="Arial" w:cs="Arial"/>
                <w:sz w:val="20"/>
                <w:szCs w:val="20"/>
              </w:rPr>
              <w:t>Calorific value</w:t>
            </w:r>
          </w:p>
          <w:p w14:paraId="343822AE" w14:textId="77777777" w:rsidR="00CB12E4" w:rsidRPr="00CB12E4" w:rsidRDefault="00CB12E4" w:rsidP="00122B2E">
            <w:pPr>
              <w:rPr>
                <w:rFonts w:ascii="Arial" w:hAnsi="Arial" w:cs="Arial"/>
                <w:sz w:val="20"/>
                <w:szCs w:val="20"/>
              </w:rPr>
            </w:pPr>
          </w:p>
        </w:tc>
        <w:tc>
          <w:tcPr>
            <w:tcW w:w="1443" w:type="dxa"/>
            <w:hideMark/>
          </w:tcPr>
          <w:p w14:paraId="68973750" w14:textId="77777777" w:rsidR="00CB12E4" w:rsidRPr="00CB12E4" w:rsidRDefault="00CB12E4" w:rsidP="00122B2E">
            <w:pPr>
              <w:rPr>
                <w:rFonts w:ascii="Arial" w:hAnsi="Arial" w:cs="Arial"/>
                <w:sz w:val="20"/>
                <w:szCs w:val="20"/>
              </w:rPr>
            </w:pPr>
            <w:r w:rsidRPr="00CB12E4">
              <w:rPr>
                <w:rFonts w:ascii="Arial" w:hAnsi="Arial" w:cs="Arial"/>
                <w:sz w:val="20"/>
                <w:szCs w:val="20"/>
              </w:rPr>
              <w:t>PC11</w:t>
            </w:r>
          </w:p>
        </w:tc>
        <w:tc>
          <w:tcPr>
            <w:tcW w:w="1564" w:type="dxa"/>
            <w:hideMark/>
          </w:tcPr>
          <w:p w14:paraId="0C31EA8E" w14:textId="77777777" w:rsidR="00CB12E4" w:rsidRPr="00CB12E4" w:rsidRDefault="00CB12E4" w:rsidP="00122B2E">
            <w:pPr>
              <w:rPr>
                <w:rFonts w:ascii="Arial" w:hAnsi="Arial" w:cs="Arial"/>
                <w:sz w:val="20"/>
                <w:szCs w:val="20"/>
              </w:rPr>
            </w:pPr>
            <w:r w:rsidRPr="00CB12E4">
              <w:rPr>
                <w:rFonts w:ascii="Arial" w:hAnsi="Arial" w:cs="Arial"/>
                <w:sz w:val="20"/>
                <w:szCs w:val="20"/>
              </w:rPr>
              <w:t>0.035</w:t>
            </w:r>
          </w:p>
        </w:tc>
        <w:tc>
          <w:tcPr>
            <w:tcW w:w="1952" w:type="dxa"/>
            <w:hideMark/>
          </w:tcPr>
          <w:p w14:paraId="7200120A" w14:textId="77777777" w:rsidR="00CB12E4" w:rsidRPr="00CB12E4" w:rsidRDefault="00CB12E4" w:rsidP="00122B2E">
            <w:pPr>
              <w:rPr>
                <w:rFonts w:ascii="Arial" w:hAnsi="Arial" w:cs="Arial"/>
                <w:sz w:val="20"/>
                <w:szCs w:val="20"/>
              </w:rPr>
            </w:pPr>
            <w:r w:rsidRPr="00CB12E4">
              <w:rPr>
                <w:rFonts w:ascii="Arial" w:hAnsi="Arial" w:cs="Arial"/>
                <w:sz w:val="20"/>
                <w:szCs w:val="20"/>
              </w:rPr>
              <w:t>0.266</w:t>
            </w:r>
          </w:p>
        </w:tc>
        <w:tc>
          <w:tcPr>
            <w:tcW w:w="1970" w:type="dxa"/>
            <w:hideMark/>
          </w:tcPr>
          <w:p w14:paraId="07C0FC47" w14:textId="77777777" w:rsidR="00CB12E4" w:rsidRPr="00CB12E4" w:rsidRDefault="00CB12E4" w:rsidP="00122B2E">
            <w:pPr>
              <w:rPr>
                <w:rFonts w:ascii="Arial" w:hAnsi="Arial" w:cs="Arial"/>
                <w:sz w:val="20"/>
                <w:szCs w:val="20"/>
              </w:rPr>
            </w:pPr>
            <w:r w:rsidRPr="00CB12E4">
              <w:rPr>
                <w:rFonts w:ascii="Arial" w:hAnsi="Arial" w:cs="Arial"/>
                <w:sz w:val="20"/>
                <w:szCs w:val="20"/>
              </w:rPr>
              <w:t>99.921</w:t>
            </w:r>
          </w:p>
        </w:tc>
      </w:tr>
      <w:tr w:rsidR="00CB12E4" w:rsidRPr="00CB12E4" w14:paraId="6A828C05" w14:textId="77777777" w:rsidTr="00FB7DAB">
        <w:trPr>
          <w:trHeight w:val="197"/>
        </w:trPr>
        <w:tc>
          <w:tcPr>
            <w:tcW w:w="2421" w:type="dxa"/>
          </w:tcPr>
          <w:p w14:paraId="7D8F256D" w14:textId="77777777" w:rsidR="00CB12E4" w:rsidRPr="00CB12E4" w:rsidRDefault="00CB12E4" w:rsidP="00122B2E">
            <w:pPr>
              <w:rPr>
                <w:rFonts w:ascii="Arial" w:hAnsi="Arial" w:cs="Arial"/>
                <w:sz w:val="20"/>
                <w:szCs w:val="20"/>
              </w:rPr>
            </w:pPr>
            <w:r w:rsidRPr="00CB12E4">
              <w:rPr>
                <w:rFonts w:ascii="Arial" w:hAnsi="Arial" w:cs="Arial"/>
                <w:sz w:val="20"/>
                <w:szCs w:val="20"/>
              </w:rPr>
              <w:t>Higher heating value</w:t>
            </w:r>
          </w:p>
          <w:p w14:paraId="779BBBDB" w14:textId="77777777" w:rsidR="00CB12E4" w:rsidRPr="00CB12E4" w:rsidRDefault="00CB12E4" w:rsidP="00122B2E">
            <w:pPr>
              <w:rPr>
                <w:rFonts w:ascii="Arial" w:hAnsi="Arial" w:cs="Arial"/>
                <w:sz w:val="20"/>
                <w:szCs w:val="20"/>
              </w:rPr>
            </w:pPr>
          </w:p>
        </w:tc>
        <w:tc>
          <w:tcPr>
            <w:tcW w:w="1443" w:type="dxa"/>
            <w:hideMark/>
          </w:tcPr>
          <w:p w14:paraId="2C82CB1A" w14:textId="77777777" w:rsidR="00CB12E4" w:rsidRPr="00CB12E4" w:rsidRDefault="00CB12E4" w:rsidP="00122B2E">
            <w:pPr>
              <w:rPr>
                <w:rFonts w:ascii="Arial" w:hAnsi="Arial" w:cs="Arial"/>
                <w:sz w:val="20"/>
                <w:szCs w:val="20"/>
              </w:rPr>
            </w:pPr>
            <w:r w:rsidRPr="00CB12E4">
              <w:rPr>
                <w:rFonts w:ascii="Arial" w:hAnsi="Arial" w:cs="Arial"/>
                <w:sz w:val="20"/>
                <w:szCs w:val="20"/>
              </w:rPr>
              <w:t>PC12</w:t>
            </w:r>
          </w:p>
        </w:tc>
        <w:tc>
          <w:tcPr>
            <w:tcW w:w="1564" w:type="dxa"/>
            <w:hideMark/>
          </w:tcPr>
          <w:p w14:paraId="30B678BE" w14:textId="77777777" w:rsidR="00CB12E4" w:rsidRPr="00CB12E4" w:rsidRDefault="00CB12E4" w:rsidP="00122B2E">
            <w:pPr>
              <w:rPr>
                <w:rFonts w:ascii="Arial" w:hAnsi="Arial" w:cs="Arial"/>
                <w:sz w:val="20"/>
                <w:szCs w:val="20"/>
              </w:rPr>
            </w:pPr>
            <w:r w:rsidRPr="00CB12E4">
              <w:rPr>
                <w:rFonts w:ascii="Arial" w:hAnsi="Arial" w:cs="Arial"/>
                <w:sz w:val="20"/>
                <w:szCs w:val="20"/>
              </w:rPr>
              <w:t>0.010</w:t>
            </w:r>
          </w:p>
        </w:tc>
        <w:tc>
          <w:tcPr>
            <w:tcW w:w="1952" w:type="dxa"/>
            <w:hideMark/>
          </w:tcPr>
          <w:p w14:paraId="6342D1C2" w14:textId="77777777" w:rsidR="00CB12E4" w:rsidRPr="00CB12E4" w:rsidRDefault="00CB12E4" w:rsidP="00122B2E">
            <w:pPr>
              <w:rPr>
                <w:rFonts w:ascii="Arial" w:hAnsi="Arial" w:cs="Arial"/>
                <w:sz w:val="20"/>
                <w:szCs w:val="20"/>
              </w:rPr>
            </w:pPr>
            <w:r w:rsidRPr="00CB12E4">
              <w:rPr>
                <w:rFonts w:ascii="Arial" w:hAnsi="Arial" w:cs="Arial"/>
                <w:sz w:val="20"/>
                <w:szCs w:val="20"/>
              </w:rPr>
              <w:t>0.078</w:t>
            </w:r>
          </w:p>
        </w:tc>
        <w:tc>
          <w:tcPr>
            <w:tcW w:w="1970" w:type="dxa"/>
            <w:hideMark/>
          </w:tcPr>
          <w:p w14:paraId="1575FD49" w14:textId="77777777" w:rsidR="00CB12E4" w:rsidRPr="00CB12E4" w:rsidRDefault="00CB12E4" w:rsidP="00122B2E">
            <w:pPr>
              <w:rPr>
                <w:rFonts w:ascii="Arial" w:hAnsi="Arial" w:cs="Arial"/>
                <w:sz w:val="20"/>
                <w:szCs w:val="20"/>
              </w:rPr>
            </w:pPr>
            <w:r w:rsidRPr="00CB12E4">
              <w:rPr>
                <w:rFonts w:ascii="Arial" w:hAnsi="Arial" w:cs="Arial"/>
                <w:sz w:val="20"/>
                <w:szCs w:val="20"/>
              </w:rPr>
              <w:t>99.999</w:t>
            </w:r>
          </w:p>
        </w:tc>
      </w:tr>
      <w:tr w:rsidR="00CB12E4" w:rsidRPr="00CB12E4" w14:paraId="6A28F786" w14:textId="77777777" w:rsidTr="00FB7DAB">
        <w:trPr>
          <w:trHeight w:val="333"/>
        </w:trPr>
        <w:tc>
          <w:tcPr>
            <w:tcW w:w="2421" w:type="dxa"/>
            <w:tcBorders>
              <w:bottom w:val="single" w:sz="4" w:space="0" w:color="auto"/>
            </w:tcBorders>
          </w:tcPr>
          <w:p w14:paraId="2D4285FE" w14:textId="77777777" w:rsidR="00CB12E4" w:rsidRPr="00CB12E4" w:rsidRDefault="00CB12E4" w:rsidP="00122B2E">
            <w:pPr>
              <w:rPr>
                <w:rFonts w:ascii="Arial" w:hAnsi="Arial" w:cs="Arial"/>
                <w:sz w:val="20"/>
                <w:szCs w:val="20"/>
              </w:rPr>
            </w:pPr>
            <w:r w:rsidRPr="00CB12E4">
              <w:rPr>
                <w:rFonts w:ascii="Arial" w:hAnsi="Arial" w:cs="Arial"/>
                <w:sz w:val="20"/>
                <w:szCs w:val="20"/>
              </w:rPr>
              <w:t>Fuel value index</w:t>
            </w:r>
          </w:p>
          <w:p w14:paraId="6C1B2382" w14:textId="77777777" w:rsidR="00CB12E4" w:rsidRPr="00CB12E4" w:rsidRDefault="00CB12E4" w:rsidP="00122B2E">
            <w:pPr>
              <w:rPr>
                <w:rFonts w:ascii="Arial" w:hAnsi="Arial" w:cs="Arial"/>
                <w:sz w:val="20"/>
                <w:szCs w:val="20"/>
                <w:u w:val="single"/>
              </w:rPr>
            </w:pPr>
          </w:p>
        </w:tc>
        <w:tc>
          <w:tcPr>
            <w:tcW w:w="1443" w:type="dxa"/>
            <w:tcBorders>
              <w:bottom w:val="single" w:sz="4" w:space="0" w:color="auto"/>
            </w:tcBorders>
            <w:hideMark/>
          </w:tcPr>
          <w:p w14:paraId="682E21F1" w14:textId="77777777" w:rsidR="00CB12E4" w:rsidRPr="00CB12E4" w:rsidRDefault="00CB12E4" w:rsidP="00122B2E">
            <w:pPr>
              <w:rPr>
                <w:rFonts w:ascii="Arial" w:hAnsi="Arial" w:cs="Arial"/>
                <w:sz w:val="20"/>
                <w:szCs w:val="20"/>
              </w:rPr>
            </w:pPr>
            <w:r w:rsidRPr="00CB12E4">
              <w:rPr>
                <w:rFonts w:ascii="Arial" w:hAnsi="Arial" w:cs="Arial"/>
                <w:sz w:val="20"/>
                <w:szCs w:val="20"/>
              </w:rPr>
              <w:t>PC13</w:t>
            </w:r>
          </w:p>
        </w:tc>
        <w:tc>
          <w:tcPr>
            <w:tcW w:w="1564" w:type="dxa"/>
            <w:tcBorders>
              <w:bottom w:val="single" w:sz="4" w:space="0" w:color="auto"/>
            </w:tcBorders>
            <w:hideMark/>
          </w:tcPr>
          <w:p w14:paraId="4CD91429" w14:textId="77777777" w:rsidR="00CB12E4" w:rsidRPr="00CB12E4" w:rsidRDefault="00CB12E4" w:rsidP="00122B2E">
            <w:pPr>
              <w:rPr>
                <w:rFonts w:ascii="Arial" w:hAnsi="Arial" w:cs="Arial"/>
                <w:sz w:val="20"/>
                <w:szCs w:val="20"/>
              </w:rPr>
            </w:pPr>
            <w:r w:rsidRPr="00CB12E4">
              <w:rPr>
                <w:rFonts w:ascii="Arial" w:hAnsi="Arial" w:cs="Arial"/>
                <w:sz w:val="20"/>
                <w:szCs w:val="20"/>
              </w:rPr>
              <w:t>0.000</w:t>
            </w:r>
          </w:p>
        </w:tc>
        <w:tc>
          <w:tcPr>
            <w:tcW w:w="1952" w:type="dxa"/>
            <w:tcBorders>
              <w:bottom w:val="single" w:sz="4" w:space="0" w:color="auto"/>
            </w:tcBorders>
            <w:hideMark/>
          </w:tcPr>
          <w:p w14:paraId="3EE73B2B" w14:textId="77777777" w:rsidR="00CB12E4" w:rsidRPr="00CB12E4" w:rsidRDefault="00CB12E4" w:rsidP="00122B2E">
            <w:pPr>
              <w:rPr>
                <w:rFonts w:ascii="Arial" w:hAnsi="Arial" w:cs="Arial"/>
                <w:sz w:val="20"/>
                <w:szCs w:val="20"/>
              </w:rPr>
            </w:pPr>
            <w:r w:rsidRPr="00CB12E4">
              <w:rPr>
                <w:rFonts w:ascii="Arial" w:hAnsi="Arial" w:cs="Arial"/>
                <w:sz w:val="20"/>
                <w:szCs w:val="20"/>
              </w:rPr>
              <w:t>0.001</w:t>
            </w:r>
          </w:p>
        </w:tc>
        <w:tc>
          <w:tcPr>
            <w:tcW w:w="1970" w:type="dxa"/>
            <w:tcBorders>
              <w:bottom w:val="single" w:sz="4" w:space="0" w:color="auto"/>
            </w:tcBorders>
            <w:hideMark/>
          </w:tcPr>
          <w:p w14:paraId="47D5A508" w14:textId="77777777" w:rsidR="00CB12E4" w:rsidRPr="00CB12E4" w:rsidRDefault="00CB12E4" w:rsidP="00122B2E">
            <w:pPr>
              <w:rPr>
                <w:rFonts w:ascii="Arial" w:hAnsi="Arial" w:cs="Arial"/>
                <w:sz w:val="20"/>
                <w:szCs w:val="20"/>
              </w:rPr>
            </w:pPr>
            <w:r w:rsidRPr="00CB12E4">
              <w:rPr>
                <w:rFonts w:ascii="Arial" w:hAnsi="Arial" w:cs="Arial"/>
                <w:sz w:val="20"/>
                <w:szCs w:val="20"/>
              </w:rPr>
              <w:t>100.000</w:t>
            </w:r>
          </w:p>
        </w:tc>
      </w:tr>
    </w:tbl>
    <w:p w14:paraId="40ACC4CB" w14:textId="77777777" w:rsidR="00CB12E4" w:rsidRPr="00CB12E4" w:rsidRDefault="00CB12E4" w:rsidP="00CB12E4">
      <w:pPr>
        <w:pStyle w:val="Body"/>
        <w:spacing w:after="0"/>
        <w:rPr>
          <w:rFonts w:ascii="Arial" w:hAnsi="Arial" w:cs="Arial"/>
        </w:rPr>
      </w:pPr>
    </w:p>
    <w:p w14:paraId="3F0675EA" w14:textId="1385A411" w:rsidR="00CB12E4" w:rsidRDefault="00CB12E4" w:rsidP="00CB12E4">
      <w:pPr>
        <w:pStyle w:val="Body"/>
        <w:rPr>
          <w:rFonts w:ascii="Arial" w:hAnsi="Arial" w:cs="Arial"/>
        </w:rPr>
      </w:pPr>
      <w:r w:rsidRPr="00CB12E4">
        <w:rPr>
          <w:rFonts w:ascii="Arial" w:hAnsi="Arial" w:cs="Arial"/>
        </w:rPr>
        <w:t>PC1 accounted for 31.606% of the variance and was highly positively correlated with the fuel value index (0.861), calorific value (0.760), basic density (0.582), higher heating value (0.565), and acid-insoluble lignin (0.514). It also displayed strong negative correlations with ash content (-0.746), moisture content (-0.634), and holocellulose (-0.613). PC2, which explained 17.582% of the variation, was more positively associated with volatile matter (0.914) and showed a strong negative correlation with bulk density (-0.857). Similarly, PC3, PC4 and PC5 recorded a variation of 15.083%, 11.789% and 9.082% respectively and showed strong positive correlation with AB extractive (0.742), calorific value (0.494) and specific gravity (0.787)</w:t>
      </w:r>
      <w:r w:rsidR="007A6700">
        <w:rPr>
          <w:rFonts w:ascii="Arial" w:hAnsi="Arial" w:cs="Arial"/>
        </w:rPr>
        <w:t>,</w:t>
      </w:r>
      <w:r w:rsidRPr="00CB12E4">
        <w:rPr>
          <w:rFonts w:ascii="Arial" w:hAnsi="Arial" w:cs="Arial"/>
        </w:rPr>
        <w:t xml:space="preserve"> </w:t>
      </w:r>
      <w:r w:rsidRPr="00857493">
        <w:rPr>
          <w:rFonts w:ascii="Arial" w:hAnsi="Arial" w:cs="Arial"/>
          <w:highlight w:val="yellow"/>
        </w:rPr>
        <w:t xml:space="preserve">respectively. While PC3 showed </w:t>
      </w:r>
      <w:r w:rsidR="007A6700" w:rsidRPr="00857493">
        <w:rPr>
          <w:rFonts w:ascii="Arial" w:hAnsi="Arial" w:cs="Arial"/>
          <w:highlight w:val="yellow"/>
        </w:rPr>
        <w:t xml:space="preserve">a </w:t>
      </w:r>
      <w:r w:rsidRPr="00857493">
        <w:rPr>
          <w:rFonts w:ascii="Arial" w:hAnsi="Arial" w:cs="Arial"/>
          <w:highlight w:val="yellow"/>
        </w:rPr>
        <w:t>strong negative</w:t>
      </w:r>
      <w:r w:rsidRPr="00CB12E4">
        <w:rPr>
          <w:rFonts w:ascii="Arial" w:hAnsi="Arial" w:cs="Arial"/>
        </w:rPr>
        <w:t xml:space="preserve"> association with moisture content (-0.650) and fixed carbon (-0.639). Similarly, PC4 showed strong negative correlation with AB extractive (-0.469), higher heating value (-0.460), fixed carbon (-0.457) and acid insoluble lignin (-0.418), while PC5 showed strong negative correlation with acid insoluble lignin (-0.321) and fuel value i</w:t>
      </w:r>
      <w:r>
        <w:rPr>
          <w:rFonts w:ascii="Arial" w:hAnsi="Arial" w:cs="Arial"/>
        </w:rPr>
        <w:t>ndex (-0.319) as shown in Fig. 7</w:t>
      </w:r>
      <w:r w:rsidRPr="00CB12E4">
        <w:rPr>
          <w:rFonts w:ascii="Arial" w:hAnsi="Arial" w:cs="Arial"/>
        </w:rPr>
        <w:t>.</w:t>
      </w:r>
    </w:p>
    <w:p w14:paraId="75E6677F" w14:textId="77777777" w:rsidR="00CB12E4" w:rsidRPr="00CB12E4" w:rsidRDefault="00CB12E4" w:rsidP="00CB12E4">
      <w:pPr>
        <w:pStyle w:val="Body"/>
        <w:rPr>
          <w:rFonts w:ascii="Arial" w:hAnsi="Arial" w:cs="Arial"/>
        </w:rPr>
      </w:pPr>
      <w:r>
        <w:rPr>
          <w:rFonts w:ascii="Arial" w:hAnsi="Arial" w:cs="Arial"/>
        </w:rPr>
        <w:t xml:space="preserve">                          </w:t>
      </w:r>
      <w:r>
        <w:rPr>
          <w:noProof/>
        </w:rPr>
        <w:drawing>
          <wp:inline distT="0" distB="0" distL="0" distR="0" wp14:anchorId="2556B403" wp14:editId="0A44985B">
            <wp:extent cx="3133725" cy="2676525"/>
            <wp:effectExtent l="0" t="0" r="0" b="0"/>
            <wp:docPr id="8" name="Chart 8">
              <a:extLst xmlns:a="http://schemas.openxmlformats.org/drawingml/2006/main">
                <a:ext uri="{FF2B5EF4-FFF2-40B4-BE49-F238E27FC236}">
                  <a16:creationId xmlns:a16="http://schemas.microsoft.com/office/drawing/2014/main" id="{DCC71B07-C6BD-442C-B692-8BCE7FBA0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1D7D02" w14:textId="77777777" w:rsidR="00CB12E4" w:rsidRPr="00CB12E4" w:rsidRDefault="00CB12E4" w:rsidP="00CB12E4">
      <w:pPr>
        <w:contextualSpacing/>
        <w:jc w:val="both"/>
        <w:rPr>
          <w:rFonts w:ascii="Arial" w:eastAsia="Calibri" w:hAnsi="Arial" w:cs="Arial"/>
          <w:b/>
          <w:bCs/>
          <w:noProof/>
        </w:rPr>
      </w:pPr>
      <w:r>
        <w:rPr>
          <w:rFonts w:ascii="Arial" w:eastAsia="Calibri" w:hAnsi="Arial" w:cs="Arial"/>
          <w:b/>
          <w:noProof/>
        </w:rPr>
        <w:t>Fig. 7</w:t>
      </w:r>
      <w:r w:rsidRPr="00BB760E">
        <w:rPr>
          <w:rFonts w:ascii="Arial" w:eastAsia="Calibri" w:hAnsi="Arial" w:cs="Arial"/>
          <w:b/>
          <w:noProof/>
        </w:rPr>
        <w:t xml:space="preserve">. </w:t>
      </w:r>
      <w:r w:rsidRPr="00CB12E4">
        <w:rPr>
          <w:rFonts w:ascii="Arial" w:eastAsia="Calibri" w:hAnsi="Arial" w:cs="Arial"/>
          <w:b/>
          <w:bCs/>
          <w:noProof/>
        </w:rPr>
        <w:t>Eigenvectors of mulberry wood physical, chemical and thermochemical characters</w:t>
      </w:r>
    </w:p>
    <w:p w14:paraId="3D517198" w14:textId="77777777" w:rsidR="00122B2E" w:rsidRPr="00122B2E" w:rsidRDefault="00122B2E" w:rsidP="00122B2E">
      <w:pPr>
        <w:pStyle w:val="Body"/>
        <w:spacing w:after="0"/>
        <w:rPr>
          <w:rFonts w:ascii="Arial" w:hAnsi="Arial" w:cs="Arial"/>
        </w:rPr>
      </w:pPr>
      <w:r w:rsidRPr="00122B2E">
        <w:rPr>
          <w:rFonts w:ascii="Arial" w:hAnsi="Arial" w:cs="Arial"/>
        </w:rPr>
        <w:lastRenderedPageBreak/>
        <w:t xml:space="preserve">Positive values greater than 1.0 were considered for the five principal components (PC1, PC2, PC3, PC4, and PC5). The positive values for PC1 ranged from 4.210 (MI- 0845) to 1.105 (MI- 0532). For PC2, the positive values ranged from 4.633 (MI- 0828) to 1.635 (MI- 0034). For PC3, the positive values spanned from 3.344 (MI- 0034) to 1.048 (MI- 0674). For PC4, the positive values were between 2.246 (MI- 0532) and 1.082 (MI- 0211). Lastly, for PC5, the positive values ranged from 1.366 (MI- 0532) to 1.022 (MI- </w:t>
      </w:r>
      <w:r>
        <w:rPr>
          <w:rFonts w:ascii="Arial" w:hAnsi="Arial" w:cs="Arial"/>
        </w:rPr>
        <w:t>0828) (Table 4</w:t>
      </w:r>
      <w:r w:rsidRPr="00122B2E">
        <w:rPr>
          <w:rFonts w:ascii="Arial" w:hAnsi="Arial" w:cs="Arial"/>
        </w:rPr>
        <w:t>). The clones with the highest scores under PC1 were MI- 0845 (4.210), MI- 0674 (3.084), and ME- 0168 (2.600), indicating that these clones contribute significantly to the primary variance component. MI- 0828 (4.633) had the highest score in PC2, suggesting its substantial influence on this component, followed by MI- 0674 (1.831) and MI- 0034 (1.635). For PC3, MI- 0034 (3.344) and MI- 0845 (1.199) were the most dominant, emphasizing their relevance to this component. In PC4, MI- 0532 (2.246) and MI- 0034 (1.570) were the most influenti</w:t>
      </w:r>
      <w:r>
        <w:rPr>
          <w:rFonts w:ascii="Arial" w:hAnsi="Arial" w:cs="Arial"/>
        </w:rPr>
        <w:t>al clones. Lastly, for PC5, MI-</w:t>
      </w:r>
      <w:r w:rsidRPr="00122B2E">
        <w:rPr>
          <w:rFonts w:ascii="Arial" w:hAnsi="Arial" w:cs="Arial"/>
        </w:rPr>
        <w:t>0532 (1.366) and MI- 0828 (1.022) made significant contributions.</w:t>
      </w:r>
    </w:p>
    <w:p w14:paraId="787FB313" w14:textId="77777777" w:rsidR="00122B2E" w:rsidRDefault="00122B2E" w:rsidP="00122B2E">
      <w:pPr>
        <w:spacing w:before="240"/>
        <w:jc w:val="both"/>
        <w:rPr>
          <w:rFonts w:ascii="Arial" w:eastAsia="Calibri" w:hAnsi="Arial" w:cs="Arial"/>
          <w:b/>
        </w:rPr>
      </w:pPr>
      <w:r w:rsidRPr="00CB12E4">
        <w:rPr>
          <w:rFonts w:ascii="Arial" w:eastAsia="Calibri" w:hAnsi="Arial" w:cs="Arial"/>
          <w:b/>
        </w:rPr>
        <w:t xml:space="preserve">Table </w:t>
      </w:r>
      <w:r>
        <w:rPr>
          <w:rFonts w:ascii="Arial" w:eastAsia="Calibri" w:hAnsi="Arial" w:cs="Arial"/>
          <w:b/>
        </w:rPr>
        <w:t>4</w:t>
      </w:r>
      <w:r w:rsidRPr="00CB12E4">
        <w:rPr>
          <w:rFonts w:ascii="Arial" w:eastAsia="Calibri" w:hAnsi="Arial" w:cs="Arial"/>
          <w:b/>
        </w:rPr>
        <w:t xml:space="preserve">. </w:t>
      </w:r>
      <w:r w:rsidRPr="00122B2E">
        <w:rPr>
          <w:rFonts w:ascii="Arial" w:eastAsia="Calibri" w:hAnsi="Arial" w:cs="Arial"/>
          <w:b/>
        </w:rPr>
        <w:t>Mulberry clones selected on the basis of principal components score with positive value more than ˃ 1.0 value</w:t>
      </w:r>
    </w:p>
    <w:tbl>
      <w:tblPr>
        <w:tblStyle w:val="TableGrid6"/>
        <w:tblW w:w="82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
        <w:gridCol w:w="1221"/>
        <w:gridCol w:w="1168"/>
        <w:gridCol w:w="1437"/>
        <w:gridCol w:w="1705"/>
        <w:gridCol w:w="1705"/>
      </w:tblGrid>
      <w:tr w:rsidR="00122B2E" w:rsidRPr="00122B2E" w14:paraId="6D670447" w14:textId="77777777" w:rsidTr="00122B2E">
        <w:trPr>
          <w:trHeight w:val="203"/>
        </w:trPr>
        <w:tc>
          <w:tcPr>
            <w:tcW w:w="1062" w:type="dxa"/>
            <w:tcBorders>
              <w:top w:val="single" w:sz="4" w:space="0" w:color="auto"/>
              <w:bottom w:val="single" w:sz="4" w:space="0" w:color="auto"/>
            </w:tcBorders>
            <w:noWrap/>
            <w:hideMark/>
          </w:tcPr>
          <w:p w14:paraId="5605DE75" w14:textId="77777777" w:rsidR="00122B2E" w:rsidRPr="00122B2E" w:rsidRDefault="00122B2E" w:rsidP="00122B2E">
            <w:pPr>
              <w:rPr>
                <w:rFonts w:ascii="Arial" w:hAnsi="Arial" w:cs="Arial"/>
                <w:sz w:val="20"/>
                <w:szCs w:val="20"/>
              </w:rPr>
            </w:pPr>
          </w:p>
        </w:tc>
        <w:tc>
          <w:tcPr>
            <w:tcW w:w="1221" w:type="dxa"/>
            <w:tcBorders>
              <w:top w:val="single" w:sz="4" w:space="0" w:color="auto"/>
              <w:bottom w:val="single" w:sz="4" w:space="0" w:color="auto"/>
            </w:tcBorders>
            <w:hideMark/>
          </w:tcPr>
          <w:p w14:paraId="3A340067" w14:textId="77777777" w:rsidR="00122B2E" w:rsidRPr="00122B2E" w:rsidRDefault="00122B2E" w:rsidP="00122B2E">
            <w:pPr>
              <w:rPr>
                <w:rFonts w:ascii="Arial" w:hAnsi="Arial" w:cs="Arial"/>
                <w:b/>
                <w:sz w:val="20"/>
                <w:szCs w:val="20"/>
              </w:rPr>
            </w:pPr>
            <w:r w:rsidRPr="00122B2E">
              <w:rPr>
                <w:rFonts w:ascii="Arial" w:hAnsi="Arial" w:cs="Arial"/>
                <w:b/>
                <w:sz w:val="20"/>
                <w:szCs w:val="20"/>
              </w:rPr>
              <w:t>PC1</w:t>
            </w:r>
          </w:p>
        </w:tc>
        <w:tc>
          <w:tcPr>
            <w:tcW w:w="1168" w:type="dxa"/>
            <w:tcBorders>
              <w:top w:val="single" w:sz="4" w:space="0" w:color="auto"/>
              <w:bottom w:val="single" w:sz="4" w:space="0" w:color="auto"/>
            </w:tcBorders>
            <w:hideMark/>
          </w:tcPr>
          <w:p w14:paraId="78003759" w14:textId="77777777" w:rsidR="00122B2E" w:rsidRPr="00122B2E" w:rsidRDefault="00122B2E" w:rsidP="00122B2E">
            <w:pPr>
              <w:rPr>
                <w:rFonts w:ascii="Arial" w:hAnsi="Arial" w:cs="Arial"/>
                <w:b/>
                <w:sz w:val="20"/>
                <w:szCs w:val="20"/>
              </w:rPr>
            </w:pPr>
            <w:r w:rsidRPr="00122B2E">
              <w:rPr>
                <w:rFonts w:ascii="Arial" w:hAnsi="Arial" w:cs="Arial"/>
                <w:b/>
                <w:sz w:val="20"/>
                <w:szCs w:val="20"/>
              </w:rPr>
              <w:t>PC2</w:t>
            </w:r>
          </w:p>
        </w:tc>
        <w:tc>
          <w:tcPr>
            <w:tcW w:w="1437" w:type="dxa"/>
            <w:tcBorders>
              <w:top w:val="single" w:sz="4" w:space="0" w:color="auto"/>
              <w:bottom w:val="single" w:sz="4" w:space="0" w:color="auto"/>
            </w:tcBorders>
            <w:hideMark/>
          </w:tcPr>
          <w:p w14:paraId="3B58398F" w14:textId="77777777" w:rsidR="00122B2E" w:rsidRPr="00122B2E" w:rsidRDefault="00122B2E" w:rsidP="00122B2E">
            <w:pPr>
              <w:rPr>
                <w:rFonts w:ascii="Arial" w:hAnsi="Arial" w:cs="Arial"/>
                <w:b/>
                <w:sz w:val="20"/>
                <w:szCs w:val="20"/>
              </w:rPr>
            </w:pPr>
            <w:r w:rsidRPr="00122B2E">
              <w:rPr>
                <w:rFonts w:ascii="Arial" w:hAnsi="Arial" w:cs="Arial"/>
                <w:b/>
                <w:sz w:val="20"/>
                <w:szCs w:val="20"/>
              </w:rPr>
              <w:t>PC3</w:t>
            </w:r>
          </w:p>
        </w:tc>
        <w:tc>
          <w:tcPr>
            <w:tcW w:w="1705" w:type="dxa"/>
            <w:tcBorders>
              <w:top w:val="single" w:sz="4" w:space="0" w:color="auto"/>
              <w:bottom w:val="single" w:sz="4" w:space="0" w:color="auto"/>
            </w:tcBorders>
            <w:hideMark/>
          </w:tcPr>
          <w:p w14:paraId="42A4EFE7" w14:textId="77777777" w:rsidR="00122B2E" w:rsidRPr="00122B2E" w:rsidRDefault="00122B2E" w:rsidP="00122B2E">
            <w:pPr>
              <w:rPr>
                <w:rFonts w:ascii="Arial" w:hAnsi="Arial" w:cs="Arial"/>
                <w:b/>
                <w:sz w:val="20"/>
                <w:szCs w:val="20"/>
              </w:rPr>
            </w:pPr>
            <w:r w:rsidRPr="00122B2E">
              <w:rPr>
                <w:rFonts w:ascii="Arial" w:hAnsi="Arial" w:cs="Arial"/>
                <w:b/>
                <w:sz w:val="20"/>
                <w:szCs w:val="20"/>
              </w:rPr>
              <w:t>PC4</w:t>
            </w:r>
          </w:p>
        </w:tc>
        <w:tc>
          <w:tcPr>
            <w:tcW w:w="1705" w:type="dxa"/>
            <w:tcBorders>
              <w:top w:val="single" w:sz="4" w:space="0" w:color="auto"/>
              <w:bottom w:val="single" w:sz="4" w:space="0" w:color="auto"/>
            </w:tcBorders>
            <w:hideMark/>
          </w:tcPr>
          <w:p w14:paraId="4C94394C" w14:textId="77777777" w:rsidR="00122B2E" w:rsidRPr="00122B2E" w:rsidRDefault="00122B2E" w:rsidP="00122B2E">
            <w:pPr>
              <w:rPr>
                <w:rFonts w:ascii="Arial" w:hAnsi="Arial" w:cs="Arial"/>
                <w:b/>
                <w:sz w:val="20"/>
                <w:szCs w:val="20"/>
              </w:rPr>
            </w:pPr>
            <w:r w:rsidRPr="00122B2E">
              <w:rPr>
                <w:rFonts w:ascii="Arial" w:hAnsi="Arial" w:cs="Arial"/>
                <w:b/>
                <w:sz w:val="20"/>
                <w:szCs w:val="20"/>
              </w:rPr>
              <w:t>PC5</w:t>
            </w:r>
          </w:p>
        </w:tc>
      </w:tr>
      <w:tr w:rsidR="00122B2E" w:rsidRPr="00122B2E" w14:paraId="11F82165" w14:textId="77777777" w:rsidTr="00122B2E">
        <w:trPr>
          <w:trHeight w:val="1907"/>
        </w:trPr>
        <w:tc>
          <w:tcPr>
            <w:tcW w:w="1062" w:type="dxa"/>
            <w:tcBorders>
              <w:top w:val="single" w:sz="4" w:space="0" w:color="auto"/>
              <w:bottom w:val="single" w:sz="4" w:space="0" w:color="auto"/>
            </w:tcBorders>
            <w:noWrap/>
          </w:tcPr>
          <w:p w14:paraId="241C18AC" w14:textId="77777777" w:rsidR="00122B2E" w:rsidRPr="00122B2E" w:rsidRDefault="00122B2E" w:rsidP="00122B2E">
            <w:pPr>
              <w:rPr>
                <w:rFonts w:ascii="Arial" w:hAnsi="Arial" w:cs="Arial"/>
                <w:sz w:val="20"/>
                <w:szCs w:val="20"/>
              </w:rPr>
            </w:pPr>
          </w:p>
          <w:p w14:paraId="64EB4225" w14:textId="77777777" w:rsidR="00122B2E" w:rsidRDefault="00122B2E" w:rsidP="00122B2E">
            <w:pPr>
              <w:rPr>
                <w:rFonts w:ascii="Arial" w:hAnsi="Arial" w:cs="Arial"/>
                <w:b/>
                <w:sz w:val="20"/>
                <w:szCs w:val="20"/>
              </w:rPr>
            </w:pPr>
          </w:p>
          <w:p w14:paraId="3055601B" w14:textId="77777777" w:rsidR="00122B2E" w:rsidRDefault="00122B2E" w:rsidP="00122B2E">
            <w:pPr>
              <w:rPr>
                <w:rFonts w:ascii="Arial" w:hAnsi="Arial" w:cs="Arial"/>
                <w:b/>
                <w:sz w:val="20"/>
                <w:szCs w:val="20"/>
              </w:rPr>
            </w:pPr>
          </w:p>
          <w:p w14:paraId="5654BD68" w14:textId="77777777" w:rsidR="00122B2E" w:rsidRPr="00122B2E" w:rsidRDefault="00122B2E" w:rsidP="00122B2E">
            <w:pPr>
              <w:rPr>
                <w:rFonts w:ascii="Arial" w:hAnsi="Arial" w:cs="Arial"/>
                <w:b/>
                <w:sz w:val="20"/>
                <w:szCs w:val="20"/>
              </w:rPr>
            </w:pPr>
            <w:r w:rsidRPr="00122B2E">
              <w:rPr>
                <w:rFonts w:ascii="Arial" w:hAnsi="Arial" w:cs="Arial"/>
                <w:b/>
                <w:sz w:val="20"/>
                <w:szCs w:val="20"/>
              </w:rPr>
              <w:t>Mulberry</w:t>
            </w:r>
          </w:p>
          <w:p w14:paraId="0BF31135" w14:textId="77777777" w:rsidR="00122B2E" w:rsidRPr="00122B2E" w:rsidRDefault="00122B2E" w:rsidP="00122B2E">
            <w:pPr>
              <w:rPr>
                <w:rFonts w:ascii="Arial" w:hAnsi="Arial" w:cs="Arial"/>
                <w:sz w:val="20"/>
                <w:szCs w:val="20"/>
              </w:rPr>
            </w:pPr>
            <w:r w:rsidRPr="00122B2E">
              <w:rPr>
                <w:rFonts w:ascii="Arial" w:hAnsi="Arial" w:cs="Arial"/>
                <w:b/>
                <w:sz w:val="20"/>
                <w:szCs w:val="20"/>
              </w:rPr>
              <w:t>Clones</w:t>
            </w:r>
          </w:p>
        </w:tc>
        <w:tc>
          <w:tcPr>
            <w:tcW w:w="1221" w:type="dxa"/>
            <w:tcBorders>
              <w:top w:val="single" w:sz="4" w:space="0" w:color="auto"/>
              <w:bottom w:val="single" w:sz="4" w:space="0" w:color="auto"/>
            </w:tcBorders>
            <w:noWrap/>
            <w:hideMark/>
          </w:tcPr>
          <w:p w14:paraId="06E7CA3E" w14:textId="77777777" w:rsidR="00122B2E" w:rsidRPr="00122B2E" w:rsidRDefault="00122B2E" w:rsidP="00122B2E">
            <w:pPr>
              <w:rPr>
                <w:rFonts w:ascii="Arial" w:hAnsi="Arial" w:cs="Arial"/>
                <w:sz w:val="20"/>
                <w:szCs w:val="20"/>
              </w:rPr>
            </w:pPr>
            <w:r w:rsidRPr="00122B2E">
              <w:rPr>
                <w:rFonts w:ascii="Arial" w:hAnsi="Arial" w:cs="Arial"/>
                <w:sz w:val="20"/>
                <w:szCs w:val="20"/>
              </w:rPr>
              <w:t>MI- 0845 (4.210)</w:t>
            </w:r>
          </w:p>
          <w:p w14:paraId="0546518B" w14:textId="77777777" w:rsidR="00122B2E" w:rsidRPr="00122B2E" w:rsidRDefault="00122B2E" w:rsidP="00122B2E">
            <w:pPr>
              <w:rPr>
                <w:rFonts w:ascii="Arial" w:hAnsi="Arial" w:cs="Arial"/>
                <w:sz w:val="20"/>
                <w:szCs w:val="20"/>
              </w:rPr>
            </w:pPr>
            <w:r w:rsidRPr="00122B2E">
              <w:rPr>
                <w:rFonts w:ascii="Arial" w:hAnsi="Arial" w:cs="Arial"/>
                <w:sz w:val="20"/>
                <w:szCs w:val="20"/>
              </w:rPr>
              <w:t>MI- 0674 (3.084)</w:t>
            </w:r>
          </w:p>
          <w:p w14:paraId="75B2EAA1" w14:textId="77777777" w:rsidR="00122B2E" w:rsidRPr="00122B2E" w:rsidRDefault="00122B2E" w:rsidP="00122B2E">
            <w:pPr>
              <w:rPr>
                <w:rFonts w:ascii="Arial" w:hAnsi="Arial" w:cs="Arial"/>
                <w:sz w:val="20"/>
                <w:szCs w:val="20"/>
              </w:rPr>
            </w:pPr>
            <w:r w:rsidRPr="00122B2E">
              <w:rPr>
                <w:rFonts w:ascii="Arial" w:hAnsi="Arial" w:cs="Arial"/>
                <w:sz w:val="20"/>
                <w:szCs w:val="20"/>
              </w:rPr>
              <w:t>ME- 0168 (2.600)</w:t>
            </w:r>
          </w:p>
          <w:p w14:paraId="6BE017F9" w14:textId="77777777" w:rsidR="00122B2E" w:rsidRPr="00122B2E" w:rsidRDefault="00122B2E" w:rsidP="00122B2E">
            <w:pPr>
              <w:rPr>
                <w:rFonts w:ascii="Arial" w:hAnsi="Arial" w:cs="Arial"/>
                <w:sz w:val="20"/>
                <w:szCs w:val="20"/>
              </w:rPr>
            </w:pPr>
            <w:r w:rsidRPr="00122B2E">
              <w:rPr>
                <w:rFonts w:ascii="Arial" w:hAnsi="Arial" w:cs="Arial"/>
                <w:sz w:val="20"/>
                <w:szCs w:val="20"/>
              </w:rPr>
              <w:t>MI- 0532 (1.105)</w:t>
            </w:r>
          </w:p>
        </w:tc>
        <w:tc>
          <w:tcPr>
            <w:tcW w:w="1168" w:type="dxa"/>
            <w:tcBorders>
              <w:top w:val="single" w:sz="4" w:space="0" w:color="auto"/>
              <w:bottom w:val="single" w:sz="4" w:space="0" w:color="auto"/>
            </w:tcBorders>
            <w:hideMark/>
          </w:tcPr>
          <w:p w14:paraId="0F04A478" w14:textId="77777777" w:rsidR="00122B2E" w:rsidRPr="00122B2E" w:rsidRDefault="00122B2E" w:rsidP="00122B2E">
            <w:pPr>
              <w:rPr>
                <w:rFonts w:ascii="Arial" w:hAnsi="Arial" w:cs="Arial"/>
                <w:sz w:val="20"/>
                <w:szCs w:val="20"/>
              </w:rPr>
            </w:pPr>
            <w:r w:rsidRPr="00122B2E">
              <w:rPr>
                <w:rFonts w:ascii="Arial" w:hAnsi="Arial" w:cs="Arial"/>
                <w:sz w:val="20"/>
                <w:szCs w:val="20"/>
              </w:rPr>
              <w:t>MI- 0828 (4.633)</w:t>
            </w:r>
          </w:p>
          <w:p w14:paraId="4026508F" w14:textId="77777777" w:rsidR="00122B2E" w:rsidRPr="00122B2E" w:rsidRDefault="00122B2E" w:rsidP="00122B2E">
            <w:pPr>
              <w:rPr>
                <w:rFonts w:ascii="Arial" w:hAnsi="Arial" w:cs="Arial"/>
                <w:sz w:val="20"/>
                <w:szCs w:val="20"/>
              </w:rPr>
            </w:pPr>
            <w:r w:rsidRPr="00122B2E">
              <w:rPr>
                <w:rFonts w:ascii="Arial" w:hAnsi="Arial" w:cs="Arial"/>
                <w:sz w:val="20"/>
                <w:szCs w:val="20"/>
              </w:rPr>
              <w:t>MI- 0674 (1.831)</w:t>
            </w:r>
          </w:p>
          <w:p w14:paraId="18ED43EF" w14:textId="77777777" w:rsidR="00122B2E" w:rsidRPr="00122B2E" w:rsidRDefault="00122B2E" w:rsidP="00122B2E">
            <w:pPr>
              <w:rPr>
                <w:rFonts w:ascii="Arial" w:hAnsi="Arial" w:cs="Arial"/>
                <w:sz w:val="20"/>
                <w:szCs w:val="20"/>
              </w:rPr>
            </w:pPr>
            <w:r w:rsidRPr="00122B2E">
              <w:rPr>
                <w:rFonts w:ascii="Arial" w:hAnsi="Arial" w:cs="Arial"/>
                <w:sz w:val="20"/>
                <w:szCs w:val="20"/>
              </w:rPr>
              <w:t>MI- 0034 (1.635)</w:t>
            </w:r>
          </w:p>
        </w:tc>
        <w:tc>
          <w:tcPr>
            <w:tcW w:w="1437" w:type="dxa"/>
            <w:tcBorders>
              <w:top w:val="single" w:sz="4" w:space="0" w:color="auto"/>
              <w:bottom w:val="single" w:sz="4" w:space="0" w:color="auto"/>
            </w:tcBorders>
            <w:hideMark/>
          </w:tcPr>
          <w:p w14:paraId="6153F453" w14:textId="77777777" w:rsidR="00122B2E" w:rsidRPr="00122B2E" w:rsidRDefault="00122B2E" w:rsidP="00122B2E">
            <w:pPr>
              <w:rPr>
                <w:rFonts w:ascii="Arial" w:hAnsi="Arial" w:cs="Arial"/>
                <w:sz w:val="20"/>
                <w:szCs w:val="20"/>
              </w:rPr>
            </w:pPr>
            <w:r w:rsidRPr="00122B2E">
              <w:rPr>
                <w:rFonts w:ascii="Arial" w:hAnsi="Arial" w:cs="Arial"/>
                <w:sz w:val="20"/>
                <w:szCs w:val="20"/>
              </w:rPr>
              <w:t>MI- 0034 (3.344)</w:t>
            </w:r>
          </w:p>
          <w:p w14:paraId="6CD0FF72" w14:textId="77777777" w:rsidR="00122B2E" w:rsidRPr="00122B2E" w:rsidRDefault="00122B2E" w:rsidP="00122B2E">
            <w:pPr>
              <w:rPr>
                <w:rFonts w:ascii="Arial" w:hAnsi="Arial" w:cs="Arial"/>
                <w:sz w:val="20"/>
                <w:szCs w:val="20"/>
              </w:rPr>
            </w:pPr>
            <w:r w:rsidRPr="00122B2E">
              <w:rPr>
                <w:rFonts w:ascii="Arial" w:hAnsi="Arial" w:cs="Arial"/>
                <w:sz w:val="20"/>
                <w:szCs w:val="20"/>
              </w:rPr>
              <w:t>MI- 0845 (1.199)</w:t>
            </w:r>
          </w:p>
          <w:p w14:paraId="28E4BCD0" w14:textId="77777777" w:rsidR="00122B2E" w:rsidRPr="00122B2E" w:rsidRDefault="00122B2E" w:rsidP="00122B2E">
            <w:pPr>
              <w:rPr>
                <w:rFonts w:ascii="Arial" w:hAnsi="Arial" w:cs="Arial"/>
                <w:sz w:val="20"/>
                <w:szCs w:val="20"/>
              </w:rPr>
            </w:pPr>
            <w:r w:rsidRPr="00122B2E">
              <w:rPr>
                <w:rFonts w:ascii="Arial" w:hAnsi="Arial" w:cs="Arial"/>
                <w:sz w:val="20"/>
                <w:szCs w:val="20"/>
              </w:rPr>
              <w:t>MI- 0783 (1.135)</w:t>
            </w:r>
          </w:p>
          <w:p w14:paraId="6A2C4FE7" w14:textId="77777777" w:rsidR="00122B2E" w:rsidRPr="00122B2E" w:rsidRDefault="00122B2E" w:rsidP="00122B2E">
            <w:pPr>
              <w:rPr>
                <w:rFonts w:ascii="Arial" w:hAnsi="Arial" w:cs="Arial"/>
                <w:sz w:val="20"/>
                <w:szCs w:val="20"/>
              </w:rPr>
            </w:pPr>
            <w:r w:rsidRPr="00122B2E">
              <w:rPr>
                <w:rFonts w:ascii="Arial" w:hAnsi="Arial" w:cs="Arial"/>
                <w:sz w:val="20"/>
                <w:szCs w:val="20"/>
              </w:rPr>
              <w:t>MI- 0674 (1.048)</w:t>
            </w:r>
          </w:p>
        </w:tc>
        <w:tc>
          <w:tcPr>
            <w:tcW w:w="1705" w:type="dxa"/>
            <w:tcBorders>
              <w:top w:val="single" w:sz="4" w:space="0" w:color="auto"/>
              <w:bottom w:val="single" w:sz="4" w:space="0" w:color="auto"/>
            </w:tcBorders>
            <w:hideMark/>
          </w:tcPr>
          <w:p w14:paraId="410230AD" w14:textId="77777777" w:rsidR="00122B2E" w:rsidRPr="00122B2E" w:rsidRDefault="00122B2E" w:rsidP="00122B2E">
            <w:pPr>
              <w:rPr>
                <w:rFonts w:ascii="Arial" w:hAnsi="Arial" w:cs="Arial"/>
                <w:sz w:val="20"/>
                <w:szCs w:val="20"/>
              </w:rPr>
            </w:pPr>
            <w:r w:rsidRPr="00122B2E">
              <w:rPr>
                <w:rFonts w:ascii="Arial" w:hAnsi="Arial" w:cs="Arial"/>
                <w:sz w:val="20"/>
                <w:szCs w:val="20"/>
              </w:rPr>
              <w:t>MI- 0532 (2.246)</w:t>
            </w:r>
          </w:p>
          <w:p w14:paraId="0C123BEF" w14:textId="77777777" w:rsidR="00122B2E" w:rsidRPr="00122B2E" w:rsidRDefault="00122B2E" w:rsidP="00122B2E">
            <w:pPr>
              <w:rPr>
                <w:rFonts w:ascii="Arial" w:hAnsi="Arial" w:cs="Arial"/>
                <w:sz w:val="20"/>
                <w:szCs w:val="20"/>
              </w:rPr>
            </w:pPr>
            <w:r w:rsidRPr="00122B2E">
              <w:rPr>
                <w:rFonts w:ascii="Arial" w:hAnsi="Arial" w:cs="Arial"/>
                <w:sz w:val="20"/>
                <w:szCs w:val="20"/>
              </w:rPr>
              <w:t>MI- 0034 (1.570)</w:t>
            </w:r>
          </w:p>
          <w:p w14:paraId="3292068F" w14:textId="77777777" w:rsidR="00122B2E" w:rsidRPr="00122B2E" w:rsidRDefault="00122B2E" w:rsidP="00122B2E">
            <w:pPr>
              <w:rPr>
                <w:rFonts w:ascii="Arial" w:hAnsi="Arial" w:cs="Arial"/>
                <w:sz w:val="20"/>
                <w:szCs w:val="20"/>
              </w:rPr>
            </w:pPr>
            <w:r w:rsidRPr="00122B2E">
              <w:rPr>
                <w:rFonts w:ascii="Arial" w:hAnsi="Arial" w:cs="Arial"/>
                <w:sz w:val="20"/>
                <w:szCs w:val="20"/>
              </w:rPr>
              <w:t>MI- 0300 (1.325)</w:t>
            </w:r>
          </w:p>
          <w:p w14:paraId="27126169" w14:textId="77777777" w:rsidR="00122B2E" w:rsidRPr="00122B2E" w:rsidRDefault="00122B2E" w:rsidP="00122B2E">
            <w:pPr>
              <w:rPr>
                <w:rFonts w:ascii="Arial" w:hAnsi="Arial" w:cs="Arial"/>
                <w:sz w:val="20"/>
                <w:szCs w:val="20"/>
              </w:rPr>
            </w:pPr>
            <w:r w:rsidRPr="00122B2E">
              <w:rPr>
                <w:rFonts w:ascii="Arial" w:hAnsi="Arial" w:cs="Arial"/>
                <w:sz w:val="20"/>
                <w:szCs w:val="20"/>
              </w:rPr>
              <w:t>MI-0211 (1.082)</w:t>
            </w:r>
          </w:p>
        </w:tc>
        <w:tc>
          <w:tcPr>
            <w:tcW w:w="1705" w:type="dxa"/>
            <w:tcBorders>
              <w:top w:val="single" w:sz="4" w:space="0" w:color="auto"/>
              <w:bottom w:val="single" w:sz="4" w:space="0" w:color="auto"/>
            </w:tcBorders>
            <w:hideMark/>
          </w:tcPr>
          <w:p w14:paraId="072FBB3C" w14:textId="77777777" w:rsidR="00122B2E" w:rsidRPr="00122B2E" w:rsidRDefault="00122B2E" w:rsidP="00122B2E">
            <w:pPr>
              <w:rPr>
                <w:rFonts w:ascii="Arial" w:hAnsi="Arial" w:cs="Arial"/>
                <w:sz w:val="20"/>
                <w:szCs w:val="20"/>
              </w:rPr>
            </w:pPr>
            <w:r w:rsidRPr="00122B2E">
              <w:rPr>
                <w:rFonts w:ascii="Arial" w:hAnsi="Arial" w:cs="Arial"/>
                <w:sz w:val="20"/>
                <w:szCs w:val="20"/>
              </w:rPr>
              <w:t>MI- 0532 (1.366)</w:t>
            </w:r>
          </w:p>
          <w:p w14:paraId="4D2EA837" w14:textId="77777777" w:rsidR="00122B2E" w:rsidRPr="00122B2E" w:rsidRDefault="00122B2E" w:rsidP="00122B2E">
            <w:pPr>
              <w:rPr>
                <w:rFonts w:ascii="Arial" w:hAnsi="Arial" w:cs="Arial"/>
                <w:sz w:val="20"/>
                <w:szCs w:val="20"/>
              </w:rPr>
            </w:pPr>
            <w:r w:rsidRPr="00122B2E">
              <w:rPr>
                <w:rFonts w:ascii="Arial" w:hAnsi="Arial" w:cs="Arial"/>
                <w:sz w:val="20"/>
                <w:szCs w:val="20"/>
              </w:rPr>
              <w:t>MI- 0828 (1.022)</w:t>
            </w:r>
          </w:p>
        </w:tc>
      </w:tr>
    </w:tbl>
    <w:p w14:paraId="7725EA3E" w14:textId="77777777" w:rsidR="00122B2E" w:rsidRDefault="00122B2E" w:rsidP="00FB7DAB">
      <w:pPr>
        <w:spacing w:before="240" w:after="240"/>
        <w:jc w:val="both"/>
        <w:rPr>
          <w:rFonts w:ascii="Arial" w:hAnsi="Arial" w:cs="Arial"/>
        </w:rPr>
      </w:pPr>
      <w:r w:rsidRPr="00122B2E">
        <w:rPr>
          <w:rFonts w:ascii="Arial" w:hAnsi="Arial" w:cs="Arial"/>
        </w:rPr>
        <w:t xml:space="preserve">PCA has been widely applied in studies related to the physical, chemical, and thermochemical properties of various wood species; for </w:t>
      </w:r>
      <w:r w:rsidRPr="00177B2A">
        <w:rPr>
          <w:rFonts w:ascii="Arial" w:hAnsi="Arial" w:cs="Arial"/>
        </w:rPr>
        <w:t xml:space="preserve">instance, Barta- Rajani </w:t>
      </w:r>
      <w:r w:rsidRPr="00177B2A">
        <w:rPr>
          <w:rFonts w:ascii="Arial" w:hAnsi="Arial" w:cs="Arial"/>
          <w:i/>
        </w:rPr>
        <w:t>et al.</w:t>
      </w:r>
      <w:r w:rsidRPr="00177B2A">
        <w:rPr>
          <w:rFonts w:ascii="Arial" w:hAnsi="Arial" w:cs="Arial"/>
        </w:rPr>
        <w:t xml:space="preserve"> (2016)</w:t>
      </w:r>
      <w:r w:rsidRPr="00122B2E">
        <w:rPr>
          <w:rFonts w:ascii="Arial" w:hAnsi="Arial" w:cs="Arial"/>
        </w:rPr>
        <w:t xml:space="preserve"> explored the relationship between torrefaction temperature, chemical composition, and thermal parameters in black locust wood and herbaceous biomass materials</w:t>
      </w:r>
      <w:r w:rsidRPr="00E9294C">
        <w:rPr>
          <w:rFonts w:ascii="Arial" w:hAnsi="Arial" w:cs="Arial"/>
        </w:rPr>
        <w:t xml:space="preserve">; Fodil Cherif </w:t>
      </w:r>
      <w:r w:rsidRPr="00E9294C">
        <w:rPr>
          <w:rFonts w:ascii="Arial" w:hAnsi="Arial" w:cs="Arial"/>
          <w:i/>
        </w:rPr>
        <w:t>et al.</w:t>
      </w:r>
      <w:r w:rsidRPr="00E9294C">
        <w:rPr>
          <w:rFonts w:ascii="Arial" w:hAnsi="Arial" w:cs="Arial"/>
        </w:rPr>
        <w:t xml:space="preserve"> (2020)</w:t>
      </w:r>
      <w:r w:rsidRPr="00122B2E">
        <w:rPr>
          <w:rFonts w:ascii="Arial" w:hAnsi="Arial" w:cs="Arial"/>
        </w:rPr>
        <w:t xml:space="preserve"> compared the physicochemical properties and thermal stability of hardwood and softwood biomass;</w:t>
      </w:r>
      <w:r w:rsidR="00E9294C">
        <w:rPr>
          <w:rFonts w:ascii="Arial" w:hAnsi="Arial" w:cs="Arial"/>
        </w:rPr>
        <w:t xml:space="preserve"> </w:t>
      </w:r>
      <w:r w:rsidR="00E9294C" w:rsidRPr="00E9294C">
        <w:rPr>
          <w:rFonts w:ascii="Arial" w:hAnsi="Arial" w:cs="Arial"/>
        </w:rPr>
        <w:t>Mendoza</w:t>
      </w:r>
      <w:r w:rsidRPr="00E9294C">
        <w:rPr>
          <w:rFonts w:ascii="Arial" w:hAnsi="Arial" w:cs="Arial"/>
        </w:rPr>
        <w:t xml:space="preserve"> Martinez </w:t>
      </w:r>
      <w:r w:rsidRPr="00E9294C">
        <w:rPr>
          <w:rFonts w:ascii="Arial" w:hAnsi="Arial" w:cs="Arial"/>
          <w:i/>
        </w:rPr>
        <w:t>et al.</w:t>
      </w:r>
      <w:r w:rsidRPr="00E9294C">
        <w:rPr>
          <w:rFonts w:ascii="Arial" w:hAnsi="Arial" w:cs="Arial"/>
        </w:rPr>
        <w:t xml:space="preserve"> (2021)</w:t>
      </w:r>
      <w:r w:rsidRPr="00122B2E">
        <w:rPr>
          <w:rFonts w:ascii="Arial" w:hAnsi="Arial" w:cs="Arial"/>
        </w:rPr>
        <w:t xml:space="preserve"> examined the thermal properties and combustibility of coffee- pine wood briquettes</w:t>
      </w:r>
      <w:r w:rsidRPr="00E9294C">
        <w:rPr>
          <w:rFonts w:ascii="Arial" w:hAnsi="Arial" w:cs="Arial"/>
        </w:rPr>
        <w:t>; and Batista and Gomes (2021) analyzed</w:t>
      </w:r>
      <w:r w:rsidRPr="00122B2E">
        <w:rPr>
          <w:rFonts w:ascii="Arial" w:hAnsi="Arial" w:cs="Arial"/>
        </w:rPr>
        <w:t xml:space="preserve"> the effect of chemical composition and the pyrolysis process on biochar yields using PCA. In the present study, PCA was used to assess mulberry clonal genetic resources based on their physical, chemical, and thermochemical characteristics. Among the thirteen PCs analyzed, only five were selected with eigenvalues greater than 1.0,</w:t>
      </w:r>
      <w:r w:rsidRPr="00122B2E">
        <w:rPr>
          <w:rFonts w:ascii="Arial" w:hAnsi="Arial" w:cs="Arial"/>
          <w:lang w:val="en-IN"/>
        </w:rPr>
        <w:t xml:space="preserve"> as the </w:t>
      </w:r>
      <w:r w:rsidRPr="00122B2E">
        <w:rPr>
          <w:rFonts w:ascii="Arial" w:hAnsi="Arial" w:cs="Arial"/>
        </w:rPr>
        <w:t xml:space="preserve">general guideline for deciding which principal components (PCs) hold practical significance and should be retained is that their eigenvalues should be greater </w:t>
      </w:r>
      <w:r w:rsidRPr="00E9294C">
        <w:rPr>
          <w:rFonts w:ascii="Arial" w:hAnsi="Arial" w:cs="Arial"/>
        </w:rPr>
        <w:t>than 1.0 (Lezonni and Pritts, 1991). The</w:t>
      </w:r>
      <w:r w:rsidRPr="00122B2E">
        <w:rPr>
          <w:rFonts w:ascii="Arial" w:hAnsi="Arial" w:cs="Arial"/>
        </w:rPr>
        <w:t xml:space="preserve"> PCA results indicated that clones MI- 0845, MI- 0674, ME- 0168 ranked highly in PC1. While, clones like MI- 0845, MI- 0674, MI- 0034, and MI- 0532 appeared across multiple components, demonstrating their versatility and overall strong performance in contributing to the variability observed in the dataset. This ranking provides valuable insights into the mulberry clones that are most effective or influential for fuelwood and bioenergy production, guiding future selection and breeding strategies to establish mulberry as a sustainable alternative for bioenergy production.</w:t>
      </w:r>
    </w:p>
    <w:p w14:paraId="04984277" w14:textId="77777777" w:rsidR="00FB7DAB" w:rsidRDefault="00FB7DAB" w:rsidP="00FB7DAB">
      <w:pPr>
        <w:pStyle w:val="ConcHead"/>
        <w:jc w:val="both"/>
        <w:rPr>
          <w:rFonts w:ascii="Arial" w:hAnsi="Arial" w:cs="Arial"/>
        </w:rPr>
      </w:pPr>
      <w:r>
        <w:rPr>
          <w:rFonts w:ascii="Arial" w:hAnsi="Arial" w:cs="Arial"/>
        </w:rPr>
        <w:t xml:space="preserve">4. </w:t>
      </w:r>
      <w:r w:rsidRPr="00FB3A86">
        <w:rPr>
          <w:rFonts w:ascii="Arial" w:hAnsi="Arial" w:cs="Arial"/>
        </w:rPr>
        <w:t>Conclusion</w:t>
      </w:r>
    </w:p>
    <w:p w14:paraId="603A7F1C" w14:textId="77777777" w:rsidR="00FB7DAB" w:rsidRPr="00FB7DAB" w:rsidRDefault="00FB7DAB" w:rsidP="00FB7DAB">
      <w:pPr>
        <w:spacing w:before="240"/>
        <w:jc w:val="both"/>
        <w:rPr>
          <w:rFonts w:ascii="Arial" w:hAnsi="Arial" w:cs="Arial"/>
        </w:rPr>
      </w:pPr>
      <w:r w:rsidRPr="00FB7DAB">
        <w:rPr>
          <w:rFonts w:ascii="Arial" w:hAnsi="Arial" w:cs="Arial"/>
        </w:rPr>
        <w:t xml:space="preserve">The comprehensive physical, chemical and thermochemical profiling of seventeen mulberry clonal genetic resources revealed substantial inter-clonal variation in properties critical to fuelwood and bioenergy applications. Parameters such as moisture content, density, specific gravity, extractives, lignin, holocellulose, ash content, volatile matter, fixed carbon, calorific </w:t>
      </w:r>
      <w:r w:rsidRPr="00FB7DAB">
        <w:rPr>
          <w:rFonts w:ascii="Arial" w:hAnsi="Arial" w:cs="Arial"/>
        </w:rPr>
        <w:lastRenderedPageBreak/>
        <w:t>value, and fuel value index varied significantly, underscoring the genetic diversity among the studied clones. Notably, clones MI-0845, ME-0168, and MI-0674 consistently demonstrated superior traits, including high basic density, low moisture and ash content, elevated calorific values, and favorable FVI scores, making them ideal candidates for bioenergy utilization. Principal Component Analysis further corroborated these findings, with the top-performing clones contributing significantly to the total variance across key energy-related traits.</w:t>
      </w:r>
    </w:p>
    <w:p w14:paraId="3F2B31A2" w14:textId="77777777" w:rsidR="00FB7DAB" w:rsidRPr="00FB7DAB" w:rsidRDefault="00FB7DAB" w:rsidP="00FB7DAB">
      <w:pPr>
        <w:spacing w:before="240" w:after="240"/>
        <w:jc w:val="both"/>
        <w:rPr>
          <w:rFonts w:ascii="Arial" w:hAnsi="Arial" w:cs="Arial"/>
        </w:rPr>
      </w:pPr>
      <w:r w:rsidRPr="00FB7DAB">
        <w:rPr>
          <w:rFonts w:ascii="Arial" w:hAnsi="Arial" w:cs="Arial"/>
        </w:rPr>
        <w:t>These findings position mulberry not only as a traditional sericultural resource but also as a promising renewable energy source capable of addressing rural energy demands and mitigating environmental degradation from unsustainable fuelwood extraction. The identified superior clones offer strong potential for large-scale propagation and integration into agroforestry systems, thereby supporting national goals for sustainable energy and climate resilience.</w:t>
      </w:r>
    </w:p>
    <w:p w14:paraId="5E3EDB9F" w14:textId="77777777" w:rsidR="00040361" w:rsidRDefault="00040361" w:rsidP="00BE01FC">
      <w:pPr>
        <w:pStyle w:val="ReferHead"/>
        <w:spacing w:after="0"/>
        <w:jc w:val="both"/>
        <w:rPr>
          <w:rFonts w:ascii="Arial" w:hAnsi="Arial" w:cs="Arial"/>
          <w:b w:val="0"/>
          <w:caps w:val="0"/>
          <w:sz w:val="20"/>
        </w:rPr>
      </w:pPr>
      <w:bookmarkStart w:id="1" w:name="_Hlk175150493"/>
    </w:p>
    <w:p w14:paraId="661C6A04" w14:textId="77777777" w:rsidR="00040361" w:rsidRDefault="00040361" w:rsidP="00BE01FC">
      <w:pPr>
        <w:pStyle w:val="ReferHead"/>
        <w:spacing w:after="0"/>
        <w:jc w:val="both"/>
        <w:rPr>
          <w:rFonts w:ascii="Arial" w:hAnsi="Arial" w:cs="Arial"/>
          <w:b w:val="0"/>
          <w:caps w:val="0"/>
          <w:sz w:val="20"/>
        </w:rPr>
      </w:pPr>
    </w:p>
    <w:p w14:paraId="77CED18C" w14:textId="77777777" w:rsidR="00040361" w:rsidRDefault="00040361" w:rsidP="00BE01FC">
      <w:pPr>
        <w:pStyle w:val="ReferHead"/>
        <w:spacing w:after="0"/>
        <w:jc w:val="both"/>
        <w:rPr>
          <w:rFonts w:ascii="Arial" w:hAnsi="Arial" w:cs="Arial"/>
          <w:b w:val="0"/>
          <w:caps w:val="0"/>
          <w:sz w:val="20"/>
        </w:rPr>
      </w:pPr>
    </w:p>
    <w:p w14:paraId="787AF73A" w14:textId="206B6528" w:rsidR="003839D9" w:rsidRPr="00D51804" w:rsidRDefault="003839D9" w:rsidP="00040361">
      <w:pPr>
        <w:pStyle w:val="ReferHead"/>
        <w:spacing w:after="0"/>
        <w:jc w:val="both"/>
        <w:rPr>
          <w:rFonts w:ascii="Arial" w:hAnsi="Arial" w:cs="Arial"/>
          <w:caps w:val="0"/>
          <w:sz w:val="20"/>
        </w:rPr>
      </w:pPr>
    </w:p>
    <w:p w14:paraId="5334F239" w14:textId="77777777" w:rsidR="003839D9" w:rsidRPr="00D51804" w:rsidRDefault="003839D9" w:rsidP="003839D9">
      <w:pPr>
        <w:rPr>
          <w:rFonts w:ascii="Calibri" w:eastAsia="Calibri" w:hAnsi="Calibri"/>
          <w:b/>
          <w:kern w:val="2"/>
          <w:highlight w:val="yellow"/>
        </w:rPr>
      </w:pPr>
      <w:bookmarkStart w:id="2" w:name="_Hlk201835975"/>
      <w:bookmarkStart w:id="3" w:name="_Hlk193540946"/>
      <w:bookmarkStart w:id="4" w:name="_Hlk180402183"/>
      <w:bookmarkStart w:id="5" w:name="_Hlk183680988"/>
      <w:bookmarkStart w:id="6" w:name="_Hlk197173371"/>
      <w:r w:rsidRPr="00D51804">
        <w:rPr>
          <w:rFonts w:ascii="Calibri" w:eastAsia="Calibri" w:hAnsi="Calibri"/>
          <w:b/>
          <w:kern w:val="2"/>
          <w:highlight w:val="yellow"/>
        </w:rPr>
        <w:t>Disclaimer (Artificial intelligence)</w:t>
      </w:r>
    </w:p>
    <w:p w14:paraId="16A7F1CB" w14:textId="77777777" w:rsidR="003839D9" w:rsidRPr="009C5487" w:rsidRDefault="003839D9" w:rsidP="003839D9">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manuscript. </w:t>
      </w:r>
      <w:bookmarkStart w:id="7" w:name="_GoBack"/>
      <w:bookmarkEnd w:id="7"/>
    </w:p>
    <w:bookmarkEnd w:id="2"/>
    <w:bookmarkEnd w:id="3"/>
    <w:bookmarkEnd w:id="4"/>
    <w:bookmarkEnd w:id="5"/>
    <w:bookmarkEnd w:id="6"/>
    <w:p w14:paraId="53147763" w14:textId="77777777" w:rsidR="003839D9" w:rsidRDefault="003839D9" w:rsidP="00040361">
      <w:pPr>
        <w:pStyle w:val="ReferHead"/>
        <w:spacing w:after="0"/>
        <w:jc w:val="both"/>
        <w:rPr>
          <w:rFonts w:ascii="Arial" w:hAnsi="Arial" w:cs="Arial"/>
          <w:b w:val="0"/>
          <w:caps w:val="0"/>
          <w:sz w:val="20"/>
        </w:rPr>
      </w:pPr>
    </w:p>
    <w:p w14:paraId="5D8A252A" w14:textId="77777777" w:rsidR="00040361" w:rsidRDefault="00040361" w:rsidP="00BE01FC">
      <w:pPr>
        <w:pStyle w:val="ReferHead"/>
        <w:spacing w:after="0"/>
        <w:jc w:val="both"/>
        <w:rPr>
          <w:rFonts w:ascii="Arial" w:hAnsi="Arial" w:cs="Arial"/>
          <w:b w:val="0"/>
          <w:caps w:val="0"/>
          <w:sz w:val="20"/>
        </w:rPr>
      </w:pPr>
    </w:p>
    <w:p w14:paraId="42C48B94" w14:textId="77777777" w:rsidR="00040361" w:rsidRPr="00CF6AD2" w:rsidRDefault="00040361" w:rsidP="00BE01FC">
      <w:pPr>
        <w:pStyle w:val="ReferHead"/>
        <w:spacing w:after="0"/>
        <w:jc w:val="both"/>
        <w:rPr>
          <w:rFonts w:ascii="Arial" w:hAnsi="Arial" w:cs="Arial"/>
          <w:b w:val="0"/>
          <w:caps w:val="0"/>
          <w:sz w:val="20"/>
        </w:rPr>
      </w:pPr>
    </w:p>
    <w:p w14:paraId="219C483D" w14:textId="77777777" w:rsidR="00BE01FC" w:rsidRDefault="00BE01FC" w:rsidP="00BE01FC">
      <w:pPr>
        <w:pStyle w:val="Body"/>
        <w:spacing w:before="240" w:after="0"/>
        <w:rPr>
          <w:rFonts w:ascii="Arial" w:hAnsi="Arial" w:cs="Arial"/>
          <w:b/>
          <w:sz w:val="22"/>
          <w:szCs w:val="22"/>
          <w:lang w:val="en-GB"/>
        </w:rPr>
      </w:pPr>
      <w:r w:rsidRPr="00305E80">
        <w:rPr>
          <w:rFonts w:ascii="Arial" w:hAnsi="Arial" w:cs="Arial"/>
          <w:b/>
          <w:sz w:val="22"/>
          <w:szCs w:val="22"/>
          <w:lang w:val="en-GB"/>
        </w:rPr>
        <w:t>REFERENCES</w:t>
      </w:r>
    </w:p>
    <w:p w14:paraId="038C05C9" w14:textId="77777777" w:rsidR="00FB7DAB" w:rsidRDefault="00781777" w:rsidP="00781777">
      <w:pPr>
        <w:pStyle w:val="ListParagraph"/>
        <w:numPr>
          <w:ilvl w:val="0"/>
          <w:numId w:val="31"/>
        </w:numPr>
        <w:spacing w:before="240"/>
        <w:jc w:val="both"/>
        <w:rPr>
          <w:rFonts w:ascii="Arial" w:hAnsi="Arial" w:cs="Arial"/>
        </w:rPr>
      </w:pPr>
      <w:r w:rsidRPr="00781777">
        <w:rPr>
          <w:rFonts w:ascii="Arial" w:hAnsi="Arial" w:cs="Arial"/>
        </w:rPr>
        <w:t>Baqir, M., Kothari, R., &amp; Singh, R. P. (2019). Characterization and ranking of subtropical trees in a rural plantation forest of Uttar Pradesh, India, as fuel wood using fuel wood value index (FVI). Environment, Development and Sustainability, 21(2), 763–776.</w:t>
      </w:r>
      <w:r>
        <w:rPr>
          <w:rFonts w:ascii="Arial" w:hAnsi="Arial" w:cs="Arial"/>
        </w:rPr>
        <w:t xml:space="preserve"> </w:t>
      </w:r>
      <w:hyperlink r:id="rId21" w:history="1">
        <w:r w:rsidRPr="00B213B4">
          <w:rPr>
            <w:rStyle w:val="Hyperlink"/>
            <w:rFonts w:ascii="Arial" w:hAnsi="Arial" w:cs="Arial"/>
          </w:rPr>
          <w:t>https://doi.org/10.1007/s10668-017-0057-z</w:t>
        </w:r>
      </w:hyperlink>
    </w:p>
    <w:p w14:paraId="2DC69749" w14:textId="77777777" w:rsidR="00781777" w:rsidRDefault="00781777" w:rsidP="00781777">
      <w:pPr>
        <w:pStyle w:val="ListParagraph"/>
        <w:numPr>
          <w:ilvl w:val="0"/>
          <w:numId w:val="31"/>
        </w:numPr>
        <w:spacing w:before="240"/>
        <w:jc w:val="both"/>
        <w:rPr>
          <w:rFonts w:ascii="Arial" w:hAnsi="Arial" w:cs="Arial"/>
        </w:rPr>
      </w:pPr>
      <w:r w:rsidRPr="00781777">
        <w:rPr>
          <w:rFonts w:ascii="Arial" w:hAnsi="Arial" w:cs="Arial"/>
        </w:rPr>
        <w:t>Vamvuka, D., &amp; Sfakiotakis, S. (2011). Combustion behaviour of biomass fuels and their blends with lignite. Thermochimica Acta, 526(1–2), 192–199.</w:t>
      </w:r>
      <w:r>
        <w:rPr>
          <w:rFonts w:ascii="Arial" w:hAnsi="Arial" w:cs="Arial"/>
        </w:rPr>
        <w:t xml:space="preserve"> </w:t>
      </w:r>
      <w:hyperlink r:id="rId22" w:history="1">
        <w:r w:rsidRPr="00B213B4">
          <w:rPr>
            <w:rStyle w:val="Hyperlink"/>
            <w:rFonts w:ascii="Arial" w:hAnsi="Arial" w:cs="Arial"/>
          </w:rPr>
          <w:t>https://doi.org/10.1016/j.tca.2011.09.021</w:t>
        </w:r>
      </w:hyperlink>
    </w:p>
    <w:p w14:paraId="36A685E4" w14:textId="77777777" w:rsidR="00781777" w:rsidRDefault="00781777" w:rsidP="00781777">
      <w:pPr>
        <w:pStyle w:val="ListParagraph"/>
        <w:numPr>
          <w:ilvl w:val="0"/>
          <w:numId w:val="31"/>
        </w:numPr>
        <w:spacing w:before="240"/>
        <w:jc w:val="both"/>
        <w:rPr>
          <w:rFonts w:ascii="Arial" w:hAnsi="Arial" w:cs="Arial"/>
        </w:rPr>
      </w:pPr>
      <w:r w:rsidRPr="00781777">
        <w:rPr>
          <w:rFonts w:ascii="Arial" w:hAnsi="Arial" w:cs="Arial"/>
        </w:rPr>
        <w:t xml:space="preserve">Hussein, A. K. (2015). Applications of nanotechnology in renewable energies—A comprehensive overview and understanding. Renewable and Sustainable Energy Reviews, 42, 460–476. </w:t>
      </w:r>
      <w:hyperlink r:id="rId23" w:history="1">
        <w:r w:rsidRPr="00B213B4">
          <w:rPr>
            <w:rStyle w:val="Hyperlink"/>
            <w:rFonts w:ascii="Arial" w:hAnsi="Arial" w:cs="Arial"/>
          </w:rPr>
          <w:t>https://doi.org/10.1016/j.rser.2014.10.027</w:t>
        </w:r>
      </w:hyperlink>
    </w:p>
    <w:p w14:paraId="2D6B4269" w14:textId="77777777" w:rsidR="00FB7DAB" w:rsidRPr="00781777" w:rsidRDefault="00781777" w:rsidP="00781777">
      <w:pPr>
        <w:pStyle w:val="ListParagraph"/>
        <w:numPr>
          <w:ilvl w:val="0"/>
          <w:numId w:val="31"/>
        </w:numPr>
        <w:spacing w:before="240"/>
        <w:jc w:val="both"/>
        <w:rPr>
          <w:rFonts w:ascii="Arial" w:hAnsi="Arial" w:cs="Arial"/>
        </w:rPr>
      </w:pPr>
      <w:r w:rsidRPr="00781777">
        <w:rPr>
          <w:rFonts w:ascii="Arial" w:hAnsi="Arial" w:cs="Arial"/>
        </w:rPr>
        <w:t xml:space="preserve">Palaniappan, K. (2017). An overview of applications of nanotechnology in biofuel production. World Applied Sciences Journal, 35(8), 1305–1311. </w:t>
      </w:r>
      <w:bookmarkEnd w:id="1"/>
      <w:r>
        <w:fldChar w:fldCharType="begin"/>
      </w:r>
      <w:r>
        <w:instrText xml:space="preserve"> HYPERLINK "</w:instrText>
      </w:r>
      <w:r w:rsidRPr="00781777">
        <w:instrText>https://doi.org/10.5829/IDOSI.WASJ.2017.1305.1311</w:instrText>
      </w:r>
      <w:r>
        <w:instrText xml:space="preserve">" </w:instrText>
      </w:r>
      <w:r>
        <w:fldChar w:fldCharType="separate"/>
      </w:r>
      <w:r w:rsidRPr="00B213B4">
        <w:rPr>
          <w:rStyle w:val="Hyperlink"/>
        </w:rPr>
        <w:t>https://doi.org/10.5829/IDOSI.WASJ.2017.1305.1311</w:t>
      </w:r>
      <w:r>
        <w:fldChar w:fldCharType="end"/>
      </w:r>
    </w:p>
    <w:p w14:paraId="06DF9409" w14:textId="77777777" w:rsidR="00942C91" w:rsidRDefault="00942C91" w:rsidP="00942C91">
      <w:pPr>
        <w:pStyle w:val="ListParagraph"/>
        <w:numPr>
          <w:ilvl w:val="0"/>
          <w:numId w:val="31"/>
        </w:numPr>
        <w:spacing w:before="240"/>
        <w:jc w:val="both"/>
        <w:rPr>
          <w:rFonts w:ascii="Arial" w:hAnsi="Arial" w:cs="Arial"/>
        </w:rPr>
      </w:pPr>
      <w:r w:rsidRPr="00942C91">
        <w:rPr>
          <w:rFonts w:ascii="Arial" w:hAnsi="Arial" w:cs="Arial"/>
        </w:rPr>
        <w:t xml:space="preserve">Kumar, A., Kumar, K., Kaushik, N., Sharma, S., &amp; Mishra, S. (2010a). Renewable energy in India: Current status and future potentials. Renewable and Sustainable Energy Reviews, 14(8), 2434–2442. </w:t>
      </w:r>
      <w:hyperlink r:id="rId24" w:history="1">
        <w:r w:rsidRPr="00B213B4">
          <w:rPr>
            <w:rStyle w:val="Hyperlink"/>
            <w:rFonts w:ascii="Arial" w:hAnsi="Arial" w:cs="Arial"/>
          </w:rPr>
          <w:t>https://doi.org/10.1016/j.rser.2010.04.003</w:t>
        </w:r>
      </w:hyperlink>
    </w:p>
    <w:p w14:paraId="4A3EC13C" w14:textId="77777777" w:rsidR="00942C91" w:rsidRDefault="00942C91" w:rsidP="00942C91">
      <w:pPr>
        <w:pStyle w:val="ListParagraph"/>
        <w:numPr>
          <w:ilvl w:val="0"/>
          <w:numId w:val="31"/>
        </w:numPr>
        <w:spacing w:before="240"/>
        <w:jc w:val="both"/>
        <w:rPr>
          <w:rFonts w:ascii="Arial" w:hAnsi="Arial" w:cs="Arial"/>
        </w:rPr>
      </w:pPr>
      <w:r w:rsidRPr="00942C91">
        <w:rPr>
          <w:rFonts w:ascii="Arial" w:hAnsi="Arial" w:cs="Arial"/>
        </w:rPr>
        <w:t>Sedai, P., Kalita, D., &amp; Deka, D. (2016). Assessment of the fuel wood of India: A case study based on fuel characteristics of some indigenous species of Arunachal Pradesh. Energy Sources, Part A: Recovery, Utilization, and Environmental Effects, 38(7), 891–897.</w:t>
      </w:r>
      <w:r>
        <w:rPr>
          <w:rFonts w:ascii="Arial" w:hAnsi="Arial" w:cs="Arial"/>
        </w:rPr>
        <w:t xml:space="preserve"> </w:t>
      </w:r>
      <w:hyperlink r:id="rId25" w:history="1">
        <w:r w:rsidRPr="00B213B4">
          <w:rPr>
            <w:rStyle w:val="Hyperlink"/>
            <w:rFonts w:ascii="Arial" w:hAnsi="Arial" w:cs="Arial"/>
          </w:rPr>
          <w:t>https://doi.org/10.1080/15567036.2013.834399</w:t>
        </w:r>
      </w:hyperlink>
    </w:p>
    <w:p w14:paraId="6487FBD4" w14:textId="77777777" w:rsidR="00942C91" w:rsidRDefault="00942C91" w:rsidP="00942C91">
      <w:pPr>
        <w:pStyle w:val="ListParagraph"/>
        <w:numPr>
          <w:ilvl w:val="0"/>
          <w:numId w:val="31"/>
        </w:numPr>
        <w:spacing w:before="240"/>
        <w:jc w:val="both"/>
        <w:rPr>
          <w:rFonts w:ascii="Arial" w:hAnsi="Arial" w:cs="Arial"/>
        </w:rPr>
      </w:pPr>
      <w:r w:rsidRPr="00942C91">
        <w:rPr>
          <w:rFonts w:ascii="Arial" w:hAnsi="Arial" w:cs="Arial"/>
        </w:rPr>
        <w:t>Christersson, L. (2010). Wood production potential in poplar plantations in Sweden. Biomass and Bioenergy, 34(9), 1289–1299.</w:t>
      </w:r>
      <w:r>
        <w:rPr>
          <w:rFonts w:ascii="Arial" w:hAnsi="Arial" w:cs="Arial"/>
        </w:rPr>
        <w:t xml:space="preserve"> </w:t>
      </w:r>
      <w:hyperlink r:id="rId26" w:history="1">
        <w:r w:rsidRPr="00B213B4">
          <w:rPr>
            <w:rStyle w:val="Hyperlink"/>
            <w:rFonts w:ascii="Arial" w:hAnsi="Arial" w:cs="Arial"/>
          </w:rPr>
          <w:t>https://doi.org/10.1016/j.biombioe.2010.03.021</w:t>
        </w:r>
      </w:hyperlink>
    </w:p>
    <w:p w14:paraId="4FD4D679" w14:textId="77777777" w:rsidR="00942C91" w:rsidRDefault="00942C91" w:rsidP="00942C91">
      <w:pPr>
        <w:pStyle w:val="ListParagraph"/>
        <w:numPr>
          <w:ilvl w:val="0"/>
          <w:numId w:val="31"/>
        </w:numPr>
        <w:spacing w:before="240"/>
        <w:jc w:val="both"/>
        <w:rPr>
          <w:rFonts w:ascii="Arial" w:hAnsi="Arial" w:cs="Arial"/>
        </w:rPr>
      </w:pPr>
      <w:r w:rsidRPr="00942C91">
        <w:rPr>
          <w:rFonts w:ascii="Arial" w:hAnsi="Arial" w:cs="Arial"/>
        </w:rPr>
        <w:t>Lu, L., Tang, Y., Xie, J. S., &amp; Yuan, Y. L. (2009). The role of marginal agricultural land-based mulberry planting in biomass energy production. Renewable Energy, 34(7), 1789–1794.</w:t>
      </w:r>
      <w:r>
        <w:rPr>
          <w:rFonts w:ascii="Arial" w:hAnsi="Arial" w:cs="Arial"/>
        </w:rPr>
        <w:t xml:space="preserve"> </w:t>
      </w:r>
      <w:hyperlink r:id="rId27" w:history="1">
        <w:r w:rsidRPr="00B213B4">
          <w:rPr>
            <w:rStyle w:val="Hyperlink"/>
            <w:rFonts w:ascii="Arial" w:hAnsi="Arial" w:cs="Arial"/>
          </w:rPr>
          <w:t>https://doi.org/10.1016/j.renene.2008.12.017</w:t>
        </w:r>
      </w:hyperlink>
    </w:p>
    <w:p w14:paraId="3334AD5C" w14:textId="77777777" w:rsidR="001B7E47" w:rsidRDefault="001B7E47" w:rsidP="001B7E47">
      <w:pPr>
        <w:pStyle w:val="ListParagraph"/>
        <w:numPr>
          <w:ilvl w:val="0"/>
          <w:numId w:val="31"/>
        </w:numPr>
        <w:spacing w:before="240"/>
        <w:jc w:val="both"/>
        <w:rPr>
          <w:rFonts w:ascii="Arial" w:hAnsi="Arial" w:cs="Arial"/>
        </w:rPr>
      </w:pPr>
      <w:r w:rsidRPr="001B7E47">
        <w:rPr>
          <w:rFonts w:ascii="Arial" w:hAnsi="Arial" w:cs="Arial"/>
        </w:rPr>
        <w:lastRenderedPageBreak/>
        <w:t>ASTM International. (2003). Standard test methods for direct moisture content measurement of wood and wood-bas</w:t>
      </w:r>
      <w:r>
        <w:rPr>
          <w:rFonts w:ascii="Arial" w:hAnsi="Arial" w:cs="Arial"/>
        </w:rPr>
        <w:t>e materials (ASTM D4442-92</w:t>
      </w:r>
      <w:r w:rsidRPr="001B7E47">
        <w:rPr>
          <w:rFonts w:ascii="Arial" w:hAnsi="Arial" w:cs="Arial"/>
        </w:rPr>
        <w:t xml:space="preserve">). West Conshohocken, PA: ASTM International. </w:t>
      </w:r>
      <w:hyperlink r:id="rId28" w:history="1">
        <w:r w:rsidRPr="00B213B4">
          <w:rPr>
            <w:rStyle w:val="Hyperlink"/>
            <w:rFonts w:ascii="Arial" w:hAnsi="Arial" w:cs="Arial"/>
          </w:rPr>
          <w:t>https://www.astm.org/d4442-92r03.html</w:t>
        </w:r>
      </w:hyperlink>
    </w:p>
    <w:p w14:paraId="06EB6E41" w14:textId="77777777" w:rsidR="001B7E47" w:rsidRDefault="00D82155" w:rsidP="00D82155">
      <w:pPr>
        <w:pStyle w:val="ListParagraph"/>
        <w:numPr>
          <w:ilvl w:val="0"/>
          <w:numId w:val="31"/>
        </w:numPr>
        <w:spacing w:before="240"/>
        <w:jc w:val="both"/>
        <w:rPr>
          <w:rFonts w:ascii="Arial" w:hAnsi="Arial" w:cs="Arial"/>
        </w:rPr>
      </w:pPr>
      <w:r w:rsidRPr="00D82155">
        <w:rPr>
          <w:rFonts w:ascii="Arial" w:hAnsi="Arial" w:cs="Arial"/>
        </w:rPr>
        <w:t>Bergman, R. (2021). Drying and control of moisture content and dimensional changes. In FPL-GTR-282 (Chap. 13, pp. 13-1). Madison, WI: U.S. Department of Agriculture, Forest Service, Forest Products Laboratory.</w:t>
      </w:r>
    </w:p>
    <w:p w14:paraId="10F16033" w14:textId="77777777" w:rsidR="00D82155" w:rsidRDefault="00D82155" w:rsidP="00D82155">
      <w:pPr>
        <w:pStyle w:val="ListParagraph"/>
        <w:numPr>
          <w:ilvl w:val="0"/>
          <w:numId w:val="31"/>
        </w:numPr>
        <w:spacing w:before="240"/>
        <w:jc w:val="both"/>
        <w:rPr>
          <w:rFonts w:ascii="Arial" w:hAnsi="Arial" w:cs="Arial"/>
        </w:rPr>
      </w:pPr>
      <w:r w:rsidRPr="00D82155">
        <w:rPr>
          <w:rFonts w:ascii="Arial" w:hAnsi="Arial" w:cs="Arial"/>
        </w:rPr>
        <w:t>Kongprasert, N., Wangphanich, P., &amp; Jutilarptavorn, A. (2019). Charcoal briquettes from Madan wood waste as an alternative energy in Thailand. Procedia Manufacturing, 30, 128–135.</w:t>
      </w:r>
      <w:r>
        <w:rPr>
          <w:rFonts w:ascii="Arial" w:hAnsi="Arial" w:cs="Arial"/>
        </w:rPr>
        <w:t xml:space="preserve"> </w:t>
      </w:r>
      <w:hyperlink r:id="rId29" w:history="1">
        <w:r w:rsidRPr="00B213B4">
          <w:rPr>
            <w:rStyle w:val="Hyperlink"/>
            <w:rFonts w:ascii="Arial" w:hAnsi="Arial" w:cs="Arial"/>
          </w:rPr>
          <w:t>https://doi.org/10.1016/j.promfg.2019.02.019</w:t>
        </w:r>
      </w:hyperlink>
    </w:p>
    <w:p w14:paraId="17043AEE" w14:textId="77777777" w:rsidR="00D82155" w:rsidRDefault="00D82155" w:rsidP="00D82155">
      <w:pPr>
        <w:pStyle w:val="ListParagraph"/>
        <w:numPr>
          <w:ilvl w:val="0"/>
          <w:numId w:val="31"/>
        </w:numPr>
        <w:spacing w:before="240"/>
        <w:jc w:val="both"/>
        <w:rPr>
          <w:rFonts w:ascii="Arial" w:hAnsi="Arial" w:cs="Arial"/>
        </w:rPr>
      </w:pPr>
      <w:r w:rsidRPr="00D82155">
        <w:rPr>
          <w:rFonts w:ascii="Arial" w:hAnsi="Arial" w:cs="Arial"/>
        </w:rPr>
        <w:t>Zobel, B. J., &amp; Van Buijtenen, J. P. (2012). Wood variation: Its causes and control. New York: Springer Science &amp; Business Media.</w:t>
      </w:r>
    </w:p>
    <w:p w14:paraId="18556AFF" w14:textId="77777777" w:rsidR="00682909" w:rsidRDefault="00682909" w:rsidP="00682909">
      <w:pPr>
        <w:pStyle w:val="ListParagraph"/>
        <w:numPr>
          <w:ilvl w:val="0"/>
          <w:numId w:val="31"/>
        </w:numPr>
        <w:spacing w:before="240"/>
        <w:jc w:val="both"/>
        <w:rPr>
          <w:rFonts w:ascii="Arial" w:hAnsi="Arial" w:cs="Arial"/>
        </w:rPr>
      </w:pPr>
      <w:r w:rsidRPr="00682909">
        <w:rPr>
          <w:rFonts w:ascii="Arial" w:hAnsi="Arial" w:cs="Arial"/>
        </w:rPr>
        <w:t xml:space="preserve">ASTM International. (2022). Standard test methods for density and specific gravity (relative density) of wood and wood-based materials (ASTM D2395-17). West Conshohocken, PA: ASTM International. </w:t>
      </w:r>
      <w:hyperlink r:id="rId30" w:history="1">
        <w:r w:rsidRPr="00B213B4">
          <w:rPr>
            <w:rStyle w:val="Hyperlink"/>
            <w:rFonts w:ascii="Arial" w:hAnsi="Arial" w:cs="Arial"/>
          </w:rPr>
          <w:t>https://www.astm.org/d2395-17.html</w:t>
        </w:r>
      </w:hyperlink>
    </w:p>
    <w:p w14:paraId="1FF66466" w14:textId="77777777" w:rsidR="00682909" w:rsidRDefault="00682909" w:rsidP="00682909">
      <w:pPr>
        <w:pStyle w:val="ListParagraph"/>
        <w:numPr>
          <w:ilvl w:val="0"/>
          <w:numId w:val="31"/>
        </w:numPr>
        <w:spacing w:before="240"/>
        <w:jc w:val="both"/>
        <w:rPr>
          <w:rFonts w:ascii="Arial" w:hAnsi="Arial" w:cs="Arial"/>
        </w:rPr>
      </w:pPr>
      <w:r w:rsidRPr="00682909">
        <w:rPr>
          <w:rFonts w:ascii="Arial" w:hAnsi="Arial" w:cs="Arial"/>
        </w:rPr>
        <w:t>Mainoo, A. A., &amp; Ulzen-Appiah, F. (1996). Growth, wood yield and energy characteristics of Leucaena leucocephala, Gliricidia sepium, and Senna siamea at age four years. Ghana Journal of Forestry, 3, 69–79.</w:t>
      </w:r>
    </w:p>
    <w:p w14:paraId="4A765387" w14:textId="77777777" w:rsidR="00682909" w:rsidRDefault="00682909" w:rsidP="00682909">
      <w:pPr>
        <w:pStyle w:val="ListParagraph"/>
        <w:numPr>
          <w:ilvl w:val="0"/>
          <w:numId w:val="31"/>
        </w:numPr>
        <w:jc w:val="both"/>
        <w:rPr>
          <w:rFonts w:ascii="Arial" w:hAnsi="Arial" w:cs="Arial"/>
        </w:rPr>
      </w:pPr>
      <w:r w:rsidRPr="00682909">
        <w:rPr>
          <w:rFonts w:ascii="Arial" w:hAnsi="Arial" w:cs="Arial"/>
        </w:rPr>
        <w:t>Buchanan, M. T. (2007). 204 cm-97-solvent extractives of wood and pulp (proposed revision of T 204 cm-97).</w:t>
      </w:r>
      <w:r>
        <w:rPr>
          <w:rFonts w:ascii="Arial" w:hAnsi="Arial" w:cs="Arial"/>
        </w:rPr>
        <w:t xml:space="preserve"> TAPPI-Tech Assoc pulp Pap Ind. </w:t>
      </w:r>
      <w:hyperlink r:id="rId31" w:history="1">
        <w:r w:rsidRPr="00B213B4">
          <w:rPr>
            <w:rStyle w:val="Hyperlink"/>
            <w:rFonts w:ascii="Arial" w:hAnsi="Arial" w:cs="Arial"/>
          </w:rPr>
          <w:t>https://www.tappi.org/content/sarg/t204.pdf</w:t>
        </w:r>
      </w:hyperlink>
    </w:p>
    <w:p w14:paraId="386F3DE8" w14:textId="77777777" w:rsidR="00682909" w:rsidRDefault="00682909" w:rsidP="00682909">
      <w:pPr>
        <w:pStyle w:val="ListParagraph"/>
        <w:numPr>
          <w:ilvl w:val="0"/>
          <w:numId w:val="31"/>
        </w:numPr>
        <w:jc w:val="both"/>
        <w:rPr>
          <w:rFonts w:ascii="Arial" w:hAnsi="Arial" w:cs="Arial"/>
        </w:rPr>
      </w:pPr>
      <w:r w:rsidRPr="00682909">
        <w:rPr>
          <w:rFonts w:ascii="Arial" w:hAnsi="Arial" w:cs="Arial"/>
          <w:bCs/>
        </w:rPr>
        <w:t>Malakani, M., Khademieslam, H., Hosseinihashemi, S. K., &amp; Zeinaly, F.</w:t>
      </w:r>
      <w:r w:rsidRPr="00682909">
        <w:rPr>
          <w:rFonts w:ascii="Arial" w:hAnsi="Arial" w:cs="Arial"/>
        </w:rPr>
        <w:t xml:space="preserve"> (2014). Influence of fungal decay on chemi-mechanical properties of beech wood (</w:t>
      </w:r>
      <w:r w:rsidRPr="00682909">
        <w:rPr>
          <w:rFonts w:ascii="Arial" w:hAnsi="Arial" w:cs="Arial"/>
          <w:i/>
          <w:iCs/>
        </w:rPr>
        <w:t>Fagus orientalis</w:t>
      </w:r>
      <w:r w:rsidRPr="00682909">
        <w:rPr>
          <w:rFonts w:ascii="Arial" w:hAnsi="Arial" w:cs="Arial"/>
        </w:rPr>
        <w:t xml:space="preserve">). </w:t>
      </w:r>
      <w:r w:rsidRPr="00682909">
        <w:rPr>
          <w:rFonts w:ascii="Arial" w:hAnsi="Arial" w:cs="Arial"/>
          <w:i/>
          <w:iCs/>
        </w:rPr>
        <w:t>Cellulose Chemistry and Technology</w:t>
      </w:r>
      <w:r w:rsidRPr="00682909">
        <w:rPr>
          <w:rFonts w:ascii="Arial" w:hAnsi="Arial" w:cs="Arial"/>
        </w:rPr>
        <w:t xml:space="preserve">, </w:t>
      </w:r>
      <w:r w:rsidRPr="00682909">
        <w:rPr>
          <w:rFonts w:ascii="Arial" w:hAnsi="Arial" w:cs="Arial"/>
          <w:bCs/>
        </w:rPr>
        <w:t>48</w:t>
      </w:r>
      <w:r w:rsidRPr="00682909">
        <w:rPr>
          <w:rFonts w:ascii="Arial" w:hAnsi="Arial" w:cs="Arial"/>
        </w:rPr>
        <w:t>(1–2), 97–103.</w:t>
      </w:r>
    </w:p>
    <w:p w14:paraId="1EA6BB49" w14:textId="77777777" w:rsidR="006F6CC4" w:rsidRDefault="006F6CC4" w:rsidP="006F6CC4">
      <w:pPr>
        <w:pStyle w:val="ListParagraph"/>
        <w:numPr>
          <w:ilvl w:val="0"/>
          <w:numId w:val="31"/>
        </w:numPr>
        <w:jc w:val="both"/>
        <w:rPr>
          <w:rFonts w:ascii="Arial" w:hAnsi="Arial" w:cs="Arial"/>
        </w:rPr>
      </w:pPr>
      <w:r w:rsidRPr="006F6CC4">
        <w:rPr>
          <w:rFonts w:ascii="Arial" w:hAnsi="Arial" w:cs="Arial"/>
        </w:rPr>
        <w:t xml:space="preserve">Dutta, P. L., Parthiban, K. T., Nath, I., Patil, P., &amp; Borgohain, M. (2025). Evaluating mulberry clonal genetic resources through chemical characterization for pulp and paper production. Journal of Scientific Research and Reports, 31(7), 1001–1011. </w:t>
      </w:r>
      <w:hyperlink r:id="rId32" w:history="1">
        <w:r w:rsidRPr="00B213B4">
          <w:rPr>
            <w:rStyle w:val="Hyperlink"/>
            <w:rFonts w:ascii="Arial" w:hAnsi="Arial" w:cs="Arial"/>
          </w:rPr>
          <w:t>https://doi.org/10.9734/jsrr/2025/v31i73316</w:t>
        </w:r>
      </w:hyperlink>
    </w:p>
    <w:p w14:paraId="7D6B965D" w14:textId="77777777" w:rsidR="006F6CC4" w:rsidRPr="006F6CC4" w:rsidRDefault="006F6CC4" w:rsidP="006F6CC4">
      <w:pPr>
        <w:pStyle w:val="ListParagraph"/>
        <w:numPr>
          <w:ilvl w:val="0"/>
          <w:numId w:val="31"/>
        </w:numPr>
        <w:rPr>
          <w:rFonts w:ascii="Arial" w:hAnsi="Arial" w:cs="Arial"/>
        </w:rPr>
      </w:pPr>
      <w:r w:rsidRPr="006F6CC4">
        <w:rPr>
          <w:rFonts w:ascii="Arial" w:hAnsi="Arial" w:cs="Arial"/>
        </w:rPr>
        <w:t>Anonymous, 2006. Technical Association of the Pulp and Paper Industry: Moisture in pulp, paper and paperboard (TAPPI Standard Test Method T 412 om-06), Atlanta, USA.</w:t>
      </w:r>
    </w:p>
    <w:p w14:paraId="23746C7E" w14:textId="77777777" w:rsidR="006F6CC4" w:rsidRPr="006F6CC4" w:rsidRDefault="006F6CC4" w:rsidP="006F6CC4">
      <w:pPr>
        <w:pStyle w:val="ListParagraph"/>
        <w:numPr>
          <w:ilvl w:val="0"/>
          <w:numId w:val="31"/>
        </w:numPr>
        <w:rPr>
          <w:rFonts w:ascii="Arial" w:hAnsi="Arial" w:cs="Arial"/>
        </w:rPr>
      </w:pPr>
      <w:r w:rsidRPr="006F6CC4">
        <w:rPr>
          <w:rFonts w:ascii="Arial" w:hAnsi="Arial" w:cs="Arial"/>
        </w:rPr>
        <w:t>Ona, T., Sonoda, T., Shibata, M., &amp; Fukazawa, K. (1995). Small-scale method to determine the content of wood components from multiple eucalypt samples. TAPPI Journal, 78(3), 121–126.</w:t>
      </w:r>
    </w:p>
    <w:p w14:paraId="4472D73E" w14:textId="77777777" w:rsidR="006F6CC4" w:rsidRDefault="006F6CC4" w:rsidP="006F6CC4">
      <w:pPr>
        <w:pStyle w:val="ListParagraph"/>
        <w:numPr>
          <w:ilvl w:val="0"/>
          <w:numId w:val="31"/>
        </w:numPr>
        <w:jc w:val="both"/>
        <w:rPr>
          <w:rFonts w:ascii="Arial" w:hAnsi="Arial" w:cs="Arial"/>
        </w:rPr>
      </w:pPr>
      <w:r w:rsidRPr="006F6CC4">
        <w:rPr>
          <w:rFonts w:ascii="Arial" w:hAnsi="Arial" w:cs="Arial"/>
        </w:rPr>
        <w:t xml:space="preserve">ASTM International. (2012). Standard test method for ash in the analysis sample of coal and coke from coal (ASTM D3174-12). West Conshohocken, PA: ASTM International. </w:t>
      </w:r>
      <w:hyperlink r:id="rId33" w:history="1">
        <w:r w:rsidRPr="00B213B4">
          <w:rPr>
            <w:rStyle w:val="Hyperlink"/>
            <w:rFonts w:ascii="Arial" w:hAnsi="Arial" w:cs="Arial"/>
          </w:rPr>
          <w:t>https://www.astm.org/d3174-12.html</w:t>
        </w:r>
      </w:hyperlink>
    </w:p>
    <w:p w14:paraId="04B84B94" w14:textId="77777777" w:rsidR="006F6CC4" w:rsidRDefault="000D43F1" w:rsidP="000D43F1">
      <w:pPr>
        <w:pStyle w:val="ListParagraph"/>
        <w:numPr>
          <w:ilvl w:val="0"/>
          <w:numId w:val="31"/>
        </w:numPr>
        <w:jc w:val="both"/>
        <w:rPr>
          <w:rFonts w:ascii="Arial" w:hAnsi="Arial" w:cs="Arial"/>
        </w:rPr>
      </w:pPr>
      <w:r w:rsidRPr="000D43F1">
        <w:rPr>
          <w:rFonts w:ascii="Arial" w:hAnsi="Arial" w:cs="Arial"/>
        </w:rPr>
        <w:t xml:space="preserve">Ogunsola, O. E., Adeleke, O., &amp; Aruna, A. T. (2018). Wood fuel analysis of some selected wood species within Ibadan. In IOP Conference Series: Earth and Environmental Science (Vol. 173, p. 012043). Bristol: IOP Publishing. </w:t>
      </w:r>
      <w:hyperlink r:id="rId34" w:history="1">
        <w:r w:rsidRPr="00B213B4">
          <w:rPr>
            <w:rStyle w:val="Hyperlink"/>
            <w:rFonts w:ascii="Arial" w:hAnsi="Arial" w:cs="Arial"/>
          </w:rPr>
          <w:t>https://doi.org/10.1088/1755-1315/173/1/012043</w:t>
        </w:r>
      </w:hyperlink>
    </w:p>
    <w:p w14:paraId="2D382F61"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ASTM International. (2021). Standard practice for proximate analysis of coal and coke (ASTM D3172-13(2021) e1). West Conshohocken, PA: ASTM International. </w:t>
      </w:r>
      <w:hyperlink r:id="rId35" w:history="1">
        <w:r w:rsidRPr="00B213B4">
          <w:rPr>
            <w:rStyle w:val="Hyperlink"/>
            <w:rFonts w:ascii="Arial" w:hAnsi="Arial" w:cs="Arial"/>
          </w:rPr>
          <w:t>https://www.astm.org/d3172-13r21e01.html</w:t>
        </w:r>
      </w:hyperlink>
    </w:p>
    <w:p w14:paraId="5F7E6212"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ASTM International. (2019). Standard test method for gross calorific value of coal and coke (ASTM D5865/D5865M-19). West Conshohocken, PA: ASTM International. </w:t>
      </w:r>
      <w:hyperlink r:id="rId36" w:history="1">
        <w:r w:rsidRPr="00B213B4">
          <w:rPr>
            <w:rStyle w:val="Hyperlink"/>
            <w:rFonts w:ascii="Arial" w:hAnsi="Arial" w:cs="Arial"/>
          </w:rPr>
          <w:t>https://www.astm.org/d5865_d5865m-19.html</w:t>
        </w:r>
      </w:hyperlink>
    </w:p>
    <w:p w14:paraId="0E853179"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Yin, C. Y. (2011). Prediction of higher heating values of biomass from proximate and ultimate analyses. Fuel, 90(3), 1128–1132. </w:t>
      </w:r>
      <w:hyperlink r:id="rId37" w:history="1">
        <w:r w:rsidRPr="00B213B4">
          <w:rPr>
            <w:rStyle w:val="Hyperlink"/>
            <w:rFonts w:ascii="Arial" w:hAnsi="Arial" w:cs="Arial"/>
          </w:rPr>
          <w:t>https://doi.org/10.1016/j.fuel.2010.11.031</w:t>
        </w:r>
      </w:hyperlink>
    </w:p>
    <w:p w14:paraId="26C795C6"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Deka, D., Saikia, P., &amp; Konwer, D. (2007). Ranking of fuelwood species by fuel value index. Energy Sources, Part A: Recovery, Utilization, and Environmental Effects, 29(16), 1499–1506. </w:t>
      </w:r>
      <w:hyperlink r:id="rId38" w:history="1">
        <w:r w:rsidRPr="00B213B4">
          <w:rPr>
            <w:rStyle w:val="Hyperlink"/>
            <w:rFonts w:ascii="Arial" w:hAnsi="Arial" w:cs="Arial"/>
          </w:rPr>
          <w:t>https://doi.org/10.1080/15567030600820476</w:t>
        </w:r>
      </w:hyperlink>
    </w:p>
    <w:p w14:paraId="51C983DA" w14:textId="77777777" w:rsidR="000D43F1" w:rsidRDefault="000D43F1" w:rsidP="000D43F1">
      <w:pPr>
        <w:pStyle w:val="ListParagraph"/>
        <w:numPr>
          <w:ilvl w:val="0"/>
          <w:numId w:val="31"/>
        </w:numPr>
        <w:jc w:val="both"/>
        <w:rPr>
          <w:rFonts w:ascii="Arial" w:hAnsi="Arial" w:cs="Arial"/>
        </w:rPr>
      </w:pPr>
      <w:r w:rsidRPr="000D43F1">
        <w:rPr>
          <w:rFonts w:ascii="Arial" w:hAnsi="Arial" w:cs="Arial"/>
        </w:rPr>
        <w:t xml:space="preserve">Akowuah, J. O., Kemausuor, F., &amp; Mitchual, S. J. (2012). Physico-chemical characteristics and market potential of sawdust charcoal briquette. International </w:t>
      </w:r>
      <w:r w:rsidRPr="000D43F1">
        <w:rPr>
          <w:rFonts w:ascii="Arial" w:hAnsi="Arial" w:cs="Arial"/>
        </w:rPr>
        <w:lastRenderedPageBreak/>
        <w:t xml:space="preserve">Journal of Energy and Environmental Engineering, 3, 1–6. </w:t>
      </w:r>
      <w:hyperlink r:id="rId39" w:history="1">
        <w:r w:rsidRPr="00B213B4">
          <w:rPr>
            <w:rStyle w:val="Hyperlink"/>
            <w:rFonts w:ascii="Arial" w:hAnsi="Arial" w:cs="Arial"/>
          </w:rPr>
          <w:t>https://doi.org/10.1186/2251-6832-3-20</w:t>
        </w:r>
      </w:hyperlink>
    </w:p>
    <w:p w14:paraId="3AD42181" w14:textId="77777777" w:rsidR="000D43F1" w:rsidRDefault="0053674F" w:rsidP="0053674F">
      <w:pPr>
        <w:pStyle w:val="ListParagraph"/>
        <w:numPr>
          <w:ilvl w:val="0"/>
          <w:numId w:val="31"/>
        </w:numPr>
        <w:jc w:val="both"/>
        <w:rPr>
          <w:rFonts w:ascii="Arial" w:hAnsi="Arial" w:cs="Arial"/>
        </w:rPr>
      </w:pPr>
      <w:r w:rsidRPr="0053674F">
        <w:rPr>
          <w:rFonts w:ascii="Arial" w:hAnsi="Arial" w:cs="Arial"/>
        </w:rPr>
        <w:t xml:space="preserve">Dai, J., Saayman, J., Grace, J. R., &amp; Ellis, N. (2015). Gasification of woody biomass. Annual Review of Chemical and Biomolecular Engineering, 6(1), 77–99. </w:t>
      </w:r>
      <w:hyperlink r:id="rId40" w:history="1">
        <w:r w:rsidRPr="00B213B4">
          <w:rPr>
            <w:rStyle w:val="Hyperlink"/>
            <w:rFonts w:ascii="Arial" w:hAnsi="Arial" w:cs="Arial"/>
          </w:rPr>
          <w:t>https://doi.org/10.1146/annurev-chembioeng-061114-123310</w:t>
        </w:r>
      </w:hyperlink>
    </w:p>
    <w:p w14:paraId="77162D7F"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Mitchual, S. J., Frimpong-Mensah, K., &amp; Darkwa, N. A. (2014). Evaluation of fuel properties of six tropical hardwood timber species for briquettes. Journal of Sustainable Bioenergy Systems, 4, 1–9. </w:t>
      </w:r>
      <w:hyperlink r:id="rId41" w:history="1">
        <w:r w:rsidRPr="00B213B4">
          <w:rPr>
            <w:rStyle w:val="Hyperlink"/>
            <w:rFonts w:ascii="Arial" w:hAnsi="Arial" w:cs="Arial"/>
          </w:rPr>
          <w:t>https://doi.org/10.4236/jsbs.2014.41001</w:t>
        </w:r>
      </w:hyperlink>
    </w:p>
    <w:p w14:paraId="28DC66F6"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Bhatt, B. P., Sarangi, S. K., &amp; De, L. C. (2010). Fuelwood characteristics of some firewood trees and shrubs of Eastern Himalaya, India. Energy Sources, Part A: Recovery, Utilization, and Environmental Effects, 32(5), 469–474. </w:t>
      </w:r>
      <w:hyperlink r:id="rId42" w:history="1">
        <w:r w:rsidRPr="00B213B4">
          <w:rPr>
            <w:rStyle w:val="Hyperlink"/>
            <w:rFonts w:ascii="Arial" w:hAnsi="Arial" w:cs="Arial"/>
          </w:rPr>
          <w:t>https://doi.org/10.1080/15567030802612408</w:t>
        </w:r>
      </w:hyperlink>
    </w:p>
    <w:p w14:paraId="2A66AEBB"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Kataki, R., &amp; Konwer, D. (2002). Fuelwood characteristics of indigenous tree species of north-east India. Biomass and Bioenergy, 22(6), 433–437. </w:t>
      </w:r>
      <w:hyperlink r:id="rId43" w:history="1">
        <w:r w:rsidRPr="00B213B4">
          <w:rPr>
            <w:rStyle w:val="Hyperlink"/>
            <w:rFonts w:ascii="Arial" w:hAnsi="Arial" w:cs="Arial"/>
          </w:rPr>
          <w:t>https://doi.org/10.1016/S0961-9534(02)00026-0</w:t>
        </w:r>
      </w:hyperlink>
    </w:p>
    <w:p w14:paraId="4049FAB9"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Tsai, C. H., Tsai, W. T., Liu, S. C., &amp; Lin, Y. Q. (2018). Thermochemical characterization of biochar from cocoa pod husk prepared at low pyrolysis temperature. Biomass Conversion and Biorefinery, 8, 237–243. </w:t>
      </w:r>
      <w:hyperlink r:id="rId44" w:history="1">
        <w:r w:rsidRPr="00B213B4">
          <w:rPr>
            <w:rStyle w:val="Hyperlink"/>
            <w:rFonts w:ascii="Arial" w:hAnsi="Arial" w:cs="Arial"/>
          </w:rPr>
          <w:t>https://doi.org/10.1007/s13399-017-0259-5</w:t>
        </w:r>
      </w:hyperlink>
    </w:p>
    <w:p w14:paraId="71246D49"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 xml:space="preserve">Ojelel, S., Otiti, T., &amp; Mugisha, S. (2015). Fuel value indices of selected woodfuel species used in Masindi and Nebbi districts of Uganda. Energy, Sustainability and Society, 5, 1–6. </w:t>
      </w:r>
      <w:hyperlink r:id="rId45" w:history="1">
        <w:r w:rsidRPr="00B213B4">
          <w:rPr>
            <w:rStyle w:val="Hyperlink"/>
            <w:rFonts w:ascii="Arial" w:hAnsi="Arial" w:cs="Arial"/>
          </w:rPr>
          <w:t>https://doi.org/10.1186/s13705-015-0043-y</w:t>
        </w:r>
      </w:hyperlink>
    </w:p>
    <w:p w14:paraId="1D8180CF"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Desta, H. M., &amp; Ambaye, C. S. (2020). Determination of energy properties of fuelwood from five selected tree species in tropical highlands of southeast Ethiopia. Journal</w:t>
      </w:r>
      <w:r>
        <w:rPr>
          <w:rFonts w:ascii="Arial" w:hAnsi="Arial" w:cs="Arial"/>
        </w:rPr>
        <w:t xml:space="preserve"> of Energy, 2020(1), </w:t>
      </w:r>
      <w:r w:rsidRPr="0053674F">
        <w:rPr>
          <w:rFonts w:ascii="Arial" w:hAnsi="Arial" w:cs="Arial"/>
        </w:rPr>
        <w:t xml:space="preserve">3635094. </w:t>
      </w:r>
      <w:hyperlink r:id="rId46" w:history="1">
        <w:r w:rsidRPr="00B213B4">
          <w:rPr>
            <w:rStyle w:val="Hyperlink"/>
            <w:rFonts w:ascii="Arial" w:hAnsi="Arial" w:cs="Arial"/>
          </w:rPr>
          <w:t>https://doi.org/10.1155/2020/3635094</w:t>
        </w:r>
      </w:hyperlink>
    </w:p>
    <w:p w14:paraId="0C373F46" w14:textId="77777777" w:rsidR="0053674F" w:rsidRDefault="0053674F" w:rsidP="0053674F">
      <w:pPr>
        <w:pStyle w:val="ListParagraph"/>
        <w:numPr>
          <w:ilvl w:val="0"/>
          <w:numId w:val="31"/>
        </w:numPr>
        <w:jc w:val="both"/>
        <w:rPr>
          <w:rFonts w:ascii="Arial" w:hAnsi="Arial" w:cs="Arial"/>
        </w:rPr>
      </w:pPr>
      <w:r w:rsidRPr="0053674F">
        <w:rPr>
          <w:rFonts w:ascii="Arial" w:hAnsi="Arial" w:cs="Arial"/>
        </w:rPr>
        <w:t>Bora, N. R., Parthiban, K. T., Mahendiran, R., Kumar, P., Priyadharshini, P., Arasakumar, E., Jawahar Vishnu, M. V., &amp; Tamuk, O. (2023). Physicochemical characterization of mulberry genetic resources and varieties for generation of sustainable biomass energy. Biological Forum – An International Journal, 15(8), 424–430.</w:t>
      </w:r>
    </w:p>
    <w:p w14:paraId="3E830B24" w14:textId="77777777" w:rsidR="0053674F" w:rsidRDefault="00780253" w:rsidP="00780253">
      <w:pPr>
        <w:pStyle w:val="ListParagraph"/>
        <w:numPr>
          <w:ilvl w:val="0"/>
          <w:numId w:val="31"/>
        </w:numPr>
        <w:jc w:val="both"/>
        <w:rPr>
          <w:rFonts w:ascii="Arial" w:hAnsi="Arial" w:cs="Arial"/>
        </w:rPr>
      </w:pPr>
      <w:r w:rsidRPr="00780253">
        <w:rPr>
          <w:rFonts w:ascii="Arial" w:hAnsi="Arial" w:cs="Arial"/>
        </w:rPr>
        <w:t>Parthiban, K. T., Kumar, N. K., Palanikumaran, B., &amp; Kanna, S. U. (2020). Dendro biomass resources for solid and liquid fuel generation—Opportunities and challenges. Madras</w:t>
      </w:r>
      <w:r>
        <w:rPr>
          <w:rFonts w:ascii="Arial" w:hAnsi="Arial" w:cs="Arial"/>
        </w:rPr>
        <w:t xml:space="preserve"> Agricultural Journal.</w:t>
      </w:r>
    </w:p>
    <w:p w14:paraId="444F2C16" w14:textId="77777777" w:rsidR="00780253" w:rsidRDefault="00780253" w:rsidP="00780253">
      <w:pPr>
        <w:pStyle w:val="ListParagraph"/>
        <w:numPr>
          <w:ilvl w:val="0"/>
          <w:numId w:val="31"/>
        </w:numPr>
        <w:jc w:val="both"/>
        <w:rPr>
          <w:rFonts w:ascii="Arial" w:hAnsi="Arial" w:cs="Arial"/>
        </w:rPr>
      </w:pPr>
      <w:r w:rsidRPr="00780253">
        <w:rPr>
          <w:rFonts w:ascii="Arial" w:hAnsi="Arial" w:cs="Arial"/>
        </w:rPr>
        <w:t xml:space="preserve">Woodcock, D., &amp; Shier, A. (2002). Wood specific gravity and its radial variations: The many ways to make a tree. Trees, 16, 437–443. </w:t>
      </w:r>
      <w:hyperlink r:id="rId47" w:history="1">
        <w:r w:rsidRPr="00B213B4">
          <w:rPr>
            <w:rStyle w:val="Hyperlink"/>
            <w:rFonts w:ascii="Arial" w:hAnsi="Arial" w:cs="Arial"/>
          </w:rPr>
          <w:t>https://doi.org/10.1007/s00468-002-0173-7</w:t>
        </w:r>
      </w:hyperlink>
    </w:p>
    <w:p w14:paraId="2C5B10D3" w14:textId="77777777" w:rsidR="00780253" w:rsidRDefault="00780253" w:rsidP="00780253">
      <w:pPr>
        <w:pStyle w:val="ListParagraph"/>
        <w:numPr>
          <w:ilvl w:val="0"/>
          <w:numId w:val="31"/>
        </w:numPr>
        <w:jc w:val="both"/>
        <w:rPr>
          <w:rFonts w:ascii="Arial" w:hAnsi="Arial" w:cs="Arial"/>
        </w:rPr>
      </w:pPr>
      <w:r w:rsidRPr="00780253">
        <w:rPr>
          <w:rFonts w:ascii="Arial" w:hAnsi="Arial" w:cs="Arial"/>
        </w:rPr>
        <w:t>Chow, P., &amp; Lucas, E. B. (1988). Fuel characteristics of selected four-year-old trees in Nigeria. Wood and Fiber Science, 20(4), 431–437.</w:t>
      </w:r>
    </w:p>
    <w:p w14:paraId="3CA13769" w14:textId="77777777" w:rsidR="00780253" w:rsidRDefault="00780253" w:rsidP="00780253">
      <w:pPr>
        <w:pStyle w:val="ListParagraph"/>
        <w:numPr>
          <w:ilvl w:val="0"/>
          <w:numId w:val="31"/>
        </w:numPr>
        <w:jc w:val="both"/>
        <w:rPr>
          <w:rFonts w:ascii="Arial" w:hAnsi="Arial" w:cs="Arial"/>
        </w:rPr>
      </w:pPr>
      <w:r w:rsidRPr="00780253">
        <w:rPr>
          <w:rFonts w:ascii="Arial" w:hAnsi="Arial" w:cs="Arial"/>
        </w:rPr>
        <w:t>Se Golpayegani, A., Brémaud, I., Gril, J., Thevenon, M. F., Arnould, O., &amp; Pourtahmasi, K. (2012). Effect of extractions on dynamic mechanical properties of white mulberry (</w:t>
      </w:r>
      <w:r w:rsidRPr="00780253">
        <w:rPr>
          <w:rFonts w:ascii="Arial" w:hAnsi="Arial" w:cs="Arial"/>
          <w:i/>
        </w:rPr>
        <w:t>Morus alba</w:t>
      </w:r>
      <w:r w:rsidRPr="00780253">
        <w:rPr>
          <w:rFonts w:ascii="Arial" w:hAnsi="Arial" w:cs="Arial"/>
        </w:rPr>
        <w:t xml:space="preserve">). Journal of Wood Science, 58, 153–162. </w:t>
      </w:r>
      <w:hyperlink r:id="rId48" w:history="1">
        <w:r w:rsidR="00F86E12" w:rsidRPr="00B213B4">
          <w:rPr>
            <w:rStyle w:val="Hyperlink"/>
            <w:rFonts w:ascii="Arial" w:hAnsi="Arial" w:cs="Arial"/>
          </w:rPr>
          <w:t>https://doi.org/10.1007/s10086-011-1225-7</w:t>
        </w:r>
      </w:hyperlink>
    </w:p>
    <w:p w14:paraId="0FD778EF"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Telmo, C., &amp; Lousada, J. (2011). The explained variation by lignin and extractive contents on higher heating value of wood. Biomass and Bioenergy, 35(5), 1663–1667. </w:t>
      </w:r>
      <w:hyperlink r:id="rId49" w:history="1">
        <w:r w:rsidRPr="00B213B4">
          <w:rPr>
            <w:rStyle w:val="Hyperlink"/>
            <w:rFonts w:ascii="Arial" w:hAnsi="Arial" w:cs="Arial"/>
          </w:rPr>
          <w:t>https://doi.org/10.1016/j.biombioe.2010.12.038</w:t>
        </w:r>
      </w:hyperlink>
    </w:p>
    <w:p w14:paraId="58472EBB"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Dadile, A. M., Sotannde, O. A., Zira, B. D., Garba, M., &amp; Yakubu, I. (2020). Evaluation of elemental and chemical compositions of some fuelwood species for energy value. International Journal of Forestry Research, 2020(1), 3457396. </w:t>
      </w:r>
      <w:hyperlink r:id="rId50" w:history="1">
        <w:r w:rsidRPr="00B213B4">
          <w:rPr>
            <w:rStyle w:val="Hyperlink"/>
            <w:rFonts w:ascii="Arial" w:hAnsi="Arial" w:cs="Arial"/>
          </w:rPr>
          <w:t>https://doi.org/10.1155/2020/3457396</w:t>
        </w:r>
      </w:hyperlink>
    </w:p>
    <w:p w14:paraId="3DD8A7D5"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Walia, Y. K. (2013). Chemical and physical analysis of </w:t>
      </w:r>
      <w:r w:rsidRPr="00F86E12">
        <w:rPr>
          <w:rFonts w:ascii="Arial" w:hAnsi="Arial" w:cs="Arial"/>
          <w:i/>
        </w:rPr>
        <w:t>Morus nigra</w:t>
      </w:r>
      <w:r w:rsidRPr="00F86E12">
        <w:rPr>
          <w:rFonts w:ascii="Arial" w:hAnsi="Arial" w:cs="Arial"/>
        </w:rPr>
        <w:t xml:space="preserve"> (black mulberry) for its pulpability. Asian Journal of Advanced Basic Sciences, 1(1), 40–44.</w:t>
      </w:r>
    </w:p>
    <w:p w14:paraId="3BAB5F6F"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lastRenderedPageBreak/>
        <w:t xml:space="preserve">Demirbas, A. (2007). Combustion of biomass. Energy Sources, Part A: Recovery, Utilization, and Environmental Effects, 29(6), 549–561. </w:t>
      </w:r>
      <w:hyperlink r:id="rId51" w:history="1">
        <w:r w:rsidRPr="00B213B4">
          <w:rPr>
            <w:rStyle w:val="Hyperlink"/>
            <w:rFonts w:ascii="Arial" w:hAnsi="Arial" w:cs="Arial"/>
          </w:rPr>
          <w:t>https://doi.org/10.1080/009083190957694</w:t>
        </w:r>
      </w:hyperlink>
    </w:p>
    <w:p w14:paraId="387902FC"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Rahman, M. M., &amp; Jahan, M. S. (2014). Evaluation of mulberry plant as a pulping raw material. Biomass Conversion and Biorefinery, 4(1), 53–58. </w:t>
      </w:r>
      <w:hyperlink r:id="rId52" w:history="1">
        <w:r w:rsidRPr="00B213B4">
          <w:rPr>
            <w:rStyle w:val="Hyperlink"/>
            <w:rFonts w:ascii="Arial" w:hAnsi="Arial" w:cs="Arial"/>
          </w:rPr>
          <w:t>https://doi.org/10.1007/s13399-013-0095-1</w:t>
        </w:r>
      </w:hyperlink>
    </w:p>
    <w:p w14:paraId="15745956" w14:textId="77777777" w:rsidR="00F86E12" w:rsidRDefault="00F86E12" w:rsidP="00F86E12">
      <w:pPr>
        <w:pStyle w:val="ListParagraph"/>
        <w:numPr>
          <w:ilvl w:val="0"/>
          <w:numId w:val="31"/>
        </w:numPr>
        <w:jc w:val="both"/>
        <w:rPr>
          <w:rFonts w:ascii="Arial" w:hAnsi="Arial" w:cs="Arial"/>
        </w:rPr>
      </w:pPr>
      <w:r w:rsidRPr="00F86E12">
        <w:rPr>
          <w:rFonts w:ascii="Arial" w:hAnsi="Arial" w:cs="Arial"/>
        </w:rPr>
        <w:t xml:space="preserve">Marques, R. D., Cunha, T. Q. G., Chagas, M. P., Venturoli, F., Belini, G. B., Yamaji, F. M., &amp; Sette Junior, C. R. (2020). Wood quality of five species of the Cerrado for energy purposes. Scientia Forestalis, 48(125), e3225. </w:t>
      </w:r>
      <w:hyperlink r:id="rId53" w:history="1">
        <w:r w:rsidRPr="00B213B4">
          <w:rPr>
            <w:rStyle w:val="Hyperlink"/>
            <w:rFonts w:ascii="Arial" w:hAnsi="Arial" w:cs="Arial"/>
          </w:rPr>
          <w:t>https://doi.org/10.18671/scifor.v48n125.11</w:t>
        </w:r>
      </w:hyperlink>
    </w:p>
    <w:p w14:paraId="2B93FF47" w14:textId="77777777" w:rsidR="00F86E12" w:rsidRDefault="00714F92" w:rsidP="00714F92">
      <w:pPr>
        <w:pStyle w:val="ListParagraph"/>
        <w:numPr>
          <w:ilvl w:val="0"/>
          <w:numId w:val="31"/>
        </w:numPr>
        <w:jc w:val="both"/>
        <w:rPr>
          <w:rFonts w:ascii="Arial" w:hAnsi="Arial" w:cs="Arial"/>
        </w:rPr>
      </w:pPr>
      <w:r w:rsidRPr="00714F92">
        <w:rPr>
          <w:rFonts w:ascii="Arial" w:hAnsi="Arial" w:cs="Arial"/>
        </w:rPr>
        <w:t xml:space="preserve">Kumar, J. I. N., Patel, K., Kumar, R. N., &amp; Bhoi, R. K. (2011). An evaluation of fuelwood properties of some Aravally mountain tree and shrub species of Western India. Biomass and Bioenergy, 35(1), 411–414. </w:t>
      </w:r>
      <w:hyperlink r:id="rId54" w:history="1">
        <w:r w:rsidRPr="00B213B4">
          <w:rPr>
            <w:rStyle w:val="Hyperlink"/>
            <w:rFonts w:ascii="Arial" w:hAnsi="Arial" w:cs="Arial"/>
          </w:rPr>
          <w:t>https://doi.org/10.1016/j.biombioe.2010.08.051</w:t>
        </w:r>
      </w:hyperlink>
    </w:p>
    <w:p w14:paraId="67B501C2" w14:textId="77777777" w:rsidR="00714F92" w:rsidRDefault="00714F92" w:rsidP="00714F92">
      <w:pPr>
        <w:pStyle w:val="ListParagraph"/>
        <w:numPr>
          <w:ilvl w:val="0"/>
          <w:numId w:val="31"/>
        </w:numPr>
        <w:jc w:val="both"/>
        <w:rPr>
          <w:rFonts w:ascii="Arial" w:hAnsi="Arial" w:cs="Arial"/>
        </w:rPr>
      </w:pPr>
      <w:r w:rsidRPr="00714F92">
        <w:rPr>
          <w:rFonts w:ascii="Arial" w:hAnsi="Arial" w:cs="Arial"/>
        </w:rPr>
        <w:t xml:space="preserve">Goswami, R., &amp; Das, R. (2020). Energy cogeneration study of red mulberry (Morus rubra)-based biomass. Energy Sources, Part A: Recovery, Utilization, and Environmental Effects, 42(8), 979–1000. </w:t>
      </w:r>
      <w:hyperlink r:id="rId55" w:history="1">
        <w:r w:rsidRPr="00B213B4">
          <w:rPr>
            <w:rStyle w:val="Hyperlink"/>
            <w:rFonts w:ascii="Arial" w:hAnsi="Arial" w:cs="Arial"/>
          </w:rPr>
          <w:t>https://doi.org/10.1080/15567036.2019.1602210</w:t>
        </w:r>
      </w:hyperlink>
    </w:p>
    <w:p w14:paraId="26116DCF" w14:textId="77777777" w:rsidR="00714F92" w:rsidRDefault="00714F92" w:rsidP="00714F92">
      <w:pPr>
        <w:pStyle w:val="ListParagraph"/>
        <w:numPr>
          <w:ilvl w:val="0"/>
          <w:numId w:val="31"/>
        </w:numPr>
        <w:jc w:val="both"/>
        <w:rPr>
          <w:rFonts w:ascii="Arial" w:hAnsi="Arial" w:cs="Arial"/>
        </w:rPr>
      </w:pPr>
      <w:r w:rsidRPr="00714F92">
        <w:rPr>
          <w:rFonts w:ascii="Arial" w:hAnsi="Arial" w:cs="Arial"/>
        </w:rPr>
        <w:t xml:space="preserve">Nabi, S., Qaisar, K. N., Rather, S. A., Khan, P. A., &amp; Nabi, B. (2017). Fuelwood characteristics of some important tree species in prevalent agroforestry systems of District Budgam, Kashmir Valley, India. International Journal of Current Microbiology and Applied Sciences, 6(11), 3801–3806. </w:t>
      </w:r>
      <w:hyperlink r:id="rId56" w:history="1">
        <w:r w:rsidRPr="00B213B4">
          <w:rPr>
            <w:rStyle w:val="Hyperlink"/>
            <w:rFonts w:ascii="Arial" w:hAnsi="Arial" w:cs="Arial"/>
          </w:rPr>
          <w:t>https://doi.org/10.20546/ijcmas.2017.611.445</w:t>
        </w:r>
      </w:hyperlink>
    </w:p>
    <w:p w14:paraId="05AE5B1F" w14:textId="77777777" w:rsidR="00714F92" w:rsidRDefault="00714F92" w:rsidP="00714F92">
      <w:pPr>
        <w:pStyle w:val="ListParagraph"/>
        <w:numPr>
          <w:ilvl w:val="0"/>
          <w:numId w:val="31"/>
        </w:numPr>
        <w:jc w:val="both"/>
        <w:rPr>
          <w:rFonts w:ascii="Arial" w:hAnsi="Arial" w:cs="Arial"/>
        </w:rPr>
      </w:pPr>
      <w:r w:rsidRPr="00714F92">
        <w:rPr>
          <w:rFonts w:ascii="Arial" w:hAnsi="Arial" w:cs="Arial"/>
        </w:rPr>
        <w:t xml:space="preserve">Assima, G. P., Marie-Rose, S., &amp; Lavoie, J. M. (2018). Role of fixed carbon and metal oxides in char during the catalytic conversion of tar from RDF gasification. Fuel, 218, 406–416. </w:t>
      </w:r>
      <w:hyperlink r:id="rId57" w:history="1">
        <w:r w:rsidRPr="00B213B4">
          <w:rPr>
            <w:rStyle w:val="Hyperlink"/>
            <w:rFonts w:ascii="Arial" w:hAnsi="Arial" w:cs="Arial"/>
          </w:rPr>
          <w:t>https://doi.org/10.1016/j.fuel.2017.12.039</w:t>
        </w:r>
      </w:hyperlink>
    </w:p>
    <w:p w14:paraId="0CEA5B3A" w14:textId="77777777" w:rsidR="00714F92" w:rsidRDefault="00714F92" w:rsidP="00714F92">
      <w:pPr>
        <w:pStyle w:val="ListParagraph"/>
        <w:numPr>
          <w:ilvl w:val="0"/>
          <w:numId w:val="31"/>
        </w:numPr>
        <w:jc w:val="both"/>
        <w:rPr>
          <w:rFonts w:ascii="Arial" w:hAnsi="Arial" w:cs="Arial"/>
        </w:rPr>
      </w:pPr>
      <w:r w:rsidRPr="00714F92">
        <w:rPr>
          <w:rFonts w:ascii="Arial" w:hAnsi="Arial" w:cs="Arial"/>
          <w:bCs/>
        </w:rPr>
        <w:t>Kumar, M., Gupta, R. C., &amp; Sharma, T.</w:t>
      </w:r>
      <w:r w:rsidRPr="00714F92">
        <w:rPr>
          <w:rFonts w:ascii="Arial" w:hAnsi="Arial" w:cs="Arial"/>
        </w:rPr>
        <w:t xml:space="preserve"> (1992). Effects of carbonisation conditions on the yield and chemical composition of </w:t>
      </w:r>
      <w:r w:rsidRPr="00714F92">
        <w:rPr>
          <w:rFonts w:ascii="Arial" w:hAnsi="Arial" w:cs="Arial"/>
          <w:i/>
          <w:iCs/>
        </w:rPr>
        <w:t>Acacia</w:t>
      </w:r>
      <w:r w:rsidRPr="00714F92">
        <w:rPr>
          <w:rFonts w:ascii="Arial" w:hAnsi="Arial" w:cs="Arial"/>
        </w:rPr>
        <w:t xml:space="preserve"> and </w:t>
      </w:r>
      <w:r w:rsidRPr="00714F92">
        <w:rPr>
          <w:rFonts w:ascii="Arial" w:hAnsi="Arial" w:cs="Arial"/>
          <w:i/>
          <w:iCs/>
        </w:rPr>
        <w:t>Eucalyptus</w:t>
      </w:r>
      <w:r w:rsidRPr="00714F92">
        <w:rPr>
          <w:rFonts w:ascii="Arial" w:hAnsi="Arial" w:cs="Arial"/>
        </w:rPr>
        <w:t xml:space="preserve"> wood chars. </w:t>
      </w:r>
      <w:r w:rsidRPr="00714F92">
        <w:rPr>
          <w:rFonts w:ascii="Arial" w:hAnsi="Arial" w:cs="Arial"/>
          <w:iCs/>
        </w:rPr>
        <w:t>Biomass and Bioenergy</w:t>
      </w:r>
      <w:r w:rsidRPr="00714F92">
        <w:rPr>
          <w:rFonts w:ascii="Arial" w:hAnsi="Arial" w:cs="Arial"/>
        </w:rPr>
        <w:t xml:space="preserve">, </w:t>
      </w:r>
      <w:r w:rsidRPr="00714F92">
        <w:rPr>
          <w:rFonts w:ascii="Arial" w:hAnsi="Arial" w:cs="Arial"/>
          <w:bCs/>
        </w:rPr>
        <w:t>3</w:t>
      </w:r>
      <w:r w:rsidRPr="00714F92">
        <w:rPr>
          <w:rFonts w:ascii="Arial" w:hAnsi="Arial" w:cs="Arial"/>
        </w:rPr>
        <w:t>(6), 411–417.</w:t>
      </w:r>
      <w:r w:rsidR="00177B2A">
        <w:rPr>
          <w:rFonts w:ascii="Arial" w:hAnsi="Arial" w:cs="Arial"/>
        </w:rPr>
        <w:t xml:space="preserve"> </w:t>
      </w:r>
      <w:hyperlink r:id="rId58" w:tgtFrame="_new" w:history="1">
        <w:r w:rsidRPr="00714F92">
          <w:rPr>
            <w:rStyle w:val="Hyperlink"/>
            <w:rFonts w:ascii="Arial" w:hAnsi="Arial" w:cs="Arial"/>
          </w:rPr>
          <w:t>https://doi.org/10.1016/0961-9534(92)90037-Q</w:t>
        </w:r>
      </w:hyperlink>
    </w:p>
    <w:p w14:paraId="15BA84EF" w14:textId="77777777" w:rsidR="00177B2A" w:rsidRDefault="00177B2A" w:rsidP="00714F92">
      <w:pPr>
        <w:pStyle w:val="ListParagraph"/>
        <w:numPr>
          <w:ilvl w:val="0"/>
          <w:numId w:val="31"/>
        </w:numPr>
        <w:jc w:val="both"/>
        <w:rPr>
          <w:rFonts w:ascii="Arial" w:hAnsi="Arial" w:cs="Arial"/>
        </w:rPr>
      </w:pPr>
      <w:r w:rsidRPr="00177B2A">
        <w:rPr>
          <w:rFonts w:ascii="Arial" w:hAnsi="Arial" w:cs="Arial"/>
          <w:bCs/>
        </w:rPr>
        <w:t>Kumar, R., Pandey, K. K., Chandrashekar, N., &amp; Mohan, S.</w:t>
      </w:r>
      <w:r w:rsidRPr="00177B2A">
        <w:rPr>
          <w:rFonts w:ascii="Arial" w:hAnsi="Arial" w:cs="Arial"/>
        </w:rPr>
        <w:t xml:space="preserve"> (2010</w:t>
      </w:r>
      <w:r>
        <w:rPr>
          <w:rFonts w:ascii="Arial" w:hAnsi="Arial" w:cs="Arial"/>
        </w:rPr>
        <w:t>b</w:t>
      </w:r>
      <w:r w:rsidRPr="00177B2A">
        <w:rPr>
          <w:rFonts w:ascii="Arial" w:hAnsi="Arial" w:cs="Arial"/>
        </w:rPr>
        <w:t xml:space="preserve">). Effect of tree-age on calorific value and other fuel properties of </w:t>
      </w:r>
      <w:r w:rsidRPr="00177B2A">
        <w:rPr>
          <w:rFonts w:ascii="Arial" w:hAnsi="Arial" w:cs="Arial"/>
          <w:i/>
          <w:iCs/>
        </w:rPr>
        <w:t>Eucalyptus</w:t>
      </w:r>
      <w:r w:rsidRPr="00177B2A">
        <w:rPr>
          <w:rFonts w:ascii="Arial" w:hAnsi="Arial" w:cs="Arial"/>
        </w:rPr>
        <w:t xml:space="preserve"> hybrid. </w:t>
      </w:r>
      <w:r w:rsidRPr="00177B2A">
        <w:rPr>
          <w:rFonts w:ascii="Arial" w:hAnsi="Arial" w:cs="Arial"/>
          <w:iCs/>
        </w:rPr>
        <w:t>Journal of</w:t>
      </w:r>
      <w:r w:rsidRPr="00177B2A">
        <w:rPr>
          <w:rFonts w:ascii="Arial" w:hAnsi="Arial" w:cs="Arial"/>
          <w:i/>
          <w:iCs/>
        </w:rPr>
        <w:t xml:space="preserve"> </w:t>
      </w:r>
      <w:r w:rsidRPr="00177B2A">
        <w:rPr>
          <w:rFonts w:ascii="Arial" w:hAnsi="Arial" w:cs="Arial"/>
          <w:iCs/>
        </w:rPr>
        <w:t>Forestry Research</w:t>
      </w:r>
      <w:r w:rsidRPr="00177B2A">
        <w:rPr>
          <w:rFonts w:ascii="Arial" w:hAnsi="Arial" w:cs="Arial"/>
        </w:rPr>
        <w:t xml:space="preserve">, </w:t>
      </w:r>
      <w:r w:rsidRPr="00177B2A">
        <w:rPr>
          <w:rFonts w:ascii="Arial" w:hAnsi="Arial" w:cs="Arial"/>
          <w:bCs/>
        </w:rPr>
        <w:t>21</w:t>
      </w:r>
      <w:r w:rsidRPr="00177B2A">
        <w:rPr>
          <w:rFonts w:ascii="Arial" w:hAnsi="Arial" w:cs="Arial"/>
        </w:rPr>
        <w:t xml:space="preserve">, 514–516. </w:t>
      </w:r>
      <w:hyperlink r:id="rId59" w:tgtFrame="_new" w:history="1">
        <w:r w:rsidRPr="00177B2A">
          <w:rPr>
            <w:rStyle w:val="Hyperlink"/>
            <w:rFonts w:ascii="Arial" w:hAnsi="Arial" w:cs="Arial"/>
          </w:rPr>
          <w:t>https://doi.org/10.1007/s11676-010-0108-x</w:t>
        </w:r>
      </w:hyperlink>
    </w:p>
    <w:p w14:paraId="2F8A7587"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Adeleke, A. A., Odusote, J. K., Lasode, O. A., Ikubanni, P. P., Madhurai, M., &amp; Paswan, D. (2021). Evaluation of thermal decomposition characteristics and kinetic parameters of melina wood. Biofuels, 13(1), 117–123. </w:t>
      </w:r>
      <w:hyperlink r:id="rId60" w:history="1">
        <w:r w:rsidRPr="00B213B4">
          <w:rPr>
            <w:rStyle w:val="Hyperlink"/>
            <w:rFonts w:ascii="Arial" w:hAnsi="Arial" w:cs="Arial"/>
          </w:rPr>
          <w:t>https://doi.org/10.1080/17597269.2019.1646541</w:t>
        </w:r>
      </w:hyperlink>
    </w:p>
    <w:p w14:paraId="6DCB986D"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Senelwa, K., &amp; Sims, R. E. H. (1999). Fuel characteristics of short rotation forest biomass. Biomass and Bioenergy, 17(2), 127–140. </w:t>
      </w:r>
      <w:hyperlink r:id="rId61" w:history="1">
        <w:r w:rsidRPr="00B213B4">
          <w:rPr>
            <w:rStyle w:val="Hyperlink"/>
            <w:rFonts w:ascii="Arial" w:hAnsi="Arial" w:cs="Arial"/>
          </w:rPr>
          <w:t>https://doi.org/10.1016/S0961-9534(99)00035-5</w:t>
        </w:r>
      </w:hyperlink>
    </w:p>
    <w:p w14:paraId="36A38C61"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Cardoso, M. B., Ladio, A. H., Dutrus, S. M., &amp; Lozada, M. (2015). Preference and calorific value of fuelwood species in rural populations in northwestern Patagonia. Biomass and Bioenergy, 81, 514–520. </w:t>
      </w:r>
      <w:hyperlink r:id="rId62" w:history="1">
        <w:r w:rsidRPr="00B213B4">
          <w:rPr>
            <w:rStyle w:val="Hyperlink"/>
            <w:rFonts w:ascii="Arial" w:hAnsi="Arial" w:cs="Arial"/>
          </w:rPr>
          <w:t>https://doi.org/10.1016/j.biombioe.2015.08.003</w:t>
        </w:r>
      </w:hyperlink>
    </w:p>
    <w:p w14:paraId="3B4D259A"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Puri, S., Singh, S., &amp; Bhushan, B. (1994). Fuelwood value index in components of ten tree species of arid region in India. Industrial Crops and Products, 3(1–2), 69–74. </w:t>
      </w:r>
      <w:hyperlink r:id="rId63" w:history="1">
        <w:r w:rsidRPr="00B213B4">
          <w:rPr>
            <w:rStyle w:val="Hyperlink"/>
            <w:rFonts w:ascii="Arial" w:hAnsi="Arial" w:cs="Arial"/>
          </w:rPr>
          <w:t>https://doi.org/10.1016/0926-6690(94)90078-7</w:t>
        </w:r>
      </w:hyperlink>
    </w:p>
    <w:p w14:paraId="19A85FE9" w14:textId="77777777" w:rsidR="00177B2A" w:rsidRDefault="00177B2A" w:rsidP="00177B2A">
      <w:pPr>
        <w:pStyle w:val="ListParagraph"/>
        <w:numPr>
          <w:ilvl w:val="0"/>
          <w:numId w:val="31"/>
        </w:numPr>
        <w:jc w:val="both"/>
        <w:rPr>
          <w:rFonts w:ascii="Arial" w:hAnsi="Arial" w:cs="Arial"/>
        </w:rPr>
      </w:pPr>
      <w:r w:rsidRPr="00177B2A">
        <w:rPr>
          <w:rFonts w:ascii="Arial" w:hAnsi="Arial" w:cs="Arial"/>
        </w:rPr>
        <w:t xml:space="preserve">Barta-Rajnai, E., Jakab, E., Sebestyén, Z., May, Z., Barta, Z., Wang, L., et al. (2016). Comprehensive compositional study of torrefied wood and herbaceous materials by chemical analysis and </w:t>
      </w:r>
      <w:proofErr w:type="spellStart"/>
      <w:r w:rsidRPr="00177B2A">
        <w:rPr>
          <w:rFonts w:ascii="Arial" w:hAnsi="Arial" w:cs="Arial"/>
        </w:rPr>
        <w:t>thermoanalytical</w:t>
      </w:r>
      <w:proofErr w:type="spellEnd"/>
      <w:r w:rsidRPr="00177B2A">
        <w:rPr>
          <w:rFonts w:ascii="Arial" w:hAnsi="Arial" w:cs="Arial"/>
        </w:rPr>
        <w:t xml:space="preserve"> methods. Energy &amp; Fuels, 30(10), 8019–8030. </w:t>
      </w:r>
      <w:hyperlink r:id="rId64" w:history="1">
        <w:r w:rsidR="00E9294C" w:rsidRPr="00B213B4">
          <w:rPr>
            <w:rStyle w:val="Hyperlink"/>
            <w:rFonts w:ascii="Arial" w:hAnsi="Arial" w:cs="Arial"/>
          </w:rPr>
          <w:t>https://doi.org/10.1021/acs.energyfuels.6b01030</w:t>
        </w:r>
      </w:hyperlink>
    </w:p>
    <w:p w14:paraId="6B7434C0" w14:textId="77777777" w:rsidR="00E9294C" w:rsidRDefault="00E9294C" w:rsidP="00E9294C">
      <w:pPr>
        <w:pStyle w:val="ListParagraph"/>
        <w:numPr>
          <w:ilvl w:val="0"/>
          <w:numId w:val="31"/>
        </w:numPr>
        <w:jc w:val="both"/>
        <w:rPr>
          <w:rFonts w:ascii="Arial" w:hAnsi="Arial" w:cs="Arial"/>
        </w:rPr>
      </w:pPr>
      <w:r w:rsidRPr="00E9294C">
        <w:rPr>
          <w:rFonts w:ascii="Arial" w:hAnsi="Arial" w:cs="Arial"/>
        </w:rPr>
        <w:t xml:space="preserve">Fodil Cherif, M., </w:t>
      </w:r>
      <w:proofErr w:type="spellStart"/>
      <w:r w:rsidRPr="00E9294C">
        <w:rPr>
          <w:rFonts w:ascii="Arial" w:hAnsi="Arial" w:cs="Arial"/>
        </w:rPr>
        <w:t>Trache</w:t>
      </w:r>
      <w:proofErr w:type="spellEnd"/>
      <w:r w:rsidRPr="00E9294C">
        <w:rPr>
          <w:rFonts w:ascii="Arial" w:hAnsi="Arial" w:cs="Arial"/>
        </w:rPr>
        <w:t xml:space="preserve">, D., Brosse, N., </w:t>
      </w:r>
      <w:proofErr w:type="spellStart"/>
      <w:r w:rsidRPr="00E9294C">
        <w:rPr>
          <w:rFonts w:ascii="Arial" w:hAnsi="Arial" w:cs="Arial"/>
        </w:rPr>
        <w:t>Benaliouche</w:t>
      </w:r>
      <w:proofErr w:type="spellEnd"/>
      <w:r w:rsidRPr="00E9294C">
        <w:rPr>
          <w:rFonts w:ascii="Arial" w:hAnsi="Arial" w:cs="Arial"/>
        </w:rPr>
        <w:t xml:space="preserve">, F., &amp; </w:t>
      </w:r>
      <w:proofErr w:type="spellStart"/>
      <w:r w:rsidRPr="00E9294C">
        <w:rPr>
          <w:rFonts w:ascii="Arial" w:hAnsi="Arial" w:cs="Arial"/>
        </w:rPr>
        <w:t>Tarchoun</w:t>
      </w:r>
      <w:proofErr w:type="spellEnd"/>
      <w:r w:rsidRPr="00E9294C">
        <w:rPr>
          <w:rFonts w:ascii="Arial" w:hAnsi="Arial" w:cs="Arial"/>
        </w:rPr>
        <w:t xml:space="preserve">, A. F. (2020). Comparison of the physicochemical properties and thermal stability of </w:t>
      </w:r>
      <w:proofErr w:type="spellStart"/>
      <w:r w:rsidRPr="00E9294C">
        <w:rPr>
          <w:rFonts w:ascii="Arial" w:hAnsi="Arial" w:cs="Arial"/>
        </w:rPr>
        <w:t>organosolv</w:t>
      </w:r>
      <w:proofErr w:type="spellEnd"/>
      <w:r w:rsidRPr="00E9294C">
        <w:rPr>
          <w:rFonts w:ascii="Arial" w:hAnsi="Arial" w:cs="Arial"/>
        </w:rPr>
        <w:t xml:space="preserve"> </w:t>
      </w:r>
      <w:r w:rsidRPr="00E9294C">
        <w:rPr>
          <w:rFonts w:ascii="Arial" w:hAnsi="Arial" w:cs="Arial"/>
        </w:rPr>
        <w:lastRenderedPageBreak/>
        <w:t xml:space="preserve">and </w:t>
      </w:r>
      <w:proofErr w:type="spellStart"/>
      <w:r w:rsidRPr="00E9294C">
        <w:rPr>
          <w:rFonts w:ascii="Arial" w:hAnsi="Arial" w:cs="Arial"/>
        </w:rPr>
        <w:t>kraft</w:t>
      </w:r>
      <w:proofErr w:type="spellEnd"/>
      <w:r w:rsidRPr="00E9294C">
        <w:rPr>
          <w:rFonts w:ascii="Arial" w:hAnsi="Arial" w:cs="Arial"/>
        </w:rPr>
        <w:t xml:space="preserve"> </w:t>
      </w:r>
      <w:proofErr w:type="spellStart"/>
      <w:r w:rsidRPr="00E9294C">
        <w:rPr>
          <w:rFonts w:ascii="Arial" w:hAnsi="Arial" w:cs="Arial"/>
        </w:rPr>
        <w:t>lignins</w:t>
      </w:r>
      <w:proofErr w:type="spellEnd"/>
      <w:r w:rsidRPr="00E9294C">
        <w:rPr>
          <w:rFonts w:ascii="Arial" w:hAnsi="Arial" w:cs="Arial"/>
        </w:rPr>
        <w:t xml:space="preserve"> from hardwood and softwood biomass for their potential valorization. Waste and Biomass Valorization, 11, 6541–6553. </w:t>
      </w:r>
      <w:hyperlink r:id="rId65" w:history="1">
        <w:r w:rsidRPr="00B213B4">
          <w:rPr>
            <w:rStyle w:val="Hyperlink"/>
            <w:rFonts w:ascii="Arial" w:hAnsi="Arial" w:cs="Arial"/>
          </w:rPr>
          <w:t>https://doi.org/10.1007/s12649-020-00955-0</w:t>
        </w:r>
      </w:hyperlink>
    </w:p>
    <w:p w14:paraId="6418920C" w14:textId="77777777" w:rsidR="00E9294C" w:rsidRDefault="00E9294C" w:rsidP="00E9294C">
      <w:pPr>
        <w:pStyle w:val="ListParagraph"/>
        <w:numPr>
          <w:ilvl w:val="0"/>
          <w:numId w:val="31"/>
        </w:numPr>
        <w:jc w:val="both"/>
        <w:rPr>
          <w:rFonts w:ascii="Arial" w:hAnsi="Arial" w:cs="Arial"/>
        </w:rPr>
      </w:pPr>
      <w:r w:rsidRPr="00E9294C">
        <w:rPr>
          <w:rFonts w:ascii="Arial" w:hAnsi="Arial" w:cs="Arial"/>
        </w:rPr>
        <w:t xml:space="preserve">Mendoza Martinez, C. L., Sermyagina, E., Silva de Jesus, M., &amp; </w:t>
      </w:r>
      <w:proofErr w:type="spellStart"/>
      <w:r w:rsidRPr="00E9294C">
        <w:rPr>
          <w:rFonts w:ascii="Arial" w:hAnsi="Arial" w:cs="Arial"/>
        </w:rPr>
        <w:t>Vakkilainen</w:t>
      </w:r>
      <w:proofErr w:type="spellEnd"/>
      <w:r w:rsidRPr="00E9294C">
        <w:rPr>
          <w:rFonts w:ascii="Arial" w:hAnsi="Arial" w:cs="Arial"/>
        </w:rPr>
        <w:t>, E. (2021). Use of principal component analysis to evaluate thermal properties and combustibility of coffee-pine wood briquettes. Agronomy Research 19(S1), 847–867.</w:t>
      </w:r>
      <w:r w:rsidRPr="00E9294C">
        <w:t xml:space="preserve"> </w:t>
      </w:r>
      <w:hyperlink r:id="rId66" w:history="1">
        <w:r w:rsidRPr="00B213B4">
          <w:rPr>
            <w:rStyle w:val="Hyperlink"/>
            <w:rFonts w:ascii="Arial" w:hAnsi="Arial" w:cs="Arial"/>
          </w:rPr>
          <w:t>https://doi.org/10.15159/AR.21.098</w:t>
        </w:r>
      </w:hyperlink>
    </w:p>
    <w:p w14:paraId="1DA7D092" w14:textId="77777777" w:rsidR="00E9294C" w:rsidRDefault="00E9294C" w:rsidP="00E9294C">
      <w:pPr>
        <w:pStyle w:val="ListParagraph"/>
        <w:numPr>
          <w:ilvl w:val="0"/>
          <w:numId w:val="31"/>
        </w:numPr>
        <w:jc w:val="both"/>
        <w:rPr>
          <w:rFonts w:ascii="Arial" w:hAnsi="Arial" w:cs="Arial"/>
        </w:rPr>
      </w:pPr>
      <w:r w:rsidRPr="00E9294C">
        <w:rPr>
          <w:rFonts w:ascii="Arial" w:hAnsi="Arial" w:cs="Arial"/>
        </w:rPr>
        <w:t xml:space="preserve">Batista, R. R., &amp; Gomes, M. M. (2021). Effects of chemical composition and pyrolysis process variables on biochar yields: Correlation and principal component analysis. Floresta e Ambiente, 28, e20210007. </w:t>
      </w:r>
      <w:hyperlink r:id="rId67" w:history="1">
        <w:r w:rsidRPr="00B213B4">
          <w:rPr>
            <w:rStyle w:val="Hyperlink"/>
            <w:rFonts w:ascii="Arial" w:hAnsi="Arial" w:cs="Arial"/>
          </w:rPr>
          <w:t>https://doi.org/10.1590/2179-8087-floram-2021-0007</w:t>
        </w:r>
      </w:hyperlink>
    </w:p>
    <w:p w14:paraId="17954CB1" w14:textId="60EC8FB3" w:rsidR="00A2440D" w:rsidRDefault="00E9294C" w:rsidP="00857493">
      <w:pPr>
        <w:pStyle w:val="ListParagraph"/>
        <w:jc w:val="both"/>
        <w:rPr>
          <w:rFonts w:ascii="Arial" w:hAnsi="Arial" w:cs="Arial"/>
        </w:rPr>
      </w:pPr>
      <w:r w:rsidRPr="00E9294C">
        <w:rPr>
          <w:rFonts w:ascii="Arial" w:hAnsi="Arial" w:cs="Arial"/>
        </w:rPr>
        <w:t xml:space="preserve">Lezzoni, A. F., &amp; Pritts, M. P. (1991). Applications of principal component analysis to horticultural research. HortScience, 26, 334–338. </w:t>
      </w:r>
      <w:hyperlink r:id="rId68" w:history="1">
        <w:r w:rsidRPr="00B213B4">
          <w:rPr>
            <w:rStyle w:val="Hyperlink"/>
            <w:rFonts w:ascii="Arial" w:hAnsi="Arial" w:cs="Arial"/>
          </w:rPr>
          <w:t>https://doi.org/10.21273/HORTSCI.26.4.334</w:t>
        </w:r>
      </w:hyperlink>
    </w:p>
    <w:p w14:paraId="26A8376E" w14:textId="0F462EBA" w:rsidR="00A2440D" w:rsidRDefault="00A2440D" w:rsidP="00A2440D">
      <w:pPr>
        <w:pStyle w:val="ListParagraph"/>
        <w:numPr>
          <w:ilvl w:val="0"/>
          <w:numId w:val="31"/>
        </w:numPr>
        <w:jc w:val="both"/>
        <w:rPr>
          <w:rFonts w:ascii="Arial" w:hAnsi="Arial" w:cs="Arial"/>
          <w:color w:val="212529"/>
          <w:highlight w:val="yellow"/>
        </w:rPr>
      </w:pPr>
      <w:proofErr w:type="spellStart"/>
      <w:r w:rsidRPr="00857493">
        <w:rPr>
          <w:rFonts w:ascii="Arial" w:hAnsi="Arial" w:cs="Arial"/>
          <w:color w:val="212529"/>
          <w:highlight w:val="yellow"/>
        </w:rPr>
        <w:t>Manickavasagam</w:t>
      </w:r>
      <w:proofErr w:type="spellEnd"/>
      <w:r w:rsidRPr="00857493">
        <w:rPr>
          <w:rFonts w:ascii="Arial" w:hAnsi="Arial" w:cs="Arial"/>
          <w:color w:val="212529"/>
          <w:highlight w:val="yellow"/>
        </w:rPr>
        <w:t xml:space="preserve"> </w:t>
      </w:r>
      <w:proofErr w:type="spellStart"/>
      <w:r w:rsidRPr="00857493">
        <w:rPr>
          <w:rFonts w:ascii="Arial" w:hAnsi="Arial" w:cs="Arial"/>
          <w:color w:val="212529"/>
          <w:highlight w:val="yellow"/>
        </w:rPr>
        <w:t>Mithilasri</w:t>
      </w:r>
      <w:proofErr w:type="spellEnd"/>
      <w:r w:rsidRPr="00857493">
        <w:rPr>
          <w:rFonts w:ascii="Arial" w:hAnsi="Arial" w:cs="Arial"/>
          <w:color w:val="212529"/>
          <w:highlight w:val="yellow"/>
        </w:rPr>
        <w:t>, KT Parthiban and Shankar SM. </w:t>
      </w:r>
      <w:r w:rsidRPr="00857493">
        <w:rPr>
          <w:rFonts w:ascii="Arial" w:hAnsi="Arial" w:cs="Arial"/>
          <w:bCs/>
          <w:color w:val="212529"/>
          <w:highlight w:val="yellow"/>
        </w:rPr>
        <w:t>Thermochemical characterization of different mulberry species (</w:t>
      </w:r>
      <w:proofErr w:type="spellStart"/>
      <w:r w:rsidRPr="00857493">
        <w:rPr>
          <w:rFonts w:ascii="Arial" w:hAnsi="Arial" w:cs="Arial"/>
          <w:bCs/>
          <w:i/>
          <w:iCs/>
          <w:color w:val="212529"/>
          <w:highlight w:val="yellow"/>
        </w:rPr>
        <w:t>Morus</w:t>
      </w:r>
      <w:proofErr w:type="spellEnd"/>
      <w:r w:rsidRPr="00857493">
        <w:rPr>
          <w:rFonts w:ascii="Arial" w:hAnsi="Arial" w:cs="Arial"/>
          <w:bCs/>
          <w:i/>
          <w:iCs/>
          <w:color w:val="212529"/>
          <w:highlight w:val="yellow"/>
        </w:rPr>
        <w:t> </w:t>
      </w:r>
      <w:r w:rsidRPr="00857493">
        <w:rPr>
          <w:rFonts w:ascii="Arial" w:hAnsi="Arial" w:cs="Arial"/>
          <w:bCs/>
          <w:color w:val="212529"/>
          <w:highlight w:val="yellow"/>
        </w:rPr>
        <w:t>spp.) for bioenergy production</w:t>
      </w:r>
      <w:r w:rsidRPr="00857493">
        <w:rPr>
          <w:rFonts w:ascii="Arial" w:hAnsi="Arial" w:cs="Arial"/>
          <w:color w:val="212529"/>
          <w:highlight w:val="yellow"/>
        </w:rPr>
        <w:t xml:space="preserve">. Int. J. Adv. </w:t>
      </w:r>
      <w:proofErr w:type="spellStart"/>
      <w:r w:rsidRPr="00857493">
        <w:rPr>
          <w:rFonts w:ascii="Arial" w:hAnsi="Arial" w:cs="Arial"/>
          <w:color w:val="212529"/>
          <w:highlight w:val="yellow"/>
        </w:rPr>
        <w:t>Biochem</w:t>
      </w:r>
      <w:proofErr w:type="spellEnd"/>
      <w:r w:rsidRPr="00857493">
        <w:rPr>
          <w:rFonts w:ascii="Arial" w:hAnsi="Arial" w:cs="Arial"/>
          <w:color w:val="212529"/>
          <w:highlight w:val="yellow"/>
        </w:rPr>
        <w:t>. Res. 2024;8(8):628-632. DOI: </w:t>
      </w:r>
      <w:hyperlink r:id="rId69" w:tgtFrame="_blank" w:history="1">
        <w:r w:rsidRPr="00857493">
          <w:rPr>
            <w:rFonts w:ascii="Arial" w:hAnsi="Arial" w:cs="Arial"/>
            <w:color w:val="056659"/>
            <w:highlight w:val="yellow"/>
            <w:u w:val="single"/>
          </w:rPr>
          <w:t>10.33545/26174693.2024.v8.i8h.1820</w:t>
        </w:r>
      </w:hyperlink>
    </w:p>
    <w:p w14:paraId="1F467C2E" w14:textId="77777777" w:rsidR="00D55A51" w:rsidRPr="00857493" w:rsidRDefault="00D55A51" w:rsidP="00857493">
      <w:pPr>
        <w:pStyle w:val="ListParagraph"/>
        <w:rPr>
          <w:rFonts w:ascii="Arial" w:hAnsi="Arial" w:cs="Arial"/>
          <w:color w:val="212529"/>
          <w:highlight w:val="yellow"/>
        </w:rPr>
      </w:pPr>
    </w:p>
    <w:p w14:paraId="127B4D05" w14:textId="05BD1C6D" w:rsidR="00D55A51" w:rsidRPr="00857493" w:rsidRDefault="00D55A51" w:rsidP="00A2440D">
      <w:pPr>
        <w:pStyle w:val="ListParagraph"/>
        <w:numPr>
          <w:ilvl w:val="0"/>
          <w:numId w:val="31"/>
        </w:numPr>
        <w:jc w:val="both"/>
        <w:rPr>
          <w:rFonts w:ascii="Arial" w:hAnsi="Arial" w:cs="Arial"/>
          <w:color w:val="212529"/>
          <w:highlight w:val="yellow"/>
        </w:rPr>
      </w:pPr>
      <w:r w:rsidRPr="00857493">
        <w:rPr>
          <w:rFonts w:ascii="Arial" w:hAnsi="Arial" w:cs="Arial"/>
          <w:color w:val="212529"/>
          <w:highlight w:val="yellow"/>
        </w:rPr>
        <w:t xml:space="preserve">Calvin, K., Cowie, A., </w:t>
      </w:r>
      <w:proofErr w:type="spellStart"/>
      <w:r w:rsidRPr="00857493">
        <w:rPr>
          <w:rFonts w:ascii="Arial" w:hAnsi="Arial" w:cs="Arial"/>
          <w:color w:val="212529"/>
          <w:highlight w:val="yellow"/>
        </w:rPr>
        <w:t>Berndes</w:t>
      </w:r>
      <w:proofErr w:type="spellEnd"/>
      <w:r w:rsidRPr="00857493">
        <w:rPr>
          <w:rFonts w:ascii="Arial" w:hAnsi="Arial" w:cs="Arial"/>
          <w:color w:val="212529"/>
          <w:highlight w:val="yellow"/>
        </w:rPr>
        <w:t xml:space="preserve">, G., </w:t>
      </w:r>
      <w:proofErr w:type="spellStart"/>
      <w:r w:rsidRPr="00857493">
        <w:rPr>
          <w:rFonts w:ascii="Arial" w:hAnsi="Arial" w:cs="Arial"/>
          <w:color w:val="212529"/>
          <w:highlight w:val="yellow"/>
        </w:rPr>
        <w:t>Arneth</w:t>
      </w:r>
      <w:proofErr w:type="spellEnd"/>
      <w:r w:rsidRPr="00857493">
        <w:rPr>
          <w:rFonts w:ascii="Arial" w:hAnsi="Arial" w:cs="Arial"/>
          <w:color w:val="212529"/>
          <w:highlight w:val="yellow"/>
        </w:rPr>
        <w:t>, A., Cherubini, F., Portugal</w:t>
      </w:r>
      <w:r w:rsidRPr="00857493">
        <w:rPr>
          <w:rFonts w:ascii="Cambria Math" w:hAnsi="Cambria Math" w:cs="Cambria Math"/>
          <w:color w:val="212529"/>
          <w:highlight w:val="yellow"/>
        </w:rPr>
        <w:t>‐</w:t>
      </w:r>
      <w:r w:rsidRPr="00857493">
        <w:rPr>
          <w:rFonts w:ascii="Arial" w:hAnsi="Arial" w:cs="Arial"/>
          <w:color w:val="212529"/>
          <w:highlight w:val="yellow"/>
        </w:rPr>
        <w:t>Pereira, J., ... &amp; Smith, P. (2021). Bioenergy for climate change mitigation: Scale and sustainability. GCB bioenergy, 13(9), 1346-1371.</w:t>
      </w:r>
    </w:p>
    <w:p w14:paraId="4686522B" w14:textId="77777777" w:rsidR="00D55A51" w:rsidRPr="00857493" w:rsidRDefault="00D55A51" w:rsidP="00857493">
      <w:pPr>
        <w:pStyle w:val="ListParagraph"/>
        <w:rPr>
          <w:rFonts w:ascii="Arial" w:hAnsi="Arial" w:cs="Arial"/>
          <w:color w:val="212529"/>
          <w:highlight w:val="yellow"/>
        </w:rPr>
      </w:pPr>
    </w:p>
    <w:p w14:paraId="42F83141" w14:textId="7E6FD957" w:rsidR="00D55A51" w:rsidRPr="00857493" w:rsidRDefault="00D55A51" w:rsidP="00A2440D">
      <w:pPr>
        <w:pStyle w:val="ListParagraph"/>
        <w:numPr>
          <w:ilvl w:val="0"/>
          <w:numId w:val="31"/>
        </w:numPr>
        <w:jc w:val="both"/>
        <w:rPr>
          <w:rFonts w:ascii="Arial" w:hAnsi="Arial" w:cs="Arial"/>
          <w:color w:val="212529"/>
          <w:highlight w:val="yellow"/>
        </w:rPr>
      </w:pPr>
      <w:r w:rsidRPr="00857493">
        <w:rPr>
          <w:rFonts w:ascii="Arial" w:hAnsi="Arial" w:cs="Arial"/>
          <w:color w:val="212529"/>
          <w:highlight w:val="yellow"/>
        </w:rPr>
        <w:t xml:space="preserve">Xu, Y., Smith, P., &amp; Qin, Z. (2024). Sustainable bioenergy contributes to cost-effective climate change mitigation in China. </w:t>
      </w:r>
      <w:proofErr w:type="spellStart"/>
      <w:r w:rsidRPr="00857493">
        <w:rPr>
          <w:rFonts w:ascii="Arial" w:hAnsi="Arial" w:cs="Arial"/>
          <w:color w:val="212529"/>
          <w:highlight w:val="yellow"/>
        </w:rPr>
        <w:t>Iscience</w:t>
      </w:r>
      <w:proofErr w:type="spellEnd"/>
      <w:r w:rsidRPr="00857493">
        <w:rPr>
          <w:rFonts w:ascii="Arial" w:hAnsi="Arial" w:cs="Arial"/>
          <w:color w:val="212529"/>
          <w:highlight w:val="yellow"/>
        </w:rPr>
        <w:t>, 27(7).</w:t>
      </w:r>
    </w:p>
    <w:p w14:paraId="1292CAA4" w14:textId="77777777" w:rsidR="00D55A51" w:rsidRPr="00857493" w:rsidRDefault="00D55A51" w:rsidP="00857493">
      <w:pPr>
        <w:pStyle w:val="ListParagraph"/>
        <w:rPr>
          <w:rFonts w:ascii="Arial" w:hAnsi="Arial" w:cs="Arial"/>
          <w:color w:val="212529"/>
          <w:highlight w:val="yellow"/>
        </w:rPr>
      </w:pPr>
    </w:p>
    <w:p w14:paraId="44E7229A" w14:textId="77777777" w:rsidR="000E3C04" w:rsidRPr="00857493" w:rsidRDefault="000E3C04" w:rsidP="00857493">
      <w:pPr>
        <w:pStyle w:val="ListParagraph"/>
        <w:rPr>
          <w:rFonts w:ascii="Arial" w:hAnsi="Arial" w:cs="Arial"/>
          <w:color w:val="212529"/>
          <w:highlight w:val="yellow"/>
        </w:rPr>
      </w:pPr>
    </w:p>
    <w:p w14:paraId="07DB1F8B" w14:textId="77777777" w:rsidR="00A2440D" w:rsidRDefault="00A2440D" w:rsidP="00441B6F">
      <w:pPr>
        <w:pStyle w:val="Appendix"/>
        <w:spacing w:after="0"/>
        <w:jc w:val="both"/>
        <w:rPr>
          <w:rFonts w:ascii="Arial" w:hAnsi="Arial" w:cs="Arial"/>
          <w:b w:val="0"/>
        </w:rPr>
      </w:pPr>
    </w:p>
    <w:p w14:paraId="77733CAE" w14:textId="21CB1B18" w:rsidR="000E3C04" w:rsidRPr="00FB3A86" w:rsidRDefault="000E3C04" w:rsidP="00441B6F">
      <w:pPr>
        <w:pStyle w:val="Appendix"/>
        <w:spacing w:after="0"/>
        <w:jc w:val="both"/>
        <w:rPr>
          <w:rFonts w:ascii="Arial" w:hAnsi="Arial" w:cs="Arial"/>
          <w:b w:val="0"/>
        </w:rPr>
        <w:sectPr w:rsidR="000E3C04" w:rsidRPr="00FB3A86" w:rsidSect="003E48EA">
          <w:headerReference w:type="even" r:id="rId70"/>
          <w:headerReference w:type="default" r:id="rId71"/>
          <w:footerReference w:type="default" r:id="rId72"/>
          <w:headerReference w:type="first" r:id="rId73"/>
          <w:type w:val="continuous"/>
          <w:pgSz w:w="12240" w:h="15840"/>
          <w:pgMar w:top="1440" w:right="2016" w:bottom="2016" w:left="2016" w:header="720" w:footer="1123" w:gutter="0"/>
          <w:cols w:space="720"/>
          <w:docGrid w:linePitch="272"/>
        </w:sectPr>
      </w:pPr>
    </w:p>
    <w:p w14:paraId="1AEBDC32" w14:textId="0EBCADDF" w:rsidR="00B01FCD" w:rsidRDefault="00B01FCD" w:rsidP="00441B6F">
      <w:pPr>
        <w:pStyle w:val="Appendix"/>
        <w:spacing w:after="0"/>
        <w:jc w:val="both"/>
        <w:rPr>
          <w:rFonts w:ascii="Arial" w:hAnsi="Arial" w:cs="Arial"/>
          <w:b w:val="0"/>
        </w:rPr>
      </w:pPr>
    </w:p>
    <w:p w14:paraId="7766F6CF" w14:textId="77777777" w:rsidR="00B45CD8" w:rsidRPr="00FB3A86" w:rsidRDefault="00B45CD8" w:rsidP="00441B6F">
      <w:pPr>
        <w:pStyle w:val="Appendix"/>
        <w:spacing w:after="0"/>
        <w:jc w:val="both"/>
        <w:rPr>
          <w:rFonts w:ascii="Arial" w:hAnsi="Arial" w:cs="Arial"/>
          <w:b w:val="0"/>
        </w:rPr>
      </w:pPr>
    </w:p>
    <w:sectPr w:rsidR="00B45CD8" w:rsidRPr="00FB3A86" w:rsidSect="003E48E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564B4" w14:textId="77777777" w:rsidR="00C856B2" w:rsidRDefault="00C856B2" w:rsidP="00C37E61">
      <w:r>
        <w:separator/>
      </w:r>
    </w:p>
  </w:endnote>
  <w:endnote w:type="continuationSeparator" w:id="0">
    <w:p w14:paraId="16D2EEF4" w14:textId="77777777" w:rsidR="00C856B2" w:rsidRDefault="00C856B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F7596" w14:textId="77777777" w:rsidR="000E3C04" w:rsidRDefault="000E3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74895" w14:textId="77777777" w:rsidR="000E3C04" w:rsidRDefault="000E3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FB729" w14:textId="62AD261D" w:rsidR="000E3C04" w:rsidRPr="003E48EA" w:rsidRDefault="000E3C04" w:rsidP="003E48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57FE7" w14:textId="77777777" w:rsidR="000E3C04" w:rsidRPr="00C37E61" w:rsidRDefault="000E3C0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5C760" w14:textId="77777777" w:rsidR="00C856B2" w:rsidRDefault="00C856B2" w:rsidP="00C37E61">
      <w:r>
        <w:separator/>
      </w:r>
    </w:p>
  </w:footnote>
  <w:footnote w:type="continuationSeparator" w:id="0">
    <w:p w14:paraId="09EBACA6" w14:textId="77777777" w:rsidR="00C856B2" w:rsidRDefault="00C856B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79BDA" w14:textId="597E23C3" w:rsidR="000E3C04" w:rsidRDefault="00C856B2">
    <w:pPr>
      <w:pStyle w:val="Header"/>
    </w:pPr>
    <w:r>
      <w:rPr>
        <w:noProof/>
      </w:rPr>
      <w:pict w14:anchorId="15542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3BBEF" w14:textId="000DFF9C" w:rsidR="000E3C04" w:rsidRDefault="00C856B2">
    <w:pPr>
      <w:pStyle w:val="Header"/>
    </w:pPr>
    <w:r>
      <w:rPr>
        <w:noProof/>
      </w:rPr>
      <w:pict w14:anchorId="5E01A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6ED5" w14:textId="0E60FC6F" w:rsidR="000E3C04" w:rsidRPr="00296529" w:rsidRDefault="00C856B2" w:rsidP="00296529">
    <w:pPr>
      <w:ind w:left="2160"/>
      <w:jc w:val="center"/>
      <w:rPr>
        <w:rFonts w:ascii="Times New Roman" w:eastAsia="Calibri" w:hAnsi="Times New Roman"/>
        <w:i/>
        <w:sz w:val="18"/>
        <w:szCs w:val="22"/>
      </w:rPr>
    </w:pPr>
    <w:r>
      <w:rPr>
        <w:noProof/>
      </w:rPr>
      <w:pict w14:anchorId="4D74A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EF4BE83" w14:textId="77777777" w:rsidR="000E3C04" w:rsidRPr="00296529" w:rsidRDefault="000E3C0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E3D9F54" w14:textId="77777777" w:rsidR="000E3C04" w:rsidRPr="00296529" w:rsidRDefault="000E3C0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16172E" w14:textId="77777777" w:rsidR="000E3C04" w:rsidRPr="00296529" w:rsidRDefault="000E3C0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842C5C" w14:textId="77777777" w:rsidR="000E3C04" w:rsidRDefault="000E3C0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A68796" w14:textId="77777777" w:rsidR="000E3C04" w:rsidRDefault="000E3C0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FAC47E2" w14:textId="77777777" w:rsidR="000E3C04" w:rsidRDefault="000E3C0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5E095" w14:textId="3CA8BDD5" w:rsidR="000E3C04" w:rsidRDefault="00C856B2">
    <w:pPr>
      <w:pStyle w:val="Header"/>
    </w:pPr>
    <w:r>
      <w:rPr>
        <w:noProof/>
      </w:rPr>
      <w:pict w14:anchorId="13624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5018A" w14:textId="03F068CF" w:rsidR="000E3C04" w:rsidRDefault="00C856B2">
    <w:pPr>
      <w:pStyle w:val="Header"/>
    </w:pPr>
    <w:r>
      <w:rPr>
        <w:noProof/>
      </w:rPr>
      <w:pict w14:anchorId="75597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AD603" w14:textId="38255785" w:rsidR="000E3C04" w:rsidRDefault="00C856B2">
    <w:pPr>
      <w:pStyle w:val="Header"/>
    </w:pPr>
    <w:r>
      <w:rPr>
        <w:noProof/>
      </w:rPr>
      <w:pict w14:anchorId="0E504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28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0E0160"/>
    <w:multiLevelType w:val="hybridMultilevel"/>
    <w:tmpl w:val="E24C3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4741278"/>
    <w:multiLevelType w:val="hybridMultilevel"/>
    <w:tmpl w:val="8904E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DQ1NTMxMrMwNzUxNjZQ0lEKTi0uzszPAykwrAUA3Si0LSwAAAA="/>
  </w:docVars>
  <w:rsids>
    <w:rsidRoot w:val="00AA6219"/>
    <w:rsid w:val="00000F8F"/>
    <w:rsid w:val="0001213F"/>
    <w:rsid w:val="00030174"/>
    <w:rsid w:val="00040361"/>
    <w:rsid w:val="0004579C"/>
    <w:rsid w:val="00073863"/>
    <w:rsid w:val="00095F49"/>
    <w:rsid w:val="000A47FA"/>
    <w:rsid w:val="000A65D3"/>
    <w:rsid w:val="000B1E33"/>
    <w:rsid w:val="000B61ED"/>
    <w:rsid w:val="000D43F1"/>
    <w:rsid w:val="000D689F"/>
    <w:rsid w:val="000E3C04"/>
    <w:rsid w:val="000E7B7B"/>
    <w:rsid w:val="000E7D62"/>
    <w:rsid w:val="00103357"/>
    <w:rsid w:val="00122B2E"/>
    <w:rsid w:val="00123C9F"/>
    <w:rsid w:val="00126190"/>
    <w:rsid w:val="00130F17"/>
    <w:rsid w:val="001320BF"/>
    <w:rsid w:val="001523E0"/>
    <w:rsid w:val="00163BC4"/>
    <w:rsid w:val="001645B7"/>
    <w:rsid w:val="00177B2A"/>
    <w:rsid w:val="00191062"/>
    <w:rsid w:val="00192B72"/>
    <w:rsid w:val="001A29D8"/>
    <w:rsid w:val="001A5CAA"/>
    <w:rsid w:val="001B0427"/>
    <w:rsid w:val="001B7E47"/>
    <w:rsid w:val="001D3A51"/>
    <w:rsid w:val="001E10D2"/>
    <w:rsid w:val="001E25B4"/>
    <w:rsid w:val="001E44FE"/>
    <w:rsid w:val="00200595"/>
    <w:rsid w:val="00204835"/>
    <w:rsid w:val="002300EC"/>
    <w:rsid w:val="00231920"/>
    <w:rsid w:val="0023195C"/>
    <w:rsid w:val="00236233"/>
    <w:rsid w:val="0024282C"/>
    <w:rsid w:val="002460DC"/>
    <w:rsid w:val="00250985"/>
    <w:rsid w:val="002556F6"/>
    <w:rsid w:val="00257094"/>
    <w:rsid w:val="00283105"/>
    <w:rsid w:val="002831C3"/>
    <w:rsid w:val="00284C4C"/>
    <w:rsid w:val="00287E68"/>
    <w:rsid w:val="00296529"/>
    <w:rsid w:val="002B27FB"/>
    <w:rsid w:val="002B685A"/>
    <w:rsid w:val="002C57D2"/>
    <w:rsid w:val="002E0D56"/>
    <w:rsid w:val="00307AC1"/>
    <w:rsid w:val="00315186"/>
    <w:rsid w:val="0033343E"/>
    <w:rsid w:val="003512C2"/>
    <w:rsid w:val="00371FB6"/>
    <w:rsid w:val="003763C1"/>
    <w:rsid w:val="00376BBE"/>
    <w:rsid w:val="003839D9"/>
    <w:rsid w:val="0039224F"/>
    <w:rsid w:val="003A43A4"/>
    <w:rsid w:val="003A7E18"/>
    <w:rsid w:val="003B3FD4"/>
    <w:rsid w:val="003B6FA2"/>
    <w:rsid w:val="003C469D"/>
    <w:rsid w:val="003C4C86"/>
    <w:rsid w:val="003C6258"/>
    <w:rsid w:val="003E2904"/>
    <w:rsid w:val="003E48EA"/>
    <w:rsid w:val="00401927"/>
    <w:rsid w:val="0041027F"/>
    <w:rsid w:val="00412475"/>
    <w:rsid w:val="00423789"/>
    <w:rsid w:val="00440F43"/>
    <w:rsid w:val="00441B6F"/>
    <w:rsid w:val="00446221"/>
    <w:rsid w:val="00450E62"/>
    <w:rsid w:val="004539DB"/>
    <w:rsid w:val="00471A80"/>
    <w:rsid w:val="004C70BA"/>
    <w:rsid w:val="004D305E"/>
    <w:rsid w:val="004D4277"/>
    <w:rsid w:val="004E4056"/>
    <w:rsid w:val="00502516"/>
    <w:rsid w:val="00505F06"/>
    <w:rsid w:val="00506828"/>
    <w:rsid w:val="0053056E"/>
    <w:rsid w:val="0053674F"/>
    <w:rsid w:val="005526DF"/>
    <w:rsid w:val="00554FDA"/>
    <w:rsid w:val="00585FD1"/>
    <w:rsid w:val="005C0C34"/>
    <w:rsid w:val="005C784C"/>
    <w:rsid w:val="005D00DF"/>
    <w:rsid w:val="005D0CB0"/>
    <w:rsid w:val="005D17F6"/>
    <w:rsid w:val="005E45AF"/>
    <w:rsid w:val="005E5539"/>
    <w:rsid w:val="005F6509"/>
    <w:rsid w:val="00602BF5"/>
    <w:rsid w:val="00617FDD"/>
    <w:rsid w:val="00621F73"/>
    <w:rsid w:val="00633614"/>
    <w:rsid w:val="00633F68"/>
    <w:rsid w:val="00636EB2"/>
    <w:rsid w:val="006375B8"/>
    <w:rsid w:val="006617F6"/>
    <w:rsid w:val="0066510A"/>
    <w:rsid w:val="00673F9F"/>
    <w:rsid w:val="00682909"/>
    <w:rsid w:val="00686953"/>
    <w:rsid w:val="00687DEA"/>
    <w:rsid w:val="00687E1D"/>
    <w:rsid w:val="00687E67"/>
    <w:rsid w:val="006967F7"/>
    <w:rsid w:val="00696869"/>
    <w:rsid w:val="006A250C"/>
    <w:rsid w:val="006B21D3"/>
    <w:rsid w:val="006B57D0"/>
    <w:rsid w:val="006D30FF"/>
    <w:rsid w:val="006D599C"/>
    <w:rsid w:val="006D6940"/>
    <w:rsid w:val="006F11EC"/>
    <w:rsid w:val="006F6CC4"/>
    <w:rsid w:val="006F76E6"/>
    <w:rsid w:val="0070082C"/>
    <w:rsid w:val="00714F92"/>
    <w:rsid w:val="007352F4"/>
    <w:rsid w:val="007369E6"/>
    <w:rsid w:val="00746E59"/>
    <w:rsid w:val="00754C9A"/>
    <w:rsid w:val="0075599A"/>
    <w:rsid w:val="00761D52"/>
    <w:rsid w:val="00762B78"/>
    <w:rsid w:val="0077749E"/>
    <w:rsid w:val="00780253"/>
    <w:rsid w:val="00781777"/>
    <w:rsid w:val="00790ADA"/>
    <w:rsid w:val="007923A1"/>
    <w:rsid w:val="007A6700"/>
    <w:rsid w:val="007B1818"/>
    <w:rsid w:val="007D2288"/>
    <w:rsid w:val="007E088F"/>
    <w:rsid w:val="007F7B32"/>
    <w:rsid w:val="00804BC2"/>
    <w:rsid w:val="0081431A"/>
    <w:rsid w:val="0083216F"/>
    <w:rsid w:val="00857493"/>
    <w:rsid w:val="00860000"/>
    <w:rsid w:val="0086295B"/>
    <w:rsid w:val="00863BD3"/>
    <w:rsid w:val="008641ED"/>
    <w:rsid w:val="00866D66"/>
    <w:rsid w:val="008671C6"/>
    <w:rsid w:val="00870207"/>
    <w:rsid w:val="00875803"/>
    <w:rsid w:val="00897BD3"/>
    <w:rsid w:val="008B459E"/>
    <w:rsid w:val="008E13AE"/>
    <w:rsid w:val="008E1506"/>
    <w:rsid w:val="008E710C"/>
    <w:rsid w:val="008F69D6"/>
    <w:rsid w:val="00902823"/>
    <w:rsid w:val="00915CA6"/>
    <w:rsid w:val="0092248E"/>
    <w:rsid w:val="009263D6"/>
    <w:rsid w:val="00927834"/>
    <w:rsid w:val="00933419"/>
    <w:rsid w:val="00941A38"/>
    <w:rsid w:val="00942C91"/>
    <w:rsid w:val="009500A6"/>
    <w:rsid w:val="00957C18"/>
    <w:rsid w:val="009659BA"/>
    <w:rsid w:val="00983040"/>
    <w:rsid w:val="009B3FB9"/>
    <w:rsid w:val="009C2465"/>
    <w:rsid w:val="009D35A0"/>
    <w:rsid w:val="009D7EB7"/>
    <w:rsid w:val="009E048A"/>
    <w:rsid w:val="009E08E9"/>
    <w:rsid w:val="009E3DB9"/>
    <w:rsid w:val="009E6E35"/>
    <w:rsid w:val="009F0EDA"/>
    <w:rsid w:val="00A02E4E"/>
    <w:rsid w:val="00A03B96"/>
    <w:rsid w:val="00A04158"/>
    <w:rsid w:val="00A05B19"/>
    <w:rsid w:val="00A1134E"/>
    <w:rsid w:val="00A141CF"/>
    <w:rsid w:val="00A2440D"/>
    <w:rsid w:val="00A24E7E"/>
    <w:rsid w:val="00A258C3"/>
    <w:rsid w:val="00A347C0"/>
    <w:rsid w:val="00A51431"/>
    <w:rsid w:val="00A539AD"/>
    <w:rsid w:val="00A565C5"/>
    <w:rsid w:val="00A94063"/>
    <w:rsid w:val="00AA6219"/>
    <w:rsid w:val="00AA74E0"/>
    <w:rsid w:val="00AB703F"/>
    <w:rsid w:val="00AC6BB8"/>
    <w:rsid w:val="00AE008F"/>
    <w:rsid w:val="00AE608F"/>
    <w:rsid w:val="00AF661B"/>
    <w:rsid w:val="00B01FCD"/>
    <w:rsid w:val="00B1776C"/>
    <w:rsid w:val="00B27415"/>
    <w:rsid w:val="00B31D3C"/>
    <w:rsid w:val="00B45CD8"/>
    <w:rsid w:val="00B52583"/>
    <w:rsid w:val="00B52896"/>
    <w:rsid w:val="00B95236"/>
    <w:rsid w:val="00B96BD9"/>
    <w:rsid w:val="00BA1B01"/>
    <w:rsid w:val="00BA2641"/>
    <w:rsid w:val="00BB37AA"/>
    <w:rsid w:val="00BC53A0"/>
    <w:rsid w:val="00BE01FC"/>
    <w:rsid w:val="00BE62AD"/>
    <w:rsid w:val="00BF121F"/>
    <w:rsid w:val="00BF1F80"/>
    <w:rsid w:val="00BF50D0"/>
    <w:rsid w:val="00C073C9"/>
    <w:rsid w:val="00C166EF"/>
    <w:rsid w:val="00C17EB0"/>
    <w:rsid w:val="00C27F5F"/>
    <w:rsid w:val="00C30A0F"/>
    <w:rsid w:val="00C37E61"/>
    <w:rsid w:val="00C70F1B"/>
    <w:rsid w:val="00C71A47"/>
    <w:rsid w:val="00C7464C"/>
    <w:rsid w:val="00C85588"/>
    <w:rsid w:val="00C856B2"/>
    <w:rsid w:val="00C85960"/>
    <w:rsid w:val="00CB12E4"/>
    <w:rsid w:val="00CC0433"/>
    <w:rsid w:val="00CD6755"/>
    <w:rsid w:val="00CD6856"/>
    <w:rsid w:val="00CE0089"/>
    <w:rsid w:val="00CE793C"/>
    <w:rsid w:val="00CF193C"/>
    <w:rsid w:val="00D173F1"/>
    <w:rsid w:val="00D51804"/>
    <w:rsid w:val="00D55A51"/>
    <w:rsid w:val="00D74CB0"/>
    <w:rsid w:val="00D82155"/>
    <w:rsid w:val="00D8295D"/>
    <w:rsid w:val="00DB6A99"/>
    <w:rsid w:val="00DC2A65"/>
    <w:rsid w:val="00DE15F0"/>
    <w:rsid w:val="00DE5663"/>
    <w:rsid w:val="00DE71E8"/>
    <w:rsid w:val="00DE78AA"/>
    <w:rsid w:val="00E03127"/>
    <w:rsid w:val="00E053D0"/>
    <w:rsid w:val="00E15994"/>
    <w:rsid w:val="00E3114E"/>
    <w:rsid w:val="00E31A70"/>
    <w:rsid w:val="00E35B02"/>
    <w:rsid w:val="00E66496"/>
    <w:rsid w:val="00E66B35"/>
    <w:rsid w:val="00E66E10"/>
    <w:rsid w:val="00E769F6"/>
    <w:rsid w:val="00E8407C"/>
    <w:rsid w:val="00E84F3C"/>
    <w:rsid w:val="00E9294C"/>
    <w:rsid w:val="00EA012C"/>
    <w:rsid w:val="00EA2A59"/>
    <w:rsid w:val="00EC6A55"/>
    <w:rsid w:val="00ED0288"/>
    <w:rsid w:val="00EE52CB"/>
    <w:rsid w:val="00EF581D"/>
    <w:rsid w:val="00EF7FD8"/>
    <w:rsid w:val="00F014E4"/>
    <w:rsid w:val="00F06F59"/>
    <w:rsid w:val="00F079DE"/>
    <w:rsid w:val="00F11B68"/>
    <w:rsid w:val="00F17988"/>
    <w:rsid w:val="00F27728"/>
    <w:rsid w:val="00F469F0"/>
    <w:rsid w:val="00F53273"/>
    <w:rsid w:val="00F755E4"/>
    <w:rsid w:val="00F77D02"/>
    <w:rsid w:val="00F81711"/>
    <w:rsid w:val="00F86E12"/>
    <w:rsid w:val="00FB3A86"/>
    <w:rsid w:val="00FB7DA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15970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181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B31D3C"/>
    <w:rPr>
      <w:b/>
      <w:bCs/>
    </w:rPr>
  </w:style>
  <w:style w:type="table" w:customStyle="1" w:styleId="TableGrid1">
    <w:name w:val="Table Grid1"/>
    <w:basedOn w:val="TableNormal"/>
    <w:next w:val="TableGrid"/>
    <w:uiPriority w:val="39"/>
    <w:rsid w:val="005526D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F76E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B12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122B2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1FC"/>
    <w:pPr>
      <w:ind w:left="720"/>
      <w:contextualSpacing/>
    </w:pPr>
  </w:style>
  <w:style w:type="character" w:customStyle="1" w:styleId="UnresolvedMention2">
    <w:name w:val="Unresolved Mention2"/>
    <w:basedOn w:val="DefaultParagraphFont"/>
    <w:uiPriority w:val="99"/>
    <w:semiHidden/>
    <w:unhideWhenUsed/>
    <w:rsid w:val="00661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9495034">
      <w:bodyDiv w:val="1"/>
      <w:marLeft w:val="0"/>
      <w:marRight w:val="0"/>
      <w:marTop w:val="0"/>
      <w:marBottom w:val="0"/>
      <w:divBdr>
        <w:top w:val="none" w:sz="0" w:space="0" w:color="auto"/>
        <w:left w:val="none" w:sz="0" w:space="0" w:color="auto"/>
        <w:bottom w:val="none" w:sz="0" w:space="0" w:color="auto"/>
        <w:right w:val="none" w:sz="0" w:space="0" w:color="auto"/>
      </w:divBdr>
      <w:divsChild>
        <w:div w:id="1085152095">
          <w:marLeft w:val="0"/>
          <w:marRight w:val="0"/>
          <w:marTop w:val="0"/>
          <w:marBottom w:val="0"/>
          <w:divBdr>
            <w:top w:val="none" w:sz="0" w:space="0" w:color="auto"/>
            <w:left w:val="none" w:sz="0" w:space="0" w:color="auto"/>
            <w:bottom w:val="none" w:sz="0" w:space="0" w:color="auto"/>
            <w:right w:val="none" w:sz="0" w:space="0" w:color="auto"/>
          </w:divBdr>
          <w:divsChild>
            <w:div w:id="1824814006">
              <w:marLeft w:val="-225"/>
              <w:marRight w:val="-225"/>
              <w:marTop w:val="0"/>
              <w:marBottom w:val="0"/>
              <w:divBdr>
                <w:top w:val="none" w:sz="0" w:space="0" w:color="auto"/>
                <w:left w:val="none" w:sz="0" w:space="0" w:color="auto"/>
                <w:bottom w:val="none" w:sz="0" w:space="0" w:color="auto"/>
                <w:right w:val="none" w:sz="0" w:space="0" w:color="auto"/>
              </w:divBdr>
              <w:divsChild>
                <w:div w:id="1473910878">
                  <w:marLeft w:val="0"/>
                  <w:marRight w:val="0"/>
                  <w:marTop w:val="0"/>
                  <w:marBottom w:val="0"/>
                  <w:divBdr>
                    <w:top w:val="none" w:sz="0" w:space="0" w:color="auto"/>
                    <w:left w:val="none" w:sz="0" w:space="0" w:color="auto"/>
                    <w:bottom w:val="none" w:sz="0" w:space="0" w:color="auto"/>
                    <w:right w:val="none" w:sz="0" w:space="0" w:color="auto"/>
                  </w:divBdr>
                  <w:divsChild>
                    <w:div w:id="1971781754">
                      <w:marLeft w:val="0"/>
                      <w:marRight w:val="0"/>
                      <w:marTop w:val="0"/>
                      <w:marBottom w:val="0"/>
                      <w:divBdr>
                        <w:top w:val="none" w:sz="0" w:space="0" w:color="auto"/>
                        <w:left w:val="none" w:sz="0" w:space="0" w:color="auto"/>
                        <w:bottom w:val="none" w:sz="0" w:space="0" w:color="auto"/>
                        <w:right w:val="none" w:sz="0" w:space="0" w:color="auto"/>
                      </w:divBdr>
                      <w:divsChild>
                        <w:div w:id="2023586084">
                          <w:marLeft w:val="0"/>
                          <w:marRight w:val="0"/>
                          <w:marTop w:val="0"/>
                          <w:marBottom w:val="0"/>
                          <w:divBdr>
                            <w:top w:val="none" w:sz="0" w:space="0" w:color="auto"/>
                            <w:left w:val="none" w:sz="0" w:space="0" w:color="auto"/>
                            <w:bottom w:val="none" w:sz="0" w:space="0" w:color="auto"/>
                            <w:right w:val="none" w:sz="0" w:space="0" w:color="auto"/>
                          </w:divBdr>
                          <w:divsChild>
                            <w:div w:id="1667853356">
                              <w:marLeft w:val="0"/>
                              <w:marRight w:val="0"/>
                              <w:marTop w:val="0"/>
                              <w:marBottom w:val="0"/>
                              <w:divBdr>
                                <w:top w:val="none" w:sz="0" w:space="0" w:color="auto"/>
                                <w:left w:val="none" w:sz="0" w:space="0" w:color="auto"/>
                                <w:bottom w:val="none" w:sz="0" w:space="0" w:color="auto"/>
                                <w:right w:val="none" w:sz="0" w:space="0" w:color="auto"/>
                              </w:divBdr>
                              <w:divsChild>
                                <w:div w:id="1592813027">
                                  <w:marLeft w:val="0"/>
                                  <w:marRight w:val="0"/>
                                  <w:marTop w:val="0"/>
                                  <w:marBottom w:val="0"/>
                                  <w:divBdr>
                                    <w:top w:val="none" w:sz="0" w:space="0" w:color="auto"/>
                                    <w:left w:val="none" w:sz="0" w:space="0" w:color="auto"/>
                                    <w:bottom w:val="none" w:sz="0" w:space="0" w:color="auto"/>
                                    <w:right w:val="none" w:sz="0" w:space="0" w:color="auto"/>
                                  </w:divBdr>
                                  <w:divsChild>
                                    <w:div w:id="8161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550786">
      <w:bodyDiv w:val="1"/>
      <w:marLeft w:val="0"/>
      <w:marRight w:val="0"/>
      <w:marTop w:val="0"/>
      <w:marBottom w:val="0"/>
      <w:divBdr>
        <w:top w:val="none" w:sz="0" w:space="0" w:color="auto"/>
        <w:left w:val="none" w:sz="0" w:space="0" w:color="auto"/>
        <w:bottom w:val="none" w:sz="0" w:space="0" w:color="auto"/>
        <w:right w:val="none" w:sz="0" w:space="0" w:color="auto"/>
      </w:divBdr>
      <w:divsChild>
        <w:div w:id="234974528">
          <w:marLeft w:val="0"/>
          <w:marRight w:val="0"/>
          <w:marTop w:val="0"/>
          <w:marBottom w:val="0"/>
          <w:divBdr>
            <w:top w:val="none" w:sz="0" w:space="0" w:color="auto"/>
            <w:left w:val="none" w:sz="0" w:space="0" w:color="auto"/>
            <w:bottom w:val="none" w:sz="0" w:space="0" w:color="auto"/>
            <w:right w:val="none" w:sz="0" w:space="0" w:color="auto"/>
          </w:divBdr>
          <w:divsChild>
            <w:div w:id="2008901646">
              <w:marLeft w:val="-225"/>
              <w:marRight w:val="-225"/>
              <w:marTop w:val="0"/>
              <w:marBottom w:val="0"/>
              <w:divBdr>
                <w:top w:val="none" w:sz="0" w:space="0" w:color="auto"/>
                <w:left w:val="none" w:sz="0" w:space="0" w:color="auto"/>
                <w:bottom w:val="none" w:sz="0" w:space="0" w:color="auto"/>
                <w:right w:val="none" w:sz="0" w:space="0" w:color="auto"/>
              </w:divBdr>
              <w:divsChild>
                <w:div w:id="1706103345">
                  <w:marLeft w:val="0"/>
                  <w:marRight w:val="0"/>
                  <w:marTop w:val="0"/>
                  <w:marBottom w:val="0"/>
                  <w:divBdr>
                    <w:top w:val="none" w:sz="0" w:space="0" w:color="auto"/>
                    <w:left w:val="none" w:sz="0" w:space="0" w:color="auto"/>
                    <w:bottom w:val="none" w:sz="0" w:space="0" w:color="auto"/>
                    <w:right w:val="none" w:sz="0" w:space="0" w:color="auto"/>
                  </w:divBdr>
                  <w:divsChild>
                    <w:div w:id="4944169">
                      <w:marLeft w:val="0"/>
                      <w:marRight w:val="0"/>
                      <w:marTop w:val="0"/>
                      <w:marBottom w:val="0"/>
                      <w:divBdr>
                        <w:top w:val="none" w:sz="0" w:space="0" w:color="auto"/>
                        <w:left w:val="none" w:sz="0" w:space="0" w:color="auto"/>
                        <w:bottom w:val="none" w:sz="0" w:space="0" w:color="auto"/>
                        <w:right w:val="none" w:sz="0" w:space="0" w:color="auto"/>
                      </w:divBdr>
                      <w:divsChild>
                        <w:div w:id="1871916812">
                          <w:marLeft w:val="0"/>
                          <w:marRight w:val="0"/>
                          <w:marTop w:val="0"/>
                          <w:marBottom w:val="0"/>
                          <w:divBdr>
                            <w:top w:val="none" w:sz="0" w:space="0" w:color="auto"/>
                            <w:left w:val="none" w:sz="0" w:space="0" w:color="auto"/>
                            <w:bottom w:val="none" w:sz="0" w:space="0" w:color="auto"/>
                            <w:right w:val="none" w:sz="0" w:space="0" w:color="auto"/>
                          </w:divBdr>
                          <w:divsChild>
                            <w:div w:id="1945502556">
                              <w:marLeft w:val="0"/>
                              <w:marRight w:val="0"/>
                              <w:marTop w:val="0"/>
                              <w:marBottom w:val="0"/>
                              <w:divBdr>
                                <w:top w:val="none" w:sz="0" w:space="0" w:color="auto"/>
                                <w:left w:val="none" w:sz="0" w:space="0" w:color="auto"/>
                                <w:bottom w:val="none" w:sz="0" w:space="0" w:color="auto"/>
                                <w:right w:val="none" w:sz="0" w:space="0" w:color="auto"/>
                              </w:divBdr>
                              <w:divsChild>
                                <w:div w:id="1092551133">
                                  <w:marLeft w:val="0"/>
                                  <w:marRight w:val="0"/>
                                  <w:marTop w:val="0"/>
                                  <w:marBottom w:val="0"/>
                                  <w:divBdr>
                                    <w:top w:val="none" w:sz="0" w:space="0" w:color="auto"/>
                                    <w:left w:val="none" w:sz="0" w:space="0" w:color="auto"/>
                                    <w:bottom w:val="none" w:sz="0" w:space="0" w:color="auto"/>
                                    <w:right w:val="none" w:sz="0" w:space="0" w:color="auto"/>
                                  </w:divBdr>
                                  <w:divsChild>
                                    <w:div w:id="1106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biombioe.2010.03.021" TargetMode="External"/><Relationship Id="rId21" Type="http://schemas.openxmlformats.org/officeDocument/2006/relationships/hyperlink" Target="https://doi.org/10.1007/s10668-017-0057-z" TargetMode="External"/><Relationship Id="rId42" Type="http://schemas.openxmlformats.org/officeDocument/2006/relationships/hyperlink" Target="https://doi.org/10.1080/15567030802612408" TargetMode="External"/><Relationship Id="rId47" Type="http://schemas.openxmlformats.org/officeDocument/2006/relationships/hyperlink" Target="https://doi.org/10.1007/s00468-002-0173-7" TargetMode="External"/><Relationship Id="rId63" Type="http://schemas.openxmlformats.org/officeDocument/2006/relationships/hyperlink" Target="https://doi.org/10.1016/0926-6690(94)90078-7" TargetMode="External"/><Relationship Id="rId68" Type="http://schemas.openxmlformats.org/officeDocument/2006/relationships/hyperlink" Target="https://doi.org/10.21273/HORTSCI.26.4.334"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doi.org/10.1016/j.promfg.2019.02.019" TargetMode="External"/><Relationship Id="rId11" Type="http://schemas.openxmlformats.org/officeDocument/2006/relationships/footer" Target="footer2.xml"/><Relationship Id="rId24" Type="http://schemas.openxmlformats.org/officeDocument/2006/relationships/hyperlink" Target="https://doi.org/10.1016/j.rser.2010.04.003" TargetMode="External"/><Relationship Id="rId32" Type="http://schemas.openxmlformats.org/officeDocument/2006/relationships/hyperlink" Target="https://doi.org/10.9734/jsrr/2025/v31i73316" TargetMode="External"/><Relationship Id="rId37" Type="http://schemas.openxmlformats.org/officeDocument/2006/relationships/hyperlink" Target="https://doi.org/10.1016/j.fuel.2010.11.031" TargetMode="External"/><Relationship Id="rId40" Type="http://schemas.openxmlformats.org/officeDocument/2006/relationships/hyperlink" Target="https://doi.org/10.1146/annurev-chembioeng-061114-123310" TargetMode="External"/><Relationship Id="rId45" Type="http://schemas.openxmlformats.org/officeDocument/2006/relationships/hyperlink" Target="https://doi.org/10.1186/s13705-015-0043-y" TargetMode="External"/><Relationship Id="rId53" Type="http://schemas.openxmlformats.org/officeDocument/2006/relationships/hyperlink" Target="https://doi.org/10.18671/scifor.v48n125.11" TargetMode="External"/><Relationship Id="rId58" Type="http://schemas.openxmlformats.org/officeDocument/2006/relationships/hyperlink" Target="https://doi.org/10.1016/0961-9534(92)90037-Q" TargetMode="External"/><Relationship Id="rId66" Type="http://schemas.openxmlformats.org/officeDocument/2006/relationships/hyperlink" Target="https://doi.org/10.15159/AR.21.098"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S0961-9534(99)00035-5" TargetMode="External"/><Relationship Id="rId19" Type="http://schemas.openxmlformats.org/officeDocument/2006/relationships/chart" Target="charts/chart5.xml"/><Relationship Id="rId14" Type="http://schemas.openxmlformats.org/officeDocument/2006/relationships/image" Target="media/image1.png"/><Relationship Id="rId22" Type="http://schemas.openxmlformats.org/officeDocument/2006/relationships/hyperlink" Target="https://doi.org/10.1016/j.tca.2011.09.021" TargetMode="External"/><Relationship Id="rId27" Type="http://schemas.openxmlformats.org/officeDocument/2006/relationships/hyperlink" Target="https://doi.org/10.1016/j.renene.2008.12.017" TargetMode="External"/><Relationship Id="rId30" Type="http://schemas.openxmlformats.org/officeDocument/2006/relationships/hyperlink" Target="https://www.astm.org/d2395-17.html" TargetMode="External"/><Relationship Id="rId35" Type="http://schemas.openxmlformats.org/officeDocument/2006/relationships/hyperlink" Target="https://www.astm.org/d3172-13r21e01.html" TargetMode="External"/><Relationship Id="rId43" Type="http://schemas.openxmlformats.org/officeDocument/2006/relationships/hyperlink" Target="https://doi.org/10.1016/S0961-9534(02)00026-0" TargetMode="External"/><Relationship Id="rId48" Type="http://schemas.openxmlformats.org/officeDocument/2006/relationships/hyperlink" Target="https://doi.org/10.1007/s10086-011-1225-7" TargetMode="External"/><Relationship Id="rId56" Type="http://schemas.openxmlformats.org/officeDocument/2006/relationships/hyperlink" Target="https://doi.org/10.20546/ijcmas.2017.611.445" TargetMode="External"/><Relationship Id="rId64" Type="http://schemas.openxmlformats.org/officeDocument/2006/relationships/hyperlink" Target="https://doi.org/10.1021/acs.energyfuels.6b01030" TargetMode="External"/><Relationship Id="rId69" Type="http://schemas.openxmlformats.org/officeDocument/2006/relationships/hyperlink" Target="https://doi.org/10.33545/26174693.2024.v8.i8h.1820" TargetMode="External"/><Relationship Id="rId8" Type="http://schemas.openxmlformats.org/officeDocument/2006/relationships/header" Target="header1.xml"/><Relationship Id="rId51" Type="http://schemas.openxmlformats.org/officeDocument/2006/relationships/hyperlink" Target="https://doi.org/10.1080/009083190957694"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hyperlink" Target="https://doi.org/10.1080/15567036.2013.834399" TargetMode="External"/><Relationship Id="rId33" Type="http://schemas.openxmlformats.org/officeDocument/2006/relationships/hyperlink" Target="https://www.astm.org/d3174-12.html" TargetMode="External"/><Relationship Id="rId38" Type="http://schemas.openxmlformats.org/officeDocument/2006/relationships/hyperlink" Target="https://doi.org/10.1080/15567030600820476" TargetMode="External"/><Relationship Id="rId46" Type="http://schemas.openxmlformats.org/officeDocument/2006/relationships/hyperlink" Target="https://doi.org/10.1155/2020/3635094" TargetMode="External"/><Relationship Id="rId59" Type="http://schemas.openxmlformats.org/officeDocument/2006/relationships/hyperlink" Target="https://doi.org/10.1007/s11676-010-0108-x" TargetMode="External"/><Relationship Id="rId67" Type="http://schemas.openxmlformats.org/officeDocument/2006/relationships/hyperlink" Target="https://doi.org/10.1590/2179-8087-floram-2021-0007" TargetMode="External"/><Relationship Id="rId20" Type="http://schemas.openxmlformats.org/officeDocument/2006/relationships/chart" Target="charts/chart6.xml"/><Relationship Id="rId41" Type="http://schemas.openxmlformats.org/officeDocument/2006/relationships/hyperlink" Target="https://doi.org/10.4236/jsbs.2014.41001" TargetMode="External"/><Relationship Id="rId54" Type="http://schemas.openxmlformats.org/officeDocument/2006/relationships/hyperlink" Target="https://doi.org/10.1016/j.biombioe.2010.08.051" TargetMode="External"/><Relationship Id="rId62" Type="http://schemas.openxmlformats.org/officeDocument/2006/relationships/hyperlink" Target="https://doi.org/10.1016/j.biombioe.2015.08.003"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doi.org/10.1016/j.rser.2014.10.027" TargetMode="External"/><Relationship Id="rId28" Type="http://schemas.openxmlformats.org/officeDocument/2006/relationships/hyperlink" Target="https://www.astm.org/d4442-92r03.html" TargetMode="External"/><Relationship Id="rId36" Type="http://schemas.openxmlformats.org/officeDocument/2006/relationships/hyperlink" Target="https://www.astm.org/d5865_d5865m-19.html" TargetMode="External"/><Relationship Id="rId49" Type="http://schemas.openxmlformats.org/officeDocument/2006/relationships/hyperlink" Target="https://doi.org/10.1016/j.biombioe.2010.12.038" TargetMode="External"/><Relationship Id="rId57" Type="http://schemas.openxmlformats.org/officeDocument/2006/relationships/hyperlink" Target="https://doi.org/10.1016/j.fuel.2017.12.039" TargetMode="External"/><Relationship Id="rId10" Type="http://schemas.openxmlformats.org/officeDocument/2006/relationships/footer" Target="footer1.xml"/><Relationship Id="rId31" Type="http://schemas.openxmlformats.org/officeDocument/2006/relationships/hyperlink" Target="https://www.tappi.org/content/sarg/t204.pdf" TargetMode="External"/><Relationship Id="rId44" Type="http://schemas.openxmlformats.org/officeDocument/2006/relationships/hyperlink" Target="https://doi.org/10.1007/s13399-017-0259-5" TargetMode="External"/><Relationship Id="rId52" Type="http://schemas.openxmlformats.org/officeDocument/2006/relationships/hyperlink" Target="https://doi.org/10.1007/s13399-013-0095-1" TargetMode="External"/><Relationship Id="rId60" Type="http://schemas.openxmlformats.org/officeDocument/2006/relationships/hyperlink" Target="https://doi.org/10.1080/17597269.2019.1646541" TargetMode="External"/><Relationship Id="rId65" Type="http://schemas.openxmlformats.org/officeDocument/2006/relationships/hyperlink" Target="https://doi.org/10.1007/s12649-020-00955-0"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4.xml"/><Relationship Id="rId39" Type="http://schemas.openxmlformats.org/officeDocument/2006/relationships/hyperlink" Target="https://doi.org/10.1186/2251-6832-3-20" TargetMode="External"/><Relationship Id="rId34" Type="http://schemas.openxmlformats.org/officeDocument/2006/relationships/hyperlink" Target="https://doi.org/10.1088/1755-1315/173/1/012043" TargetMode="External"/><Relationship Id="rId50" Type="http://schemas.openxmlformats.org/officeDocument/2006/relationships/hyperlink" Target="https://doi.org/10.1155/2020/3457396" TargetMode="External"/><Relationship Id="rId55" Type="http://schemas.openxmlformats.org/officeDocument/2006/relationships/hyperlink" Target="https://doi.org/10.1080/15567036.2019.1602210" TargetMode="External"/><Relationship Id="rId7" Type="http://schemas.openxmlformats.org/officeDocument/2006/relationships/endnotes" Target="endnotes.xml"/><Relationship Id="rId7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2.png"/><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5161854768154"/>
          <c:y val="5.3724053724053727E-2"/>
          <c:w val="0.84192825896762902"/>
          <c:h val="0.65140126714929869"/>
        </c:manualLayout>
      </c:layout>
      <c:barChart>
        <c:barDir val="col"/>
        <c:grouping val="clustered"/>
        <c:varyColors val="0"/>
        <c:ser>
          <c:idx val="0"/>
          <c:order val="0"/>
          <c:tx>
            <c:strRef>
              <c:f>Sheet6!$B$1</c:f>
              <c:strCache>
                <c:ptCount val="1"/>
                <c:pt idx="0">
                  <c:v>Ash content (%)</c:v>
                </c:pt>
              </c:strCache>
            </c:strRef>
          </c:tx>
          <c:spPr>
            <a:solidFill>
              <a:srgbClr val="0066FF"/>
            </a:solidFill>
            <a:ln>
              <a:noFill/>
            </a:ln>
            <a:effectLst/>
          </c:spPr>
          <c:invertIfNegative val="0"/>
          <c:errBars>
            <c:errBarType val="both"/>
            <c:errValType val="cust"/>
            <c:noEndCap val="0"/>
            <c:plus>
              <c:numRef>
                <c:f>Sheet6!$C$2:$C$18</c:f>
                <c:numCache>
                  <c:formatCode>General</c:formatCode>
                  <c:ptCount val="17"/>
                  <c:pt idx="0">
                    <c:v>0.08</c:v>
                  </c:pt>
                  <c:pt idx="1">
                    <c:v>0.01</c:v>
                  </c:pt>
                  <c:pt idx="2">
                    <c:v>0.02</c:v>
                  </c:pt>
                  <c:pt idx="3">
                    <c:v>0.11</c:v>
                  </c:pt>
                  <c:pt idx="4">
                    <c:v>0.11</c:v>
                  </c:pt>
                  <c:pt idx="5">
                    <c:v>0.03</c:v>
                  </c:pt>
                  <c:pt idx="6">
                    <c:v>0.01</c:v>
                  </c:pt>
                  <c:pt idx="7">
                    <c:v>0.09</c:v>
                  </c:pt>
                  <c:pt idx="8">
                    <c:v>0.27</c:v>
                  </c:pt>
                  <c:pt idx="9">
                    <c:v>0.15</c:v>
                  </c:pt>
                  <c:pt idx="10">
                    <c:v>0.06</c:v>
                  </c:pt>
                  <c:pt idx="11">
                    <c:v>0.02</c:v>
                  </c:pt>
                  <c:pt idx="12">
                    <c:v>0.04</c:v>
                  </c:pt>
                  <c:pt idx="13">
                    <c:v>0.02</c:v>
                  </c:pt>
                  <c:pt idx="14">
                    <c:v>0.23</c:v>
                  </c:pt>
                  <c:pt idx="15">
                    <c:v>0.04</c:v>
                  </c:pt>
                  <c:pt idx="16">
                    <c:v>0.04</c:v>
                  </c:pt>
                </c:numCache>
              </c:numRef>
            </c:plus>
            <c:minus>
              <c:numRef>
                <c:f>Sheet6!$C$2:$C$18</c:f>
                <c:numCache>
                  <c:formatCode>General</c:formatCode>
                  <c:ptCount val="17"/>
                  <c:pt idx="0">
                    <c:v>0.08</c:v>
                  </c:pt>
                  <c:pt idx="1">
                    <c:v>0.01</c:v>
                  </c:pt>
                  <c:pt idx="2">
                    <c:v>0.02</c:v>
                  </c:pt>
                  <c:pt idx="3">
                    <c:v>0.11</c:v>
                  </c:pt>
                  <c:pt idx="4">
                    <c:v>0.11</c:v>
                  </c:pt>
                  <c:pt idx="5">
                    <c:v>0.03</c:v>
                  </c:pt>
                  <c:pt idx="6">
                    <c:v>0.01</c:v>
                  </c:pt>
                  <c:pt idx="7">
                    <c:v>0.09</c:v>
                  </c:pt>
                  <c:pt idx="8">
                    <c:v>0.27</c:v>
                  </c:pt>
                  <c:pt idx="9">
                    <c:v>0.15</c:v>
                  </c:pt>
                  <c:pt idx="10">
                    <c:v>0.06</c:v>
                  </c:pt>
                  <c:pt idx="11">
                    <c:v>0.02</c:v>
                  </c:pt>
                  <c:pt idx="12">
                    <c:v>0.04</c:v>
                  </c:pt>
                  <c:pt idx="13">
                    <c:v>0.02</c:v>
                  </c:pt>
                  <c:pt idx="14">
                    <c:v>0.23</c:v>
                  </c:pt>
                  <c:pt idx="15">
                    <c:v>0.04</c:v>
                  </c:pt>
                  <c:pt idx="16">
                    <c:v>0.04</c:v>
                  </c:pt>
                </c:numCache>
              </c:numRef>
            </c:minus>
            <c:spPr>
              <a:noFill/>
              <a:ln w="9525" cap="flat" cmpd="sng" algn="ctr">
                <a:solidFill>
                  <a:sysClr val="windowText" lastClr="000000"/>
                </a:solidFill>
                <a:round/>
              </a:ln>
              <a:effectLst/>
            </c:spPr>
          </c:errBars>
          <c:cat>
            <c:strRef>
              <c:f>Sheet6!$A$2:$A$18</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Sheet6!$B$2:$B$18</c:f>
              <c:numCache>
                <c:formatCode>General</c:formatCode>
                <c:ptCount val="17"/>
                <c:pt idx="0">
                  <c:v>0.69</c:v>
                </c:pt>
                <c:pt idx="1">
                  <c:v>0.83</c:v>
                </c:pt>
                <c:pt idx="2">
                  <c:v>1.08</c:v>
                </c:pt>
                <c:pt idx="3">
                  <c:v>1.76</c:v>
                </c:pt>
                <c:pt idx="4">
                  <c:v>1.26</c:v>
                </c:pt>
                <c:pt idx="5">
                  <c:v>1.01</c:v>
                </c:pt>
                <c:pt idx="6">
                  <c:v>0.98</c:v>
                </c:pt>
                <c:pt idx="7">
                  <c:v>1.17</c:v>
                </c:pt>
                <c:pt idx="8">
                  <c:v>1.7</c:v>
                </c:pt>
                <c:pt idx="9">
                  <c:v>1.03</c:v>
                </c:pt>
                <c:pt idx="10">
                  <c:v>1.1000000000000001</c:v>
                </c:pt>
                <c:pt idx="11">
                  <c:v>1.32</c:v>
                </c:pt>
                <c:pt idx="12">
                  <c:v>1.1399999999999999</c:v>
                </c:pt>
                <c:pt idx="13">
                  <c:v>2.46</c:v>
                </c:pt>
                <c:pt idx="14">
                  <c:v>1.73</c:v>
                </c:pt>
                <c:pt idx="15">
                  <c:v>1.1499999999999999</c:v>
                </c:pt>
                <c:pt idx="16">
                  <c:v>0.87</c:v>
                </c:pt>
              </c:numCache>
            </c:numRef>
          </c:val>
          <c:extLst>
            <c:ext xmlns:c16="http://schemas.microsoft.com/office/drawing/2014/chart" uri="{C3380CC4-5D6E-409C-BE32-E72D297353CC}">
              <c16:uniqueId val="{00000000-1A57-453D-A0C9-B874F34030CB}"/>
            </c:ext>
          </c:extLst>
        </c:ser>
        <c:dLbls>
          <c:showLegendKey val="0"/>
          <c:showVal val="0"/>
          <c:showCatName val="0"/>
          <c:showSerName val="0"/>
          <c:showPercent val="0"/>
          <c:showBubbleSize val="0"/>
        </c:dLbls>
        <c:gapWidth val="219"/>
        <c:overlap val="-27"/>
        <c:axId val="222919368"/>
        <c:axId val="222920936"/>
      </c:barChart>
      <c:catAx>
        <c:axId val="222919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2920936"/>
        <c:crosses val="autoZero"/>
        <c:auto val="1"/>
        <c:lblAlgn val="ctr"/>
        <c:lblOffset val="100"/>
        <c:noMultiLvlLbl val="0"/>
      </c:catAx>
      <c:valAx>
        <c:axId val="2229209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Ash</a:t>
                </a:r>
                <a:r>
                  <a:rPr lang="en-US" baseline="0">
                    <a:solidFill>
                      <a:schemeClr val="tx1"/>
                    </a:solidFill>
                    <a:latin typeface="Times New Roman" panose="02020603050405020304" pitchFamily="18" charset="0"/>
                    <a:cs typeface="Times New Roman" panose="02020603050405020304" pitchFamily="18" charset="0"/>
                  </a:rPr>
                  <a:t> content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2919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7938543255215"/>
          <c:y val="5.3527980535279802E-2"/>
          <c:w val="0.82633510732107107"/>
          <c:h val="0.65267352529838885"/>
        </c:manualLayout>
      </c:layout>
      <c:barChart>
        <c:barDir val="col"/>
        <c:grouping val="clustered"/>
        <c:varyColors val="0"/>
        <c:ser>
          <c:idx val="0"/>
          <c:order val="0"/>
          <c:tx>
            <c:strRef>
              <c:f>Sheet6!$B$42</c:f>
              <c:strCache>
                <c:ptCount val="1"/>
                <c:pt idx="0">
                  <c:v>Volatile matter (%)</c:v>
                </c:pt>
              </c:strCache>
            </c:strRef>
          </c:tx>
          <c:spPr>
            <a:solidFill>
              <a:srgbClr val="00FFFF"/>
            </a:solidFill>
            <a:ln>
              <a:noFill/>
            </a:ln>
            <a:effectLst/>
          </c:spPr>
          <c:invertIfNegative val="0"/>
          <c:errBars>
            <c:errBarType val="both"/>
            <c:errValType val="cust"/>
            <c:noEndCap val="0"/>
            <c:plus>
              <c:numRef>
                <c:f>Sheet6!$C$43:$C$59</c:f>
                <c:numCache>
                  <c:formatCode>General</c:formatCode>
                  <c:ptCount val="17"/>
                  <c:pt idx="0">
                    <c:v>0.2</c:v>
                  </c:pt>
                  <c:pt idx="1">
                    <c:v>0.06</c:v>
                  </c:pt>
                  <c:pt idx="2">
                    <c:v>0.09</c:v>
                  </c:pt>
                  <c:pt idx="3">
                    <c:v>0.09</c:v>
                  </c:pt>
                  <c:pt idx="4">
                    <c:v>0.17</c:v>
                  </c:pt>
                  <c:pt idx="5">
                    <c:v>0.15</c:v>
                  </c:pt>
                  <c:pt idx="6">
                    <c:v>0.16</c:v>
                  </c:pt>
                  <c:pt idx="7">
                    <c:v>0.08</c:v>
                  </c:pt>
                  <c:pt idx="8">
                    <c:v>0.13</c:v>
                  </c:pt>
                  <c:pt idx="9">
                    <c:v>0.05</c:v>
                  </c:pt>
                  <c:pt idx="10">
                    <c:v>0.13</c:v>
                  </c:pt>
                  <c:pt idx="11">
                    <c:v>0.14000000000000001</c:v>
                  </c:pt>
                  <c:pt idx="12">
                    <c:v>0.26</c:v>
                  </c:pt>
                  <c:pt idx="13">
                    <c:v>0.18</c:v>
                  </c:pt>
                  <c:pt idx="14">
                    <c:v>0.1</c:v>
                  </c:pt>
                  <c:pt idx="15">
                    <c:v>0.11</c:v>
                  </c:pt>
                  <c:pt idx="16">
                    <c:v>0.18</c:v>
                  </c:pt>
                </c:numCache>
              </c:numRef>
            </c:plus>
            <c:minus>
              <c:numRef>
                <c:f>Sheet6!$C$43:$C$59</c:f>
                <c:numCache>
                  <c:formatCode>General</c:formatCode>
                  <c:ptCount val="17"/>
                  <c:pt idx="0">
                    <c:v>0.2</c:v>
                  </c:pt>
                  <c:pt idx="1">
                    <c:v>0.06</c:v>
                  </c:pt>
                  <c:pt idx="2">
                    <c:v>0.09</c:v>
                  </c:pt>
                  <c:pt idx="3">
                    <c:v>0.09</c:v>
                  </c:pt>
                  <c:pt idx="4">
                    <c:v>0.17</c:v>
                  </c:pt>
                  <c:pt idx="5">
                    <c:v>0.15</c:v>
                  </c:pt>
                  <c:pt idx="6">
                    <c:v>0.16</c:v>
                  </c:pt>
                  <c:pt idx="7">
                    <c:v>0.08</c:v>
                  </c:pt>
                  <c:pt idx="8">
                    <c:v>0.13</c:v>
                  </c:pt>
                  <c:pt idx="9">
                    <c:v>0.05</c:v>
                  </c:pt>
                  <c:pt idx="10">
                    <c:v>0.13</c:v>
                  </c:pt>
                  <c:pt idx="11">
                    <c:v>0.14000000000000001</c:v>
                  </c:pt>
                  <c:pt idx="12">
                    <c:v>0.26</c:v>
                  </c:pt>
                  <c:pt idx="13">
                    <c:v>0.18</c:v>
                  </c:pt>
                  <c:pt idx="14">
                    <c:v>0.1</c:v>
                  </c:pt>
                  <c:pt idx="15">
                    <c:v>0.11</c:v>
                  </c:pt>
                  <c:pt idx="16">
                    <c:v>0.18</c:v>
                  </c:pt>
                </c:numCache>
              </c:numRef>
            </c:minus>
            <c:spPr>
              <a:noFill/>
              <a:ln w="9525" cap="flat" cmpd="sng" algn="ctr">
                <a:solidFill>
                  <a:schemeClr val="tx1"/>
                </a:solidFill>
                <a:round/>
              </a:ln>
              <a:effectLst/>
            </c:spPr>
          </c:errBars>
          <c:cat>
            <c:strRef>
              <c:f>Sheet6!$A$43:$A$59</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Sheet6!$B$43:$B$59</c:f>
              <c:numCache>
                <c:formatCode>0.00</c:formatCode>
                <c:ptCount val="17"/>
                <c:pt idx="0">
                  <c:v>84.75</c:v>
                </c:pt>
                <c:pt idx="1">
                  <c:v>83.21</c:v>
                </c:pt>
                <c:pt idx="2">
                  <c:v>81.63</c:v>
                </c:pt>
                <c:pt idx="3">
                  <c:v>82.3</c:v>
                </c:pt>
                <c:pt idx="4">
                  <c:v>82.05</c:v>
                </c:pt>
                <c:pt idx="5">
                  <c:v>82.48</c:v>
                </c:pt>
                <c:pt idx="6">
                  <c:v>83.78</c:v>
                </c:pt>
                <c:pt idx="7">
                  <c:v>87.48</c:v>
                </c:pt>
                <c:pt idx="8">
                  <c:v>82.53</c:v>
                </c:pt>
                <c:pt idx="9">
                  <c:v>83.25</c:v>
                </c:pt>
                <c:pt idx="10">
                  <c:v>81.739999999999995</c:v>
                </c:pt>
                <c:pt idx="11">
                  <c:v>83.14</c:v>
                </c:pt>
                <c:pt idx="12">
                  <c:v>83.09</c:v>
                </c:pt>
                <c:pt idx="13">
                  <c:v>81.48</c:v>
                </c:pt>
                <c:pt idx="14">
                  <c:v>83.28</c:v>
                </c:pt>
                <c:pt idx="15">
                  <c:v>81.52</c:v>
                </c:pt>
                <c:pt idx="16">
                  <c:v>83.07</c:v>
                </c:pt>
              </c:numCache>
            </c:numRef>
          </c:val>
          <c:extLst>
            <c:ext xmlns:c16="http://schemas.microsoft.com/office/drawing/2014/chart" uri="{C3380CC4-5D6E-409C-BE32-E72D297353CC}">
              <c16:uniqueId val="{00000000-A2CA-4973-BA09-FB58D5A3C3C5}"/>
            </c:ext>
          </c:extLst>
        </c:ser>
        <c:dLbls>
          <c:showLegendKey val="0"/>
          <c:showVal val="0"/>
          <c:showCatName val="0"/>
          <c:showSerName val="0"/>
          <c:showPercent val="0"/>
          <c:showBubbleSize val="0"/>
        </c:dLbls>
        <c:gapWidth val="219"/>
        <c:overlap val="-27"/>
        <c:axId val="222920152"/>
        <c:axId val="222921720"/>
      </c:barChart>
      <c:catAx>
        <c:axId val="222920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1282810992499458"/>
              <c:y val="0.87891679598444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2921720"/>
        <c:crosses val="autoZero"/>
        <c:auto val="1"/>
        <c:lblAlgn val="ctr"/>
        <c:lblOffset val="100"/>
        <c:noMultiLvlLbl val="0"/>
      </c:catAx>
      <c:valAx>
        <c:axId val="222921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Volatile</a:t>
                </a:r>
                <a:r>
                  <a:rPr lang="en-US" baseline="0">
                    <a:solidFill>
                      <a:schemeClr val="tx1"/>
                    </a:solidFill>
                    <a:latin typeface="Times New Roman" panose="02020603050405020304" pitchFamily="18" charset="0"/>
                    <a:cs typeface="Times New Roman" panose="02020603050405020304" pitchFamily="18" charset="0"/>
                  </a:rPr>
                  <a:t> matter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2920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8317171431415"/>
          <c:y val="3.9215686274509803E-2"/>
          <c:w val="0.85454204451988414"/>
          <c:h val="0.59453450671607222"/>
        </c:manualLayout>
      </c:layout>
      <c:barChart>
        <c:barDir val="col"/>
        <c:grouping val="clustered"/>
        <c:varyColors val="0"/>
        <c:ser>
          <c:idx val="0"/>
          <c:order val="0"/>
          <c:tx>
            <c:strRef>
              <c:f>Sheet6!$B$63</c:f>
              <c:strCache>
                <c:ptCount val="1"/>
                <c:pt idx="0">
                  <c:v>Fixed carbon (%)</c:v>
                </c:pt>
              </c:strCache>
            </c:strRef>
          </c:tx>
          <c:spPr>
            <a:solidFill>
              <a:srgbClr val="66FF33"/>
            </a:solidFill>
            <a:ln>
              <a:noFill/>
            </a:ln>
            <a:effectLst/>
          </c:spPr>
          <c:invertIfNegative val="0"/>
          <c:errBars>
            <c:errBarType val="both"/>
            <c:errValType val="cust"/>
            <c:noEndCap val="0"/>
            <c:plus>
              <c:numRef>
                <c:f>Sheet6!$C$64:$C$80</c:f>
                <c:numCache>
                  <c:formatCode>General</c:formatCode>
                  <c:ptCount val="17"/>
                  <c:pt idx="0">
                    <c:v>0.2</c:v>
                  </c:pt>
                  <c:pt idx="1">
                    <c:v>0.33</c:v>
                  </c:pt>
                  <c:pt idx="2">
                    <c:v>0.06</c:v>
                  </c:pt>
                  <c:pt idx="3">
                    <c:v>0.09</c:v>
                  </c:pt>
                  <c:pt idx="4">
                    <c:v>0.05</c:v>
                  </c:pt>
                  <c:pt idx="5">
                    <c:v>0.15</c:v>
                  </c:pt>
                  <c:pt idx="6">
                    <c:v>0.16</c:v>
                  </c:pt>
                  <c:pt idx="7">
                    <c:v>0.13</c:v>
                  </c:pt>
                  <c:pt idx="8">
                    <c:v>0.1</c:v>
                  </c:pt>
                  <c:pt idx="9">
                    <c:v>0.13</c:v>
                  </c:pt>
                  <c:pt idx="10">
                    <c:v>0.09</c:v>
                  </c:pt>
                  <c:pt idx="11">
                    <c:v>0.13</c:v>
                  </c:pt>
                  <c:pt idx="12">
                    <c:v>0.18</c:v>
                  </c:pt>
                  <c:pt idx="13">
                    <c:v>0.14000000000000001</c:v>
                  </c:pt>
                  <c:pt idx="14">
                    <c:v>0.08</c:v>
                  </c:pt>
                  <c:pt idx="15">
                    <c:v>0.18</c:v>
                  </c:pt>
                  <c:pt idx="16">
                    <c:v>0.11</c:v>
                  </c:pt>
                </c:numCache>
              </c:numRef>
            </c:plus>
            <c:minus>
              <c:numRef>
                <c:f>Sheet6!$C$64:$C$80</c:f>
                <c:numCache>
                  <c:formatCode>General</c:formatCode>
                  <c:ptCount val="17"/>
                  <c:pt idx="0">
                    <c:v>0.2</c:v>
                  </c:pt>
                  <c:pt idx="1">
                    <c:v>0.33</c:v>
                  </c:pt>
                  <c:pt idx="2">
                    <c:v>0.06</c:v>
                  </c:pt>
                  <c:pt idx="3">
                    <c:v>0.09</c:v>
                  </c:pt>
                  <c:pt idx="4">
                    <c:v>0.05</c:v>
                  </c:pt>
                  <c:pt idx="5">
                    <c:v>0.15</c:v>
                  </c:pt>
                  <c:pt idx="6">
                    <c:v>0.16</c:v>
                  </c:pt>
                  <c:pt idx="7">
                    <c:v>0.13</c:v>
                  </c:pt>
                  <c:pt idx="8">
                    <c:v>0.1</c:v>
                  </c:pt>
                  <c:pt idx="9">
                    <c:v>0.13</c:v>
                  </c:pt>
                  <c:pt idx="10">
                    <c:v>0.09</c:v>
                  </c:pt>
                  <c:pt idx="11">
                    <c:v>0.13</c:v>
                  </c:pt>
                  <c:pt idx="12">
                    <c:v>0.18</c:v>
                  </c:pt>
                  <c:pt idx="13">
                    <c:v>0.14000000000000001</c:v>
                  </c:pt>
                  <c:pt idx="14">
                    <c:v>0.08</c:v>
                  </c:pt>
                  <c:pt idx="15">
                    <c:v>0.18</c:v>
                  </c:pt>
                  <c:pt idx="16">
                    <c:v>0.11</c:v>
                  </c:pt>
                </c:numCache>
              </c:numRef>
            </c:minus>
            <c:spPr>
              <a:noFill/>
              <a:ln w="9525" cap="flat" cmpd="sng" algn="ctr">
                <a:solidFill>
                  <a:schemeClr val="tx1"/>
                </a:solidFill>
                <a:round/>
              </a:ln>
              <a:effectLst/>
            </c:spPr>
          </c:errBars>
          <c:cat>
            <c:strRef>
              <c:f>Sheet6!$A$64:$A$80</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Sheet6!$B$64:$B$80</c:f>
              <c:numCache>
                <c:formatCode>General</c:formatCode>
                <c:ptCount val="17"/>
                <c:pt idx="0">
                  <c:v>14.56</c:v>
                </c:pt>
                <c:pt idx="1">
                  <c:v>15.94</c:v>
                </c:pt>
                <c:pt idx="2">
                  <c:v>15.96</c:v>
                </c:pt>
                <c:pt idx="3">
                  <c:v>16.440000000000001</c:v>
                </c:pt>
                <c:pt idx="4">
                  <c:v>15.72</c:v>
                </c:pt>
                <c:pt idx="5">
                  <c:v>16.510000000000002</c:v>
                </c:pt>
                <c:pt idx="6">
                  <c:v>15.24</c:v>
                </c:pt>
                <c:pt idx="7">
                  <c:v>15.77</c:v>
                </c:pt>
                <c:pt idx="8">
                  <c:v>14.99</c:v>
                </c:pt>
                <c:pt idx="9">
                  <c:v>15.77</c:v>
                </c:pt>
                <c:pt idx="10">
                  <c:v>17.29</c:v>
                </c:pt>
                <c:pt idx="11">
                  <c:v>17.16</c:v>
                </c:pt>
                <c:pt idx="12">
                  <c:v>16.059999999999999</c:v>
                </c:pt>
                <c:pt idx="13">
                  <c:v>15.54</c:v>
                </c:pt>
                <c:pt idx="14">
                  <c:v>11.35</c:v>
                </c:pt>
                <c:pt idx="15">
                  <c:v>16.059999999999999</c:v>
                </c:pt>
                <c:pt idx="16">
                  <c:v>17.329999999999998</c:v>
                </c:pt>
              </c:numCache>
            </c:numRef>
          </c:val>
          <c:extLst>
            <c:ext xmlns:c16="http://schemas.microsoft.com/office/drawing/2014/chart" uri="{C3380CC4-5D6E-409C-BE32-E72D297353CC}">
              <c16:uniqueId val="{00000000-1203-4972-91B0-92E43A5592EA}"/>
            </c:ext>
          </c:extLst>
        </c:ser>
        <c:dLbls>
          <c:showLegendKey val="0"/>
          <c:showVal val="0"/>
          <c:showCatName val="0"/>
          <c:showSerName val="0"/>
          <c:showPercent val="0"/>
          <c:showBubbleSize val="0"/>
        </c:dLbls>
        <c:gapWidth val="219"/>
        <c:overlap val="-27"/>
        <c:axId val="222918976"/>
        <c:axId val="222919760"/>
      </c:barChart>
      <c:catAx>
        <c:axId val="222918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1062651599687766"/>
              <c:y val="0.85714285714285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2919760"/>
        <c:crosses val="autoZero"/>
        <c:auto val="1"/>
        <c:lblAlgn val="ctr"/>
        <c:lblOffset val="100"/>
        <c:noMultiLvlLbl val="0"/>
      </c:catAx>
      <c:valAx>
        <c:axId val="222919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Fixed</a:t>
                </a:r>
                <a:r>
                  <a:rPr lang="en-US" baseline="0">
                    <a:solidFill>
                      <a:schemeClr val="tx1"/>
                    </a:solidFill>
                    <a:latin typeface="Times New Roman" panose="02020603050405020304" pitchFamily="18" charset="0"/>
                    <a:cs typeface="Times New Roman" panose="02020603050405020304" pitchFamily="18" charset="0"/>
                  </a:rPr>
                  <a:t> carbon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291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Sheet6!$B$83</c:f>
              <c:strCache>
                <c:ptCount val="1"/>
                <c:pt idx="0">
                  <c:v>Calorific value </c:v>
                </c:pt>
              </c:strCache>
            </c:strRef>
          </c:tx>
          <c:spPr>
            <a:solidFill>
              <a:srgbClr val="FFFF00"/>
            </a:solidFill>
            <a:ln>
              <a:noFill/>
            </a:ln>
            <a:effectLst/>
          </c:spPr>
          <c:invertIfNegative val="0"/>
          <c:errBars>
            <c:errBarType val="both"/>
            <c:errValType val="cust"/>
            <c:noEndCap val="0"/>
            <c:plus>
              <c:numRef>
                <c:f>Sheet6!$D$84:$D$100</c:f>
                <c:numCache>
                  <c:formatCode>General</c:formatCode>
                  <c:ptCount val="17"/>
                  <c:pt idx="0">
                    <c:v>0.03</c:v>
                  </c:pt>
                  <c:pt idx="1">
                    <c:v>0.04</c:v>
                  </c:pt>
                  <c:pt idx="2">
                    <c:v>0.02</c:v>
                  </c:pt>
                  <c:pt idx="3">
                    <c:v>0.3</c:v>
                  </c:pt>
                  <c:pt idx="4">
                    <c:v>0.03</c:v>
                  </c:pt>
                  <c:pt idx="5">
                    <c:v>0.05</c:v>
                  </c:pt>
                  <c:pt idx="6">
                    <c:v>0.04</c:v>
                  </c:pt>
                  <c:pt idx="7">
                    <c:v>0.05</c:v>
                  </c:pt>
                  <c:pt idx="8">
                    <c:v>0.02</c:v>
                  </c:pt>
                  <c:pt idx="9">
                    <c:v>7.0000000000000007E-2</c:v>
                  </c:pt>
                  <c:pt idx="10">
                    <c:v>0.04</c:v>
                  </c:pt>
                  <c:pt idx="11">
                    <c:v>0.03</c:v>
                  </c:pt>
                  <c:pt idx="12">
                    <c:v>0.03</c:v>
                  </c:pt>
                  <c:pt idx="13">
                    <c:v>0.04</c:v>
                  </c:pt>
                  <c:pt idx="14">
                    <c:v>0.06</c:v>
                  </c:pt>
                  <c:pt idx="15">
                    <c:v>0.22</c:v>
                  </c:pt>
                  <c:pt idx="16">
                    <c:v>0.08</c:v>
                  </c:pt>
                </c:numCache>
              </c:numRef>
            </c:plus>
            <c:minus>
              <c:numRef>
                <c:f>Sheet6!$D$84:$D$100</c:f>
                <c:numCache>
                  <c:formatCode>General</c:formatCode>
                  <c:ptCount val="17"/>
                  <c:pt idx="0">
                    <c:v>0.03</c:v>
                  </c:pt>
                  <c:pt idx="1">
                    <c:v>0.04</c:v>
                  </c:pt>
                  <c:pt idx="2">
                    <c:v>0.02</c:v>
                  </c:pt>
                  <c:pt idx="3">
                    <c:v>0.3</c:v>
                  </c:pt>
                  <c:pt idx="4">
                    <c:v>0.03</c:v>
                  </c:pt>
                  <c:pt idx="5">
                    <c:v>0.05</c:v>
                  </c:pt>
                  <c:pt idx="6">
                    <c:v>0.04</c:v>
                  </c:pt>
                  <c:pt idx="7">
                    <c:v>0.05</c:v>
                  </c:pt>
                  <c:pt idx="8">
                    <c:v>0.02</c:v>
                  </c:pt>
                  <c:pt idx="9">
                    <c:v>7.0000000000000007E-2</c:v>
                  </c:pt>
                  <c:pt idx="10">
                    <c:v>0.04</c:v>
                  </c:pt>
                  <c:pt idx="11">
                    <c:v>0.03</c:v>
                  </c:pt>
                  <c:pt idx="12">
                    <c:v>0.03</c:v>
                  </c:pt>
                  <c:pt idx="13">
                    <c:v>0.04</c:v>
                  </c:pt>
                  <c:pt idx="14">
                    <c:v>0.06</c:v>
                  </c:pt>
                  <c:pt idx="15">
                    <c:v>0.22</c:v>
                  </c:pt>
                  <c:pt idx="16">
                    <c:v>0.08</c:v>
                  </c:pt>
                </c:numCache>
              </c:numRef>
            </c:minus>
            <c:spPr>
              <a:noFill/>
              <a:ln w="9525" cap="flat" cmpd="sng" algn="ctr">
                <a:solidFill>
                  <a:schemeClr val="tx1"/>
                </a:solidFill>
                <a:round/>
              </a:ln>
              <a:effectLst/>
            </c:spPr>
          </c:errBars>
          <c:cat>
            <c:strRef>
              <c:f>Sheet6!$A$84:$A$100</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Sheet6!$B$84:$B$100</c:f>
              <c:numCache>
                <c:formatCode>0.00</c:formatCode>
                <c:ptCount val="17"/>
                <c:pt idx="0">
                  <c:v>19.07</c:v>
                </c:pt>
                <c:pt idx="1">
                  <c:v>17.75</c:v>
                </c:pt>
                <c:pt idx="2">
                  <c:v>17.09</c:v>
                </c:pt>
                <c:pt idx="3">
                  <c:v>16.760000000000002</c:v>
                </c:pt>
                <c:pt idx="4">
                  <c:v>19.23</c:v>
                </c:pt>
                <c:pt idx="5">
                  <c:v>18.14</c:v>
                </c:pt>
                <c:pt idx="6">
                  <c:v>19.21</c:v>
                </c:pt>
                <c:pt idx="7">
                  <c:v>17.2</c:v>
                </c:pt>
                <c:pt idx="8">
                  <c:v>17.420000000000002</c:v>
                </c:pt>
                <c:pt idx="9">
                  <c:v>19.239999999999998</c:v>
                </c:pt>
                <c:pt idx="10">
                  <c:v>19.29</c:v>
                </c:pt>
                <c:pt idx="11">
                  <c:v>17.23</c:v>
                </c:pt>
                <c:pt idx="12">
                  <c:v>17.559999999999999</c:v>
                </c:pt>
                <c:pt idx="13">
                  <c:v>17.329999999999998</c:v>
                </c:pt>
                <c:pt idx="14">
                  <c:v>17.149999999999999</c:v>
                </c:pt>
                <c:pt idx="15">
                  <c:v>18.62</c:v>
                </c:pt>
                <c:pt idx="16">
                  <c:v>19.34</c:v>
                </c:pt>
              </c:numCache>
            </c:numRef>
          </c:val>
          <c:extLst>
            <c:ext xmlns:c16="http://schemas.microsoft.com/office/drawing/2014/chart" uri="{C3380CC4-5D6E-409C-BE32-E72D297353CC}">
              <c16:uniqueId val="{00000000-1486-45CB-B8E3-800EE7F3F5C7}"/>
            </c:ext>
          </c:extLst>
        </c:ser>
        <c:ser>
          <c:idx val="1"/>
          <c:order val="1"/>
          <c:tx>
            <c:strRef>
              <c:f>Sheet6!$C$83</c:f>
              <c:strCache>
                <c:ptCount val="1"/>
                <c:pt idx="0">
                  <c:v>Higher heating value </c:v>
                </c:pt>
              </c:strCache>
            </c:strRef>
          </c:tx>
          <c:spPr>
            <a:solidFill>
              <a:schemeClr val="accent2"/>
            </a:solidFill>
            <a:ln>
              <a:noFill/>
            </a:ln>
            <a:effectLst/>
          </c:spPr>
          <c:invertIfNegative val="0"/>
          <c:errBars>
            <c:errBarType val="both"/>
            <c:errValType val="cust"/>
            <c:noEndCap val="0"/>
            <c:plus>
              <c:numRef>
                <c:f>Sheet6!$E$84:$E$100</c:f>
                <c:numCache>
                  <c:formatCode>General</c:formatCode>
                  <c:ptCount val="17"/>
                  <c:pt idx="0">
                    <c:v>0.01</c:v>
                  </c:pt>
                  <c:pt idx="1">
                    <c:v>0.09</c:v>
                  </c:pt>
                  <c:pt idx="2">
                    <c:v>0.02</c:v>
                  </c:pt>
                  <c:pt idx="3">
                    <c:v>0.05</c:v>
                  </c:pt>
                  <c:pt idx="4">
                    <c:v>0.03</c:v>
                  </c:pt>
                  <c:pt idx="5">
                    <c:v>0.01</c:v>
                  </c:pt>
                  <c:pt idx="6">
                    <c:v>0.01</c:v>
                  </c:pt>
                  <c:pt idx="7">
                    <c:v>0.02</c:v>
                  </c:pt>
                  <c:pt idx="8">
                    <c:v>0.04</c:v>
                  </c:pt>
                  <c:pt idx="9">
                    <c:v>0.04</c:v>
                  </c:pt>
                  <c:pt idx="10">
                    <c:v>0.04</c:v>
                  </c:pt>
                  <c:pt idx="11">
                    <c:v>0.05</c:v>
                  </c:pt>
                  <c:pt idx="12">
                    <c:v>0.04</c:v>
                  </c:pt>
                  <c:pt idx="13">
                    <c:v>0.06</c:v>
                  </c:pt>
                  <c:pt idx="14">
                    <c:v>0.02</c:v>
                  </c:pt>
                  <c:pt idx="15">
                    <c:v>0.06</c:v>
                  </c:pt>
                  <c:pt idx="16">
                    <c:v>0.05</c:v>
                  </c:pt>
                </c:numCache>
              </c:numRef>
            </c:plus>
            <c:minus>
              <c:numRef>
                <c:f>Sheet6!$E$84:$E$100</c:f>
                <c:numCache>
                  <c:formatCode>General</c:formatCode>
                  <c:ptCount val="17"/>
                  <c:pt idx="0">
                    <c:v>0.01</c:v>
                  </c:pt>
                  <c:pt idx="1">
                    <c:v>0.09</c:v>
                  </c:pt>
                  <c:pt idx="2">
                    <c:v>0.02</c:v>
                  </c:pt>
                  <c:pt idx="3">
                    <c:v>0.05</c:v>
                  </c:pt>
                  <c:pt idx="4">
                    <c:v>0.03</c:v>
                  </c:pt>
                  <c:pt idx="5">
                    <c:v>0.01</c:v>
                  </c:pt>
                  <c:pt idx="6">
                    <c:v>0.01</c:v>
                  </c:pt>
                  <c:pt idx="7">
                    <c:v>0.02</c:v>
                  </c:pt>
                  <c:pt idx="8">
                    <c:v>0.04</c:v>
                  </c:pt>
                  <c:pt idx="9">
                    <c:v>0.04</c:v>
                  </c:pt>
                  <c:pt idx="10">
                    <c:v>0.04</c:v>
                  </c:pt>
                  <c:pt idx="11">
                    <c:v>0.05</c:v>
                  </c:pt>
                  <c:pt idx="12">
                    <c:v>0.04</c:v>
                  </c:pt>
                  <c:pt idx="13">
                    <c:v>0.06</c:v>
                  </c:pt>
                  <c:pt idx="14">
                    <c:v>0.02</c:v>
                  </c:pt>
                  <c:pt idx="15">
                    <c:v>0.06</c:v>
                  </c:pt>
                  <c:pt idx="16">
                    <c:v>0.05</c:v>
                  </c:pt>
                </c:numCache>
              </c:numRef>
            </c:minus>
            <c:spPr>
              <a:noFill/>
              <a:ln w="9525" cap="flat" cmpd="sng" algn="ctr">
                <a:solidFill>
                  <a:schemeClr val="tx1"/>
                </a:solidFill>
                <a:round/>
              </a:ln>
              <a:effectLst/>
            </c:spPr>
          </c:errBars>
          <c:cat>
            <c:strRef>
              <c:f>Sheet6!$A$84:$A$100</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Sheet6!$C$84:$C$100</c:f>
              <c:numCache>
                <c:formatCode>0.00</c:formatCode>
                <c:ptCount val="17"/>
                <c:pt idx="0">
                  <c:v>19.82</c:v>
                </c:pt>
                <c:pt idx="1">
                  <c:v>19.87</c:v>
                </c:pt>
                <c:pt idx="2">
                  <c:v>19.579999999999998</c:v>
                </c:pt>
                <c:pt idx="3">
                  <c:v>19.89</c:v>
                </c:pt>
                <c:pt idx="4">
                  <c:v>19.59</c:v>
                </c:pt>
                <c:pt idx="5">
                  <c:v>19.87</c:v>
                </c:pt>
                <c:pt idx="6">
                  <c:v>19.8</c:v>
                </c:pt>
                <c:pt idx="7">
                  <c:v>20.64</c:v>
                </c:pt>
                <c:pt idx="8">
                  <c:v>19.5</c:v>
                </c:pt>
                <c:pt idx="9">
                  <c:v>19.84</c:v>
                </c:pt>
                <c:pt idx="10">
                  <c:v>19.93</c:v>
                </c:pt>
                <c:pt idx="11">
                  <c:v>20.170000000000002</c:v>
                </c:pt>
                <c:pt idx="12">
                  <c:v>19.88</c:v>
                </c:pt>
                <c:pt idx="13">
                  <c:v>19.440000000000001</c:v>
                </c:pt>
                <c:pt idx="14">
                  <c:v>18.73</c:v>
                </c:pt>
                <c:pt idx="15">
                  <c:v>19.579999999999998</c:v>
                </c:pt>
                <c:pt idx="16">
                  <c:v>20.2</c:v>
                </c:pt>
              </c:numCache>
            </c:numRef>
          </c:val>
          <c:extLst>
            <c:ext xmlns:c16="http://schemas.microsoft.com/office/drawing/2014/chart" uri="{C3380CC4-5D6E-409C-BE32-E72D297353CC}">
              <c16:uniqueId val="{00000001-1486-45CB-B8E3-800EE7F3F5C7}"/>
            </c:ext>
          </c:extLst>
        </c:ser>
        <c:dLbls>
          <c:showLegendKey val="0"/>
          <c:showVal val="0"/>
          <c:showCatName val="0"/>
          <c:showSerName val="0"/>
          <c:showPercent val="0"/>
          <c:showBubbleSize val="0"/>
        </c:dLbls>
        <c:gapWidth val="219"/>
        <c:overlap val="-27"/>
        <c:axId val="222918192"/>
        <c:axId val="221790080"/>
      </c:barChart>
      <c:catAx>
        <c:axId val="222918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1790080"/>
        <c:crosses val="autoZero"/>
        <c:auto val="1"/>
        <c:lblAlgn val="ctr"/>
        <c:lblOffset val="100"/>
        <c:noMultiLvlLbl val="0"/>
      </c:catAx>
      <c:valAx>
        <c:axId val="22179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solidFill>
                      <a:schemeClr val="tx1"/>
                    </a:solidFill>
                    <a:latin typeface="Times New Roman" panose="02020603050405020304" pitchFamily="18" charset="0"/>
                    <a:cs typeface="Times New Roman" panose="02020603050405020304" pitchFamily="18" charset="0"/>
                  </a:rPr>
                  <a:t> MJ kg</a:t>
                </a:r>
                <a:r>
                  <a:rPr lang="en-US" baseline="30000">
                    <a:solidFill>
                      <a:schemeClr val="tx1"/>
                    </a:solidFill>
                    <a:latin typeface="Times New Roman" panose="02020603050405020304" pitchFamily="18" charset="0"/>
                    <a:cs typeface="Times New Roman" panose="02020603050405020304" pitchFamily="18" charset="0"/>
                  </a:rPr>
                  <a:t>-1</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2918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62729658792652"/>
          <c:y val="5.5979643765903309E-2"/>
          <c:w val="0.80581714785651781"/>
          <c:h val="0.65203261806014701"/>
        </c:manualLayout>
      </c:layout>
      <c:barChart>
        <c:barDir val="col"/>
        <c:grouping val="clustered"/>
        <c:varyColors val="0"/>
        <c:ser>
          <c:idx val="0"/>
          <c:order val="0"/>
          <c:tx>
            <c:strRef>
              <c:f>Sheet6!$B$103</c:f>
              <c:strCache>
                <c:ptCount val="1"/>
                <c:pt idx="0">
                  <c:v>FVI</c:v>
                </c:pt>
              </c:strCache>
            </c:strRef>
          </c:tx>
          <c:spPr>
            <a:solidFill>
              <a:srgbClr val="FF0000"/>
            </a:solidFill>
            <a:ln>
              <a:noFill/>
            </a:ln>
            <a:effectLst/>
          </c:spPr>
          <c:invertIfNegative val="0"/>
          <c:errBars>
            <c:errBarType val="both"/>
            <c:errValType val="cust"/>
            <c:noEndCap val="0"/>
            <c:plus>
              <c:numRef>
                <c:f>Sheet6!$C$104:$C$120</c:f>
                <c:numCache>
                  <c:formatCode>General</c:formatCode>
                  <c:ptCount val="17"/>
                  <c:pt idx="0">
                    <c:v>246.67</c:v>
                  </c:pt>
                  <c:pt idx="1">
                    <c:v>19.84</c:v>
                  </c:pt>
                  <c:pt idx="2">
                    <c:v>25.49</c:v>
                  </c:pt>
                  <c:pt idx="3">
                    <c:v>36.35</c:v>
                  </c:pt>
                  <c:pt idx="4">
                    <c:v>96.92</c:v>
                  </c:pt>
                  <c:pt idx="5">
                    <c:v>23.26</c:v>
                  </c:pt>
                  <c:pt idx="6">
                    <c:v>37.15</c:v>
                  </c:pt>
                  <c:pt idx="7">
                    <c:v>68.040000000000006</c:v>
                  </c:pt>
                  <c:pt idx="8">
                    <c:v>92.7</c:v>
                  </c:pt>
                  <c:pt idx="9">
                    <c:v>142.22999999999999</c:v>
                  </c:pt>
                  <c:pt idx="10">
                    <c:v>70.11</c:v>
                  </c:pt>
                  <c:pt idx="11">
                    <c:v>19.329999999999998</c:v>
                  </c:pt>
                  <c:pt idx="12">
                    <c:v>59.22</c:v>
                  </c:pt>
                  <c:pt idx="13">
                    <c:v>13.46</c:v>
                  </c:pt>
                  <c:pt idx="14">
                    <c:v>75.069999999999993</c:v>
                  </c:pt>
                  <c:pt idx="15">
                    <c:v>20.260000000000002</c:v>
                  </c:pt>
                  <c:pt idx="16">
                    <c:v>69.42</c:v>
                  </c:pt>
                </c:numCache>
              </c:numRef>
            </c:plus>
            <c:minus>
              <c:numRef>
                <c:f>Sheet6!$C$104:$C$120</c:f>
                <c:numCache>
                  <c:formatCode>General</c:formatCode>
                  <c:ptCount val="17"/>
                  <c:pt idx="0">
                    <c:v>246.67</c:v>
                  </c:pt>
                  <c:pt idx="1">
                    <c:v>19.84</c:v>
                  </c:pt>
                  <c:pt idx="2">
                    <c:v>25.49</c:v>
                  </c:pt>
                  <c:pt idx="3">
                    <c:v>36.35</c:v>
                  </c:pt>
                  <c:pt idx="4">
                    <c:v>96.92</c:v>
                  </c:pt>
                  <c:pt idx="5">
                    <c:v>23.26</c:v>
                  </c:pt>
                  <c:pt idx="6">
                    <c:v>37.15</c:v>
                  </c:pt>
                  <c:pt idx="7">
                    <c:v>68.040000000000006</c:v>
                  </c:pt>
                  <c:pt idx="8">
                    <c:v>92.7</c:v>
                  </c:pt>
                  <c:pt idx="9">
                    <c:v>142.22999999999999</c:v>
                  </c:pt>
                  <c:pt idx="10">
                    <c:v>70.11</c:v>
                  </c:pt>
                  <c:pt idx="11">
                    <c:v>19.329999999999998</c:v>
                  </c:pt>
                  <c:pt idx="12">
                    <c:v>59.22</c:v>
                  </c:pt>
                  <c:pt idx="13">
                    <c:v>13.46</c:v>
                  </c:pt>
                  <c:pt idx="14">
                    <c:v>75.069999999999993</c:v>
                  </c:pt>
                  <c:pt idx="15">
                    <c:v>20.260000000000002</c:v>
                  </c:pt>
                  <c:pt idx="16">
                    <c:v>69.42</c:v>
                  </c:pt>
                </c:numCache>
              </c:numRef>
            </c:minus>
            <c:spPr>
              <a:noFill/>
              <a:ln w="9525" cap="flat" cmpd="sng" algn="ctr">
                <a:solidFill>
                  <a:schemeClr val="tx1"/>
                </a:solidFill>
                <a:round/>
              </a:ln>
              <a:effectLst/>
            </c:spPr>
          </c:errBars>
          <c:cat>
            <c:strRef>
              <c:f>Sheet6!$A$104:$A$120</c:f>
              <c:strCache>
                <c:ptCount val="17"/>
                <c:pt idx="0">
                  <c:v>MI- 0674</c:v>
                </c:pt>
                <c:pt idx="1">
                  <c:v>MI- 0665</c:v>
                </c:pt>
                <c:pt idx="2">
                  <c:v>ME- 0174</c:v>
                </c:pt>
                <c:pt idx="3">
                  <c:v>MI- 0145</c:v>
                </c:pt>
                <c:pt idx="4">
                  <c:v>MI-0211</c:v>
                </c:pt>
                <c:pt idx="5">
                  <c:v>ME- 0006</c:v>
                </c:pt>
                <c:pt idx="6">
                  <c:v>MI- 0532</c:v>
                </c:pt>
                <c:pt idx="7">
                  <c:v>MI- 0828</c:v>
                </c:pt>
                <c:pt idx="8">
                  <c:v>MI- 0783</c:v>
                </c:pt>
                <c:pt idx="9">
                  <c:v>ME- 0168</c:v>
                </c:pt>
                <c:pt idx="10">
                  <c:v>MI- 0300</c:v>
                </c:pt>
                <c:pt idx="11">
                  <c:v>ME- 0169</c:v>
                </c:pt>
                <c:pt idx="12">
                  <c:v>MI- 0549</c:v>
                </c:pt>
                <c:pt idx="13">
                  <c:v>MI- 0632</c:v>
                </c:pt>
                <c:pt idx="14">
                  <c:v>MI- 0034</c:v>
                </c:pt>
                <c:pt idx="15">
                  <c:v>MI- 0818</c:v>
                </c:pt>
                <c:pt idx="16">
                  <c:v>MI- 0845</c:v>
                </c:pt>
              </c:strCache>
            </c:strRef>
          </c:cat>
          <c:val>
            <c:numRef>
              <c:f>Sheet6!$B$104:$B$120</c:f>
              <c:numCache>
                <c:formatCode>0.00</c:formatCode>
                <c:ptCount val="17"/>
                <c:pt idx="0">
                  <c:v>1933.65</c:v>
                </c:pt>
                <c:pt idx="1">
                  <c:v>1385.39</c:v>
                </c:pt>
                <c:pt idx="2">
                  <c:v>983.32</c:v>
                </c:pt>
                <c:pt idx="3">
                  <c:v>647.36</c:v>
                </c:pt>
                <c:pt idx="4">
                  <c:v>1004.69</c:v>
                </c:pt>
                <c:pt idx="5">
                  <c:v>1204.42</c:v>
                </c:pt>
                <c:pt idx="6">
                  <c:v>1226.0999999999999</c:v>
                </c:pt>
                <c:pt idx="7">
                  <c:v>924.89</c:v>
                </c:pt>
                <c:pt idx="8">
                  <c:v>717.14</c:v>
                </c:pt>
                <c:pt idx="9">
                  <c:v>1344.37</c:v>
                </c:pt>
                <c:pt idx="10">
                  <c:v>1134.8399999999999</c:v>
                </c:pt>
                <c:pt idx="11">
                  <c:v>857.4</c:v>
                </c:pt>
                <c:pt idx="12">
                  <c:v>1033.52</c:v>
                </c:pt>
                <c:pt idx="13">
                  <c:v>452.88</c:v>
                </c:pt>
                <c:pt idx="14">
                  <c:v>636.84</c:v>
                </c:pt>
                <c:pt idx="15">
                  <c:v>1066.18</c:v>
                </c:pt>
                <c:pt idx="16">
                  <c:v>1504.19</c:v>
                </c:pt>
              </c:numCache>
            </c:numRef>
          </c:val>
          <c:extLst>
            <c:ext xmlns:c16="http://schemas.microsoft.com/office/drawing/2014/chart" uri="{C3380CC4-5D6E-409C-BE32-E72D297353CC}">
              <c16:uniqueId val="{00000000-E2D6-4FE7-BBE1-FDD340F659EF}"/>
            </c:ext>
          </c:extLst>
        </c:ser>
        <c:dLbls>
          <c:showLegendKey val="0"/>
          <c:showVal val="0"/>
          <c:showCatName val="0"/>
          <c:showSerName val="0"/>
          <c:showPercent val="0"/>
          <c:showBubbleSize val="0"/>
        </c:dLbls>
        <c:gapWidth val="219"/>
        <c:overlap val="-27"/>
        <c:axId val="221788904"/>
        <c:axId val="221789296"/>
      </c:barChart>
      <c:catAx>
        <c:axId val="221788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Mulberry</a:t>
                </a:r>
                <a:r>
                  <a:rPr lang="en-US" baseline="0">
                    <a:solidFill>
                      <a:schemeClr val="tx1"/>
                    </a:solidFill>
                    <a:latin typeface="Times New Roman" panose="02020603050405020304" pitchFamily="18" charset="0"/>
                    <a:cs typeface="Times New Roman" panose="02020603050405020304" pitchFamily="18" charset="0"/>
                  </a:rPr>
                  <a:t> clones</a:t>
                </a:r>
                <a:endParaRPr lang="en-US">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2373031496062996"/>
              <c:y val="0.90076335877862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1789296"/>
        <c:crosses val="autoZero"/>
        <c:auto val="1"/>
        <c:lblAlgn val="ctr"/>
        <c:lblOffset val="100"/>
        <c:noMultiLvlLbl val="0"/>
      </c:catAx>
      <c:valAx>
        <c:axId val="221789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FVI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21788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latin typeface="Arial"/>
                <a:ea typeface="Arial"/>
                <a:cs typeface="Arial"/>
              </a:defRPr>
            </a:pPr>
            <a:r>
              <a:rPr lang="en-IN"/>
              <a:t>Variables (axes PC1 and PC2: 49.19 %)</a:t>
            </a:r>
          </a:p>
        </c:rich>
      </c:tx>
      <c:overlay val="0"/>
    </c:title>
    <c:autoTitleDeleted val="0"/>
    <c:plotArea>
      <c:layout>
        <c:manualLayout>
          <c:layoutTarget val="inner"/>
          <c:xMode val="edge"/>
          <c:yMode val="edge"/>
          <c:x val="0.14249256922354905"/>
          <c:y val="0.10239053451651876"/>
          <c:w val="0.80406667709582658"/>
          <c:h val="0.67576511269424644"/>
        </c:manualLayout>
      </c:layout>
      <c:scatterChart>
        <c:scatterStyle val="lineMarker"/>
        <c:varyColors val="0"/>
        <c:ser>
          <c:idx val="0"/>
          <c:order val="0"/>
          <c:tx>
            <c:v>Active variables</c:v>
          </c:tx>
          <c:spPr>
            <a:ln w="19050">
              <a:noFill/>
            </a:ln>
            <a:effectLst/>
          </c:spPr>
          <c:marker>
            <c:symbol val="circle"/>
            <c:size val="3"/>
            <c:spPr>
              <a:solidFill>
                <a:srgbClr val="FF4A46"/>
              </a:solidFill>
              <a:ln>
                <a:solidFill>
                  <a:srgbClr val="FF4A46"/>
                </a:solidFill>
                <a:prstDash val="solid"/>
              </a:ln>
            </c:spPr>
          </c:marker>
          <c:dLbls>
            <c:dLbl>
              <c:idx val="0"/>
              <c:layout>
                <c:manualLayout>
                  <c:x val="-7.7313879882661737E-2"/>
                  <c:y val="1.7647058823529269E-2"/>
                </c:manualLayout>
              </c:layout>
              <c:tx>
                <c:rich>
                  <a:bodyPr/>
                  <a:lstStyle/>
                  <a:p>
                    <a:r>
                      <a:rPr lang="en-US"/>
                      <a:t>MC</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84-479D-9151-254BC645ED4E}"/>
                </c:ext>
              </c:extLst>
            </c:dLbl>
            <c:dLbl>
              <c:idx val="1"/>
              <c:layout>
                <c:manualLayout>
                  <c:x val="-1.9607843137254902E-2"/>
                  <c:y val="1.7647058823529412E-2"/>
                </c:manualLayout>
              </c:layout>
              <c:tx>
                <c:rich>
                  <a:bodyPr/>
                  <a:lstStyle/>
                  <a:p>
                    <a:r>
                      <a:rPr lang="en-US"/>
                      <a:t>BD</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84-479D-9151-254BC645ED4E}"/>
                </c:ext>
              </c:extLst>
            </c:dLbl>
            <c:dLbl>
              <c:idx val="2"/>
              <c:layout>
                <c:manualLayout>
                  <c:x val="-1.9607843137255047E-2"/>
                  <c:y val="1.7647058823529412E-2"/>
                </c:manualLayout>
              </c:layout>
              <c:tx>
                <c:rich>
                  <a:bodyPr/>
                  <a:lstStyle/>
                  <a:p>
                    <a:r>
                      <a:rPr lang="en-US"/>
                      <a:t>BSD</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84-479D-9151-254BC645ED4E}"/>
                </c:ext>
              </c:extLst>
            </c:dLbl>
            <c:dLbl>
              <c:idx val="3"/>
              <c:layout>
                <c:manualLayout>
                  <c:x val="-1.9607843137254902E-2"/>
                  <c:y val="-3.1372549019607912E-2"/>
                </c:manualLayout>
              </c:layout>
              <c:tx>
                <c:rich>
                  <a:bodyPr/>
                  <a:lstStyle/>
                  <a:p>
                    <a:r>
                      <a:rPr lang="en-US"/>
                      <a:t>SG</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84-479D-9151-254BC645ED4E}"/>
                </c:ext>
              </c:extLst>
            </c:dLbl>
            <c:dLbl>
              <c:idx val="4"/>
              <c:layout>
                <c:manualLayout>
                  <c:x val="-1.9607843137254902E-2"/>
                  <c:y val="1.7647058823529412E-2"/>
                </c:manualLayout>
              </c:layout>
              <c:tx>
                <c:rich>
                  <a:bodyPr/>
                  <a:lstStyle/>
                  <a:p>
                    <a:r>
                      <a:rPr lang="en-US"/>
                      <a:t>ABEX</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84-479D-9151-254BC645ED4E}"/>
                </c:ext>
              </c:extLst>
            </c:dLbl>
            <c:dLbl>
              <c:idx val="5"/>
              <c:layout>
                <c:manualLayout>
                  <c:x val="-1.9607843137254902E-2"/>
                  <c:y val="1.7647058823529412E-2"/>
                </c:manualLayout>
              </c:layout>
              <c:tx>
                <c:rich>
                  <a:bodyPr/>
                  <a:lstStyle/>
                  <a:p>
                    <a:r>
                      <a:rPr lang="en-US"/>
                      <a:t>AIL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84-479D-9151-254BC645ED4E}"/>
                </c:ext>
              </c:extLst>
            </c:dLbl>
            <c:dLbl>
              <c:idx val="6"/>
              <c:layout>
                <c:manualLayout>
                  <c:x val="-0.10421584066697545"/>
                  <c:y val="-3.1372549019607843E-2"/>
                </c:manualLayout>
              </c:layout>
              <c:tx>
                <c:rich>
                  <a:bodyPr/>
                  <a:lstStyle/>
                  <a:p>
                    <a:r>
                      <a:rPr lang="en-US"/>
                      <a:t>HOLO</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84-479D-9151-254BC645ED4E}"/>
                </c:ext>
              </c:extLst>
            </c:dLbl>
            <c:dLbl>
              <c:idx val="7"/>
              <c:layout>
                <c:manualLayout>
                  <c:x val="-6.9725490196078432E-2"/>
                  <c:y val="1.7647058823529269E-2"/>
                </c:manualLayout>
              </c:layout>
              <c:tx>
                <c:rich>
                  <a:bodyPr/>
                  <a:lstStyle/>
                  <a:p>
                    <a:r>
                      <a:rPr lang="en-US"/>
                      <a:t>AC</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84-479D-9151-254BC645ED4E}"/>
                </c:ext>
              </c:extLst>
            </c:dLbl>
            <c:dLbl>
              <c:idx val="8"/>
              <c:layout>
                <c:manualLayout>
                  <c:x val="-1.9607705286839062E-2"/>
                  <c:y val="2.7450980392156862E-2"/>
                </c:manualLayout>
              </c:layout>
              <c:tx>
                <c:rich>
                  <a:bodyPr/>
                  <a:lstStyle/>
                  <a:p>
                    <a:r>
                      <a:rPr lang="en-US"/>
                      <a:t>VM</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84-479D-9151-254BC645ED4E}"/>
                </c:ext>
              </c:extLst>
            </c:dLbl>
            <c:dLbl>
              <c:idx val="9"/>
              <c:layout>
                <c:manualLayout>
                  <c:x val="-1.9607843137254902E-2"/>
                  <c:y val="1.7647058823529412E-2"/>
                </c:manualLayout>
              </c:layout>
              <c:tx>
                <c:rich>
                  <a:bodyPr/>
                  <a:lstStyle/>
                  <a:p>
                    <a:r>
                      <a:rPr lang="en-US"/>
                      <a:t>FC</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84-479D-9151-254BC645ED4E}"/>
                </c:ext>
              </c:extLst>
            </c:dLbl>
            <c:dLbl>
              <c:idx val="10"/>
              <c:layout>
                <c:manualLayout>
                  <c:x val="-1.9607843137254902E-2"/>
                  <c:y val="1.7647058823529412E-2"/>
                </c:manualLayout>
              </c:layout>
              <c:tx>
                <c:rich>
                  <a:bodyPr/>
                  <a:lstStyle/>
                  <a:p>
                    <a:r>
                      <a:rPr lang="en-US"/>
                      <a:t>CV</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84-479D-9151-254BC645ED4E}"/>
                </c:ext>
              </c:extLst>
            </c:dLbl>
            <c:dLbl>
              <c:idx val="11"/>
              <c:layout>
                <c:manualLayout>
                  <c:x val="-1.9607843137254975E-2"/>
                  <c:y val="-3.1372549019607843E-2"/>
                </c:manualLayout>
              </c:layout>
              <c:tx>
                <c:rich>
                  <a:bodyPr/>
                  <a:lstStyle/>
                  <a:p>
                    <a:r>
                      <a:rPr lang="en-US"/>
                      <a:t>HHV</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84-479D-9151-254BC645ED4E}"/>
                </c:ext>
              </c:extLst>
            </c:dLbl>
            <c:dLbl>
              <c:idx val="12"/>
              <c:layout>
                <c:manualLayout>
                  <c:x val="-1.9607843137254902E-2"/>
                  <c:y val="-3.1372549019607843E-2"/>
                </c:manualLayout>
              </c:layout>
              <c:tx>
                <c:rich>
                  <a:bodyPr/>
                  <a:lstStyle/>
                  <a:p>
                    <a:r>
                      <a:rPr lang="en-US"/>
                      <a:t>FVI</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84-479D-9151-254BC645ED4E}"/>
                </c:ext>
              </c:extLst>
            </c:dLbl>
            <c:spPr>
              <a:noFill/>
              <a:ln>
                <a:noFill/>
              </a:ln>
              <a:effectLst/>
            </c:spPr>
            <c:txPr>
              <a:bodyPr rot="0" vert="horz" wrap="square" lIns="38100" tIns="19050" rIns="38100" bIns="19050" anchor="ctr">
                <a:spAutoFit/>
              </a:bodyPr>
              <a:lstStyle/>
              <a:p>
                <a:pPr>
                  <a:defRPr sz="700"/>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XLSTAT_20240903_164910_1_HID!$A$1:$A$13</c:f>
              <c:numCache>
                <c:formatCode>General</c:formatCode>
                <c:ptCount val="13"/>
                <c:pt idx="0">
                  <c:v>-0.63401054261434631</c:v>
                </c:pt>
                <c:pt idx="1">
                  <c:v>2.7825055564636523E-2</c:v>
                </c:pt>
                <c:pt idx="2">
                  <c:v>0.58174576432064262</c:v>
                </c:pt>
                <c:pt idx="3">
                  <c:v>0.41430969099611437</c:v>
                </c:pt>
                <c:pt idx="4">
                  <c:v>0.30731130620595049</c:v>
                </c:pt>
                <c:pt idx="5">
                  <c:v>0.51372725299603383</c:v>
                </c:pt>
                <c:pt idx="6">
                  <c:v>-0.61303216402958438</c:v>
                </c:pt>
                <c:pt idx="7">
                  <c:v>-0.7457254997860332</c:v>
                </c:pt>
                <c:pt idx="8">
                  <c:v>0.29976646657894496</c:v>
                </c:pt>
                <c:pt idx="9">
                  <c:v>0.42142019138604514</c:v>
                </c:pt>
                <c:pt idx="10">
                  <c:v>0.76035794411784507</c:v>
                </c:pt>
                <c:pt idx="11">
                  <c:v>0.5651891706685056</c:v>
                </c:pt>
                <c:pt idx="12">
                  <c:v>0.8605901417320776</c:v>
                </c:pt>
              </c:numCache>
            </c:numRef>
          </c:xVal>
          <c:yVal>
            <c:numRef>
              <c:f>XLSTAT_20240903_164910_1_HID!$B$1:$B$13</c:f>
              <c:numCache>
                <c:formatCode>General</c:formatCode>
                <c:ptCount val="13"/>
                <c:pt idx="0">
                  <c:v>-0.18615318189700794</c:v>
                </c:pt>
                <c:pt idx="1">
                  <c:v>-0.85725190962480491</c:v>
                </c:pt>
                <c:pt idx="2">
                  <c:v>-0.37989471927476265</c:v>
                </c:pt>
                <c:pt idx="3">
                  <c:v>0.24343504384459611</c:v>
                </c:pt>
                <c:pt idx="4">
                  <c:v>-8.9080237082643232E-2</c:v>
                </c:pt>
                <c:pt idx="5">
                  <c:v>-0.22473320424884718</c:v>
                </c:pt>
                <c:pt idx="6">
                  <c:v>0.28619081317440181</c:v>
                </c:pt>
                <c:pt idx="7">
                  <c:v>-0.17444380923321923</c:v>
                </c:pt>
                <c:pt idx="8">
                  <c:v>0.91421144106733621</c:v>
                </c:pt>
                <c:pt idx="9">
                  <c:v>-0.33247671259447603</c:v>
                </c:pt>
                <c:pt idx="10">
                  <c:v>-0.2612475750416387</c:v>
                </c:pt>
                <c:pt idx="11">
                  <c:v>0.34262064763688815</c:v>
                </c:pt>
                <c:pt idx="12">
                  <c:v>9.9021836617834813E-2</c:v>
                </c:pt>
              </c:numCache>
            </c:numRef>
          </c:yVal>
          <c:smooth val="0"/>
          <c:extLst>
            <c:ext xmlns:c16="http://schemas.microsoft.com/office/drawing/2014/chart" uri="{C3380CC4-5D6E-409C-BE32-E72D297353CC}">
              <c16:uniqueId val="{0000000D-1584-479D-9151-254BC645ED4E}"/>
            </c:ext>
          </c:extLst>
        </c:ser>
        <c:ser>
          <c:idx val="1"/>
          <c:order val="1"/>
          <c:spPr>
            <a:ln w="3175">
              <a:solidFill>
                <a:srgbClr val="000000"/>
              </a:solidFill>
              <a:prstDash val="solid"/>
            </a:ln>
          </c:spPr>
          <c:marker>
            <c:symbol val="none"/>
          </c:marker>
          <c:xVal>
            <c:numRef>
              <c:f>XLSTAT_20240903_164910_1_HID1!xcirclez1</c:f>
              <c:numCache>
                <c:formatCode>General</c:formatCode>
                <c:ptCount val="500"/>
                <c:pt idx="0">
                  <c:v>-1</c:v>
                </c:pt>
                <c:pt idx="1">
                  <c:v>-0.99992072743481419</c:v>
                </c:pt>
                <c:pt idx="2">
                  <c:v>-0.99968292230753597</c:v>
                </c:pt>
                <c:pt idx="3">
                  <c:v>-0.99928662232101029</c:v>
                </c:pt>
                <c:pt idx="4">
                  <c:v>-0.9987318903066702</c:v>
                </c:pt>
                <c:pt idx="5">
                  <c:v>-0.99801881421457506</c:v>
                </c:pt>
                <c:pt idx="6">
                  <c:v>-0.99714750709946709</c:v>
                </c:pt>
                <c:pt idx="7">
                  <c:v>-0.99611810710284643</c:v>
                </c:pt>
                <c:pt idx="8">
                  <c:v>-0.9949307774310695</c:v>
                </c:pt>
                <c:pt idx="9">
                  <c:v>-0.99358570632947418</c:v>
                </c:pt>
                <c:pt idx="10">
                  <c:v>-0.99208310705253355</c:v>
                </c:pt>
                <c:pt idx="11">
                  <c:v>-0.99042321783004583</c:v>
                </c:pt>
                <c:pt idx="12">
                  <c:v>-0.98860630182936415</c:v>
                </c:pt>
                <c:pt idx="13">
                  <c:v>-0.98663264711367293</c:v>
                </c:pt>
                <c:pt idx="14">
                  <c:v>-0.98450256659631608</c:v>
                </c:pt>
                <c:pt idx="15">
                  <c:v>-0.9822163979911871</c:v>
                </c:pt>
                <c:pt idx="16">
                  <c:v>-0.97977450375918562</c:v>
                </c:pt>
                <c:pt idx="17">
                  <c:v>-0.9771772710507507</c:v>
                </c:pt>
                <c:pt idx="18">
                  <c:v>-0.97442511164448109</c:v>
                </c:pt>
                <c:pt idx="19">
                  <c:v>-0.97151846188184843</c:v>
                </c:pt>
                <c:pt idx="20">
                  <c:v>-0.96845778259801829</c:v>
                </c:pt>
                <c:pt idx="21">
                  <c:v>-0.96524355904878689</c:v>
                </c:pt>
                <c:pt idx="22">
                  <c:v>-0.96187630083364573</c:v>
                </c:pt>
                <c:pt idx="23">
                  <c:v>-0.95835654181498742</c:v>
                </c:pt>
                <c:pt idx="24">
                  <c:v>-0.95468484003346477</c:v>
                </c:pt>
                <c:pt idx="25">
                  <c:v>-0.95086177761951529</c:v>
                </c:pt>
                <c:pt idx="26">
                  <c:v>-0.94688796070106762</c:v>
                </c:pt>
                <c:pt idx="27">
                  <c:v>-0.94276401930744358</c:v>
                </c:pt>
                <c:pt idx="28">
                  <c:v>-0.93849060726946865</c:v>
                </c:pt>
                <c:pt idx="29">
                  <c:v>-0.93406840211581166</c:v>
                </c:pt>
                <c:pt idx="30">
                  <c:v>-0.9294981049655654</c:v>
                </c:pt>
                <c:pt idx="31">
                  <c:v>-0.92478044041708718</c:v>
                </c:pt>
                <c:pt idx="32">
                  <c:v>-0.91991615643311786</c:v>
                </c:pt>
                <c:pt idx="33">
                  <c:v>-0.91490602422219602</c:v>
                </c:pt>
                <c:pt idx="34">
                  <c:v>-0.90975083811638624</c:v>
                </c:pt>
                <c:pt idx="35">
                  <c:v>-0.90445141544534147</c:v>
                </c:pt>
                <c:pt idx="36">
                  <c:v>-0.89900859640672026</c:v>
                </c:pt>
                <c:pt idx="37">
                  <c:v>-0.89342324393297667</c:v>
                </c:pt>
                <c:pt idx="38">
                  <c:v>-0.88769624355454657</c:v>
                </c:pt>
                <c:pt idx="39">
                  <c:v>-0.88182850325945195</c:v>
                </c:pt>
                <c:pt idx="40">
                  <c:v>-0.87582095334934262</c:v>
                </c:pt>
                <c:pt idx="41">
                  <c:v>-0.86967454629200225</c:v>
                </c:pt>
                <c:pt idx="42">
                  <c:v>-0.8633902565703393</c:v>
                </c:pt>
                <c:pt idx="43">
                  <c:v>-0.8569690805278869</c:v>
                </c:pt>
                <c:pt idx="44">
                  <c:v>-0.85041203621083761</c:v>
                </c:pt>
                <c:pt idx="45">
                  <c:v>-0.84372016320663801</c:v>
                </c:pt>
                <c:pt idx="46">
                  <c:v>-0.83689452247916551</c:v>
                </c:pt>
                <c:pt idx="47">
                  <c:v>-0.82993619620051928</c:v>
                </c:pt>
                <c:pt idx="48">
                  <c:v>-0.82284628757944644</c:v>
                </c:pt>
                <c:pt idx="49">
                  <c:v>-0.81562592068643358</c:v>
                </c:pt>
                <c:pt idx="50">
                  <c:v>-0.80827624027549083</c:v>
                </c:pt>
                <c:pt idx="51">
                  <c:v>-0.80079841160265763</c:v>
                </c:pt>
                <c:pt idx="52">
                  <c:v>-0.79319362024125561</c:v>
                </c:pt>
                <c:pt idx="53">
                  <c:v>-0.78546307189392217</c:v>
                </c:pt>
                <c:pt idx="54">
                  <c:v>-0.7776079922014536</c:v>
                </c:pt>
                <c:pt idx="55">
                  <c:v>-0.76962962654848344</c:v>
                </c:pt>
                <c:pt idx="56">
                  <c:v>-0.76152923986603405</c:v>
                </c:pt>
                <c:pt idx="57">
                  <c:v>-0.75330811643096862</c:v>
                </c:pt>
                <c:pt idx="58">
                  <c:v>-0.74496755966237371</c:v>
                </c:pt>
                <c:pt idx="59">
                  <c:v>-0.7365088919149092</c:v>
                </c:pt>
                <c:pt idx="60">
                  <c:v>-0.72793345426915657</c:v>
                </c:pt>
                <c:pt idx="61">
                  <c:v>-0.71924260631899495</c:v>
                </c:pt>
                <c:pt idx="62">
                  <c:v>-0.71043772595604548</c:v>
                </c:pt>
                <c:pt idx="63">
                  <c:v>-0.70152020915121371</c:v>
                </c:pt>
                <c:pt idx="64">
                  <c:v>-0.69249146973336373</c:v>
                </c:pt>
                <c:pt idx="65">
                  <c:v>-0.68335293916516338</c:v>
                </c:pt>
                <c:pt idx="66">
                  <c:v>-0.67410606631613368</c:v>
                </c:pt>
                <c:pt idx="67">
                  <c:v>-0.66475231723293549</c:v>
                </c:pt>
                <c:pt idx="68">
                  <c:v>-0.65529317490693662</c:v>
                </c:pt>
                <c:pt idx="69">
                  <c:v>-0.64573013903909071</c:v>
                </c:pt>
                <c:pt idx="70">
                  <c:v>-0.63606472580216611</c:v>
                </c:pt>
                <c:pt idx="71">
                  <c:v>-0.62629846760036412</c:v>
                </c:pt>
                <c:pt idx="72">
                  <c:v>-0.61643291282636525</c:v>
                </c:pt>
                <c:pt idx="73">
                  <c:v>-0.60646962561583695</c:v>
                </c:pt>
                <c:pt idx="74">
                  <c:v>-0.59641018559944858</c:v>
                </c:pt>
                <c:pt idx="75">
                  <c:v>-0.58625618765242993</c:v>
                </c:pt>
                <c:pt idx="76">
                  <c:v>-0.57600924164170875</c:v>
                </c:pt>
                <c:pt idx="77">
                  <c:v>-0.56567097217067575</c:v>
                </c:pt>
                <c:pt idx="78">
                  <c:v>-0.55524301832161305</c:v>
                </c:pt>
                <c:pt idx="79">
                  <c:v>-0.54472703339582262</c:v>
                </c:pt>
                <c:pt idx="80">
                  <c:v>-0.5341246846515052</c:v>
                </c:pt>
                <c:pt idx="81">
                  <c:v>-0.52343765303942535</c:v>
                </c:pt>
                <c:pt idx="82">
                  <c:v>-0.51266763293640294</c:v>
                </c:pt>
                <c:pt idx="83">
                  <c:v>-0.50181633187667907</c:v>
                </c:pt>
                <c:pt idx="84">
                  <c:v>-0.4908854702811955</c:v>
                </c:pt>
                <c:pt idx="85">
                  <c:v>-0.47987678118482874</c:v>
                </c:pt>
                <c:pt idx="86">
                  <c:v>-0.4687920099616264</c:v>
                </c:pt>
                <c:pt idx="87">
                  <c:v>-0.45763291404808787</c:v>
                </c:pt>
                <c:pt idx="88">
                  <c:v>-0.44640126266452929</c:v>
                </c:pt>
                <c:pt idx="89">
                  <c:v>-0.43509883653458314</c:v>
                </c:pt>
                <c:pt idx="90">
                  <c:v>-0.42372742760287452</c:v>
                </c:pt>
                <c:pt idx="91">
                  <c:v>-0.41228883875091432</c:v>
                </c:pt>
                <c:pt idx="92">
                  <c:v>-0.40078488351126368</c:v>
                </c:pt>
                <c:pt idx="93">
                  <c:v>-0.38921738578000598</c:v>
                </c:pt>
                <c:pt idx="94">
                  <c:v>-0.37758817952757667</c:v>
                </c:pt>
                <c:pt idx="95">
                  <c:v>-0.36589910850799745</c:v>
                </c:pt>
                <c:pt idx="96">
                  <c:v>-0.3541520259665572</c:v>
                </c:pt>
                <c:pt idx="97">
                  <c:v>-0.34234879434598847</c:v>
                </c:pt>
                <c:pt idx="98">
                  <c:v>-0.33049128499118763</c:v>
                </c:pt>
                <c:pt idx="99">
                  <c:v>-0.31858137785252122</c:v>
                </c:pt>
                <c:pt idx="100">
                  <c:v>-0.30662096118776938</c:v>
                </c:pt>
                <c:pt idx="101">
                  <c:v>-0.2946119312627512</c:v>
                </c:pt>
                <c:pt idx="102">
                  <c:v>-0.28255619205068194</c:v>
                </c:pt>
                <c:pt idx="103">
                  <c:v>-0.27045565493030693</c:v>
                </c:pt>
                <c:pt idx="104">
                  <c:v>-0.25831223838286105</c:v>
                </c:pt>
                <c:pt idx="105">
                  <c:v>-0.24612786768790421</c:v>
                </c:pt>
                <c:pt idx="106">
                  <c:v>-0.2339044746180769</c:v>
                </c:pt>
                <c:pt idx="107">
                  <c:v>-0.22164399713282656</c:v>
                </c:pt>
                <c:pt idx="108">
                  <c:v>-0.20934837907115472</c:v>
                </c:pt>
                <c:pt idx="109">
                  <c:v>-0.19701956984343019</c:v>
                </c:pt>
                <c:pt idx="110">
                  <c:v>-0.18465952412231887</c:v>
                </c:pt>
                <c:pt idx="111">
                  <c:v>-0.17227020153288122</c:v>
                </c:pt>
                <c:pt idx="112">
                  <c:v>-0.15985356634188264</c:v>
                </c:pt>
                <c:pt idx="113">
                  <c:v>-0.14741158714636779</c:v>
                </c:pt>
                <c:pt idx="114">
                  <c:v>-0.13494623656155053</c:v>
                </c:pt>
                <c:pt idx="115">
                  <c:v>-0.1224594909080647</c:v>
                </c:pt>
                <c:pt idx="116">
                  <c:v>-0.1099533298986274</c:v>
                </c:pt>
                <c:pt idx="117">
                  <c:v>-9.7429736324166516E-2</c:v>
                </c:pt>
                <c:pt idx="118">
                  <c:v>-8.4890695739458288E-2</c:v>
                </c:pt>
                <c:pt idx="119">
                  <c:v>-7.2338196148326483E-2</c:v>
                </c:pt>
                <c:pt idx="120">
                  <c:v>-5.9774227688455507E-2</c:v>
                </c:pt>
                <c:pt idx="121">
                  <c:v>-4.720078231586302E-2</c:v>
                </c:pt>
                <c:pt idx="122">
                  <c:v>-3.4619853489084404E-2</c:v>
                </c:pt>
                <c:pt idx="123">
                  <c:v>-2.2033435853120915E-2</c:v>
                </c:pt>
                <c:pt idx="124">
                  <c:v>-9.4435249231977821E-3</c:v>
                </c:pt>
                <c:pt idx="125">
                  <c:v>3.1478832316156873E-3</c:v>
                </c:pt>
                <c:pt idx="126">
                  <c:v>1.5738792304871806E-2</c:v>
                </c:pt>
                <c:pt idx="127">
                  <c:v>2.8327206069249836E-2</c:v>
                </c:pt>
                <c:pt idx="128">
                  <c:v>4.0911128693048776E-2</c:v>
                </c:pt>
                <c:pt idx="129">
                  <c:v>5.3488565056615429E-2</c:v>
                </c:pt>
                <c:pt idx="130">
                  <c:v>6.605752106866157E-2</c:v>
                </c:pt>
                <c:pt idx="131">
                  <c:v>7.8616003982418081E-2</c:v>
                </c:pt>
                <c:pt idx="132">
                  <c:v>9.1162022711573906E-2</c:v>
                </c:pt>
                <c:pt idx="133">
                  <c:v>0.10369358814595377</c:v>
                </c:pt>
                <c:pt idx="134">
                  <c:v>0.11620871346688255</c:v>
                </c:pt>
                <c:pt idx="135">
                  <c:v>0.12870541446218442</c:v>
                </c:pt>
                <c:pt idx="136">
                  <c:v>0.14118170984077064</c:v>
                </c:pt>
                <c:pt idx="137">
                  <c:v>0.1536356215467643</c:v>
                </c:pt>
                <c:pt idx="138">
                  <c:v>0.16606517507311008</c:v>
                </c:pt>
                <c:pt idx="139">
                  <c:v>0.17846839977462353</c:v>
                </c:pt>
                <c:pt idx="140">
                  <c:v>0.19084332918042771</c:v>
                </c:pt>
                <c:pt idx="141">
                  <c:v>0.20318800130572645</c:v>
                </c:pt>
                <c:pt idx="142">
                  <c:v>0.21550045896286801</c:v>
                </c:pt>
                <c:pt idx="143">
                  <c:v>0.22777875007164838</c:v>
                </c:pt>
                <c:pt idx="144">
                  <c:v>0.24002092796880276</c:v>
                </c:pt>
                <c:pt idx="145">
                  <c:v>0.25222505171664023</c:v>
                </c:pt>
                <c:pt idx="146">
                  <c:v>0.26438918641077053</c:v>
                </c:pt>
                <c:pt idx="147">
                  <c:v>0.27651140348687248</c:v>
                </c:pt>
                <c:pt idx="148">
                  <c:v>0.28858978102645916</c:v>
                </c:pt>
                <c:pt idx="149">
                  <c:v>0.3006224040615893</c:v>
                </c:pt>
                <c:pt idx="150">
                  <c:v>0.3126073648784749</c:v>
                </c:pt>
                <c:pt idx="151">
                  <c:v>0.32454276331994053</c:v>
                </c:pt>
                <c:pt idx="152">
                  <c:v>0.33642670708668465</c:v>
                </c:pt>
                <c:pt idx="153">
                  <c:v>0.34825731203729327</c:v>
                </c:pt>
                <c:pt idx="154">
                  <c:v>0.36003270248696184</c:v>
                </c:pt>
                <c:pt idx="155">
                  <c:v>0.37175101150487677</c:v>
                </c:pt>
                <c:pt idx="156">
                  <c:v>0.38341038121020693</c:v>
                </c:pt>
                <c:pt idx="157">
                  <c:v>0.39500896306666211</c:v>
                </c:pt>
                <c:pt idx="158">
                  <c:v>0.40654491817557015</c:v>
                </c:pt>
                <c:pt idx="159">
                  <c:v>0.41801641756742391</c:v>
                </c:pt>
                <c:pt idx="160">
                  <c:v>0.42942164249185744</c:v>
                </c:pt>
                <c:pt idx="161">
                  <c:v>0.44075878470599728</c:v>
                </c:pt>
                <c:pt idx="162">
                  <c:v>0.45202604676115354</c:v>
                </c:pt>
                <c:pt idx="163">
                  <c:v>0.46322164228779505</c:v>
                </c:pt>
                <c:pt idx="164">
                  <c:v>0.47434379627876877</c:v>
                </c:pt>
                <c:pt idx="165">
                  <c:v>0.48539074537072052</c:v>
                </c:pt>
                <c:pt idx="166">
                  <c:v>0.49636073812366666</c:v>
                </c:pt>
                <c:pt idx="167">
                  <c:v>0.50725203529867535</c:v>
                </c:pt>
                <c:pt idx="168">
                  <c:v>0.51806291013361627</c:v>
                </c:pt>
                <c:pt idx="169">
                  <c:v>0.52879164861692984</c:v>
                </c:pt>
                <c:pt idx="170">
                  <c:v>0.53943654975937361</c:v>
                </c:pt>
                <c:pt idx="171">
                  <c:v>0.5499959258637086</c:v>
                </c:pt>
                <c:pt idx="172">
                  <c:v>0.5604681027922741</c:v>
                </c:pt>
                <c:pt idx="173">
                  <c:v>0.57085142023241298</c:v>
                </c:pt>
                <c:pt idx="174">
                  <c:v>0.58114423195970821</c:v>
                </c:pt>
                <c:pt idx="175">
                  <c:v>0.59134490609898305</c:v>
                </c:pt>
                <c:pt idx="176">
                  <c:v>0.60145182538302566</c:v>
                </c:pt>
                <c:pt idx="177">
                  <c:v>0.61146338740900052</c:v>
                </c:pt>
                <c:pt idx="178">
                  <c:v>0.62137800489250161</c:v>
                </c:pt>
                <c:pt idx="179">
                  <c:v>0.63119410591920666</c:v>
                </c:pt>
                <c:pt idx="180">
                  <c:v>0.64091013419409903</c:v>
                </c:pt>
                <c:pt idx="181">
                  <c:v>0.65052454928820946</c:v>
                </c:pt>
                <c:pt idx="182">
                  <c:v>0.66003582688284268</c:v>
                </c:pt>
                <c:pt idx="183">
                  <c:v>0.66944245901125288</c:v>
                </c:pt>
                <c:pt idx="184">
                  <c:v>0.67874295429772324</c:v>
                </c:pt>
                <c:pt idx="185">
                  <c:v>0.68793583819401527</c:v>
                </c:pt>
                <c:pt idx="186">
                  <c:v>0.69701965321315373</c:v>
                </c:pt>
                <c:pt idx="187">
                  <c:v>0.70599295916050209</c:v>
                </c:pt>
                <c:pt idx="188">
                  <c:v>0.7148543333620988</c:v>
                </c:pt>
                <c:pt idx="189">
                  <c:v>0.72360237089021584</c:v>
                </c:pt>
                <c:pt idx="190">
                  <c:v>0.73223568478610324</c:v>
                </c:pt>
                <c:pt idx="191">
                  <c:v>0.74075290627988322</c:v>
                </c:pt>
                <c:pt idx="192">
                  <c:v>0.74915268500756382</c:v>
                </c:pt>
                <c:pt idx="193">
                  <c:v>0.7574336892251321</c:v>
                </c:pt>
                <c:pt idx="194">
                  <c:v>0.76559460601969409</c:v>
                </c:pt>
                <c:pt idx="195">
                  <c:v>0.77363414151763321</c:v>
                </c:pt>
                <c:pt idx="196">
                  <c:v>0.78155102108974517</c:v>
                </c:pt>
                <c:pt idx="197">
                  <c:v>0.78934398955332641</c:v>
                </c:pt>
                <c:pt idx="198">
                  <c:v>0.79701181137117627</c:v>
                </c:pt>
                <c:pt idx="199">
                  <c:v>0.80455327084748429</c:v>
                </c:pt>
                <c:pt idx="200">
                  <c:v>0.81196717232057491</c:v>
                </c:pt>
                <c:pt idx="201">
                  <c:v>0.81925234035247285</c:v>
                </c:pt>
                <c:pt idx="202">
                  <c:v>0.82640761991526213</c:v>
                </c:pt>
                <c:pt idx="203">
                  <c:v>0.83343187657421181</c:v>
                </c:pt>
                <c:pt idx="204">
                  <c:v>0.84032399666763458</c:v>
                </c:pt>
                <c:pt idx="205">
                  <c:v>0.84708288748345095</c:v>
                </c:pt>
                <c:pt idx="206">
                  <c:v>0.8537074774324358</c:v>
                </c:pt>
                <c:pt idx="207">
                  <c:v>0.86019671621811211</c:v>
                </c:pt>
                <c:pt idx="208">
                  <c:v>0.86654957500327034</c:v>
                </c:pt>
                <c:pt idx="209">
                  <c:v>0.87276504657308618</c:v>
                </c:pt>
                <c:pt idx="210">
                  <c:v>0.87884214549480955</c:v>
                </c:pt>
                <c:pt idx="211">
                  <c:v>0.88477990827399922</c:v>
                </c:pt>
                <c:pt idx="212">
                  <c:v>0.89057739350728138</c:v>
                </c:pt>
                <c:pt idx="213">
                  <c:v>0.89623368203160425</c:v>
                </c:pt>
                <c:pt idx="214">
                  <c:v>0.90174787706996573</c:v>
                </c:pt>
                <c:pt idx="215">
                  <c:v>0.907119104373595</c:v>
                </c:pt>
                <c:pt idx="216">
                  <c:v>0.91234651236055886</c:v>
                </c:pt>
                <c:pt idx="217">
                  <c:v>0.91742927225077642</c:v>
                </c:pt>
                <c:pt idx="218">
                  <c:v>0.92236657819741819</c:v>
                </c:pt>
                <c:pt idx="219">
                  <c:v>0.92715764741466955</c:v>
                </c:pt>
                <c:pt idx="220">
                  <c:v>0.93180172030183628</c:v>
                </c:pt>
                <c:pt idx="221">
                  <c:v>0.9362980605637774</c:v>
                </c:pt>
                <c:pt idx="222">
                  <c:v>0.94064595532763984</c:v>
                </c:pt>
                <c:pt idx="223">
                  <c:v>0.94484471525588132</c:v>
                </c:pt>
                <c:pt idx="224">
                  <c:v>0.94889367465556163</c:v>
                </c:pt>
                <c:pt idx="225">
                  <c:v>0.95279219158388506</c:v>
                </c:pt>
                <c:pt idx="226">
                  <c:v>0.9565396479499767</c:v>
                </c:pt>
                <c:pt idx="227">
                  <c:v>0.96013544961287856</c:v>
                </c:pt>
                <c:pt idx="228">
                  <c:v>0.96357902647574722</c:v>
                </c:pt>
                <c:pt idx="229">
                  <c:v>0.96686983257623993</c:v>
                </c:pt>
                <c:pt idx="230">
                  <c:v>0.97000734617307449</c:v>
                </c:pt>
                <c:pt idx="231">
                  <c:v>0.97299106982874872</c:v>
                </c:pt>
                <c:pt idx="232">
                  <c:v>0.97582053048840656</c:v>
                </c:pt>
                <c:pt idx="233">
                  <c:v>0.97849527955483873</c:v>
                </c:pt>
                <c:pt idx="234">
                  <c:v>0.9810148929596062</c:v>
                </c:pt>
                <c:pt idx="235">
                  <c:v>0.98337897123027274</c:v>
                </c:pt>
                <c:pt idx="236">
                  <c:v>0.98558713955374089</c:v>
                </c:pt>
                <c:pt idx="237">
                  <c:v>0.98763904783567602</c:v>
                </c:pt>
                <c:pt idx="238">
                  <c:v>0.98953437075601203</c:v>
                </c:pt>
                <c:pt idx="239">
                  <c:v>0.99127280782052929</c:v>
                </c:pt>
                <c:pt idx="240">
                  <c:v>0.99285408340849701</c:v>
                </c:pt>
                <c:pt idx="241">
                  <c:v>0.99427794681637061</c:v>
                </c:pt>
                <c:pt idx="242">
                  <c:v>0.99554417229754077</c:v>
                </c:pt>
                <c:pt idx="243">
                  <c:v>0.99665255909812334</c:v>
                </c:pt>
                <c:pt idx="244">
                  <c:v>0.99760293148878842</c:v>
                </c:pt>
                <c:pt idx="245">
                  <c:v>0.99839513879262165</c:v>
                </c:pt>
                <c:pt idx="246">
                  <c:v>0.99902905540901266</c:v>
                </c:pt>
                <c:pt idx="247">
                  <c:v>0.99950458083356886</c:v>
                </c:pt>
                <c:pt idx="248">
                  <c:v>0.9998216396740498</c:v>
                </c:pt>
                <c:pt idx="249">
                  <c:v>0.99998018166232039</c:v>
                </c:pt>
                <c:pt idx="250">
                  <c:v>0.99998018166232028</c:v>
                </c:pt>
                <c:pt idx="251">
                  <c:v>0.99982163967404947</c:v>
                </c:pt>
                <c:pt idx="252">
                  <c:v>0.9995045808335683</c:v>
                </c:pt>
                <c:pt idx="253">
                  <c:v>0.99902905540901188</c:v>
                </c:pt>
                <c:pt idx="254">
                  <c:v>0.99839513879262065</c:v>
                </c:pt>
                <c:pt idx="255">
                  <c:v>0.9976029314887872</c:v>
                </c:pt>
                <c:pt idx="256">
                  <c:v>0.99665255909812189</c:v>
                </c:pt>
                <c:pt idx="257">
                  <c:v>0.99554417229753911</c:v>
                </c:pt>
                <c:pt idx="258">
                  <c:v>0.99427794681636883</c:v>
                </c:pt>
                <c:pt idx="259">
                  <c:v>0.9928540834084949</c:v>
                </c:pt>
                <c:pt idx="260">
                  <c:v>0.99127280782052707</c:v>
                </c:pt>
                <c:pt idx="261">
                  <c:v>0.98953437075600947</c:v>
                </c:pt>
                <c:pt idx="262">
                  <c:v>0.98763904783567336</c:v>
                </c:pt>
                <c:pt idx="263">
                  <c:v>0.985587139553738</c:v>
                </c:pt>
                <c:pt idx="264">
                  <c:v>0.98337897123026952</c:v>
                </c:pt>
                <c:pt idx="265">
                  <c:v>0.98101489295960276</c:v>
                </c:pt>
                <c:pt idx="266">
                  <c:v>0.97849527955483528</c:v>
                </c:pt>
                <c:pt idx="267">
                  <c:v>0.97582053048840278</c:v>
                </c:pt>
                <c:pt idx="268">
                  <c:v>0.97299106982874473</c:v>
                </c:pt>
                <c:pt idx="269">
                  <c:v>0.97000734617307038</c:v>
                </c:pt>
                <c:pt idx="270">
                  <c:v>0.96686983257623549</c:v>
                </c:pt>
                <c:pt idx="271">
                  <c:v>0.96357902647574256</c:v>
                </c:pt>
                <c:pt idx="272">
                  <c:v>0.96013544961287378</c:v>
                </c:pt>
                <c:pt idx="273">
                  <c:v>0.95653964794997159</c:v>
                </c:pt>
                <c:pt idx="274">
                  <c:v>0.95279219158387984</c:v>
                </c:pt>
                <c:pt idx="275">
                  <c:v>0.9488936746555563</c:v>
                </c:pt>
                <c:pt idx="276">
                  <c:v>0.94484471525587566</c:v>
                </c:pt>
                <c:pt idx="277">
                  <c:v>0.94064595532763395</c:v>
                </c:pt>
                <c:pt idx="278">
                  <c:v>0.93629806056377141</c:v>
                </c:pt>
                <c:pt idx="279">
                  <c:v>0.93180172030183006</c:v>
                </c:pt>
                <c:pt idx="280">
                  <c:v>0.927157647414663</c:v>
                </c:pt>
                <c:pt idx="281">
                  <c:v>0.92236657819741175</c:v>
                </c:pt>
                <c:pt idx="282">
                  <c:v>0.91742927225076953</c:v>
                </c:pt>
                <c:pt idx="283">
                  <c:v>0.91234651236055175</c:v>
                </c:pt>
                <c:pt idx="284">
                  <c:v>0.90711910437358789</c:v>
                </c:pt>
                <c:pt idx="285">
                  <c:v>0.90174787706995829</c:v>
                </c:pt>
                <c:pt idx="286">
                  <c:v>0.89623368203159648</c:v>
                </c:pt>
                <c:pt idx="287">
                  <c:v>0.89057739350727372</c:v>
                </c:pt>
                <c:pt idx="288">
                  <c:v>0.88477990827399111</c:v>
                </c:pt>
                <c:pt idx="289">
                  <c:v>0.87884214549480122</c:v>
                </c:pt>
                <c:pt idx="290">
                  <c:v>0.87276504657307785</c:v>
                </c:pt>
                <c:pt idx="291">
                  <c:v>0.86654957500326169</c:v>
                </c:pt>
                <c:pt idx="292">
                  <c:v>0.86019671621810334</c:v>
                </c:pt>
                <c:pt idx="293">
                  <c:v>0.85370747743242703</c:v>
                </c:pt>
                <c:pt idx="294">
                  <c:v>0.84708288748344174</c:v>
                </c:pt>
                <c:pt idx="295">
                  <c:v>0.84032399666762514</c:v>
                </c:pt>
                <c:pt idx="296">
                  <c:v>0.83343187657420248</c:v>
                </c:pt>
                <c:pt idx="297">
                  <c:v>0.82640761991525236</c:v>
                </c:pt>
                <c:pt idx="298">
                  <c:v>0.81925234035246286</c:v>
                </c:pt>
                <c:pt idx="299">
                  <c:v>0.81196717232056503</c:v>
                </c:pt>
                <c:pt idx="300">
                  <c:v>0.80455327084747397</c:v>
                </c:pt>
                <c:pt idx="301">
                  <c:v>0.79701181137116583</c:v>
                </c:pt>
                <c:pt idx="302">
                  <c:v>0.78934398955331608</c:v>
                </c:pt>
                <c:pt idx="303">
                  <c:v>0.7815510210897344</c:v>
                </c:pt>
                <c:pt idx="304">
                  <c:v>0.77363414151762222</c:v>
                </c:pt>
                <c:pt idx="305">
                  <c:v>0.76559460601968321</c:v>
                </c:pt>
                <c:pt idx="306">
                  <c:v>0.75743368922512078</c:v>
                </c:pt>
                <c:pt idx="307">
                  <c:v>0.74915268500755272</c:v>
                </c:pt>
                <c:pt idx="308">
                  <c:v>0.74075290627987178</c:v>
                </c:pt>
                <c:pt idx="309">
                  <c:v>0.73223568478609136</c:v>
                </c:pt>
                <c:pt idx="310">
                  <c:v>0.72360237089020418</c:v>
                </c:pt>
                <c:pt idx="311">
                  <c:v>0.71485433336208692</c:v>
                </c:pt>
                <c:pt idx="312">
                  <c:v>0.70599295916048987</c:v>
                </c:pt>
                <c:pt idx="313">
                  <c:v>0.69701965321314163</c:v>
                </c:pt>
                <c:pt idx="314">
                  <c:v>0.68793583819400306</c:v>
                </c:pt>
                <c:pt idx="315">
                  <c:v>0.67874295429771048</c:v>
                </c:pt>
                <c:pt idx="316">
                  <c:v>0.66944245901124033</c:v>
                </c:pt>
                <c:pt idx="317">
                  <c:v>0.66003582688283002</c:v>
                </c:pt>
                <c:pt idx="318">
                  <c:v>0.65052454928819659</c:v>
                </c:pt>
                <c:pt idx="319">
                  <c:v>0.64091013419408605</c:v>
                </c:pt>
                <c:pt idx="320">
                  <c:v>0.63119410591919323</c:v>
                </c:pt>
                <c:pt idx="321">
                  <c:v>0.6213780048924884</c:v>
                </c:pt>
                <c:pt idx="322">
                  <c:v>0.6114633874089872</c:v>
                </c:pt>
                <c:pt idx="323">
                  <c:v>0.60145182538301178</c:v>
                </c:pt>
                <c:pt idx="324">
                  <c:v>0.5913449060989695</c:v>
                </c:pt>
                <c:pt idx="325">
                  <c:v>0.58114423195969445</c:v>
                </c:pt>
                <c:pt idx="326">
                  <c:v>0.57085142023239865</c:v>
                </c:pt>
                <c:pt idx="327">
                  <c:v>0.56046810279226011</c:v>
                </c:pt>
                <c:pt idx="328">
                  <c:v>0.5499959258636945</c:v>
                </c:pt>
                <c:pt idx="329">
                  <c:v>0.53943654975935906</c:v>
                </c:pt>
                <c:pt idx="330">
                  <c:v>0.52879164861691552</c:v>
                </c:pt>
                <c:pt idx="331">
                  <c:v>0.51806291013360184</c:v>
                </c:pt>
                <c:pt idx="332">
                  <c:v>0.50725203529866036</c:v>
                </c:pt>
                <c:pt idx="333">
                  <c:v>0.496360738123652</c:v>
                </c:pt>
                <c:pt idx="334">
                  <c:v>0.48539074537070576</c:v>
                </c:pt>
                <c:pt idx="335">
                  <c:v>0.4743437962787535</c:v>
                </c:pt>
                <c:pt idx="336">
                  <c:v>0.46322164228778012</c:v>
                </c:pt>
                <c:pt idx="337">
                  <c:v>0.4520260467611385</c:v>
                </c:pt>
                <c:pt idx="338">
                  <c:v>0.44075878470598173</c:v>
                </c:pt>
                <c:pt idx="339">
                  <c:v>0.42942164249184217</c:v>
                </c:pt>
                <c:pt idx="340">
                  <c:v>0.41801641756740859</c:v>
                </c:pt>
                <c:pt idx="341">
                  <c:v>0.40654491817555433</c:v>
                </c:pt>
                <c:pt idx="342">
                  <c:v>0.39500896306664679</c:v>
                </c:pt>
                <c:pt idx="343">
                  <c:v>0.38341038121019116</c:v>
                </c:pt>
                <c:pt idx="344">
                  <c:v>0.37175101150486073</c:v>
                </c:pt>
                <c:pt idx="345">
                  <c:v>0.3600327024869463</c:v>
                </c:pt>
                <c:pt idx="346">
                  <c:v>0.34825731203727722</c:v>
                </c:pt>
                <c:pt idx="347">
                  <c:v>0.33642670708666833</c:v>
                </c:pt>
                <c:pt idx="348">
                  <c:v>0.32454276331992477</c:v>
                </c:pt>
                <c:pt idx="349">
                  <c:v>0.31260736487845869</c:v>
                </c:pt>
                <c:pt idx="350">
                  <c:v>0.30062240406157281</c:v>
                </c:pt>
                <c:pt idx="351">
                  <c:v>0.28858978102644323</c:v>
                </c:pt>
                <c:pt idx="352">
                  <c:v>0.27651140348685604</c:v>
                </c:pt>
                <c:pt idx="353">
                  <c:v>0.26438918641075382</c:v>
                </c:pt>
                <c:pt idx="354">
                  <c:v>0.25222505171662413</c:v>
                </c:pt>
                <c:pt idx="355">
                  <c:v>0.24002092796878616</c:v>
                </c:pt>
                <c:pt idx="356">
                  <c:v>0.22777875007163151</c:v>
                </c:pt>
                <c:pt idx="357">
                  <c:v>0.21550045896285175</c:v>
                </c:pt>
                <c:pt idx="358">
                  <c:v>0.20318800130570971</c:v>
                </c:pt>
                <c:pt idx="359">
                  <c:v>0.19084332918041072</c:v>
                </c:pt>
                <c:pt idx="360">
                  <c:v>0.17846839977460716</c:v>
                </c:pt>
                <c:pt idx="361">
                  <c:v>0.16606517507309324</c:v>
                </c:pt>
                <c:pt idx="362">
                  <c:v>0.15363562154674718</c:v>
                </c:pt>
                <c:pt idx="363">
                  <c:v>0.14118170984075415</c:v>
                </c:pt>
                <c:pt idx="364">
                  <c:v>0.12870541446216746</c:v>
                </c:pt>
                <c:pt idx="365">
                  <c:v>0.11620871346686536</c:v>
                </c:pt>
                <c:pt idx="366">
                  <c:v>0.10369358814593721</c:v>
                </c:pt>
                <c:pt idx="367">
                  <c:v>9.1162022711556878E-2</c:v>
                </c:pt>
                <c:pt idx="368">
                  <c:v>7.8616003982400817E-2</c:v>
                </c:pt>
                <c:pt idx="369">
                  <c:v>6.6057521068644959E-2</c:v>
                </c:pt>
                <c:pt idx="370">
                  <c:v>5.3488565056598353E-2</c:v>
                </c:pt>
                <c:pt idx="371">
                  <c:v>4.091112869303147E-2</c:v>
                </c:pt>
                <c:pt idx="372">
                  <c:v>2.8327206069233189E-2</c:v>
                </c:pt>
                <c:pt idx="373">
                  <c:v>1.5738792304854712E-2</c:v>
                </c:pt>
                <c:pt idx="374">
                  <c:v>3.1478832315983678E-3</c:v>
                </c:pt>
                <c:pt idx="375">
                  <c:v>-9.4435249232144355E-3</c:v>
                </c:pt>
                <c:pt idx="376">
                  <c:v>-2.2033435853138009E-2</c:v>
                </c:pt>
                <c:pt idx="377">
                  <c:v>-3.461985348910171E-2</c:v>
                </c:pt>
                <c:pt idx="378">
                  <c:v>-4.7200782315879652E-2</c:v>
                </c:pt>
                <c:pt idx="379">
                  <c:v>-5.977422768847257E-2</c:v>
                </c:pt>
                <c:pt idx="380">
                  <c:v>-7.2338196148343761E-2</c:v>
                </c:pt>
                <c:pt idx="381">
                  <c:v>-8.4890695739474886E-2</c:v>
                </c:pt>
                <c:pt idx="382">
                  <c:v>-9.7429736324183544E-2</c:v>
                </c:pt>
                <c:pt idx="383">
                  <c:v>-0.10995332989864461</c:v>
                </c:pt>
                <c:pt idx="384">
                  <c:v>-0.12245949090808123</c:v>
                </c:pt>
                <c:pt idx="385">
                  <c:v>-0.13494623656156748</c:v>
                </c:pt>
                <c:pt idx="386">
                  <c:v>-0.14741158714638491</c:v>
                </c:pt>
                <c:pt idx="387">
                  <c:v>-0.15985356634189996</c:v>
                </c:pt>
                <c:pt idx="388">
                  <c:v>-0.17227020153289807</c:v>
                </c:pt>
                <c:pt idx="389">
                  <c:v>-0.18465952412233588</c:v>
                </c:pt>
                <c:pt idx="390">
                  <c:v>-0.1970195698434474</c:v>
                </c:pt>
                <c:pt idx="391">
                  <c:v>-0.20934837907117143</c:v>
                </c:pt>
                <c:pt idx="392">
                  <c:v>-0.22164399713284344</c:v>
                </c:pt>
                <c:pt idx="393">
                  <c:v>-0.23390447461809394</c:v>
                </c:pt>
                <c:pt idx="394">
                  <c:v>-0.24612786768792078</c:v>
                </c:pt>
                <c:pt idx="395">
                  <c:v>-0.25831223838287781</c:v>
                </c:pt>
                <c:pt idx="396">
                  <c:v>-0.27045565493032381</c:v>
                </c:pt>
                <c:pt idx="397">
                  <c:v>-0.28255619205069837</c:v>
                </c:pt>
                <c:pt idx="398">
                  <c:v>-0.29461193126276775</c:v>
                </c:pt>
                <c:pt idx="399">
                  <c:v>-0.30662096118778609</c:v>
                </c:pt>
                <c:pt idx="400">
                  <c:v>-0.31858137785253743</c:v>
                </c:pt>
                <c:pt idx="401">
                  <c:v>-0.330491284991204</c:v>
                </c:pt>
                <c:pt idx="402">
                  <c:v>-0.34234879434600496</c:v>
                </c:pt>
                <c:pt idx="403">
                  <c:v>-0.35415202596657297</c:v>
                </c:pt>
                <c:pt idx="404">
                  <c:v>-0.3658991085080136</c:v>
                </c:pt>
                <c:pt idx="405">
                  <c:v>-0.37758817952759294</c:v>
                </c:pt>
                <c:pt idx="406">
                  <c:v>-0.38921738578002152</c:v>
                </c:pt>
                <c:pt idx="407">
                  <c:v>-0.40078488351127955</c:v>
                </c:pt>
                <c:pt idx="408">
                  <c:v>-0.41228883875093031</c:v>
                </c:pt>
                <c:pt idx="409">
                  <c:v>-0.42372742760288978</c:v>
                </c:pt>
                <c:pt idx="410">
                  <c:v>-0.43509883653459874</c:v>
                </c:pt>
                <c:pt idx="411">
                  <c:v>-0.44640126266454477</c:v>
                </c:pt>
                <c:pt idx="412">
                  <c:v>-0.45763291404810286</c:v>
                </c:pt>
                <c:pt idx="413">
                  <c:v>-0.46879200996164166</c:v>
                </c:pt>
                <c:pt idx="414">
                  <c:v>-0.47987678118484395</c:v>
                </c:pt>
                <c:pt idx="415">
                  <c:v>-0.49088547028121021</c:v>
                </c:pt>
                <c:pt idx="416">
                  <c:v>-0.50181633187669406</c:v>
                </c:pt>
                <c:pt idx="417">
                  <c:v>-0.51266763293641782</c:v>
                </c:pt>
                <c:pt idx="418">
                  <c:v>-0.52343765303943968</c:v>
                </c:pt>
                <c:pt idx="419">
                  <c:v>-0.53412468465151974</c:v>
                </c:pt>
                <c:pt idx="420">
                  <c:v>-0.54472703339583717</c:v>
                </c:pt>
                <c:pt idx="421">
                  <c:v>-0.55524301832162715</c:v>
                </c:pt>
                <c:pt idx="422">
                  <c:v>-0.56567097217069007</c:v>
                </c:pt>
                <c:pt idx="423">
                  <c:v>-0.57600924164172285</c:v>
                </c:pt>
                <c:pt idx="424">
                  <c:v>-0.58625618765244358</c:v>
                </c:pt>
                <c:pt idx="425">
                  <c:v>-0.59641018559946257</c:v>
                </c:pt>
                <c:pt idx="426">
                  <c:v>-0.60646962561585072</c:v>
                </c:pt>
                <c:pt idx="427">
                  <c:v>-0.61643291282637847</c:v>
                </c:pt>
                <c:pt idx="428">
                  <c:v>-0.62629846760037755</c:v>
                </c:pt>
                <c:pt idx="429">
                  <c:v>-0.63606472580217954</c:v>
                </c:pt>
                <c:pt idx="430">
                  <c:v>-0.64573013903910359</c:v>
                </c:pt>
                <c:pt idx="431">
                  <c:v>-0.6552931749069496</c:v>
                </c:pt>
                <c:pt idx="432">
                  <c:v>-0.66475231723294848</c:v>
                </c:pt>
                <c:pt idx="433">
                  <c:v>-0.67410606631614611</c:v>
                </c:pt>
                <c:pt idx="434">
                  <c:v>-0.68335293916517603</c:v>
                </c:pt>
                <c:pt idx="435">
                  <c:v>-0.69249146973337627</c:v>
                </c:pt>
                <c:pt idx="436">
                  <c:v>-0.7015202091512257</c:v>
                </c:pt>
                <c:pt idx="437">
                  <c:v>-0.7104377259560577</c:v>
                </c:pt>
                <c:pt idx="438">
                  <c:v>-0.71924260631900705</c:v>
                </c:pt>
                <c:pt idx="439">
                  <c:v>-0.72793345426916811</c:v>
                </c:pt>
                <c:pt idx="440">
                  <c:v>-0.73650889191492097</c:v>
                </c:pt>
                <c:pt idx="441">
                  <c:v>-0.74496755966238526</c:v>
                </c:pt>
                <c:pt idx="442">
                  <c:v>-0.75330811643097972</c:v>
                </c:pt>
                <c:pt idx="443">
                  <c:v>-0.76152923986604526</c:v>
                </c:pt>
                <c:pt idx="444">
                  <c:v>-0.76962962654849454</c:v>
                </c:pt>
                <c:pt idx="445">
                  <c:v>-0.77760799220146415</c:v>
                </c:pt>
                <c:pt idx="446">
                  <c:v>-0.78546307189393294</c:v>
                </c:pt>
                <c:pt idx="447">
                  <c:v>-0.79319362024126616</c:v>
                </c:pt>
                <c:pt idx="448">
                  <c:v>-0.80079841160266774</c:v>
                </c:pt>
                <c:pt idx="449">
                  <c:v>-0.80827624027550105</c:v>
                </c:pt>
                <c:pt idx="450">
                  <c:v>-0.81562592068644368</c:v>
                </c:pt>
                <c:pt idx="451">
                  <c:v>-0.82284628757945599</c:v>
                </c:pt>
                <c:pt idx="452">
                  <c:v>-0.82993619620052894</c:v>
                </c:pt>
                <c:pt idx="453">
                  <c:v>-0.83689452247917506</c:v>
                </c:pt>
                <c:pt idx="454">
                  <c:v>-0.843720163206647</c:v>
                </c:pt>
                <c:pt idx="455">
                  <c:v>-0.85041203621084671</c:v>
                </c:pt>
                <c:pt idx="456">
                  <c:v>-0.85696908052789589</c:v>
                </c:pt>
                <c:pt idx="457">
                  <c:v>-0.86339025657034785</c:v>
                </c:pt>
                <c:pt idx="458">
                  <c:v>-0.8696745462920108</c:v>
                </c:pt>
                <c:pt idx="459">
                  <c:v>-0.87582095334935095</c:v>
                </c:pt>
                <c:pt idx="460">
                  <c:v>-0.88182850325945983</c:v>
                </c:pt>
                <c:pt idx="461">
                  <c:v>-0.88769624355455456</c:v>
                </c:pt>
                <c:pt idx="462">
                  <c:v>-0.89342324393298445</c:v>
                </c:pt>
                <c:pt idx="463">
                  <c:v>-0.8990085964067277</c:v>
                </c:pt>
                <c:pt idx="464">
                  <c:v>-0.90445141544534879</c:v>
                </c:pt>
                <c:pt idx="465">
                  <c:v>-0.90975083811639346</c:v>
                </c:pt>
                <c:pt idx="466">
                  <c:v>-0.91490602422220291</c:v>
                </c:pt>
                <c:pt idx="467">
                  <c:v>-0.91991615643312463</c:v>
                </c:pt>
                <c:pt idx="468">
                  <c:v>-0.92478044041709373</c:v>
                </c:pt>
                <c:pt idx="469">
                  <c:v>-0.92949810496557161</c:v>
                </c:pt>
                <c:pt idx="470">
                  <c:v>-0.93406840211581788</c:v>
                </c:pt>
                <c:pt idx="471">
                  <c:v>-0.93849060726947464</c:v>
                </c:pt>
                <c:pt idx="472">
                  <c:v>-0.94276401930744913</c:v>
                </c:pt>
                <c:pt idx="473">
                  <c:v>-0.94688796070107328</c:v>
                </c:pt>
                <c:pt idx="474">
                  <c:v>-0.95086177761952073</c:v>
                </c:pt>
                <c:pt idx="475">
                  <c:v>-0.95468484003346987</c:v>
                </c:pt>
                <c:pt idx="476">
                  <c:v>-0.95835654181499241</c:v>
                </c:pt>
                <c:pt idx="477">
                  <c:v>-0.96187630083365039</c:v>
                </c:pt>
                <c:pt idx="478">
                  <c:v>-0.96524355904879122</c:v>
                </c:pt>
                <c:pt idx="479">
                  <c:v>-0.96845778259802262</c:v>
                </c:pt>
                <c:pt idx="480">
                  <c:v>-0.97151846188185254</c:v>
                </c:pt>
                <c:pt idx="481">
                  <c:v>-0.97442511164448486</c:v>
                </c:pt>
                <c:pt idx="482">
                  <c:v>-0.97717727105075436</c:v>
                </c:pt>
                <c:pt idx="483">
                  <c:v>-0.97977450375918906</c:v>
                </c:pt>
                <c:pt idx="484">
                  <c:v>-0.98221639799119032</c:v>
                </c:pt>
                <c:pt idx="485">
                  <c:v>-0.98450256659631907</c:v>
                </c:pt>
                <c:pt idx="486">
                  <c:v>-0.98663264711367571</c:v>
                </c:pt>
                <c:pt idx="487">
                  <c:v>-0.98860630182936671</c:v>
                </c:pt>
                <c:pt idx="488">
                  <c:v>-0.99042321783004816</c:v>
                </c:pt>
                <c:pt idx="489">
                  <c:v>-0.99208310705253577</c:v>
                </c:pt>
                <c:pt idx="490">
                  <c:v>-0.99358570632947618</c:v>
                </c:pt>
                <c:pt idx="491">
                  <c:v>-0.99493077743107128</c:v>
                </c:pt>
                <c:pt idx="492">
                  <c:v>-0.99611810710284798</c:v>
                </c:pt>
                <c:pt idx="493">
                  <c:v>-0.99714750709946842</c:v>
                </c:pt>
                <c:pt idx="494">
                  <c:v>-0.99801881421457617</c:v>
                </c:pt>
                <c:pt idx="495">
                  <c:v>-0.99873189030667098</c:v>
                </c:pt>
                <c:pt idx="496">
                  <c:v>-0.99928662232101095</c:v>
                </c:pt>
                <c:pt idx="497">
                  <c:v>-0.99968292230753641</c:v>
                </c:pt>
                <c:pt idx="498">
                  <c:v>-0.99992072743481442</c:v>
                </c:pt>
                <c:pt idx="499">
                  <c:v>-1</c:v>
                </c:pt>
              </c:numCache>
            </c:numRef>
          </c:xVal>
          <c:yVal>
            <c:numRef>
              <c:f>XLSTAT_20240903_164910_1_HID1!ycirclez1</c:f>
              <c:numCache>
                <c:formatCode>General</c:formatCode>
                <c:ptCount val="500"/>
                <c:pt idx="0">
                  <c:v>-3.2311393144413003E-15</c:v>
                </c:pt>
                <c:pt idx="1">
                  <c:v>-1.2591220998459735E-2</c:v>
                </c:pt>
                <c:pt idx="2">
                  <c:v>-2.5180445720141945E-2</c:v>
                </c:pt>
                <c:pt idx="3">
                  <c:v>-3.7765678204774195E-2</c:v>
                </c:pt>
                <c:pt idx="4">
                  <c:v>-5.0344923125031901E-2</c:v>
                </c:pt>
                <c:pt idx="5">
                  <c:v>-6.291618610288964E-2</c:v>
                </c:pt>
                <c:pt idx="6">
                  <c:v>-7.547747402581878E-2</c:v>
                </c:pt>
                <c:pt idx="7">
                  <c:v>-8.8026795362788374E-2</c:v>
                </c:pt>
                <c:pt idx="8">
                  <c:v>-0.10056216048001143</c:v>
                </c:pt>
                <c:pt idx="9">
                  <c:v>-0.1130815819563903</c:v>
                </c:pt>
                <c:pt idx="10">
                  <c:v>-0.12558307489861525</c:v>
                </c:pt>
                <c:pt idx="11">
                  <c:v>-0.1380646572558584</c:v>
                </c:pt>
                <c:pt idx="12">
                  <c:v>-0.15052435013401677</c:v>
                </c:pt>
                <c:pt idx="13">
                  <c:v>-0.16296017810945904</c:v>
                </c:pt>
                <c:pt idx="14">
                  <c:v>-0.17537016954221801</c:v>
                </c:pt>
                <c:pt idx="15">
                  <c:v>-0.18775235688858319</c:v>
                </c:pt>
                <c:pt idx="16">
                  <c:v>-0.20010477701304791</c:v>
                </c:pt>
                <c:pt idx="17">
                  <c:v>-0.21242547149955354</c:v>
                </c:pt>
                <c:pt idx="18">
                  <c:v>-0.22471248696198562</c:v>
                </c:pt>
                <c:pt idx="19">
                  <c:v>-0.23696387535387617</c:v>
                </c:pt>
                <c:pt idx="20">
                  <c:v>-0.24917769427725583</c:v>
                </c:pt>
                <c:pt idx="21">
                  <c:v>-0.2613520072906102</c:v>
                </c:pt>
                <c:pt idx="22">
                  <c:v>-0.27348488421589578</c:v>
                </c:pt>
                <c:pt idx="23">
                  <c:v>-0.28557440144455914</c:v>
                </c:pt>
                <c:pt idx="24">
                  <c:v>-0.29761864224251428</c:v>
                </c:pt>
                <c:pt idx="25">
                  <c:v>-0.30961569705403402</c:v>
                </c:pt>
                <c:pt idx="26">
                  <c:v>-0.32156366380449974</c:v>
                </c:pt>
                <c:pt idx="27">
                  <c:v>-0.33346064820196436</c:v>
                </c:pt>
                <c:pt idx="28">
                  <c:v>-0.345304764037486</c:v>
                </c:pt>
                <c:pt idx="29">
                  <c:v>-0.35709413348417585</c:v>
                </c:pt>
                <c:pt idx="30">
                  <c:v>-0.36882688739491704</c:v>
                </c:pt>
                <c:pt idx="31">
                  <c:v>-0.38050116559871172</c:v>
                </c:pt>
                <c:pt idx="32">
                  <c:v>-0.39211511719560044</c:v>
                </c:pt>
                <c:pt idx="33">
                  <c:v>-0.40366690085011231</c:v>
                </c:pt>
                <c:pt idx="34">
                  <c:v>-0.41515468508320219</c:v>
                </c:pt>
                <c:pt idx="35">
                  <c:v>-0.42657664856262156</c:v>
                </c:pt>
                <c:pt idx="36">
                  <c:v>-0.43793098039168077</c:v>
                </c:pt>
                <c:pt idx="37">
                  <c:v>-0.44921588039636001</c:v>
                </c:pt>
                <c:pt idx="38">
                  <c:v>-0.46042955941071717</c:v>
                </c:pt>
                <c:pt idx="39">
                  <c:v>-0.47157023956055033</c:v>
                </c:pt>
                <c:pt idx="40">
                  <c:v>-0.48263615454527298</c:v>
                </c:pt>
                <c:pt idx="41">
                  <c:v>-0.4936255499179516</c:v>
                </c:pt>
                <c:pt idx="42">
                  <c:v>-0.50453668336346336</c:v>
                </c:pt>
                <c:pt idx="43">
                  <c:v>-0.51536782497473399</c:v>
                </c:pt>
                <c:pt idx="44">
                  <c:v>-0.52611725752700511</c:v>
                </c:pt>
                <c:pt idx="45">
                  <c:v>-0.53678327675009052</c:v>
                </c:pt>
                <c:pt idx="46">
                  <c:v>-0.54736419159858218</c:v>
                </c:pt>
                <c:pt idx="47">
                  <c:v>-0.55785832451995665</c:v>
                </c:pt>
                <c:pt idx="48">
                  <c:v>-0.56826401172054075</c:v>
                </c:pt>
                <c:pt idx="49">
                  <c:v>-0.57857960342930126</c:v>
                </c:pt>
                <c:pt idx="50">
                  <c:v>-0.58880346415940599</c:v>
                </c:pt>
                <c:pt idx="51">
                  <c:v>-0.59893397296752204</c:v>
                </c:pt>
                <c:pt idx="52">
                  <c:v>-0.60896952371081003</c:v>
                </c:pt>
                <c:pt idx="53">
                  <c:v>-0.61890852530156926</c:v>
                </c:pt>
                <c:pt idx="54">
                  <c:v>-0.62874940195949613</c:v>
                </c:pt>
                <c:pt idx="55">
                  <c:v>-0.63849059346151837</c:v>
                </c:pt>
                <c:pt idx="56">
                  <c:v>-0.64813055538915954</c:v>
                </c:pt>
                <c:pt idx="57">
                  <c:v>-0.65766775937339839</c:v>
                </c:pt>
                <c:pt idx="58">
                  <c:v>-0.66710069333698618</c:v>
                </c:pt>
                <c:pt idx="59">
                  <c:v>-0.67642786173417824</c:v>
                </c:pt>
                <c:pt idx="60">
                  <c:v>-0.68564778578784435</c:v>
                </c:pt>
                <c:pt idx="61">
                  <c:v>-0.69475900372392385</c:v>
                </c:pt>
                <c:pt idx="62">
                  <c:v>-0.70376007100318139</c:v>
                </c:pt>
                <c:pt idx="63">
                  <c:v>-0.71264956055023099</c:v>
                </c:pt>
                <c:pt idx="64">
                  <c:v>-0.72142606297979406</c:v>
                </c:pt>
                <c:pt idx="65">
                  <c:v>-0.73008818682014875</c:v>
                </c:pt>
                <c:pt idx="66">
                  <c:v>-0.73863455873374106</c:v>
                </c:pt>
                <c:pt idx="67">
                  <c:v>-0.74706382373492208</c:v>
                </c:pt>
                <c:pt idx="68">
                  <c:v>-0.75537464540477328</c:v>
                </c:pt>
                <c:pt idx="69">
                  <c:v>-0.76356570610298924</c:v>
                </c:pt>
                <c:pt idx="70">
                  <c:v>-0.77163570717678376</c:v>
                </c:pt>
                <c:pt idx="71">
                  <c:v>-0.77958336916678495</c:v>
                </c:pt>
                <c:pt idx="72">
                  <c:v>-0.78740743200988572</c:v>
                </c:pt>
                <c:pt idx="73">
                  <c:v>-0.79510665523902302</c:v>
                </c:pt>
                <c:pt idx="74">
                  <c:v>-0.80267981817984635</c:v>
                </c:pt>
                <c:pt idx="75">
                  <c:v>-0.81012572014424955</c:v>
                </c:pt>
                <c:pt idx="76">
                  <c:v>-0.81744318062073507</c:v>
                </c:pt>
                <c:pt idx="77">
                  <c:v>-0.8246310394615779</c:v>
                </c:pt>
                <c:pt idx="78">
                  <c:v>-0.83168815706676069</c:v>
                </c:pt>
                <c:pt idx="79">
                  <c:v>-0.83861341456465288</c:v>
                </c:pt>
                <c:pt idx="80">
                  <c:v>-0.84540571398940179</c:v>
                </c:pt>
                <c:pt idx="81">
                  <c:v>-0.85206397845500914</c:v>
                </c:pt>
                <c:pt idx="82">
                  <c:v>-0.85858715232606742</c:v>
                </c:pt>
                <c:pt idx="83">
                  <c:v>-0.86497420138512493</c:v>
                </c:pt>
                <c:pt idx="84">
                  <c:v>-0.8712241129966557</c:v>
                </c:pt>
                <c:pt idx="85">
                  <c:v>-0.87733589626760855</c:v>
                </c:pt>
                <c:pt idx="86">
                  <c:v>-0.88330858220450814</c:v>
                </c:pt>
                <c:pt idx="87">
                  <c:v>-0.88914122386708372</c:v>
                </c:pt>
                <c:pt idx="88">
                  <c:v>-0.89483289651840248</c:v>
                </c:pt>
                <c:pt idx="89">
                  <c:v>-0.90038269777148217</c:v>
                </c:pt>
                <c:pt idx="90">
                  <c:v>-0.9057897477323591</c:v>
                </c:pt>
                <c:pt idx="91">
                  <c:v>-0.91105318913959277</c:v>
                </c:pt>
                <c:pt idx="92">
                  <c:v>-0.91617218750017881</c:v>
                </c:pt>
                <c:pt idx="93">
                  <c:v>-0.92114593122185473</c:v>
                </c:pt>
                <c:pt idx="94">
                  <c:v>-0.92597363174177405</c:v>
                </c:pt>
                <c:pt idx="95">
                  <c:v>-0.93065452365152812</c:v>
                </c:pt>
                <c:pt idx="96">
                  <c:v>-0.93518786481849892</c:v>
                </c:pt>
                <c:pt idx="97">
                  <c:v>-0.93957293650352025</c:v>
                </c:pt>
                <c:pt idx="98">
                  <c:v>-0.94380904347483008</c:v>
                </c:pt>
                <c:pt idx="99">
                  <c:v>-0.9478955141182962</c:v>
                </c:pt>
                <c:pt idx="100">
                  <c:v>-0.95183170054389787</c:v>
                </c:pt>
                <c:pt idx="101">
                  <c:v>-0.95561697868844497</c:v>
                </c:pt>
                <c:pt idx="102">
                  <c:v>-0.95925074841452074</c:v>
                </c:pt>
                <c:pt idx="103">
                  <c:v>-0.96273243360562999</c:v>
                </c:pt>
                <c:pt idx="104">
                  <c:v>-0.9660614822575404</c:v>
                </c:pt>
                <c:pt idx="105">
                  <c:v>-0.96923736656579929</c:v>
                </c:pt>
                <c:pt idx="106">
                  <c:v>-0.97225958300941495</c:v>
                </c:pt>
                <c:pt idx="107">
                  <c:v>-0.97512765243068744</c:v>
                </c:pt>
                <c:pt idx="108">
                  <c:v>-0.97784112011117641</c:v>
                </c:pt>
                <c:pt idx="109">
                  <c:v>-0.98039955584379457</c:v>
                </c:pt>
                <c:pt idx="110">
                  <c:v>-0.98280255400101535</c:v>
                </c:pt>
                <c:pt idx="111">
                  <c:v>-0.98504973359918258</c:v>
                </c:pt>
                <c:pt idx="112">
                  <c:v>-0.98714073835891369</c:v>
                </c:pt>
                <c:pt idx="113">
                  <c:v>-0.98907523676158671</c:v>
                </c:pt>
                <c:pt idx="114">
                  <c:v>-0.99085292210190001</c:v>
                </c:pt>
                <c:pt idx="115">
                  <c:v>-0.99247351253649974</c:v>
                </c:pt>
                <c:pt idx="116">
                  <c:v>-0.99393675112866398</c:v>
                </c:pt>
                <c:pt idx="117">
                  <c:v>-0.99524240588903934</c:v>
                </c:pt>
                <c:pt idx="118">
                  <c:v>-0.99639026981242185</c:v>
                </c:pt>
                <c:pt idx="119">
                  <c:v>-0.99738016091057591</c:v>
                </c:pt>
                <c:pt idx="120">
                  <c:v>-0.99821192224108835</c:v>
                </c:pt>
                <c:pt idx="121">
                  <c:v>-0.99888542193225072</c:v>
                </c:pt>
                <c:pt idx="122">
                  <c:v>-0.99940055320396648</c:v>
                </c:pt>
                <c:pt idx="123">
                  <c:v>-0.99975723438468123</c:v>
                </c:pt>
                <c:pt idx="124">
                  <c:v>-0.99995540892433044</c:v>
                </c:pt>
                <c:pt idx="125">
                  <c:v>-0.99999504540330608</c:v>
                </c:pt>
                <c:pt idx="126">
                  <c:v>-0.9998761375374372</c:v>
                </c:pt>
                <c:pt idx="127">
                  <c:v>-0.99959870417898711</c:v>
                </c:pt>
                <c:pt idx="128">
                  <c:v>-0.99916278931366376</c:v>
                </c:pt>
                <c:pt idx="129">
                  <c:v>-0.99856846205364613</c:v>
                </c:pt>
                <c:pt idx="130">
                  <c:v>-0.99781581662662744</c:v>
                </c:pt>
                <c:pt idx="131">
                  <c:v>-0.99690497236087472</c:v>
                </c:pt>
                <c:pt idx="132">
                  <c:v>-0.99583607366631099</c:v>
                </c:pt>
                <c:pt idx="133">
                  <c:v>-0.99460929001161924</c:v>
                </c:pt>
                <c:pt idx="134">
                  <c:v>-0.99322481589737377</c:v>
                </c:pt>
                <c:pt idx="135">
                  <c:v>-0.99168287082520357</c:v>
                </c:pt>
                <c:pt idx="136">
                  <c:v>-0.98998369926299112</c:v>
                </c:pt>
                <c:pt idx="137">
                  <c:v>-0.98812757060611334</c:v>
                </c:pt>
                <c:pt idx="138">
                  <c:v>-0.98611477913473</c:v>
                </c:pt>
                <c:pt idx="139">
                  <c:v>-0.98394564396712747</c:v>
                </c:pt>
                <c:pt idx="140">
                  <c:v>-0.98162050900912357</c:v>
                </c:pt>
                <c:pt idx="141">
                  <c:v>-0.97913974289954353</c:v>
                </c:pt>
                <c:pt idx="142">
                  <c:v>-0.97650373895177345</c:v>
                </c:pt>
                <c:pt idx="143">
                  <c:v>-0.9737129150914029</c:v>
                </c:pt>
                <c:pt idx="144">
                  <c:v>-0.97076771378996474</c:v>
                </c:pt>
                <c:pt idx="145">
                  <c:v>-0.96766860199478322</c:v>
                </c:pt>
                <c:pt idx="146">
                  <c:v>-0.96441607105494198</c:v>
                </c:pt>
                <c:pt idx="147">
                  <c:v>-0.96101063664338282</c:v>
                </c:pt>
                <c:pt idx="148">
                  <c:v>-0.95745283867514874</c:v>
                </c:pt>
                <c:pt idx="149">
                  <c:v>-0.95374324122178211</c:v>
                </c:pt>
                <c:pt idx="150">
                  <c:v>-0.94988243242189507</c:v>
                </c:pt>
                <c:pt idx="151">
                  <c:v>-0.94587102438792203</c:v>
                </c:pt>
                <c:pt idx="152">
                  <c:v>-0.94170965310907273</c:v>
                </c:pt>
                <c:pt idx="153">
                  <c:v>-0.93739897835049901</c:v>
                </c:pt>
                <c:pt idx="154">
                  <c:v>-0.93293968354869272</c:v>
                </c:pt>
                <c:pt idx="155">
                  <c:v>-0.92833247570312916</c:v>
                </c:pt>
                <c:pt idx="156">
                  <c:v>-0.92357808526417717</c:v>
                </c:pt>
                <c:pt idx="157">
                  <c:v>-0.91867726601728883</c:v>
                </c:pt>
                <c:pt idx="158">
                  <c:v>-0.9136307949634902</c:v>
                </c:pt>
                <c:pt idx="159">
                  <c:v>-0.9084394721961927</c:v>
                </c:pt>
                <c:pt idx="160">
                  <c:v>-0.90310412077434099</c:v>
                </c:pt>
                <c:pt idx="161">
                  <c:v>-0.89762558659192215</c:v>
                </c:pt>
                <c:pt idx="162">
                  <c:v>-0.89200473824385229</c:v>
                </c:pt>
                <c:pt idx="163">
                  <c:v>-0.88624246688826536</c:v>
                </c:pt>
                <c:pt idx="164">
                  <c:v>-0.88033968610522495</c:v>
                </c:pt>
                <c:pt idx="165">
                  <c:v>-0.87429733175187974</c:v>
                </c:pt>
                <c:pt idx="166">
                  <c:v>-0.86811636181408813</c:v>
                </c:pt>
                <c:pt idx="167">
                  <c:v>-0.86179775625453536</c:v>
                </c:pt>
                <c:pt idx="168">
                  <c:v>-0.85534251685736318</c:v>
                </c:pt>
                <c:pt idx="169">
                  <c:v>-0.84875166706934335</c:v>
                </c:pt>
                <c:pt idx="170">
                  <c:v>-0.84202625183761515</c:v>
                </c:pt>
                <c:pt idx="171">
                  <c:v>-0.83516733744401306</c:v>
                </c:pt>
                <c:pt idx="172">
                  <c:v>-0.8281760113360136</c:v>
                </c:pt>
                <c:pt idx="173">
                  <c:v>-0.82105338195432642</c:v>
                </c:pt>
                <c:pt idx="174">
                  <c:v>-0.81380057855715537</c:v>
                </c:pt>
                <c:pt idx="175">
                  <c:v>-0.80641875104116034</c:v>
                </c:pt>
                <c:pt idx="176">
                  <c:v>-0.79890906975914755</c:v>
                </c:pt>
                <c:pt idx="177">
                  <c:v>-0.79127272533451476</c:v>
                </c:pt>
                <c:pt idx="178">
                  <c:v>-0.78351092847248416</c:v>
                </c:pt>
                <c:pt idx="179">
                  <c:v>-0.77562490976815157</c:v>
                </c:pt>
                <c:pt idx="180">
                  <c:v>-0.76761591951138042</c:v>
                </c:pt>
                <c:pt idx="181">
                  <c:v>-0.75948522748857461</c:v>
                </c:pt>
                <c:pt idx="182">
                  <c:v>-0.75123412278136181</c:v>
                </c:pt>
                <c:pt idx="183">
                  <c:v>-0.74286391356221293</c:v>
                </c:pt>
                <c:pt idx="184">
                  <c:v>-0.73437592688703979</c:v>
                </c:pt>
                <c:pt idx="185">
                  <c:v>-0.72577150848479688</c:v>
                </c:pt>
                <c:pt idx="186">
                  <c:v>-0.71705202254412126</c:v>
                </c:pt>
                <c:pt idx="187">
                  <c:v>-0.70821885149704789</c:v>
                </c:pt>
                <c:pt idx="188">
                  <c:v>-0.69927339579983261</c:v>
                </c:pt>
                <c:pt idx="189">
                  <c:v>-0.6902170737109149</c:v>
                </c:pt>
                <c:pt idx="190">
                  <c:v>-0.6810513210660607</c:v>
                </c:pt>
                <c:pt idx="191">
                  <c:v>-0.67177759105071866</c:v>
                </c:pt>
                <c:pt idx="192">
                  <c:v>-0.66239735396962285</c:v>
                </c:pt>
                <c:pt idx="193">
                  <c:v>-0.65291209701368369</c:v>
                </c:pt>
                <c:pt idx="194">
                  <c:v>-0.64332332402420278</c:v>
                </c:pt>
                <c:pt idx="195">
                  <c:v>-0.63363255525444295</c:v>
                </c:pt>
                <c:pt idx="196">
                  <c:v>-0.62384132712860307</c:v>
                </c:pt>
                <c:pt idx="197">
                  <c:v>-0.61395119199822235</c:v>
                </c:pt>
                <c:pt idx="198">
                  <c:v>-0.60396371789606418</c:v>
                </c:pt>
                <c:pt idx="199">
                  <c:v>-0.59388048828751272</c:v>
                </c:pt>
                <c:pt idx="200">
                  <c:v>-0.58370310181952068</c:v>
                </c:pt>
                <c:pt idx="201">
                  <c:v>-0.57343317206715205</c:v>
                </c:pt>
                <c:pt idx="202">
                  <c:v>-0.56307232727775902</c:v>
                </c:pt>
                <c:pt idx="203">
                  <c:v>-0.55262221011282897</c:v>
                </c:pt>
                <c:pt idx="204">
                  <c:v>-0.54208447738755017</c:v>
                </c:pt>
                <c:pt idx="205">
                  <c:v>-0.53146079980813188</c:v>
                </c:pt>
                <c:pt idx="206">
                  <c:v>-0.52075286170692059</c:v>
                </c:pt>
                <c:pt idx="207">
                  <c:v>-0.50996236077535817</c:v>
                </c:pt>
                <c:pt idx="208">
                  <c:v>-0.49909100779482252</c:v>
                </c:pt>
                <c:pt idx="209">
                  <c:v>-0.48814052636538874</c:v>
                </c:pt>
                <c:pt idx="210">
                  <c:v>-0.47711265263256231</c:v>
                </c:pt>
                <c:pt idx="211">
                  <c:v>-0.46600913501202273</c:v>
                </c:pt>
                <c:pt idx="212">
                  <c:v>-0.45483173391241832</c:v>
                </c:pt>
                <c:pt idx="213">
                  <c:v>-0.44358222145626325</c:v>
                </c:pt>
                <c:pt idx="214">
                  <c:v>-0.43226238119897725</c:v>
                </c:pt>
                <c:pt idx="215">
                  <c:v>-0.4208740078461094</c:v>
                </c:pt>
                <c:pt idx="216">
                  <c:v>-0.40941890696879712</c:v>
                </c:pt>
                <c:pt idx="217">
                  <c:v>-0.39789889471750334</c:v>
                </c:pt>
                <c:pt idx="218">
                  <c:v>-0.38631579753407186</c:v>
                </c:pt>
                <c:pt idx="219">
                  <c:v>-0.37467145186215534</c:v>
                </c:pt>
                <c:pt idx="220">
                  <c:v>-0.3629677038560572</c:v>
                </c:pt>
                <c:pt idx="221">
                  <c:v>-0.35120640908803058</c:v>
                </c:pt>
                <c:pt idx="222">
                  <c:v>-0.3393894322540873</c:v>
                </c:pt>
                <c:pt idx="223">
                  <c:v>-0.32751864687836102</c:v>
                </c:pt>
                <c:pt idx="224">
                  <c:v>-0.31559593501606631</c:v>
                </c:pt>
                <c:pt idx="225">
                  <c:v>-0.30362318695510926</c:v>
                </c:pt>
                <c:pt idx="226">
                  <c:v>-0.29160230091639305</c:v>
                </c:pt>
                <c:pt idx="227">
                  <c:v>-0.27953518275286143</c:v>
                </c:pt>
                <c:pt idx="228">
                  <c:v>-0.26742374564733634</c:v>
                </c:pt>
                <c:pt idx="229">
                  <c:v>-0.25526990980919356</c:v>
                </c:pt>
                <c:pt idx="230">
                  <c:v>-0.24307560216992019</c:v>
                </c:pt>
                <c:pt idx="231">
                  <c:v>-0.23084275607761018</c:v>
                </c:pt>
                <c:pt idx="232">
                  <c:v>-0.21857331099044294</c:v>
                </c:pt>
                <c:pt idx="233">
                  <c:v>-0.206269212169189</c:v>
                </c:pt>
                <c:pt idx="234">
                  <c:v>-0.1939324103687996</c:v>
                </c:pt>
                <c:pt idx="235">
                  <c:v>-0.18156486152912546</c:v>
                </c:pt>
                <c:pt idx="236">
                  <c:v>-0.16916852646480929</c:v>
                </c:pt>
                <c:pt idx="237">
                  <c:v>-0.15674537055440954</c:v>
                </c:pt>
                <c:pt idx="238">
                  <c:v>-0.14429736342880053</c:v>
                </c:pt>
                <c:pt idx="239">
                  <c:v>-0.13182647865889446</c:v>
                </c:pt>
                <c:pt idx="240">
                  <c:v>-0.11933469344274253</c:v>
                </c:pt>
                <c:pt idx="241">
                  <c:v>-0.1068239882920613</c:v>
                </c:pt>
                <c:pt idx="242">
                  <c:v>-9.4296346718229507E-2</c:v>
                </c:pt>
                <c:pt idx="243">
                  <c:v>-8.1753754917813268E-2</c:v>
                </c:pt>
                <c:pt idx="244">
                  <c:v>-6.919820145766567E-2</c:v>
                </c:pt>
                <c:pt idx="245">
                  <c:v>-5.6631676959646479E-2</c:v>
                </c:pt>
                <c:pt idx="246">
                  <c:v>-4.4056173785020115E-2</c:v>
                </c:pt>
                <c:pt idx="247">
                  <c:v>-3.1473685718577782E-2</c:v>
                </c:pt>
                <c:pt idx="248">
                  <c:v>-1.8886207652529921E-2</c:v>
                </c:pt>
                <c:pt idx="249">
                  <c:v>-6.2957352702271195E-3</c:v>
                </c:pt>
                <c:pt idx="250">
                  <c:v>6.295735270244439E-3</c:v>
                </c:pt>
                <c:pt idx="251">
                  <c:v>1.8886207652546793E-2</c:v>
                </c:pt>
                <c:pt idx="252">
                  <c:v>3.1473685718595094E-2</c:v>
                </c:pt>
                <c:pt idx="253">
                  <c:v>4.4056173785037421E-2</c:v>
                </c:pt>
                <c:pt idx="254">
                  <c:v>5.6631676959663327E-2</c:v>
                </c:pt>
                <c:pt idx="255">
                  <c:v>6.9198201457682948E-2</c:v>
                </c:pt>
                <c:pt idx="256">
                  <c:v>8.1753754917830532E-2</c:v>
                </c:pt>
                <c:pt idx="257">
                  <c:v>9.4296346718246313E-2</c:v>
                </c:pt>
                <c:pt idx="258">
                  <c:v>0.10682398829207852</c:v>
                </c:pt>
                <c:pt idx="259">
                  <c:v>0.11933469344275972</c:v>
                </c:pt>
                <c:pt idx="260">
                  <c:v>0.13182647865891117</c:v>
                </c:pt>
                <c:pt idx="261">
                  <c:v>0.14429736342881769</c:v>
                </c:pt>
                <c:pt idx="262">
                  <c:v>0.15674537055442664</c:v>
                </c:pt>
                <c:pt idx="263">
                  <c:v>0.16916852646482591</c:v>
                </c:pt>
                <c:pt idx="264">
                  <c:v>0.1815648615291425</c:v>
                </c:pt>
                <c:pt idx="265">
                  <c:v>0.19393241036881659</c:v>
                </c:pt>
                <c:pt idx="266">
                  <c:v>0.20626921216920552</c:v>
                </c:pt>
                <c:pt idx="267">
                  <c:v>0.21857331099045985</c:v>
                </c:pt>
                <c:pt idx="268">
                  <c:v>0.23084275607762703</c:v>
                </c:pt>
                <c:pt idx="269">
                  <c:v>0.24307560216993654</c:v>
                </c:pt>
                <c:pt idx="270">
                  <c:v>0.25526990980921033</c:v>
                </c:pt>
                <c:pt idx="271">
                  <c:v>0.267423745647353</c:v>
                </c:pt>
                <c:pt idx="272">
                  <c:v>0.27953518275287759</c:v>
                </c:pt>
                <c:pt idx="273">
                  <c:v>0.29160230091640965</c:v>
                </c:pt>
                <c:pt idx="274">
                  <c:v>0.3036231869551258</c:v>
                </c:pt>
                <c:pt idx="275">
                  <c:v>0.3155959350160823</c:v>
                </c:pt>
                <c:pt idx="276">
                  <c:v>0.3275186468783774</c:v>
                </c:pt>
                <c:pt idx="277">
                  <c:v>0.33938943225410362</c:v>
                </c:pt>
                <c:pt idx="278">
                  <c:v>0.35120640908804635</c:v>
                </c:pt>
                <c:pt idx="279">
                  <c:v>0.36296770385607335</c:v>
                </c:pt>
                <c:pt idx="280">
                  <c:v>0.37467145186217138</c:v>
                </c:pt>
                <c:pt idx="281">
                  <c:v>0.3863157975340874</c:v>
                </c:pt>
                <c:pt idx="282">
                  <c:v>0.39789889471751921</c:v>
                </c:pt>
                <c:pt idx="283">
                  <c:v>0.40941890696881295</c:v>
                </c:pt>
                <c:pt idx="284">
                  <c:v>0.42087400784612472</c:v>
                </c:pt>
                <c:pt idx="285">
                  <c:v>0.43226238119899291</c:v>
                </c:pt>
                <c:pt idx="286">
                  <c:v>0.44358222145627879</c:v>
                </c:pt>
                <c:pt idx="287">
                  <c:v>0.45483173391243337</c:v>
                </c:pt>
                <c:pt idx="288">
                  <c:v>0.46600913501203806</c:v>
                </c:pt>
                <c:pt idx="289">
                  <c:v>0.47711265263257752</c:v>
                </c:pt>
                <c:pt idx="290">
                  <c:v>0.48814052636540345</c:v>
                </c:pt>
                <c:pt idx="291">
                  <c:v>0.49909100779483756</c:v>
                </c:pt>
                <c:pt idx="292">
                  <c:v>0.50996236077537316</c:v>
                </c:pt>
                <c:pt idx="293">
                  <c:v>0.52075286170693491</c:v>
                </c:pt>
                <c:pt idx="294">
                  <c:v>0.53146079980814653</c:v>
                </c:pt>
                <c:pt idx="295">
                  <c:v>0.54208447738756471</c:v>
                </c:pt>
                <c:pt idx="296">
                  <c:v>0.55262221011284307</c:v>
                </c:pt>
                <c:pt idx="297">
                  <c:v>0.56307232727777323</c:v>
                </c:pt>
                <c:pt idx="298">
                  <c:v>0.57343317206716626</c:v>
                </c:pt>
                <c:pt idx="299">
                  <c:v>0.58370310181953444</c:v>
                </c:pt>
                <c:pt idx="300">
                  <c:v>0.59388048828752671</c:v>
                </c:pt>
                <c:pt idx="301">
                  <c:v>0.60396371789607795</c:v>
                </c:pt>
                <c:pt idx="302">
                  <c:v>0.61395119199823567</c:v>
                </c:pt>
                <c:pt idx="303">
                  <c:v>0.62384132712861662</c:v>
                </c:pt>
                <c:pt idx="304">
                  <c:v>0.63363255525445639</c:v>
                </c:pt>
                <c:pt idx="305">
                  <c:v>0.64332332402421566</c:v>
                </c:pt>
                <c:pt idx="306">
                  <c:v>0.65291209701369679</c:v>
                </c:pt>
                <c:pt idx="307">
                  <c:v>0.66239735396963551</c:v>
                </c:pt>
                <c:pt idx="308">
                  <c:v>0.6717775910507312</c:v>
                </c:pt>
                <c:pt idx="309">
                  <c:v>0.68105132106607336</c:v>
                </c:pt>
                <c:pt idx="310">
                  <c:v>0.69021707371092711</c:v>
                </c:pt>
                <c:pt idx="311">
                  <c:v>0.69927339579984471</c:v>
                </c:pt>
                <c:pt idx="312">
                  <c:v>0.7082188514970601</c:v>
                </c:pt>
                <c:pt idx="313">
                  <c:v>0.71705202254413303</c:v>
                </c:pt>
                <c:pt idx="314">
                  <c:v>0.72577150848480843</c:v>
                </c:pt>
                <c:pt idx="315">
                  <c:v>0.73437592688705156</c:v>
                </c:pt>
                <c:pt idx="316">
                  <c:v>0.74286391356222425</c:v>
                </c:pt>
                <c:pt idx="317">
                  <c:v>0.75123412278137291</c:v>
                </c:pt>
                <c:pt idx="318">
                  <c:v>0.7594852274885856</c:v>
                </c:pt>
                <c:pt idx="319">
                  <c:v>0.76761591951139119</c:v>
                </c:pt>
                <c:pt idx="320">
                  <c:v>0.77562490976816245</c:v>
                </c:pt>
                <c:pt idx="321">
                  <c:v>0.78351092847249459</c:v>
                </c:pt>
                <c:pt idx="322">
                  <c:v>0.79127272533452508</c:v>
                </c:pt>
                <c:pt idx="323">
                  <c:v>0.79890906975915799</c:v>
                </c:pt>
                <c:pt idx="324">
                  <c:v>0.80641875104117022</c:v>
                </c:pt>
                <c:pt idx="325">
                  <c:v>0.81380057855716526</c:v>
                </c:pt>
                <c:pt idx="326">
                  <c:v>0.8210533819543363</c:v>
                </c:pt>
                <c:pt idx="327">
                  <c:v>0.82817601133602303</c:v>
                </c:pt>
                <c:pt idx="328">
                  <c:v>0.83516733744402227</c:v>
                </c:pt>
                <c:pt idx="329">
                  <c:v>0.84202625183762447</c:v>
                </c:pt>
                <c:pt idx="330">
                  <c:v>0.84875166706935223</c:v>
                </c:pt>
                <c:pt idx="331">
                  <c:v>0.85534251685737195</c:v>
                </c:pt>
                <c:pt idx="332">
                  <c:v>0.86179775625454413</c:v>
                </c:pt>
                <c:pt idx="333">
                  <c:v>0.86811636181409657</c:v>
                </c:pt>
                <c:pt idx="334">
                  <c:v>0.87429733175188784</c:v>
                </c:pt>
                <c:pt idx="335">
                  <c:v>0.88033968610523317</c:v>
                </c:pt>
                <c:pt idx="336">
                  <c:v>0.88624246688827313</c:v>
                </c:pt>
                <c:pt idx="337">
                  <c:v>0.89200473824385995</c:v>
                </c:pt>
                <c:pt idx="338">
                  <c:v>0.89762558659192981</c:v>
                </c:pt>
                <c:pt idx="339">
                  <c:v>0.90310412077434821</c:v>
                </c:pt>
                <c:pt idx="340">
                  <c:v>0.90843947219619969</c:v>
                </c:pt>
                <c:pt idx="341">
                  <c:v>0.91363079496349719</c:v>
                </c:pt>
                <c:pt idx="342">
                  <c:v>0.91867726601729538</c:v>
                </c:pt>
                <c:pt idx="343">
                  <c:v>0.92357808526418372</c:v>
                </c:pt>
                <c:pt idx="344">
                  <c:v>0.9283324757031356</c:v>
                </c:pt>
                <c:pt idx="345">
                  <c:v>0.93293968354869872</c:v>
                </c:pt>
                <c:pt idx="346">
                  <c:v>0.93739897835050501</c:v>
                </c:pt>
                <c:pt idx="347">
                  <c:v>0.9417096531090785</c:v>
                </c:pt>
                <c:pt idx="348">
                  <c:v>0.94587102438792747</c:v>
                </c:pt>
                <c:pt idx="349">
                  <c:v>0.9498824324219004</c:v>
                </c:pt>
                <c:pt idx="350">
                  <c:v>0.95374324122178733</c:v>
                </c:pt>
                <c:pt idx="351">
                  <c:v>0.95745283867515352</c:v>
                </c:pt>
                <c:pt idx="352">
                  <c:v>0.96101063664338759</c:v>
                </c:pt>
                <c:pt idx="353">
                  <c:v>0.96441607105494653</c:v>
                </c:pt>
                <c:pt idx="354">
                  <c:v>0.96766860199478744</c:v>
                </c:pt>
                <c:pt idx="355">
                  <c:v>0.97076771378996884</c:v>
                </c:pt>
                <c:pt idx="356">
                  <c:v>0.97371291509140678</c:v>
                </c:pt>
                <c:pt idx="357">
                  <c:v>0.976503738951777</c:v>
                </c:pt>
                <c:pt idx="358">
                  <c:v>0.97913974289954697</c:v>
                </c:pt>
                <c:pt idx="359">
                  <c:v>0.9816205090091269</c:v>
                </c:pt>
                <c:pt idx="360">
                  <c:v>0.98394564396713047</c:v>
                </c:pt>
                <c:pt idx="361">
                  <c:v>0.98611477913473278</c:v>
                </c:pt>
                <c:pt idx="362">
                  <c:v>0.988127570606116</c:v>
                </c:pt>
                <c:pt idx="363">
                  <c:v>0.98998369926299346</c:v>
                </c:pt>
                <c:pt idx="364">
                  <c:v>0.99168287082520579</c:v>
                </c:pt>
                <c:pt idx="365">
                  <c:v>0.99322481589737577</c:v>
                </c:pt>
                <c:pt idx="366">
                  <c:v>0.99460929001162102</c:v>
                </c:pt>
                <c:pt idx="367">
                  <c:v>0.99583607366631266</c:v>
                </c:pt>
                <c:pt idx="368">
                  <c:v>0.99690497236087605</c:v>
                </c:pt>
                <c:pt idx="369">
                  <c:v>0.99781581662662855</c:v>
                </c:pt>
                <c:pt idx="370">
                  <c:v>0.99856846205364713</c:v>
                </c:pt>
                <c:pt idx="371">
                  <c:v>0.99916278931366442</c:v>
                </c:pt>
                <c:pt idx="372">
                  <c:v>0.99959870417898766</c:v>
                </c:pt>
                <c:pt idx="373">
                  <c:v>0.99987613753743754</c:v>
                </c:pt>
                <c:pt idx="374">
                  <c:v>0.99999504540330608</c:v>
                </c:pt>
                <c:pt idx="375">
                  <c:v>0.99995540892433032</c:v>
                </c:pt>
                <c:pt idx="376">
                  <c:v>0.99975723438468078</c:v>
                </c:pt>
                <c:pt idx="377">
                  <c:v>0.99940055320396592</c:v>
                </c:pt>
                <c:pt idx="378">
                  <c:v>0.99888542193224994</c:v>
                </c:pt>
                <c:pt idx="379">
                  <c:v>0.99821192224108735</c:v>
                </c:pt>
                <c:pt idx="380">
                  <c:v>0.99738016091057469</c:v>
                </c:pt>
                <c:pt idx="381">
                  <c:v>0.9963902698124204</c:v>
                </c:pt>
                <c:pt idx="382">
                  <c:v>0.99524240588903767</c:v>
                </c:pt>
                <c:pt idx="383">
                  <c:v>0.99393675112866198</c:v>
                </c:pt>
                <c:pt idx="384">
                  <c:v>0.99247351253649763</c:v>
                </c:pt>
                <c:pt idx="385">
                  <c:v>0.99085292210189779</c:v>
                </c:pt>
                <c:pt idx="386">
                  <c:v>0.98907523676158415</c:v>
                </c:pt>
                <c:pt idx="387">
                  <c:v>0.98714073835891092</c:v>
                </c:pt>
                <c:pt idx="388">
                  <c:v>0.98504973359917958</c:v>
                </c:pt>
                <c:pt idx="389">
                  <c:v>0.98280255400101213</c:v>
                </c:pt>
                <c:pt idx="390">
                  <c:v>0.98039955584379113</c:v>
                </c:pt>
                <c:pt idx="391">
                  <c:v>0.97784112011117286</c:v>
                </c:pt>
                <c:pt idx="392">
                  <c:v>0.97512765243068356</c:v>
                </c:pt>
                <c:pt idx="393">
                  <c:v>0.97225958300941084</c:v>
                </c:pt>
                <c:pt idx="394">
                  <c:v>0.96923736656579507</c:v>
                </c:pt>
                <c:pt idx="395">
                  <c:v>0.96606148225753585</c:v>
                </c:pt>
                <c:pt idx="396">
                  <c:v>0.96273243360562522</c:v>
                </c:pt>
                <c:pt idx="397">
                  <c:v>0.95925074841451585</c:v>
                </c:pt>
                <c:pt idx="398">
                  <c:v>0.95561697868843987</c:v>
                </c:pt>
                <c:pt idx="399">
                  <c:v>0.95183170054389243</c:v>
                </c:pt>
                <c:pt idx="400">
                  <c:v>0.94789551411829076</c:v>
                </c:pt>
                <c:pt idx="401">
                  <c:v>0.94380904347482431</c:v>
                </c:pt>
                <c:pt idx="402">
                  <c:v>0.93957293650351426</c:v>
                </c:pt>
                <c:pt idx="403">
                  <c:v>0.93518786481849292</c:v>
                </c:pt>
                <c:pt idx="404">
                  <c:v>0.93065452365152179</c:v>
                </c:pt>
                <c:pt idx="405">
                  <c:v>0.92597363174176739</c:v>
                </c:pt>
                <c:pt idx="406">
                  <c:v>0.92114593122184818</c:v>
                </c:pt>
                <c:pt idx="407">
                  <c:v>0.91617218750017182</c:v>
                </c:pt>
                <c:pt idx="408">
                  <c:v>0.91105318913958555</c:v>
                </c:pt>
                <c:pt idx="409">
                  <c:v>0.90578974773235199</c:v>
                </c:pt>
                <c:pt idx="410">
                  <c:v>0.90038269777147462</c:v>
                </c:pt>
                <c:pt idx="411">
                  <c:v>0.8948328965183947</c:v>
                </c:pt>
                <c:pt idx="412">
                  <c:v>0.88914122386707595</c:v>
                </c:pt>
                <c:pt idx="413">
                  <c:v>0.88330858220450004</c:v>
                </c:pt>
                <c:pt idx="414">
                  <c:v>0.87733589626760022</c:v>
                </c:pt>
                <c:pt idx="415">
                  <c:v>0.87122411299664748</c:v>
                </c:pt>
                <c:pt idx="416">
                  <c:v>0.86497420138511627</c:v>
                </c:pt>
                <c:pt idx="417">
                  <c:v>0.85858715232605853</c:v>
                </c:pt>
                <c:pt idx="418">
                  <c:v>0.85206397845500026</c:v>
                </c:pt>
                <c:pt idx="419">
                  <c:v>0.84540571398939246</c:v>
                </c:pt>
                <c:pt idx="420">
                  <c:v>0.83861341456464344</c:v>
                </c:pt>
                <c:pt idx="421">
                  <c:v>0.83168815706675137</c:v>
                </c:pt>
                <c:pt idx="422">
                  <c:v>0.82463103946156813</c:v>
                </c:pt>
                <c:pt idx="423">
                  <c:v>0.81744318062072507</c:v>
                </c:pt>
                <c:pt idx="424">
                  <c:v>0.81012572014423967</c:v>
                </c:pt>
                <c:pt idx="425">
                  <c:v>0.80267981817983602</c:v>
                </c:pt>
                <c:pt idx="426">
                  <c:v>0.79510665523901247</c:v>
                </c:pt>
                <c:pt idx="427">
                  <c:v>0.7874074320098754</c:v>
                </c:pt>
                <c:pt idx="428">
                  <c:v>0.77958336916677407</c:v>
                </c:pt>
                <c:pt idx="429">
                  <c:v>0.77163570717677277</c:v>
                </c:pt>
                <c:pt idx="430">
                  <c:v>0.76356570610297836</c:v>
                </c:pt>
                <c:pt idx="431">
                  <c:v>0.75537464540476196</c:v>
                </c:pt>
                <c:pt idx="432">
                  <c:v>0.74706382373491054</c:v>
                </c:pt>
                <c:pt idx="433">
                  <c:v>0.73863455873372974</c:v>
                </c:pt>
                <c:pt idx="434">
                  <c:v>0.73008818682013699</c:v>
                </c:pt>
                <c:pt idx="435">
                  <c:v>0.72142606297978207</c:v>
                </c:pt>
                <c:pt idx="436">
                  <c:v>0.71264956055021922</c:v>
                </c:pt>
                <c:pt idx="437">
                  <c:v>0.70376007100316906</c:v>
                </c:pt>
                <c:pt idx="438">
                  <c:v>0.69475900372391142</c:v>
                </c:pt>
                <c:pt idx="439">
                  <c:v>0.68564778578783214</c:v>
                </c:pt>
                <c:pt idx="440">
                  <c:v>0.67642786173416547</c:v>
                </c:pt>
                <c:pt idx="441">
                  <c:v>0.6671006933369733</c:v>
                </c:pt>
                <c:pt idx="442">
                  <c:v>0.65766775937338562</c:v>
                </c:pt>
                <c:pt idx="443">
                  <c:v>0.64813055538914632</c:v>
                </c:pt>
                <c:pt idx="444">
                  <c:v>0.63849059346150505</c:v>
                </c:pt>
                <c:pt idx="445">
                  <c:v>0.62874940195948303</c:v>
                </c:pt>
                <c:pt idx="446">
                  <c:v>0.61890852530155571</c:v>
                </c:pt>
                <c:pt idx="447">
                  <c:v>0.60896952371079627</c:v>
                </c:pt>
                <c:pt idx="448">
                  <c:v>0.59893397296750861</c:v>
                </c:pt>
                <c:pt idx="449">
                  <c:v>0.588803464159392</c:v>
                </c:pt>
                <c:pt idx="450">
                  <c:v>0.57857960342928716</c:v>
                </c:pt>
                <c:pt idx="451">
                  <c:v>0.56826401172052687</c:v>
                </c:pt>
                <c:pt idx="452">
                  <c:v>0.55785832451994222</c:v>
                </c:pt>
                <c:pt idx="453">
                  <c:v>0.54736419159856775</c:v>
                </c:pt>
                <c:pt idx="454">
                  <c:v>0.5367832767500762</c:v>
                </c:pt>
                <c:pt idx="455">
                  <c:v>0.52611725752699035</c:v>
                </c:pt>
                <c:pt idx="456">
                  <c:v>0.51536782497471911</c:v>
                </c:pt>
                <c:pt idx="457">
                  <c:v>0.50453668336344881</c:v>
                </c:pt>
                <c:pt idx="458">
                  <c:v>0.4936255499179365</c:v>
                </c:pt>
                <c:pt idx="459">
                  <c:v>0.48263615454525777</c:v>
                </c:pt>
                <c:pt idx="460">
                  <c:v>0.47157023956053545</c:v>
                </c:pt>
                <c:pt idx="461">
                  <c:v>0.46042955941070179</c:v>
                </c:pt>
                <c:pt idx="462">
                  <c:v>0.44921588039634452</c:v>
                </c:pt>
                <c:pt idx="463">
                  <c:v>0.43793098039166556</c:v>
                </c:pt>
                <c:pt idx="464">
                  <c:v>0.42657664856260591</c:v>
                </c:pt>
                <c:pt idx="465">
                  <c:v>0.41515468508318643</c:v>
                </c:pt>
                <c:pt idx="466">
                  <c:v>0.40366690085009682</c:v>
                </c:pt>
                <c:pt idx="467">
                  <c:v>0.39211511719558451</c:v>
                </c:pt>
                <c:pt idx="468">
                  <c:v>0.38050116559869573</c:v>
                </c:pt>
                <c:pt idx="469">
                  <c:v>0.36882688739490138</c:v>
                </c:pt>
                <c:pt idx="470">
                  <c:v>0.35709413348415964</c:v>
                </c:pt>
                <c:pt idx="471">
                  <c:v>0.34530476403746974</c:v>
                </c:pt>
                <c:pt idx="472">
                  <c:v>0.33346064820194843</c:v>
                </c:pt>
                <c:pt idx="473">
                  <c:v>0.32156366380448331</c:v>
                </c:pt>
                <c:pt idx="474">
                  <c:v>0.30961569705401759</c:v>
                </c:pt>
                <c:pt idx="475">
                  <c:v>0.29761864224249818</c:v>
                </c:pt>
                <c:pt idx="476">
                  <c:v>0.28557440144454255</c:v>
                </c:pt>
                <c:pt idx="477">
                  <c:v>0.27348488421587913</c:v>
                </c:pt>
                <c:pt idx="478">
                  <c:v>0.26135200729059388</c:v>
                </c:pt>
                <c:pt idx="479">
                  <c:v>0.24917769427723904</c:v>
                </c:pt>
                <c:pt idx="480">
                  <c:v>0.23696387535385935</c:v>
                </c:pt>
                <c:pt idx="481">
                  <c:v>0.22471248696196916</c:v>
                </c:pt>
                <c:pt idx="482">
                  <c:v>0.21242547149953661</c:v>
                </c:pt>
                <c:pt idx="483">
                  <c:v>0.20010477701303092</c:v>
                </c:pt>
                <c:pt idx="484">
                  <c:v>0.18775235688856662</c:v>
                </c:pt>
                <c:pt idx="485">
                  <c:v>0.17537016954220097</c:v>
                </c:pt>
                <c:pt idx="486">
                  <c:v>0.16296017810944194</c:v>
                </c:pt>
                <c:pt idx="487">
                  <c:v>0.15052435013400009</c:v>
                </c:pt>
                <c:pt idx="488">
                  <c:v>0.13806465725584124</c:v>
                </c:pt>
                <c:pt idx="489">
                  <c:v>0.12558307489859807</c:v>
                </c:pt>
                <c:pt idx="490">
                  <c:v>0.11308158195637352</c:v>
                </c:pt>
                <c:pt idx="491">
                  <c:v>0.10056216047999419</c:v>
                </c:pt>
                <c:pt idx="492">
                  <c:v>8.8026795362771124E-2</c:v>
                </c:pt>
                <c:pt idx="493">
                  <c:v>7.5477474025801961E-2</c:v>
                </c:pt>
                <c:pt idx="494">
                  <c:v>6.2916186102872362E-2</c:v>
                </c:pt>
                <c:pt idx="495">
                  <c:v>5.0344923125014603E-2</c:v>
                </c:pt>
                <c:pt idx="496">
                  <c:v>3.7765678204757333E-2</c:v>
                </c:pt>
                <c:pt idx="497">
                  <c:v>2.5180445720124629E-2</c:v>
                </c:pt>
                <c:pt idx="498">
                  <c:v>1.2591220998442417E-2</c:v>
                </c:pt>
                <c:pt idx="499">
                  <c:v>-1.3644250659861079E-14</c:v>
                </c:pt>
              </c:numCache>
            </c:numRef>
          </c:yVal>
          <c:smooth val="0"/>
          <c:extLst>
            <c:ext xmlns:c16="http://schemas.microsoft.com/office/drawing/2014/chart" uri="{C3380CC4-5D6E-409C-BE32-E72D297353CC}">
              <c16:uniqueId val="{0000000E-1584-479D-9151-254BC645ED4E}"/>
            </c:ext>
          </c:extLst>
        </c:ser>
        <c:ser>
          <c:idx val="2"/>
          <c:order val="2"/>
          <c:tx>
            <c:v/>
          </c:tx>
          <c:spPr>
            <a:ln w="6350">
              <a:solidFill>
                <a:srgbClr val="FF4A46"/>
              </a:solidFill>
              <a:prstDash val="solid"/>
            </a:ln>
            <a:effectLst/>
          </c:spPr>
          <c:marker>
            <c:symbol val="none"/>
          </c:marker>
          <c:xVal>
            <c:numLit>
              <c:formatCode>General</c:formatCode>
              <c:ptCount val="2"/>
              <c:pt idx="0">
                <c:v>0</c:v>
              </c:pt>
              <c:pt idx="1">
                <c:v>-0.63401054261434631</c:v>
              </c:pt>
            </c:numLit>
          </c:xVal>
          <c:yVal>
            <c:numLit>
              <c:formatCode>General</c:formatCode>
              <c:ptCount val="2"/>
              <c:pt idx="0">
                <c:v>0</c:v>
              </c:pt>
              <c:pt idx="1">
                <c:v>-0.18615318189700794</c:v>
              </c:pt>
            </c:numLit>
          </c:yVal>
          <c:smooth val="0"/>
          <c:extLst>
            <c:ext xmlns:c16="http://schemas.microsoft.com/office/drawing/2014/chart" uri="{C3380CC4-5D6E-409C-BE32-E72D297353CC}">
              <c16:uniqueId val="{0000000F-1584-479D-9151-254BC645ED4E}"/>
            </c:ext>
          </c:extLst>
        </c:ser>
        <c:ser>
          <c:idx val="3"/>
          <c:order val="3"/>
          <c:tx>
            <c:v/>
          </c:tx>
          <c:spPr>
            <a:ln w="6350">
              <a:solidFill>
                <a:srgbClr val="FF4A46"/>
              </a:solidFill>
              <a:prstDash val="solid"/>
            </a:ln>
            <a:effectLst/>
          </c:spPr>
          <c:marker>
            <c:symbol val="none"/>
          </c:marker>
          <c:xVal>
            <c:numLit>
              <c:formatCode>General</c:formatCode>
              <c:ptCount val="2"/>
              <c:pt idx="0">
                <c:v>0</c:v>
              </c:pt>
              <c:pt idx="1">
                <c:v>2.7825055564636523E-2</c:v>
              </c:pt>
            </c:numLit>
          </c:xVal>
          <c:yVal>
            <c:numLit>
              <c:formatCode>General</c:formatCode>
              <c:ptCount val="2"/>
              <c:pt idx="0">
                <c:v>0</c:v>
              </c:pt>
              <c:pt idx="1">
                <c:v>-0.85725190962480491</c:v>
              </c:pt>
            </c:numLit>
          </c:yVal>
          <c:smooth val="0"/>
          <c:extLst>
            <c:ext xmlns:c16="http://schemas.microsoft.com/office/drawing/2014/chart" uri="{C3380CC4-5D6E-409C-BE32-E72D297353CC}">
              <c16:uniqueId val="{00000010-1584-479D-9151-254BC645ED4E}"/>
            </c:ext>
          </c:extLst>
        </c:ser>
        <c:ser>
          <c:idx val="4"/>
          <c:order val="4"/>
          <c:tx>
            <c:v/>
          </c:tx>
          <c:spPr>
            <a:ln w="6350">
              <a:solidFill>
                <a:srgbClr val="FF4A46"/>
              </a:solidFill>
              <a:prstDash val="solid"/>
            </a:ln>
            <a:effectLst/>
          </c:spPr>
          <c:marker>
            <c:symbol val="none"/>
          </c:marker>
          <c:xVal>
            <c:numLit>
              <c:formatCode>General</c:formatCode>
              <c:ptCount val="2"/>
              <c:pt idx="0">
                <c:v>0</c:v>
              </c:pt>
              <c:pt idx="1">
                <c:v>0.58174576432064262</c:v>
              </c:pt>
            </c:numLit>
          </c:xVal>
          <c:yVal>
            <c:numLit>
              <c:formatCode>General</c:formatCode>
              <c:ptCount val="2"/>
              <c:pt idx="0">
                <c:v>0</c:v>
              </c:pt>
              <c:pt idx="1">
                <c:v>-0.37989471927476265</c:v>
              </c:pt>
            </c:numLit>
          </c:yVal>
          <c:smooth val="0"/>
          <c:extLst>
            <c:ext xmlns:c16="http://schemas.microsoft.com/office/drawing/2014/chart" uri="{C3380CC4-5D6E-409C-BE32-E72D297353CC}">
              <c16:uniqueId val="{00000011-1584-479D-9151-254BC645ED4E}"/>
            </c:ext>
          </c:extLst>
        </c:ser>
        <c:ser>
          <c:idx val="5"/>
          <c:order val="5"/>
          <c:tx>
            <c:v/>
          </c:tx>
          <c:spPr>
            <a:ln w="6350">
              <a:solidFill>
                <a:srgbClr val="FF4A46"/>
              </a:solidFill>
              <a:prstDash val="solid"/>
            </a:ln>
            <a:effectLst/>
          </c:spPr>
          <c:marker>
            <c:symbol val="none"/>
          </c:marker>
          <c:xVal>
            <c:numLit>
              <c:formatCode>General</c:formatCode>
              <c:ptCount val="2"/>
              <c:pt idx="0">
                <c:v>0</c:v>
              </c:pt>
              <c:pt idx="1">
                <c:v>0.41430969099611437</c:v>
              </c:pt>
            </c:numLit>
          </c:xVal>
          <c:yVal>
            <c:numLit>
              <c:formatCode>General</c:formatCode>
              <c:ptCount val="2"/>
              <c:pt idx="0">
                <c:v>0</c:v>
              </c:pt>
              <c:pt idx="1">
                <c:v>0.24343504384459611</c:v>
              </c:pt>
            </c:numLit>
          </c:yVal>
          <c:smooth val="0"/>
          <c:extLst>
            <c:ext xmlns:c16="http://schemas.microsoft.com/office/drawing/2014/chart" uri="{C3380CC4-5D6E-409C-BE32-E72D297353CC}">
              <c16:uniqueId val="{00000012-1584-479D-9151-254BC645ED4E}"/>
            </c:ext>
          </c:extLst>
        </c:ser>
        <c:ser>
          <c:idx val="6"/>
          <c:order val="6"/>
          <c:tx>
            <c:v/>
          </c:tx>
          <c:spPr>
            <a:ln w="6350">
              <a:solidFill>
                <a:srgbClr val="FF4A46"/>
              </a:solidFill>
              <a:prstDash val="solid"/>
            </a:ln>
            <a:effectLst/>
          </c:spPr>
          <c:marker>
            <c:symbol val="none"/>
          </c:marker>
          <c:xVal>
            <c:numLit>
              <c:formatCode>General</c:formatCode>
              <c:ptCount val="2"/>
              <c:pt idx="0">
                <c:v>0</c:v>
              </c:pt>
              <c:pt idx="1">
                <c:v>0.30731130620595049</c:v>
              </c:pt>
            </c:numLit>
          </c:xVal>
          <c:yVal>
            <c:numLit>
              <c:formatCode>General</c:formatCode>
              <c:ptCount val="2"/>
              <c:pt idx="0">
                <c:v>0</c:v>
              </c:pt>
              <c:pt idx="1">
                <c:v>-8.9080237082643232E-2</c:v>
              </c:pt>
            </c:numLit>
          </c:yVal>
          <c:smooth val="0"/>
          <c:extLst>
            <c:ext xmlns:c16="http://schemas.microsoft.com/office/drawing/2014/chart" uri="{C3380CC4-5D6E-409C-BE32-E72D297353CC}">
              <c16:uniqueId val="{00000013-1584-479D-9151-254BC645ED4E}"/>
            </c:ext>
          </c:extLst>
        </c:ser>
        <c:ser>
          <c:idx val="7"/>
          <c:order val="7"/>
          <c:tx>
            <c:v/>
          </c:tx>
          <c:spPr>
            <a:ln w="6350">
              <a:solidFill>
                <a:srgbClr val="FF4A46"/>
              </a:solidFill>
              <a:prstDash val="solid"/>
            </a:ln>
            <a:effectLst/>
          </c:spPr>
          <c:marker>
            <c:symbol val="none"/>
          </c:marker>
          <c:xVal>
            <c:numLit>
              <c:formatCode>General</c:formatCode>
              <c:ptCount val="2"/>
              <c:pt idx="0">
                <c:v>0</c:v>
              </c:pt>
              <c:pt idx="1">
                <c:v>0.51372725299603383</c:v>
              </c:pt>
            </c:numLit>
          </c:xVal>
          <c:yVal>
            <c:numLit>
              <c:formatCode>General</c:formatCode>
              <c:ptCount val="2"/>
              <c:pt idx="0">
                <c:v>0</c:v>
              </c:pt>
              <c:pt idx="1">
                <c:v>-0.22473320424884718</c:v>
              </c:pt>
            </c:numLit>
          </c:yVal>
          <c:smooth val="0"/>
          <c:extLst>
            <c:ext xmlns:c16="http://schemas.microsoft.com/office/drawing/2014/chart" uri="{C3380CC4-5D6E-409C-BE32-E72D297353CC}">
              <c16:uniqueId val="{00000014-1584-479D-9151-254BC645ED4E}"/>
            </c:ext>
          </c:extLst>
        </c:ser>
        <c:ser>
          <c:idx val="8"/>
          <c:order val="8"/>
          <c:tx>
            <c:v/>
          </c:tx>
          <c:spPr>
            <a:ln w="6350">
              <a:solidFill>
                <a:srgbClr val="FF4A46"/>
              </a:solidFill>
              <a:prstDash val="solid"/>
            </a:ln>
            <a:effectLst/>
          </c:spPr>
          <c:marker>
            <c:symbol val="none"/>
          </c:marker>
          <c:xVal>
            <c:numLit>
              <c:formatCode>General</c:formatCode>
              <c:ptCount val="2"/>
              <c:pt idx="0">
                <c:v>0</c:v>
              </c:pt>
              <c:pt idx="1">
                <c:v>-0.61303216402958438</c:v>
              </c:pt>
            </c:numLit>
          </c:xVal>
          <c:yVal>
            <c:numLit>
              <c:formatCode>General</c:formatCode>
              <c:ptCount val="2"/>
              <c:pt idx="0">
                <c:v>0</c:v>
              </c:pt>
              <c:pt idx="1">
                <c:v>0.28619081317440181</c:v>
              </c:pt>
            </c:numLit>
          </c:yVal>
          <c:smooth val="0"/>
          <c:extLst>
            <c:ext xmlns:c16="http://schemas.microsoft.com/office/drawing/2014/chart" uri="{C3380CC4-5D6E-409C-BE32-E72D297353CC}">
              <c16:uniqueId val="{00000015-1584-479D-9151-254BC645ED4E}"/>
            </c:ext>
          </c:extLst>
        </c:ser>
        <c:ser>
          <c:idx val="9"/>
          <c:order val="9"/>
          <c:tx>
            <c:v/>
          </c:tx>
          <c:spPr>
            <a:ln w="6350">
              <a:solidFill>
                <a:srgbClr val="FF4A46"/>
              </a:solidFill>
              <a:prstDash val="solid"/>
            </a:ln>
            <a:effectLst/>
          </c:spPr>
          <c:marker>
            <c:symbol val="none"/>
          </c:marker>
          <c:xVal>
            <c:numLit>
              <c:formatCode>General</c:formatCode>
              <c:ptCount val="2"/>
              <c:pt idx="0">
                <c:v>0</c:v>
              </c:pt>
              <c:pt idx="1">
                <c:v>-0.7457254997860332</c:v>
              </c:pt>
            </c:numLit>
          </c:xVal>
          <c:yVal>
            <c:numLit>
              <c:formatCode>General</c:formatCode>
              <c:ptCount val="2"/>
              <c:pt idx="0">
                <c:v>0</c:v>
              </c:pt>
              <c:pt idx="1">
                <c:v>-0.17444380923321923</c:v>
              </c:pt>
            </c:numLit>
          </c:yVal>
          <c:smooth val="0"/>
          <c:extLst>
            <c:ext xmlns:c16="http://schemas.microsoft.com/office/drawing/2014/chart" uri="{C3380CC4-5D6E-409C-BE32-E72D297353CC}">
              <c16:uniqueId val="{00000016-1584-479D-9151-254BC645ED4E}"/>
            </c:ext>
          </c:extLst>
        </c:ser>
        <c:ser>
          <c:idx val="10"/>
          <c:order val="10"/>
          <c:tx>
            <c:v/>
          </c:tx>
          <c:spPr>
            <a:ln w="6350">
              <a:solidFill>
                <a:srgbClr val="FF4A46"/>
              </a:solidFill>
              <a:prstDash val="solid"/>
            </a:ln>
            <a:effectLst/>
          </c:spPr>
          <c:marker>
            <c:symbol val="none"/>
          </c:marker>
          <c:xVal>
            <c:numLit>
              <c:formatCode>General</c:formatCode>
              <c:ptCount val="2"/>
              <c:pt idx="0">
                <c:v>0</c:v>
              </c:pt>
              <c:pt idx="1">
                <c:v>0.29976646657894496</c:v>
              </c:pt>
            </c:numLit>
          </c:xVal>
          <c:yVal>
            <c:numLit>
              <c:formatCode>General</c:formatCode>
              <c:ptCount val="2"/>
              <c:pt idx="0">
                <c:v>0</c:v>
              </c:pt>
              <c:pt idx="1">
                <c:v>0.91421144106733621</c:v>
              </c:pt>
            </c:numLit>
          </c:yVal>
          <c:smooth val="0"/>
          <c:extLst>
            <c:ext xmlns:c16="http://schemas.microsoft.com/office/drawing/2014/chart" uri="{C3380CC4-5D6E-409C-BE32-E72D297353CC}">
              <c16:uniqueId val="{00000017-1584-479D-9151-254BC645ED4E}"/>
            </c:ext>
          </c:extLst>
        </c:ser>
        <c:ser>
          <c:idx val="11"/>
          <c:order val="11"/>
          <c:tx>
            <c:v/>
          </c:tx>
          <c:spPr>
            <a:ln w="6350">
              <a:solidFill>
                <a:srgbClr val="FF4A46"/>
              </a:solidFill>
              <a:prstDash val="solid"/>
            </a:ln>
            <a:effectLst/>
          </c:spPr>
          <c:marker>
            <c:symbol val="none"/>
          </c:marker>
          <c:xVal>
            <c:numLit>
              <c:formatCode>General</c:formatCode>
              <c:ptCount val="2"/>
              <c:pt idx="0">
                <c:v>0</c:v>
              </c:pt>
              <c:pt idx="1">
                <c:v>0.42142019138604514</c:v>
              </c:pt>
            </c:numLit>
          </c:xVal>
          <c:yVal>
            <c:numLit>
              <c:formatCode>General</c:formatCode>
              <c:ptCount val="2"/>
              <c:pt idx="0">
                <c:v>0</c:v>
              </c:pt>
              <c:pt idx="1">
                <c:v>-0.33247671259447603</c:v>
              </c:pt>
            </c:numLit>
          </c:yVal>
          <c:smooth val="0"/>
          <c:extLst>
            <c:ext xmlns:c16="http://schemas.microsoft.com/office/drawing/2014/chart" uri="{C3380CC4-5D6E-409C-BE32-E72D297353CC}">
              <c16:uniqueId val="{00000018-1584-479D-9151-254BC645ED4E}"/>
            </c:ext>
          </c:extLst>
        </c:ser>
        <c:ser>
          <c:idx val="12"/>
          <c:order val="12"/>
          <c:tx>
            <c:v/>
          </c:tx>
          <c:spPr>
            <a:ln w="6350">
              <a:solidFill>
                <a:srgbClr val="FF4A46"/>
              </a:solidFill>
              <a:prstDash val="solid"/>
            </a:ln>
            <a:effectLst/>
          </c:spPr>
          <c:marker>
            <c:symbol val="none"/>
          </c:marker>
          <c:xVal>
            <c:numLit>
              <c:formatCode>General</c:formatCode>
              <c:ptCount val="2"/>
              <c:pt idx="0">
                <c:v>0</c:v>
              </c:pt>
              <c:pt idx="1">
                <c:v>0.76035794411784507</c:v>
              </c:pt>
            </c:numLit>
          </c:xVal>
          <c:yVal>
            <c:numLit>
              <c:formatCode>General</c:formatCode>
              <c:ptCount val="2"/>
              <c:pt idx="0">
                <c:v>0</c:v>
              </c:pt>
              <c:pt idx="1">
                <c:v>-0.2612475750416387</c:v>
              </c:pt>
            </c:numLit>
          </c:yVal>
          <c:smooth val="0"/>
          <c:extLst>
            <c:ext xmlns:c16="http://schemas.microsoft.com/office/drawing/2014/chart" uri="{C3380CC4-5D6E-409C-BE32-E72D297353CC}">
              <c16:uniqueId val="{00000019-1584-479D-9151-254BC645ED4E}"/>
            </c:ext>
          </c:extLst>
        </c:ser>
        <c:ser>
          <c:idx val="13"/>
          <c:order val="13"/>
          <c:tx>
            <c:v/>
          </c:tx>
          <c:spPr>
            <a:ln w="6350">
              <a:solidFill>
                <a:srgbClr val="FF4A46"/>
              </a:solidFill>
              <a:prstDash val="solid"/>
            </a:ln>
            <a:effectLst/>
          </c:spPr>
          <c:marker>
            <c:symbol val="none"/>
          </c:marker>
          <c:xVal>
            <c:numLit>
              <c:formatCode>General</c:formatCode>
              <c:ptCount val="2"/>
              <c:pt idx="0">
                <c:v>0</c:v>
              </c:pt>
              <c:pt idx="1">
                <c:v>0.5651891706685056</c:v>
              </c:pt>
            </c:numLit>
          </c:xVal>
          <c:yVal>
            <c:numLit>
              <c:formatCode>General</c:formatCode>
              <c:ptCount val="2"/>
              <c:pt idx="0">
                <c:v>0</c:v>
              </c:pt>
              <c:pt idx="1">
                <c:v>0.34262064763688815</c:v>
              </c:pt>
            </c:numLit>
          </c:yVal>
          <c:smooth val="0"/>
          <c:extLst>
            <c:ext xmlns:c16="http://schemas.microsoft.com/office/drawing/2014/chart" uri="{C3380CC4-5D6E-409C-BE32-E72D297353CC}">
              <c16:uniqueId val="{0000001A-1584-479D-9151-254BC645ED4E}"/>
            </c:ext>
          </c:extLst>
        </c:ser>
        <c:ser>
          <c:idx val="14"/>
          <c:order val="14"/>
          <c:tx>
            <c:v/>
          </c:tx>
          <c:spPr>
            <a:ln w="6350">
              <a:solidFill>
                <a:srgbClr val="FF4A46"/>
              </a:solidFill>
              <a:prstDash val="solid"/>
            </a:ln>
            <a:effectLst/>
          </c:spPr>
          <c:marker>
            <c:symbol val="none"/>
          </c:marker>
          <c:xVal>
            <c:numLit>
              <c:formatCode>General</c:formatCode>
              <c:ptCount val="2"/>
              <c:pt idx="0">
                <c:v>0</c:v>
              </c:pt>
              <c:pt idx="1">
                <c:v>0.8605901417320776</c:v>
              </c:pt>
            </c:numLit>
          </c:xVal>
          <c:yVal>
            <c:numLit>
              <c:formatCode>General</c:formatCode>
              <c:ptCount val="2"/>
              <c:pt idx="0">
                <c:v>0</c:v>
              </c:pt>
              <c:pt idx="1">
                <c:v>9.9021836617834813E-2</c:v>
              </c:pt>
            </c:numLit>
          </c:yVal>
          <c:smooth val="0"/>
          <c:extLst>
            <c:ext xmlns:c16="http://schemas.microsoft.com/office/drawing/2014/chart" uri="{C3380CC4-5D6E-409C-BE32-E72D297353CC}">
              <c16:uniqueId val="{0000001B-1584-479D-9151-254BC645ED4E}"/>
            </c:ext>
          </c:extLst>
        </c:ser>
        <c:dLbls>
          <c:showLegendKey val="0"/>
          <c:showVal val="0"/>
          <c:showCatName val="0"/>
          <c:showSerName val="0"/>
          <c:showPercent val="0"/>
          <c:showBubbleSize val="0"/>
        </c:dLbls>
        <c:axId val="221789688"/>
        <c:axId val="221787336"/>
      </c:scatterChart>
      <c:valAx>
        <c:axId val="221789688"/>
        <c:scaling>
          <c:orientation val="minMax"/>
          <c:max val="1"/>
          <c:min val="-1"/>
        </c:scaling>
        <c:delete val="0"/>
        <c:axPos val="b"/>
        <c:title>
          <c:tx>
            <c:rich>
              <a:bodyPr/>
              <a:lstStyle/>
              <a:p>
                <a:pPr>
                  <a:defRPr sz="800" b="0">
                    <a:latin typeface="Arial"/>
                    <a:ea typeface="Arial"/>
                    <a:cs typeface="Arial"/>
                  </a:defRPr>
                </a:pPr>
                <a:r>
                  <a:rPr lang="en-IN"/>
                  <a:t>PC1 (31.61 %)</a:t>
                </a:r>
              </a:p>
            </c:rich>
          </c:tx>
          <c:overlay val="0"/>
        </c:title>
        <c:numFmt formatCode="General" sourceLinked="0"/>
        <c:majorTickMark val="none"/>
        <c:minorTickMark val="none"/>
        <c:tickLblPos val="low"/>
        <c:txPr>
          <a:bodyPr rot="0" vert="horz"/>
          <a:lstStyle/>
          <a:p>
            <a:pPr>
              <a:defRPr sz="700"/>
            </a:pPr>
            <a:endParaRPr lang="en-US"/>
          </a:p>
        </c:txPr>
        <c:crossAx val="221787336"/>
        <c:crosses val="autoZero"/>
        <c:crossBetween val="midCat"/>
        <c:majorUnit val="0.25"/>
      </c:valAx>
      <c:valAx>
        <c:axId val="221787336"/>
        <c:scaling>
          <c:orientation val="minMax"/>
          <c:max val="1"/>
          <c:min val="-1"/>
        </c:scaling>
        <c:delete val="0"/>
        <c:axPos val="l"/>
        <c:title>
          <c:tx>
            <c:rich>
              <a:bodyPr/>
              <a:lstStyle/>
              <a:p>
                <a:pPr>
                  <a:defRPr sz="800" b="0">
                    <a:latin typeface="Arial"/>
                    <a:ea typeface="Arial"/>
                    <a:cs typeface="Arial"/>
                  </a:defRPr>
                </a:pPr>
                <a:r>
                  <a:rPr lang="en-IN"/>
                  <a:t>PC2 (17.58 %)</a:t>
                </a:r>
              </a:p>
            </c:rich>
          </c:tx>
          <c:overlay val="0"/>
        </c:title>
        <c:numFmt formatCode="General" sourceLinked="0"/>
        <c:majorTickMark val="cross"/>
        <c:minorTickMark val="none"/>
        <c:tickLblPos val="low"/>
        <c:txPr>
          <a:bodyPr/>
          <a:lstStyle/>
          <a:p>
            <a:pPr>
              <a:defRPr sz="700"/>
            </a:pPr>
            <a:endParaRPr lang="en-US"/>
          </a:p>
        </c:txPr>
        <c:crossAx val="221789688"/>
        <c:crosses val="autoZero"/>
        <c:crossBetween val="midCat"/>
        <c:majorUnit val="0.25"/>
      </c:valAx>
      <c:spPr>
        <a:ln>
          <a:solidFill>
            <a:srgbClr val="C0C0C0"/>
          </a:solidFill>
          <a:prstDash val="solid"/>
        </a:ln>
      </c:spPr>
    </c:plotArea>
    <c:legend>
      <c:legendPos val="b"/>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0.33773165073115857"/>
          <c:y val="0.91029365446966193"/>
          <c:w val="0.36025098425196855"/>
          <c:h val="6.6176933765632245E-2"/>
        </c:manualLayout>
      </c:layout>
      <c:overlay val="0"/>
      <c:spPr>
        <a:ln w="6350">
          <a:solidFill>
            <a:srgbClr val="000000"/>
          </a:solidFill>
          <a:prstDash val="solid"/>
        </a:ln>
      </c:spPr>
      <c:txPr>
        <a:bodyPr/>
        <a:lstStyle/>
        <a:p>
          <a:pPr>
            <a:defRPr sz="900" b="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2"/>
      <a:stretch>
        <a:fillRect/>
      </a:stretch>
    </a:blipFill>
  </c:sp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2DF87-0422-4189-8AE4-CDD67469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370</TotalTime>
  <Pages>23</Pages>
  <Words>7293</Words>
  <Characters>59081</Characters>
  <Application>Microsoft Office Word</Application>
  <DocSecurity>0</DocSecurity>
  <Lines>5371</Lines>
  <Paragraphs>3493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62881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50</cp:revision>
  <cp:lastPrinted>1999-07-06T11:00:00Z</cp:lastPrinted>
  <dcterms:created xsi:type="dcterms:W3CDTF">2014-10-25T14:34:00Z</dcterms:created>
  <dcterms:modified xsi:type="dcterms:W3CDTF">2025-08-14T12:48:00Z</dcterms:modified>
</cp:coreProperties>
</file>