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83B6C" w14:textId="55199210" w:rsidR="00A50915" w:rsidRPr="00A50915" w:rsidRDefault="00A50915" w:rsidP="00A50915">
      <w:pPr>
        <w:rPr>
          <w:rFonts w:ascii="Times New Roman" w:hAnsi="Times New Roman" w:cs="Times New Roman"/>
          <w:b/>
          <w:sz w:val="28"/>
          <w:szCs w:val="28"/>
          <w:u w:val="single"/>
        </w:rPr>
      </w:pPr>
      <w:r w:rsidRPr="00A50915">
        <w:rPr>
          <w:rFonts w:ascii="Times New Roman" w:hAnsi="Times New Roman" w:cs="Times New Roman"/>
          <w:b/>
          <w:sz w:val="28"/>
          <w:szCs w:val="28"/>
          <w:u w:val="single"/>
        </w:rPr>
        <w:t>Original Research Article</w:t>
      </w:r>
    </w:p>
    <w:p w14:paraId="2D274CD0" w14:textId="774C2083" w:rsidR="00E1496F" w:rsidRDefault="002134ED" w:rsidP="002134ED">
      <w:pPr>
        <w:jc w:val="center"/>
        <w:rPr>
          <w:rFonts w:ascii="Times New Roman" w:hAnsi="Times New Roman" w:cs="Times New Roman"/>
          <w:b/>
          <w:sz w:val="28"/>
          <w:szCs w:val="28"/>
        </w:rPr>
      </w:pPr>
      <w:r w:rsidRPr="002134ED">
        <w:rPr>
          <w:rFonts w:ascii="Times New Roman" w:hAnsi="Times New Roman" w:cs="Times New Roman"/>
          <w:b/>
          <w:sz w:val="28"/>
          <w:szCs w:val="28"/>
        </w:rPr>
        <w:t>Urban Expansion and Climate Change: A Spatio-Temporal Analysis of Land Use and Land Cover Changes in Dehradun City, India</w:t>
      </w:r>
    </w:p>
    <w:p w14:paraId="698D92F8" w14:textId="77777777" w:rsidR="00A50915" w:rsidRPr="00F03AC1" w:rsidRDefault="00A50915" w:rsidP="00F03AC1">
      <w:pPr>
        <w:rPr>
          <w:rFonts w:ascii="Times New Roman" w:hAnsi="Times New Roman" w:cs="Times New Roman"/>
          <w:sz w:val="20"/>
          <w:szCs w:val="20"/>
        </w:rPr>
      </w:pPr>
    </w:p>
    <w:p w14:paraId="4675B38C" w14:textId="3440FB6A" w:rsidR="001D45C3" w:rsidRPr="00394930" w:rsidRDefault="00394930" w:rsidP="00F03AC1">
      <w:pPr>
        <w:rPr>
          <w:rFonts w:ascii="Arial" w:hAnsi="Arial" w:cs="Arial"/>
          <w:b/>
        </w:rPr>
      </w:pPr>
      <w:r w:rsidRPr="00394930">
        <w:rPr>
          <w:rFonts w:ascii="Arial" w:hAnsi="Arial" w:cs="Arial"/>
          <w:b/>
        </w:rPr>
        <w:t>ABSTRACT</w:t>
      </w:r>
    </w:p>
    <w:p w14:paraId="2C75EAC3" w14:textId="2ADC0551" w:rsidR="004359A1" w:rsidRPr="00394930" w:rsidRDefault="00F03AC1" w:rsidP="00F03AC1">
      <w:pPr>
        <w:spacing w:line="360" w:lineRule="auto"/>
        <w:jc w:val="both"/>
        <w:rPr>
          <w:rFonts w:ascii="Arial" w:hAnsi="Arial" w:cs="Arial"/>
          <w:sz w:val="20"/>
          <w:szCs w:val="20"/>
        </w:rPr>
      </w:pPr>
      <w:r w:rsidRPr="00394930">
        <w:rPr>
          <w:rFonts w:ascii="Arial" w:hAnsi="Arial" w:cs="Arial"/>
          <w:sz w:val="20"/>
          <w:szCs w:val="20"/>
        </w:rPr>
        <w:t>Dehradun is currently facing significant challenges as a result of increased tourism. While tourism plays a vital role in boosting the local economy, it also brings a range of environmental and infrastructural issues. The growing influx of tourists has led to environmental degradation, poor waste management, and increased pressure on the city's infrastructure. Additionally, unregulated tourism contributes to deforestation, air and water pollution, and heightens the risk of natural disasters such as flash floods</w:t>
      </w:r>
      <w:r w:rsidR="004359A1" w:rsidRPr="00394930">
        <w:rPr>
          <w:rFonts w:ascii="Arial" w:hAnsi="Arial" w:cs="Arial"/>
          <w:sz w:val="20"/>
          <w:szCs w:val="20"/>
        </w:rPr>
        <w:t xml:space="preserve"> and </w:t>
      </w:r>
      <w:r w:rsidR="00621616" w:rsidRPr="00394930">
        <w:rPr>
          <w:rFonts w:ascii="Arial" w:hAnsi="Arial" w:cs="Arial"/>
          <w:sz w:val="20"/>
          <w:szCs w:val="20"/>
        </w:rPr>
        <w:t>wildfires</w:t>
      </w:r>
      <w:r w:rsidRPr="00394930">
        <w:rPr>
          <w:rFonts w:ascii="Arial" w:hAnsi="Arial" w:cs="Arial"/>
          <w:sz w:val="20"/>
          <w:szCs w:val="20"/>
        </w:rPr>
        <w:t>. To address these concerns, there is a pressing need to adopt sustainable tourism practices and implement stricter regulations. Such measures are essential to mitigate the negative impacts of tourism and to preserve Dehradun's natural beauty and ecological balance for future generations.</w:t>
      </w:r>
      <w:r w:rsidR="004359A1" w:rsidRPr="00394930">
        <w:rPr>
          <w:rFonts w:ascii="Arial" w:hAnsi="Arial" w:cs="Arial"/>
          <w:sz w:val="20"/>
          <w:szCs w:val="20"/>
        </w:rPr>
        <w:t xml:space="preserve"> The present study was conducted to analyze the impact of frequent forest fires and excessive tourism on the forest cover in the Dehradun district of Uttarakhand</w:t>
      </w:r>
      <w:r w:rsidR="00406C5C">
        <w:rPr>
          <w:rFonts w:ascii="Arial" w:hAnsi="Arial" w:cs="Arial"/>
          <w:sz w:val="20"/>
          <w:szCs w:val="20"/>
        </w:rPr>
        <w:t xml:space="preserve"> </w:t>
      </w:r>
      <w:r w:rsidR="00406C5C" w:rsidRPr="00406C5C">
        <w:rPr>
          <w:rFonts w:ascii="Arial" w:hAnsi="Arial" w:cs="Arial"/>
          <w:spacing w:val="1"/>
          <w:sz w:val="20"/>
          <w:szCs w:val="20"/>
        </w:rPr>
        <w:t>ov</w:t>
      </w:r>
      <w:r w:rsidR="00406C5C" w:rsidRPr="00406C5C">
        <w:rPr>
          <w:rFonts w:ascii="Arial" w:hAnsi="Arial" w:cs="Arial"/>
          <w:sz w:val="20"/>
          <w:szCs w:val="20"/>
        </w:rPr>
        <w:t>er</w:t>
      </w:r>
      <w:r w:rsidR="00406C5C" w:rsidRPr="00406C5C">
        <w:rPr>
          <w:rFonts w:ascii="Arial" w:hAnsi="Arial" w:cs="Arial"/>
          <w:spacing w:val="-3"/>
          <w:sz w:val="20"/>
          <w:szCs w:val="20"/>
        </w:rPr>
        <w:t xml:space="preserve"> </w:t>
      </w:r>
      <w:r w:rsidR="00406C5C" w:rsidRPr="00406C5C">
        <w:rPr>
          <w:rFonts w:ascii="Arial" w:hAnsi="Arial" w:cs="Arial"/>
          <w:sz w:val="20"/>
          <w:szCs w:val="20"/>
        </w:rPr>
        <w:t xml:space="preserve">a </w:t>
      </w:r>
      <w:r w:rsidR="00406C5C" w:rsidRPr="00406C5C">
        <w:rPr>
          <w:rFonts w:ascii="Arial" w:hAnsi="Arial" w:cs="Arial"/>
          <w:spacing w:val="-3"/>
          <w:sz w:val="20"/>
          <w:szCs w:val="20"/>
        </w:rPr>
        <w:t>m</w:t>
      </w:r>
      <w:r w:rsidR="00406C5C" w:rsidRPr="00406C5C">
        <w:rPr>
          <w:rFonts w:ascii="Arial" w:hAnsi="Arial" w:cs="Arial"/>
          <w:spacing w:val="2"/>
          <w:sz w:val="20"/>
          <w:szCs w:val="20"/>
        </w:rPr>
        <w:t>u</w:t>
      </w:r>
      <w:r w:rsidR="00406C5C" w:rsidRPr="00406C5C">
        <w:rPr>
          <w:rFonts w:ascii="Arial" w:hAnsi="Arial" w:cs="Arial"/>
          <w:sz w:val="20"/>
          <w:szCs w:val="20"/>
        </w:rPr>
        <w:t>lti</w:t>
      </w:r>
      <w:r w:rsidR="00406C5C" w:rsidRPr="00406C5C">
        <w:rPr>
          <w:rFonts w:ascii="Arial" w:hAnsi="Arial" w:cs="Arial"/>
          <w:spacing w:val="1"/>
          <w:sz w:val="20"/>
          <w:szCs w:val="20"/>
        </w:rPr>
        <w:t>-</w:t>
      </w:r>
      <w:r w:rsidR="00406C5C" w:rsidRPr="00406C5C">
        <w:rPr>
          <w:rFonts w:ascii="Arial" w:hAnsi="Arial" w:cs="Arial"/>
          <w:sz w:val="20"/>
          <w:szCs w:val="20"/>
        </w:rPr>
        <w:t>dec</w:t>
      </w:r>
      <w:r w:rsidR="00406C5C" w:rsidRPr="00406C5C">
        <w:rPr>
          <w:rFonts w:ascii="Arial" w:hAnsi="Arial" w:cs="Arial"/>
          <w:spacing w:val="1"/>
          <w:sz w:val="20"/>
          <w:szCs w:val="20"/>
        </w:rPr>
        <w:t>a</w:t>
      </w:r>
      <w:r w:rsidR="00406C5C" w:rsidRPr="00406C5C">
        <w:rPr>
          <w:rFonts w:ascii="Arial" w:hAnsi="Arial" w:cs="Arial"/>
          <w:sz w:val="20"/>
          <w:szCs w:val="20"/>
        </w:rPr>
        <w:t>d</w:t>
      </w:r>
      <w:r w:rsidR="00406C5C" w:rsidRPr="00406C5C">
        <w:rPr>
          <w:rFonts w:ascii="Arial" w:hAnsi="Arial" w:cs="Arial"/>
          <w:spacing w:val="1"/>
          <w:sz w:val="20"/>
          <w:szCs w:val="20"/>
        </w:rPr>
        <w:t>a</w:t>
      </w:r>
      <w:r w:rsidR="00406C5C" w:rsidRPr="00406C5C">
        <w:rPr>
          <w:rFonts w:ascii="Arial" w:hAnsi="Arial" w:cs="Arial"/>
          <w:sz w:val="20"/>
          <w:szCs w:val="20"/>
        </w:rPr>
        <w:t>l</w:t>
      </w:r>
      <w:r w:rsidR="00406C5C" w:rsidRPr="00406C5C">
        <w:rPr>
          <w:rFonts w:ascii="Arial" w:hAnsi="Arial" w:cs="Arial"/>
          <w:spacing w:val="-12"/>
          <w:sz w:val="20"/>
          <w:szCs w:val="20"/>
        </w:rPr>
        <w:t xml:space="preserve"> </w:t>
      </w:r>
      <w:r w:rsidR="00406C5C" w:rsidRPr="00406C5C">
        <w:rPr>
          <w:rFonts w:ascii="Arial" w:hAnsi="Arial" w:cs="Arial"/>
          <w:sz w:val="20"/>
          <w:szCs w:val="20"/>
        </w:rPr>
        <w:t>pe</w:t>
      </w:r>
      <w:r w:rsidR="00406C5C" w:rsidRPr="00406C5C">
        <w:rPr>
          <w:rFonts w:ascii="Arial" w:hAnsi="Arial" w:cs="Arial"/>
          <w:spacing w:val="1"/>
          <w:sz w:val="20"/>
          <w:szCs w:val="20"/>
        </w:rPr>
        <w:t>r</w:t>
      </w:r>
      <w:r w:rsidR="00406C5C" w:rsidRPr="00406C5C">
        <w:rPr>
          <w:rFonts w:ascii="Arial" w:hAnsi="Arial" w:cs="Arial"/>
          <w:sz w:val="20"/>
          <w:szCs w:val="20"/>
        </w:rPr>
        <w:t>i</w:t>
      </w:r>
      <w:r w:rsidR="00406C5C" w:rsidRPr="00406C5C">
        <w:rPr>
          <w:rFonts w:ascii="Arial" w:hAnsi="Arial" w:cs="Arial"/>
          <w:spacing w:val="1"/>
          <w:sz w:val="20"/>
          <w:szCs w:val="20"/>
        </w:rPr>
        <w:t>o</w:t>
      </w:r>
      <w:r w:rsidR="00406C5C" w:rsidRPr="00406C5C">
        <w:rPr>
          <w:rFonts w:ascii="Arial" w:hAnsi="Arial" w:cs="Arial"/>
          <w:sz w:val="20"/>
          <w:szCs w:val="20"/>
        </w:rPr>
        <w:t>d</w:t>
      </w:r>
      <w:r w:rsidR="00406C5C">
        <w:rPr>
          <w:rFonts w:ascii="Arial" w:hAnsi="Arial" w:cs="Arial"/>
          <w:sz w:val="20"/>
          <w:szCs w:val="20"/>
        </w:rPr>
        <w:t xml:space="preserve">. </w:t>
      </w:r>
      <w:r w:rsidR="004359A1" w:rsidRPr="00394930">
        <w:rPr>
          <w:rFonts w:ascii="Arial" w:hAnsi="Arial" w:cs="Arial"/>
          <w:sz w:val="20"/>
          <w:szCs w:val="20"/>
        </w:rPr>
        <w:t>These factors have significantly contributed to forest degradation, biodiversity loss, and environmental imbalance in the region. The study also explores various preventive measures, including afforestation, community participation, and sustainable tourism practices, to protect and conserve the forest area.</w:t>
      </w:r>
    </w:p>
    <w:p w14:paraId="42BBF9B4" w14:textId="77777777" w:rsidR="004359A1" w:rsidRPr="00394930" w:rsidRDefault="004359A1" w:rsidP="00F03AC1">
      <w:pPr>
        <w:spacing w:line="360" w:lineRule="auto"/>
        <w:jc w:val="both"/>
        <w:rPr>
          <w:rFonts w:ascii="Arial" w:hAnsi="Arial" w:cs="Arial"/>
          <w:i/>
          <w:sz w:val="20"/>
          <w:szCs w:val="20"/>
        </w:rPr>
      </w:pPr>
      <w:r w:rsidRPr="00394930">
        <w:rPr>
          <w:rFonts w:ascii="Arial" w:hAnsi="Arial" w:cs="Arial"/>
          <w:i/>
          <w:sz w:val="20"/>
          <w:szCs w:val="20"/>
        </w:rPr>
        <w:t xml:space="preserve">Keywords: </w:t>
      </w:r>
      <w:r w:rsidR="00277292" w:rsidRPr="00394930">
        <w:rPr>
          <w:rFonts w:ascii="Arial" w:hAnsi="Arial" w:cs="Arial"/>
          <w:i/>
          <w:sz w:val="20"/>
          <w:szCs w:val="20"/>
        </w:rPr>
        <w:t>Urbanization</w:t>
      </w:r>
      <w:r w:rsidRPr="00394930">
        <w:rPr>
          <w:rFonts w:ascii="Arial" w:hAnsi="Arial" w:cs="Arial"/>
          <w:i/>
          <w:sz w:val="20"/>
          <w:szCs w:val="20"/>
        </w:rPr>
        <w:t>, Tourism</w:t>
      </w:r>
      <w:r w:rsidR="00277292" w:rsidRPr="00394930">
        <w:rPr>
          <w:rFonts w:ascii="Arial" w:hAnsi="Arial" w:cs="Arial"/>
          <w:i/>
          <w:sz w:val="20"/>
          <w:szCs w:val="20"/>
        </w:rPr>
        <w:t>, Forest area, Fires, Disaster</w:t>
      </w:r>
    </w:p>
    <w:p w14:paraId="40675771" w14:textId="4E4C1674" w:rsidR="00F03AC1" w:rsidRPr="00394930" w:rsidRDefault="00394930" w:rsidP="00F03AC1">
      <w:pPr>
        <w:spacing w:line="360" w:lineRule="auto"/>
        <w:jc w:val="both"/>
        <w:rPr>
          <w:rFonts w:ascii="Arial" w:hAnsi="Arial" w:cs="Arial"/>
          <w:b/>
        </w:rPr>
      </w:pPr>
      <w:r w:rsidRPr="00394930">
        <w:rPr>
          <w:rFonts w:ascii="Arial" w:hAnsi="Arial" w:cs="Arial"/>
          <w:b/>
        </w:rPr>
        <w:t>INTRODUCTION</w:t>
      </w:r>
    </w:p>
    <w:p w14:paraId="579256DA" w14:textId="53B20C34" w:rsidR="001D45C3" w:rsidRPr="00394930" w:rsidRDefault="00950D67" w:rsidP="00F03AC1">
      <w:pPr>
        <w:spacing w:line="360" w:lineRule="auto"/>
        <w:jc w:val="both"/>
        <w:rPr>
          <w:rFonts w:ascii="Arial" w:hAnsi="Arial" w:cs="Arial"/>
          <w:sz w:val="20"/>
          <w:szCs w:val="20"/>
        </w:rPr>
      </w:pPr>
      <w:r w:rsidRPr="00394930">
        <w:rPr>
          <w:rFonts w:ascii="Arial" w:hAnsi="Arial" w:cs="Arial"/>
          <w:sz w:val="20"/>
          <w:szCs w:val="20"/>
        </w:rPr>
        <w:t>A</w:t>
      </w:r>
      <w:r w:rsidR="001D45C3" w:rsidRPr="00394930">
        <w:rPr>
          <w:rFonts w:ascii="Arial" w:hAnsi="Arial" w:cs="Arial"/>
          <w:sz w:val="20"/>
          <w:szCs w:val="20"/>
        </w:rPr>
        <w:t xml:space="preserve">mongst the states of India, Uttarakhand holds the </w:t>
      </w:r>
      <w:r w:rsidR="00B614DE">
        <w:rPr>
          <w:rFonts w:ascii="Arial" w:hAnsi="Arial" w:cs="Arial"/>
          <w:sz w:val="20"/>
          <w:szCs w:val="20"/>
        </w:rPr>
        <w:t>fourth</w:t>
      </w:r>
      <w:r w:rsidR="001D45C3" w:rsidRPr="00394930">
        <w:rPr>
          <w:rFonts w:ascii="Arial" w:hAnsi="Arial" w:cs="Arial"/>
          <w:sz w:val="20"/>
          <w:szCs w:val="20"/>
        </w:rPr>
        <w:t xml:space="preserve"> position, according to the tourist per capita</w:t>
      </w:r>
      <w:r w:rsidRPr="00394930">
        <w:rPr>
          <w:rFonts w:ascii="Arial" w:hAnsi="Arial" w:cs="Arial"/>
          <w:sz w:val="20"/>
          <w:szCs w:val="20"/>
        </w:rPr>
        <w:t>,</w:t>
      </w:r>
      <w:r w:rsidR="001D45C3" w:rsidRPr="00394930">
        <w:rPr>
          <w:rFonts w:ascii="Arial" w:hAnsi="Arial" w:cs="Arial"/>
          <w:sz w:val="20"/>
          <w:szCs w:val="20"/>
        </w:rPr>
        <w:t xml:space="preserve"> whereas in </w:t>
      </w:r>
      <w:r w:rsidRPr="00394930">
        <w:rPr>
          <w:rFonts w:ascii="Arial" w:hAnsi="Arial" w:cs="Arial"/>
          <w:sz w:val="20"/>
          <w:szCs w:val="20"/>
        </w:rPr>
        <w:t xml:space="preserve">the </w:t>
      </w:r>
      <w:r w:rsidR="001D45C3" w:rsidRPr="00394930">
        <w:rPr>
          <w:rFonts w:ascii="Arial" w:hAnsi="Arial" w:cs="Arial"/>
          <w:sz w:val="20"/>
          <w:szCs w:val="20"/>
        </w:rPr>
        <w:t xml:space="preserve">northern region of India, Uttarakhand occupies the </w:t>
      </w:r>
      <w:r w:rsidR="00B5570C" w:rsidRPr="00394930">
        <w:rPr>
          <w:rFonts w:ascii="Arial" w:hAnsi="Arial" w:cs="Arial"/>
          <w:sz w:val="20"/>
          <w:szCs w:val="20"/>
        </w:rPr>
        <w:t>first position</w:t>
      </w:r>
      <w:r w:rsidR="001D45C3" w:rsidRPr="00394930">
        <w:rPr>
          <w:rFonts w:ascii="Arial" w:hAnsi="Arial" w:cs="Arial"/>
          <w:sz w:val="20"/>
          <w:szCs w:val="20"/>
        </w:rPr>
        <w:t xml:space="preserve">. Himachal Pradesh and Uttarakhand have considerably high tourist per capita </w:t>
      </w:r>
      <w:r w:rsidRPr="00394930">
        <w:rPr>
          <w:rFonts w:ascii="Arial" w:hAnsi="Arial" w:cs="Arial"/>
          <w:sz w:val="20"/>
          <w:szCs w:val="20"/>
        </w:rPr>
        <w:t>ratios</w:t>
      </w:r>
      <w:r w:rsidR="001D45C3" w:rsidRPr="00394930">
        <w:rPr>
          <w:rFonts w:ascii="Arial" w:hAnsi="Arial" w:cs="Arial"/>
          <w:sz w:val="20"/>
          <w:szCs w:val="20"/>
        </w:rPr>
        <w:t xml:space="preserve"> (2.86 and 3.41</w:t>
      </w:r>
      <w:r w:rsidRPr="00394930">
        <w:rPr>
          <w:rFonts w:ascii="Arial" w:hAnsi="Arial" w:cs="Arial"/>
          <w:sz w:val="20"/>
          <w:szCs w:val="20"/>
        </w:rPr>
        <w:t>,</w:t>
      </w:r>
      <w:r w:rsidR="001D45C3" w:rsidRPr="00394930">
        <w:rPr>
          <w:rFonts w:ascii="Arial" w:hAnsi="Arial" w:cs="Arial"/>
          <w:sz w:val="20"/>
          <w:szCs w:val="20"/>
        </w:rPr>
        <w:t xml:space="preserve"> respectively) </w:t>
      </w:r>
      <w:r w:rsidRPr="00394930">
        <w:rPr>
          <w:rFonts w:ascii="Arial" w:hAnsi="Arial" w:cs="Arial"/>
          <w:sz w:val="20"/>
          <w:szCs w:val="20"/>
        </w:rPr>
        <w:t>compared to northern India's other states.</w:t>
      </w:r>
      <w:r w:rsidR="001D45C3" w:rsidRPr="00394930">
        <w:rPr>
          <w:rFonts w:ascii="Arial" w:hAnsi="Arial" w:cs="Arial"/>
          <w:sz w:val="20"/>
          <w:szCs w:val="20"/>
        </w:rPr>
        <w:t xml:space="preserve"> Further, it is also observed that though both these states have similar geographies, the tourist per capita for Uttarakhand is comparatively higher. However, these tourists have limited spending</w:t>
      </w:r>
      <w:r w:rsidRPr="00394930">
        <w:rPr>
          <w:rFonts w:ascii="Arial" w:hAnsi="Arial" w:cs="Arial"/>
          <w:sz w:val="20"/>
          <w:szCs w:val="20"/>
        </w:rPr>
        <w:t>,</w:t>
      </w:r>
      <w:r w:rsidR="001D45C3" w:rsidRPr="00394930">
        <w:rPr>
          <w:rFonts w:ascii="Arial" w:hAnsi="Arial" w:cs="Arial"/>
          <w:sz w:val="20"/>
          <w:szCs w:val="20"/>
        </w:rPr>
        <w:t xml:space="preserve"> contributing minimally to </w:t>
      </w:r>
      <w:r w:rsidRPr="00394930">
        <w:rPr>
          <w:rFonts w:ascii="Arial" w:hAnsi="Arial" w:cs="Arial"/>
          <w:sz w:val="20"/>
          <w:szCs w:val="20"/>
        </w:rPr>
        <w:t xml:space="preserve">the </w:t>
      </w:r>
      <w:r w:rsidR="001D45C3" w:rsidRPr="00394930">
        <w:rPr>
          <w:rFonts w:ascii="Arial" w:hAnsi="Arial" w:cs="Arial"/>
          <w:sz w:val="20"/>
          <w:szCs w:val="20"/>
        </w:rPr>
        <w:t>tourism economy</w:t>
      </w:r>
      <w:r w:rsidRPr="00394930">
        <w:rPr>
          <w:rFonts w:ascii="Arial" w:hAnsi="Arial" w:cs="Arial"/>
          <w:sz w:val="20"/>
          <w:szCs w:val="20"/>
        </w:rPr>
        <w:t>;</w:t>
      </w:r>
      <w:r w:rsidR="001D45C3" w:rsidRPr="00394930">
        <w:rPr>
          <w:rFonts w:ascii="Arial" w:hAnsi="Arial" w:cs="Arial"/>
          <w:sz w:val="20"/>
          <w:szCs w:val="20"/>
        </w:rPr>
        <w:t xml:space="preserve"> hence</w:t>
      </w:r>
      <w:r w:rsidRPr="00394930">
        <w:rPr>
          <w:rFonts w:ascii="Arial" w:hAnsi="Arial" w:cs="Arial"/>
          <w:sz w:val="20"/>
          <w:szCs w:val="20"/>
        </w:rPr>
        <w:t xml:space="preserve">, there is a need to focus on well-paying tourists, enhancing the experience </w:t>
      </w:r>
      <w:r w:rsidR="00AB4B8B" w:rsidRPr="00394930">
        <w:rPr>
          <w:rFonts w:ascii="Arial" w:hAnsi="Arial" w:cs="Arial"/>
          <w:sz w:val="20"/>
          <w:szCs w:val="20"/>
        </w:rPr>
        <w:t>simultaneously</w:t>
      </w:r>
      <w:r w:rsidRPr="00394930">
        <w:rPr>
          <w:rFonts w:ascii="Arial" w:hAnsi="Arial" w:cs="Arial"/>
          <w:sz w:val="20"/>
          <w:szCs w:val="20"/>
        </w:rPr>
        <w:t>.</w:t>
      </w:r>
      <w:r w:rsidR="003A34B2" w:rsidRPr="00394930">
        <w:rPr>
          <w:rFonts w:ascii="Arial" w:hAnsi="Arial" w:cs="Arial"/>
          <w:sz w:val="20"/>
          <w:szCs w:val="20"/>
        </w:rPr>
        <w:t xml:space="preserve"> Uttarakhand's scenic beauty continues to attract a growing number of tourists, with a notable 30% increase in tourist footfall between 2019 and 2022. However, this rapid rise in tourism has also exposed significant vulnerabilities in the region's infrastructure. Incidents such as the Chamoli bridge collapse and frequent landslides underscore the risks posed by overcrowding, poor maintenance, and environmental degradation. </w:t>
      </w:r>
      <w:r w:rsidR="00BD1D46" w:rsidRPr="00394930">
        <w:rPr>
          <w:rFonts w:ascii="Arial" w:hAnsi="Arial" w:cs="Arial"/>
          <w:sz w:val="20"/>
          <w:szCs w:val="20"/>
        </w:rPr>
        <w:t xml:space="preserve">Furthermore, to sharp increase in tourism in Uttarakhand has placed immense pressure on the region's fragile ecosystem. Overcrowding, littering, and unregulated construction have led to deforestation, loss of biodiversity, and pollution of water sources. Increased vehicle emissions and waste generation have further degraded air and soil quality. This environmental stress threatens the long-term sustainability of both the natural landscape and local </w:t>
      </w:r>
      <w:r w:rsidR="00BD1D46" w:rsidRPr="00394930">
        <w:rPr>
          <w:rFonts w:ascii="Arial" w:hAnsi="Arial" w:cs="Arial"/>
          <w:sz w:val="20"/>
          <w:szCs w:val="20"/>
        </w:rPr>
        <w:lastRenderedPageBreak/>
        <w:t>communities.</w:t>
      </w:r>
      <w:r w:rsidR="00D0383D">
        <w:rPr>
          <w:rFonts w:ascii="Arial" w:hAnsi="Arial" w:cs="Arial"/>
          <w:sz w:val="20"/>
          <w:szCs w:val="20"/>
        </w:rPr>
        <w:t xml:space="preserve"> Some of the researcher i.e. </w:t>
      </w:r>
      <w:proofErr w:type="spellStart"/>
      <w:r w:rsidR="00D0383D">
        <w:rPr>
          <w:rFonts w:ascii="Arial" w:hAnsi="Arial" w:cs="Arial"/>
          <w:sz w:val="20"/>
          <w:szCs w:val="20"/>
        </w:rPr>
        <w:t>Rawat</w:t>
      </w:r>
      <w:proofErr w:type="spellEnd"/>
      <w:r w:rsidR="00D0383D">
        <w:rPr>
          <w:rFonts w:ascii="Arial" w:hAnsi="Arial" w:cs="Arial"/>
          <w:sz w:val="20"/>
          <w:szCs w:val="20"/>
        </w:rPr>
        <w:t xml:space="preserve"> and Kumar (2015),</w:t>
      </w:r>
      <w:r w:rsidR="00406C5C">
        <w:rPr>
          <w:rFonts w:ascii="Arial" w:hAnsi="Arial" w:cs="Arial"/>
          <w:sz w:val="20"/>
          <w:szCs w:val="20"/>
        </w:rPr>
        <w:t xml:space="preserve"> </w:t>
      </w:r>
      <w:proofErr w:type="spellStart"/>
      <w:r w:rsidR="00406C5C" w:rsidRPr="00406C5C">
        <w:rPr>
          <w:rFonts w:ascii="Arial" w:hAnsi="Arial" w:cs="Arial"/>
          <w:bCs/>
          <w:sz w:val="20"/>
          <w:szCs w:val="20"/>
          <w:shd w:val="clear" w:color="auto" w:fill="FFFFFF"/>
        </w:rPr>
        <w:t>Faruk</w:t>
      </w:r>
      <w:proofErr w:type="spellEnd"/>
      <w:r w:rsidR="00406C5C" w:rsidRPr="00406C5C">
        <w:rPr>
          <w:rFonts w:ascii="Arial" w:hAnsi="Arial" w:cs="Arial"/>
          <w:bCs/>
          <w:sz w:val="20"/>
          <w:szCs w:val="20"/>
          <w:shd w:val="clear" w:color="auto" w:fill="FFFFFF"/>
        </w:rPr>
        <w:t xml:space="preserve"> and </w:t>
      </w:r>
      <w:proofErr w:type="spellStart"/>
      <w:r w:rsidR="00406C5C" w:rsidRPr="00406C5C">
        <w:rPr>
          <w:rFonts w:ascii="Arial" w:hAnsi="Arial" w:cs="Arial"/>
          <w:bCs/>
          <w:sz w:val="20"/>
          <w:szCs w:val="20"/>
          <w:shd w:val="clear" w:color="auto" w:fill="FFFFFF"/>
        </w:rPr>
        <w:t>Akpu</w:t>
      </w:r>
      <w:proofErr w:type="spellEnd"/>
      <w:r w:rsidR="00406C5C" w:rsidRPr="00406C5C">
        <w:rPr>
          <w:rFonts w:ascii="Arial" w:hAnsi="Arial" w:cs="Arial"/>
          <w:bCs/>
          <w:sz w:val="20"/>
          <w:szCs w:val="20"/>
          <w:shd w:val="clear" w:color="auto" w:fill="FFFFFF"/>
        </w:rPr>
        <w:t xml:space="preserve"> (2022),</w:t>
      </w:r>
      <w:r w:rsidR="00D0383D">
        <w:rPr>
          <w:rFonts w:ascii="Arial" w:hAnsi="Arial" w:cs="Arial"/>
          <w:sz w:val="20"/>
          <w:szCs w:val="20"/>
        </w:rPr>
        <w:t xml:space="preserve"> </w:t>
      </w:r>
      <w:proofErr w:type="spellStart"/>
      <w:r w:rsidR="00D0383D" w:rsidRPr="00D0383D">
        <w:rPr>
          <w:rFonts w:ascii="Arial" w:hAnsi="Arial" w:cs="Arial"/>
          <w:sz w:val="20"/>
          <w:szCs w:val="20"/>
          <w:lang w:val="en-GB"/>
        </w:rPr>
        <w:t>Kaganga</w:t>
      </w:r>
      <w:proofErr w:type="spellEnd"/>
      <w:r w:rsidR="00D0383D">
        <w:rPr>
          <w:rFonts w:ascii="Arial" w:hAnsi="Arial" w:cs="Arial"/>
          <w:sz w:val="20"/>
          <w:szCs w:val="20"/>
          <w:lang w:val="en-GB"/>
        </w:rPr>
        <w:t xml:space="preserve"> and </w:t>
      </w:r>
      <w:proofErr w:type="spellStart"/>
      <w:r w:rsidR="00D0383D">
        <w:rPr>
          <w:rFonts w:ascii="Arial" w:hAnsi="Arial" w:cs="Arial"/>
          <w:sz w:val="20"/>
          <w:szCs w:val="20"/>
          <w:lang w:val="en-GB"/>
        </w:rPr>
        <w:t>Ngogo</w:t>
      </w:r>
      <w:proofErr w:type="spellEnd"/>
      <w:r w:rsidR="00D0383D">
        <w:rPr>
          <w:rFonts w:ascii="Arial" w:hAnsi="Arial" w:cs="Arial"/>
          <w:sz w:val="20"/>
          <w:szCs w:val="20"/>
          <w:lang w:val="en-GB"/>
        </w:rPr>
        <w:t xml:space="preserve"> (2024)</w:t>
      </w:r>
      <w:r w:rsidR="009775CD">
        <w:rPr>
          <w:rFonts w:ascii="Arial" w:hAnsi="Arial" w:cs="Arial"/>
          <w:sz w:val="20"/>
          <w:szCs w:val="20"/>
          <w:lang w:val="en-GB"/>
        </w:rPr>
        <w:t xml:space="preserve">, </w:t>
      </w:r>
      <w:r w:rsidR="00000691">
        <w:rPr>
          <w:rFonts w:ascii="Arial" w:hAnsi="Arial" w:cs="Arial"/>
          <w:sz w:val="20"/>
          <w:szCs w:val="20"/>
          <w:lang w:val="en-GB"/>
        </w:rPr>
        <w:t xml:space="preserve">Malik et. al. </w:t>
      </w:r>
      <w:r w:rsidR="009775CD">
        <w:rPr>
          <w:rFonts w:ascii="Arial" w:hAnsi="Arial" w:cs="Arial"/>
          <w:sz w:val="20"/>
          <w:szCs w:val="20"/>
          <w:lang w:val="en-GB"/>
        </w:rPr>
        <w:t>(</w:t>
      </w:r>
      <w:r w:rsidR="00000691">
        <w:rPr>
          <w:rFonts w:ascii="Arial" w:hAnsi="Arial" w:cs="Arial"/>
          <w:sz w:val="20"/>
          <w:szCs w:val="20"/>
          <w:lang w:val="en-GB"/>
        </w:rPr>
        <w:t xml:space="preserve">2024), </w:t>
      </w:r>
      <w:proofErr w:type="spellStart"/>
      <w:r w:rsidR="00000691">
        <w:rPr>
          <w:rFonts w:ascii="Arial" w:hAnsi="Arial" w:cs="Arial"/>
          <w:sz w:val="20"/>
          <w:szCs w:val="20"/>
          <w:lang w:val="en-GB"/>
        </w:rPr>
        <w:t>Panwar</w:t>
      </w:r>
      <w:proofErr w:type="spellEnd"/>
      <w:r w:rsidR="00000691">
        <w:rPr>
          <w:rFonts w:ascii="Arial" w:hAnsi="Arial" w:cs="Arial"/>
          <w:sz w:val="20"/>
          <w:szCs w:val="20"/>
          <w:lang w:val="en-GB"/>
        </w:rPr>
        <w:t xml:space="preserve"> et. al. (2025)</w:t>
      </w:r>
      <w:r w:rsidR="00D0383D">
        <w:rPr>
          <w:rFonts w:ascii="Arial" w:hAnsi="Arial" w:cs="Arial"/>
          <w:sz w:val="20"/>
          <w:szCs w:val="20"/>
          <w:lang w:val="en-GB"/>
        </w:rPr>
        <w:t xml:space="preserve"> also studied about the </w:t>
      </w:r>
      <w:r w:rsidR="00D0383D" w:rsidRPr="00D0383D">
        <w:rPr>
          <w:rFonts w:ascii="Arial" w:hAnsi="Arial" w:cs="Arial"/>
          <w:sz w:val="20"/>
          <w:szCs w:val="20"/>
          <w:lang w:val="en-GB"/>
        </w:rPr>
        <w:t xml:space="preserve">Impact of Land Use and </w:t>
      </w:r>
      <w:r w:rsidR="00D0383D">
        <w:rPr>
          <w:rFonts w:ascii="Arial" w:hAnsi="Arial" w:cs="Arial"/>
          <w:sz w:val="20"/>
          <w:szCs w:val="20"/>
          <w:lang w:val="en-GB"/>
        </w:rPr>
        <w:t>Land Cover Changes on Ecosystem.</w:t>
      </w:r>
      <w:r w:rsidR="00BD1D46" w:rsidRPr="00394930">
        <w:rPr>
          <w:rFonts w:ascii="Arial" w:hAnsi="Arial" w:cs="Arial"/>
          <w:sz w:val="20"/>
          <w:szCs w:val="20"/>
        </w:rPr>
        <w:t xml:space="preserve"> </w:t>
      </w:r>
      <w:r w:rsidR="003A34B2" w:rsidRPr="00394930">
        <w:rPr>
          <w:rFonts w:ascii="Arial" w:hAnsi="Arial" w:cs="Arial"/>
          <w:sz w:val="20"/>
          <w:szCs w:val="20"/>
        </w:rPr>
        <w:t>These challenges not only threaten the safety of residents and visitors but also endanger the region’s fragile ecosystem. To ensure long-term sustainability, it is crucial to adopt responsible tourism practices and enforce stricter regulations aimed at preserving both infrastructure and the natural environment.</w:t>
      </w:r>
    </w:p>
    <w:p w14:paraId="63F49AE7" w14:textId="7B871CCC" w:rsidR="00FD5E10" w:rsidRDefault="00394930" w:rsidP="00F03AC1">
      <w:pPr>
        <w:spacing w:line="360" w:lineRule="auto"/>
        <w:jc w:val="both"/>
        <w:rPr>
          <w:rFonts w:ascii="Arial" w:hAnsi="Arial" w:cs="Arial"/>
          <w:b/>
          <w:bCs/>
        </w:rPr>
      </w:pPr>
      <w:r w:rsidRPr="00394930">
        <w:rPr>
          <w:rFonts w:ascii="Arial" w:hAnsi="Arial" w:cs="Arial"/>
          <w:b/>
          <w:bCs/>
        </w:rPr>
        <w:t>METHODOLOGY</w:t>
      </w:r>
      <w:r w:rsidR="00570FDD">
        <w:rPr>
          <w:rFonts w:ascii="Arial" w:hAnsi="Arial" w:cs="Arial"/>
          <w:b/>
          <w:bCs/>
        </w:rPr>
        <w:t xml:space="preserve"> </w:t>
      </w:r>
      <w:r w:rsidRPr="00394930">
        <w:rPr>
          <w:rFonts w:ascii="Arial" w:hAnsi="Arial" w:cs="Arial"/>
          <w:b/>
          <w:bCs/>
        </w:rPr>
        <w:t xml:space="preserve"> </w:t>
      </w:r>
    </w:p>
    <w:p w14:paraId="0968CA61" w14:textId="085CC0F7" w:rsidR="00570FDD" w:rsidRPr="008B5F4C" w:rsidRDefault="00570FDD" w:rsidP="008B5F4C">
      <w:pPr>
        <w:spacing w:line="360" w:lineRule="auto"/>
        <w:jc w:val="both"/>
        <w:rPr>
          <w:rFonts w:ascii="Arial" w:hAnsi="Arial" w:cs="Arial"/>
          <w:sz w:val="20"/>
          <w:szCs w:val="20"/>
        </w:rPr>
      </w:pPr>
      <w:r w:rsidRPr="008B5F4C">
        <w:rPr>
          <w:rFonts w:ascii="Arial" w:hAnsi="Arial" w:cs="Arial"/>
          <w:sz w:val="20"/>
          <w:szCs w:val="20"/>
        </w:rPr>
        <w:t>The data for this study were collected from a variety of sources, including newspapers, literary works, government reports of Uttarakhand, and other relevant publications. Online search</w:t>
      </w:r>
      <w:r w:rsidR="001F5F6B">
        <w:rPr>
          <w:rFonts w:ascii="Arial" w:hAnsi="Arial" w:cs="Arial"/>
          <w:sz w:val="20"/>
          <w:szCs w:val="20"/>
        </w:rPr>
        <w:t xml:space="preserve">es were conducted using such as tourist arrival, </w:t>
      </w:r>
      <w:r w:rsidRPr="008B5F4C">
        <w:rPr>
          <w:rFonts w:ascii="Arial" w:hAnsi="Arial" w:cs="Arial"/>
          <w:sz w:val="20"/>
          <w:szCs w:val="20"/>
        </w:rPr>
        <w:t>reduction in forest area due to human activity</w:t>
      </w:r>
      <w:r w:rsidR="001F5F6B">
        <w:rPr>
          <w:rFonts w:ascii="Arial" w:hAnsi="Arial" w:cs="Arial"/>
          <w:sz w:val="20"/>
          <w:szCs w:val="20"/>
        </w:rPr>
        <w:t>,</w:t>
      </w:r>
      <w:r w:rsidRPr="008B5F4C">
        <w:rPr>
          <w:rFonts w:ascii="Arial" w:hAnsi="Arial" w:cs="Arial"/>
          <w:sz w:val="20"/>
          <w:szCs w:val="20"/>
        </w:rPr>
        <w:t xml:space="preserve"> and “forest fires in Uttarakhand.” Additionally, official government websites and databases were consulted, including </w:t>
      </w:r>
      <w:r w:rsidRPr="008B5F4C">
        <w:rPr>
          <w:rStyle w:val="Emphasis"/>
          <w:rFonts w:ascii="Arial" w:hAnsi="Arial" w:cs="Arial"/>
          <w:sz w:val="20"/>
          <w:szCs w:val="20"/>
        </w:rPr>
        <w:t>Tourism Statistics 2018</w:t>
      </w:r>
      <w:r w:rsidRPr="008B5F4C">
        <w:rPr>
          <w:rFonts w:ascii="Arial" w:hAnsi="Arial" w:cs="Arial"/>
          <w:sz w:val="20"/>
          <w:szCs w:val="20"/>
        </w:rPr>
        <w:t xml:space="preserve">, </w:t>
      </w:r>
      <w:r w:rsidRPr="008B5F4C">
        <w:rPr>
          <w:rStyle w:val="Emphasis"/>
          <w:rFonts w:ascii="Arial" w:hAnsi="Arial" w:cs="Arial"/>
          <w:sz w:val="20"/>
          <w:szCs w:val="20"/>
        </w:rPr>
        <w:t>Census of India 2011</w:t>
      </w:r>
      <w:r w:rsidRPr="008B5F4C">
        <w:rPr>
          <w:rFonts w:ascii="Arial" w:hAnsi="Arial" w:cs="Arial"/>
          <w:sz w:val="20"/>
          <w:szCs w:val="20"/>
        </w:rPr>
        <w:t xml:space="preserve">, and </w:t>
      </w:r>
      <w:r w:rsidRPr="008B5F4C">
        <w:rPr>
          <w:rStyle w:val="Emphasis"/>
          <w:rFonts w:ascii="Arial" w:hAnsi="Arial" w:cs="Arial"/>
          <w:sz w:val="20"/>
          <w:szCs w:val="20"/>
        </w:rPr>
        <w:t>ICAR NAAS 2010</w:t>
      </w:r>
      <w:r w:rsidRPr="008B5F4C">
        <w:rPr>
          <w:rFonts w:ascii="Arial" w:hAnsi="Arial" w:cs="Arial"/>
          <w:sz w:val="20"/>
          <w:szCs w:val="20"/>
        </w:rPr>
        <w:t xml:space="preserve">. Magazines such as </w:t>
      </w:r>
      <w:r w:rsidRPr="008B5F4C">
        <w:rPr>
          <w:rStyle w:val="Emphasis"/>
          <w:rFonts w:ascii="Arial" w:hAnsi="Arial" w:cs="Arial"/>
          <w:sz w:val="20"/>
          <w:szCs w:val="20"/>
        </w:rPr>
        <w:t>Down to Earth</w:t>
      </w:r>
      <w:r w:rsidRPr="008B5F4C">
        <w:rPr>
          <w:rFonts w:ascii="Arial" w:hAnsi="Arial" w:cs="Arial"/>
          <w:sz w:val="20"/>
          <w:szCs w:val="20"/>
        </w:rPr>
        <w:t xml:space="preserve"> were also referred to for insights into environmental and social changes in Uttarakhand.</w:t>
      </w:r>
    </w:p>
    <w:p w14:paraId="241ACA01" w14:textId="13428F7B" w:rsidR="003A34B2" w:rsidRPr="00394930" w:rsidRDefault="00570FDD" w:rsidP="00F03AC1">
      <w:pPr>
        <w:spacing w:line="360" w:lineRule="auto"/>
        <w:jc w:val="both"/>
        <w:rPr>
          <w:rFonts w:ascii="Arial" w:hAnsi="Arial" w:cs="Arial"/>
          <w:b/>
        </w:rPr>
      </w:pPr>
      <w:r w:rsidRPr="00394930">
        <w:rPr>
          <w:rFonts w:ascii="Arial" w:hAnsi="Arial" w:cs="Arial"/>
          <w:b/>
        </w:rPr>
        <w:t>STUDY AREA</w:t>
      </w:r>
    </w:p>
    <w:p w14:paraId="32C455EA" w14:textId="77777777" w:rsidR="00556A96" w:rsidRPr="00394930" w:rsidRDefault="006A64DA" w:rsidP="006A2EB8">
      <w:pPr>
        <w:pStyle w:val="NormalWeb"/>
        <w:spacing w:line="336" w:lineRule="auto"/>
        <w:jc w:val="both"/>
        <w:rPr>
          <w:rFonts w:ascii="Arial" w:hAnsi="Arial" w:cs="Arial"/>
          <w:sz w:val="20"/>
          <w:szCs w:val="20"/>
        </w:rPr>
      </w:pPr>
      <w:r w:rsidRPr="00394930">
        <w:rPr>
          <w:rFonts w:ascii="Arial" w:hAnsi="Arial" w:cs="Arial"/>
          <w:sz w:val="20"/>
          <w:szCs w:val="20"/>
        </w:rPr>
        <w:t>Uttarakhand is a northern state of India, located in the western Himalayan region. It shares its borders with Himachal Pradesh to the northwest, Uttar Pradesh to the south, and the international boundary with China (Tibet) to the north</w:t>
      </w:r>
      <w:r w:rsidR="00B6742D" w:rsidRPr="00394930">
        <w:rPr>
          <w:rFonts w:ascii="Arial" w:hAnsi="Arial" w:cs="Arial"/>
          <w:sz w:val="20"/>
          <w:szCs w:val="20"/>
        </w:rPr>
        <w:t>, as well as</w:t>
      </w:r>
      <w:r w:rsidRPr="00394930">
        <w:rPr>
          <w:rFonts w:ascii="Arial" w:hAnsi="Arial" w:cs="Arial"/>
          <w:sz w:val="20"/>
          <w:szCs w:val="20"/>
        </w:rPr>
        <w:t xml:space="preserve"> Nepal to the east. Geographically, Uttarakhand lies between </w:t>
      </w:r>
      <w:r w:rsidRPr="00394930">
        <w:rPr>
          <w:rStyle w:val="Strong"/>
          <w:rFonts w:ascii="Arial" w:hAnsi="Arial" w:cs="Arial"/>
          <w:b w:val="0"/>
          <w:sz w:val="20"/>
          <w:szCs w:val="20"/>
        </w:rPr>
        <w:t>latitudes 28°43'N and 31°27'N</w:t>
      </w:r>
      <w:r w:rsidRPr="00394930">
        <w:rPr>
          <w:rFonts w:ascii="Arial" w:hAnsi="Arial" w:cs="Arial"/>
          <w:sz w:val="20"/>
          <w:szCs w:val="20"/>
        </w:rPr>
        <w:t xml:space="preserve"> and </w:t>
      </w:r>
      <w:r w:rsidRPr="00394930">
        <w:rPr>
          <w:rStyle w:val="Strong"/>
          <w:rFonts w:ascii="Arial" w:hAnsi="Arial" w:cs="Arial"/>
          <w:b w:val="0"/>
          <w:sz w:val="20"/>
          <w:szCs w:val="20"/>
        </w:rPr>
        <w:t>longitudes 77°34'E and 81°02'E</w:t>
      </w:r>
      <w:r w:rsidRPr="00394930">
        <w:rPr>
          <w:rFonts w:ascii="Arial" w:hAnsi="Arial" w:cs="Arial"/>
          <w:b/>
          <w:sz w:val="20"/>
          <w:szCs w:val="20"/>
        </w:rPr>
        <w:t>.</w:t>
      </w:r>
      <w:r w:rsidRPr="00394930">
        <w:rPr>
          <w:rFonts w:ascii="Arial" w:hAnsi="Arial" w:cs="Arial"/>
          <w:sz w:val="20"/>
          <w:szCs w:val="20"/>
        </w:rPr>
        <w:t xml:space="preserve"> The state is characterized by diverse terrain</w:t>
      </w:r>
      <w:r w:rsidR="00B6742D" w:rsidRPr="00394930">
        <w:rPr>
          <w:rFonts w:ascii="Arial" w:hAnsi="Arial" w:cs="Arial"/>
          <w:sz w:val="20"/>
          <w:szCs w:val="20"/>
        </w:rPr>
        <w:t>, ranging from the high Himalayan peaks in the north to the foothills and plains in the south, including significant rivers such as</w:t>
      </w:r>
      <w:r w:rsidRPr="00394930">
        <w:rPr>
          <w:rFonts w:ascii="Arial" w:hAnsi="Arial" w:cs="Arial"/>
          <w:sz w:val="20"/>
          <w:szCs w:val="20"/>
        </w:rPr>
        <w:t xml:space="preserve"> the Ganga and Yamuna that originate in its mountainous regions. </w:t>
      </w:r>
      <w:r w:rsidR="00B5570C" w:rsidRPr="00394930">
        <w:rPr>
          <w:rFonts w:ascii="Arial" w:hAnsi="Arial" w:cs="Arial"/>
          <w:sz w:val="20"/>
          <w:szCs w:val="20"/>
        </w:rPr>
        <w:t>Figure 1 shows the geographical map of Uttarakhand.</w:t>
      </w:r>
    </w:p>
    <w:p w14:paraId="0932A0AE" w14:textId="6E436D26" w:rsidR="00FD5E10" w:rsidRPr="00394930" w:rsidRDefault="00556A96" w:rsidP="00394930">
      <w:pPr>
        <w:pStyle w:val="NormalWeb"/>
        <w:spacing w:line="360" w:lineRule="auto"/>
        <w:jc w:val="center"/>
        <w:rPr>
          <w:b/>
        </w:rPr>
      </w:pPr>
      <w:r>
        <w:rPr>
          <w:noProof/>
        </w:rPr>
        <mc:AlternateContent>
          <mc:Choice Requires="wps">
            <w:drawing>
              <wp:anchor distT="0" distB="0" distL="114300" distR="114300" simplePos="0" relativeHeight="251662336" behindDoc="0" locked="0" layoutInCell="1" allowOverlap="1" wp14:anchorId="2ADD188D" wp14:editId="7F03A126">
                <wp:simplePos x="0" y="0"/>
                <wp:positionH relativeFrom="column">
                  <wp:posOffset>1165860</wp:posOffset>
                </wp:positionH>
                <wp:positionV relativeFrom="paragraph">
                  <wp:posOffset>342265</wp:posOffset>
                </wp:positionV>
                <wp:extent cx="2606040" cy="457200"/>
                <wp:effectExtent l="0" t="0" r="3810" b="38100"/>
                <wp:wrapNone/>
                <wp:docPr id="3" name="Curved Down Arrow 3"/>
                <wp:cNvGraphicFramePr/>
                <a:graphic xmlns:a="http://schemas.openxmlformats.org/drawingml/2006/main">
                  <a:graphicData uri="http://schemas.microsoft.com/office/word/2010/wordprocessingShape">
                    <wps:wsp>
                      <wps:cNvSpPr/>
                      <wps:spPr>
                        <a:xfrm>
                          <a:off x="0" y="0"/>
                          <a:ext cx="2606040" cy="4572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EC5660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 o:spid="_x0000_s1026" type="#_x0000_t105" style="position:absolute;margin-left:91.8pt;margin-top:26.95pt;width:205.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" adj="19705,21126,16200" fillcolor="#5b9bd5 [3204]" strokecolor="#1f4d78 [1604]" strokeweight="1pt"/>
            </w:pict>
          </mc:Fallback>
        </mc:AlternateContent>
      </w:r>
      <w:r>
        <w:rPr>
          <w:noProof/>
        </w:rPr>
        <w:drawing>
          <wp:inline distT="0" distB="0" distL="0" distR="0" wp14:anchorId="494A3D65" wp14:editId="7F5FDA0A">
            <wp:extent cx="2788285" cy="2682240"/>
            <wp:effectExtent l="0" t="0" r="0" b="3810"/>
            <wp:docPr id="2" name="Picture 2" descr="India Map | India Geography Facts | Map of Indian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 Map | India Geography Facts | Map of Indian Sta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5572" cy="2708489"/>
                    </a:xfrm>
                    <a:prstGeom prst="rect">
                      <a:avLst/>
                    </a:prstGeom>
                    <a:noFill/>
                    <a:ln>
                      <a:noFill/>
                    </a:ln>
                  </pic:spPr>
                </pic:pic>
              </a:graphicData>
            </a:graphic>
          </wp:inline>
        </w:drawing>
      </w:r>
      <w:r>
        <w:rPr>
          <w:b/>
        </w:rPr>
        <w:t xml:space="preserve">   </w:t>
      </w:r>
      <w:r w:rsidRPr="009E60B2">
        <w:rPr>
          <w:noProof/>
        </w:rPr>
        <w:drawing>
          <wp:inline distT="0" distB="0" distL="0" distR="0" wp14:anchorId="77183A52" wp14:editId="7FD78BE8">
            <wp:extent cx="3017520" cy="2674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8558" cy="2693267"/>
                    </a:xfrm>
                    <a:prstGeom prst="rect">
                      <a:avLst/>
                    </a:prstGeom>
                  </pic:spPr>
                </pic:pic>
              </a:graphicData>
            </a:graphic>
          </wp:inline>
        </w:drawing>
      </w:r>
      <w:r w:rsidR="00394930">
        <w:rPr>
          <w:b/>
        </w:rPr>
        <w:t>Fig. 1.</w:t>
      </w:r>
      <w:r>
        <w:rPr>
          <w:b/>
        </w:rPr>
        <w:t xml:space="preserve"> </w:t>
      </w:r>
      <w:r w:rsidRPr="00394930">
        <w:rPr>
          <w:rFonts w:ascii="Arial" w:hAnsi="Arial" w:cs="Arial"/>
          <w:b/>
          <w:sz w:val="20"/>
          <w:szCs w:val="20"/>
        </w:rPr>
        <w:t>Geographical map of Uttarakhand</w:t>
      </w:r>
    </w:p>
    <w:p w14:paraId="34DF4453" w14:textId="652EB794" w:rsidR="00FD5E10" w:rsidRPr="00394930" w:rsidRDefault="00394930" w:rsidP="00556A96">
      <w:pPr>
        <w:pStyle w:val="NormalWeb"/>
        <w:spacing w:line="312" w:lineRule="auto"/>
        <w:jc w:val="both"/>
        <w:rPr>
          <w:rFonts w:ascii="Arial" w:hAnsi="Arial" w:cs="Arial"/>
          <w:b/>
          <w:bCs/>
          <w:sz w:val="22"/>
          <w:szCs w:val="22"/>
        </w:rPr>
      </w:pPr>
      <w:r w:rsidRPr="00394930">
        <w:rPr>
          <w:rFonts w:ascii="Arial" w:hAnsi="Arial" w:cs="Arial"/>
          <w:b/>
          <w:bCs/>
          <w:sz w:val="22"/>
          <w:szCs w:val="22"/>
        </w:rPr>
        <w:lastRenderedPageBreak/>
        <w:t>RESULT &amp; DISCUSSION</w:t>
      </w:r>
    </w:p>
    <w:p w14:paraId="523635A2" w14:textId="15C7A929" w:rsidR="00016E0C" w:rsidRPr="00191B22" w:rsidRDefault="00B84300" w:rsidP="00191B22">
      <w:pPr>
        <w:spacing w:line="360" w:lineRule="auto"/>
        <w:jc w:val="both"/>
        <w:rPr>
          <w:rFonts w:ascii="Arial" w:hAnsi="Arial" w:cs="Arial"/>
          <w:sz w:val="20"/>
          <w:szCs w:val="20"/>
        </w:rPr>
      </w:pPr>
      <w:r w:rsidRPr="001F5F6B">
        <w:rPr>
          <w:rFonts w:ascii="Arial" w:hAnsi="Arial" w:cs="Arial"/>
          <w:sz w:val="20"/>
          <w:szCs w:val="20"/>
        </w:rPr>
        <w:t>The Uttarakhand p</w:t>
      </w:r>
      <w:r w:rsidR="00191B22" w:rsidRPr="001F5F6B">
        <w:rPr>
          <w:rFonts w:ascii="Arial" w:hAnsi="Arial" w:cs="Arial"/>
          <w:sz w:val="20"/>
          <w:szCs w:val="20"/>
        </w:rPr>
        <w:t xml:space="preserve">opulation has recorded a consistent growth in </w:t>
      </w:r>
      <w:r w:rsidR="00FD0D38">
        <w:rPr>
          <w:rFonts w:ascii="Arial" w:hAnsi="Arial" w:cs="Arial"/>
          <w:sz w:val="20"/>
          <w:szCs w:val="20"/>
        </w:rPr>
        <w:t>recent</w:t>
      </w:r>
      <w:r w:rsidR="00191B22" w:rsidRPr="001F5F6B">
        <w:rPr>
          <w:rFonts w:ascii="Arial" w:hAnsi="Arial" w:cs="Arial"/>
          <w:sz w:val="20"/>
          <w:szCs w:val="20"/>
        </w:rPr>
        <w:t xml:space="preserve"> years, increasing from 7.8 million in 1996 to 8.49 million in 2001, and further to 10.09 million as of 2011. An 18.</w:t>
      </w:r>
      <w:r w:rsidRPr="001F5F6B">
        <w:rPr>
          <w:rFonts w:ascii="Arial" w:hAnsi="Arial" w:cs="Arial"/>
          <w:sz w:val="20"/>
          <w:szCs w:val="20"/>
        </w:rPr>
        <w:t>8% increase during the decade</w:t>
      </w:r>
      <w:r w:rsidR="00FD0D38">
        <w:rPr>
          <w:rFonts w:ascii="Arial" w:hAnsi="Arial" w:cs="Arial"/>
          <w:sz w:val="20"/>
          <w:szCs w:val="20"/>
        </w:rPr>
        <w:t>,</w:t>
      </w:r>
      <w:r w:rsidRPr="001F5F6B">
        <w:rPr>
          <w:rFonts w:ascii="Arial" w:hAnsi="Arial" w:cs="Arial"/>
          <w:sz w:val="20"/>
          <w:szCs w:val="20"/>
        </w:rPr>
        <w:t xml:space="preserve"> a</w:t>
      </w:r>
      <w:r w:rsidR="00191B22" w:rsidRPr="001F5F6B">
        <w:rPr>
          <w:rFonts w:ascii="Arial" w:hAnsi="Arial" w:cs="Arial"/>
          <w:sz w:val="20"/>
          <w:szCs w:val="20"/>
        </w:rPr>
        <w:t xml:space="preserve">ccording to recent estimates. The population is expected </w:t>
      </w:r>
      <w:r w:rsidRPr="001F5F6B">
        <w:rPr>
          <w:rFonts w:ascii="Arial" w:hAnsi="Arial" w:cs="Arial"/>
          <w:sz w:val="20"/>
          <w:szCs w:val="20"/>
        </w:rPr>
        <w:t>to be</w:t>
      </w:r>
      <w:r w:rsidR="00191B22" w:rsidRPr="001F5F6B">
        <w:rPr>
          <w:rFonts w:ascii="Arial" w:hAnsi="Arial" w:cs="Arial"/>
          <w:sz w:val="20"/>
          <w:szCs w:val="20"/>
        </w:rPr>
        <w:t xml:space="preserve"> 12.33 million as of 2024, a continued growth of around 2.24 million since 2011</w:t>
      </w:r>
      <w:r w:rsidRPr="001F5F6B">
        <w:rPr>
          <w:rFonts w:ascii="Arial" w:hAnsi="Arial" w:cs="Arial"/>
          <w:sz w:val="20"/>
          <w:szCs w:val="20"/>
        </w:rPr>
        <w:t>, which are also significantly affect the vegetation area</w:t>
      </w:r>
      <w:r w:rsidR="00191B22" w:rsidRPr="001F5F6B">
        <w:rPr>
          <w:rFonts w:ascii="Arial" w:hAnsi="Arial" w:cs="Arial"/>
          <w:sz w:val="20"/>
          <w:szCs w:val="20"/>
        </w:rPr>
        <w:t xml:space="preserve">. </w:t>
      </w:r>
      <w:r>
        <w:rPr>
          <w:rFonts w:ascii="Arial" w:hAnsi="Arial" w:cs="Arial"/>
          <w:sz w:val="20"/>
          <w:szCs w:val="20"/>
        </w:rPr>
        <w:t xml:space="preserve">In reference to this, </w:t>
      </w:r>
      <w:r w:rsidR="006A64DA" w:rsidRPr="00191B22">
        <w:rPr>
          <w:rFonts w:ascii="Arial" w:hAnsi="Arial" w:cs="Arial"/>
          <w:sz w:val="20"/>
          <w:szCs w:val="20"/>
        </w:rPr>
        <w:t xml:space="preserve">Uttarakhand, renowned for its picturesque hills and sacred pilgrimage sites, has experienced a significant surge in tourist footfall, with a 30% increase recorded between 2019 and 2022. While this growth reflects the state's popularity, it also raises serious concerns about its capacity to manage the rising influx. Recent disasters, such as the tragic bridge collapse in Chamoli district that resulted in the loss of ten lives, along with frequent landslides in </w:t>
      </w:r>
      <w:proofErr w:type="spellStart"/>
      <w:r w:rsidR="006A64DA" w:rsidRPr="00191B22">
        <w:rPr>
          <w:rFonts w:ascii="Arial" w:hAnsi="Arial" w:cs="Arial"/>
          <w:sz w:val="20"/>
          <w:szCs w:val="20"/>
        </w:rPr>
        <w:t>Gangotri</w:t>
      </w:r>
      <w:proofErr w:type="spellEnd"/>
      <w:r w:rsidR="006A64DA" w:rsidRPr="00191B22">
        <w:rPr>
          <w:rFonts w:ascii="Arial" w:hAnsi="Arial" w:cs="Arial"/>
          <w:sz w:val="20"/>
          <w:szCs w:val="20"/>
        </w:rPr>
        <w:t xml:space="preserve"> and </w:t>
      </w:r>
      <w:proofErr w:type="spellStart"/>
      <w:r w:rsidR="006A64DA" w:rsidRPr="00191B22">
        <w:rPr>
          <w:rFonts w:ascii="Arial" w:hAnsi="Arial" w:cs="Arial"/>
          <w:sz w:val="20"/>
          <w:szCs w:val="20"/>
        </w:rPr>
        <w:t>Yamunotri</w:t>
      </w:r>
      <w:proofErr w:type="spellEnd"/>
      <w:r w:rsidR="006A64DA" w:rsidRPr="00191B22">
        <w:rPr>
          <w:rFonts w:ascii="Arial" w:hAnsi="Arial" w:cs="Arial"/>
          <w:sz w:val="20"/>
          <w:szCs w:val="20"/>
        </w:rPr>
        <w:t xml:space="preserve"> that disrupted key pilgrimage routes, have highlighted critical gaps in infrastructure and disaster preparedness. These incidents underscore the urgent need for improved planning, infrastructure resilience, and sustainable tourism management in the region.</w:t>
      </w:r>
      <w:r w:rsidR="00556A96" w:rsidRPr="00191B22">
        <w:rPr>
          <w:rFonts w:ascii="Arial" w:hAnsi="Arial" w:cs="Arial"/>
          <w:sz w:val="20"/>
          <w:szCs w:val="20"/>
        </w:rPr>
        <w:t xml:space="preserve"> Table 1 shows the tourist rate in Dehradun district from different states during </w:t>
      </w:r>
      <w:r w:rsidR="00621616" w:rsidRPr="00191B22">
        <w:rPr>
          <w:rFonts w:ascii="Arial" w:hAnsi="Arial" w:cs="Arial"/>
          <w:sz w:val="20"/>
          <w:szCs w:val="20"/>
        </w:rPr>
        <w:t>the</w:t>
      </w:r>
      <w:r w:rsidR="00B5570C" w:rsidRPr="00191B22">
        <w:rPr>
          <w:rFonts w:ascii="Arial" w:hAnsi="Arial" w:cs="Arial"/>
          <w:sz w:val="20"/>
          <w:szCs w:val="20"/>
        </w:rPr>
        <w:t xml:space="preserve"> period of 2016 to 2017</w:t>
      </w:r>
      <w:r w:rsidR="00556A96" w:rsidRPr="00191B22">
        <w:rPr>
          <w:rFonts w:ascii="Arial" w:hAnsi="Arial" w:cs="Arial"/>
          <w:sz w:val="20"/>
          <w:szCs w:val="20"/>
        </w:rPr>
        <w:t>.</w:t>
      </w:r>
    </w:p>
    <w:p w14:paraId="04B4655E" w14:textId="57285457" w:rsidR="00F03AC1" w:rsidRPr="00394930" w:rsidRDefault="00394930" w:rsidP="00F03AC1">
      <w:pPr>
        <w:spacing w:line="360" w:lineRule="auto"/>
        <w:jc w:val="center"/>
        <w:rPr>
          <w:rFonts w:ascii="Arial" w:hAnsi="Arial" w:cs="Arial"/>
          <w:b/>
          <w:sz w:val="20"/>
          <w:szCs w:val="20"/>
        </w:rPr>
      </w:pPr>
      <w:r w:rsidRPr="00394930">
        <w:rPr>
          <w:rFonts w:ascii="Arial" w:hAnsi="Arial" w:cs="Arial"/>
          <w:b/>
          <w:sz w:val="20"/>
          <w:szCs w:val="20"/>
        </w:rPr>
        <w:t>Table 1.</w:t>
      </w:r>
      <w:r w:rsidR="00F03AC1" w:rsidRPr="00394930">
        <w:rPr>
          <w:rFonts w:ascii="Arial" w:hAnsi="Arial" w:cs="Arial"/>
          <w:sz w:val="20"/>
          <w:szCs w:val="20"/>
        </w:rPr>
        <w:t xml:space="preserve"> </w:t>
      </w:r>
      <w:r w:rsidR="00F03AC1" w:rsidRPr="00394930">
        <w:rPr>
          <w:rFonts w:ascii="Arial" w:hAnsi="Arial" w:cs="Arial"/>
          <w:b/>
          <w:sz w:val="20"/>
          <w:szCs w:val="20"/>
        </w:rPr>
        <w:t xml:space="preserve">Tourist Arrivals in Dehradun for different time </w:t>
      </w:r>
      <w:r w:rsidR="003A34B2" w:rsidRPr="00394930">
        <w:rPr>
          <w:rFonts w:ascii="Arial" w:hAnsi="Arial" w:cs="Arial"/>
          <w:b/>
          <w:sz w:val="20"/>
          <w:szCs w:val="20"/>
        </w:rPr>
        <w:t>intervals (Tourism Statistics, 2018, Census of India, 2011)</w:t>
      </w:r>
    </w:p>
    <w:tbl>
      <w:tblPr>
        <w:tblStyle w:val="PlainTable5"/>
        <w:tblW w:w="0" w:type="auto"/>
        <w:tblLook w:val="04A0" w:firstRow="1" w:lastRow="0" w:firstColumn="1" w:lastColumn="0" w:noHBand="0" w:noVBand="1"/>
      </w:tblPr>
      <w:tblGrid>
        <w:gridCol w:w="1956"/>
        <w:gridCol w:w="1337"/>
        <w:gridCol w:w="1337"/>
        <w:gridCol w:w="1438"/>
        <w:gridCol w:w="1148"/>
        <w:gridCol w:w="1078"/>
        <w:gridCol w:w="967"/>
      </w:tblGrid>
      <w:tr w:rsidR="00AB4B8B" w:rsidRPr="00822C41" w14:paraId="0CBE2A2D" w14:textId="77777777" w:rsidTr="00FD0D38">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956" w:type="dxa"/>
            <w:vMerge w:val="restart"/>
            <w:shd w:val="clear" w:color="auto" w:fill="auto"/>
          </w:tcPr>
          <w:p w14:paraId="17A16EA3" w14:textId="77777777" w:rsidR="00AB4B8B" w:rsidRPr="00822C41" w:rsidRDefault="00AB4B8B" w:rsidP="00950D67">
            <w:pPr>
              <w:jc w:val="both"/>
              <w:rPr>
                <w:rFonts w:ascii="Arial" w:hAnsi="Arial" w:cs="Arial"/>
                <w:b/>
                <w:i w:val="0"/>
                <w:sz w:val="20"/>
                <w:szCs w:val="20"/>
              </w:rPr>
            </w:pPr>
            <w:r w:rsidRPr="00822C41">
              <w:rPr>
                <w:rFonts w:ascii="Arial" w:hAnsi="Arial" w:cs="Arial"/>
                <w:b/>
                <w:i w:val="0"/>
                <w:sz w:val="20"/>
                <w:szCs w:val="20"/>
              </w:rPr>
              <w:t>State</w:t>
            </w:r>
          </w:p>
        </w:tc>
        <w:tc>
          <w:tcPr>
            <w:tcW w:w="1337" w:type="dxa"/>
            <w:vMerge w:val="restart"/>
            <w:shd w:val="clear" w:color="auto" w:fill="auto"/>
          </w:tcPr>
          <w:p w14:paraId="271E327E" w14:textId="77777777" w:rsidR="00AB4B8B" w:rsidRPr="00822C41" w:rsidRDefault="00AB4B8B" w:rsidP="00950D67">
            <w:pPr>
              <w:jc w:val="both"/>
              <w:cnfStyle w:val="100000000000" w:firstRow="1" w:lastRow="0" w:firstColumn="0" w:lastColumn="0" w:oddVBand="0" w:evenVBand="0" w:oddHBand="0" w:evenHBand="0" w:firstRowFirstColumn="0" w:firstRowLastColumn="0" w:lastRowFirstColumn="0" w:lastRowLastColumn="0"/>
              <w:rPr>
                <w:rFonts w:ascii="Arial" w:hAnsi="Arial" w:cs="Arial"/>
                <w:b/>
                <w:i w:val="0"/>
                <w:sz w:val="20"/>
                <w:szCs w:val="20"/>
              </w:rPr>
            </w:pPr>
            <w:r w:rsidRPr="00822C41">
              <w:rPr>
                <w:rFonts w:ascii="Arial" w:hAnsi="Arial" w:cs="Arial"/>
                <w:b/>
                <w:i w:val="0"/>
                <w:sz w:val="20"/>
                <w:szCs w:val="20"/>
              </w:rPr>
              <w:t>Population</w:t>
            </w:r>
          </w:p>
        </w:tc>
        <w:tc>
          <w:tcPr>
            <w:tcW w:w="2775" w:type="dxa"/>
            <w:gridSpan w:val="2"/>
            <w:shd w:val="clear" w:color="auto" w:fill="auto"/>
          </w:tcPr>
          <w:p w14:paraId="4C83C5FE" w14:textId="77777777" w:rsidR="00AB4B8B" w:rsidRPr="00822C41" w:rsidRDefault="00AB4B8B" w:rsidP="00950D67">
            <w:pPr>
              <w:jc w:val="both"/>
              <w:cnfStyle w:val="100000000000" w:firstRow="1" w:lastRow="0" w:firstColumn="0" w:lastColumn="0" w:oddVBand="0" w:evenVBand="0" w:oddHBand="0" w:evenHBand="0" w:firstRowFirstColumn="0" w:firstRowLastColumn="0" w:lastRowFirstColumn="0" w:lastRowLastColumn="0"/>
              <w:rPr>
                <w:rFonts w:ascii="Arial" w:hAnsi="Arial" w:cs="Arial"/>
                <w:b/>
                <w:i w:val="0"/>
                <w:sz w:val="20"/>
                <w:szCs w:val="20"/>
              </w:rPr>
            </w:pPr>
            <w:r w:rsidRPr="00822C41">
              <w:rPr>
                <w:rFonts w:ascii="Arial" w:hAnsi="Arial" w:cs="Arial"/>
                <w:b/>
                <w:i w:val="0"/>
                <w:sz w:val="20"/>
                <w:szCs w:val="20"/>
              </w:rPr>
              <w:t>Tourist Arrival (in lakhs)</w:t>
            </w:r>
          </w:p>
        </w:tc>
        <w:tc>
          <w:tcPr>
            <w:tcW w:w="2226" w:type="dxa"/>
            <w:gridSpan w:val="2"/>
            <w:shd w:val="clear" w:color="auto" w:fill="auto"/>
          </w:tcPr>
          <w:p w14:paraId="764F8048" w14:textId="77777777" w:rsidR="00AB4B8B" w:rsidRPr="00822C41" w:rsidRDefault="00AB4B8B" w:rsidP="00950D67">
            <w:pPr>
              <w:jc w:val="both"/>
              <w:cnfStyle w:val="100000000000" w:firstRow="1" w:lastRow="0" w:firstColumn="0" w:lastColumn="0" w:oddVBand="0" w:evenVBand="0" w:oddHBand="0" w:evenHBand="0" w:firstRowFirstColumn="0" w:firstRowLastColumn="0" w:lastRowFirstColumn="0" w:lastRowLastColumn="0"/>
              <w:rPr>
                <w:rFonts w:ascii="Arial" w:hAnsi="Arial" w:cs="Arial"/>
                <w:b/>
                <w:i w:val="0"/>
                <w:sz w:val="20"/>
                <w:szCs w:val="20"/>
              </w:rPr>
            </w:pPr>
            <w:r w:rsidRPr="00822C41">
              <w:rPr>
                <w:rFonts w:ascii="Arial" w:hAnsi="Arial" w:cs="Arial"/>
                <w:b/>
                <w:i w:val="0"/>
                <w:sz w:val="20"/>
                <w:szCs w:val="20"/>
              </w:rPr>
              <w:t>Tourist per person</w:t>
            </w:r>
          </w:p>
        </w:tc>
        <w:tc>
          <w:tcPr>
            <w:tcW w:w="967" w:type="dxa"/>
            <w:vMerge w:val="restart"/>
            <w:shd w:val="clear" w:color="auto" w:fill="auto"/>
          </w:tcPr>
          <w:p w14:paraId="62F93048" w14:textId="77777777" w:rsidR="00AB4B8B" w:rsidRPr="00822C41" w:rsidRDefault="00AB4B8B" w:rsidP="00950D67">
            <w:pPr>
              <w:jc w:val="both"/>
              <w:cnfStyle w:val="100000000000" w:firstRow="1" w:lastRow="0" w:firstColumn="0" w:lastColumn="0" w:oddVBand="0" w:evenVBand="0" w:oddHBand="0" w:evenHBand="0" w:firstRowFirstColumn="0" w:firstRowLastColumn="0" w:lastRowFirstColumn="0" w:lastRowLastColumn="0"/>
              <w:rPr>
                <w:rFonts w:ascii="Arial" w:hAnsi="Arial" w:cs="Arial"/>
                <w:b/>
                <w:i w:val="0"/>
                <w:sz w:val="20"/>
                <w:szCs w:val="20"/>
              </w:rPr>
            </w:pPr>
            <w:r w:rsidRPr="00822C41">
              <w:rPr>
                <w:rFonts w:ascii="Arial" w:hAnsi="Arial" w:cs="Arial"/>
                <w:b/>
                <w:i w:val="0"/>
                <w:sz w:val="20"/>
                <w:szCs w:val="20"/>
              </w:rPr>
              <w:t>Rating</w:t>
            </w:r>
          </w:p>
        </w:tc>
      </w:tr>
      <w:tr w:rsidR="00AB4B8B" w:rsidRPr="00822C41" w14:paraId="1AEB76DD" w14:textId="77777777" w:rsidTr="00FD0D3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956" w:type="dxa"/>
            <w:vMerge/>
            <w:shd w:val="clear" w:color="auto" w:fill="auto"/>
          </w:tcPr>
          <w:p w14:paraId="7664C906" w14:textId="77777777" w:rsidR="00AB4B8B" w:rsidRPr="00822C41" w:rsidRDefault="00AB4B8B" w:rsidP="00AB4B8B">
            <w:pPr>
              <w:jc w:val="both"/>
              <w:rPr>
                <w:rFonts w:ascii="Arial" w:hAnsi="Arial" w:cs="Arial"/>
                <w:b/>
                <w:sz w:val="20"/>
                <w:szCs w:val="20"/>
              </w:rPr>
            </w:pPr>
          </w:p>
        </w:tc>
        <w:tc>
          <w:tcPr>
            <w:tcW w:w="1337" w:type="dxa"/>
            <w:vMerge/>
            <w:shd w:val="clear" w:color="auto" w:fill="auto"/>
          </w:tcPr>
          <w:p w14:paraId="1380F2BA" w14:textId="77777777" w:rsidR="00AB4B8B" w:rsidRPr="00822C41" w:rsidRDefault="00AB4B8B" w:rsidP="00AB4B8B">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337" w:type="dxa"/>
            <w:shd w:val="clear" w:color="auto" w:fill="auto"/>
          </w:tcPr>
          <w:p w14:paraId="54EC93AC" w14:textId="77777777" w:rsidR="00AB4B8B" w:rsidRPr="00822C41"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22C41">
              <w:rPr>
                <w:rFonts w:ascii="Arial" w:hAnsi="Arial" w:cs="Arial"/>
                <w:b/>
                <w:sz w:val="20"/>
                <w:szCs w:val="20"/>
              </w:rPr>
              <w:t>2016</w:t>
            </w:r>
          </w:p>
        </w:tc>
        <w:tc>
          <w:tcPr>
            <w:tcW w:w="1438" w:type="dxa"/>
            <w:shd w:val="clear" w:color="auto" w:fill="auto"/>
          </w:tcPr>
          <w:p w14:paraId="12EA1FFA" w14:textId="77777777" w:rsidR="00AB4B8B" w:rsidRPr="00822C41"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22C41">
              <w:rPr>
                <w:rFonts w:ascii="Arial" w:hAnsi="Arial" w:cs="Arial"/>
                <w:b/>
                <w:sz w:val="20"/>
                <w:szCs w:val="20"/>
              </w:rPr>
              <w:t>2017</w:t>
            </w:r>
          </w:p>
        </w:tc>
        <w:tc>
          <w:tcPr>
            <w:tcW w:w="1148" w:type="dxa"/>
            <w:shd w:val="clear" w:color="auto" w:fill="auto"/>
          </w:tcPr>
          <w:p w14:paraId="3AD98247" w14:textId="77777777" w:rsidR="00AB4B8B" w:rsidRPr="00822C41"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22C41">
              <w:rPr>
                <w:rFonts w:ascii="Arial" w:hAnsi="Arial" w:cs="Arial"/>
                <w:b/>
                <w:sz w:val="20"/>
                <w:szCs w:val="20"/>
              </w:rPr>
              <w:t>2016</w:t>
            </w:r>
          </w:p>
        </w:tc>
        <w:tc>
          <w:tcPr>
            <w:tcW w:w="1078" w:type="dxa"/>
            <w:shd w:val="clear" w:color="auto" w:fill="auto"/>
          </w:tcPr>
          <w:p w14:paraId="4567AA12" w14:textId="77777777" w:rsidR="00AB4B8B" w:rsidRPr="00822C41"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22C41">
              <w:rPr>
                <w:rFonts w:ascii="Arial" w:hAnsi="Arial" w:cs="Arial"/>
                <w:b/>
                <w:sz w:val="20"/>
                <w:szCs w:val="20"/>
              </w:rPr>
              <w:t>2017</w:t>
            </w:r>
          </w:p>
        </w:tc>
        <w:tc>
          <w:tcPr>
            <w:tcW w:w="967" w:type="dxa"/>
            <w:vMerge/>
            <w:shd w:val="clear" w:color="auto" w:fill="auto"/>
          </w:tcPr>
          <w:p w14:paraId="34F44AEF" w14:textId="77777777" w:rsidR="00AB4B8B" w:rsidRPr="00822C41" w:rsidRDefault="00AB4B8B" w:rsidP="00AB4B8B">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950D67" w:rsidRPr="00822C41" w14:paraId="665E742B" w14:textId="77777777" w:rsidTr="00FD0D38">
        <w:trPr>
          <w:trHeight w:val="306"/>
        </w:trPr>
        <w:tc>
          <w:tcPr>
            <w:cnfStyle w:val="001000000000" w:firstRow="0" w:lastRow="0" w:firstColumn="1" w:lastColumn="0" w:oddVBand="0" w:evenVBand="0" w:oddHBand="0" w:evenHBand="0" w:firstRowFirstColumn="0" w:firstRowLastColumn="0" w:lastRowFirstColumn="0" w:lastRowLastColumn="0"/>
            <w:tcW w:w="1956" w:type="dxa"/>
            <w:shd w:val="clear" w:color="auto" w:fill="auto"/>
          </w:tcPr>
          <w:p w14:paraId="563BAD10" w14:textId="77777777" w:rsidR="00950D67" w:rsidRPr="00822C41" w:rsidRDefault="00950D67" w:rsidP="00950D67">
            <w:pPr>
              <w:rPr>
                <w:rFonts w:ascii="Arial" w:hAnsi="Arial" w:cs="Arial"/>
                <w:i w:val="0"/>
                <w:sz w:val="20"/>
                <w:szCs w:val="20"/>
              </w:rPr>
            </w:pPr>
            <w:r w:rsidRPr="00822C41">
              <w:rPr>
                <w:rFonts w:ascii="Arial" w:hAnsi="Arial" w:cs="Arial"/>
                <w:i w:val="0"/>
                <w:sz w:val="20"/>
                <w:szCs w:val="20"/>
              </w:rPr>
              <w:t xml:space="preserve">Haryana </w:t>
            </w:r>
          </w:p>
        </w:tc>
        <w:tc>
          <w:tcPr>
            <w:tcW w:w="1337" w:type="dxa"/>
            <w:shd w:val="clear" w:color="auto" w:fill="auto"/>
          </w:tcPr>
          <w:p w14:paraId="4A6B222B"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25353081</w:t>
            </w:r>
          </w:p>
        </w:tc>
        <w:tc>
          <w:tcPr>
            <w:tcW w:w="1337" w:type="dxa"/>
            <w:shd w:val="clear" w:color="auto" w:fill="auto"/>
          </w:tcPr>
          <w:p w14:paraId="0B0A9FEB"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77.14</w:t>
            </w:r>
          </w:p>
        </w:tc>
        <w:tc>
          <w:tcPr>
            <w:tcW w:w="1438" w:type="dxa"/>
            <w:shd w:val="clear" w:color="auto" w:fill="auto"/>
          </w:tcPr>
          <w:p w14:paraId="31A5BB1C"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62.44</w:t>
            </w:r>
          </w:p>
        </w:tc>
        <w:tc>
          <w:tcPr>
            <w:tcW w:w="1148" w:type="dxa"/>
            <w:shd w:val="clear" w:color="auto" w:fill="auto"/>
          </w:tcPr>
          <w:p w14:paraId="3E07F89D"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0.30</w:t>
            </w:r>
          </w:p>
        </w:tc>
        <w:tc>
          <w:tcPr>
            <w:tcW w:w="1078" w:type="dxa"/>
            <w:shd w:val="clear" w:color="auto" w:fill="auto"/>
          </w:tcPr>
          <w:p w14:paraId="52D977E6"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0.25</w:t>
            </w:r>
          </w:p>
        </w:tc>
        <w:tc>
          <w:tcPr>
            <w:tcW w:w="967" w:type="dxa"/>
            <w:shd w:val="clear" w:color="auto" w:fill="auto"/>
          </w:tcPr>
          <w:p w14:paraId="7BD99CBA"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6</w:t>
            </w:r>
          </w:p>
        </w:tc>
      </w:tr>
      <w:tr w:rsidR="00950D67" w:rsidRPr="00822C41" w14:paraId="354F9D37" w14:textId="77777777" w:rsidTr="00FD0D3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56" w:type="dxa"/>
            <w:shd w:val="clear" w:color="auto" w:fill="auto"/>
          </w:tcPr>
          <w:p w14:paraId="509B8557" w14:textId="77777777" w:rsidR="00950D67" w:rsidRPr="00822C41" w:rsidRDefault="00950D67" w:rsidP="00950D67">
            <w:pPr>
              <w:rPr>
                <w:rFonts w:ascii="Arial" w:hAnsi="Arial" w:cs="Arial"/>
                <w:i w:val="0"/>
                <w:sz w:val="20"/>
                <w:szCs w:val="20"/>
              </w:rPr>
            </w:pPr>
            <w:r w:rsidRPr="00822C41">
              <w:rPr>
                <w:rFonts w:ascii="Arial" w:hAnsi="Arial" w:cs="Arial"/>
                <w:i w:val="0"/>
                <w:sz w:val="20"/>
                <w:szCs w:val="20"/>
              </w:rPr>
              <w:t xml:space="preserve">Himachal Pradesh </w:t>
            </w:r>
          </w:p>
        </w:tc>
        <w:tc>
          <w:tcPr>
            <w:tcW w:w="1337" w:type="dxa"/>
            <w:shd w:val="clear" w:color="auto" w:fill="auto"/>
          </w:tcPr>
          <w:p w14:paraId="79572DC6"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6864602</w:t>
            </w:r>
          </w:p>
        </w:tc>
        <w:tc>
          <w:tcPr>
            <w:tcW w:w="1337" w:type="dxa"/>
            <w:shd w:val="clear" w:color="auto" w:fill="auto"/>
          </w:tcPr>
          <w:p w14:paraId="2083F699"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184.51</w:t>
            </w:r>
          </w:p>
        </w:tc>
        <w:tc>
          <w:tcPr>
            <w:tcW w:w="1438" w:type="dxa"/>
            <w:shd w:val="clear" w:color="auto" w:fill="auto"/>
          </w:tcPr>
          <w:p w14:paraId="01981431"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196.02</w:t>
            </w:r>
          </w:p>
        </w:tc>
        <w:tc>
          <w:tcPr>
            <w:tcW w:w="1148" w:type="dxa"/>
            <w:shd w:val="clear" w:color="auto" w:fill="auto"/>
          </w:tcPr>
          <w:p w14:paraId="424B4FA7"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2.69</w:t>
            </w:r>
          </w:p>
        </w:tc>
        <w:tc>
          <w:tcPr>
            <w:tcW w:w="1078" w:type="dxa"/>
            <w:shd w:val="clear" w:color="auto" w:fill="auto"/>
          </w:tcPr>
          <w:p w14:paraId="5E3B87D1"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2.86</w:t>
            </w:r>
          </w:p>
        </w:tc>
        <w:tc>
          <w:tcPr>
            <w:tcW w:w="967" w:type="dxa"/>
            <w:shd w:val="clear" w:color="auto" w:fill="auto"/>
          </w:tcPr>
          <w:p w14:paraId="2CD6538A"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2</w:t>
            </w:r>
          </w:p>
        </w:tc>
      </w:tr>
      <w:tr w:rsidR="00950D67" w:rsidRPr="00822C41" w14:paraId="24F2C96B" w14:textId="77777777" w:rsidTr="00FD0D38">
        <w:trPr>
          <w:trHeight w:val="322"/>
        </w:trPr>
        <w:tc>
          <w:tcPr>
            <w:cnfStyle w:val="001000000000" w:firstRow="0" w:lastRow="0" w:firstColumn="1" w:lastColumn="0" w:oddVBand="0" w:evenVBand="0" w:oddHBand="0" w:evenHBand="0" w:firstRowFirstColumn="0" w:firstRowLastColumn="0" w:lastRowFirstColumn="0" w:lastRowLastColumn="0"/>
            <w:tcW w:w="1956" w:type="dxa"/>
            <w:shd w:val="clear" w:color="auto" w:fill="auto"/>
          </w:tcPr>
          <w:p w14:paraId="4A4F16C7" w14:textId="77777777" w:rsidR="00950D67" w:rsidRPr="00822C41" w:rsidRDefault="00950D67" w:rsidP="00950D67">
            <w:pPr>
              <w:rPr>
                <w:rFonts w:ascii="Arial" w:hAnsi="Arial" w:cs="Arial"/>
                <w:i w:val="0"/>
                <w:sz w:val="20"/>
                <w:szCs w:val="20"/>
              </w:rPr>
            </w:pPr>
            <w:r w:rsidRPr="00822C41">
              <w:rPr>
                <w:rFonts w:ascii="Arial" w:hAnsi="Arial" w:cs="Arial"/>
                <w:i w:val="0"/>
                <w:sz w:val="20"/>
                <w:szCs w:val="20"/>
              </w:rPr>
              <w:t xml:space="preserve">J &amp; K </w:t>
            </w:r>
          </w:p>
        </w:tc>
        <w:tc>
          <w:tcPr>
            <w:tcW w:w="1337" w:type="dxa"/>
            <w:shd w:val="clear" w:color="auto" w:fill="auto"/>
          </w:tcPr>
          <w:p w14:paraId="5729BB4A"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12548962</w:t>
            </w:r>
          </w:p>
        </w:tc>
        <w:tc>
          <w:tcPr>
            <w:tcW w:w="1337" w:type="dxa"/>
            <w:shd w:val="clear" w:color="auto" w:fill="auto"/>
          </w:tcPr>
          <w:p w14:paraId="7702EE68"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94.78</w:t>
            </w:r>
          </w:p>
        </w:tc>
        <w:tc>
          <w:tcPr>
            <w:tcW w:w="1438" w:type="dxa"/>
            <w:shd w:val="clear" w:color="auto" w:fill="auto"/>
          </w:tcPr>
          <w:p w14:paraId="4680F488"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133.15</w:t>
            </w:r>
          </w:p>
        </w:tc>
        <w:tc>
          <w:tcPr>
            <w:tcW w:w="1148" w:type="dxa"/>
            <w:shd w:val="clear" w:color="auto" w:fill="auto"/>
          </w:tcPr>
          <w:p w14:paraId="5C31DCD9"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0.76</w:t>
            </w:r>
          </w:p>
        </w:tc>
        <w:tc>
          <w:tcPr>
            <w:tcW w:w="1078" w:type="dxa"/>
            <w:shd w:val="clear" w:color="auto" w:fill="auto"/>
          </w:tcPr>
          <w:p w14:paraId="7FF249B2"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1.06</w:t>
            </w:r>
          </w:p>
        </w:tc>
        <w:tc>
          <w:tcPr>
            <w:tcW w:w="967" w:type="dxa"/>
            <w:shd w:val="clear" w:color="auto" w:fill="auto"/>
          </w:tcPr>
          <w:p w14:paraId="0D021BD7"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5</w:t>
            </w:r>
          </w:p>
        </w:tc>
      </w:tr>
      <w:tr w:rsidR="00950D67" w:rsidRPr="00822C41" w14:paraId="04793B47" w14:textId="77777777" w:rsidTr="00FD0D3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56" w:type="dxa"/>
            <w:shd w:val="clear" w:color="auto" w:fill="auto"/>
          </w:tcPr>
          <w:p w14:paraId="1125DE33" w14:textId="77777777" w:rsidR="00950D67" w:rsidRPr="00822C41" w:rsidRDefault="00950D67" w:rsidP="00950D67">
            <w:pPr>
              <w:rPr>
                <w:rFonts w:ascii="Arial" w:hAnsi="Arial" w:cs="Arial"/>
                <w:i w:val="0"/>
                <w:sz w:val="20"/>
                <w:szCs w:val="20"/>
              </w:rPr>
            </w:pPr>
            <w:r w:rsidRPr="00822C41">
              <w:rPr>
                <w:rFonts w:ascii="Arial" w:hAnsi="Arial" w:cs="Arial"/>
                <w:i w:val="0"/>
                <w:sz w:val="20"/>
                <w:szCs w:val="20"/>
              </w:rPr>
              <w:t xml:space="preserve">Punjab </w:t>
            </w:r>
          </w:p>
        </w:tc>
        <w:tc>
          <w:tcPr>
            <w:tcW w:w="1337" w:type="dxa"/>
            <w:shd w:val="clear" w:color="auto" w:fill="auto"/>
          </w:tcPr>
          <w:p w14:paraId="74C9F336" w14:textId="77777777" w:rsidR="00950D67" w:rsidRPr="00822C41"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27704236</w:t>
            </w:r>
          </w:p>
        </w:tc>
        <w:tc>
          <w:tcPr>
            <w:tcW w:w="1337" w:type="dxa"/>
            <w:shd w:val="clear" w:color="auto" w:fill="auto"/>
          </w:tcPr>
          <w:p w14:paraId="028450AA"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393.63</w:t>
            </w:r>
          </w:p>
        </w:tc>
        <w:tc>
          <w:tcPr>
            <w:tcW w:w="1438" w:type="dxa"/>
            <w:shd w:val="clear" w:color="auto" w:fill="auto"/>
          </w:tcPr>
          <w:p w14:paraId="2917288E"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414.02</w:t>
            </w:r>
          </w:p>
        </w:tc>
        <w:tc>
          <w:tcPr>
            <w:tcW w:w="1148" w:type="dxa"/>
            <w:shd w:val="clear" w:color="auto" w:fill="auto"/>
          </w:tcPr>
          <w:p w14:paraId="787B9C29"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1.42</w:t>
            </w:r>
          </w:p>
        </w:tc>
        <w:tc>
          <w:tcPr>
            <w:tcW w:w="1078" w:type="dxa"/>
            <w:shd w:val="clear" w:color="auto" w:fill="auto"/>
          </w:tcPr>
          <w:p w14:paraId="3922DA2A"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1.49</w:t>
            </w:r>
          </w:p>
        </w:tc>
        <w:tc>
          <w:tcPr>
            <w:tcW w:w="967" w:type="dxa"/>
            <w:shd w:val="clear" w:color="auto" w:fill="auto"/>
          </w:tcPr>
          <w:p w14:paraId="09184E1C"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3</w:t>
            </w:r>
          </w:p>
        </w:tc>
      </w:tr>
      <w:tr w:rsidR="00950D67" w:rsidRPr="00822C41" w14:paraId="6C23B233" w14:textId="77777777" w:rsidTr="00FD0D38">
        <w:trPr>
          <w:trHeight w:val="306"/>
        </w:trPr>
        <w:tc>
          <w:tcPr>
            <w:cnfStyle w:val="001000000000" w:firstRow="0" w:lastRow="0" w:firstColumn="1" w:lastColumn="0" w:oddVBand="0" w:evenVBand="0" w:oddHBand="0" w:evenHBand="0" w:firstRowFirstColumn="0" w:firstRowLastColumn="0" w:lastRowFirstColumn="0" w:lastRowLastColumn="0"/>
            <w:tcW w:w="1956" w:type="dxa"/>
            <w:shd w:val="clear" w:color="auto" w:fill="auto"/>
          </w:tcPr>
          <w:p w14:paraId="39E3C1A0" w14:textId="77777777" w:rsidR="00950D67" w:rsidRPr="00822C41" w:rsidRDefault="00950D67" w:rsidP="00950D67">
            <w:pPr>
              <w:rPr>
                <w:rFonts w:ascii="Arial" w:hAnsi="Arial" w:cs="Arial"/>
                <w:i w:val="0"/>
                <w:sz w:val="20"/>
                <w:szCs w:val="20"/>
              </w:rPr>
            </w:pPr>
            <w:r w:rsidRPr="00822C41">
              <w:rPr>
                <w:rFonts w:ascii="Arial" w:hAnsi="Arial" w:cs="Arial"/>
                <w:i w:val="0"/>
                <w:sz w:val="20"/>
                <w:szCs w:val="20"/>
              </w:rPr>
              <w:t xml:space="preserve">Uttar Pradesh </w:t>
            </w:r>
          </w:p>
        </w:tc>
        <w:tc>
          <w:tcPr>
            <w:tcW w:w="1337" w:type="dxa"/>
            <w:shd w:val="clear" w:color="auto" w:fill="auto"/>
          </w:tcPr>
          <w:p w14:paraId="7187DEC1"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207281477</w:t>
            </w:r>
          </w:p>
        </w:tc>
        <w:tc>
          <w:tcPr>
            <w:tcW w:w="1337" w:type="dxa"/>
            <w:shd w:val="clear" w:color="auto" w:fill="auto"/>
          </w:tcPr>
          <w:p w14:paraId="047984D5"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2148.64</w:t>
            </w:r>
          </w:p>
        </w:tc>
        <w:tc>
          <w:tcPr>
            <w:tcW w:w="1438" w:type="dxa"/>
            <w:shd w:val="clear" w:color="auto" w:fill="auto"/>
          </w:tcPr>
          <w:p w14:paraId="44E99674"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2375.34</w:t>
            </w:r>
          </w:p>
        </w:tc>
        <w:tc>
          <w:tcPr>
            <w:tcW w:w="1148" w:type="dxa"/>
            <w:shd w:val="clear" w:color="auto" w:fill="auto"/>
          </w:tcPr>
          <w:p w14:paraId="503DA706"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1.04</w:t>
            </w:r>
          </w:p>
        </w:tc>
        <w:tc>
          <w:tcPr>
            <w:tcW w:w="1078" w:type="dxa"/>
            <w:shd w:val="clear" w:color="auto" w:fill="auto"/>
          </w:tcPr>
          <w:p w14:paraId="683D6493"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1.15</w:t>
            </w:r>
          </w:p>
        </w:tc>
        <w:tc>
          <w:tcPr>
            <w:tcW w:w="967" w:type="dxa"/>
            <w:shd w:val="clear" w:color="auto" w:fill="auto"/>
          </w:tcPr>
          <w:p w14:paraId="16483B9D" w14:textId="77777777" w:rsidR="00950D67" w:rsidRPr="00822C41" w:rsidRDefault="00950D67" w:rsidP="00AB4B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22C41">
              <w:rPr>
                <w:rFonts w:ascii="Arial" w:hAnsi="Arial" w:cs="Arial"/>
                <w:sz w:val="20"/>
                <w:szCs w:val="20"/>
              </w:rPr>
              <w:t>4</w:t>
            </w:r>
          </w:p>
        </w:tc>
      </w:tr>
      <w:tr w:rsidR="00950D67" w:rsidRPr="00822C41" w14:paraId="534E689D" w14:textId="77777777" w:rsidTr="00FD0D3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56" w:type="dxa"/>
            <w:shd w:val="clear" w:color="auto" w:fill="auto"/>
          </w:tcPr>
          <w:p w14:paraId="30784943" w14:textId="77777777" w:rsidR="00950D67" w:rsidRPr="00822C41" w:rsidRDefault="00950D67" w:rsidP="00950D67">
            <w:pPr>
              <w:rPr>
                <w:rFonts w:ascii="Arial" w:hAnsi="Arial" w:cs="Arial"/>
                <w:i w:val="0"/>
                <w:sz w:val="20"/>
                <w:szCs w:val="20"/>
              </w:rPr>
            </w:pPr>
            <w:r w:rsidRPr="00822C41">
              <w:rPr>
                <w:rFonts w:ascii="Arial" w:hAnsi="Arial" w:cs="Arial"/>
                <w:i w:val="0"/>
                <w:sz w:val="20"/>
                <w:szCs w:val="20"/>
              </w:rPr>
              <w:t xml:space="preserve">Uttarakhand </w:t>
            </w:r>
          </w:p>
        </w:tc>
        <w:tc>
          <w:tcPr>
            <w:tcW w:w="1337" w:type="dxa"/>
            <w:shd w:val="clear" w:color="auto" w:fill="auto"/>
          </w:tcPr>
          <w:p w14:paraId="119F5733" w14:textId="77777777" w:rsidR="00950D67" w:rsidRPr="00822C41" w:rsidRDefault="00AB4B8B"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10116752</w:t>
            </w:r>
          </w:p>
        </w:tc>
        <w:tc>
          <w:tcPr>
            <w:tcW w:w="1337" w:type="dxa"/>
            <w:shd w:val="clear" w:color="auto" w:fill="auto"/>
          </w:tcPr>
          <w:p w14:paraId="28E0FA6C"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344.94</w:t>
            </w:r>
          </w:p>
        </w:tc>
        <w:tc>
          <w:tcPr>
            <w:tcW w:w="1438" w:type="dxa"/>
            <w:shd w:val="clear" w:color="auto" w:fill="auto"/>
          </w:tcPr>
          <w:p w14:paraId="59F3D23B"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344.94</w:t>
            </w:r>
          </w:p>
        </w:tc>
        <w:tc>
          <w:tcPr>
            <w:tcW w:w="1148" w:type="dxa"/>
            <w:shd w:val="clear" w:color="auto" w:fill="auto"/>
          </w:tcPr>
          <w:p w14:paraId="79D508D5"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3.03</w:t>
            </w:r>
          </w:p>
        </w:tc>
        <w:tc>
          <w:tcPr>
            <w:tcW w:w="1078" w:type="dxa"/>
            <w:shd w:val="clear" w:color="auto" w:fill="auto"/>
          </w:tcPr>
          <w:p w14:paraId="7CC0C6B1"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3.41</w:t>
            </w:r>
          </w:p>
        </w:tc>
        <w:tc>
          <w:tcPr>
            <w:tcW w:w="967" w:type="dxa"/>
            <w:shd w:val="clear" w:color="auto" w:fill="auto"/>
          </w:tcPr>
          <w:p w14:paraId="0A936320" w14:textId="77777777" w:rsidR="00950D67" w:rsidRPr="00822C41" w:rsidRDefault="00950D67" w:rsidP="00AB4B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22C41">
              <w:rPr>
                <w:rFonts w:ascii="Arial" w:hAnsi="Arial" w:cs="Arial"/>
                <w:sz w:val="20"/>
                <w:szCs w:val="20"/>
              </w:rPr>
              <w:t>1</w:t>
            </w:r>
          </w:p>
        </w:tc>
      </w:tr>
    </w:tbl>
    <w:p w14:paraId="58980CF5" w14:textId="77777777" w:rsidR="00FD0D38" w:rsidRDefault="00FD0D38" w:rsidP="00EE4B75">
      <w:pPr>
        <w:jc w:val="center"/>
        <w:rPr>
          <w:rFonts w:ascii="Times New Roman" w:hAnsi="Times New Roman" w:cs="Times New Roman"/>
          <w:b/>
          <w:sz w:val="24"/>
          <w:szCs w:val="24"/>
        </w:rPr>
      </w:pPr>
    </w:p>
    <w:p w14:paraId="418404F8" w14:textId="4644CDCD" w:rsidR="00EE4B75" w:rsidRDefault="00EE4B75" w:rsidP="00EE4B75">
      <w:pPr>
        <w:jc w:val="center"/>
        <w:rPr>
          <w:rFonts w:ascii="Times New Roman" w:hAnsi="Times New Roman" w:cs="Times New Roman"/>
          <w:b/>
          <w:sz w:val="24"/>
          <w:szCs w:val="24"/>
        </w:rPr>
      </w:pPr>
      <w:r>
        <w:rPr>
          <w:noProof/>
        </w:rPr>
        <w:drawing>
          <wp:inline distT="0" distB="0" distL="0" distR="0" wp14:anchorId="5BFC5474" wp14:editId="55D422B8">
            <wp:extent cx="4312920" cy="2125980"/>
            <wp:effectExtent l="0" t="0" r="1143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BF759E" w14:textId="69E577A8" w:rsidR="003A34B2" w:rsidRPr="00394930" w:rsidRDefault="00394930" w:rsidP="00EE4B75">
      <w:pPr>
        <w:jc w:val="center"/>
        <w:rPr>
          <w:rFonts w:ascii="Arial" w:hAnsi="Arial" w:cs="Arial"/>
          <w:b/>
          <w:sz w:val="20"/>
          <w:szCs w:val="20"/>
        </w:rPr>
      </w:pPr>
      <w:r w:rsidRPr="00394930">
        <w:rPr>
          <w:rFonts w:ascii="Arial" w:hAnsi="Arial" w:cs="Arial"/>
          <w:b/>
          <w:sz w:val="20"/>
          <w:szCs w:val="20"/>
        </w:rPr>
        <w:t>Fig. 2.</w:t>
      </w:r>
      <w:r w:rsidR="003A34B2" w:rsidRPr="00394930">
        <w:rPr>
          <w:rFonts w:ascii="Arial" w:hAnsi="Arial" w:cs="Arial"/>
          <w:b/>
          <w:sz w:val="20"/>
          <w:szCs w:val="20"/>
        </w:rPr>
        <w:t xml:space="preserve"> Tourist data coming to Uttarakhand from 2018 to 2025</w:t>
      </w:r>
    </w:p>
    <w:p w14:paraId="245DF33D" w14:textId="2F20EAA8" w:rsidR="009D6DE7" w:rsidRDefault="00AA07C9" w:rsidP="00AA07C9">
      <w:pPr>
        <w:spacing w:line="360" w:lineRule="auto"/>
        <w:jc w:val="both"/>
        <w:rPr>
          <w:rFonts w:ascii="Arial" w:hAnsi="Arial" w:cs="Arial"/>
          <w:sz w:val="20"/>
          <w:szCs w:val="20"/>
        </w:rPr>
      </w:pPr>
      <w:r w:rsidRPr="00394930">
        <w:rPr>
          <w:rFonts w:ascii="Arial" w:hAnsi="Arial" w:cs="Arial"/>
          <w:sz w:val="20"/>
          <w:szCs w:val="20"/>
        </w:rPr>
        <w:lastRenderedPageBreak/>
        <w:t>Figure 2 shows the data on tourist inflow in Uttarakhand from 2018 to 2025</w:t>
      </w:r>
      <w:r w:rsidR="00016E0C" w:rsidRPr="00394930">
        <w:rPr>
          <w:rFonts w:ascii="Arial" w:hAnsi="Arial" w:cs="Arial"/>
          <w:sz w:val="20"/>
          <w:szCs w:val="20"/>
        </w:rPr>
        <w:t>, which</w:t>
      </w:r>
      <w:r w:rsidRPr="00394930">
        <w:rPr>
          <w:rFonts w:ascii="Arial" w:hAnsi="Arial" w:cs="Arial"/>
          <w:sz w:val="20"/>
          <w:szCs w:val="20"/>
        </w:rPr>
        <w:t xml:space="preserve"> shows a fluctuating yet overall rising trend. In 2018, the state welcomed 3.68 crore tourists, </w:t>
      </w:r>
      <w:r w:rsidR="00016E0C" w:rsidRPr="00394930">
        <w:rPr>
          <w:rFonts w:ascii="Arial" w:hAnsi="Arial" w:cs="Arial"/>
          <w:sz w:val="20"/>
          <w:szCs w:val="20"/>
        </w:rPr>
        <w:t>slightly increasing</w:t>
      </w:r>
      <w:r w:rsidRPr="00394930">
        <w:rPr>
          <w:rFonts w:ascii="Arial" w:hAnsi="Arial" w:cs="Arial"/>
          <w:sz w:val="20"/>
          <w:szCs w:val="20"/>
        </w:rPr>
        <w:t xml:space="preserve"> to 3.92 crore in 2019. However, due to the COVID-19 pandemic, tourist numbers drastically fell to 0.78 crore in 2020 and 1.56 crore in 2021, reflecting the impact of global travel restrictions and safety concerns. Post-pandemic, tourism rebounded strongly, with tourist numbers reaching 4.18 crore in 2022 and further rising to 4.46 crore in 2023. This positive growth continued in subsequent years, with 4.76 crore tourists in 2024 and an estimated 5.08 crore in 2025. The sharp recovery and steady growth post-2021 indicate a strong revival of the tourism sector in Uttarakhand, underscoring the state's increasing popularity as a travel destination and the effectiveness of its tourism revival strategies.</w:t>
      </w:r>
    </w:p>
    <w:p w14:paraId="16F1D037" w14:textId="7FF50AC2" w:rsidR="00EE02C7" w:rsidRPr="009D6DE7" w:rsidRDefault="009D6DE7" w:rsidP="00AA07C9">
      <w:pPr>
        <w:spacing w:line="360" w:lineRule="auto"/>
        <w:jc w:val="both"/>
        <w:rPr>
          <w:rFonts w:ascii="Arial" w:hAnsi="Arial" w:cs="Arial"/>
        </w:rPr>
      </w:pPr>
      <w:r w:rsidRPr="009D6DE7">
        <w:rPr>
          <w:rFonts w:ascii="Arial" w:hAnsi="Arial" w:cs="Arial"/>
          <w:b/>
        </w:rPr>
        <w:t>REDUCTION IN FOREST AREA</w:t>
      </w:r>
    </w:p>
    <w:p w14:paraId="55CD9CE1" w14:textId="312D0B1D" w:rsidR="005417B8" w:rsidRPr="009D6DE7" w:rsidRDefault="00EE02C7" w:rsidP="00556A96">
      <w:pPr>
        <w:spacing w:line="360" w:lineRule="auto"/>
        <w:jc w:val="both"/>
        <w:rPr>
          <w:rFonts w:ascii="Arial" w:hAnsi="Arial" w:cs="Arial"/>
          <w:sz w:val="20"/>
          <w:szCs w:val="20"/>
        </w:rPr>
      </w:pPr>
      <w:r w:rsidRPr="009D6DE7">
        <w:rPr>
          <w:rFonts w:ascii="Arial" w:hAnsi="Arial" w:cs="Arial"/>
          <w:sz w:val="20"/>
          <w:szCs w:val="20"/>
        </w:rPr>
        <w:t>In 2020, Dehradun had approximately 124,000 hectares (kha) of natural forest, covering about 40% of its total land area. However, by 2024, the city experienced a loss of 41 hectares of natural forest. This deforestation resulted in an estimat</w:t>
      </w:r>
      <w:r w:rsidR="00B614DE">
        <w:rPr>
          <w:rFonts w:ascii="Arial" w:hAnsi="Arial" w:cs="Arial"/>
          <w:sz w:val="20"/>
          <w:szCs w:val="20"/>
        </w:rPr>
        <w:t>ed release of 12.4 kilotons of carbon dioxide</w:t>
      </w:r>
      <w:r w:rsidRPr="009D6DE7">
        <w:rPr>
          <w:rFonts w:ascii="Arial" w:hAnsi="Arial" w:cs="Arial"/>
          <w:sz w:val="20"/>
          <w:szCs w:val="20"/>
        </w:rPr>
        <w:t xml:space="preserve"> emissions, highlighting a concerning trend in environmental degradation and its impact on the region’s carbon balance.</w:t>
      </w:r>
    </w:p>
    <w:p w14:paraId="4C0847D8" w14:textId="03BE31A7" w:rsidR="00883A89" w:rsidRPr="009D6DE7" w:rsidRDefault="00883A89" w:rsidP="00E35610">
      <w:pPr>
        <w:spacing w:before="181"/>
        <w:ind w:left="165"/>
        <w:jc w:val="center"/>
        <w:rPr>
          <w:rFonts w:ascii="Arial" w:hAnsi="Arial" w:cs="Arial"/>
          <w:b/>
          <w:sz w:val="20"/>
          <w:szCs w:val="20"/>
        </w:rPr>
      </w:pPr>
      <w:r w:rsidRPr="009D6DE7">
        <w:rPr>
          <w:rFonts w:ascii="Arial" w:hAnsi="Arial" w:cs="Arial"/>
          <w:b/>
          <w:sz w:val="20"/>
          <w:szCs w:val="20"/>
        </w:rPr>
        <w:t>Table</w:t>
      </w:r>
      <w:r w:rsidR="00E35610" w:rsidRPr="009D6DE7">
        <w:rPr>
          <w:rFonts w:ascii="Arial" w:hAnsi="Arial" w:cs="Arial"/>
          <w:b/>
          <w:sz w:val="20"/>
          <w:szCs w:val="20"/>
        </w:rPr>
        <w:t xml:space="preserve"> 2</w:t>
      </w:r>
      <w:r w:rsidR="009D6DE7" w:rsidRPr="009D6DE7">
        <w:rPr>
          <w:rFonts w:ascii="Arial" w:hAnsi="Arial" w:cs="Arial"/>
          <w:b/>
          <w:sz w:val="20"/>
          <w:szCs w:val="20"/>
        </w:rPr>
        <w:t>.</w:t>
      </w:r>
      <w:r w:rsidR="00E35610" w:rsidRPr="009D6DE7">
        <w:rPr>
          <w:rFonts w:ascii="Arial" w:hAnsi="Arial" w:cs="Arial"/>
          <w:b/>
          <w:sz w:val="20"/>
          <w:szCs w:val="20"/>
        </w:rPr>
        <w:t xml:space="preserve"> </w:t>
      </w:r>
      <w:r w:rsidRPr="009D6DE7">
        <w:rPr>
          <w:rFonts w:ascii="Arial" w:hAnsi="Arial" w:cs="Arial"/>
          <w:b/>
          <w:sz w:val="20"/>
          <w:szCs w:val="20"/>
        </w:rPr>
        <w:t>Reduction in Forest Area in Dehradun District</w:t>
      </w:r>
      <w:r w:rsidR="005417B8" w:rsidRPr="009D6DE7">
        <w:rPr>
          <w:rFonts w:ascii="Arial" w:hAnsi="Arial" w:cs="Arial"/>
          <w:b/>
          <w:sz w:val="20"/>
          <w:szCs w:val="20"/>
        </w:rPr>
        <w:t>,</w:t>
      </w:r>
      <w:r w:rsidRPr="009D6DE7">
        <w:rPr>
          <w:rFonts w:ascii="Arial" w:hAnsi="Arial" w:cs="Arial"/>
          <w:b/>
          <w:sz w:val="20"/>
          <w:szCs w:val="20"/>
        </w:rPr>
        <w:t xml:space="preserve"> Uttarakhand</w:t>
      </w:r>
      <w:r w:rsidR="005417B8" w:rsidRPr="009D6DE7">
        <w:rPr>
          <w:rFonts w:ascii="Arial" w:hAnsi="Arial" w:cs="Arial"/>
          <w:b/>
          <w:sz w:val="20"/>
          <w:szCs w:val="20"/>
        </w:rPr>
        <w:t xml:space="preserve"> due to various reasons</w:t>
      </w:r>
      <w:r w:rsidR="00E35610" w:rsidRPr="009D6DE7">
        <w:rPr>
          <w:rFonts w:ascii="Arial" w:hAnsi="Arial" w:cs="Arial"/>
          <w:b/>
          <w:sz w:val="20"/>
          <w:szCs w:val="20"/>
        </w:rPr>
        <w:t xml:space="preserve"> (ICAR-</w:t>
      </w:r>
      <w:r w:rsidR="00E35610" w:rsidRPr="009D6DE7">
        <w:rPr>
          <w:rFonts w:ascii="Arial" w:hAnsi="Arial" w:cs="Arial"/>
          <w:b/>
          <w:spacing w:val="11"/>
          <w:sz w:val="20"/>
          <w:szCs w:val="20"/>
        </w:rPr>
        <w:t>NAAS,</w:t>
      </w:r>
      <w:r w:rsidR="00E35610" w:rsidRPr="009D6DE7">
        <w:rPr>
          <w:rFonts w:ascii="Arial" w:hAnsi="Arial" w:cs="Arial"/>
          <w:b/>
          <w:spacing w:val="15"/>
          <w:sz w:val="20"/>
          <w:szCs w:val="20"/>
        </w:rPr>
        <w:t xml:space="preserve"> </w:t>
      </w:r>
      <w:r w:rsidR="00E35610" w:rsidRPr="009D6DE7">
        <w:rPr>
          <w:rFonts w:ascii="Arial" w:hAnsi="Arial" w:cs="Arial"/>
          <w:b/>
          <w:spacing w:val="-4"/>
          <w:sz w:val="20"/>
          <w:szCs w:val="20"/>
        </w:rPr>
        <w:t>2010)</w:t>
      </w:r>
    </w:p>
    <w:tbl>
      <w:tblPr>
        <w:tblStyle w:val="PlainTable5"/>
        <w:tblW w:w="10120" w:type="dxa"/>
        <w:tblLayout w:type="fixed"/>
        <w:tblLook w:val="04A0" w:firstRow="1" w:lastRow="0" w:firstColumn="1" w:lastColumn="0" w:noHBand="0" w:noVBand="1"/>
      </w:tblPr>
      <w:tblGrid>
        <w:gridCol w:w="1440"/>
        <w:gridCol w:w="900"/>
        <w:gridCol w:w="1620"/>
        <w:gridCol w:w="736"/>
        <w:gridCol w:w="1310"/>
        <w:gridCol w:w="1524"/>
        <w:gridCol w:w="1703"/>
        <w:gridCol w:w="887"/>
      </w:tblGrid>
      <w:tr w:rsidR="00084FCB" w:rsidRPr="009D6DE7" w14:paraId="3744FB6C" w14:textId="77777777" w:rsidTr="00FD0D38">
        <w:trPr>
          <w:cnfStyle w:val="100000000000" w:firstRow="1" w:lastRow="0" w:firstColumn="0" w:lastColumn="0" w:oddVBand="0" w:evenVBand="0" w:oddHBand="0" w:evenHBand="0" w:firstRowFirstColumn="0" w:firstRowLastColumn="0" w:lastRowFirstColumn="0" w:lastRowLastColumn="0"/>
          <w:trHeight w:val="343"/>
        </w:trPr>
        <w:tc>
          <w:tcPr>
            <w:cnfStyle w:val="001000000100" w:firstRow="0" w:lastRow="0" w:firstColumn="1" w:lastColumn="0" w:oddVBand="0" w:evenVBand="0" w:oddHBand="0" w:evenHBand="0" w:firstRowFirstColumn="1" w:firstRowLastColumn="0" w:lastRowFirstColumn="0" w:lastRowLastColumn="0"/>
            <w:tcW w:w="1440" w:type="dxa"/>
            <w:vMerge w:val="restart"/>
            <w:shd w:val="clear" w:color="auto" w:fill="auto"/>
            <w:vAlign w:val="center"/>
          </w:tcPr>
          <w:p w14:paraId="74B8F6B8" w14:textId="77777777" w:rsidR="00084FCB" w:rsidRPr="004B295D" w:rsidRDefault="00084FCB" w:rsidP="008B5F4C">
            <w:pPr>
              <w:pStyle w:val="TableParagraph"/>
              <w:spacing w:before="0"/>
              <w:ind w:left="36"/>
              <w:jc w:val="left"/>
              <w:rPr>
                <w:rFonts w:ascii="Arial" w:hAnsi="Arial" w:cs="Arial"/>
                <w:b/>
                <w:spacing w:val="-2"/>
                <w:sz w:val="18"/>
                <w:szCs w:val="18"/>
              </w:rPr>
            </w:pPr>
            <w:r w:rsidRPr="004B295D">
              <w:rPr>
                <w:rFonts w:ascii="Arial" w:hAnsi="Arial" w:cs="Arial"/>
                <w:b/>
                <w:spacing w:val="-2"/>
                <w:sz w:val="18"/>
                <w:szCs w:val="18"/>
              </w:rPr>
              <w:t>District</w:t>
            </w:r>
          </w:p>
        </w:tc>
        <w:tc>
          <w:tcPr>
            <w:tcW w:w="8680" w:type="dxa"/>
            <w:gridSpan w:val="7"/>
            <w:shd w:val="clear" w:color="auto" w:fill="auto"/>
            <w:vAlign w:val="center"/>
          </w:tcPr>
          <w:p w14:paraId="76DDD518" w14:textId="77777777" w:rsidR="00084FCB" w:rsidRPr="004B295D" w:rsidRDefault="00084FCB" w:rsidP="008B5F4C">
            <w:pPr>
              <w:pStyle w:val="TableParagraph"/>
              <w:spacing w:before="0"/>
              <w:ind w:right="4"/>
              <w:jc w:val="center"/>
              <w:cnfStyle w:val="100000000000" w:firstRow="1" w:lastRow="0" w:firstColumn="0" w:lastColumn="0" w:oddVBand="0" w:evenVBand="0" w:oddHBand="0" w:evenHBand="0" w:firstRowFirstColumn="0" w:firstRowLastColumn="0" w:lastRowFirstColumn="0" w:lastRowLastColumn="0"/>
              <w:rPr>
                <w:rFonts w:ascii="Arial" w:hAnsi="Arial" w:cs="Arial"/>
                <w:b/>
                <w:spacing w:val="-4"/>
                <w:sz w:val="18"/>
                <w:szCs w:val="18"/>
              </w:rPr>
            </w:pPr>
            <w:r w:rsidRPr="004B295D">
              <w:rPr>
                <w:rFonts w:ascii="Arial" w:hAnsi="Arial" w:cs="Arial"/>
                <w:b/>
                <w:spacing w:val="-4"/>
                <w:sz w:val="18"/>
                <w:szCs w:val="18"/>
              </w:rPr>
              <w:t>Reasons</w:t>
            </w:r>
          </w:p>
        </w:tc>
      </w:tr>
      <w:tr w:rsidR="00E35610" w:rsidRPr="009D6DE7" w14:paraId="518D54F8" w14:textId="77777777" w:rsidTr="00FD0D38">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1440" w:type="dxa"/>
            <w:vMerge/>
            <w:shd w:val="clear" w:color="auto" w:fill="auto"/>
            <w:vAlign w:val="center"/>
          </w:tcPr>
          <w:p w14:paraId="6C6E21E4" w14:textId="77777777" w:rsidR="00084FCB" w:rsidRPr="004B295D" w:rsidRDefault="00084FCB" w:rsidP="008B5F4C">
            <w:pPr>
              <w:pStyle w:val="TableParagraph"/>
              <w:spacing w:before="0"/>
              <w:ind w:left="36"/>
              <w:jc w:val="left"/>
              <w:rPr>
                <w:rFonts w:ascii="Arial" w:hAnsi="Arial" w:cs="Arial"/>
                <w:spacing w:val="-2"/>
                <w:sz w:val="18"/>
                <w:szCs w:val="18"/>
              </w:rPr>
            </w:pPr>
          </w:p>
        </w:tc>
        <w:tc>
          <w:tcPr>
            <w:tcW w:w="900" w:type="dxa"/>
            <w:shd w:val="clear" w:color="auto" w:fill="auto"/>
            <w:vAlign w:val="center"/>
          </w:tcPr>
          <w:p w14:paraId="581728DA" w14:textId="77777777" w:rsidR="00084FCB" w:rsidRPr="004B295D" w:rsidRDefault="00084FCB" w:rsidP="008B5F4C">
            <w:pPr>
              <w:pStyle w:val="TableParagraph"/>
              <w:spacing w:before="0"/>
              <w:ind w:right="10"/>
              <w:cnfStyle w:val="000000100000" w:firstRow="0" w:lastRow="0" w:firstColumn="0" w:lastColumn="0" w:oddVBand="0" w:evenVBand="0" w:oddHBand="1" w:evenHBand="0" w:firstRowFirstColumn="0" w:firstRowLastColumn="0" w:lastRowFirstColumn="0" w:lastRowLastColumn="0"/>
              <w:rPr>
                <w:rFonts w:ascii="Arial" w:hAnsi="Arial" w:cs="Arial"/>
                <w:b/>
                <w:spacing w:val="-4"/>
                <w:sz w:val="18"/>
                <w:szCs w:val="18"/>
              </w:rPr>
            </w:pPr>
            <w:r w:rsidRPr="004B295D">
              <w:rPr>
                <w:rFonts w:ascii="Arial" w:hAnsi="Arial" w:cs="Arial"/>
                <w:b/>
                <w:spacing w:val="-4"/>
                <w:sz w:val="18"/>
                <w:szCs w:val="18"/>
              </w:rPr>
              <w:t>Water Erosion</w:t>
            </w:r>
          </w:p>
        </w:tc>
        <w:tc>
          <w:tcPr>
            <w:tcW w:w="1620" w:type="dxa"/>
            <w:shd w:val="clear" w:color="auto" w:fill="auto"/>
            <w:vAlign w:val="center"/>
          </w:tcPr>
          <w:p w14:paraId="0B872B4F" w14:textId="77777777" w:rsidR="00084FCB" w:rsidRPr="004B295D" w:rsidRDefault="00084FCB" w:rsidP="008B5F4C">
            <w:pPr>
              <w:pStyle w:val="TableParagraph"/>
              <w:spacing w:before="0"/>
              <w:ind w:right="9"/>
              <w:cnfStyle w:val="000000100000" w:firstRow="0" w:lastRow="0" w:firstColumn="0" w:lastColumn="0" w:oddVBand="0" w:evenVBand="0" w:oddHBand="1" w:evenHBand="0" w:firstRowFirstColumn="0" w:firstRowLastColumn="0" w:lastRowFirstColumn="0" w:lastRowLastColumn="0"/>
              <w:rPr>
                <w:rFonts w:ascii="Arial" w:hAnsi="Arial" w:cs="Arial"/>
                <w:b/>
                <w:spacing w:val="-4"/>
                <w:sz w:val="18"/>
                <w:szCs w:val="18"/>
              </w:rPr>
            </w:pPr>
            <w:r w:rsidRPr="004B295D">
              <w:rPr>
                <w:rFonts w:ascii="Arial" w:hAnsi="Arial" w:cs="Arial"/>
                <w:b/>
                <w:spacing w:val="-4"/>
                <w:sz w:val="18"/>
                <w:szCs w:val="18"/>
              </w:rPr>
              <w:t>Water Erosion (Under open forest)</w:t>
            </w:r>
          </w:p>
        </w:tc>
        <w:tc>
          <w:tcPr>
            <w:tcW w:w="736" w:type="dxa"/>
            <w:shd w:val="clear" w:color="auto" w:fill="auto"/>
            <w:vAlign w:val="center"/>
          </w:tcPr>
          <w:p w14:paraId="5B952FB1" w14:textId="77777777" w:rsidR="00084FCB" w:rsidRPr="004B295D" w:rsidRDefault="00084FCB" w:rsidP="008B5F4C">
            <w:pPr>
              <w:pStyle w:val="TableParagraph"/>
              <w:spacing w:before="0"/>
              <w:ind w:right="9"/>
              <w:cnfStyle w:val="000000100000" w:firstRow="0" w:lastRow="0" w:firstColumn="0" w:lastColumn="0" w:oddVBand="0" w:evenVBand="0" w:oddHBand="1" w:evenHBand="0" w:firstRowFirstColumn="0" w:firstRowLastColumn="0" w:lastRowFirstColumn="0" w:lastRowLastColumn="0"/>
              <w:rPr>
                <w:rFonts w:ascii="Arial" w:hAnsi="Arial" w:cs="Arial"/>
                <w:b/>
                <w:spacing w:val="-4"/>
                <w:sz w:val="18"/>
                <w:szCs w:val="18"/>
              </w:rPr>
            </w:pPr>
            <w:r w:rsidRPr="004B295D">
              <w:rPr>
                <w:rFonts w:ascii="Arial" w:hAnsi="Arial" w:cs="Arial"/>
                <w:b/>
                <w:spacing w:val="-4"/>
                <w:sz w:val="18"/>
                <w:szCs w:val="18"/>
              </w:rPr>
              <w:t>Acid Soils</w:t>
            </w:r>
          </w:p>
        </w:tc>
        <w:tc>
          <w:tcPr>
            <w:tcW w:w="1310" w:type="dxa"/>
            <w:shd w:val="clear" w:color="auto" w:fill="auto"/>
            <w:vAlign w:val="center"/>
          </w:tcPr>
          <w:p w14:paraId="055389C6" w14:textId="77777777" w:rsidR="00084FCB" w:rsidRPr="004B295D" w:rsidRDefault="00084FCB" w:rsidP="008B5F4C">
            <w:pPr>
              <w:pStyle w:val="TableParagraph"/>
              <w:spacing w:before="0"/>
              <w:ind w:right="9"/>
              <w:cnfStyle w:val="000000100000" w:firstRow="0" w:lastRow="0" w:firstColumn="0" w:lastColumn="0" w:oddVBand="0" w:evenVBand="0" w:oddHBand="1" w:evenHBand="0" w:firstRowFirstColumn="0" w:firstRowLastColumn="0" w:lastRowFirstColumn="0" w:lastRowLastColumn="0"/>
              <w:rPr>
                <w:rFonts w:ascii="Arial" w:hAnsi="Arial" w:cs="Arial"/>
                <w:b/>
                <w:spacing w:val="-4"/>
                <w:sz w:val="18"/>
                <w:szCs w:val="18"/>
              </w:rPr>
            </w:pPr>
            <w:r w:rsidRPr="004B295D">
              <w:rPr>
                <w:rFonts w:ascii="Arial" w:hAnsi="Arial" w:cs="Arial"/>
                <w:b/>
                <w:spacing w:val="-4"/>
                <w:sz w:val="18"/>
                <w:szCs w:val="18"/>
              </w:rPr>
              <w:t>Acid Soils</w:t>
            </w:r>
          </w:p>
          <w:p w14:paraId="70D916B1" w14:textId="77777777" w:rsidR="00084FCB" w:rsidRPr="004B295D" w:rsidRDefault="00084FCB" w:rsidP="008B5F4C">
            <w:pPr>
              <w:pStyle w:val="TableParagraph"/>
              <w:spacing w:before="0"/>
              <w:ind w:right="9"/>
              <w:cnfStyle w:val="000000100000" w:firstRow="0" w:lastRow="0" w:firstColumn="0" w:lastColumn="0" w:oddVBand="0" w:evenVBand="0" w:oddHBand="1" w:evenHBand="0" w:firstRowFirstColumn="0" w:firstRowLastColumn="0" w:lastRowFirstColumn="0" w:lastRowLastColumn="0"/>
              <w:rPr>
                <w:rFonts w:ascii="Arial" w:hAnsi="Arial" w:cs="Arial"/>
                <w:b/>
                <w:spacing w:val="-4"/>
                <w:sz w:val="18"/>
                <w:szCs w:val="18"/>
              </w:rPr>
            </w:pPr>
            <w:r w:rsidRPr="004B295D">
              <w:rPr>
                <w:rFonts w:ascii="Arial" w:hAnsi="Arial" w:cs="Arial"/>
                <w:b/>
                <w:spacing w:val="-4"/>
                <w:sz w:val="18"/>
                <w:szCs w:val="18"/>
              </w:rPr>
              <w:t xml:space="preserve">(Under Water Erosion) </w:t>
            </w:r>
          </w:p>
        </w:tc>
        <w:tc>
          <w:tcPr>
            <w:tcW w:w="1524" w:type="dxa"/>
            <w:shd w:val="clear" w:color="auto" w:fill="auto"/>
            <w:vAlign w:val="center"/>
          </w:tcPr>
          <w:p w14:paraId="5348731E" w14:textId="77777777" w:rsidR="00084FCB" w:rsidRPr="004B295D" w:rsidRDefault="00084FCB" w:rsidP="008B5F4C">
            <w:pPr>
              <w:pStyle w:val="TableParagraph"/>
              <w:spacing w:before="0"/>
              <w:ind w:right="8"/>
              <w:cnfStyle w:val="000000100000" w:firstRow="0" w:lastRow="0" w:firstColumn="0" w:lastColumn="0" w:oddVBand="0" w:evenVBand="0" w:oddHBand="1" w:evenHBand="0" w:firstRowFirstColumn="0" w:firstRowLastColumn="0" w:lastRowFirstColumn="0" w:lastRowLastColumn="0"/>
              <w:rPr>
                <w:rFonts w:ascii="Arial" w:hAnsi="Arial" w:cs="Arial"/>
                <w:b/>
                <w:spacing w:val="-4"/>
                <w:sz w:val="18"/>
                <w:szCs w:val="18"/>
              </w:rPr>
            </w:pPr>
            <w:r w:rsidRPr="004B295D">
              <w:rPr>
                <w:rFonts w:ascii="Arial" w:hAnsi="Arial" w:cs="Arial"/>
                <w:b/>
                <w:spacing w:val="-4"/>
                <w:sz w:val="18"/>
                <w:szCs w:val="18"/>
              </w:rPr>
              <w:t xml:space="preserve">Acid Soils (Under open forest) </w:t>
            </w:r>
          </w:p>
        </w:tc>
        <w:tc>
          <w:tcPr>
            <w:tcW w:w="1703" w:type="dxa"/>
            <w:shd w:val="clear" w:color="auto" w:fill="auto"/>
            <w:vAlign w:val="center"/>
          </w:tcPr>
          <w:p w14:paraId="1D75389E" w14:textId="77777777" w:rsidR="00084FCB" w:rsidRPr="004B295D" w:rsidRDefault="00084FCB" w:rsidP="008B5F4C">
            <w:pPr>
              <w:pStyle w:val="TableParagraph"/>
              <w:spacing w:before="0"/>
              <w:ind w:right="8"/>
              <w:cnfStyle w:val="000000100000" w:firstRow="0" w:lastRow="0" w:firstColumn="0" w:lastColumn="0" w:oddVBand="0" w:evenVBand="0" w:oddHBand="1" w:evenHBand="0" w:firstRowFirstColumn="0" w:firstRowLastColumn="0" w:lastRowFirstColumn="0" w:lastRowLastColumn="0"/>
              <w:rPr>
                <w:rFonts w:ascii="Arial" w:hAnsi="Arial" w:cs="Arial"/>
                <w:b/>
                <w:spacing w:val="-2"/>
                <w:sz w:val="18"/>
                <w:szCs w:val="18"/>
              </w:rPr>
            </w:pPr>
            <w:r w:rsidRPr="004B295D">
              <w:rPr>
                <w:rFonts w:ascii="Arial" w:hAnsi="Arial" w:cs="Arial"/>
                <w:b/>
                <w:spacing w:val="2"/>
                <w:sz w:val="18"/>
                <w:szCs w:val="18"/>
              </w:rPr>
              <w:t>Mining/Industrial</w:t>
            </w:r>
            <w:r w:rsidRPr="004B295D">
              <w:rPr>
                <w:rFonts w:ascii="Arial" w:hAnsi="Arial" w:cs="Arial"/>
                <w:b/>
                <w:spacing w:val="69"/>
                <w:sz w:val="18"/>
                <w:szCs w:val="18"/>
              </w:rPr>
              <w:t xml:space="preserve"> </w:t>
            </w:r>
            <w:r w:rsidRPr="004B295D">
              <w:rPr>
                <w:rFonts w:ascii="Arial" w:hAnsi="Arial" w:cs="Arial"/>
                <w:b/>
                <w:spacing w:val="-4"/>
                <w:sz w:val="18"/>
                <w:szCs w:val="18"/>
              </w:rPr>
              <w:t>waste</w:t>
            </w:r>
          </w:p>
        </w:tc>
        <w:tc>
          <w:tcPr>
            <w:tcW w:w="887" w:type="dxa"/>
            <w:shd w:val="clear" w:color="auto" w:fill="auto"/>
            <w:vAlign w:val="center"/>
          </w:tcPr>
          <w:p w14:paraId="3509BC66" w14:textId="78D687DE" w:rsidR="00084FCB" w:rsidRPr="004B295D" w:rsidRDefault="00084FCB" w:rsidP="008B5F4C">
            <w:pPr>
              <w:pStyle w:val="TableParagraph"/>
              <w:spacing w:before="0"/>
              <w:ind w:right="4"/>
              <w:cnfStyle w:val="000000100000" w:firstRow="0" w:lastRow="0" w:firstColumn="0" w:lastColumn="0" w:oddVBand="0" w:evenVBand="0" w:oddHBand="1" w:evenHBand="0" w:firstRowFirstColumn="0" w:firstRowLastColumn="0" w:lastRowFirstColumn="0" w:lastRowLastColumn="0"/>
              <w:rPr>
                <w:rFonts w:ascii="Arial" w:hAnsi="Arial" w:cs="Arial"/>
                <w:b/>
                <w:spacing w:val="-4"/>
                <w:sz w:val="18"/>
                <w:szCs w:val="18"/>
              </w:rPr>
            </w:pPr>
            <w:r w:rsidRPr="004B295D">
              <w:rPr>
                <w:rFonts w:ascii="Arial" w:hAnsi="Arial" w:cs="Arial"/>
                <w:b/>
                <w:sz w:val="18"/>
                <w:szCs w:val="18"/>
              </w:rPr>
              <w:t>Water</w:t>
            </w:r>
            <w:r w:rsidR="004B295D">
              <w:rPr>
                <w:rFonts w:ascii="Arial" w:hAnsi="Arial" w:cs="Arial"/>
                <w:b/>
                <w:sz w:val="18"/>
                <w:szCs w:val="18"/>
              </w:rPr>
              <w:t xml:space="preserve"> </w:t>
            </w:r>
            <w:r w:rsidRPr="004B295D">
              <w:rPr>
                <w:rFonts w:ascii="Arial" w:hAnsi="Arial" w:cs="Arial"/>
                <w:b/>
                <w:sz w:val="18"/>
                <w:szCs w:val="18"/>
              </w:rPr>
              <w:t>logged</w:t>
            </w:r>
            <w:r w:rsidRPr="004B295D">
              <w:rPr>
                <w:rFonts w:ascii="Arial" w:hAnsi="Arial" w:cs="Arial"/>
                <w:b/>
                <w:spacing w:val="54"/>
                <w:sz w:val="18"/>
                <w:szCs w:val="18"/>
              </w:rPr>
              <w:t xml:space="preserve"> </w:t>
            </w:r>
            <w:r w:rsidRPr="004B295D">
              <w:rPr>
                <w:rFonts w:ascii="Arial" w:hAnsi="Arial" w:cs="Arial"/>
                <w:b/>
                <w:spacing w:val="-2"/>
                <w:sz w:val="18"/>
                <w:szCs w:val="18"/>
              </w:rPr>
              <w:t>areas</w:t>
            </w:r>
          </w:p>
        </w:tc>
      </w:tr>
      <w:tr w:rsidR="00084FCB" w:rsidRPr="009D6DE7" w14:paraId="06EF3C39" w14:textId="77777777" w:rsidTr="00FD0D38">
        <w:trPr>
          <w:trHeight w:val="34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3601859C"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Almora</w:t>
            </w:r>
            <w:proofErr w:type="spellEnd"/>
          </w:p>
        </w:tc>
        <w:tc>
          <w:tcPr>
            <w:tcW w:w="900" w:type="dxa"/>
            <w:shd w:val="clear" w:color="auto" w:fill="auto"/>
            <w:vAlign w:val="center"/>
          </w:tcPr>
          <w:p w14:paraId="736F9181"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3.62</w:t>
            </w:r>
          </w:p>
        </w:tc>
        <w:tc>
          <w:tcPr>
            <w:tcW w:w="1620" w:type="dxa"/>
            <w:shd w:val="clear" w:color="auto" w:fill="auto"/>
            <w:vAlign w:val="center"/>
          </w:tcPr>
          <w:p w14:paraId="1A2DE7EB"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736" w:type="dxa"/>
            <w:shd w:val="clear" w:color="auto" w:fill="auto"/>
            <w:vAlign w:val="center"/>
          </w:tcPr>
          <w:p w14:paraId="6E26E521"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65311D1F"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524" w:type="dxa"/>
            <w:shd w:val="clear" w:color="auto" w:fill="auto"/>
            <w:vAlign w:val="center"/>
          </w:tcPr>
          <w:p w14:paraId="28370B1A"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703" w:type="dxa"/>
            <w:shd w:val="clear" w:color="auto" w:fill="auto"/>
            <w:vAlign w:val="center"/>
          </w:tcPr>
          <w:p w14:paraId="62B199F1"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100.00</w:t>
            </w:r>
          </w:p>
        </w:tc>
        <w:tc>
          <w:tcPr>
            <w:tcW w:w="887" w:type="dxa"/>
            <w:shd w:val="clear" w:color="auto" w:fill="auto"/>
            <w:vAlign w:val="center"/>
          </w:tcPr>
          <w:p w14:paraId="526BA6EA" w14:textId="77777777" w:rsidR="005417B8" w:rsidRPr="009D6DE7" w:rsidRDefault="005417B8" w:rsidP="008B5F4C">
            <w:pPr>
              <w:pStyle w:val="TableParagraph"/>
              <w:spacing w:before="0"/>
              <w:ind w:right="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8.00</w:t>
            </w:r>
          </w:p>
        </w:tc>
      </w:tr>
      <w:tr w:rsidR="00084FCB" w:rsidRPr="009D6DE7" w14:paraId="1C6AFA4E" w14:textId="77777777" w:rsidTr="00FD0D38">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22E608B0"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Bageshwar</w:t>
            </w:r>
            <w:proofErr w:type="spellEnd"/>
          </w:p>
        </w:tc>
        <w:tc>
          <w:tcPr>
            <w:tcW w:w="900" w:type="dxa"/>
            <w:shd w:val="clear" w:color="auto" w:fill="auto"/>
            <w:vAlign w:val="center"/>
          </w:tcPr>
          <w:p w14:paraId="6DE80155"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1.93</w:t>
            </w:r>
          </w:p>
        </w:tc>
        <w:tc>
          <w:tcPr>
            <w:tcW w:w="1620" w:type="dxa"/>
            <w:shd w:val="clear" w:color="auto" w:fill="auto"/>
            <w:vAlign w:val="center"/>
          </w:tcPr>
          <w:p w14:paraId="7887F8F6"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2.22</w:t>
            </w:r>
          </w:p>
        </w:tc>
        <w:tc>
          <w:tcPr>
            <w:tcW w:w="736" w:type="dxa"/>
            <w:shd w:val="clear" w:color="auto" w:fill="auto"/>
            <w:vAlign w:val="center"/>
          </w:tcPr>
          <w:p w14:paraId="1366E28A"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6D0D94A2"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524" w:type="dxa"/>
            <w:shd w:val="clear" w:color="auto" w:fill="auto"/>
            <w:vAlign w:val="center"/>
          </w:tcPr>
          <w:p w14:paraId="3D0BF626"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2.02</w:t>
            </w:r>
          </w:p>
        </w:tc>
        <w:tc>
          <w:tcPr>
            <w:tcW w:w="1703" w:type="dxa"/>
            <w:shd w:val="clear" w:color="auto" w:fill="auto"/>
            <w:vAlign w:val="center"/>
          </w:tcPr>
          <w:p w14:paraId="0EEEEDD8"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7F27295E" w14:textId="77777777" w:rsidR="005417B8" w:rsidRPr="009D6DE7" w:rsidRDefault="005417B8" w:rsidP="008B5F4C">
            <w:pPr>
              <w:pStyle w:val="TableParagraph"/>
              <w:spacing w:before="0"/>
              <w:ind w:right="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12.00</w:t>
            </w:r>
          </w:p>
        </w:tc>
      </w:tr>
      <w:tr w:rsidR="00084FCB" w:rsidRPr="009D6DE7" w14:paraId="104E36C4" w14:textId="77777777" w:rsidTr="00FD0D38">
        <w:trPr>
          <w:trHeight w:val="42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4F113F41"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Chamoli</w:t>
            </w:r>
            <w:proofErr w:type="spellEnd"/>
          </w:p>
        </w:tc>
        <w:tc>
          <w:tcPr>
            <w:tcW w:w="900" w:type="dxa"/>
            <w:shd w:val="clear" w:color="auto" w:fill="auto"/>
            <w:vAlign w:val="center"/>
          </w:tcPr>
          <w:p w14:paraId="63B46DF0"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7.84</w:t>
            </w:r>
          </w:p>
        </w:tc>
        <w:tc>
          <w:tcPr>
            <w:tcW w:w="1620" w:type="dxa"/>
            <w:shd w:val="clear" w:color="auto" w:fill="auto"/>
            <w:vAlign w:val="center"/>
          </w:tcPr>
          <w:p w14:paraId="1BEA7B6A"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6.67</w:t>
            </w:r>
          </w:p>
        </w:tc>
        <w:tc>
          <w:tcPr>
            <w:tcW w:w="736" w:type="dxa"/>
            <w:shd w:val="clear" w:color="auto" w:fill="auto"/>
            <w:vAlign w:val="center"/>
          </w:tcPr>
          <w:p w14:paraId="0D8D4237"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23.08</w:t>
            </w:r>
          </w:p>
        </w:tc>
        <w:tc>
          <w:tcPr>
            <w:tcW w:w="1310" w:type="dxa"/>
            <w:shd w:val="clear" w:color="auto" w:fill="auto"/>
            <w:vAlign w:val="center"/>
          </w:tcPr>
          <w:p w14:paraId="7F31EE00"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14.81</w:t>
            </w:r>
          </w:p>
        </w:tc>
        <w:tc>
          <w:tcPr>
            <w:tcW w:w="1524" w:type="dxa"/>
            <w:shd w:val="clear" w:color="auto" w:fill="auto"/>
            <w:vAlign w:val="center"/>
          </w:tcPr>
          <w:p w14:paraId="398474C8"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10.61</w:t>
            </w:r>
          </w:p>
        </w:tc>
        <w:tc>
          <w:tcPr>
            <w:tcW w:w="1703" w:type="dxa"/>
            <w:shd w:val="clear" w:color="auto" w:fill="auto"/>
            <w:vAlign w:val="center"/>
          </w:tcPr>
          <w:p w14:paraId="2980DD05"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4FABE3C7" w14:textId="77777777" w:rsidR="005417B8" w:rsidRPr="009D6DE7" w:rsidRDefault="005417B8" w:rsidP="008B5F4C">
            <w:pPr>
              <w:pStyle w:val="TableParagraph"/>
              <w:spacing w:before="0"/>
              <w:ind w:right="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24.00</w:t>
            </w:r>
          </w:p>
        </w:tc>
      </w:tr>
      <w:tr w:rsidR="00084FCB" w:rsidRPr="009D6DE7" w14:paraId="18515ABA" w14:textId="77777777" w:rsidTr="00FD0D3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2397BF24"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Champawat</w:t>
            </w:r>
            <w:proofErr w:type="spellEnd"/>
          </w:p>
        </w:tc>
        <w:tc>
          <w:tcPr>
            <w:tcW w:w="900" w:type="dxa"/>
            <w:shd w:val="clear" w:color="auto" w:fill="auto"/>
            <w:vAlign w:val="center"/>
          </w:tcPr>
          <w:p w14:paraId="0F8C9BED"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0.36</w:t>
            </w:r>
          </w:p>
        </w:tc>
        <w:tc>
          <w:tcPr>
            <w:tcW w:w="1620" w:type="dxa"/>
            <w:shd w:val="clear" w:color="auto" w:fill="auto"/>
            <w:vAlign w:val="center"/>
          </w:tcPr>
          <w:p w14:paraId="20469064"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5.00</w:t>
            </w:r>
          </w:p>
        </w:tc>
        <w:tc>
          <w:tcPr>
            <w:tcW w:w="736" w:type="dxa"/>
            <w:shd w:val="clear" w:color="auto" w:fill="auto"/>
            <w:vAlign w:val="center"/>
          </w:tcPr>
          <w:p w14:paraId="4E1E1622"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7343ECF7"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0.53</w:t>
            </w:r>
          </w:p>
        </w:tc>
        <w:tc>
          <w:tcPr>
            <w:tcW w:w="1524" w:type="dxa"/>
            <w:shd w:val="clear" w:color="auto" w:fill="auto"/>
            <w:vAlign w:val="center"/>
          </w:tcPr>
          <w:p w14:paraId="0FE6BF09"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10.10</w:t>
            </w:r>
          </w:p>
        </w:tc>
        <w:tc>
          <w:tcPr>
            <w:tcW w:w="1703" w:type="dxa"/>
            <w:shd w:val="clear" w:color="auto" w:fill="auto"/>
            <w:vAlign w:val="center"/>
          </w:tcPr>
          <w:p w14:paraId="223B8720"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60BB9BB5" w14:textId="77777777" w:rsidR="005417B8" w:rsidRPr="009D6DE7" w:rsidRDefault="005417B8" w:rsidP="008B5F4C">
            <w:pPr>
              <w:pStyle w:val="TableParagraph"/>
              <w:spacing w:before="0"/>
              <w:ind w:right="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4.00</w:t>
            </w:r>
          </w:p>
        </w:tc>
      </w:tr>
      <w:tr w:rsidR="00084FCB" w:rsidRPr="009D6DE7" w14:paraId="0D7EBBD7" w14:textId="77777777" w:rsidTr="00FD0D38">
        <w:trPr>
          <w:trHeight w:val="34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04126199"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DehraDun</w:t>
            </w:r>
            <w:proofErr w:type="spellEnd"/>
          </w:p>
        </w:tc>
        <w:tc>
          <w:tcPr>
            <w:tcW w:w="900" w:type="dxa"/>
            <w:shd w:val="clear" w:color="auto" w:fill="auto"/>
            <w:vAlign w:val="center"/>
          </w:tcPr>
          <w:p w14:paraId="5036DDC2"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16.16</w:t>
            </w:r>
          </w:p>
        </w:tc>
        <w:tc>
          <w:tcPr>
            <w:tcW w:w="1620" w:type="dxa"/>
            <w:shd w:val="clear" w:color="auto" w:fill="auto"/>
            <w:vAlign w:val="center"/>
          </w:tcPr>
          <w:p w14:paraId="63E637A3"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5.00</w:t>
            </w:r>
          </w:p>
        </w:tc>
        <w:tc>
          <w:tcPr>
            <w:tcW w:w="736" w:type="dxa"/>
            <w:shd w:val="clear" w:color="auto" w:fill="auto"/>
            <w:vAlign w:val="center"/>
          </w:tcPr>
          <w:p w14:paraId="11F15217"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71E70914"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10.58</w:t>
            </w:r>
          </w:p>
        </w:tc>
        <w:tc>
          <w:tcPr>
            <w:tcW w:w="1524" w:type="dxa"/>
            <w:shd w:val="clear" w:color="auto" w:fill="auto"/>
            <w:vAlign w:val="center"/>
          </w:tcPr>
          <w:p w14:paraId="47544478"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7.58</w:t>
            </w:r>
          </w:p>
        </w:tc>
        <w:tc>
          <w:tcPr>
            <w:tcW w:w="1703" w:type="dxa"/>
            <w:shd w:val="clear" w:color="auto" w:fill="auto"/>
            <w:vAlign w:val="center"/>
          </w:tcPr>
          <w:p w14:paraId="06D38158"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7B15C6F6" w14:textId="77777777" w:rsidR="005417B8" w:rsidRPr="009D6DE7" w:rsidRDefault="005417B8" w:rsidP="008B5F4C">
            <w:pPr>
              <w:pStyle w:val="TableParagraph"/>
              <w:spacing w:before="0"/>
              <w:ind w:right="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r>
      <w:tr w:rsidR="00084FCB" w:rsidRPr="009D6DE7" w14:paraId="2ABE74CC" w14:textId="77777777" w:rsidTr="00FD0D3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51F8CCF2"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Haridwar</w:t>
            </w:r>
            <w:proofErr w:type="spellEnd"/>
          </w:p>
        </w:tc>
        <w:tc>
          <w:tcPr>
            <w:tcW w:w="900" w:type="dxa"/>
            <w:shd w:val="clear" w:color="auto" w:fill="auto"/>
            <w:vAlign w:val="center"/>
          </w:tcPr>
          <w:p w14:paraId="50DB2F56"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18.21</w:t>
            </w:r>
          </w:p>
        </w:tc>
        <w:tc>
          <w:tcPr>
            <w:tcW w:w="1620" w:type="dxa"/>
            <w:shd w:val="clear" w:color="auto" w:fill="auto"/>
            <w:vAlign w:val="center"/>
          </w:tcPr>
          <w:p w14:paraId="03B3E4C4"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20.00</w:t>
            </w:r>
          </w:p>
        </w:tc>
        <w:tc>
          <w:tcPr>
            <w:tcW w:w="736" w:type="dxa"/>
            <w:shd w:val="clear" w:color="auto" w:fill="auto"/>
            <w:vAlign w:val="center"/>
          </w:tcPr>
          <w:p w14:paraId="275BE39C"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0B379830"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524" w:type="dxa"/>
            <w:shd w:val="clear" w:color="auto" w:fill="auto"/>
            <w:vAlign w:val="center"/>
          </w:tcPr>
          <w:p w14:paraId="6ED62BF9"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703" w:type="dxa"/>
            <w:shd w:val="clear" w:color="auto" w:fill="auto"/>
            <w:vAlign w:val="center"/>
          </w:tcPr>
          <w:p w14:paraId="2961D4B0"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292926B3" w14:textId="77777777" w:rsidR="005417B8" w:rsidRPr="009D6DE7" w:rsidRDefault="005417B8" w:rsidP="008B5F4C">
            <w:pPr>
              <w:pStyle w:val="TableParagraph"/>
              <w:spacing w:before="0"/>
              <w:ind w:right="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r>
      <w:tr w:rsidR="00084FCB" w:rsidRPr="009D6DE7" w14:paraId="29927091" w14:textId="77777777" w:rsidTr="00FD0D38">
        <w:trPr>
          <w:trHeight w:val="34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679392CB"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Naini</w:t>
            </w:r>
            <w:proofErr w:type="spellEnd"/>
            <w:r w:rsidRPr="009D6DE7">
              <w:rPr>
                <w:rFonts w:ascii="Arial" w:hAnsi="Arial" w:cs="Arial"/>
                <w:i w:val="0"/>
                <w:spacing w:val="-4"/>
                <w:sz w:val="20"/>
                <w:szCs w:val="20"/>
              </w:rPr>
              <w:t xml:space="preserve"> </w:t>
            </w:r>
            <w:r w:rsidRPr="009D6DE7">
              <w:rPr>
                <w:rFonts w:ascii="Arial" w:hAnsi="Arial" w:cs="Arial"/>
                <w:i w:val="0"/>
                <w:spacing w:val="-5"/>
                <w:sz w:val="20"/>
                <w:szCs w:val="20"/>
              </w:rPr>
              <w:t>Tal</w:t>
            </w:r>
          </w:p>
        </w:tc>
        <w:tc>
          <w:tcPr>
            <w:tcW w:w="900" w:type="dxa"/>
            <w:shd w:val="clear" w:color="auto" w:fill="auto"/>
            <w:vAlign w:val="center"/>
          </w:tcPr>
          <w:p w14:paraId="23736A09"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7.12</w:t>
            </w:r>
          </w:p>
        </w:tc>
        <w:tc>
          <w:tcPr>
            <w:tcW w:w="1620" w:type="dxa"/>
            <w:shd w:val="clear" w:color="auto" w:fill="auto"/>
            <w:vAlign w:val="center"/>
          </w:tcPr>
          <w:p w14:paraId="1DB7B184"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7.78</w:t>
            </w:r>
          </w:p>
        </w:tc>
        <w:tc>
          <w:tcPr>
            <w:tcW w:w="736" w:type="dxa"/>
            <w:shd w:val="clear" w:color="auto" w:fill="auto"/>
            <w:vAlign w:val="center"/>
          </w:tcPr>
          <w:p w14:paraId="2B21CB0E"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4A77911B"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0.53</w:t>
            </w:r>
          </w:p>
        </w:tc>
        <w:tc>
          <w:tcPr>
            <w:tcW w:w="1524" w:type="dxa"/>
            <w:shd w:val="clear" w:color="auto" w:fill="auto"/>
            <w:vAlign w:val="center"/>
          </w:tcPr>
          <w:p w14:paraId="68069B69"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703" w:type="dxa"/>
            <w:shd w:val="clear" w:color="auto" w:fill="auto"/>
            <w:vAlign w:val="center"/>
          </w:tcPr>
          <w:p w14:paraId="60850CD8"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6B4AA46A" w14:textId="77777777" w:rsidR="005417B8" w:rsidRPr="009D6DE7" w:rsidRDefault="005417B8" w:rsidP="008B5F4C">
            <w:pPr>
              <w:pStyle w:val="TableParagraph"/>
              <w:spacing w:before="0"/>
              <w:ind w:right="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16.00</w:t>
            </w:r>
          </w:p>
        </w:tc>
      </w:tr>
      <w:tr w:rsidR="00084FCB" w:rsidRPr="009D6DE7" w14:paraId="3565C25C" w14:textId="77777777" w:rsidTr="00FD0D3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71F54077" w14:textId="77777777" w:rsidR="005417B8" w:rsidRPr="009D6DE7" w:rsidRDefault="005417B8" w:rsidP="008B5F4C">
            <w:pPr>
              <w:pStyle w:val="TableParagraph"/>
              <w:spacing w:before="0"/>
              <w:ind w:left="36" w:right="-29"/>
              <w:jc w:val="center"/>
              <w:rPr>
                <w:rFonts w:ascii="Arial" w:hAnsi="Arial" w:cs="Arial"/>
                <w:i w:val="0"/>
                <w:sz w:val="20"/>
                <w:szCs w:val="20"/>
              </w:rPr>
            </w:pPr>
            <w:proofErr w:type="spellStart"/>
            <w:r w:rsidRPr="009D6DE7">
              <w:rPr>
                <w:rFonts w:ascii="Arial" w:hAnsi="Arial" w:cs="Arial"/>
                <w:i w:val="0"/>
                <w:spacing w:val="-4"/>
                <w:sz w:val="20"/>
                <w:szCs w:val="20"/>
              </w:rPr>
              <w:t>Pauri</w:t>
            </w:r>
            <w:proofErr w:type="spellEnd"/>
            <w:r w:rsidRPr="009D6DE7">
              <w:rPr>
                <w:rFonts w:ascii="Arial" w:hAnsi="Arial" w:cs="Arial"/>
                <w:i w:val="0"/>
                <w:spacing w:val="-6"/>
                <w:sz w:val="20"/>
                <w:szCs w:val="20"/>
              </w:rPr>
              <w:t xml:space="preserve"> </w:t>
            </w:r>
            <w:proofErr w:type="spellStart"/>
            <w:r w:rsidRPr="009D6DE7">
              <w:rPr>
                <w:rFonts w:ascii="Arial" w:hAnsi="Arial" w:cs="Arial"/>
                <w:i w:val="0"/>
                <w:spacing w:val="-8"/>
                <w:sz w:val="20"/>
                <w:szCs w:val="20"/>
              </w:rPr>
              <w:t>Garhwal</w:t>
            </w:r>
            <w:proofErr w:type="spellEnd"/>
          </w:p>
        </w:tc>
        <w:tc>
          <w:tcPr>
            <w:tcW w:w="900" w:type="dxa"/>
            <w:shd w:val="clear" w:color="auto" w:fill="auto"/>
            <w:vAlign w:val="center"/>
          </w:tcPr>
          <w:p w14:paraId="68B7149B"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12.42</w:t>
            </w:r>
          </w:p>
        </w:tc>
        <w:tc>
          <w:tcPr>
            <w:tcW w:w="1620" w:type="dxa"/>
            <w:shd w:val="clear" w:color="auto" w:fill="auto"/>
            <w:vAlign w:val="center"/>
          </w:tcPr>
          <w:p w14:paraId="529E766B"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16.67</w:t>
            </w:r>
          </w:p>
        </w:tc>
        <w:tc>
          <w:tcPr>
            <w:tcW w:w="736" w:type="dxa"/>
            <w:shd w:val="clear" w:color="auto" w:fill="auto"/>
            <w:vAlign w:val="center"/>
          </w:tcPr>
          <w:p w14:paraId="2431C73B"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46.15</w:t>
            </w:r>
          </w:p>
        </w:tc>
        <w:tc>
          <w:tcPr>
            <w:tcW w:w="1310" w:type="dxa"/>
            <w:shd w:val="clear" w:color="auto" w:fill="auto"/>
            <w:vAlign w:val="center"/>
          </w:tcPr>
          <w:p w14:paraId="24B4EC8A"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7.94</w:t>
            </w:r>
          </w:p>
        </w:tc>
        <w:tc>
          <w:tcPr>
            <w:tcW w:w="1524" w:type="dxa"/>
            <w:shd w:val="clear" w:color="auto" w:fill="auto"/>
            <w:vAlign w:val="center"/>
          </w:tcPr>
          <w:p w14:paraId="4BE33642"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17.68</w:t>
            </w:r>
          </w:p>
        </w:tc>
        <w:tc>
          <w:tcPr>
            <w:tcW w:w="1703" w:type="dxa"/>
            <w:shd w:val="clear" w:color="auto" w:fill="auto"/>
            <w:vAlign w:val="center"/>
          </w:tcPr>
          <w:p w14:paraId="66A570CB"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73E50E62" w14:textId="77777777" w:rsidR="005417B8" w:rsidRPr="009D6DE7" w:rsidRDefault="005417B8" w:rsidP="008B5F4C">
            <w:pPr>
              <w:pStyle w:val="TableParagraph"/>
              <w:spacing w:before="0"/>
              <w:ind w:right="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r>
      <w:tr w:rsidR="00084FCB" w:rsidRPr="009D6DE7" w14:paraId="1E086122" w14:textId="77777777" w:rsidTr="00FD0D38">
        <w:trPr>
          <w:trHeight w:val="34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1BDE0789"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Pithoragarh</w:t>
            </w:r>
            <w:proofErr w:type="spellEnd"/>
          </w:p>
        </w:tc>
        <w:tc>
          <w:tcPr>
            <w:tcW w:w="900" w:type="dxa"/>
            <w:shd w:val="clear" w:color="auto" w:fill="auto"/>
            <w:vAlign w:val="center"/>
          </w:tcPr>
          <w:p w14:paraId="2FD3CA84"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0.36</w:t>
            </w:r>
          </w:p>
        </w:tc>
        <w:tc>
          <w:tcPr>
            <w:tcW w:w="1620" w:type="dxa"/>
            <w:shd w:val="clear" w:color="auto" w:fill="auto"/>
            <w:vAlign w:val="center"/>
          </w:tcPr>
          <w:p w14:paraId="6B0D092F"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736" w:type="dxa"/>
            <w:shd w:val="clear" w:color="auto" w:fill="auto"/>
            <w:vAlign w:val="center"/>
          </w:tcPr>
          <w:p w14:paraId="6E264B1B"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4E1C2E8A"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3.17</w:t>
            </w:r>
          </w:p>
        </w:tc>
        <w:tc>
          <w:tcPr>
            <w:tcW w:w="1524" w:type="dxa"/>
            <w:shd w:val="clear" w:color="auto" w:fill="auto"/>
            <w:vAlign w:val="center"/>
          </w:tcPr>
          <w:p w14:paraId="2A3234FB"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703" w:type="dxa"/>
            <w:shd w:val="clear" w:color="auto" w:fill="auto"/>
            <w:vAlign w:val="center"/>
          </w:tcPr>
          <w:p w14:paraId="63275AA5"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77CD677F" w14:textId="77777777" w:rsidR="005417B8" w:rsidRPr="009D6DE7" w:rsidRDefault="005417B8" w:rsidP="008B5F4C">
            <w:pPr>
              <w:pStyle w:val="TableParagraph"/>
              <w:spacing w:before="0"/>
              <w:ind w:right="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4.00</w:t>
            </w:r>
          </w:p>
        </w:tc>
      </w:tr>
      <w:tr w:rsidR="00084FCB" w:rsidRPr="009D6DE7" w14:paraId="2B6086D6" w14:textId="77777777" w:rsidTr="00FD0D3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428321B4"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Rudraprayag</w:t>
            </w:r>
            <w:proofErr w:type="spellEnd"/>
          </w:p>
        </w:tc>
        <w:tc>
          <w:tcPr>
            <w:tcW w:w="900" w:type="dxa"/>
            <w:shd w:val="clear" w:color="auto" w:fill="auto"/>
            <w:vAlign w:val="center"/>
          </w:tcPr>
          <w:p w14:paraId="3BB0D3C0"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0.12</w:t>
            </w:r>
          </w:p>
        </w:tc>
        <w:tc>
          <w:tcPr>
            <w:tcW w:w="1620" w:type="dxa"/>
            <w:shd w:val="clear" w:color="auto" w:fill="auto"/>
            <w:vAlign w:val="center"/>
          </w:tcPr>
          <w:p w14:paraId="09B85308"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8.89</w:t>
            </w:r>
          </w:p>
        </w:tc>
        <w:tc>
          <w:tcPr>
            <w:tcW w:w="736" w:type="dxa"/>
            <w:shd w:val="clear" w:color="auto" w:fill="auto"/>
            <w:vAlign w:val="center"/>
          </w:tcPr>
          <w:p w14:paraId="7F560B0E"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22F31E49"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524" w:type="dxa"/>
            <w:shd w:val="clear" w:color="auto" w:fill="auto"/>
            <w:vAlign w:val="center"/>
          </w:tcPr>
          <w:p w14:paraId="63DD9648"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6.06</w:t>
            </w:r>
          </w:p>
        </w:tc>
        <w:tc>
          <w:tcPr>
            <w:tcW w:w="1703" w:type="dxa"/>
            <w:shd w:val="clear" w:color="auto" w:fill="auto"/>
            <w:vAlign w:val="center"/>
          </w:tcPr>
          <w:p w14:paraId="46DB3819"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6303FF28" w14:textId="77777777" w:rsidR="005417B8" w:rsidRPr="009D6DE7" w:rsidRDefault="005417B8" w:rsidP="008B5F4C">
            <w:pPr>
              <w:pStyle w:val="TableParagraph"/>
              <w:spacing w:before="0"/>
              <w:ind w:right="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r>
      <w:tr w:rsidR="00084FCB" w:rsidRPr="009D6DE7" w14:paraId="579371C8" w14:textId="77777777" w:rsidTr="00FD0D38">
        <w:trPr>
          <w:trHeight w:val="35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31218966" w14:textId="77777777" w:rsidR="005417B8" w:rsidRPr="009D6DE7" w:rsidRDefault="005417B8" w:rsidP="008B5F4C">
            <w:pPr>
              <w:pStyle w:val="TableParagraph"/>
              <w:spacing w:before="0"/>
              <w:ind w:left="36" w:right="-29"/>
              <w:jc w:val="center"/>
              <w:rPr>
                <w:rFonts w:ascii="Arial" w:hAnsi="Arial" w:cs="Arial"/>
                <w:i w:val="0"/>
                <w:sz w:val="20"/>
                <w:szCs w:val="20"/>
              </w:rPr>
            </w:pPr>
            <w:r w:rsidRPr="009D6DE7">
              <w:rPr>
                <w:rFonts w:ascii="Arial" w:hAnsi="Arial" w:cs="Arial"/>
                <w:i w:val="0"/>
                <w:spacing w:val="-4"/>
                <w:sz w:val="20"/>
                <w:szCs w:val="20"/>
              </w:rPr>
              <w:t>Tehri</w:t>
            </w:r>
            <w:r w:rsidRPr="009D6DE7">
              <w:rPr>
                <w:rFonts w:ascii="Arial" w:hAnsi="Arial" w:cs="Arial"/>
                <w:i w:val="0"/>
                <w:spacing w:val="-2"/>
                <w:sz w:val="20"/>
                <w:szCs w:val="20"/>
              </w:rPr>
              <w:t xml:space="preserve"> </w:t>
            </w:r>
            <w:proofErr w:type="spellStart"/>
            <w:r w:rsidRPr="009D6DE7">
              <w:rPr>
                <w:rFonts w:ascii="Arial" w:hAnsi="Arial" w:cs="Arial"/>
                <w:i w:val="0"/>
                <w:spacing w:val="-8"/>
                <w:sz w:val="20"/>
                <w:szCs w:val="20"/>
              </w:rPr>
              <w:t>Garhwal</w:t>
            </w:r>
            <w:proofErr w:type="spellEnd"/>
          </w:p>
        </w:tc>
        <w:tc>
          <w:tcPr>
            <w:tcW w:w="900" w:type="dxa"/>
            <w:shd w:val="clear" w:color="auto" w:fill="auto"/>
            <w:vAlign w:val="center"/>
          </w:tcPr>
          <w:p w14:paraId="6EA0D6BC"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6.27</w:t>
            </w:r>
          </w:p>
        </w:tc>
        <w:tc>
          <w:tcPr>
            <w:tcW w:w="1620" w:type="dxa"/>
            <w:shd w:val="clear" w:color="auto" w:fill="auto"/>
            <w:vAlign w:val="center"/>
          </w:tcPr>
          <w:p w14:paraId="2B5ACB7B"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24.44</w:t>
            </w:r>
          </w:p>
        </w:tc>
        <w:tc>
          <w:tcPr>
            <w:tcW w:w="736" w:type="dxa"/>
            <w:shd w:val="clear" w:color="auto" w:fill="auto"/>
            <w:vAlign w:val="center"/>
          </w:tcPr>
          <w:p w14:paraId="553CF7C9"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7.69</w:t>
            </w:r>
          </w:p>
        </w:tc>
        <w:tc>
          <w:tcPr>
            <w:tcW w:w="1310" w:type="dxa"/>
            <w:shd w:val="clear" w:color="auto" w:fill="auto"/>
            <w:vAlign w:val="center"/>
          </w:tcPr>
          <w:p w14:paraId="1EFACC83"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41.27</w:t>
            </w:r>
          </w:p>
        </w:tc>
        <w:tc>
          <w:tcPr>
            <w:tcW w:w="1524" w:type="dxa"/>
            <w:shd w:val="clear" w:color="auto" w:fill="auto"/>
            <w:vAlign w:val="center"/>
          </w:tcPr>
          <w:p w14:paraId="1684860C"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41.41</w:t>
            </w:r>
          </w:p>
        </w:tc>
        <w:tc>
          <w:tcPr>
            <w:tcW w:w="1703" w:type="dxa"/>
            <w:shd w:val="clear" w:color="auto" w:fill="auto"/>
            <w:vAlign w:val="center"/>
          </w:tcPr>
          <w:p w14:paraId="751746A2"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18FDB19C" w14:textId="77777777" w:rsidR="005417B8" w:rsidRPr="009D6DE7" w:rsidRDefault="005417B8" w:rsidP="008B5F4C">
            <w:pPr>
              <w:pStyle w:val="TableParagraph"/>
              <w:spacing w:before="0"/>
              <w:ind w:right="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r>
      <w:tr w:rsidR="00084FCB" w:rsidRPr="009D6DE7" w14:paraId="0A866584" w14:textId="77777777" w:rsidTr="00FD0D38">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4E80E3C4"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8"/>
                <w:sz w:val="20"/>
                <w:szCs w:val="20"/>
              </w:rPr>
              <w:t>Udham</w:t>
            </w:r>
            <w:proofErr w:type="spellEnd"/>
            <w:r w:rsidRPr="009D6DE7">
              <w:rPr>
                <w:rFonts w:ascii="Arial" w:hAnsi="Arial" w:cs="Arial"/>
                <w:i w:val="0"/>
                <w:spacing w:val="-8"/>
                <w:sz w:val="20"/>
                <w:szCs w:val="20"/>
              </w:rPr>
              <w:t xml:space="preserve"> </w:t>
            </w:r>
            <w:r w:rsidRPr="009D6DE7">
              <w:rPr>
                <w:rFonts w:ascii="Arial" w:hAnsi="Arial" w:cs="Arial"/>
                <w:i w:val="0"/>
                <w:spacing w:val="-2"/>
                <w:sz w:val="20"/>
                <w:szCs w:val="20"/>
              </w:rPr>
              <w:t>Singh</w:t>
            </w:r>
          </w:p>
        </w:tc>
        <w:tc>
          <w:tcPr>
            <w:tcW w:w="900" w:type="dxa"/>
            <w:shd w:val="clear" w:color="auto" w:fill="auto"/>
            <w:vAlign w:val="center"/>
          </w:tcPr>
          <w:p w14:paraId="41AEB570" w14:textId="77777777" w:rsidR="005417B8" w:rsidRPr="009D6DE7" w:rsidRDefault="005417B8" w:rsidP="008B5F4C">
            <w:pPr>
              <w:pStyle w:val="TableParagraph"/>
              <w:spacing w:before="0"/>
              <w:ind w:right="1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21.35</w:t>
            </w:r>
          </w:p>
        </w:tc>
        <w:tc>
          <w:tcPr>
            <w:tcW w:w="1620" w:type="dxa"/>
            <w:shd w:val="clear" w:color="auto" w:fill="auto"/>
            <w:vAlign w:val="center"/>
          </w:tcPr>
          <w:p w14:paraId="66735E5B"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0.56</w:t>
            </w:r>
          </w:p>
        </w:tc>
        <w:tc>
          <w:tcPr>
            <w:tcW w:w="736" w:type="dxa"/>
            <w:shd w:val="clear" w:color="auto" w:fill="auto"/>
            <w:vAlign w:val="center"/>
          </w:tcPr>
          <w:p w14:paraId="72F7ACA3"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310" w:type="dxa"/>
            <w:shd w:val="clear" w:color="auto" w:fill="auto"/>
            <w:vAlign w:val="center"/>
          </w:tcPr>
          <w:p w14:paraId="22A6D26B" w14:textId="77777777" w:rsidR="005417B8" w:rsidRPr="009D6DE7" w:rsidRDefault="005417B8" w:rsidP="008B5F4C">
            <w:pPr>
              <w:pStyle w:val="TableParagraph"/>
              <w:spacing w:before="0"/>
              <w:ind w:right="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524" w:type="dxa"/>
            <w:shd w:val="clear" w:color="auto" w:fill="auto"/>
            <w:vAlign w:val="center"/>
          </w:tcPr>
          <w:p w14:paraId="74E3073E"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1703" w:type="dxa"/>
            <w:shd w:val="clear" w:color="auto" w:fill="auto"/>
            <w:vAlign w:val="center"/>
          </w:tcPr>
          <w:p w14:paraId="4499D474" w14:textId="77777777" w:rsidR="005417B8" w:rsidRPr="009D6DE7" w:rsidRDefault="005417B8" w:rsidP="008B5F4C">
            <w:pPr>
              <w:pStyle w:val="TableParagraph"/>
              <w:spacing w:before="0"/>
              <w:ind w:right="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5C783497" w14:textId="77777777" w:rsidR="005417B8" w:rsidRPr="009D6DE7" w:rsidRDefault="005417B8" w:rsidP="008B5F4C">
            <w:pPr>
              <w:pStyle w:val="TableParagraph"/>
              <w:spacing w:before="0"/>
              <w:ind w:right="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32.00</w:t>
            </w:r>
          </w:p>
        </w:tc>
      </w:tr>
      <w:tr w:rsidR="00084FCB" w:rsidRPr="009D6DE7" w14:paraId="50ACED49" w14:textId="77777777" w:rsidTr="00FD0D38">
        <w:trPr>
          <w:trHeight w:val="67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vAlign w:val="center"/>
          </w:tcPr>
          <w:p w14:paraId="60F13891" w14:textId="77777777" w:rsidR="005417B8" w:rsidRPr="009D6DE7" w:rsidRDefault="005417B8" w:rsidP="008B5F4C">
            <w:pPr>
              <w:pStyle w:val="TableParagraph"/>
              <w:spacing w:before="0"/>
              <w:ind w:left="36"/>
              <w:jc w:val="center"/>
              <w:rPr>
                <w:rFonts w:ascii="Arial" w:hAnsi="Arial" w:cs="Arial"/>
                <w:i w:val="0"/>
                <w:sz w:val="20"/>
                <w:szCs w:val="20"/>
              </w:rPr>
            </w:pPr>
            <w:proofErr w:type="spellStart"/>
            <w:r w:rsidRPr="009D6DE7">
              <w:rPr>
                <w:rFonts w:ascii="Arial" w:hAnsi="Arial" w:cs="Arial"/>
                <w:i w:val="0"/>
                <w:spacing w:val="-2"/>
                <w:sz w:val="20"/>
                <w:szCs w:val="20"/>
              </w:rPr>
              <w:t>Uttarkashi</w:t>
            </w:r>
            <w:proofErr w:type="spellEnd"/>
          </w:p>
        </w:tc>
        <w:tc>
          <w:tcPr>
            <w:tcW w:w="900" w:type="dxa"/>
            <w:shd w:val="clear" w:color="auto" w:fill="auto"/>
            <w:vAlign w:val="center"/>
          </w:tcPr>
          <w:p w14:paraId="2113F4AF"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4.22</w:t>
            </w:r>
          </w:p>
        </w:tc>
        <w:tc>
          <w:tcPr>
            <w:tcW w:w="1620" w:type="dxa"/>
            <w:shd w:val="clear" w:color="auto" w:fill="auto"/>
            <w:vAlign w:val="center"/>
          </w:tcPr>
          <w:p w14:paraId="159EA788"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2.78</w:t>
            </w:r>
          </w:p>
        </w:tc>
        <w:tc>
          <w:tcPr>
            <w:tcW w:w="736" w:type="dxa"/>
            <w:shd w:val="clear" w:color="auto" w:fill="auto"/>
            <w:vAlign w:val="center"/>
          </w:tcPr>
          <w:p w14:paraId="028DCA9A" w14:textId="77777777" w:rsidR="005417B8" w:rsidRPr="009D6DE7" w:rsidRDefault="005417B8" w:rsidP="008B5F4C">
            <w:pPr>
              <w:pStyle w:val="TableParagraph"/>
              <w:spacing w:before="0"/>
              <w:ind w:right="1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23.08</w:t>
            </w:r>
          </w:p>
        </w:tc>
        <w:tc>
          <w:tcPr>
            <w:tcW w:w="1310" w:type="dxa"/>
            <w:shd w:val="clear" w:color="auto" w:fill="auto"/>
            <w:vAlign w:val="center"/>
          </w:tcPr>
          <w:p w14:paraId="14A22048" w14:textId="77777777" w:rsidR="005417B8" w:rsidRPr="009D6DE7" w:rsidRDefault="005417B8" w:rsidP="008B5F4C">
            <w:pPr>
              <w:pStyle w:val="TableParagraph"/>
              <w:spacing w:before="0"/>
              <w:ind w:right="9"/>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2"/>
                <w:sz w:val="20"/>
                <w:szCs w:val="20"/>
              </w:rPr>
              <w:t>21.16</w:t>
            </w:r>
          </w:p>
        </w:tc>
        <w:tc>
          <w:tcPr>
            <w:tcW w:w="1524" w:type="dxa"/>
            <w:shd w:val="clear" w:color="auto" w:fill="auto"/>
            <w:vAlign w:val="center"/>
          </w:tcPr>
          <w:p w14:paraId="2ABD35B0"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4.55</w:t>
            </w:r>
          </w:p>
        </w:tc>
        <w:tc>
          <w:tcPr>
            <w:tcW w:w="1703" w:type="dxa"/>
            <w:shd w:val="clear" w:color="auto" w:fill="auto"/>
            <w:vAlign w:val="center"/>
          </w:tcPr>
          <w:p w14:paraId="37C16F03" w14:textId="77777777" w:rsidR="005417B8" w:rsidRPr="009D6DE7" w:rsidRDefault="005417B8" w:rsidP="008B5F4C">
            <w:pPr>
              <w:pStyle w:val="TableParagraph"/>
              <w:spacing w:before="0"/>
              <w:ind w:right="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c>
          <w:tcPr>
            <w:tcW w:w="887" w:type="dxa"/>
            <w:shd w:val="clear" w:color="auto" w:fill="auto"/>
            <w:vAlign w:val="center"/>
          </w:tcPr>
          <w:p w14:paraId="12CCAA46" w14:textId="77777777" w:rsidR="005417B8" w:rsidRPr="009D6DE7" w:rsidRDefault="005417B8" w:rsidP="008B5F4C">
            <w:pPr>
              <w:pStyle w:val="TableParagraph"/>
              <w:spacing w:before="0"/>
              <w:ind w:right="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D6DE7">
              <w:rPr>
                <w:rFonts w:ascii="Arial" w:hAnsi="Arial" w:cs="Arial"/>
                <w:spacing w:val="-4"/>
                <w:sz w:val="20"/>
                <w:szCs w:val="20"/>
              </w:rPr>
              <w:t>0.00</w:t>
            </w:r>
          </w:p>
        </w:tc>
      </w:tr>
    </w:tbl>
    <w:p w14:paraId="516B873B" w14:textId="068A204C" w:rsidR="00EE02C7" w:rsidRPr="009D6DE7" w:rsidRDefault="00EE02C7" w:rsidP="00AA07C9">
      <w:pPr>
        <w:spacing w:line="360" w:lineRule="auto"/>
        <w:jc w:val="both"/>
        <w:rPr>
          <w:rFonts w:ascii="Arial" w:hAnsi="Arial" w:cs="Arial"/>
          <w:sz w:val="20"/>
          <w:szCs w:val="20"/>
        </w:rPr>
      </w:pPr>
      <w:r w:rsidRPr="009D6DE7">
        <w:rPr>
          <w:rFonts w:ascii="Arial" w:hAnsi="Arial" w:cs="Arial"/>
          <w:sz w:val="20"/>
          <w:szCs w:val="20"/>
        </w:rPr>
        <w:lastRenderedPageBreak/>
        <w:t xml:space="preserve">Between 2001 and 2024, Dehradun lost approximately 684 hectares of tree cover, representing a 0.44% decline compared to the tree cover area in 2000. This loss contributed to an estimated 443 kilotons </w:t>
      </w:r>
      <w:r w:rsidR="00B614DE">
        <w:rPr>
          <w:rFonts w:ascii="Arial" w:hAnsi="Arial" w:cs="Arial"/>
          <w:sz w:val="20"/>
          <w:szCs w:val="20"/>
        </w:rPr>
        <w:t>of carbon dioxide equivalent</w:t>
      </w:r>
      <w:r w:rsidRPr="009D6DE7">
        <w:rPr>
          <w:rFonts w:ascii="Arial" w:hAnsi="Arial" w:cs="Arial"/>
          <w:sz w:val="20"/>
          <w:szCs w:val="20"/>
        </w:rPr>
        <w:t xml:space="preserve"> emissions. It is important to note that this figure does not account for any gains in tree cover that may have occurred during the same period.</w:t>
      </w:r>
    </w:p>
    <w:p w14:paraId="252FBAED" w14:textId="77777777" w:rsidR="00EE02C7" w:rsidRDefault="00EE02C7" w:rsidP="000B2733">
      <w:pPr>
        <w:spacing w:line="240" w:lineRule="auto"/>
        <w:jc w:val="center"/>
        <w:rPr>
          <w:rFonts w:ascii="Times New Roman" w:hAnsi="Times New Roman" w:cs="Times New Roman"/>
          <w:b/>
          <w:sz w:val="24"/>
          <w:szCs w:val="24"/>
        </w:rPr>
      </w:pPr>
      <w:r>
        <w:rPr>
          <w:noProof/>
        </w:rPr>
        <w:drawing>
          <wp:inline distT="0" distB="0" distL="0" distR="0" wp14:anchorId="248CE9C4" wp14:editId="63FAB8D9">
            <wp:extent cx="5798820" cy="3108960"/>
            <wp:effectExtent l="0" t="0" r="11430"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22DD6E" w14:textId="65D8F55C" w:rsidR="000B2733" w:rsidRPr="009D6DE7" w:rsidRDefault="009D6DE7" w:rsidP="000B2733">
      <w:pPr>
        <w:spacing w:line="240" w:lineRule="auto"/>
        <w:jc w:val="center"/>
        <w:rPr>
          <w:rFonts w:ascii="Arial" w:hAnsi="Arial" w:cs="Arial"/>
          <w:b/>
          <w:sz w:val="20"/>
          <w:szCs w:val="20"/>
        </w:rPr>
      </w:pPr>
      <w:r w:rsidRPr="009D6DE7">
        <w:rPr>
          <w:rFonts w:ascii="Arial" w:hAnsi="Arial" w:cs="Arial"/>
          <w:b/>
          <w:sz w:val="20"/>
          <w:szCs w:val="20"/>
        </w:rPr>
        <w:t>Fig. 3.</w:t>
      </w:r>
      <w:r w:rsidR="000B2733" w:rsidRPr="009D6DE7">
        <w:rPr>
          <w:rFonts w:ascii="Arial" w:hAnsi="Arial" w:cs="Arial"/>
          <w:b/>
          <w:sz w:val="20"/>
          <w:szCs w:val="20"/>
        </w:rPr>
        <w:t xml:space="preserve"> Loss in forest area during </w:t>
      </w:r>
      <w:r w:rsidR="00B038D3" w:rsidRPr="009D6DE7">
        <w:rPr>
          <w:rFonts w:ascii="Arial" w:hAnsi="Arial" w:cs="Arial"/>
          <w:b/>
          <w:sz w:val="20"/>
          <w:szCs w:val="20"/>
        </w:rPr>
        <w:t xml:space="preserve">the </w:t>
      </w:r>
      <w:r w:rsidR="000B2733" w:rsidRPr="009D6DE7">
        <w:rPr>
          <w:rFonts w:ascii="Arial" w:hAnsi="Arial" w:cs="Arial"/>
          <w:b/>
          <w:sz w:val="20"/>
          <w:szCs w:val="20"/>
        </w:rPr>
        <w:t>twenty-four years</w:t>
      </w:r>
    </w:p>
    <w:p w14:paraId="5B959BCD" w14:textId="2C28B284" w:rsidR="000B2733" w:rsidRPr="009D6DE7" w:rsidRDefault="00B038D3" w:rsidP="000B2733">
      <w:pPr>
        <w:spacing w:line="360" w:lineRule="auto"/>
        <w:jc w:val="both"/>
        <w:rPr>
          <w:rFonts w:ascii="Arial" w:hAnsi="Arial" w:cs="Arial"/>
          <w:sz w:val="20"/>
          <w:szCs w:val="20"/>
        </w:rPr>
      </w:pPr>
      <w:r w:rsidRPr="009D6DE7">
        <w:rPr>
          <w:rFonts w:ascii="Arial" w:hAnsi="Arial" w:cs="Arial"/>
          <w:sz w:val="20"/>
          <w:szCs w:val="20"/>
        </w:rPr>
        <w:t xml:space="preserve">Figure 3 shows </w:t>
      </w:r>
      <w:r w:rsidR="00621616" w:rsidRPr="009D6DE7">
        <w:rPr>
          <w:rFonts w:ascii="Arial" w:hAnsi="Arial" w:cs="Arial"/>
          <w:sz w:val="20"/>
          <w:szCs w:val="20"/>
        </w:rPr>
        <w:t xml:space="preserve">that </w:t>
      </w:r>
      <w:r w:rsidRPr="009D6DE7">
        <w:rPr>
          <w:rFonts w:ascii="Arial" w:hAnsi="Arial" w:cs="Arial"/>
          <w:sz w:val="20"/>
          <w:szCs w:val="20"/>
        </w:rPr>
        <w:t>b</w:t>
      </w:r>
      <w:r w:rsidR="000B2733" w:rsidRPr="009D6DE7">
        <w:rPr>
          <w:rFonts w:ascii="Arial" w:hAnsi="Arial" w:cs="Arial"/>
          <w:sz w:val="20"/>
          <w:szCs w:val="20"/>
        </w:rPr>
        <w:t xml:space="preserve">ased on the data from 2001 to 2024, Dehradun experienced a cumulative tree cover loss of </w:t>
      </w:r>
      <w:r w:rsidR="000B2733" w:rsidRPr="009D6DE7">
        <w:rPr>
          <w:rStyle w:val="Strong"/>
          <w:rFonts w:ascii="Arial" w:hAnsi="Arial" w:cs="Arial"/>
          <w:b w:val="0"/>
          <w:sz w:val="20"/>
          <w:szCs w:val="20"/>
        </w:rPr>
        <w:t>684 hectares</w:t>
      </w:r>
      <w:r w:rsidR="000B2733" w:rsidRPr="009D6DE7">
        <w:rPr>
          <w:rFonts w:ascii="Arial" w:hAnsi="Arial" w:cs="Arial"/>
          <w:b/>
          <w:sz w:val="20"/>
          <w:szCs w:val="20"/>
        </w:rPr>
        <w:t>.</w:t>
      </w:r>
      <w:r w:rsidR="000B2733" w:rsidRPr="009D6DE7">
        <w:rPr>
          <w:rFonts w:ascii="Arial" w:hAnsi="Arial" w:cs="Arial"/>
          <w:sz w:val="20"/>
          <w:szCs w:val="20"/>
        </w:rPr>
        <w:t xml:space="preserve"> The annual forest loss fluctuated throughout the period, with relatively minor losses in the early 2000, such as 5 hectares in both 2001 and 2003. A noticeable surge occurred in </w:t>
      </w:r>
      <w:r w:rsidR="000B2733" w:rsidRPr="009D6DE7">
        <w:rPr>
          <w:rStyle w:val="Strong"/>
          <w:rFonts w:ascii="Arial" w:hAnsi="Arial" w:cs="Arial"/>
          <w:b w:val="0"/>
          <w:sz w:val="20"/>
          <w:szCs w:val="20"/>
        </w:rPr>
        <w:t>2012</w:t>
      </w:r>
      <w:r w:rsidR="000B2733" w:rsidRPr="009D6DE7">
        <w:rPr>
          <w:rFonts w:ascii="Arial" w:hAnsi="Arial" w:cs="Arial"/>
          <w:b/>
          <w:sz w:val="20"/>
          <w:szCs w:val="20"/>
        </w:rPr>
        <w:t>,</w:t>
      </w:r>
      <w:r w:rsidR="000B2733" w:rsidRPr="009D6DE7">
        <w:rPr>
          <w:rFonts w:ascii="Arial" w:hAnsi="Arial" w:cs="Arial"/>
          <w:sz w:val="20"/>
          <w:szCs w:val="20"/>
        </w:rPr>
        <w:t xml:space="preserve"> with a loss of </w:t>
      </w:r>
      <w:r w:rsidR="000B2733" w:rsidRPr="009D6DE7">
        <w:rPr>
          <w:rStyle w:val="Strong"/>
          <w:rFonts w:ascii="Arial" w:hAnsi="Arial" w:cs="Arial"/>
          <w:b w:val="0"/>
          <w:sz w:val="20"/>
          <w:szCs w:val="20"/>
        </w:rPr>
        <w:t>80 hectares</w:t>
      </w:r>
      <w:r w:rsidR="000B2733" w:rsidRPr="009D6DE7">
        <w:rPr>
          <w:rFonts w:ascii="Arial" w:hAnsi="Arial" w:cs="Arial"/>
          <w:sz w:val="20"/>
          <w:szCs w:val="20"/>
        </w:rPr>
        <w:t xml:space="preserve">, and the most significant spike was recorded in </w:t>
      </w:r>
      <w:r w:rsidR="000B2733" w:rsidRPr="009D6DE7">
        <w:rPr>
          <w:rStyle w:val="Strong"/>
          <w:rFonts w:ascii="Arial" w:hAnsi="Arial" w:cs="Arial"/>
          <w:b w:val="0"/>
          <w:sz w:val="20"/>
          <w:szCs w:val="20"/>
        </w:rPr>
        <w:t>2017</w:t>
      </w:r>
      <w:r w:rsidR="000B2733" w:rsidRPr="009D6DE7">
        <w:rPr>
          <w:rFonts w:ascii="Arial" w:hAnsi="Arial" w:cs="Arial"/>
          <w:b/>
          <w:sz w:val="20"/>
          <w:szCs w:val="20"/>
        </w:rPr>
        <w:t>,</w:t>
      </w:r>
      <w:r w:rsidR="000B2733" w:rsidRPr="009D6DE7">
        <w:rPr>
          <w:rFonts w:ascii="Arial" w:hAnsi="Arial" w:cs="Arial"/>
          <w:sz w:val="20"/>
          <w:szCs w:val="20"/>
        </w:rPr>
        <w:t xml:space="preserve"> with a drastic loss of </w:t>
      </w:r>
      <w:r w:rsidR="000B2733" w:rsidRPr="009D6DE7">
        <w:rPr>
          <w:rStyle w:val="Strong"/>
          <w:rFonts w:ascii="Arial" w:hAnsi="Arial" w:cs="Arial"/>
          <w:b w:val="0"/>
          <w:sz w:val="20"/>
          <w:szCs w:val="20"/>
        </w:rPr>
        <w:t>156 hectares</w:t>
      </w:r>
      <w:r w:rsidR="000B2733" w:rsidRPr="009D6DE7">
        <w:rPr>
          <w:rFonts w:ascii="Arial" w:hAnsi="Arial" w:cs="Arial"/>
          <w:sz w:val="20"/>
          <w:szCs w:val="20"/>
        </w:rPr>
        <w:t xml:space="preserve">. Another substantial decline occurred in </w:t>
      </w:r>
      <w:r w:rsidR="000B2733" w:rsidRPr="009D6DE7">
        <w:rPr>
          <w:rStyle w:val="Strong"/>
          <w:rFonts w:ascii="Arial" w:hAnsi="Arial" w:cs="Arial"/>
          <w:b w:val="0"/>
          <w:sz w:val="20"/>
          <w:szCs w:val="20"/>
        </w:rPr>
        <w:t>2023</w:t>
      </w:r>
      <w:r w:rsidR="000B2733" w:rsidRPr="009D6DE7">
        <w:rPr>
          <w:rFonts w:ascii="Arial" w:hAnsi="Arial" w:cs="Arial"/>
          <w:sz w:val="20"/>
          <w:szCs w:val="20"/>
        </w:rPr>
        <w:t xml:space="preserve">, with </w:t>
      </w:r>
      <w:r w:rsidR="000B2733" w:rsidRPr="009D6DE7">
        <w:rPr>
          <w:rStyle w:val="Strong"/>
          <w:rFonts w:ascii="Arial" w:hAnsi="Arial" w:cs="Arial"/>
          <w:b w:val="0"/>
          <w:sz w:val="20"/>
          <w:szCs w:val="20"/>
        </w:rPr>
        <w:t>74 hectares</w:t>
      </w:r>
      <w:r w:rsidR="000B2733" w:rsidRPr="009D6DE7">
        <w:rPr>
          <w:rFonts w:ascii="Arial" w:hAnsi="Arial" w:cs="Arial"/>
          <w:sz w:val="20"/>
          <w:szCs w:val="20"/>
        </w:rPr>
        <w:t xml:space="preserve"> lost. In contrast, some years saw minimal deforestation, </w:t>
      </w:r>
      <w:r w:rsidR="00B614DE">
        <w:rPr>
          <w:rFonts w:ascii="Arial" w:hAnsi="Arial" w:cs="Arial"/>
          <w:sz w:val="20"/>
          <w:szCs w:val="20"/>
        </w:rPr>
        <w:t>i.e. in</w:t>
      </w:r>
      <w:r w:rsidR="000B2733" w:rsidRPr="009D6DE7">
        <w:rPr>
          <w:rFonts w:ascii="Arial" w:hAnsi="Arial" w:cs="Arial"/>
          <w:sz w:val="20"/>
          <w:szCs w:val="20"/>
        </w:rPr>
        <w:t xml:space="preserve"> </w:t>
      </w:r>
      <w:r w:rsidR="000B2733" w:rsidRPr="009D6DE7">
        <w:rPr>
          <w:rStyle w:val="Strong"/>
          <w:rFonts w:ascii="Arial" w:hAnsi="Arial" w:cs="Arial"/>
          <w:b w:val="0"/>
          <w:sz w:val="20"/>
          <w:szCs w:val="20"/>
        </w:rPr>
        <w:t>2015 (8 ha)</w:t>
      </w:r>
      <w:r w:rsidR="000B2733" w:rsidRPr="009D6DE7">
        <w:rPr>
          <w:rFonts w:ascii="Arial" w:hAnsi="Arial" w:cs="Arial"/>
          <w:sz w:val="20"/>
          <w:szCs w:val="20"/>
        </w:rPr>
        <w:t xml:space="preserve"> and </w:t>
      </w:r>
      <w:r w:rsidR="000B2733" w:rsidRPr="009D6DE7">
        <w:rPr>
          <w:rStyle w:val="Strong"/>
          <w:rFonts w:ascii="Arial" w:hAnsi="Arial" w:cs="Arial"/>
          <w:b w:val="0"/>
          <w:sz w:val="20"/>
          <w:szCs w:val="20"/>
        </w:rPr>
        <w:t>2020 (6 ha)</w:t>
      </w:r>
      <w:r w:rsidR="000B2733" w:rsidRPr="009D6DE7">
        <w:rPr>
          <w:rFonts w:ascii="Arial" w:hAnsi="Arial" w:cs="Arial"/>
          <w:b/>
          <w:sz w:val="20"/>
          <w:szCs w:val="20"/>
        </w:rPr>
        <w:t>.</w:t>
      </w:r>
      <w:r w:rsidR="000B2733" w:rsidRPr="009D6DE7">
        <w:rPr>
          <w:rFonts w:ascii="Arial" w:hAnsi="Arial" w:cs="Arial"/>
          <w:sz w:val="20"/>
          <w:szCs w:val="20"/>
        </w:rPr>
        <w:t xml:space="preserve"> Overall, the trend reflects intermittent but impactful deforestation events over the 24 years, contributing to environmental degradation and carbon emissions in the region.</w:t>
      </w:r>
    </w:p>
    <w:p w14:paraId="1586F552" w14:textId="20E3C4CC" w:rsidR="00EA7048" w:rsidRPr="009D6DE7" w:rsidRDefault="009D6DE7" w:rsidP="000B2733">
      <w:pPr>
        <w:spacing w:line="360" w:lineRule="auto"/>
        <w:jc w:val="both"/>
        <w:rPr>
          <w:rFonts w:ascii="Arial" w:hAnsi="Arial" w:cs="Arial"/>
          <w:b/>
        </w:rPr>
      </w:pPr>
      <w:r w:rsidRPr="009D6DE7">
        <w:rPr>
          <w:rFonts w:ascii="Arial" w:hAnsi="Arial" w:cs="Arial"/>
          <w:b/>
        </w:rPr>
        <w:t>REDUCTION IN FOREST AREA DUE TO HUMAN ACTIVITIES</w:t>
      </w:r>
    </w:p>
    <w:p w14:paraId="757E0934" w14:textId="77777777" w:rsidR="00EA7048" w:rsidRPr="009D6DE7" w:rsidRDefault="00913BB8" w:rsidP="000B2733">
      <w:pPr>
        <w:spacing w:line="360" w:lineRule="auto"/>
        <w:jc w:val="both"/>
        <w:rPr>
          <w:rFonts w:ascii="Arial" w:hAnsi="Arial" w:cs="Arial"/>
          <w:sz w:val="20"/>
          <w:szCs w:val="20"/>
        </w:rPr>
      </w:pPr>
      <w:r w:rsidRPr="009D6DE7">
        <w:rPr>
          <w:rFonts w:ascii="Arial" w:hAnsi="Arial" w:cs="Arial"/>
          <w:sz w:val="20"/>
          <w:szCs w:val="20"/>
        </w:rPr>
        <w:t xml:space="preserve">In Dehradun, the total forest area spans approximately </w:t>
      </w:r>
      <w:r w:rsidRPr="009D6DE7">
        <w:rPr>
          <w:rStyle w:val="Strong"/>
          <w:rFonts w:ascii="Arial" w:hAnsi="Arial" w:cs="Arial"/>
          <w:b w:val="0"/>
          <w:sz w:val="20"/>
          <w:szCs w:val="20"/>
        </w:rPr>
        <w:t>191,000 hectares (</w:t>
      </w:r>
      <w:proofErr w:type="spellStart"/>
      <w:r w:rsidRPr="009D6DE7">
        <w:rPr>
          <w:rStyle w:val="Strong"/>
          <w:rFonts w:ascii="Arial" w:hAnsi="Arial" w:cs="Arial"/>
          <w:b w:val="0"/>
          <w:sz w:val="20"/>
          <w:szCs w:val="20"/>
        </w:rPr>
        <w:t>kha</w:t>
      </w:r>
      <w:proofErr w:type="spellEnd"/>
      <w:r w:rsidRPr="009D6DE7">
        <w:rPr>
          <w:rStyle w:val="Strong"/>
          <w:rFonts w:ascii="Arial" w:hAnsi="Arial" w:cs="Arial"/>
          <w:b w:val="0"/>
          <w:sz w:val="20"/>
          <w:szCs w:val="20"/>
        </w:rPr>
        <w:t>)</w:t>
      </w:r>
      <w:r w:rsidRPr="009D6DE7">
        <w:rPr>
          <w:rFonts w:ascii="Arial" w:hAnsi="Arial" w:cs="Arial"/>
          <w:b/>
          <w:sz w:val="20"/>
          <w:szCs w:val="20"/>
        </w:rPr>
        <w:t>.</w:t>
      </w:r>
      <w:r w:rsidRPr="009D6DE7">
        <w:rPr>
          <w:rFonts w:ascii="Arial" w:hAnsi="Arial" w:cs="Arial"/>
          <w:sz w:val="20"/>
          <w:szCs w:val="20"/>
        </w:rPr>
        <w:t xml:space="preserve"> Between </w:t>
      </w:r>
      <w:r w:rsidRPr="009D6DE7">
        <w:rPr>
          <w:rStyle w:val="Strong"/>
          <w:rFonts w:ascii="Arial" w:hAnsi="Arial" w:cs="Arial"/>
          <w:b w:val="0"/>
          <w:sz w:val="20"/>
          <w:szCs w:val="20"/>
        </w:rPr>
        <w:t>2000 and 2024</w:t>
      </w:r>
      <w:r w:rsidRPr="009D6DE7">
        <w:rPr>
          <w:rFonts w:ascii="Arial" w:hAnsi="Arial" w:cs="Arial"/>
          <w:b/>
          <w:sz w:val="20"/>
          <w:szCs w:val="20"/>
        </w:rPr>
        <w:t>,</w:t>
      </w:r>
      <w:r w:rsidRPr="009D6DE7">
        <w:rPr>
          <w:rFonts w:ascii="Arial" w:hAnsi="Arial" w:cs="Arial"/>
          <w:sz w:val="20"/>
          <w:szCs w:val="20"/>
        </w:rPr>
        <w:t xml:space="preserve"> the region witnessed a </w:t>
      </w:r>
      <w:r w:rsidRPr="009D6DE7">
        <w:rPr>
          <w:rStyle w:val="Strong"/>
          <w:rFonts w:ascii="Arial" w:hAnsi="Arial" w:cs="Arial"/>
          <w:b w:val="0"/>
          <w:sz w:val="20"/>
          <w:szCs w:val="20"/>
        </w:rPr>
        <w:t>net gain of 2.32 kha</w:t>
      </w:r>
      <w:r w:rsidRPr="009D6DE7">
        <w:rPr>
          <w:rFonts w:ascii="Arial" w:hAnsi="Arial" w:cs="Arial"/>
          <w:sz w:val="20"/>
          <w:szCs w:val="20"/>
        </w:rPr>
        <w:t xml:space="preserve"> in forest area, while also experiencing a </w:t>
      </w:r>
      <w:r w:rsidRPr="009D6DE7">
        <w:rPr>
          <w:rStyle w:val="Strong"/>
          <w:rFonts w:ascii="Arial" w:hAnsi="Arial" w:cs="Arial"/>
          <w:b w:val="0"/>
          <w:sz w:val="20"/>
          <w:szCs w:val="20"/>
        </w:rPr>
        <w:t>loss of 1.25 kha</w:t>
      </w:r>
      <w:r w:rsidRPr="009D6DE7">
        <w:rPr>
          <w:rFonts w:ascii="Arial" w:hAnsi="Arial" w:cs="Arial"/>
          <w:sz w:val="20"/>
          <w:szCs w:val="20"/>
        </w:rPr>
        <w:t xml:space="preserve"> during the same period. Additionally, around </w:t>
      </w:r>
      <w:r w:rsidRPr="009D6DE7">
        <w:rPr>
          <w:rStyle w:val="Strong"/>
          <w:rFonts w:ascii="Arial" w:hAnsi="Arial" w:cs="Arial"/>
          <w:b w:val="0"/>
          <w:sz w:val="20"/>
          <w:szCs w:val="20"/>
        </w:rPr>
        <w:t>837 hectares</w:t>
      </w:r>
      <w:r w:rsidRPr="009D6DE7">
        <w:rPr>
          <w:rFonts w:ascii="Arial" w:hAnsi="Arial" w:cs="Arial"/>
          <w:sz w:val="20"/>
          <w:szCs w:val="20"/>
        </w:rPr>
        <w:t xml:space="preserve"> of forest were classified as </w:t>
      </w:r>
      <w:r w:rsidRPr="009D6DE7">
        <w:rPr>
          <w:rStyle w:val="Strong"/>
          <w:rFonts w:ascii="Arial" w:hAnsi="Arial" w:cs="Arial"/>
          <w:b w:val="0"/>
          <w:sz w:val="20"/>
          <w:szCs w:val="20"/>
        </w:rPr>
        <w:t>disturbed areas</w:t>
      </w:r>
      <w:r w:rsidRPr="009D6DE7">
        <w:rPr>
          <w:rFonts w:ascii="Arial" w:hAnsi="Arial" w:cs="Arial"/>
          <w:b/>
          <w:sz w:val="20"/>
          <w:szCs w:val="20"/>
        </w:rPr>
        <w:t>,</w:t>
      </w:r>
      <w:r w:rsidRPr="009D6DE7">
        <w:rPr>
          <w:rFonts w:ascii="Arial" w:hAnsi="Arial" w:cs="Arial"/>
          <w:sz w:val="20"/>
          <w:szCs w:val="20"/>
        </w:rPr>
        <w:t xml:space="preserve"> indicating regions affected by degradation or partial deforestation. This data reflects both positive efforts in forest regeneration and ongoing challenges in forest conservation.</w:t>
      </w:r>
    </w:p>
    <w:p w14:paraId="7F33F57D" w14:textId="2F39E621" w:rsidR="00267C00" w:rsidRDefault="00657136" w:rsidP="00267C00">
      <w:pPr>
        <w:spacing w:line="360" w:lineRule="auto"/>
        <w:jc w:val="center"/>
        <w:rPr>
          <w:rFonts w:ascii="Times New Roman" w:hAnsi="Times New Roman" w:cs="Times New Roman"/>
          <w:sz w:val="24"/>
          <w:szCs w:val="24"/>
        </w:rPr>
      </w:pPr>
      <w:r w:rsidRPr="00657136">
        <w:rPr>
          <w:rFonts w:ascii="Times New Roman" w:hAnsi="Times New Roman" w:cs="Times New Roman"/>
          <w:noProof/>
          <w:sz w:val="24"/>
          <w:szCs w:val="24"/>
        </w:rPr>
        <w:lastRenderedPageBreak/>
        <w:drawing>
          <wp:inline distT="0" distB="0" distL="0" distR="0" wp14:anchorId="5B3E4E10" wp14:editId="22EA6C56">
            <wp:extent cx="5265420" cy="563423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8756" cy="5637804"/>
                    </a:xfrm>
                    <a:prstGeom prst="rect">
                      <a:avLst/>
                    </a:prstGeom>
                  </pic:spPr>
                </pic:pic>
              </a:graphicData>
            </a:graphic>
          </wp:inline>
        </w:drawing>
      </w:r>
    </w:p>
    <w:p w14:paraId="075DC84E" w14:textId="5C0E2D5E" w:rsidR="001F6383" w:rsidRPr="009D6DE7" w:rsidRDefault="009D6DE7" w:rsidP="005417B8">
      <w:pPr>
        <w:spacing w:line="360" w:lineRule="auto"/>
        <w:jc w:val="center"/>
        <w:rPr>
          <w:rFonts w:ascii="Arial" w:hAnsi="Arial" w:cs="Arial"/>
          <w:b/>
          <w:sz w:val="20"/>
          <w:szCs w:val="20"/>
        </w:rPr>
      </w:pPr>
      <w:r w:rsidRPr="009D6DE7">
        <w:rPr>
          <w:rFonts w:ascii="Arial" w:hAnsi="Arial" w:cs="Arial"/>
          <w:b/>
          <w:sz w:val="20"/>
          <w:szCs w:val="20"/>
        </w:rPr>
        <w:t>Fig.</w:t>
      </w:r>
      <w:r w:rsidR="00267C00" w:rsidRPr="009D6DE7">
        <w:rPr>
          <w:rFonts w:ascii="Arial" w:hAnsi="Arial" w:cs="Arial"/>
          <w:b/>
          <w:sz w:val="20"/>
          <w:szCs w:val="20"/>
        </w:rPr>
        <w:t xml:space="preserve"> </w:t>
      </w:r>
      <w:r w:rsidR="00556A96" w:rsidRPr="009D6DE7">
        <w:rPr>
          <w:rFonts w:ascii="Arial" w:hAnsi="Arial" w:cs="Arial"/>
          <w:b/>
          <w:sz w:val="20"/>
          <w:szCs w:val="20"/>
        </w:rPr>
        <w:t>4</w:t>
      </w:r>
      <w:r w:rsidRPr="009D6DE7">
        <w:rPr>
          <w:rFonts w:ascii="Arial" w:hAnsi="Arial" w:cs="Arial"/>
          <w:b/>
          <w:sz w:val="20"/>
          <w:szCs w:val="20"/>
        </w:rPr>
        <w:t>.</w:t>
      </w:r>
      <w:r w:rsidR="00556A96" w:rsidRPr="009D6DE7">
        <w:rPr>
          <w:rFonts w:ascii="Arial" w:hAnsi="Arial" w:cs="Arial"/>
          <w:b/>
          <w:sz w:val="20"/>
          <w:szCs w:val="20"/>
        </w:rPr>
        <w:t xml:space="preserve"> C</w:t>
      </w:r>
      <w:r w:rsidR="00267C00" w:rsidRPr="009D6DE7">
        <w:rPr>
          <w:rFonts w:ascii="Arial" w:hAnsi="Arial" w:cs="Arial"/>
          <w:b/>
          <w:sz w:val="20"/>
          <w:szCs w:val="20"/>
        </w:rPr>
        <w:t>hanges in the forest area from 1996 to 2019 (Mishra and Arya 2023)</w:t>
      </w:r>
    </w:p>
    <w:p w14:paraId="33DA109C" w14:textId="2A3D0187" w:rsidR="00913BB8" w:rsidRPr="009D6DE7" w:rsidRDefault="009D6DE7" w:rsidP="00913BB8">
      <w:pPr>
        <w:spacing w:line="360" w:lineRule="auto"/>
        <w:jc w:val="both"/>
        <w:rPr>
          <w:rFonts w:ascii="Arial" w:hAnsi="Arial" w:cs="Arial"/>
          <w:b/>
        </w:rPr>
      </w:pPr>
      <w:r w:rsidRPr="009D6DE7">
        <w:rPr>
          <w:rFonts w:ascii="Arial" w:hAnsi="Arial" w:cs="Arial"/>
          <w:b/>
        </w:rPr>
        <w:t>REDUCTION IN FOREST AREA DUE TO FIRE ACTIVITIES</w:t>
      </w:r>
    </w:p>
    <w:p w14:paraId="4FBBF3F5" w14:textId="77777777" w:rsidR="00913BB8" w:rsidRPr="009D6DE7" w:rsidRDefault="005B1D00" w:rsidP="000B2733">
      <w:pPr>
        <w:spacing w:line="360" w:lineRule="auto"/>
        <w:jc w:val="both"/>
        <w:rPr>
          <w:rFonts w:ascii="Arial" w:hAnsi="Arial" w:cs="Arial"/>
          <w:sz w:val="20"/>
          <w:szCs w:val="20"/>
        </w:rPr>
      </w:pPr>
      <w:r w:rsidRPr="009D6DE7">
        <w:rPr>
          <w:rFonts w:ascii="Arial" w:hAnsi="Arial" w:cs="Arial"/>
          <w:sz w:val="20"/>
          <w:szCs w:val="20"/>
        </w:rPr>
        <w:t>In 2025, Dehradun has reported one</w:t>
      </w:r>
      <w:r w:rsidRPr="009D6DE7">
        <w:rPr>
          <w:rStyle w:val="Strong"/>
          <w:rFonts w:ascii="Arial" w:hAnsi="Arial" w:cs="Arial"/>
          <w:b w:val="0"/>
          <w:sz w:val="20"/>
          <w:szCs w:val="20"/>
        </w:rPr>
        <w:t xml:space="preserve"> fire alert</w:t>
      </w:r>
      <w:r w:rsidRPr="009D6DE7">
        <w:rPr>
          <w:rFonts w:ascii="Arial" w:hAnsi="Arial" w:cs="Arial"/>
          <w:sz w:val="20"/>
          <w:szCs w:val="20"/>
        </w:rPr>
        <w:t xml:space="preserve"> so far, based on </w:t>
      </w:r>
      <w:r w:rsidR="00621616" w:rsidRPr="009D6DE7">
        <w:rPr>
          <w:rStyle w:val="Strong"/>
          <w:rFonts w:ascii="Arial" w:hAnsi="Arial" w:cs="Arial"/>
          <w:b w:val="0"/>
          <w:sz w:val="20"/>
          <w:szCs w:val="20"/>
        </w:rPr>
        <w:t>the</w:t>
      </w:r>
      <w:r w:rsidRPr="009D6DE7">
        <w:rPr>
          <w:rStyle w:val="Strong"/>
          <w:rFonts w:ascii="Arial" w:hAnsi="Arial" w:cs="Arial"/>
          <w:b w:val="0"/>
          <w:sz w:val="20"/>
          <w:szCs w:val="20"/>
        </w:rPr>
        <w:t xml:space="preserve"> data</w:t>
      </w:r>
      <w:r w:rsidR="00621616" w:rsidRPr="009D6DE7">
        <w:rPr>
          <w:rFonts w:ascii="Arial" w:hAnsi="Arial" w:cs="Arial"/>
          <w:sz w:val="20"/>
          <w:szCs w:val="20"/>
        </w:rPr>
        <w:t>. The number</w:t>
      </w:r>
      <w:r w:rsidRPr="009D6DE7">
        <w:rPr>
          <w:rFonts w:ascii="Arial" w:hAnsi="Arial" w:cs="Arial"/>
          <w:sz w:val="20"/>
          <w:szCs w:val="20"/>
        </w:rPr>
        <w:t xml:space="preserve"> is considered </w:t>
      </w:r>
      <w:r w:rsidRPr="009D6DE7">
        <w:rPr>
          <w:rStyle w:val="Strong"/>
          <w:rFonts w:ascii="Arial" w:hAnsi="Arial" w:cs="Arial"/>
          <w:b w:val="0"/>
          <w:sz w:val="20"/>
          <w:szCs w:val="20"/>
        </w:rPr>
        <w:t>normal</w:t>
      </w:r>
      <w:r w:rsidRPr="009D6DE7">
        <w:rPr>
          <w:rFonts w:ascii="Arial" w:hAnsi="Arial" w:cs="Arial"/>
          <w:sz w:val="20"/>
          <w:szCs w:val="20"/>
        </w:rPr>
        <w:t xml:space="preserve"> when compared to fire activity in previous years, dating back to </w:t>
      </w:r>
      <w:r w:rsidRPr="009D6DE7">
        <w:rPr>
          <w:rStyle w:val="Strong"/>
          <w:rFonts w:ascii="Arial" w:hAnsi="Arial" w:cs="Arial"/>
          <w:b w:val="0"/>
          <w:sz w:val="20"/>
          <w:szCs w:val="20"/>
        </w:rPr>
        <w:t>2012</w:t>
      </w:r>
      <w:r w:rsidRPr="009D6DE7">
        <w:rPr>
          <w:rFonts w:ascii="Arial" w:hAnsi="Arial" w:cs="Arial"/>
          <w:sz w:val="20"/>
          <w:szCs w:val="20"/>
        </w:rPr>
        <w:t xml:space="preserve">. The </w:t>
      </w:r>
      <w:r w:rsidRPr="009D6DE7">
        <w:rPr>
          <w:rStyle w:val="Strong"/>
          <w:rFonts w:ascii="Arial" w:hAnsi="Arial" w:cs="Arial"/>
          <w:b w:val="0"/>
          <w:sz w:val="20"/>
          <w:szCs w:val="20"/>
        </w:rPr>
        <w:t>highest number of fires</w:t>
      </w:r>
      <w:r w:rsidRPr="009D6DE7">
        <w:rPr>
          <w:rFonts w:ascii="Arial" w:hAnsi="Arial" w:cs="Arial"/>
          <w:sz w:val="20"/>
          <w:szCs w:val="20"/>
        </w:rPr>
        <w:t xml:space="preserve"> recorded in a single year occurred in </w:t>
      </w:r>
      <w:r w:rsidRPr="009D6DE7">
        <w:rPr>
          <w:rStyle w:val="Strong"/>
          <w:rFonts w:ascii="Arial" w:hAnsi="Arial" w:cs="Arial"/>
          <w:b w:val="0"/>
          <w:sz w:val="20"/>
          <w:szCs w:val="20"/>
        </w:rPr>
        <w:t>2016</w:t>
      </w:r>
      <w:r w:rsidRPr="009D6DE7">
        <w:rPr>
          <w:rFonts w:ascii="Arial" w:hAnsi="Arial" w:cs="Arial"/>
          <w:b/>
          <w:sz w:val="20"/>
          <w:szCs w:val="20"/>
        </w:rPr>
        <w:t>,</w:t>
      </w:r>
      <w:r w:rsidRPr="009D6DE7">
        <w:rPr>
          <w:rFonts w:ascii="Arial" w:hAnsi="Arial" w:cs="Arial"/>
          <w:sz w:val="20"/>
          <w:szCs w:val="20"/>
        </w:rPr>
        <w:t xml:space="preserve"> with a total of </w:t>
      </w:r>
      <w:r w:rsidRPr="009D6DE7">
        <w:rPr>
          <w:rStyle w:val="Strong"/>
          <w:rFonts w:ascii="Arial" w:hAnsi="Arial" w:cs="Arial"/>
          <w:b w:val="0"/>
          <w:sz w:val="20"/>
          <w:szCs w:val="20"/>
        </w:rPr>
        <w:t>34 alerts</w:t>
      </w:r>
      <w:r w:rsidRPr="009D6DE7">
        <w:rPr>
          <w:rFonts w:ascii="Arial" w:hAnsi="Arial" w:cs="Arial"/>
          <w:b/>
          <w:sz w:val="20"/>
          <w:szCs w:val="20"/>
        </w:rPr>
        <w:t>,</w:t>
      </w:r>
      <w:r w:rsidRPr="009D6DE7">
        <w:rPr>
          <w:rFonts w:ascii="Arial" w:hAnsi="Arial" w:cs="Arial"/>
          <w:sz w:val="20"/>
          <w:szCs w:val="20"/>
        </w:rPr>
        <w:t xml:space="preserve"> indicating a peak in fire incidents during that period.</w:t>
      </w:r>
    </w:p>
    <w:p w14:paraId="788ADC30" w14:textId="77777777" w:rsidR="00FD3944" w:rsidRDefault="002757F1" w:rsidP="000B273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7BB9095E" wp14:editId="04A967A5">
                <wp:simplePos x="0" y="0"/>
                <wp:positionH relativeFrom="column">
                  <wp:posOffset>1066800</wp:posOffset>
                </wp:positionH>
                <wp:positionV relativeFrom="paragraph">
                  <wp:posOffset>226060</wp:posOffset>
                </wp:positionV>
                <wp:extent cx="2156460" cy="525780"/>
                <wp:effectExtent l="0" t="0" r="0" b="45720"/>
                <wp:wrapNone/>
                <wp:docPr id="10" name="Curved Down Arrow 10"/>
                <wp:cNvGraphicFramePr/>
                <a:graphic xmlns:a="http://schemas.openxmlformats.org/drawingml/2006/main">
                  <a:graphicData uri="http://schemas.microsoft.com/office/word/2010/wordprocessingShape">
                    <wps:wsp>
                      <wps:cNvSpPr/>
                      <wps:spPr>
                        <a:xfrm>
                          <a:off x="0" y="0"/>
                          <a:ext cx="2156460" cy="52578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5F322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0" o:spid="_x0000_s1026" type="#_x0000_t105" style="position:absolute;margin-left:84pt;margin-top:17.8pt;width:169.8pt;height:4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" adj="18967,20942,16200" fillcolor="#5b9bd5 [3204]" strokecolor="#1f4d78 [1604]" strokeweight="1pt"/>
            </w:pict>
          </mc:Fallback>
        </mc:AlternateContent>
      </w:r>
      <w:r w:rsidRPr="002757F1">
        <w:rPr>
          <w:rFonts w:ascii="Times New Roman" w:hAnsi="Times New Roman" w:cs="Times New Roman"/>
          <w:noProof/>
          <w:sz w:val="24"/>
          <w:szCs w:val="24"/>
        </w:rPr>
        <w:drawing>
          <wp:inline distT="0" distB="0" distL="0" distR="0" wp14:anchorId="71F9C83B" wp14:editId="544ECC8F">
            <wp:extent cx="2743200" cy="331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8126" cy="3320652"/>
                    </a:xfrm>
                    <a:prstGeom prst="rect">
                      <a:avLst/>
                    </a:prstGeom>
                  </pic:spPr>
                </pic:pic>
              </a:graphicData>
            </a:graphic>
          </wp:inline>
        </w:drawing>
      </w:r>
      <w:r>
        <w:rPr>
          <w:rFonts w:ascii="Times New Roman" w:hAnsi="Times New Roman" w:cs="Times New Roman"/>
          <w:sz w:val="24"/>
          <w:szCs w:val="24"/>
        </w:rPr>
        <w:t xml:space="preserve">    </w:t>
      </w:r>
      <w:r w:rsidR="00FD3944" w:rsidRPr="00FD3944">
        <w:rPr>
          <w:rFonts w:ascii="Times New Roman" w:hAnsi="Times New Roman" w:cs="Times New Roman"/>
          <w:noProof/>
          <w:sz w:val="24"/>
          <w:szCs w:val="24"/>
        </w:rPr>
        <w:drawing>
          <wp:inline distT="0" distB="0" distL="0" distR="0" wp14:anchorId="4B321FA7" wp14:editId="1ED591D7">
            <wp:extent cx="3070860" cy="3307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0123" cy="3338594"/>
                    </a:xfrm>
                    <a:prstGeom prst="rect">
                      <a:avLst/>
                    </a:prstGeom>
                  </pic:spPr>
                </pic:pic>
              </a:graphicData>
            </a:graphic>
          </wp:inline>
        </w:drawing>
      </w:r>
    </w:p>
    <w:p w14:paraId="022E03A5" w14:textId="1D861483" w:rsidR="00FD3944" w:rsidRPr="009D6DE7" w:rsidRDefault="009D6DE7" w:rsidP="00FD3944">
      <w:pPr>
        <w:spacing w:line="360" w:lineRule="auto"/>
        <w:jc w:val="center"/>
        <w:rPr>
          <w:rFonts w:ascii="Arial" w:hAnsi="Arial" w:cs="Arial"/>
          <w:b/>
          <w:sz w:val="20"/>
          <w:szCs w:val="20"/>
        </w:rPr>
      </w:pPr>
      <w:r w:rsidRPr="009D6DE7">
        <w:rPr>
          <w:rFonts w:ascii="Arial" w:hAnsi="Arial" w:cs="Arial"/>
          <w:b/>
          <w:sz w:val="20"/>
          <w:szCs w:val="20"/>
        </w:rPr>
        <w:t>Fig. 5.</w:t>
      </w:r>
      <w:r w:rsidR="00FD3944" w:rsidRPr="009D6DE7">
        <w:rPr>
          <w:rFonts w:ascii="Arial" w:hAnsi="Arial" w:cs="Arial"/>
          <w:b/>
          <w:sz w:val="20"/>
          <w:szCs w:val="20"/>
        </w:rPr>
        <w:t xml:space="preserve"> Fire detected at various places in Uttarakhand during April 2024 (Forest Survey of India)</w:t>
      </w:r>
    </w:p>
    <w:p w14:paraId="3A4E7B20" w14:textId="035E9626" w:rsidR="00234264" w:rsidRPr="009D6DE7" w:rsidRDefault="00234264" w:rsidP="000B2733">
      <w:pPr>
        <w:spacing w:line="360" w:lineRule="auto"/>
        <w:jc w:val="both"/>
        <w:rPr>
          <w:rFonts w:ascii="Arial" w:hAnsi="Arial" w:cs="Arial"/>
          <w:sz w:val="20"/>
          <w:szCs w:val="20"/>
        </w:rPr>
      </w:pPr>
      <w:r w:rsidRPr="009D6DE7">
        <w:rPr>
          <w:rFonts w:ascii="Arial" w:hAnsi="Arial" w:cs="Arial"/>
          <w:sz w:val="20"/>
          <w:szCs w:val="20"/>
        </w:rPr>
        <w:t xml:space="preserve">Between </w:t>
      </w:r>
      <w:r w:rsidRPr="009D6DE7">
        <w:rPr>
          <w:rStyle w:val="Strong"/>
          <w:rFonts w:ascii="Arial" w:hAnsi="Arial" w:cs="Arial"/>
          <w:b w:val="0"/>
          <w:sz w:val="20"/>
          <w:szCs w:val="20"/>
        </w:rPr>
        <w:t>2001 and 2024</w:t>
      </w:r>
      <w:r w:rsidRPr="009D6DE7">
        <w:rPr>
          <w:rFonts w:ascii="Arial" w:hAnsi="Arial" w:cs="Arial"/>
          <w:sz w:val="20"/>
          <w:szCs w:val="20"/>
        </w:rPr>
        <w:t xml:space="preserve">, Dehradun lost a total of </w:t>
      </w:r>
      <w:r w:rsidRPr="009D6DE7">
        <w:rPr>
          <w:rStyle w:val="Strong"/>
          <w:rFonts w:ascii="Arial" w:hAnsi="Arial" w:cs="Arial"/>
          <w:b w:val="0"/>
          <w:sz w:val="20"/>
          <w:szCs w:val="20"/>
        </w:rPr>
        <w:t>52 hectares</w:t>
      </w:r>
      <w:r w:rsidRPr="009D6DE7">
        <w:rPr>
          <w:rFonts w:ascii="Arial" w:hAnsi="Arial" w:cs="Arial"/>
          <w:sz w:val="20"/>
          <w:szCs w:val="20"/>
        </w:rPr>
        <w:t xml:space="preserve"> of tree cover due to </w:t>
      </w:r>
      <w:r w:rsidRPr="009D6DE7">
        <w:rPr>
          <w:rStyle w:val="Strong"/>
          <w:rFonts w:ascii="Arial" w:hAnsi="Arial" w:cs="Arial"/>
          <w:b w:val="0"/>
          <w:sz w:val="20"/>
          <w:szCs w:val="20"/>
        </w:rPr>
        <w:t>fires</w:t>
      </w:r>
      <w:r w:rsidRPr="009D6DE7">
        <w:rPr>
          <w:rFonts w:ascii="Arial" w:hAnsi="Arial" w:cs="Arial"/>
          <w:sz w:val="20"/>
          <w:szCs w:val="20"/>
        </w:rPr>
        <w:t xml:space="preserve">, and an additional </w:t>
      </w:r>
      <w:r w:rsidRPr="009D6DE7">
        <w:rPr>
          <w:rStyle w:val="Strong"/>
          <w:rFonts w:ascii="Arial" w:hAnsi="Arial" w:cs="Arial"/>
          <w:b w:val="0"/>
          <w:sz w:val="20"/>
          <w:szCs w:val="20"/>
        </w:rPr>
        <w:t>632 hectares</w:t>
      </w:r>
      <w:r w:rsidRPr="009D6DE7">
        <w:rPr>
          <w:rFonts w:ascii="Arial" w:hAnsi="Arial" w:cs="Arial"/>
          <w:sz w:val="20"/>
          <w:szCs w:val="20"/>
        </w:rPr>
        <w:t xml:space="preserve"> from </w:t>
      </w:r>
      <w:r w:rsidRPr="009D6DE7">
        <w:rPr>
          <w:rStyle w:val="Strong"/>
          <w:rFonts w:ascii="Arial" w:hAnsi="Arial" w:cs="Arial"/>
          <w:b w:val="0"/>
          <w:sz w:val="20"/>
          <w:szCs w:val="20"/>
        </w:rPr>
        <w:t>other causes</w:t>
      </w:r>
      <w:r w:rsidRPr="009D6DE7">
        <w:rPr>
          <w:rFonts w:ascii="Arial" w:hAnsi="Arial" w:cs="Arial"/>
          <w:sz w:val="20"/>
          <w:szCs w:val="20"/>
        </w:rPr>
        <w:t xml:space="preserve"> such as deforestation, development, and land-use changes. The year with the highest tree cover loss caused by fires was </w:t>
      </w:r>
      <w:r w:rsidRPr="009D6DE7">
        <w:rPr>
          <w:rStyle w:val="Strong"/>
          <w:rFonts w:ascii="Arial" w:hAnsi="Arial" w:cs="Arial"/>
          <w:b w:val="0"/>
          <w:sz w:val="20"/>
          <w:szCs w:val="20"/>
        </w:rPr>
        <w:t>2012</w:t>
      </w:r>
      <w:r w:rsidRPr="009D6DE7">
        <w:rPr>
          <w:rFonts w:ascii="Arial" w:hAnsi="Arial" w:cs="Arial"/>
          <w:sz w:val="20"/>
          <w:szCs w:val="20"/>
        </w:rPr>
        <w:t xml:space="preserve">, during which </w:t>
      </w:r>
      <w:r w:rsidRPr="009D6DE7">
        <w:rPr>
          <w:rStyle w:val="Strong"/>
          <w:rFonts w:ascii="Arial" w:hAnsi="Arial" w:cs="Arial"/>
          <w:b w:val="0"/>
          <w:sz w:val="20"/>
          <w:szCs w:val="20"/>
        </w:rPr>
        <w:t>10 hectares</w:t>
      </w:r>
      <w:r w:rsidRPr="009D6DE7">
        <w:rPr>
          <w:rFonts w:ascii="Arial" w:hAnsi="Arial" w:cs="Arial"/>
          <w:b/>
          <w:sz w:val="20"/>
          <w:szCs w:val="20"/>
        </w:rPr>
        <w:t xml:space="preserve"> </w:t>
      </w:r>
      <w:r w:rsidRPr="009D6DE7">
        <w:rPr>
          <w:rFonts w:ascii="Arial" w:hAnsi="Arial" w:cs="Arial"/>
          <w:sz w:val="20"/>
          <w:szCs w:val="20"/>
        </w:rPr>
        <w:t xml:space="preserve">were lost to fire-related events, accounting for approximately </w:t>
      </w:r>
      <w:r w:rsidRPr="009D6DE7">
        <w:rPr>
          <w:rStyle w:val="Strong"/>
          <w:rFonts w:ascii="Arial" w:hAnsi="Arial" w:cs="Arial"/>
          <w:b w:val="0"/>
          <w:sz w:val="20"/>
          <w:szCs w:val="20"/>
        </w:rPr>
        <w:t>13%</w:t>
      </w:r>
      <w:r w:rsidRPr="009D6DE7">
        <w:rPr>
          <w:rFonts w:ascii="Arial" w:hAnsi="Arial" w:cs="Arial"/>
          <w:sz w:val="20"/>
          <w:szCs w:val="20"/>
        </w:rPr>
        <w:t xml:space="preserve"> of the total tree cover loss in that year. This highlights the impact of both natural and human-driven factors on forest degradation in the region.</w:t>
      </w:r>
      <w:r w:rsidR="00621616" w:rsidRPr="009D6DE7">
        <w:rPr>
          <w:rFonts w:ascii="Arial" w:hAnsi="Arial" w:cs="Arial"/>
          <w:sz w:val="20"/>
          <w:szCs w:val="20"/>
        </w:rPr>
        <w:t xml:space="preserve"> Figure 5 shows the forest </w:t>
      </w:r>
      <w:r w:rsidR="00280B68">
        <w:rPr>
          <w:rFonts w:ascii="Arial" w:hAnsi="Arial" w:cs="Arial"/>
          <w:sz w:val="20"/>
          <w:szCs w:val="20"/>
        </w:rPr>
        <w:t>fires</w:t>
      </w:r>
      <w:r w:rsidR="00621616" w:rsidRPr="009D6DE7">
        <w:rPr>
          <w:rFonts w:ascii="Arial" w:hAnsi="Arial" w:cs="Arial"/>
          <w:sz w:val="20"/>
          <w:szCs w:val="20"/>
        </w:rPr>
        <w:t xml:space="preserve"> detected in various places on Uttarakhand during April 2024.</w:t>
      </w:r>
    </w:p>
    <w:p w14:paraId="6FD65E94" w14:textId="77777777" w:rsidR="00CF356C" w:rsidRDefault="00CF356C" w:rsidP="000B2733">
      <w:pPr>
        <w:spacing w:line="360" w:lineRule="auto"/>
        <w:jc w:val="both"/>
        <w:rPr>
          <w:rFonts w:ascii="Times New Roman" w:hAnsi="Times New Roman" w:cs="Times New Roman"/>
          <w:sz w:val="24"/>
          <w:szCs w:val="24"/>
        </w:rPr>
      </w:pPr>
      <w:r>
        <w:rPr>
          <w:noProof/>
        </w:rPr>
        <w:drawing>
          <wp:inline distT="0" distB="0" distL="0" distR="0" wp14:anchorId="43182722" wp14:editId="249FF991">
            <wp:extent cx="5715000" cy="25298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F75073" w14:textId="4993C458" w:rsidR="00535B89" w:rsidRPr="00230B71" w:rsidRDefault="00280B68" w:rsidP="00535B89">
      <w:pPr>
        <w:spacing w:line="240" w:lineRule="auto"/>
        <w:jc w:val="center"/>
        <w:rPr>
          <w:rFonts w:ascii="Arial" w:hAnsi="Arial" w:cs="Arial"/>
          <w:b/>
          <w:sz w:val="20"/>
          <w:szCs w:val="20"/>
        </w:rPr>
      </w:pPr>
      <w:r w:rsidRPr="00230B71">
        <w:rPr>
          <w:rFonts w:ascii="Arial" w:hAnsi="Arial" w:cs="Arial"/>
          <w:b/>
          <w:sz w:val="20"/>
          <w:szCs w:val="20"/>
        </w:rPr>
        <w:t>Fig.</w:t>
      </w:r>
      <w:r w:rsidR="00621616" w:rsidRPr="00230B71">
        <w:rPr>
          <w:rFonts w:ascii="Arial" w:hAnsi="Arial" w:cs="Arial"/>
          <w:b/>
          <w:sz w:val="20"/>
          <w:szCs w:val="20"/>
        </w:rPr>
        <w:t xml:space="preserve"> 6</w:t>
      </w:r>
      <w:r w:rsidRPr="00230B71">
        <w:rPr>
          <w:rFonts w:ascii="Arial" w:hAnsi="Arial" w:cs="Arial"/>
          <w:b/>
          <w:sz w:val="20"/>
          <w:szCs w:val="20"/>
        </w:rPr>
        <w:t>.</w:t>
      </w:r>
      <w:r w:rsidR="00CF356C" w:rsidRPr="00230B71">
        <w:rPr>
          <w:rFonts w:ascii="Arial" w:hAnsi="Arial" w:cs="Arial"/>
          <w:b/>
          <w:sz w:val="20"/>
          <w:szCs w:val="20"/>
        </w:rPr>
        <w:t xml:space="preserve"> </w:t>
      </w:r>
      <w:r w:rsidR="00535B89" w:rsidRPr="00230B71">
        <w:rPr>
          <w:rFonts w:ascii="Arial" w:hAnsi="Arial" w:cs="Arial"/>
          <w:b/>
          <w:sz w:val="20"/>
          <w:szCs w:val="20"/>
        </w:rPr>
        <w:t>Loss in forest area during the twenty-four years due to fire</w:t>
      </w:r>
    </w:p>
    <w:p w14:paraId="63D608D8" w14:textId="7BB0165A" w:rsidR="00CF356C" w:rsidRPr="00230B71" w:rsidRDefault="0068730C" w:rsidP="000B2733">
      <w:pPr>
        <w:spacing w:line="360" w:lineRule="auto"/>
        <w:jc w:val="both"/>
        <w:rPr>
          <w:rFonts w:ascii="Arial" w:hAnsi="Arial" w:cs="Arial"/>
          <w:sz w:val="20"/>
          <w:szCs w:val="20"/>
        </w:rPr>
      </w:pPr>
      <w:r w:rsidRPr="00230B71">
        <w:rPr>
          <w:rFonts w:ascii="Arial" w:hAnsi="Arial" w:cs="Arial"/>
          <w:sz w:val="20"/>
          <w:szCs w:val="20"/>
        </w:rPr>
        <w:lastRenderedPageBreak/>
        <w:t xml:space="preserve">As shown in </w:t>
      </w:r>
      <w:r w:rsidR="00621616" w:rsidRPr="00230B71">
        <w:rPr>
          <w:rStyle w:val="Strong"/>
          <w:rFonts w:ascii="Arial" w:hAnsi="Arial" w:cs="Arial"/>
          <w:b w:val="0"/>
          <w:sz w:val="20"/>
          <w:szCs w:val="20"/>
        </w:rPr>
        <w:t>Figure 6</w:t>
      </w:r>
      <w:r w:rsidRPr="00230B71">
        <w:rPr>
          <w:rFonts w:ascii="Arial" w:hAnsi="Arial" w:cs="Arial"/>
          <w:b/>
          <w:sz w:val="20"/>
          <w:szCs w:val="20"/>
        </w:rPr>
        <w:t>,</w:t>
      </w:r>
      <w:r w:rsidRPr="00230B71">
        <w:rPr>
          <w:rFonts w:ascii="Arial" w:hAnsi="Arial" w:cs="Arial"/>
          <w:sz w:val="20"/>
          <w:szCs w:val="20"/>
        </w:rPr>
        <w:t xml:space="preserve"> Dehradun experienced varying degrees of </w:t>
      </w:r>
      <w:r w:rsidRPr="00230B71">
        <w:rPr>
          <w:rStyle w:val="Strong"/>
          <w:rFonts w:ascii="Arial" w:hAnsi="Arial" w:cs="Arial"/>
          <w:b w:val="0"/>
          <w:sz w:val="20"/>
          <w:szCs w:val="20"/>
        </w:rPr>
        <w:t>tree cover loss due to fire</w:t>
      </w:r>
      <w:r w:rsidRPr="00230B71">
        <w:rPr>
          <w:rFonts w:ascii="Arial" w:hAnsi="Arial" w:cs="Arial"/>
          <w:sz w:val="20"/>
          <w:szCs w:val="20"/>
        </w:rPr>
        <w:t xml:space="preserve"> between </w:t>
      </w:r>
      <w:r w:rsidRPr="00230B71">
        <w:rPr>
          <w:rStyle w:val="Strong"/>
          <w:rFonts w:ascii="Arial" w:hAnsi="Arial" w:cs="Arial"/>
          <w:b w:val="0"/>
          <w:sz w:val="20"/>
          <w:szCs w:val="20"/>
        </w:rPr>
        <w:t>2001 and 2024</w:t>
      </w:r>
      <w:r w:rsidRPr="00230B71">
        <w:rPr>
          <w:rFonts w:ascii="Arial" w:hAnsi="Arial" w:cs="Arial"/>
          <w:b/>
          <w:sz w:val="20"/>
          <w:szCs w:val="20"/>
        </w:rPr>
        <w:t>,</w:t>
      </w:r>
      <w:r w:rsidRPr="00230B71">
        <w:rPr>
          <w:rFonts w:ascii="Arial" w:hAnsi="Arial" w:cs="Arial"/>
          <w:sz w:val="20"/>
          <w:szCs w:val="20"/>
        </w:rPr>
        <w:t xml:space="preserve"> totaling </w:t>
      </w:r>
      <w:r w:rsidRPr="00230B71">
        <w:rPr>
          <w:rStyle w:val="Strong"/>
          <w:rFonts w:ascii="Arial" w:hAnsi="Arial" w:cs="Arial"/>
          <w:b w:val="0"/>
          <w:sz w:val="20"/>
          <w:szCs w:val="20"/>
        </w:rPr>
        <w:t>52 hectares</w:t>
      </w:r>
      <w:r w:rsidRPr="00230B71">
        <w:rPr>
          <w:rFonts w:ascii="Arial" w:hAnsi="Arial" w:cs="Arial"/>
          <w:sz w:val="20"/>
          <w:szCs w:val="20"/>
        </w:rPr>
        <w:t xml:space="preserve"> over </w:t>
      </w:r>
      <w:r w:rsidR="00562EB3" w:rsidRPr="00230B71">
        <w:rPr>
          <w:rFonts w:ascii="Arial" w:hAnsi="Arial" w:cs="Arial"/>
          <w:sz w:val="20"/>
          <w:szCs w:val="20"/>
        </w:rPr>
        <w:t xml:space="preserve">the </w:t>
      </w:r>
      <w:r w:rsidR="00AB066A" w:rsidRPr="00230B71">
        <w:rPr>
          <w:rFonts w:ascii="Arial" w:hAnsi="Arial" w:cs="Arial"/>
          <w:sz w:val="20"/>
          <w:szCs w:val="20"/>
        </w:rPr>
        <w:t>twenty-four</w:t>
      </w:r>
      <w:r w:rsidR="00562EB3" w:rsidRPr="00230B71">
        <w:rPr>
          <w:rFonts w:ascii="Arial" w:hAnsi="Arial" w:cs="Arial"/>
          <w:sz w:val="20"/>
          <w:szCs w:val="20"/>
        </w:rPr>
        <w:t xml:space="preserve"> years</w:t>
      </w:r>
      <w:r w:rsidRPr="00230B71">
        <w:rPr>
          <w:rFonts w:ascii="Arial" w:hAnsi="Arial" w:cs="Arial"/>
          <w:sz w:val="20"/>
          <w:szCs w:val="20"/>
        </w:rPr>
        <w:t xml:space="preserve">. The highest annual loss occurred in </w:t>
      </w:r>
      <w:r w:rsidRPr="00230B71">
        <w:rPr>
          <w:rStyle w:val="Strong"/>
          <w:rFonts w:ascii="Arial" w:hAnsi="Arial" w:cs="Arial"/>
          <w:b w:val="0"/>
          <w:sz w:val="20"/>
          <w:szCs w:val="20"/>
        </w:rPr>
        <w:t>2012</w:t>
      </w:r>
      <w:r w:rsidRPr="00230B71">
        <w:rPr>
          <w:rFonts w:ascii="Arial" w:hAnsi="Arial" w:cs="Arial"/>
          <w:sz w:val="20"/>
          <w:szCs w:val="20"/>
        </w:rPr>
        <w:t xml:space="preserve">, with </w:t>
      </w:r>
      <w:r w:rsidRPr="00230B71">
        <w:rPr>
          <w:rStyle w:val="Strong"/>
          <w:rFonts w:ascii="Arial" w:hAnsi="Arial" w:cs="Arial"/>
          <w:b w:val="0"/>
          <w:sz w:val="20"/>
          <w:szCs w:val="20"/>
        </w:rPr>
        <w:t>10 hectares</w:t>
      </w:r>
      <w:r w:rsidRPr="00230B71">
        <w:rPr>
          <w:rFonts w:ascii="Arial" w:hAnsi="Arial" w:cs="Arial"/>
          <w:sz w:val="20"/>
          <w:szCs w:val="20"/>
        </w:rPr>
        <w:t xml:space="preserve">, accounting for the most severe fire-related deforestation in a single year during this timeframe. Other notable years include </w:t>
      </w:r>
      <w:r w:rsidRPr="00230B71">
        <w:rPr>
          <w:rStyle w:val="Strong"/>
          <w:rFonts w:ascii="Arial" w:hAnsi="Arial" w:cs="Arial"/>
          <w:b w:val="0"/>
          <w:sz w:val="20"/>
          <w:szCs w:val="20"/>
        </w:rPr>
        <w:t>2006</w:t>
      </w:r>
      <w:r w:rsidR="00B614DE">
        <w:rPr>
          <w:rStyle w:val="Strong"/>
          <w:rFonts w:ascii="Arial" w:hAnsi="Arial" w:cs="Arial"/>
          <w:b w:val="0"/>
          <w:sz w:val="20"/>
          <w:szCs w:val="20"/>
        </w:rPr>
        <w:t xml:space="preserve"> with 6 ha</w:t>
      </w:r>
      <w:r w:rsidRPr="00230B71">
        <w:rPr>
          <w:rFonts w:ascii="Arial" w:hAnsi="Arial" w:cs="Arial"/>
          <w:b/>
          <w:sz w:val="20"/>
          <w:szCs w:val="20"/>
        </w:rPr>
        <w:t xml:space="preserve">, </w:t>
      </w:r>
      <w:r w:rsidR="00B614DE">
        <w:rPr>
          <w:rStyle w:val="Strong"/>
          <w:rFonts w:ascii="Arial" w:hAnsi="Arial" w:cs="Arial"/>
          <w:b w:val="0"/>
          <w:sz w:val="20"/>
          <w:szCs w:val="20"/>
        </w:rPr>
        <w:t>2009 with 8 ha</w:t>
      </w:r>
      <w:r w:rsidRPr="00230B71">
        <w:rPr>
          <w:rFonts w:ascii="Arial" w:hAnsi="Arial" w:cs="Arial"/>
          <w:b/>
          <w:sz w:val="20"/>
          <w:szCs w:val="20"/>
        </w:rPr>
        <w:t xml:space="preserve">, </w:t>
      </w:r>
      <w:r w:rsidRPr="00230B71">
        <w:rPr>
          <w:rFonts w:ascii="Arial" w:hAnsi="Arial" w:cs="Arial"/>
          <w:sz w:val="20"/>
          <w:szCs w:val="20"/>
        </w:rPr>
        <w:t xml:space="preserve">and </w:t>
      </w:r>
      <w:r w:rsidR="00B614DE">
        <w:rPr>
          <w:rStyle w:val="Strong"/>
          <w:rFonts w:ascii="Arial" w:hAnsi="Arial" w:cs="Arial"/>
          <w:b w:val="0"/>
          <w:sz w:val="20"/>
          <w:szCs w:val="20"/>
        </w:rPr>
        <w:t>2002 and 2008 with 5 ha each</w:t>
      </w:r>
      <w:r w:rsidRPr="00230B71">
        <w:rPr>
          <w:rFonts w:ascii="Arial" w:hAnsi="Arial" w:cs="Arial"/>
          <w:sz w:val="20"/>
          <w:szCs w:val="20"/>
        </w:rPr>
        <w:t xml:space="preserve">. Most other years recorded minimal losses of </w:t>
      </w:r>
      <w:r w:rsidRPr="00230B71">
        <w:rPr>
          <w:rStyle w:val="Strong"/>
          <w:rFonts w:ascii="Arial" w:hAnsi="Arial" w:cs="Arial"/>
          <w:b w:val="0"/>
          <w:sz w:val="20"/>
          <w:szCs w:val="20"/>
        </w:rPr>
        <w:t>1 hectare or less</w:t>
      </w:r>
      <w:r w:rsidRPr="00230B71">
        <w:rPr>
          <w:rFonts w:ascii="Arial" w:hAnsi="Arial" w:cs="Arial"/>
          <w:sz w:val="20"/>
          <w:szCs w:val="20"/>
        </w:rPr>
        <w:t xml:space="preserve">, while </w:t>
      </w:r>
      <w:r w:rsidRPr="00230B71">
        <w:rPr>
          <w:rStyle w:val="Strong"/>
          <w:rFonts w:ascii="Arial" w:hAnsi="Arial" w:cs="Arial"/>
          <w:b w:val="0"/>
          <w:sz w:val="20"/>
          <w:szCs w:val="20"/>
        </w:rPr>
        <w:t>2015</w:t>
      </w:r>
      <w:r w:rsidRPr="00230B71">
        <w:rPr>
          <w:rFonts w:ascii="Arial" w:hAnsi="Arial" w:cs="Arial"/>
          <w:b/>
          <w:sz w:val="20"/>
          <w:szCs w:val="20"/>
        </w:rPr>
        <w:t xml:space="preserve"> </w:t>
      </w:r>
      <w:r w:rsidRPr="00230B71">
        <w:rPr>
          <w:rFonts w:ascii="Arial" w:hAnsi="Arial" w:cs="Arial"/>
          <w:sz w:val="20"/>
          <w:szCs w:val="20"/>
        </w:rPr>
        <w:t xml:space="preserve">saw </w:t>
      </w:r>
      <w:r w:rsidRPr="00230B71">
        <w:rPr>
          <w:rStyle w:val="Strong"/>
          <w:rFonts w:ascii="Arial" w:hAnsi="Arial" w:cs="Arial"/>
          <w:b w:val="0"/>
          <w:sz w:val="20"/>
          <w:szCs w:val="20"/>
        </w:rPr>
        <w:t>no recorded fire-related tree cover loss</w:t>
      </w:r>
      <w:r w:rsidRPr="00230B71">
        <w:rPr>
          <w:rFonts w:ascii="Arial" w:hAnsi="Arial" w:cs="Arial"/>
          <w:b/>
          <w:sz w:val="20"/>
          <w:szCs w:val="20"/>
        </w:rPr>
        <w:t>.</w:t>
      </w:r>
      <w:r w:rsidRPr="00230B71">
        <w:rPr>
          <w:rFonts w:ascii="Arial" w:hAnsi="Arial" w:cs="Arial"/>
          <w:sz w:val="20"/>
          <w:szCs w:val="20"/>
        </w:rPr>
        <w:t xml:space="preserve"> The data suggests that, while fire-related deforestation in Dehradun has generally remained low, occasional spikes highlight the need for continued monitoring and preventive measures.</w:t>
      </w:r>
    </w:p>
    <w:p w14:paraId="251E21BC" w14:textId="77777777" w:rsidR="00AB066A" w:rsidRPr="00230B71" w:rsidRDefault="00AB066A" w:rsidP="000B2733">
      <w:pPr>
        <w:spacing w:line="360" w:lineRule="auto"/>
        <w:jc w:val="both"/>
        <w:rPr>
          <w:rFonts w:ascii="Arial" w:hAnsi="Arial" w:cs="Arial"/>
          <w:sz w:val="20"/>
          <w:szCs w:val="20"/>
        </w:rPr>
      </w:pPr>
      <w:r w:rsidRPr="00230B71">
        <w:rPr>
          <w:rFonts w:ascii="Arial" w:hAnsi="Arial" w:cs="Arial"/>
          <w:sz w:val="20"/>
          <w:szCs w:val="20"/>
        </w:rPr>
        <w:t xml:space="preserve">Between </w:t>
      </w:r>
      <w:r w:rsidRPr="00230B71">
        <w:rPr>
          <w:rStyle w:val="Strong"/>
          <w:rFonts w:ascii="Arial" w:hAnsi="Arial" w:cs="Arial"/>
          <w:b w:val="0"/>
          <w:sz w:val="20"/>
          <w:szCs w:val="20"/>
        </w:rPr>
        <w:t>June 21, 2021</w:t>
      </w:r>
      <w:r w:rsidRPr="00230B71">
        <w:rPr>
          <w:rFonts w:ascii="Arial" w:hAnsi="Arial" w:cs="Arial"/>
          <w:sz w:val="20"/>
          <w:szCs w:val="20"/>
        </w:rPr>
        <w:t xml:space="preserve">, and </w:t>
      </w:r>
      <w:r w:rsidRPr="00230B71">
        <w:rPr>
          <w:rStyle w:val="Strong"/>
          <w:rFonts w:ascii="Arial" w:hAnsi="Arial" w:cs="Arial"/>
          <w:b w:val="0"/>
          <w:sz w:val="20"/>
          <w:szCs w:val="20"/>
        </w:rPr>
        <w:t>June 16, 2025</w:t>
      </w:r>
      <w:r w:rsidRPr="00230B71">
        <w:rPr>
          <w:rFonts w:ascii="Arial" w:hAnsi="Arial" w:cs="Arial"/>
          <w:b/>
          <w:sz w:val="20"/>
          <w:szCs w:val="20"/>
        </w:rPr>
        <w:t>,</w:t>
      </w:r>
      <w:r w:rsidRPr="00230B71">
        <w:rPr>
          <w:rFonts w:ascii="Arial" w:hAnsi="Arial" w:cs="Arial"/>
          <w:sz w:val="20"/>
          <w:szCs w:val="20"/>
        </w:rPr>
        <w:t xml:space="preserve"> Dehradun recorded a total of </w:t>
      </w:r>
      <w:r w:rsidRPr="00230B71">
        <w:rPr>
          <w:rStyle w:val="Strong"/>
          <w:rFonts w:ascii="Arial" w:hAnsi="Arial" w:cs="Arial"/>
          <w:b w:val="0"/>
          <w:sz w:val="20"/>
          <w:szCs w:val="20"/>
        </w:rPr>
        <w:t>443 VIIRS fire alerts</w:t>
      </w:r>
      <w:r w:rsidRPr="00230B71">
        <w:rPr>
          <w:rFonts w:ascii="Arial" w:hAnsi="Arial" w:cs="Arial"/>
          <w:b/>
          <w:sz w:val="20"/>
          <w:szCs w:val="20"/>
        </w:rPr>
        <w:t>.</w:t>
      </w:r>
      <w:r w:rsidRPr="00230B71">
        <w:rPr>
          <w:rFonts w:ascii="Arial" w:hAnsi="Arial" w:cs="Arial"/>
          <w:sz w:val="20"/>
          <w:szCs w:val="20"/>
        </w:rPr>
        <w:t xml:space="preserve"> These alerts are based on satellite observations indicating potential fire activity in the region. The data reflects significant fire occurrences over the four years, underlining the importance of forest fire monitoring and management. Such alerts play a crucial role in supporting timely response and mitigation efforts.</w:t>
      </w:r>
    </w:p>
    <w:p w14:paraId="1000E5EB" w14:textId="044F68FD" w:rsidR="00AB066A" w:rsidRPr="00230B71" w:rsidRDefault="00230B71" w:rsidP="000B2733">
      <w:pPr>
        <w:spacing w:line="360" w:lineRule="auto"/>
        <w:jc w:val="both"/>
        <w:rPr>
          <w:rFonts w:ascii="Arial" w:hAnsi="Arial" w:cs="Arial"/>
          <w:b/>
        </w:rPr>
      </w:pPr>
      <w:r w:rsidRPr="00230B71">
        <w:rPr>
          <w:rFonts w:ascii="Arial" w:hAnsi="Arial" w:cs="Arial"/>
          <w:b/>
        </w:rPr>
        <w:t>REASONS FOR THE REDUCTION IN FOREST AREA IN DEHRADUN</w:t>
      </w:r>
    </w:p>
    <w:p w14:paraId="0D8119D4" w14:textId="77777777" w:rsidR="00361BE7" w:rsidRPr="00230B71" w:rsidRDefault="00AB066A" w:rsidP="00361BE7">
      <w:pPr>
        <w:spacing w:line="360" w:lineRule="auto"/>
        <w:jc w:val="both"/>
        <w:rPr>
          <w:rFonts w:ascii="Arial" w:hAnsi="Arial" w:cs="Arial"/>
          <w:sz w:val="20"/>
          <w:szCs w:val="20"/>
        </w:rPr>
      </w:pPr>
      <w:r w:rsidRPr="00230B71">
        <w:rPr>
          <w:rFonts w:ascii="Arial" w:hAnsi="Arial" w:cs="Arial"/>
          <w:sz w:val="20"/>
          <w:szCs w:val="20"/>
        </w:rPr>
        <w:t>Dehradun, the capital of the Himalayan state of Uttarakhand, has rapidly transformed into a concrete jungle over the past two decades. Although the city was included in the list of 'Smart Cities', it continues to face significant environmental and infrastructural challenges. Once known as the land of rivers and rivulets, Dehradun now struggles with severe water pollution, as many of its rivers have deteriorated into drains filled with garbage and filth, largely due to the absence of an efficient waste management system.</w:t>
      </w:r>
    </w:p>
    <w:p w14:paraId="2CC888FF" w14:textId="77777777" w:rsidR="00EB02AD" w:rsidRPr="00230B71" w:rsidRDefault="00361BE7" w:rsidP="00EB02AD">
      <w:pPr>
        <w:pStyle w:val="ListParagraph"/>
        <w:numPr>
          <w:ilvl w:val="0"/>
          <w:numId w:val="2"/>
        </w:numPr>
        <w:spacing w:line="360" w:lineRule="auto"/>
        <w:jc w:val="both"/>
        <w:rPr>
          <w:rFonts w:ascii="Arial" w:hAnsi="Arial" w:cs="Arial"/>
          <w:sz w:val="20"/>
          <w:szCs w:val="20"/>
        </w:rPr>
      </w:pPr>
      <w:r w:rsidRPr="00230B71">
        <w:rPr>
          <w:rFonts w:ascii="Arial" w:eastAsia="Times New Roman" w:hAnsi="Arial" w:cs="Arial"/>
          <w:b/>
          <w:bCs/>
          <w:color w:val="092F29"/>
          <w:sz w:val="20"/>
          <w:szCs w:val="20"/>
        </w:rPr>
        <w:t>No approved master plan</w:t>
      </w:r>
      <w:r w:rsidR="00EB02AD" w:rsidRPr="00230B71">
        <w:rPr>
          <w:rFonts w:ascii="Arial" w:eastAsia="Times New Roman" w:hAnsi="Arial" w:cs="Arial"/>
          <w:b/>
          <w:bCs/>
          <w:color w:val="092F29"/>
          <w:sz w:val="20"/>
          <w:szCs w:val="20"/>
        </w:rPr>
        <w:t>:</w:t>
      </w:r>
      <w:r w:rsidR="00EB02AD" w:rsidRPr="00230B71">
        <w:rPr>
          <w:rFonts w:ascii="Arial" w:eastAsia="Times New Roman" w:hAnsi="Arial" w:cs="Arial"/>
          <w:bCs/>
          <w:color w:val="092F29"/>
          <w:sz w:val="20"/>
          <w:szCs w:val="20"/>
        </w:rPr>
        <w:t xml:space="preserve"> </w:t>
      </w:r>
      <w:r w:rsidR="00EB02AD" w:rsidRPr="00230B71">
        <w:rPr>
          <w:rFonts w:ascii="Arial" w:hAnsi="Arial" w:cs="Arial"/>
          <w:sz w:val="20"/>
          <w:szCs w:val="20"/>
        </w:rPr>
        <w:t>The absence of an approved master plan is a major contributor to unregulated development and widespread deforestation in Dehradun. This lack of planning has led to unchecked urban expansion, threatening the region's ecological balance.</w:t>
      </w:r>
    </w:p>
    <w:p w14:paraId="243C7435" w14:textId="77777777" w:rsidR="00EB02AD" w:rsidRPr="00230B71" w:rsidRDefault="00EB02AD" w:rsidP="00EB02AD">
      <w:pPr>
        <w:pStyle w:val="ListParagraph"/>
        <w:numPr>
          <w:ilvl w:val="0"/>
          <w:numId w:val="2"/>
        </w:numPr>
        <w:spacing w:line="360" w:lineRule="auto"/>
        <w:jc w:val="both"/>
        <w:rPr>
          <w:rFonts w:ascii="Arial" w:hAnsi="Arial" w:cs="Arial"/>
          <w:sz w:val="20"/>
          <w:szCs w:val="20"/>
        </w:rPr>
      </w:pPr>
      <w:r w:rsidRPr="00230B71">
        <w:rPr>
          <w:rFonts w:ascii="Arial" w:hAnsi="Arial" w:cs="Arial"/>
          <w:b/>
          <w:color w:val="092F29"/>
          <w:sz w:val="20"/>
          <w:szCs w:val="20"/>
        </w:rPr>
        <w:t>Dying water streams:</w:t>
      </w:r>
      <w:r w:rsidRPr="00230B71">
        <w:rPr>
          <w:rFonts w:ascii="Arial" w:hAnsi="Arial" w:cs="Arial"/>
          <w:color w:val="092F29"/>
          <w:sz w:val="20"/>
          <w:szCs w:val="20"/>
        </w:rPr>
        <w:t xml:space="preserve"> </w:t>
      </w:r>
      <w:r w:rsidRPr="00230B71">
        <w:rPr>
          <w:rFonts w:ascii="Arial" w:hAnsi="Arial" w:cs="Arial"/>
          <w:sz w:val="20"/>
          <w:szCs w:val="20"/>
        </w:rPr>
        <w:t>The drying of natural water streams has significantly contributed to forest loss in Dehradun. These streams, once vital for sustaining forest ecosystems, are now vanishing due to environmental degradation and human interference.</w:t>
      </w:r>
    </w:p>
    <w:p w14:paraId="3E42D95D" w14:textId="77777777" w:rsidR="00346D71" w:rsidRPr="00230B71" w:rsidRDefault="00EB02AD" w:rsidP="00346D71">
      <w:pPr>
        <w:pStyle w:val="ListParagraph"/>
        <w:numPr>
          <w:ilvl w:val="0"/>
          <w:numId w:val="2"/>
        </w:numPr>
        <w:spacing w:line="360" w:lineRule="auto"/>
        <w:jc w:val="both"/>
        <w:rPr>
          <w:rFonts w:ascii="Arial" w:hAnsi="Arial" w:cs="Arial"/>
          <w:b/>
          <w:sz w:val="20"/>
          <w:szCs w:val="20"/>
        </w:rPr>
      </w:pPr>
      <w:r w:rsidRPr="00230B71">
        <w:rPr>
          <w:rFonts w:ascii="Arial" w:hAnsi="Arial" w:cs="Arial"/>
          <w:b/>
          <w:color w:val="092F29"/>
          <w:sz w:val="20"/>
          <w:szCs w:val="20"/>
        </w:rPr>
        <w:t xml:space="preserve">Poor waste management: </w:t>
      </w:r>
      <w:r w:rsidRPr="00230B71">
        <w:rPr>
          <w:rFonts w:ascii="Arial" w:hAnsi="Arial" w:cs="Arial"/>
          <w:sz w:val="20"/>
          <w:szCs w:val="20"/>
        </w:rPr>
        <w:t>Poor waste management is a key factor contributing to the reduction of forest area in Dehradun. Unregulated dumping of solid waste and sewage into natural habitats degrades the environment, pollutes water bodies, and disrupts forest ecosystems. This negligence accelerates the loss of green cover and biodiversity.</w:t>
      </w:r>
    </w:p>
    <w:p w14:paraId="2599A2E6" w14:textId="77777777" w:rsidR="00346D71" w:rsidRPr="00230B71" w:rsidRDefault="00346D71" w:rsidP="001F61A1">
      <w:pPr>
        <w:pStyle w:val="ListParagraph"/>
        <w:numPr>
          <w:ilvl w:val="0"/>
          <w:numId w:val="2"/>
        </w:numPr>
        <w:spacing w:line="360" w:lineRule="auto"/>
        <w:jc w:val="both"/>
        <w:rPr>
          <w:rFonts w:ascii="Arial" w:hAnsi="Arial" w:cs="Arial"/>
          <w:b/>
          <w:sz w:val="20"/>
          <w:szCs w:val="20"/>
        </w:rPr>
      </w:pPr>
      <w:r w:rsidRPr="00230B71">
        <w:rPr>
          <w:rFonts w:ascii="Arial" w:hAnsi="Arial" w:cs="Arial"/>
          <w:b/>
          <w:spacing w:val="2"/>
          <w:sz w:val="20"/>
          <w:szCs w:val="20"/>
          <w:bdr w:val="none" w:sz="0" w:space="0" w:color="auto" w:frame="1"/>
        </w:rPr>
        <w:t>Expansion of agricultural land</w:t>
      </w:r>
      <w:r w:rsidR="001F61A1" w:rsidRPr="00230B71">
        <w:rPr>
          <w:rFonts w:ascii="Arial" w:hAnsi="Arial" w:cs="Arial"/>
          <w:b/>
          <w:spacing w:val="2"/>
          <w:sz w:val="20"/>
          <w:szCs w:val="20"/>
          <w:bdr w:val="none" w:sz="0" w:space="0" w:color="auto" w:frame="1"/>
        </w:rPr>
        <w:t xml:space="preserve">: </w:t>
      </w:r>
      <w:r w:rsidR="001F61A1" w:rsidRPr="00230B71">
        <w:rPr>
          <w:rFonts w:ascii="Arial" w:hAnsi="Arial" w:cs="Arial"/>
          <w:sz w:val="20"/>
          <w:szCs w:val="20"/>
        </w:rPr>
        <w:t>The expansion of agricultural land is one of the primary reasons for the reduction of forest area in Dehradun. Forests are often cleared to make way for farming activities, leading to habitat loss and ecological imbalance. This conversion of land not only diminishes green cover but also affects local biodiversity and soil health.</w:t>
      </w:r>
    </w:p>
    <w:p w14:paraId="120B0A6E" w14:textId="77777777" w:rsidR="001F61A1" w:rsidRPr="00230B71" w:rsidRDefault="001F61A1" w:rsidP="001F61A1">
      <w:pPr>
        <w:pStyle w:val="ListParagraph"/>
        <w:numPr>
          <w:ilvl w:val="0"/>
          <w:numId w:val="2"/>
        </w:numPr>
        <w:spacing w:line="360" w:lineRule="auto"/>
        <w:jc w:val="both"/>
        <w:rPr>
          <w:rFonts w:ascii="Arial" w:hAnsi="Arial" w:cs="Arial"/>
          <w:b/>
          <w:sz w:val="20"/>
          <w:szCs w:val="20"/>
        </w:rPr>
      </w:pPr>
      <w:proofErr w:type="spellStart"/>
      <w:r w:rsidRPr="00230B71">
        <w:rPr>
          <w:rFonts w:ascii="Arial" w:hAnsi="Arial" w:cs="Arial"/>
          <w:b/>
          <w:sz w:val="20"/>
          <w:szCs w:val="20"/>
        </w:rPr>
        <w:t>Urbanisation</w:t>
      </w:r>
      <w:proofErr w:type="spellEnd"/>
      <w:r w:rsidRPr="00230B71">
        <w:rPr>
          <w:rFonts w:ascii="Arial" w:hAnsi="Arial" w:cs="Arial"/>
          <w:b/>
          <w:sz w:val="20"/>
          <w:szCs w:val="20"/>
        </w:rPr>
        <w:t xml:space="preserve"> and expansion of cities:</w:t>
      </w:r>
      <w:r w:rsidRPr="00230B71">
        <w:rPr>
          <w:rFonts w:ascii="Arial" w:hAnsi="Arial" w:cs="Arial"/>
          <w:sz w:val="20"/>
          <w:szCs w:val="20"/>
        </w:rPr>
        <w:t xml:space="preserve"> </w:t>
      </w:r>
      <w:proofErr w:type="spellStart"/>
      <w:r w:rsidRPr="00230B71">
        <w:rPr>
          <w:rFonts w:ascii="Arial" w:hAnsi="Arial" w:cs="Arial"/>
          <w:sz w:val="20"/>
          <w:szCs w:val="20"/>
        </w:rPr>
        <w:t>Urbanisation</w:t>
      </w:r>
      <w:proofErr w:type="spellEnd"/>
      <w:r w:rsidRPr="00230B71">
        <w:rPr>
          <w:rFonts w:ascii="Arial" w:hAnsi="Arial" w:cs="Arial"/>
          <w:sz w:val="20"/>
          <w:szCs w:val="20"/>
        </w:rPr>
        <w:t xml:space="preserve"> and the rapid expansion of cities have been major drivers of forest area reduction in Dehradun. As the city grows to accommodate rising population and infrastructure demands, large tracts of forest land are cleared. This urban sprawl leads to habitat fragmentation and a significant loss of biodiversity.</w:t>
      </w:r>
    </w:p>
    <w:p w14:paraId="4C9BCC44" w14:textId="77777777" w:rsidR="001F61A1" w:rsidRPr="00230B71" w:rsidRDefault="001F61A1" w:rsidP="001F61A1">
      <w:pPr>
        <w:pStyle w:val="ListParagraph"/>
        <w:numPr>
          <w:ilvl w:val="0"/>
          <w:numId w:val="2"/>
        </w:numPr>
        <w:spacing w:line="360" w:lineRule="auto"/>
        <w:jc w:val="both"/>
        <w:rPr>
          <w:rFonts w:ascii="Arial" w:hAnsi="Arial" w:cs="Arial"/>
          <w:b/>
          <w:sz w:val="20"/>
          <w:szCs w:val="20"/>
        </w:rPr>
      </w:pPr>
      <w:r w:rsidRPr="00230B71">
        <w:rPr>
          <w:rFonts w:ascii="Arial" w:hAnsi="Arial" w:cs="Arial"/>
          <w:b/>
          <w:spacing w:val="2"/>
          <w:sz w:val="20"/>
          <w:szCs w:val="20"/>
          <w:bdr w:val="none" w:sz="0" w:space="0" w:color="auto" w:frame="1"/>
        </w:rPr>
        <w:lastRenderedPageBreak/>
        <w:t xml:space="preserve">Over-exploitation of natural resources: </w:t>
      </w:r>
      <w:r w:rsidRPr="00230B71">
        <w:rPr>
          <w:rFonts w:ascii="Arial" w:hAnsi="Arial" w:cs="Arial"/>
          <w:sz w:val="20"/>
          <w:szCs w:val="20"/>
        </w:rPr>
        <w:t>Over-exploitation of natural resources is a major cause of deforestation, occurring when humans extract more resources than the environment can naturally replenish. This unsustainable extraction leads to the depletion of vital resources such as timber, minerals, fossil fuels, and groundwater. Activities like mining, logging, and oil and gas extraction contribute significantly to this process. The environmental impact is severe, resulting in habitat destruction, loss of biodiversity, soil degradation, and disruption of ecological balance, ultimately threatening the sustainability of forest ecosystems.</w:t>
      </w:r>
    </w:p>
    <w:p w14:paraId="0FF83049" w14:textId="77777777" w:rsidR="00F127E7" w:rsidRPr="00230B71" w:rsidRDefault="00F127E7" w:rsidP="00F127E7">
      <w:pPr>
        <w:pStyle w:val="ListParagraph"/>
        <w:numPr>
          <w:ilvl w:val="0"/>
          <w:numId w:val="2"/>
        </w:numPr>
        <w:spacing w:line="360" w:lineRule="auto"/>
        <w:jc w:val="both"/>
        <w:rPr>
          <w:rFonts w:ascii="Arial" w:hAnsi="Arial" w:cs="Arial"/>
          <w:b/>
          <w:sz w:val="20"/>
          <w:szCs w:val="20"/>
        </w:rPr>
      </w:pPr>
      <w:r w:rsidRPr="00230B71">
        <w:rPr>
          <w:rFonts w:ascii="Arial" w:hAnsi="Arial" w:cs="Arial"/>
          <w:b/>
          <w:sz w:val="20"/>
          <w:szCs w:val="20"/>
        </w:rPr>
        <w:t xml:space="preserve">Shifting Cultivation: </w:t>
      </w:r>
      <w:r w:rsidRPr="00230B71">
        <w:rPr>
          <w:rFonts w:ascii="Arial" w:hAnsi="Arial" w:cs="Arial"/>
          <w:sz w:val="20"/>
          <w:szCs w:val="20"/>
        </w:rPr>
        <w:t>Shifting cultivation, also known as slash-and-burn agriculture, leads to deforestation as trees are cut and burned to clear land for farming. While the land is abandoned after a few years, repeated cycles degrade soil quality and hinder natural forest regeneration.</w:t>
      </w:r>
    </w:p>
    <w:p w14:paraId="3F61235B" w14:textId="77777777" w:rsidR="001F61A1" w:rsidRPr="00230B71" w:rsidRDefault="00F127E7" w:rsidP="00F127E7">
      <w:pPr>
        <w:pStyle w:val="ListParagraph"/>
        <w:numPr>
          <w:ilvl w:val="0"/>
          <w:numId w:val="2"/>
        </w:numPr>
        <w:spacing w:line="360" w:lineRule="auto"/>
        <w:jc w:val="both"/>
        <w:rPr>
          <w:rFonts w:ascii="Arial" w:hAnsi="Arial" w:cs="Arial"/>
          <w:b/>
          <w:sz w:val="20"/>
          <w:szCs w:val="20"/>
        </w:rPr>
      </w:pPr>
      <w:r w:rsidRPr="00230B71">
        <w:rPr>
          <w:rFonts w:ascii="Arial" w:hAnsi="Arial" w:cs="Arial"/>
          <w:b/>
          <w:sz w:val="20"/>
          <w:szCs w:val="20"/>
        </w:rPr>
        <w:t xml:space="preserve">Mining: </w:t>
      </w:r>
      <w:r w:rsidRPr="00230B71">
        <w:rPr>
          <w:rFonts w:ascii="Arial" w:hAnsi="Arial" w:cs="Arial"/>
          <w:sz w:val="20"/>
          <w:szCs w:val="20"/>
        </w:rPr>
        <w:t>Mining activities cause large-scale deforestation as vast areas of forest are cleared for excavation and infrastructure. It disrupts ecosystems, leads to habitat loss, and prevents forest regrowth due to soil erosion and pollution.</w:t>
      </w:r>
    </w:p>
    <w:p w14:paraId="0C9634CD" w14:textId="343CFB8E" w:rsidR="00EB02AD" w:rsidRPr="00230B71" w:rsidRDefault="00230B71" w:rsidP="00230B71">
      <w:pPr>
        <w:spacing w:line="360" w:lineRule="auto"/>
        <w:jc w:val="both"/>
        <w:rPr>
          <w:rFonts w:ascii="Arial" w:hAnsi="Arial" w:cs="Arial"/>
          <w:b/>
          <w:sz w:val="20"/>
          <w:szCs w:val="20"/>
        </w:rPr>
      </w:pPr>
      <w:r w:rsidRPr="00230B71">
        <w:rPr>
          <w:rFonts w:ascii="Arial" w:hAnsi="Arial" w:cs="Arial"/>
          <w:b/>
          <w:sz w:val="20"/>
          <w:szCs w:val="20"/>
        </w:rPr>
        <w:t>PROTECTIVE MEASURES TO PROTECT THE FOREST AREA IN DEHRADUN DISTRICT</w:t>
      </w:r>
    </w:p>
    <w:p w14:paraId="7DFB1125" w14:textId="7A523E2A" w:rsidR="004359A1" w:rsidRPr="00230B71" w:rsidRDefault="00D8269E" w:rsidP="00230B71">
      <w:pPr>
        <w:spacing w:line="360" w:lineRule="auto"/>
        <w:jc w:val="both"/>
        <w:rPr>
          <w:rFonts w:ascii="Arial" w:hAnsi="Arial" w:cs="Arial"/>
          <w:sz w:val="20"/>
          <w:szCs w:val="20"/>
        </w:rPr>
      </w:pPr>
      <w:r w:rsidRPr="00230B71">
        <w:rPr>
          <w:rFonts w:ascii="Arial" w:hAnsi="Arial" w:cs="Arial"/>
          <w:sz w:val="20"/>
          <w:szCs w:val="20"/>
        </w:rPr>
        <w:t xml:space="preserve">To protect the forest area in Dehradun district, a combination of ecological and community-based measures is essential. </w:t>
      </w:r>
      <w:r w:rsidRPr="00230B71">
        <w:rPr>
          <w:rStyle w:val="Strong"/>
          <w:rFonts w:ascii="Arial" w:hAnsi="Arial" w:cs="Arial"/>
          <w:b w:val="0"/>
          <w:sz w:val="20"/>
          <w:szCs w:val="20"/>
        </w:rPr>
        <w:t>Afforestation</w:t>
      </w:r>
      <w:r w:rsidRPr="00230B71">
        <w:rPr>
          <w:rFonts w:ascii="Arial" w:hAnsi="Arial" w:cs="Arial"/>
          <w:sz w:val="20"/>
          <w:szCs w:val="20"/>
        </w:rPr>
        <w:t xml:space="preserve"> and </w:t>
      </w:r>
      <w:r w:rsidRPr="00230B71">
        <w:rPr>
          <w:rStyle w:val="Strong"/>
          <w:rFonts w:ascii="Arial" w:hAnsi="Arial" w:cs="Arial"/>
          <w:b w:val="0"/>
          <w:sz w:val="20"/>
          <w:szCs w:val="20"/>
        </w:rPr>
        <w:t>reforestation</w:t>
      </w:r>
      <w:r w:rsidRPr="00230B71">
        <w:rPr>
          <w:rFonts w:ascii="Arial" w:hAnsi="Arial" w:cs="Arial"/>
          <w:sz w:val="20"/>
          <w:szCs w:val="20"/>
        </w:rPr>
        <w:t xml:space="preserve"> should be prioritized to increase green cover on barren and degraded lands. </w:t>
      </w:r>
      <w:r w:rsidRPr="00230B71">
        <w:rPr>
          <w:rStyle w:val="Strong"/>
          <w:rFonts w:ascii="Arial" w:hAnsi="Arial" w:cs="Arial"/>
          <w:b w:val="0"/>
          <w:sz w:val="20"/>
          <w:szCs w:val="20"/>
        </w:rPr>
        <w:t>Agroforestry</w:t>
      </w:r>
      <w:r w:rsidRPr="00230B71">
        <w:rPr>
          <w:rFonts w:ascii="Arial" w:hAnsi="Arial" w:cs="Arial"/>
          <w:sz w:val="20"/>
          <w:szCs w:val="20"/>
        </w:rPr>
        <w:t xml:space="preserve"> can be promoted among farmers to integrate tree planting with agriculture, ensuring both livelihoods and forest conservation. Adopting </w:t>
      </w:r>
      <w:r w:rsidRPr="00230B71">
        <w:rPr>
          <w:rStyle w:val="Strong"/>
          <w:rFonts w:ascii="Arial" w:hAnsi="Arial" w:cs="Arial"/>
          <w:b w:val="0"/>
          <w:sz w:val="20"/>
          <w:szCs w:val="20"/>
        </w:rPr>
        <w:t>sustainable</w:t>
      </w:r>
      <w:r w:rsidRPr="00230B71">
        <w:rPr>
          <w:rStyle w:val="Strong"/>
          <w:rFonts w:ascii="Arial" w:hAnsi="Arial" w:cs="Arial"/>
          <w:sz w:val="20"/>
          <w:szCs w:val="20"/>
        </w:rPr>
        <w:t xml:space="preserve"> </w:t>
      </w:r>
      <w:r w:rsidRPr="00230B71">
        <w:rPr>
          <w:rStyle w:val="Strong"/>
          <w:rFonts w:ascii="Arial" w:hAnsi="Arial" w:cs="Arial"/>
          <w:b w:val="0"/>
          <w:sz w:val="20"/>
          <w:szCs w:val="20"/>
        </w:rPr>
        <w:t>forest management</w:t>
      </w:r>
      <w:r w:rsidRPr="00230B71">
        <w:rPr>
          <w:rFonts w:ascii="Arial" w:hAnsi="Arial" w:cs="Arial"/>
          <w:sz w:val="20"/>
          <w:szCs w:val="20"/>
        </w:rPr>
        <w:t xml:space="preserve"> practices like selective logging and controlled grazing can help maintain forest health. Strict </w:t>
      </w:r>
      <w:r w:rsidRPr="00230B71">
        <w:rPr>
          <w:rStyle w:val="Strong"/>
          <w:rFonts w:ascii="Arial" w:hAnsi="Arial" w:cs="Arial"/>
          <w:b w:val="0"/>
          <w:sz w:val="20"/>
          <w:szCs w:val="20"/>
        </w:rPr>
        <w:t>protection of natural forests</w:t>
      </w:r>
      <w:r w:rsidRPr="00230B71">
        <w:rPr>
          <w:rFonts w:ascii="Arial" w:hAnsi="Arial" w:cs="Arial"/>
          <w:sz w:val="20"/>
          <w:szCs w:val="20"/>
        </w:rPr>
        <w:t xml:space="preserve"> through legal enforcement and forest reserves will preserve biodiversity. Active </w:t>
      </w:r>
      <w:r w:rsidRPr="00230B71">
        <w:rPr>
          <w:rStyle w:val="Strong"/>
          <w:rFonts w:ascii="Arial" w:hAnsi="Arial" w:cs="Arial"/>
          <w:b w:val="0"/>
          <w:sz w:val="20"/>
          <w:szCs w:val="20"/>
        </w:rPr>
        <w:t>community involvement</w:t>
      </w:r>
      <w:r w:rsidRPr="00230B71">
        <w:rPr>
          <w:rFonts w:ascii="Arial" w:hAnsi="Arial" w:cs="Arial"/>
          <w:b/>
          <w:sz w:val="20"/>
          <w:szCs w:val="20"/>
        </w:rPr>
        <w:t xml:space="preserve"> </w:t>
      </w:r>
      <w:r w:rsidRPr="00230B71">
        <w:rPr>
          <w:rFonts w:ascii="Arial" w:hAnsi="Arial" w:cs="Arial"/>
          <w:sz w:val="20"/>
          <w:szCs w:val="20"/>
        </w:rPr>
        <w:t xml:space="preserve">in forest monitoring and plantation drives enhances local stewardship. Effective </w:t>
      </w:r>
      <w:r w:rsidRPr="00230B71">
        <w:rPr>
          <w:rStyle w:val="Strong"/>
          <w:rFonts w:ascii="Arial" w:hAnsi="Arial" w:cs="Arial"/>
          <w:b w:val="0"/>
          <w:sz w:val="20"/>
          <w:szCs w:val="20"/>
        </w:rPr>
        <w:t>policy implementation</w:t>
      </w:r>
      <w:r w:rsidRPr="00230B71">
        <w:rPr>
          <w:rFonts w:ascii="Arial" w:hAnsi="Arial" w:cs="Arial"/>
          <w:sz w:val="20"/>
          <w:szCs w:val="20"/>
        </w:rPr>
        <w:t xml:space="preserve">, including incentives for conservation and penalties for illegal activities, must be ensured. The </w:t>
      </w:r>
      <w:r w:rsidRPr="00230B71">
        <w:rPr>
          <w:rStyle w:val="Strong"/>
          <w:rFonts w:ascii="Arial" w:hAnsi="Arial" w:cs="Arial"/>
          <w:b w:val="0"/>
          <w:sz w:val="20"/>
          <w:szCs w:val="20"/>
        </w:rPr>
        <w:t>use of technology</w:t>
      </w:r>
      <w:r w:rsidRPr="00230B71">
        <w:rPr>
          <w:rFonts w:ascii="Arial" w:hAnsi="Arial" w:cs="Arial"/>
          <w:sz w:val="20"/>
          <w:szCs w:val="20"/>
        </w:rPr>
        <w:t xml:space="preserve"> such as satellite mapping and GIS tools will aid in forest monitoring and early detection of deforestation. These combined efforts can significantly contribute to preserving and expanding forest cover in Dehradun.</w:t>
      </w:r>
    </w:p>
    <w:p w14:paraId="23CDB19A" w14:textId="77777777" w:rsidR="004359A1" w:rsidRPr="00230B71" w:rsidRDefault="004359A1" w:rsidP="00621616">
      <w:pPr>
        <w:spacing w:line="360" w:lineRule="auto"/>
        <w:jc w:val="both"/>
        <w:rPr>
          <w:rFonts w:ascii="Arial" w:hAnsi="Arial" w:cs="Arial"/>
          <w:b/>
        </w:rPr>
      </w:pPr>
      <w:r w:rsidRPr="00230B71">
        <w:rPr>
          <w:rFonts w:ascii="Arial" w:hAnsi="Arial" w:cs="Arial"/>
          <w:b/>
        </w:rPr>
        <w:t>Conclusion</w:t>
      </w:r>
    </w:p>
    <w:p w14:paraId="25232FD9" w14:textId="77777777" w:rsidR="004359A1" w:rsidRPr="00230B71" w:rsidRDefault="00BD7E52" w:rsidP="00BD7E52">
      <w:pPr>
        <w:spacing w:before="100" w:beforeAutospacing="1" w:after="100" w:afterAutospacing="1" w:line="360" w:lineRule="auto"/>
        <w:jc w:val="both"/>
        <w:rPr>
          <w:rFonts w:ascii="Arial" w:eastAsia="Times New Roman" w:hAnsi="Arial" w:cs="Arial"/>
          <w:sz w:val="20"/>
          <w:szCs w:val="20"/>
        </w:rPr>
      </w:pPr>
      <w:r w:rsidRPr="00230B71">
        <w:rPr>
          <w:rFonts w:ascii="Arial" w:eastAsia="Times New Roman" w:hAnsi="Arial" w:cs="Arial"/>
          <w:sz w:val="20"/>
          <w:szCs w:val="20"/>
        </w:rPr>
        <w:t xml:space="preserve">Uttarakhand, with its breathtaking landscapes and spiritual significance, continues to be a major draw for both domestic and international tourists. Its leading position in terms of </w:t>
      </w:r>
      <w:r w:rsidR="00B5570C" w:rsidRPr="00230B71">
        <w:rPr>
          <w:rFonts w:ascii="Arial" w:eastAsia="Times New Roman" w:hAnsi="Arial" w:cs="Arial"/>
          <w:sz w:val="20"/>
          <w:szCs w:val="20"/>
        </w:rPr>
        <w:t>tourists</w:t>
      </w:r>
      <w:r w:rsidRPr="00230B71">
        <w:rPr>
          <w:rFonts w:ascii="Arial" w:eastAsia="Times New Roman" w:hAnsi="Arial" w:cs="Arial"/>
          <w:sz w:val="20"/>
          <w:szCs w:val="20"/>
        </w:rPr>
        <w:t xml:space="preserve"> per capita in northern India highlights its immense potential in the tourism sector. However, this popularity has brought with it significant challenges. The rise in tourist numbers, particularly after the COVID-19 pandemic, has strained the region’s already fragile infrastructure and sensitive ecosystems. Incidents like the Chamoli bridge collapse and recurrent landslides have underscored the urgent need for better planning, infrastructure development, and disaster preparedness. At the same time, Dehradun and other regions have been witnessing a steady loss in forest cover due to various human activities such as unregulated urban expansion, agricultural encroachment, mining, poor waste management, and forest fires. These activities not only degrade the </w:t>
      </w:r>
      <w:r w:rsidRPr="00230B71">
        <w:rPr>
          <w:rFonts w:ascii="Arial" w:eastAsia="Times New Roman" w:hAnsi="Arial" w:cs="Arial"/>
          <w:sz w:val="20"/>
          <w:szCs w:val="20"/>
        </w:rPr>
        <w:lastRenderedPageBreak/>
        <w:t>environment but also release large amounts of carbon dioxide, thereby worsening climate change impacts. Despite some gains in afforestation and forest regeneration, the ecological balance remains threatened. Therefore, sustainable and responsible tourism practices must be encouraged, focusing on quality rather than quantity of tourists. Moreover, robust forest conservation efforts, including afforestation, community involvement, technology-based monitoring, and strict policy enforcement, are essential. In essence, the future of Uttarakhand’s tourism and ecological stability lies in achieving a delicate balance between development and conservation. A holistic approach combining sustainable tourism, effective governance, and active community engagement is crucial to preserving the state’s natural wealth for future generations.</w:t>
      </w:r>
    </w:p>
    <w:p w14:paraId="775AEFD1" w14:textId="77777777" w:rsidR="00BF6132" w:rsidRPr="00BF6132" w:rsidRDefault="00BF6132" w:rsidP="00BF6132">
      <w:pPr>
        <w:spacing w:after="200" w:line="276" w:lineRule="auto"/>
        <w:jc w:val="both"/>
        <w:outlineLvl w:val="0"/>
        <w:rPr>
          <w:rFonts w:ascii="Arial" w:eastAsia="Times New Roman" w:hAnsi="Arial" w:cs="Arial"/>
          <w:lang w:val="en-GB" w:eastAsia="en-GB"/>
        </w:rPr>
      </w:pPr>
      <w:r w:rsidRPr="00BF6132">
        <w:rPr>
          <w:rFonts w:ascii="Arial" w:eastAsia="Times New Roman" w:hAnsi="Arial" w:cs="Arial"/>
          <w:b/>
          <w:bCs/>
          <w:lang w:val="en-GB" w:eastAsia="en-GB"/>
        </w:rPr>
        <w:t>COMPETING INTERESTS DISCLAIMER:</w:t>
      </w:r>
    </w:p>
    <w:p w14:paraId="76AF13E4" w14:textId="52A3BC9A" w:rsidR="00BF6132" w:rsidRPr="00253804" w:rsidRDefault="0098291A" w:rsidP="00BF6132">
      <w:pPr>
        <w:spacing w:after="200" w:line="276" w:lineRule="auto"/>
        <w:rPr>
          <w:rFonts w:ascii="Arial" w:eastAsia="Times New Roman" w:hAnsi="Arial" w:cs="Arial"/>
          <w:sz w:val="20"/>
          <w:szCs w:val="20"/>
          <w:lang w:val="en-GB" w:eastAsia="en-GB"/>
        </w:rPr>
      </w:pPr>
      <w:r w:rsidRPr="00253804">
        <w:rPr>
          <w:rFonts w:ascii="Arial" w:eastAsia="Times New Roman" w:hAnsi="Arial" w:cs="Arial"/>
          <w:sz w:val="20"/>
          <w:szCs w:val="20"/>
          <w:lang w:val="en-GB" w:eastAsia="en-GB"/>
        </w:rPr>
        <w:t>The author</w:t>
      </w:r>
      <w:r w:rsidR="00BF6132" w:rsidRPr="00253804">
        <w:rPr>
          <w:rFonts w:ascii="Arial" w:eastAsia="Times New Roman" w:hAnsi="Arial" w:cs="Arial"/>
          <w:sz w:val="20"/>
          <w:szCs w:val="20"/>
          <w:lang w:val="en-GB" w:eastAsia="en-GB"/>
        </w:rPr>
        <w:t xml:space="preserve"> </w:t>
      </w:r>
      <w:r w:rsidRPr="00253804">
        <w:rPr>
          <w:rFonts w:ascii="Arial" w:eastAsia="Times New Roman" w:hAnsi="Arial" w:cs="Arial"/>
          <w:sz w:val="20"/>
          <w:szCs w:val="20"/>
          <w:lang w:val="en-GB" w:eastAsia="en-GB"/>
        </w:rPr>
        <w:t>has</w:t>
      </w:r>
      <w:r w:rsidR="00BF6132" w:rsidRPr="00253804">
        <w:rPr>
          <w:rFonts w:ascii="Arial" w:eastAsia="Times New Roman" w:hAnsi="Arial" w:cs="Arial"/>
          <w:sz w:val="20"/>
          <w:szCs w:val="20"/>
          <w:lang w:val="en-GB" w:eastAsia="en-GB"/>
        </w:rPr>
        <w:t xml:space="preserve"> declared that </w:t>
      </w:r>
      <w:r w:rsidRPr="00253804">
        <w:rPr>
          <w:rFonts w:ascii="Arial" w:eastAsia="Times New Roman" w:hAnsi="Arial" w:cs="Arial"/>
          <w:sz w:val="20"/>
          <w:szCs w:val="20"/>
          <w:lang w:val="en-GB" w:eastAsia="en-GB"/>
        </w:rPr>
        <w:t>no competing interests.</w:t>
      </w:r>
      <w:bookmarkStart w:id="0" w:name="_GoBack"/>
      <w:bookmarkEnd w:id="0"/>
    </w:p>
    <w:p w14:paraId="5BD869AA" w14:textId="0945E6A7" w:rsidR="002A7918" w:rsidRPr="0098291A" w:rsidRDefault="0098291A" w:rsidP="002A7918">
      <w:pPr>
        <w:rPr>
          <w:rFonts w:ascii="Arial" w:hAnsi="Arial" w:cs="Arial"/>
          <w:b/>
        </w:rPr>
      </w:pPr>
      <w:r w:rsidRPr="0098291A">
        <w:rPr>
          <w:rFonts w:ascii="Arial" w:hAnsi="Arial" w:cs="Arial"/>
          <w:b/>
        </w:rPr>
        <w:t>DISCLAIMER (ARTIFICIAL INTELLIGENCE)</w:t>
      </w:r>
    </w:p>
    <w:p w14:paraId="73DEE799" w14:textId="0BC6AEB0" w:rsidR="00BF6132" w:rsidRPr="0098291A" w:rsidRDefault="001F5F6B" w:rsidP="0098291A">
      <w:pPr>
        <w:jc w:val="both"/>
        <w:rPr>
          <w:rFonts w:ascii="Arial" w:hAnsi="Arial" w:cs="Arial"/>
          <w:sz w:val="20"/>
          <w:szCs w:val="20"/>
        </w:rPr>
      </w:pPr>
      <w:r>
        <w:rPr>
          <w:rFonts w:ascii="Arial" w:hAnsi="Arial" w:cs="Arial"/>
          <w:sz w:val="20"/>
          <w:szCs w:val="20"/>
        </w:rPr>
        <w:t>Author(s) hereby declare that no</w:t>
      </w:r>
      <w:r w:rsidR="002A7918" w:rsidRPr="0098291A">
        <w:rPr>
          <w:rFonts w:ascii="Arial" w:hAnsi="Arial" w:cs="Arial"/>
          <w:sz w:val="20"/>
          <w:szCs w:val="20"/>
        </w:rPr>
        <w:t xml:space="preserve"> generative AI technologies such as Large Language Models (</w:t>
      </w:r>
      <w:proofErr w:type="spellStart"/>
      <w:r w:rsidR="002A7918" w:rsidRPr="0098291A">
        <w:rPr>
          <w:rFonts w:ascii="Arial" w:hAnsi="Arial" w:cs="Arial"/>
          <w:sz w:val="20"/>
          <w:szCs w:val="20"/>
        </w:rPr>
        <w:t>ChatGPT</w:t>
      </w:r>
      <w:proofErr w:type="spellEnd"/>
      <w:r w:rsidR="002A7918" w:rsidRPr="0098291A">
        <w:rPr>
          <w:rFonts w:ascii="Arial" w:hAnsi="Arial" w:cs="Arial"/>
          <w:sz w:val="20"/>
          <w:szCs w:val="20"/>
        </w:rPr>
        <w:t xml:space="preserve">, COPILOT, etc.) and text-to-image generators have been used during the writing or editing of this manuscript. </w:t>
      </w:r>
    </w:p>
    <w:p w14:paraId="51EF5592" w14:textId="167EBC20" w:rsidR="00361BE7" w:rsidRPr="00C42EF1" w:rsidRDefault="00C42EF1" w:rsidP="000B2733">
      <w:pPr>
        <w:spacing w:line="360" w:lineRule="auto"/>
        <w:jc w:val="both"/>
        <w:rPr>
          <w:rFonts w:ascii="Arial" w:hAnsi="Arial" w:cs="Arial"/>
          <w:b/>
        </w:rPr>
      </w:pPr>
      <w:r w:rsidRPr="00C42EF1">
        <w:rPr>
          <w:rFonts w:ascii="Arial" w:hAnsi="Arial" w:cs="Arial"/>
          <w:b/>
        </w:rPr>
        <w:t>REFERENCES</w:t>
      </w:r>
    </w:p>
    <w:p w14:paraId="65B2B5A7" w14:textId="77777777" w:rsidR="00621616" w:rsidRPr="00C42EF1" w:rsidRDefault="00621616" w:rsidP="00621616">
      <w:pPr>
        <w:pStyle w:val="ListParagraph"/>
        <w:numPr>
          <w:ilvl w:val="0"/>
          <w:numId w:val="7"/>
        </w:numPr>
        <w:spacing w:line="360" w:lineRule="auto"/>
        <w:jc w:val="both"/>
        <w:rPr>
          <w:rFonts w:ascii="Arial" w:hAnsi="Arial" w:cs="Arial"/>
          <w:sz w:val="20"/>
          <w:szCs w:val="20"/>
        </w:rPr>
      </w:pPr>
      <w:r w:rsidRPr="00C42EF1">
        <w:rPr>
          <w:rFonts w:ascii="Arial" w:hAnsi="Arial" w:cs="Arial"/>
          <w:sz w:val="20"/>
          <w:szCs w:val="20"/>
        </w:rPr>
        <w:t>Mishra, A., and Singh, D. (2023). “Assessment of land use land cover dynamics and urban heat island effect of Dehradun city, North India: A remote sensing approach.” Environment, Development and Sustainability. https://doi.org/10.1007/s10668-023-03558-6</w:t>
      </w:r>
    </w:p>
    <w:p w14:paraId="13EFABED" w14:textId="77777777" w:rsidR="00621616" w:rsidRPr="00C42EF1" w:rsidRDefault="00621616" w:rsidP="00621616">
      <w:pPr>
        <w:pStyle w:val="ListParagraph"/>
        <w:numPr>
          <w:ilvl w:val="0"/>
          <w:numId w:val="7"/>
        </w:numPr>
        <w:spacing w:line="360" w:lineRule="auto"/>
        <w:jc w:val="both"/>
        <w:rPr>
          <w:rFonts w:ascii="Arial" w:hAnsi="Arial" w:cs="Arial"/>
          <w:sz w:val="20"/>
          <w:szCs w:val="20"/>
        </w:rPr>
      </w:pPr>
      <w:r w:rsidRPr="00C42EF1">
        <w:rPr>
          <w:rFonts w:ascii="Arial" w:hAnsi="Arial" w:cs="Arial"/>
          <w:sz w:val="20"/>
          <w:szCs w:val="20"/>
        </w:rPr>
        <w:t>Indian Council of Agricultural Research (ICAR) and National Academy of Agricultural Sciences (NAAS). (2010). Degraded and wastelands of India: Status and spatial distribution. New Delhi, India.</w:t>
      </w:r>
    </w:p>
    <w:p w14:paraId="6CA357EB" w14:textId="77777777" w:rsidR="00621616" w:rsidRPr="00C42EF1" w:rsidRDefault="00621616" w:rsidP="00621616">
      <w:pPr>
        <w:pStyle w:val="ListParagraph"/>
        <w:numPr>
          <w:ilvl w:val="0"/>
          <w:numId w:val="7"/>
        </w:numPr>
        <w:spacing w:line="360" w:lineRule="auto"/>
        <w:jc w:val="both"/>
        <w:rPr>
          <w:rFonts w:ascii="Arial" w:hAnsi="Arial" w:cs="Arial"/>
          <w:sz w:val="20"/>
          <w:szCs w:val="20"/>
        </w:rPr>
      </w:pPr>
      <w:r w:rsidRPr="00C42EF1">
        <w:rPr>
          <w:rFonts w:ascii="Arial" w:hAnsi="Arial" w:cs="Arial"/>
          <w:sz w:val="20"/>
          <w:szCs w:val="20"/>
        </w:rPr>
        <w:t>Malik, R. (2025). “Analyzing flood patterns and impacts across various states in India: A comprehensive study.” Disaster Advances, 18(3), 31–43.</w:t>
      </w:r>
    </w:p>
    <w:p w14:paraId="5170D4BF" w14:textId="77777777" w:rsidR="00621616" w:rsidRPr="00C42EF1" w:rsidRDefault="00621616" w:rsidP="00621616">
      <w:pPr>
        <w:pStyle w:val="ListParagraph"/>
        <w:numPr>
          <w:ilvl w:val="0"/>
          <w:numId w:val="7"/>
        </w:numPr>
        <w:spacing w:line="360" w:lineRule="auto"/>
        <w:jc w:val="both"/>
        <w:rPr>
          <w:rFonts w:ascii="Arial" w:hAnsi="Arial" w:cs="Arial"/>
          <w:sz w:val="20"/>
          <w:szCs w:val="20"/>
        </w:rPr>
      </w:pPr>
      <w:r w:rsidRPr="00C42EF1">
        <w:rPr>
          <w:rFonts w:ascii="Arial" w:hAnsi="Arial" w:cs="Arial"/>
          <w:sz w:val="20"/>
          <w:szCs w:val="20"/>
        </w:rPr>
        <w:t>Malik, R., Mishra, R. P., and Negi, B. S. (2024). “A study on climate change scenario in Haryana.” International Journal of Agriculture Extension and Social Development, 7(9), 299–309.</w:t>
      </w:r>
    </w:p>
    <w:p w14:paraId="709E7F52" w14:textId="77777777" w:rsidR="00621616" w:rsidRPr="00C42EF1" w:rsidRDefault="00621616" w:rsidP="00621616">
      <w:pPr>
        <w:pStyle w:val="ListParagraph"/>
        <w:numPr>
          <w:ilvl w:val="0"/>
          <w:numId w:val="7"/>
        </w:numPr>
        <w:spacing w:line="360" w:lineRule="auto"/>
        <w:jc w:val="both"/>
        <w:rPr>
          <w:rFonts w:ascii="Arial" w:hAnsi="Arial" w:cs="Arial"/>
          <w:sz w:val="20"/>
          <w:szCs w:val="20"/>
        </w:rPr>
      </w:pPr>
      <w:r w:rsidRPr="00C42EF1">
        <w:rPr>
          <w:rFonts w:ascii="Arial" w:hAnsi="Arial" w:cs="Arial"/>
          <w:sz w:val="20"/>
          <w:szCs w:val="20"/>
        </w:rPr>
        <w:t>Panwar, A., Malik, R., Aswal, A., and Manish. (2025). “Comparative analysis of ambient air pollutants across diverse locations in Dehradun district, Uttarakhand.” International Journal of Agriculture Extension and Social Development, 8(5), 94–99.</w:t>
      </w:r>
    </w:p>
    <w:p w14:paraId="0B876820" w14:textId="6BC7BB34" w:rsidR="00621616" w:rsidRPr="00C42EF1" w:rsidRDefault="00621616" w:rsidP="00621616">
      <w:pPr>
        <w:pStyle w:val="ListParagraph"/>
        <w:numPr>
          <w:ilvl w:val="0"/>
          <w:numId w:val="7"/>
        </w:numPr>
        <w:spacing w:line="360" w:lineRule="auto"/>
        <w:jc w:val="both"/>
        <w:rPr>
          <w:rFonts w:ascii="Arial" w:hAnsi="Arial" w:cs="Arial"/>
          <w:sz w:val="20"/>
          <w:szCs w:val="20"/>
        </w:rPr>
      </w:pPr>
      <w:r w:rsidRPr="00C42EF1">
        <w:rPr>
          <w:rFonts w:ascii="Arial" w:hAnsi="Arial" w:cs="Arial"/>
          <w:sz w:val="20"/>
          <w:szCs w:val="20"/>
        </w:rPr>
        <w:t xml:space="preserve">Forest </w:t>
      </w:r>
      <w:r w:rsidR="00C977E0">
        <w:rPr>
          <w:rFonts w:ascii="Arial" w:hAnsi="Arial" w:cs="Arial"/>
          <w:sz w:val="20"/>
          <w:szCs w:val="20"/>
        </w:rPr>
        <w:t>Survey of India</w:t>
      </w:r>
      <w:r w:rsidRPr="00C42EF1">
        <w:rPr>
          <w:rFonts w:ascii="Arial" w:hAnsi="Arial" w:cs="Arial"/>
          <w:sz w:val="20"/>
          <w:szCs w:val="20"/>
        </w:rPr>
        <w:t>. Forest Survey of India. Government of India.</w:t>
      </w:r>
    </w:p>
    <w:p w14:paraId="64B24680" w14:textId="77777777" w:rsidR="00621616" w:rsidRPr="00C42EF1" w:rsidRDefault="00621616" w:rsidP="00621616">
      <w:pPr>
        <w:pStyle w:val="ListParagraph"/>
        <w:numPr>
          <w:ilvl w:val="0"/>
          <w:numId w:val="7"/>
        </w:numPr>
        <w:spacing w:before="100" w:beforeAutospacing="1" w:after="100" w:afterAutospacing="1" w:line="240" w:lineRule="auto"/>
        <w:rPr>
          <w:rFonts w:ascii="Arial" w:eastAsia="Times New Roman" w:hAnsi="Arial" w:cs="Arial"/>
          <w:sz w:val="20"/>
          <w:szCs w:val="20"/>
        </w:rPr>
      </w:pPr>
      <w:r w:rsidRPr="00C42EF1">
        <w:rPr>
          <w:rFonts w:ascii="Arial" w:eastAsia="Times New Roman" w:hAnsi="Arial" w:cs="Arial"/>
          <w:sz w:val="20"/>
          <w:szCs w:val="20"/>
        </w:rPr>
        <w:t xml:space="preserve">Tourism Statistics. (2018). </w:t>
      </w:r>
      <w:r w:rsidRPr="00C42EF1">
        <w:rPr>
          <w:rFonts w:ascii="Arial" w:eastAsia="Times New Roman" w:hAnsi="Arial" w:cs="Arial"/>
          <w:i/>
          <w:iCs/>
          <w:sz w:val="20"/>
          <w:szCs w:val="20"/>
        </w:rPr>
        <w:t>Tourism statistics 2018</w:t>
      </w:r>
      <w:r w:rsidRPr="00C42EF1">
        <w:rPr>
          <w:rFonts w:ascii="Arial" w:eastAsia="Times New Roman" w:hAnsi="Arial" w:cs="Arial"/>
          <w:sz w:val="20"/>
          <w:szCs w:val="20"/>
        </w:rPr>
        <w:t>. Ministry of Tourism, Government of India.</w:t>
      </w:r>
    </w:p>
    <w:p w14:paraId="26478327" w14:textId="77777777" w:rsidR="003A0839" w:rsidRPr="00C42EF1" w:rsidRDefault="003A0839" w:rsidP="003A0839">
      <w:pPr>
        <w:pStyle w:val="ListParagraph"/>
        <w:spacing w:before="100" w:beforeAutospacing="1" w:after="100" w:afterAutospacing="1" w:line="240" w:lineRule="auto"/>
        <w:rPr>
          <w:rFonts w:ascii="Arial" w:eastAsia="Times New Roman" w:hAnsi="Arial" w:cs="Arial"/>
          <w:sz w:val="20"/>
          <w:szCs w:val="20"/>
        </w:rPr>
      </w:pPr>
    </w:p>
    <w:p w14:paraId="207F432A" w14:textId="6D5C3AF5" w:rsidR="00621616" w:rsidRDefault="00621616" w:rsidP="00621616">
      <w:pPr>
        <w:pStyle w:val="ListParagraph"/>
        <w:numPr>
          <w:ilvl w:val="0"/>
          <w:numId w:val="7"/>
        </w:numPr>
        <w:spacing w:before="100" w:beforeAutospacing="1" w:after="100" w:afterAutospacing="1" w:line="240" w:lineRule="auto"/>
        <w:rPr>
          <w:rFonts w:ascii="Arial" w:eastAsia="Times New Roman" w:hAnsi="Arial" w:cs="Arial"/>
          <w:sz w:val="20"/>
          <w:szCs w:val="20"/>
        </w:rPr>
      </w:pPr>
      <w:r w:rsidRPr="00C42EF1">
        <w:rPr>
          <w:rFonts w:ascii="Arial" w:eastAsia="Times New Roman" w:hAnsi="Arial" w:cs="Arial"/>
          <w:sz w:val="20"/>
          <w:szCs w:val="20"/>
        </w:rPr>
        <w:t xml:space="preserve">Census of India. (2011). </w:t>
      </w:r>
      <w:r w:rsidRPr="00C42EF1">
        <w:rPr>
          <w:rFonts w:ascii="Arial" w:eastAsia="Times New Roman" w:hAnsi="Arial" w:cs="Arial"/>
          <w:i/>
          <w:iCs/>
          <w:sz w:val="20"/>
          <w:szCs w:val="20"/>
        </w:rPr>
        <w:t>Census of India 2011</w:t>
      </w:r>
      <w:r w:rsidRPr="00C42EF1">
        <w:rPr>
          <w:rFonts w:ascii="Arial" w:eastAsia="Times New Roman" w:hAnsi="Arial" w:cs="Arial"/>
          <w:sz w:val="20"/>
          <w:szCs w:val="20"/>
        </w:rPr>
        <w:t>. Office of the Registrar General and Census Commissioner, Government of India.</w:t>
      </w:r>
    </w:p>
    <w:p w14:paraId="15E8FAD5" w14:textId="77777777" w:rsidR="00D0383D" w:rsidRPr="00D0383D" w:rsidRDefault="00D0383D" w:rsidP="00D0383D">
      <w:pPr>
        <w:pStyle w:val="ListParagraph"/>
        <w:rPr>
          <w:rFonts w:ascii="Arial" w:eastAsia="Times New Roman" w:hAnsi="Arial" w:cs="Arial"/>
          <w:sz w:val="20"/>
          <w:szCs w:val="20"/>
        </w:rPr>
      </w:pPr>
    </w:p>
    <w:p w14:paraId="25691417" w14:textId="77777777" w:rsidR="00000691" w:rsidRPr="001F5F6B" w:rsidRDefault="00D0383D" w:rsidP="00000691">
      <w:pPr>
        <w:pStyle w:val="ListParagraph"/>
        <w:numPr>
          <w:ilvl w:val="0"/>
          <w:numId w:val="7"/>
        </w:numPr>
        <w:jc w:val="both"/>
        <w:rPr>
          <w:rFonts w:ascii="Arial" w:hAnsi="Arial" w:cs="Arial"/>
          <w:sz w:val="20"/>
          <w:szCs w:val="20"/>
          <w:lang w:val="en-GB"/>
        </w:rPr>
      </w:pPr>
      <w:r w:rsidRPr="001F5F6B">
        <w:rPr>
          <w:rFonts w:ascii="Arial" w:hAnsi="Arial" w:cs="Arial"/>
          <w:sz w:val="20"/>
          <w:szCs w:val="20"/>
          <w:lang w:val="en-GB"/>
        </w:rPr>
        <w:t xml:space="preserve">Kaganga, L. S., &amp; </w:t>
      </w:r>
      <w:proofErr w:type="spellStart"/>
      <w:proofErr w:type="gramStart"/>
      <w:r w:rsidRPr="001F5F6B">
        <w:rPr>
          <w:rFonts w:ascii="Arial" w:hAnsi="Arial" w:cs="Arial"/>
          <w:sz w:val="20"/>
          <w:szCs w:val="20"/>
          <w:lang w:val="en-GB"/>
        </w:rPr>
        <w:t>Ngogo</w:t>
      </w:r>
      <w:proofErr w:type="spellEnd"/>
      <w:r w:rsidRPr="001F5F6B">
        <w:rPr>
          <w:rFonts w:ascii="Arial" w:hAnsi="Arial" w:cs="Arial"/>
          <w:sz w:val="20"/>
          <w:szCs w:val="20"/>
          <w:lang w:val="en-GB"/>
        </w:rPr>
        <w:t xml:space="preserve"> ,</w:t>
      </w:r>
      <w:proofErr w:type="gramEnd"/>
      <w:r w:rsidRPr="001F5F6B">
        <w:rPr>
          <w:rFonts w:ascii="Arial" w:hAnsi="Arial" w:cs="Arial"/>
          <w:sz w:val="20"/>
          <w:szCs w:val="20"/>
          <w:lang w:val="en-GB"/>
        </w:rPr>
        <w:t xml:space="preserve"> N. M. (2024). Impact of Land Use and Land Cover Changes on Ecosystem Services Value in Mwanza City, Tanzania. Asian Journal of Environment &amp; Ecology, 23(5), 30–40. </w:t>
      </w:r>
      <w:hyperlink r:id="rId15" w:history="1">
        <w:r w:rsidR="00000691" w:rsidRPr="001F5F6B">
          <w:rPr>
            <w:rStyle w:val="Hyperlink"/>
            <w:rFonts w:ascii="Arial" w:hAnsi="Arial" w:cs="Arial"/>
            <w:sz w:val="20"/>
            <w:szCs w:val="20"/>
            <w:lang w:val="en-GB"/>
          </w:rPr>
          <w:t>https://doi.org/10.9734/ajee/2024/v23i5545</w:t>
        </w:r>
      </w:hyperlink>
      <w:r w:rsidRPr="001F5F6B">
        <w:rPr>
          <w:rFonts w:ascii="Arial" w:hAnsi="Arial" w:cs="Arial"/>
          <w:sz w:val="20"/>
          <w:szCs w:val="20"/>
          <w:lang w:val="en-GB"/>
        </w:rPr>
        <w:t>.</w:t>
      </w:r>
    </w:p>
    <w:p w14:paraId="4B34870E" w14:textId="77777777" w:rsidR="00000691" w:rsidRPr="00000691" w:rsidRDefault="00000691" w:rsidP="00000691">
      <w:pPr>
        <w:pStyle w:val="ListParagraph"/>
        <w:rPr>
          <w:rFonts w:ascii="Arial" w:hAnsi="Arial" w:cs="Arial"/>
          <w:sz w:val="20"/>
          <w:szCs w:val="20"/>
        </w:rPr>
      </w:pPr>
    </w:p>
    <w:p w14:paraId="1BD2CD40" w14:textId="4E925ADC" w:rsidR="00406C5C" w:rsidRPr="00406C5C" w:rsidRDefault="00000691" w:rsidP="00406C5C">
      <w:pPr>
        <w:pStyle w:val="ListParagraph"/>
        <w:numPr>
          <w:ilvl w:val="0"/>
          <w:numId w:val="7"/>
        </w:numPr>
        <w:jc w:val="both"/>
        <w:rPr>
          <w:rStyle w:val="title-text"/>
          <w:rFonts w:ascii="Arial" w:hAnsi="Arial" w:cs="Arial"/>
          <w:sz w:val="20"/>
          <w:szCs w:val="20"/>
          <w:lang w:val="en-GB"/>
        </w:rPr>
      </w:pPr>
      <w:r w:rsidRPr="00000691">
        <w:rPr>
          <w:rFonts w:ascii="Arial" w:hAnsi="Arial" w:cs="Arial"/>
          <w:sz w:val="20"/>
          <w:szCs w:val="20"/>
        </w:rPr>
        <w:t xml:space="preserve">Rawat, J. S., and Kumar, M. (2015). </w:t>
      </w:r>
      <w:r w:rsidRPr="00000691">
        <w:rPr>
          <w:rStyle w:val="title-text"/>
          <w:rFonts w:ascii="Arial" w:hAnsi="Arial" w:cs="Arial"/>
          <w:color w:val="1F1F1F"/>
          <w:sz w:val="20"/>
          <w:szCs w:val="20"/>
        </w:rPr>
        <w:t xml:space="preserve">Monitoring land use/cover change using remote sensing and GIS techniques: A case study of </w:t>
      </w:r>
      <w:proofErr w:type="spellStart"/>
      <w:r w:rsidRPr="00000691">
        <w:rPr>
          <w:rStyle w:val="title-text"/>
          <w:rFonts w:ascii="Arial" w:hAnsi="Arial" w:cs="Arial"/>
          <w:color w:val="1F1F1F"/>
          <w:sz w:val="20"/>
          <w:szCs w:val="20"/>
        </w:rPr>
        <w:t>Hawalbagh</w:t>
      </w:r>
      <w:proofErr w:type="spellEnd"/>
      <w:r w:rsidRPr="00000691">
        <w:rPr>
          <w:rStyle w:val="title-text"/>
          <w:rFonts w:ascii="Arial" w:hAnsi="Arial" w:cs="Arial"/>
          <w:color w:val="1F1F1F"/>
          <w:sz w:val="20"/>
          <w:szCs w:val="20"/>
        </w:rPr>
        <w:t xml:space="preserve"> block, district </w:t>
      </w:r>
      <w:proofErr w:type="spellStart"/>
      <w:r w:rsidRPr="00000691">
        <w:rPr>
          <w:rStyle w:val="title-text"/>
          <w:rFonts w:ascii="Arial" w:hAnsi="Arial" w:cs="Arial"/>
          <w:color w:val="1F1F1F"/>
          <w:sz w:val="20"/>
          <w:szCs w:val="20"/>
        </w:rPr>
        <w:t>Almora</w:t>
      </w:r>
      <w:proofErr w:type="spellEnd"/>
      <w:r w:rsidRPr="00000691">
        <w:rPr>
          <w:rStyle w:val="title-text"/>
          <w:rFonts w:ascii="Arial" w:hAnsi="Arial" w:cs="Arial"/>
          <w:color w:val="1F1F1F"/>
          <w:sz w:val="20"/>
          <w:szCs w:val="20"/>
        </w:rPr>
        <w:t>, Uttarakhand, India</w:t>
      </w:r>
      <w:r w:rsidR="001F5F6B">
        <w:rPr>
          <w:rStyle w:val="title-text"/>
          <w:rFonts w:ascii="Arial" w:hAnsi="Arial" w:cs="Arial"/>
          <w:color w:val="1F1F1F"/>
          <w:sz w:val="20"/>
          <w:szCs w:val="20"/>
        </w:rPr>
        <w:t>. The Egyptian Journal of Remote Sensing and Space Science, 18(1), 77-84.</w:t>
      </w:r>
    </w:p>
    <w:p w14:paraId="0118D08B" w14:textId="77777777" w:rsidR="00406C5C" w:rsidRPr="00406C5C" w:rsidRDefault="00406C5C" w:rsidP="00406C5C">
      <w:pPr>
        <w:pStyle w:val="ListParagraph"/>
        <w:rPr>
          <w:rFonts w:ascii="Arial" w:hAnsi="Arial" w:cs="Arial"/>
          <w:bCs/>
          <w:sz w:val="20"/>
          <w:szCs w:val="20"/>
          <w:shd w:val="clear" w:color="auto" w:fill="FFFFFF"/>
        </w:rPr>
      </w:pPr>
    </w:p>
    <w:p w14:paraId="5136AA9C" w14:textId="0A741E8B" w:rsidR="00406C5C" w:rsidRPr="00406C5C" w:rsidRDefault="00406C5C" w:rsidP="00406C5C">
      <w:pPr>
        <w:pStyle w:val="ListParagraph"/>
        <w:numPr>
          <w:ilvl w:val="0"/>
          <w:numId w:val="7"/>
        </w:numPr>
        <w:jc w:val="both"/>
        <w:rPr>
          <w:rFonts w:ascii="Arial" w:hAnsi="Arial" w:cs="Arial"/>
          <w:sz w:val="20"/>
          <w:szCs w:val="20"/>
          <w:lang w:val="en-GB"/>
        </w:rPr>
      </w:pPr>
      <w:proofErr w:type="spellStart"/>
      <w:r w:rsidRPr="00406C5C">
        <w:rPr>
          <w:rFonts w:ascii="Arial" w:hAnsi="Arial" w:cs="Arial"/>
          <w:bCs/>
          <w:sz w:val="20"/>
          <w:szCs w:val="20"/>
          <w:shd w:val="clear" w:color="auto" w:fill="FFFFFF"/>
        </w:rPr>
        <w:t>Faruk</w:t>
      </w:r>
      <w:proofErr w:type="spellEnd"/>
      <w:r w:rsidRPr="00406C5C">
        <w:rPr>
          <w:rFonts w:ascii="Arial" w:hAnsi="Arial" w:cs="Arial"/>
          <w:bCs/>
          <w:sz w:val="20"/>
          <w:szCs w:val="20"/>
          <w:shd w:val="clear" w:color="auto" w:fill="FFFFFF"/>
        </w:rPr>
        <w:t xml:space="preserve">, B. U., and </w:t>
      </w:r>
      <w:proofErr w:type="spellStart"/>
      <w:r w:rsidRPr="00406C5C">
        <w:rPr>
          <w:rFonts w:ascii="Arial" w:hAnsi="Arial" w:cs="Arial"/>
          <w:bCs/>
          <w:sz w:val="20"/>
          <w:szCs w:val="20"/>
          <w:shd w:val="clear" w:color="auto" w:fill="FFFFFF"/>
        </w:rPr>
        <w:t>Akpu</w:t>
      </w:r>
      <w:proofErr w:type="spellEnd"/>
      <w:r w:rsidRPr="00406C5C">
        <w:rPr>
          <w:rFonts w:ascii="Arial" w:hAnsi="Arial" w:cs="Arial"/>
          <w:bCs/>
          <w:sz w:val="20"/>
          <w:szCs w:val="20"/>
          <w:shd w:val="clear" w:color="auto" w:fill="FFFFFF"/>
        </w:rPr>
        <w:t xml:space="preserve">, B. (2022). </w:t>
      </w:r>
      <w:r w:rsidRPr="00406C5C">
        <w:rPr>
          <w:rFonts w:ascii="Arial" w:hAnsi="Arial" w:cs="Arial"/>
          <w:sz w:val="20"/>
          <w:szCs w:val="20"/>
        </w:rPr>
        <w:t xml:space="preserve">Geospatial Analysis of the </w:t>
      </w:r>
      <w:proofErr w:type="spellStart"/>
      <w:r w:rsidRPr="00406C5C">
        <w:rPr>
          <w:rFonts w:ascii="Arial" w:hAnsi="Arial" w:cs="Arial"/>
          <w:sz w:val="20"/>
          <w:szCs w:val="20"/>
        </w:rPr>
        <w:t>Spatio</w:t>
      </w:r>
      <w:proofErr w:type="spellEnd"/>
      <w:r w:rsidRPr="00406C5C">
        <w:rPr>
          <w:rFonts w:ascii="Arial" w:hAnsi="Arial" w:cs="Arial"/>
          <w:sz w:val="20"/>
          <w:szCs w:val="20"/>
        </w:rPr>
        <w:t xml:space="preserve"> -Temporal Growth of </w:t>
      </w:r>
      <w:proofErr w:type="spellStart"/>
      <w:r w:rsidRPr="00406C5C">
        <w:rPr>
          <w:rFonts w:ascii="Arial" w:hAnsi="Arial" w:cs="Arial"/>
          <w:sz w:val="20"/>
          <w:szCs w:val="20"/>
        </w:rPr>
        <w:t>Kwali</w:t>
      </w:r>
      <w:proofErr w:type="spellEnd"/>
      <w:r w:rsidRPr="00406C5C">
        <w:rPr>
          <w:rFonts w:ascii="Arial" w:hAnsi="Arial" w:cs="Arial"/>
          <w:sz w:val="20"/>
          <w:szCs w:val="20"/>
        </w:rPr>
        <w:t xml:space="preserve"> Area Council, Federal Capital Territory, Abuja, 1(1), 7-14.</w:t>
      </w:r>
    </w:p>
    <w:p w14:paraId="34CD58AF" w14:textId="1665F2B5" w:rsidR="00406C5C" w:rsidRPr="00000691" w:rsidRDefault="00406C5C" w:rsidP="00406C5C">
      <w:pPr>
        <w:pStyle w:val="ListParagraph"/>
        <w:jc w:val="both"/>
        <w:rPr>
          <w:rFonts w:ascii="Arial" w:hAnsi="Arial" w:cs="Arial"/>
          <w:sz w:val="20"/>
          <w:szCs w:val="20"/>
          <w:lang w:val="en-GB"/>
        </w:rPr>
      </w:pPr>
    </w:p>
    <w:p w14:paraId="064EBE58" w14:textId="0129ABC6" w:rsidR="00D0383D" w:rsidRPr="00000691" w:rsidRDefault="00D0383D" w:rsidP="00000691">
      <w:pPr>
        <w:pStyle w:val="ListParagraph"/>
        <w:jc w:val="both"/>
        <w:rPr>
          <w:rFonts w:ascii="Arial" w:hAnsi="Arial" w:cs="Arial"/>
          <w:sz w:val="20"/>
          <w:szCs w:val="20"/>
          <w:lang w:val="en-GB"/>
        </w:rPr>
      </w:pPr>
    </w:p>
    <w:p w14:paraId="4D406D7C" w14:textId="77777777" w:rsidR="00621616" w:rsidRPr="00C42EF1" w:rsidRDefault="00621616" w:rsidP="003A0839">
      <w:pPr>
        <w:pStyle w:val="ListParagraph"/>
        <w:spacing w:line="360" w:lineRule="auto"/>
        <w:jc w:val="both"/>
        <w:rPr>
          <w:rFonts w:ascii="Arial" w:hAnsi="Arial" w:cs="Arial"/>
          <w:sz w:val="20"/>
          <w:szCs w:val="20"/>
        </w:rPr>
      </w:pPr>
    </w:p>
    <w:p w14:paraId="3BB515F9" w14:textId="77777777" w:rsidR="005057F4" w:rsidRPr="005057F4" w:rsidRDefault="005057F4" w:rsidP="005057F4">
      <w:pPr>
        <w:spacing w:line="360" w:lineRule="auto"/>
        <w:ind w:left="408"/>
        <w:jc w:val="both"/>
        <w:rPr>
          <w:rFonts w:ascii="Times New Roman" w:hAnsi="Times New Roman" w:cs="Times New Roman"/>
          <w:sz w:val="20"/>
          <w:szCs w:val="20"/>
        </w:rPr>
      </w:pPr>
    </w:p>
    <w:sectPr w:rsidR="005057F4" w:rsidRPr="005057F4">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F1CCE6" w14:textId="77777777" w:rsidR="00DA5D8E" w:rsidRDefault="00DA5D8E" w:rsidP="00C63182">
      <w:pPr>
        <w:spacing w:after="0" w:line="240" w:lineRule="auto"/>
      </w:pPr>
      <w:r>
        <w:separator/>
      </w:r>
    </w:p>
  </w:endnote>
  <w:endnote w:type="continuationSeparator" w:id="0">
    <w:p w14:paraId="00CA1638" w14:textId="77777777" w:rsidR="00DA5D8E" w:rsidRDefault="00DA5D8E" w:rsidP="00C63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D98B0" w14:textId="77777777" w:rsidR="00C63182" w:rsidRDefault="00C6318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8FFD3" w14:textId="77777777" w:rsidR="00C63182" w:rsidRDefault="00C6318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D8446" w14:textId="77777777" w:rsidR="00C63182" w:rsidRDefault="00C631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3AB58C" w14:textId="77777777" w:rsidR="00DA5D8E" w:rsidRDefault="00DA5D8E" w:rsidP="00C63182">
      <w:pPr>
        <w:spacing w:after="0" w:line="240" w:lineRule="auto"/>
      </w:pPr>
      <w:r>
        <w:separator/>
      </w:r>
    </w:p>
  </w:footnote>
  <w:footnote w:type="continuationSeparator" w:id="0">
    <w:p w14:paraId="5C575B18" w14:textId="77777777" w:rsidR="00DA5D8E" w:rsidRDefault="00DA5D8E" w:rsidP="00C631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D4148" w14:textId="45432439" w:rsidR="00C63182" w:rsidRDefault="00DA5D8E">
    <w:pPr>
      <w:pStyle w:val="Header"/>
    </w:pPr>
    <w:r>
      <w:rPr>
        <w:noProof/>
      </w:rPr>
      <w:pict w14:anchorId="04F85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93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FDC7C" w14:textId="527029E2" w:rsidR="00C63182" w:rsidRDefault="00DA5D8E">
    <w:pPr>
      <w:pStyle w:val="Header"/>
    </w:pPr>
    <w:r>
      <w:rPr>
        <w:noProof/>
      </w:rPr>
      <w:pict w14:anchorId="5F3A16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93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B948" w14:textId="60B2882C" w:rsidR="00C63182" w:rsidRDefault="00DA5D8E">
    <w:pPr>
      <w:pStyle w:val="Header"/>
    </w:pPr>
    <w:r>
      <w:rPr>
        <w:noProof/>
      </w:rPr>
      <w:pict w14:anchorId="087A8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93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2637"/>
    <w:multiLevelType w:val="hybridMultilevel"/>
    <w:tmpl w:val="81FA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6F3FD6"/>
    <w:multiLevelType w:val="hybridMultilevel"/>
    <w:tmpl w:val="127EDAA8"/>
    <w:lvl w:ilvl="0" w:tplc="56E6208C">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15:restartNumberingAfterBreak="0">
    <w:nsid w:val="1E7E774C"/>
    <w:multiLevelType w:val="hybridMultilevel"/>
    <w:tmpl w:val="C6345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0444EE4"/>
    <w:multiLevelType w:val="hybridMultilevel"/>
    <w:tmpl w:val="ADA4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A27FD6"/>
    <w:multiLevelType w:val="hybridMultilevel"/>
    <w:tmpl w:val="FAC26F66"/>
    <w:lvl w:ilvl="0" w:tplc="CFEC3BC2">
      <w:start w:val="1"/>
      <w:numFmt w:val="upperLetter"/>
      <w:lvlText w:val="%1."/>
      <w:lvlJc w:val="left"/>
      <w:pPr>
        <w:ind w:left="744" w:hanging="384"/>
      </w:pPr>
      <w:rPr>
        <w:rFonts w:ascii="Arial" w:hAnsi="Arial" w:cs="Arial" w:hint="default"/>
        <w:b w:val="0"/>
        <w:sz w:val="4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CB0D55"/>
    <w:multiLevelType w:val="multilevel"/>
    <w:tmpl w:val="362A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862172"/>
    <w:multiLevelType w:val="hybridMultilevel"/>
    <w:tmpl w:val="8EE2D98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CE7"/>
    <w:rsid w:val="00000691"/>
    <w:rsid w:val="00016E0C"/>
    <w:rsid w:val="00084FCB"/>
    <w:rsid w:val="000B2733"/>
    <w:rsid w:val="0011184A"/>
    <w:rsid w:val="00155BE5"/>
    <w:rsid w:val="00191B22"/>
    <w:rsid w:val="001C151A"/>
    <w:rsid w:val="001D45C3"/>
    <w:rsid w:val="001F5F6B"/>
    <w:rsid w:val="001F61A1"/>
    <w:rsid w:val="001F6383"/>
    <w:rsid w:val="002134ED"/>
    <w:rsid w:val="00223422"/>
    <w:rsid w:val="00230B71"/>
    <w:rsid w:val="00234264"/>
    <w:rsid w:val="00253804"/>
    <w:rsid w:val="00253C8C"/>
    <w:rsid w:val="00267C00"/>
    <w:rsid w:val="002757F1"/>
    <w:rsid w:val="00277292"/>
    <w:rsid w:val="00280B68"/>
    <w:rsid w:val="002955DA"/>
    <w:rsid w:val="002A7918"/>
    <w:rsid w:val="00346D71"/>
    <w:rsid w:val="00361BE7"/>
    <w:rsid w:val="00372ECB"/>
    <w:rsid w:val="00394930"/>
    <w:rsid w:val="003A0839"/>
    <w:rsid w:val="003A34B2"/>
    <w:rsid w:val="003C0577"/>
    <w:rsid w:val="003C4CE7"/>
    <w:rsid w:val="003C7042"/>
    <w:rsid w:val="00406C5C"/>
    <w:rsid w:val="004359A1"/>
    <w:rsid w:val="004B295D"/>
    <w:rsid w:val="005057F4"/>
    <w:rsid w:val="005221C9"/>
    <w:rsid w:val="00533895"/>
    <w:rsid w:val="00535B89"/>
    <w:rsid w:val="005417B8"/>
    <w:rsid w:val="00556A96"/>
    <w:rsid w:val="00562262"/>
    <w:rsid w:val="00562EB3"/>
    <w:rsid w:val="00570FDD"/>
    <w:rsid w:val="005B1D00"/>
    <w:rsid w:val="005B7A14"/>
    <w:rsid w:val="00602B1B"/>
    <w:rsid w:val="00621616"/>
    <w:rsid w:val="00635D1A"/>
    <w:rsid w:val="00657136"/>
    <w:rsid w:val="0068730C"/>
    <w:rsid w:val="006A2EB8"/>
    <w:rsid w:val="006A64DA"/>
    <w:rsid w:val="006D2115"/>
    <w:rsid w:val="00721B4B"/>
    <w:rsid w:val="007B4C24"/>
    <w:rsid w:val="00822C41"/>
    <w:rsid w:val="00883A89"/>
    <w:rsid w:val="008B5F4C"/>
    <w:rsid w:val="00913BB8"/>
    <w:rsid w:val="009244C8"/>
    <w:rsid w:val="00950D67"/>
    <w:rsid w:val="009775CD"/>
    <w:rsid w:val="0098291A"/>
    <w:rsid w:val="00985F3B"/>
    <w:rsid w:val="009D6DE7"/>
    <w:rsid w:val="009E60B2"/>
    <w:rsid w:val="00A50915"/>
    <w:rsid w:val="00AA07C9"/>
    <w:rsid w:val="00AB066A"/>
    <w:rsid w:val="00AB4B8B"/>
    <w:rsid w:val="00B038D3"/>
    <w:rsid w:val="00B13CF0"/>
    <w:rsid w:val="00B5570C"/>
    <w:rsid w:val="00B614DE"/>
    <w:rsid w:val="00B6742D"/>
    <w:rsid w:val="00B766F5"/>
    <w:rsid w:val="00B814F9"/>
    <w:rsid w:val="00B84300"/>
    <w:rsid w:val="00BD1D46"/>
    <w:rsid w:val="00BD7E52"/>
    <w:rsid w:val="00BF6132"/>
    <w:rsid w:val="00C42EF1"/>
    <w:rsid w:val="00C63182"/>
    <w:rsid w:val="00C977E0"/>
    <w:rsid w:val="00CE3556"/>
    <w:rsid w:val="00CF356C"/>
    <w:rsid w:val="00D0383D"/>
    <w:rsid w:val="00D727EC"/>
    <w:rsid w:val="00D8269E"/>
    <w:rsid w:val="00DA5D8E"/>
    <w:rsid w:val="00E1496F"/>
    <w:rsid w:val="00E35610"/>
    <w:rsid w:val="00E86567"/>
    <w:rsid w:val="00EA7048"/>
    <w:rsid w:val="00EB02AD"/>
    <w:rsid w:val="00EE02C7"/>
    <w:rsid w:val="00EE4B75"/>
    <w:rsid w:val="00F03AC1"/>
    <w:rsid w:val="00F127E7"/>
    <w:rsid w:val="00FC4AA8"/>
    <w:rsid w:val="00FD0D38"/>
    <w:rsid w:val="00FD3944"/>
    <w:rsid w:val="00FD5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E61E86D"/>
  <w15:chartTrackingRefBased/>
  <w15:docId w15:val="{228E4402-45B7-4D18-97CA-141128BCF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006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61B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127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0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F03AC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6A64D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A64DA"/>
    <w:rPr>
      <w:b/>
      <w:bCs/>
    </w:rPr>
  </w:style>
  <w:style w:type="character" w:customStyle="1" w:styleId="Heading2Char">
    <w:name w:val="Heading 2 Char"/>
    <w:basedOn w:val="DefaultParagraphFont"/>
    <w:link w:val="Heading2"/>
    <w:uiPriority w:val="9"/>
    <w:rsid w:val="00361BE7"/>
    <w:rPr>
      <w:rFonts w:ascii="Times New Roman" w:eastAsia="Times New Roman" w:hAnsi="Times New Roman" w:cs="Times New Roman"/>
      <w:b/>
      <w:bCs/>
      <w:sz w:val="36"/>
      <w:szCs w:val="36"/>
    </w:rPr>
  </w:style>
  <w:style w:type="paragraph" w:styleId="ListParagraph">
    <w:name w:val="List Paragraph"/>
    <w:basedOn w:val="Normal"/>
    <w:uiPriority w:val="34"/>
    <w:qFormat/>
    <w:rsid w:val="00361BE7"/>
    <w:pPr>
      <w:ind w:left="720"/>
      <w:contextualSpacing/>
    </w:pPr>
  </w:style>
  <w:style w:type="character" w:styleId="Hyperlink">
    <w:name w:val="Hyperlink"/>
    <w:basedOn w:val="DefaultParagraphFont"/>
    <w:uiPriority w:val="99"/>
    <w:unhideWhenUsed/>
    <w:rsid w:val="00267C00"/>
    <w:rPr>
      <w:color w:val="0000FF"/>
      <w:u w:val="single"/>
    </w:rPr>
  </w:style>
  <w:style w:type="character" w:customStyle="1" w:styleId="Heading3Char">
    <w:name w:val="Heading 3 Char"/>
    <w:basedOn w:val="DefaultParagraphFont"/>
    <w:link w:val="Heading3"/>
    <w:uiPriority w:val="9"/>
    <w:semiHidden/>
    <w:rsid w:val="00F127E7"/>
    <w:rPr>
      <w:rFonts w:asciiTheme="majorHAnsi" w:eastAsiaTheme="majorEastAsia" w:hAnsiTheme="majorHAnsi" w:cstheme="majorBidi"/>
      <w:color w:val="1F4D78" w:themeColor="accent1" w:themeShade="7F"/>
      <w:sz w:val="24"/>
      <w:szCs w:val="24"/>
    </w:rPr>
  </w:style>
  <w:style w:type="paragraph" w:customStyle="1" w:styleId="TableParagraph">
    <w:name w:val="Table Paragraph"/>
    <w:basedOn w:val="Normal"/>
    <w:uiPriority w:val="1"/>
    <w:qFormat/>
    <w:rsid w:val="005417B8"/>
    <w:pPr>
      <w:widowControl w:val="0"/>
      <w:autoSpaceDE w:val="0"/>
      <w:autoSpaceDN w:val="0"/>
      <w:spacing w:before="156" w:after="0" w:line="240" w:lineRule="auto"/>
    </w:pPr>
    <w:rPr>
      <w:rFonts w:ascii="Times New Roman" w:eastAsia="Times New Roman" w:hAnsi="Times New Roman" w:cs="Times New Roman"/>
    </w:rPr>
  </w:style>
  <w:style w:type="paragraph" w:customStyle="1" w:styleId="Default">
    <w:name w:val="Default"/>
    <w:rsid w:val="005057F4"/>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621616"/>
    <w:rPr>
      <w:i/>
      <w:iCs/>
    </w:rPr>
  </w:style>
  <w:style w:type="character" w:customStyle="1" w:styleId="UnresolvedMention">
    <w:name w:val="Unresolved Mention"/>
    <w:basedOn w:val="DefaultParagraphFont"/>
    <w:uiPriority w:val="99"/>
    <w:semiHidden/>
    <w:unhideWhenUsed/>
    <w:rsid w:val="00155BE5"/>
    <w:rPr>
      <w:color w:val="605E5C"/>
      <w:shd w:val="clear" w:color="auto" w:fill="E1DFDD"/>
    </w:rPr>
  </w:style>
  <w:style w:type="paragraph" w:styleId="Header">
    <w:name w:val="header"/>
    <w:basedOn w:val="Normal"/>
    <w:link w:val="HeaderChar"/>
    <w:uiPriority w:val="99"/>
    <w:unhideWhenUsed/>
    <w:rsid w:val="00C63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182"/>
  </w:style>
  <w:style w:type="paragraph" w:styleId="Footer">
    <w:name w:val="footer"/>
    <w:basedOn w:val="Normal"/>
    <w:link w:val="FooterChar"/>
    <w:uiPriority w:val="99"/>
    <w:unhideWhenUsed/>
    <w:rsid w:val="00C63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182"/>
  </w:style>
  <w:style w:type="character" w:customStyle="1" w:styleId="Heading1Char">
    <w:name w:val="Heading 1 Char"/>
    <w:basedOn w:val="DefaultParagraphFont"/>
    <w:link w:val="Heading1"/>
    <w:uiPriority w:val="9"/>
    <w:rsid w:val="00000691"/>
    <w:rPr>
      <w:rFonts w:asciiTheme="majorHAnsi" w:eastAsiaTheme="majorEastAsia" w:hAnsiTheme="majorHAnsi" w:cstheme="majorBidi"/>
      <w:color w:val="2E74B5" w:themeColor="accent1" w:themeShade="BF"/>
      <w:sz w:val="32"/>
      <w:szCs w:val="32"/>
    </w:rPr>
  </w:style>
  <w:style w:type="character" w:customStyle="1" w:styleId="title-text">
    <w:name w:val="title-text"/>
    <w:basedOn w:val="DefaultParagraphFont"/>
    <w:rsid w:val="000006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44852">
      <w:bodyDiv w:val="1"/>
      <w:marLeft w:val="0"/>
      <w:marRight w:val="0"/>
      <w:marTop w:val="0"/>
      <w:marBottom w:val="0"/>
      <w:divBdr>
        <w:top w:val="none" w:sz="0" w:space="0" w:color="auto"/>
        <w:left w:val="none" w:sz="0" w:space="0" w:color="auto"/>
        <w:bottom w:val="none" w:sz="0" w:space="0" w:color="auto"/>
        <w:right w:val="none" w:sz="0" w:space="0" w:color="auto"/>
      </w:divBdr>
    </w:div>
    <w:div w:id="159663868">
      <w:bodyDiv w:val="1"/>
      <w:marLeft w:val="0"/>
      <w:marRight w:val="0"/>
      <w:marTop w:val="0"/>
      <w:marBottom w:val="0"/>
      <w:divBdr>
        <w:top w:val="none" w:sz="0" w:space="0" w:color="auto"/>
        <w:left w:val="none" w:sz="0" w:space="0" w:color="auto"/>
        <w:bottom w:val="none" w:sz="0" w:space="0" w:color="auto"/>
        <w:right w:val="none" w:sz="0" w:space="0" w:color="auto"/>
      </w:divBdr>
    </w:div>
    <w:div w:id="638537503">
      <w:bodyDiv w:val="1"/>
      <w:marLeft w:val="0"/>
      <w:marRight w:val="0"/>
      <w:marTop w:val="0"/>
      <w:marBottom w:val="0"/>
      <w:divBdr>
        <w:top w:val="none" w:sz="0" w:space="0" w:color="auto"/>
        <w:left w:val="none" w:sz="0" w:space="0" w:color="auto"/>
        <w:bottom w:val="none" w:sz="0" w:space="0" w:color="auto"/>
        <w:right w:val="none" w:sz="0" w:space="0" w:color="auto"/>
      </w:divBdr>
    </w:div>
    <w:div w:id="861553251">
      <w:bodyDiv w:val="1"/>
      <w:marLeft w:val="0"/>
      <w:marRight w:val="0"/>
      <w:marTop w:val="0"/>
      <w:marBottom w:val="0"/>
      <w:divBdr>
        <w:top w:val="none" w:sz="0" w:space="0" w:color="auto"/>
        <w:left w:val="none" w:sz="0" w:space="0" w:color="auto"/>
        <w:bottom w:val="none" w:sz="0" w:space="0" w:color="auto"/>
        <w:right w:val="none" w:sz="0" w:space="0" w:color="auto"/>
      </w:divBdr>
    </w:div>
    <w:div w:id="876699057">
      <w:bodyDiv w:val="1"/>
      <w:marLeft w:val="0"/>
      <w:marRight w:val="0"/>
      <w:marTop w:val="0"/>
      <w:marBottom w:val="0"/>
      <w:divBdr>
        <w:top w:val="none" w:sz="0" w:space="0" w:color="auto"/>
        <w:left w:val="none" w:sz="0" w:space="0" w:color="auto"/>
        <w:bottom w:val="none" w:sz="0" w:space="0" w:color="auto"/>
        <w:right w:val="none" w:sz="0" w:space="0" w:color="auto"/>
      </w:divBdr>
    </w:div>
    <w:div w:id="911934836">
      <w:bodyDiv w:val="1"/>
      <w:marLeft w:val="0"/>
      <w:marRight w:val="0"/>
      <w:marTop w:val="0"/>
      <w:marBottom w:val="0"/>
      <w:divBdr>
        <w:top w:val="none" w:sz="0" w:space="0" w:color="auto"/>
        <w:left w:val="none" w:sz="0" w:space="0" w:color="auto"/>
        <w:bottom w:val="none" w:sz="0" w:space="0" w:color="auto"/>
        <w:right w:val="none" w:sz="0" w:space="0" w:color="auto"/>
      </w:divBdr>
    </w:div>
    <w:div w:id="948315387">
      <w:bodyDiv w:val="1"/>
      <w:marLeft w:val="0"/>
      <w:marRight w:val="0"/>
      <w:marTop w:val="0"/>
      <w:marBottom w:val="0"/>
      <w:divBdr>
        <w:top w:val="none" w:sz="0" w:space="0" w:color="auto"/>
        <w:left w:val="none" w:sz="0" w:space="0" w:color="auto"/>
        <w:bottom w:val="none" w:sz="0" w:space="0" w:color="auto"/>
        <w:right w:val="none" w:sz="0" w:space="0" w:color="auto"/>
      </w:divBdr>
    </w:div>
    <w:div w:id="961182132">
      <w:bodyDiv w:val="1"/>
      <w:marLeft w:val="0"/>
      <w:marRight w:val="0"/>
      <w:marTop w:val="0"/>
      <w:marBottom w:val="0"/>
      <w:divBdr>
        <w:top w:val="none" w:sz="0" w:space="0" w:color="auto"/>
        <w:left w:val="none" w:sz="0" w:space="0" w:color="auto"/>
        <w:bottom w:val="none" w:sz="0" w:space="0" w:color="auto"/>
        <w:right w:val="none" w:sz="0" w:space="0" w:color="auto"/>
      </w:divBdr>
    </w:div>
    <w:div w:id="1045326681">
      <w:bodyDiv w:val="1"/>
      <w:marLeft w:val="0"/>
      <w:marRight w:val="0"/>
      <w:marTop w:val="0"/>
      <w:marBottom w:val="0"/>
      <w:divBdr>
        <w:top w:val="none" w:sz="0" w:space="0" w:color="auto"/>
        <w:left w:val="none" w:sz="0" w:space="0" w:color="auto"/>
        <w:bottom w:val="none" w:sz="0" w:space="0" w:color="auto"/>
        <w:right w:val="none" w:sz="0" w:space="0" w:color="auto"/>
      </w:divBdr>
    </w:div>
    <w:div w:id="1657147273">
      <w:bodyDiv w:val="1"/>
      <w:marLeft w:val="0"/>
      <w:marRight w:val="0"/>
      <w:marTop w:val="0"/>
      <w:marBottom w:val="0"/>
      <w:divBdr>
        <w:top w:val="none" w:sz="0" w:space="0" w:color="auto"/>
        <w:left w:val="none" w:sz="0" w:space="0" w:color="auto"/>
        <w:bottom w:val="none" w:sz="0" w:space="0" w:color="auto"/>
        <w:right w:val="none" w:sz="0" w:space="0" w:color="auto"/>
      </w:divBdr>
    </w:div>
    <w:div w:id="1867059453">
      <w:bodyDiv w:val="1"/>
      <w:marLeft w:val="0"/>
      <w:marRight w:val="0"/>
      <w:marTop w:val="0"/>
      <w:marBottom w:val="0"/>
      <w:divBdr>
        <w:top w:val="none" w:sz="0" w:space="0" w:color="auto"/>
        <w:left w:val="none" w:sz="0" w:space="0" w:color="auto"/>
        <w:bottom w:val="none" w:sz="0" w:space="0" w:color="auto"/>
        <w:right w:val="none" w:sz="0" w:space="0" w:color="auto"/>
      </w:divBdr>
    </w:div>
    <w:div w:id="197409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doi.org/10.9734/ajee/2024/v23i5545" TargetMode="Externa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OneDrive\Desktop\New%20Research%20Paper\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OneDrive\Desktop\New%20Research%20Paper\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OneDrive\Desktop\New%20Research%20Paper\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81714785651793"/>
          <c:y val="5.0925925925925923E-2"/>
          <c:w val="0.85662729658792647"/>
          <c:h val="0.78574803149606298"/>
        </c:manualLayout>
      </c:layout>
      <c:barChart>
        <c:barDir val="col"/>
        <c:grouping val="clustered"/>
        <c:varyColors val="0"/>
        <c:ser>
          <c:idx val="1"/>
          <c:order val="0"/>
          <c:tx>
            <c:strRef>
              <c:f>Sheet1!$B$1</c:f>
              <c:strCache>
                <c:ptCount val="1"/>
                <c:pt idx="0">
                  <c:v>Tourist (Cr)</c:v>
                </c:pt>
              </c:strCache>
            </c:strRef>
          </c:tx>
          <c:spPr>
            <a:solidFill>
              <a:schemeClr val="accent2"/>
            </a:solidFill>
            <a:ln>
              <a:noFill/>
            </a:ln>
            <a:effectLst/>
          </c:spPr>
          <c:invertIfNegative val="0"/>
          <c:cat>
            <c:numRef>
              <c:f>Sheet1!$A$2:$A$9</c:f>
              <c:numCache>
                <c:formatCode>General</c:formatCode>
                <c:ptCount val="8"/>
                <c:pt idx="0">
                  <c:v>2018</c:v>
                </c:pt>
                <c:pt idx="1">
                  <c:v>2019</c:v>
                </c:pt>
                <c:pt idx="2">
                  <c:v>2020</c:v>
                </c:pt>
                <c:pt idx="3">
                  <c:v>2021</c:v>
                </c:pt>
                <c:pt idx="4">
                  <c:v>2022</c:v>
                </c:pt>
                <c:pt idx="5">
                  <c:v>2023</c:v>
                </c:pt>
                <c:pt idx="6">
                  <c:v>2024</c:v>
                </c:pt>
                <c:pt idx="7">
                  <c:v>2025</c:v>
                </c:pt>
              </c:numCache>
            </c:numRef>
          </c:cat>
          <c:val>
            <c:numRef>
              <c:f>Sheet1!$B$2:$B$9</c:f>
              <c:numCache>
                <c:formatCode>General</c:formatCode>
                <c:ptCount val="8"/>
                <c:pt idx="0">
                  <c:v>3.68</c:v>
                </c:pt>
                <c:pt idx="1">
                  <c:v>3.92</c:v>
                </c:pt>
                <c:pt idx="2">
                  <c:v>0.78</c:v>
                </c:pt>
                <c:pt idx="3">
                  <c:v>1.56</c:v>
                </c:pt>
                <c:pt idx="4">
                  <c:v>4.18</c:v>
                </c:pt>
                <c:pt idx="5">
                  <c:v>4.46</c:v>
                </c:pt>
                <c:pt idx="6">
                  <c:v>4.76</c:v>
                </c:pt>
                <c:pt idx="7">
                  <c:v>5.08</c:v>
                </c:pt>
              </c:numCache>
            </c:numRef>
          </c:val>
          <c:extLst>
            <c:ext xmlns:c16="http://schemas.microsoft.com/office/drawing/2014/chart" uri="{C3380CC4-5D6E-409C-BE32-E72D297353CC}">
              <c16:uniqueId val="{00000000-4F6E-4428-9A7C-D6C29DE62C99}"/>
            </c:ext>
          </c:extLst>
        </c:ser>
        <c:dLbls>
          <c:showLegendKey val="0"/>
          <c:showVal val="0"/>
          <c:showCatName val="0"/>
          <c:showSerName val="0"/>
          <c:showPercent val="0"/>
          <c:showBubbleSize val="0"/>
        </c:dLbls>
        <c:gapWidth val="219"/>
        <c:overlap val="-27"/>
        <c:axId val="1993581759"/>
        <c:axId val="1993580927"/>
        <c:extLst>
          <c:ext xmlns:c15="http://schemas.microsoft.com/office/drawing/2012/chart" uri="{02D57815-91ED-43cb-92C2-25804820EDAC}">
            <c15:filteredBarSeries>
              <c15:ser>
                <c:idx val="3"/>
                <c:order val="1"/>
                <c:tx>
                  <c:v>Tourist (Cr)</c:v>
                </c:tx>
                <c:spPr>
                  <a:solidFill>
                    <a:schemeClr val="accent4"/>
                  </a:solidFill>
                  <a:ln>
                    <a:noFill/>
                  </a:ln>
                  <a:effectLst/>
                </c:spPr>
                <c:invertIfNegative val="0"/>
                <c:cat>
                  <c:numRef>
                    <c:extLst>
                      <c:ext uri="{02D57815-91ED-43cb-92C2-25804820EDAC}">
                        <c15:formulaRef>
                          <c15:sqref>Sheet1!$A$2:$A$9</c15:sqref>
                        </c15:formulaRef>
                      </c:ext>
                    </c:extLst>
                    <c:numCache>
                      <c:formatCode>General</c:formatCode>
                      <c:ptCount val="8"/>
                      <c:pt idx="0">
                        <c:v>2018</c:v>
                      </c:pt>
                      <c:pt idx="1">
                        <c:v>2019</c:v>
                      </c:pt>
                      <c:pt idx="2">
                        <c:v>2020</c:v>
                      </c:pt>
                      <c:pt idx="3">
                        <c:v>2021</c:v>
                      </c:pt>
                      <c:pt idx="4">
                        <c:v>2022</c:v>
                      </c:pt>
                      <c:pt idx="5">
                        <c:v>2023</c:v>
                      </c:pt>
                      <c:pt idx="6">
                        <c:v>2024</c:v>
                      </c:pt>
                      <c:pt idx="7">
                        <c:v>2025</c:v>
                      </c:pt>
                    </c:numCache>
                  </c:numRef>
                </c:cat>
                <c:val>
                  <c:numRef>
                    <c:extLst>
                      <c:ext uri="{02D57815-91ED-43cb-92C2-25804820EDAC}">
                        <c15:formulaRef>
                          <c15:sqref>Sheet1!$B$1:$B$9</c15:sqref>
                        </c15:formulaRef>
                      </c:ext>
                    </c:extLst>
                    <c:numCache>
                      <c:formatCode>General</c:formatCode>
                      <c:ptCount val="9"/>
                      <c:pt idx="0">
                        <c:v>0</c:v>
                      </c:pt>
                      <c:pt idx="1">
                        <c:v>3.68</c:v>
                      </c:pt>
                      <c:pt idx="2">
                        <c:v>3.92</c:v>
                      </c:pt>
                      <c:pt idx="3">
                        <c:v>0.78</c:v>
                      </c:pt>
                      <c:pt idx="4">
                        <c:v>1.56</c:v>
                      </c:pt>
                      <c:pt idx="5">
                        <c:v>4.18</c:v>
                      </c:pt>
                      <c:pt idx="6">
                        <c:v>4.46</c:v>
                      </c:pt>
                      <c:pt idx="7">
                        <c:v>4.76</c:v>
                      </c:pt>
                      <c:pt idx="8">
                        <c:v>5.08</c:v>
                      </c:pt>
                    </c:numCache>
                  </c:numRef>
                </c:val>
                <c:extLst>
                  <c:ext xmlns:c16="http://schemas.microsoft.com/office/drawing/2014/chart" uri="{C3380CC4-5D6E-409C-BE32-E72D297353CC}">
                    <c16:uniqueId val="{00000001-4F6E-4428-9A7C-D6C29DE62C99}"/>
                  </c:ext>
                </c:extLst>
              </c15:ser>
            </c15:filteredBarSeries>
          </c:ext>
        </c:extLst>
      </c:barChart>
      <c:catAx>
        <c:axId val="199358175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Years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3580927"/>
        <c:crosses val="autoZero"/>
        <c:auto val="1"/>
        <c:lblAlgn val="ctr"/>
        <c:lblOffset val="100"/>
        <c:noMultiLvlLbl val="0"/>
      </c:catAx>
      <c:valAx>
        <c:axId val="1993580927"/>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Tourist (Cr)</a:t>
                </a:r>
              </a:p>
            </c:rich>
          </c:tx>
          <c:layout>
            <c:manualLayout>
              <c:xMode val="edge"/>
              <c:yMode val="edge"/>
              <c:x val="2.7640825147204309E-2"/>
              <c:y val="0.3202049862532029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3581759"/>
        <c:crosses val="autoZero"/>
        <c:crossBetween val="between"/>
      </c:valAx>
      <c:spPr>
        <a:noFill/>
        <a:ln>
          <a:noFill/>
        </a:ln>
        <a:effectLst/>
      </c:spPr>
    </c:plotArea>
    <c:legend>
      <c:legendPos val="b"/>
      <c:layout>
        <c:manualLayout>
          <c:xMode val="edge"/>
          <c:yMode val="edge"/>
          <c:x val="0.82901924759405077"/>
          <c:y val="5.2077865266841224E-3"/>
          <c:w val="0.17098075240594926"/>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87729658792651"/>
          <c:y val="5.0925925925925923E-2"/>
          <c:w val="0.84956714785651788"/>
          <c:h val="0.75827792359288426"/>
        </c:manualLayout>
      </c:layout>
      <c:barChart>
        <c:barDir val="col"/>
        <c:grouping val="clustered"/>
        <c:varyColors val="0"/>
        <c:ser>
          <c:idx val="1"/>
          <c:order val="0"/>
          <c:tx>
            <c:strRef>
              <c:f>Sheet2!$B$1</c:f>
              <c:strCache>
                <c:ptCount val="1"/>
                <c:pt idx="0">
                  <c:v>Loss in Area (Hectare)</c:v>
                </c:pt>
              </c:strCache>
            </c:strRef>
          </c:tx>
          <c:spPr>
            <a:solidFill>
              <a:schemeClr val="accent2"/>
            </a:solidFill>
            <a:ln>
              <a:noFill/>
            </a:ln>
            <a:effectLst/>
          </c:spPr>
          <c:invertIfNegative val="0"/>
          <c:cat>
            <c:numRef>
              <c:f>Sheet2!$A$2:$A$25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Sheet2!$B$2:$B$25</c:f>
              <c:numCache>
                <c:formatCode>General</c:formatCode>
                <c:ptCount val="24"/>
                <c:pt idx="0">
                  <c:v>5</c:v>
                </c:pt>
                <c:pt idx="1">
                  <c:v>30</c:v>
                </c:pt>
                <c:pt idx="2">
                  <c:v>5</c:v>
                </c:pt>
                <c:pt idx="3">
                  <c:v>7</c:v>
                </c:pt>
                <c:pt idx="4">
                  <c:v>17</c:v>
                </c:pt>
                <c:pt idx="5">
                  <c:v>20</c:v>
                </c:pt>
                <c:pt idx="6">
                  <c:v>18</c:v>
                </c:pt>
                <c:pt idx="7">
                  <c:v>18</c:v>
                </c:pt>
                <c:pt idx="8">
                  <c:v>27</c:v>
                </c:pt>
                <c:pt idx="9">
                  <c:v>18</c:v>
                </c:pt>
                <c:pt idx="10">
                  <c:v>24</c:v>
                </c:pt>
                <c:pt idx="11">
                  <c:v>80</c:v>
                </c:pt>
                <c:pt idx="12">
                  <c:v>25</c:v>
                </c:pt>
                <c:pt idx="13">
                  <c:v>11</c:v>
                </c:pt>
                <c:pt idx="14">
                  <c:v>8</c:v>
                </c:pt>
                <c:pt idx="15">
                  <c:v>27</c:v>
                </c:pt>
                <c:pt idx="16">
                  <c:v>156</c:v>
                </c:pt>
                <c:pt idx="17">
                  <c:v>18</c:v>
                </c:pt>
                <c:pt idx="18">
                  <c:v>7</c:v>
                </c:pt>
                <c:pt idx="19">
                  <c:v>6</c:v>
                </c:pt>
                <c:pt idx="20">
                  <c:v>23</c:v>
                </c:pt>
                <c:pt idx="21">
                  <c:v>27</c:v>
                </c:pt>
                <c:pt idx="22">
                  <c:v>74</c:v>
                </c:pt>
                <c:pt idx="23">
                  <c:v>34</c:v>
                </c:pt>
              </c:numCache>
            </c:numRef>
          </c:val>
          <c:extLst>
            <c:ext xmlns:c16="http://schemas.microsoft.com/office/drawing/2014/chart" uri="{C3380CC4-5D6E-409C-BE32-E72D297353CC}">
              <c16:uniqueId val="{00000000-1458-4A26-9F41-37438302A09F}"/>
            </c:ext>
          </c:extLst>
        </c:ser>
        <c:dLbls>
          <c:showLegendKey val="0"/>
          <c:showVal val="0"/>
          <c:showCatName val="0"/>
          <c:showSerName val="0"/>
          <c:showPercent val="0"/>
          <c:showBubbleSize val="0"/>
        </c:dLbls>
        <c:gapWidth val="219"/>
        <c:overlap val="-27"/>
        <c:axId val="842527247"/>
        <c:axId val="842523919"/>
      </c:barChart>
      <c:catAx>
        <c:axId val="842527247"/>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Years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42523919"/>
        <c:crosses val="autoZero"/>
        <c:auto val="1"/>
        <c:lblAlgn val="ctr"/>
        <c:lblOffset val="100"/>
        <c:noMultiLvlLbl val="0"/>
      </c:catAx>
      <c:valAx>
        <c:axId val="842523919"/>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Loss in Area (Hectare)</a:t>
                </a:r>
              </a:p>
            </c:rich>
          </c:tx>
          <c:layout>
            <c:manualLayout>
              <c:xMode val="edge"/>
              <c:yMode val="edge"/>
              <c:x val="1.8791409286716947E-2"/>
              <c:y val="0.2198526195255004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42527247"/>
        <c:crosses val="autoZero"/>
        <c:crossBetween val="between"/>
      </c:valAx>
      <c:spPr>
        <a:noFill/>
        <a:ln>
          <a:noFill/>
        </a:ln>
        <a:effectLst/>
      </c:spPr>
    </c:plotArea>
    <c:legend>
      <c:legendPos val="b"/>
      <c:layout>
        <c:manualLayout>
          <c:xMode val="edge"/>
          <c:yMode val="edge"/>
          <c:x val="0.69527405949256338"/>
          <c:y val="2.8401137357830234E-2"/>
          <c:w val="0.30389632545931761"/>
          <c:h val="7.345071449402157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9951881014873"/>
          <c:y val="5.0925925925925923E-2"/>
          <c:w val="0.86484492563429571"/>
          <c:h val="0.72124088655584706"/>
        </c:manualLayout>
      </c:layout>
      <c:barChart>
        <c:barDir val="col"/>
        <c:grouping val="clustered"/>
        <c:varyColors val="0"/>
        <c:ser>
          <c:idx val="1"/>
          <c:order val="0"/>
          <c:tx>
            <c:strRef>
              <c:f>Sheet3!$B$1</c:f>
              <c:strCache>
                <c:ptCount val="1"/>
                <c:pt idx="0">
                  <c:v>Loss in Area due to fire (Hectare)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Sheet3!$A$2:$A$25</c:f>
              <c:numCache>
                <c:formatCode>General</c:formatCode>
                <c:ptCount val="2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numCache>
            </c:numRef>
          </c:cat>
          <c:val>
            <c:numRef>
              <c:f>Sheet3!$B$2:$B$25</c:f>
              <c:numCache>
                <c:formatCode>General</c:formatCode>
                <c:ptCount val="24"/>
                <c:pt idx="0">
                  <c:v>1</c:v>
                </c:pt>
                <c:pt idx="1">
                  <c:v>5</c:v>
                </c:pt>
                <c:pt idx="2">
                  <c:v>1</c:v>
                </c:pt>
                <c:pt idx="3">
                  <c:v>1</c:v>
                </c:pt>
                <c:pt idx="4">
                  <c:v>2</c:v>
                </c:pt>
                <c:pt idx="5">
                  <c:v>6</c:v>
                </c:pt>
                <c:pt idx="6">
                  <c:v>1</c:v>
                </c:pt>
                <c:pt idx="7">
                  <c:v>5</c:v>
                </c:pt>
                <c:pt idx="8">
                  <c:v>8</c:v>
                </c:pt>
                <c:pt idx="9">
                  <c:v>1</c:v>
                </c:pt>
                <c:pt idx="10">
                  <c:v>1</c:v>
                </c:pt>
                <c:pt idx="11">
                  <c:v>10</c:v>
                </c:pt>
                <c:pt idx="12">
                  <c:v>1</c:v>
                </c:pt>
                <c:pt idx="13">
                  <c:v>1</c:v>
                </c:pt>
                <c:pt idx="14">
                  <c:v>0</c:v>
                </c:pt>
                <c:pt idx="15">
                  <c:v>1</c:v>
                </c:pt>
                <c:pt idx="16">
                  <c:v>1</c:v>
                </c:pt>
                <c:pt idx="17">
                  <c:v>1</c:v>
                </c:pt>
                <c:pt idx="18">
                  <c:v>1</c:v>
                </c:pt>
                <c:pt idx="19">
                  <c:v>1</c:v>
                </c:pt>
                <c:pt idx="20">
                  <c:v>1</c:v>
                </c:pt>
                <c:pt idx="21">
                  <c:v>1</c:v>
                </c:pt>
                <c:pt idx="22">
                  <c:v>2</c:v>
                </c:pt>
                <c:pt idx="23">
                  <c:v>2</c:v>
                </c:pt>
              </c:numCache>
            </c:numRef>
          </c:val>
          <c:extLst>
            <c:ext xmlns:c16="http://schemas.microsoft.com/office/drawing/2014/chart" uri="{C3380CC4-5D6E-409C-BE32-E72D297353CC}">
              <c16:uniqueId val="{00000000-AF48-40F8-89AA-AC4F34DECB23}"/>
            </c:ext>
          </c:extLst>
        </c:ser>
        <c:dLbls>
          <c:showLegendKey val="0"/>
          <c:showVal val="0"/>
          <c:showCatName val="0"/>
          <c:showSerName val="0"/>
          <c:showPercent val="0"/>
          <c:showBubbleSize val="0"/>
        </c:dLbls>
        <c:gapWidth val="219"/>
        <c:overlap val="-27"/>
        <c:axId val="919798479"/>
        <c:axId val="919801807"/>
      </c:barChart>
      <c:catAx>
        <c:axId val="91979847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Years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19801807"/>
        <c:crosses val="autoZero"/>
        <c:auto val="1"/>
        <c:lblAlgn val="ctr"/>
        <c:lblOffset val="100"/>
        <c:noMultiLvlLbl val="0"/>
      </c:catAx>
      <c:valAx>
        <c:axId val="919801807"/>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Forest Loss due to Fire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19798479"/>
        <c:crosses val="autoZero"/>
        <c:crossBetween val="between"/>
      </c:valAx>
      <c:spPr>
        <a:noFill/>
        <a:ln>
          <a:noFill/>
        </a:ln>
        <a:effectLst/>
      </c:spPr>
    </c:plotArea>
    <c:legend>
      <c:legendPos val="b"/>
      <c:layout>
        <c:manualLayout>
          <c:xMode val="edge"/>
          <c:yMode val="edge"/>
          <c:x val="0.56322375328083985"/>
          <c:y val="1.9141878098570979E-2"/>
          <c:w val="0.43466338582677161"/>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1059</TotalTime>
  <Pages>11</Pages>
  <Words>3222</Words>
  <Characters>18518</Characters>
  <Application>Microsoft Office Word</Application>
  <DocSecurity>0</DocSecurity>
  <Lines>426</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79</cp:revision>
  <dcterms:created xsi:type="dcterms:W3CDTF">2025-06-16T07:38:00Z</dcterms:created>
  <dcterms:modified xsi:type="dcterms:W3CDTF">2025-08-06T04:30:00Z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1c4e6e9e-d05e-455f-b68b-57d2c955d6c7</vt:lpwstr>
  </property>
</Properties>
</file>