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629" w:rsidRPr="00E66629" w:rsidRDefault="00E66629" w:rsidP="001E761E">
      <w:pPr>
        <w:pStyle w:val="NormalWeb"/>
        <w:tabs>
          <w:tab w:val="left" w:pos="3780"/>
        </w:tabs>
        <w:spacing w:line="276" w:lineRule="auto"/>
        <w:jc w:val="both"/>
        <w:rPr>
          <w:b/>
          <w:i/>
        </w:rPr>
      </w:pPr>
      <w:r w:rsidRPr="00E66629">
        <w:rPr>
          <w:rStyle w:val="Emphasis"/>
          <w:b/>
          <w:i w:val="0"/>
        </w:rPr>
        <w:t>Anthocyanins in Mulberry (</w:t>
      </w:r>
      <w:proofErr w:type="spellStart"/>
      <w:r w:rsidRPr="00E66629">
        <w:rPr>
          <w:rStyle w:val="Emphasis"/>
          <w:b/>
        </w:rPr>
        <w:t>Morus</w:t>
      </w:r>
      <w:proofErr w:type="spellEnd"/>
      <w:r w:rsidRPr="00E66629">
        <w:rPr>
          <w:rStyle w:val="Emphasis"/>
          <w:b/>
          <w:i w:val="0"/>
        </w:rPr>
        <w:t xml:space="preserve"> spp.): Phytochemical Profiles, Health Benefits, and Application Prospects</w:t>
      </w:r>
    </w:p>
    <w:p w:rsidR="002F6E41" w:rsidRDefault="002F6E41" w:rsidP="001D6CB1">
      <w:pPr>
        <w:pStyle w:val="NormalWeb"/>
        <w:spacing w:line="276" w:lineRule="auto"/>
        <w:jc w:val="both"/>
      </w:pPr>
      <w:r>
        <w:rPr>
          <w:rStyle w:val="Strong"/>
        </w:rPr>
        <w:t>Abstract</w:t>
      </w:r>
    </w:p>
    <w:p w:rsidR="00E66629" w:rsidRDefault="00E66629" w:rsidP="001D6CB1">
      <w:pPr>
        <w:pStyle w:val="NormalWeb"/>
        <w:spacing w:line="276" w:lineRule="auto"/>
        <w:jc w:val="both"/>
      </w:pPr>
      <w:r>
        <w:t>Mulberry (</w:t>
      </w:r>
      <w:proofErr w:type="spellStart"/>
      <w:r>
        <w:rPr>
          <w:rStyle w:val="Emphasis"/>
        </w:rPr>
        <w:t>Morus</w:t>
      </w:r>
      <w:proofErr w:type="spellEnd"/>
      <w:r>
        <w:t xml:space="preserve"> spp.), a nutrient-rich fruit widely cultivated across Asia, is an abundant source of anthocyanins natural pigments of the flavonoid class with strong antioxidant activity. These compounds, predominantly cyanidin-3-O-glucoside (ranging from 60–90% of total anthocyanins) and cyanidin-3-O-rutinoside, contribute to the deep red to purple coloration of mulberry fruits. Reported anthocyanin concentrations vary widely among cultivars, from approximately 100 to 400 mg/100 g fresh weight, influenced by genotype, maturity stage, and environmental conditions. This review summarizes the phytochemical diversity, concentration, and stability of mulberry anthocyanins, alongside their functional properties, including antioxidative </w:t>
      </w:r>
      <w:proofErr w:type="spellStart"/>
      <w:r>
        <w:t>defense</w:t>
      </w:r>
      <w:proofErr w:type="spellEnd"/>
      <w:r>
        <w:t xml:space="preserve">, anti-inflammatory action, </w:t>
      </w:r>
      <w:proofErr w:type="spellStart"/>
      <w:r>
        <w:t>glycemic</w:t>
      </w:r>
      <w:proofErr w:type="spellEnd"/>
      <w:r>
        <w:t xml:space="preserve"> regulation, neuroprotection, and cardiovascular support. Industrial applications as natural colorants in food, cosmetics, and pharmaceuticals are discussed, with emphasis on pH- and temperature-dependent stability. Recent advances in extraction technologies and encapsulation methods are reviewed as strategies to improve anthocyanin retention and bioavailability. Current challenges such as degradation during processing, low absorption in vivo, and limited clinical validation are also highlighted to provide a balanced perspective for future research and product development.</w:t>
      </w:r>
    </w:p>
    <w:p w:rsidR="001738E5" w:rsidRPr="002F6E41" w:rsidRDefault="001738E5" w:rsidP="001D6CB1">
      <w:pPr>
        <w:pStyle w:val="NormalWeb"/>
        <w:spacing w:line="276" w:lineRule="auto"/>
        <w:jc w:val="both"/>
      </w:pPr>
      <w:r w:rsidRPr="001738E5">
        <w:rPr>
          <w:b/>
        </w:rPr>
        <w:t>Key words:</w:t>
      </w:r>
      <w:r>
        <w:t xml:space="preserve"> Mulberry (</w:t>
      </w:r>
      <w:proofErr w:type="spellStart"/>
      <w:r w:rsidRPr="006E25DD">
        <w:rPr>
          <w:i/>
        </w:rPr>
        <w:t>Morus</w:t>
      </w:r>
      <w:proofErr w:type="spellEnd"/>
      <w:r>
        <w:t xml:space="preserve"> spp.), Anthocyanins, Antioxidant activity, Functional foods, Natural colorants</w:t>
      </w:r>
    </w:p>
    <w:p w:rsidR="006477DD" w:rsidRPr="00C3001B" w:rsidRDefault="001D6CB1" w:rsidP="001D6CB1">
      <w:pPr>
        <w:pStyle w:val="NormalWeb"/>
        <w:spacing w:line="276" w:lineRule="auto"/>
        <w:jc w:val="both"/>
        <w:rPr>
          <w:b/>
          <w:bCs/>
        </w:rPr>
      </w:pPr>
      <w:r>
        <w:rPr>
          <w:b/>
          <w:bCs/>
        </w:rPr>
        <w:t>1.</w:t>
      </w:r>
      <w:r w:rsidR="006477DD" w:rsidRPr="00C3001B">
        <w:rPr>
          <w:b/>
          <w:bCs/>
        </w:rPr>
        <w:t xml:space="preserve"> Introduction </w:t>
      </w:r>
    </w:p>
    <w:p w:rsidR="006477DD" w:rsidRPr="00C3001B" w:rsidRDefault="006477DD" w:rsidP="001D6CB1">
      <w:pPr>
        <w:pStyle w:val="NormalWeb"/>
        <w:spacing w:line="276" w:lineRule="auto"/>
        <w:jc w:val="both"/>
      </w:pPr>
      <w:r w:rsidRPr="00C3001B">
        <w:t xml:space="preserve">Anthocyanins are a group of water-soluble flavonoid pigments responsible for the red, purple, and blue coloration in various fruits, vegetables, and flowers. Chemically, they are glycosides of anthocyanidins—compounds based on a flavylium cation backbone (C6–C3–C6 structure). Their </w:t>
      </w:r>
      <w:proofErr w:type="spellStart"/>
      <w:r w:rsidRPr="00C3001B">
        <w:t>color</w:t>
      </w:r>
      <w:proofErr w:type="spellEnd"/>
      <w:r w:rsidRPr="00C3001B">
        <w:t xml:space="preserve"> expression is pH-dependent: red in acidic conditions (pH &lt; 3), purple at neutral pH, and blue under alkaline </w:t>
      </w:r>
      <w:proofErr w:type="spellStart"/>
      <w:proofErr w:type="gramStart"/>
      <w:r w:rsidRPr="00C3001B">
        <w:t>conditions.Synthesized</w:t>
      </w:r>
      <w:proofErr w:type="spellEnd"/>
      <w:proofErr w:type="gramEnd"/>
      <w:r w:rsidRPr="00C3001B">
        <w:t xml:space="preserve"> through the phenylpropanoid pathway, anthocyanins are stored in the vacuoles of plant cells and exist in over 700 known forms, derived primarily from six major aglycones: cyanidin, delphinidin, pelargonidin, peonidin, petunidin, and malvidin (Andersen &amp; </w:t>
      </w:r>
      <w:proofErr w:type="spellStart"/>
      <w:r w:rsidRPr="00C3001B">
        <w:t>Jordheim</w:t>
      </w:r>
      <w:proofErr w:type="spellEnd"/>
      <w:r w:rsidRPr="00C3001B">
        <w:t>, 2010). These pigments are abundant in berries, grapes, red cabbage, and especially dark-</w:t>
      </w:r>
      <w:proofErr w:type="spellStart"/>
      <w:r w:rsidRPr="00C3001B">
        <w:t>colored</w:t>
      </w:r>
      <w:proofErr w:type="spellEnd"/>
      <w:r w:rsidRPr="00C3001B">
        <w:t xml:space="preserve"> mulberries (</w:t>
      </w:r>
      <w:proofErr w:type="spellStart"/>
      <w:r w:rsidRPr="00C3001B">
        <w:rPr>
          <w:rStyle w:val="Emphasis"/>
        </w:rPr>
        <w:t>Morus</w:t>
      </w:r>
      <w:proofErr w:type="spellEnd"/>
      <w:r w:rsidRPr="00C3001B">
        <w:t xml:space="preserve"> spp.).</w:t>
      </w:r>
    </w:p>
    <w:p w:rsidR="006477DD" w:rsidRPr="00C3001B" w:rsidRDefault="006477DD" w:rsidP="001D6CB1">
      <w:pPr>
        <w:pStyle w:val="NormalWeb"/>
        <w:spacing w:line="276" w:lineRule="auto"/>
        <w:jc w:val="both"/>
      </w:pPr>
      <w:r w:rsidRPr="00C3001B">
        <w:t xml:space="preserve">Beyond their role as natural colorants, anthocyanins are bioactive molecules with a wide range of health-promoting effects. They act as powerful antioxidants, scavenging free radicals and reducing oxidative damage to DNA, proteins, and lipids (Tsuda, 2012). In addition to antioxidant properties, they have demonstrated anti-inflammatory, anticancer, antidiabetic, cardioprotective, and neuroprotective effects in both in vitro and in vivo studies (Wang &amp; Stoner, 2008). Their mechanisms of action involve modulation of cellular </w:t>
      </w:r>
      <w:proofErr w:type="spellStart"/>
      <w:r w:rsidRPr="00C3001B">
        <w:t>signaling</w:t>
      </w:r>
      <w:proofErr w:type="spellEnd"/>
      <w:r w:rsidRPr="00C3001B">
        <w:t xml:space="preserve"> </w:t>
      </w:r>
      <w:r w:rsidRPr="00C3001B">
        <w:lastRenderedPageBreak/>
        <w:t>pathways such as NF-</w:t>
      </w:r>
      <w:proofErr w:type="spellStart"/>
      <w:r w:rsidRPr="00C3001B">
        <w:t>κB</w:t>
      </w:r>
      <w:proofErr w:type="spellEnd"/>
      <w:r w:rsidRPr="00C3001B">
        <w:t>, MAPK, and PI3K/</w:t>
      </w:r>
      <w:proofErr w:type="spellStart"/>
      <w:r w:rsidRPr="00C3001B">
        <w:t>Akt</w:t>
      </w:r>
      <w:proofErr w:type="spellEnd"/>
      <w:r w:rsidRPr="00C3001B">
        <w:t>, which regulate inflammation, apoptosis, and cell proliferation (He &amp; Giusti, 2010).</w:t>
      </w:r>
    </w:p>
    <w:p w:rsidR="006477DD" w:rsidRPr="00C3001B" w:rsidRDefault="006477DD" w:rsidP="001D6CB1">
      <w:pPr>
        <w:pStyle w:val="NormalWeb"/>
        <w:spacing w:line="276" w:lineRule="auto"/>
        <w:jc w:val="both"/>
      </w:pPr>
      <w:r w:rsidRPr="00C3001B">
        <w:t>Regular dietary intake of anthocyanin-rich foods has been associated with reduced risk of chronic diseases, including cardiovascular disorders and type 2 diabetes, and may contribute to improved cognitive performance (Shipp &amp; Abdel-</w:t>
      </w:r>
      <w:proofErr w:type="spellStart"/>
      <w:r w:rsidRPr="00C3001B">
        <w:t>Aal</w:t>
      </w:r>
      <w:proofErr w:type="spellEnd"/>
      <w:r w:rsidRPr="00C3001B">
        <w:t xml:space="preserve">, 2010). Due to these attributes, anthocyanins have become key ingredients in the development of functional foods, nutraceuticals, and pharmaceutical </w:t>
      </w:r>
      <w:proofErr w:type="spellStart"/>
      <w:r w:rsidRPr="00C3001B">
        <w:t>products.Industrially</w:t>
      </w:r>
      <w:proofErr w:type="spellEnd"/>
      <w:r w:rsidRPr="00C3001B">
        <w:t>, anthocyanins are recognized as safe and approved for use as natural colorants (E163). However, their application is limited by their sensitivity to environmental factors such as pH, temperature, light, and oxygen.</w:t>
      </w:r>
    </w:p>
    <w:p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2. Chemical Structure</w:t>
      </w:r>
    </w:p>
    <w:p w:rsidR="006477DD" w:rsidRPr="00C3001B" w:rsidRDefault="006477DD" w:rsidP="001D6CB1">
      <w:pPr>
        <w:pStyle w:val="NormalWeb"/>
        <w:spacing w:line="276" w:lineRule="auto"/>
        <w:jc w:val="both"/>
      </w:pPr>
      <w:r w:rsidRPr="00C3001B">
        <w:t xml:space="preserve">Anthocyanins are plant pigments classified as flavonoids and are based on the </w:t>
      </w:r>
      <w:proofErr w:type="spellStart"/>
      <w:r w:rsidRPr="002F6E41">
        <w:rPr>
          <w:rStyle w:val="Strong"/>
          <w:b w:val="0"/>
        </w:rPr>
        <w:t>flavyliumcation</w:t>
      </w:r>
      <w:proofErr w:type="spellEnd"/>
      <w:r w:rsidRPr="00C3001B">
        <w:t xml:space="preserve"> structure with a </w:t>
      </w:r>
      <w:r w:rsidRPr="002F6E41">
        <w:rPr>
          <w:rStyle w:val="Strong"/>
          <w:b w:val="0"/>
        </w:rPr>
        <w:t>C6–C3–C6 skeleton</w:t>
      </w:r>
      <w:r w:rsidRPr="00C3001B">
        <w:t>, comprising two aromatic rings (A and B) connected by a heterocyclic C-ring. This structure is responsible for their vibrant coloration and reactivity in biological systems.</w:t>
      </w:r>
    </w:p>
    <w:p w:rsidR="006477DD" w:rsidRPr="002F6E41" w:rsidRDefault="002F6E41" w:rsidP="001D6CB1">
      <w:pPr>
        <w:pStyle w:val="NormalWeb"/>
        <w:spacing w:line="276" w:lineRule="auto"/>
        <w:jc w:val="both"/>
      </w:pPr>
      <w:r>
        <w:t xml:space="preserve">The core </w:t>
      </w:r>
      <w:proofErr w:type="spellStart"/>
      <w:r>
        <w:t>pigments</w:t>
      </w:r>
      <w:r w:rsidR="006477DD" w:rsidRPr="00C3001B">
        <w:t>known</w:t>
      </w:r>
      <w:proofErr w:type="spellEnd"/>
      <w:r w:rsidR="006477DD" w:rsidRPr="00C3001B">
        <w:t xml:space="preserve"> as </w:t>
      </w:r>
      <w:proofErr w:type="spellStart"/>
      <w:r w:rsidR="006477DD" w:rsidRPr="002F6E41">
        <w:rPr>
          <w:rStyle w:val="Strong"/>
          <w:b w:val="0"/>
        </w:rPr>
        <w:t>anthocyanidins</w:t>
      </w:r>
      <w:r w:rsidR="006477DD" w:rsidRPr="00C3001B">
        <w:t>differ</w:t>
      </w:r>
      <w:proofErr w:type="spellEnd"/>
      <w:r w:rsidR="006477DD" w:rsidRPr="00C3001B">
        <w:t xml:space="preserve"> in their hydroxylation and </w:t>
      </w:r>
      <w:proofErr w:type="spellStart"/>
      <w:r w:rsidR="006477DD" w:rsidRPr="00C3001B">
        <w:t>methoxylation</w:t>
      </w:r>
      <w:proofErr w:type="spellEnd"/>
      <w:r w:rsidR="006477DD" w:rsidRPr="00C3001B">
        <w:t xml:space="preserve"> patterns on the B-ring, influencing </w:t>
      </w:r>
      <w:proofErr w:type="spellStart"/>
      <w:r w:rsidR="006477DD" w:rsidRPr="00C3001B">
        <w:t>color</w:t>
      </w:r>
      <w:proofErr w:type="spellEnd"/>
      <w:r w:rsidR="006477DD" w:rsidRPr="00C3001B">
        <w:t xml:space="preserve"> and antioxidant capacity. The most common naturally occurring anthocyanidins </w:t>
      </w:r>
      <w:proofErr w:type="spellStart"/>
      <w:proofErr w:type="gramStart"/>
      <w:r w:rsidR="006477DD" w:rsidRPr="00C3001B">
        <w:t>are:</w:t>
      </w:r>
      <w:r w:rsidR="006477DD" w:rsidRPr="002F6E41">
        <w:rPr>
          <w:rStyle w:val="Strong"/>
          <w:b w:val="0"/>
        </w:rPr>
        <w:t>Cyanidin</w:t>
      </w:r>
      <w:proofErr w:type="spellEnd"/>
      <w:proofErr w:type="gramEnd"/>
      <w:r w:rsidR="006477DD" w:rsidRPr="002F6E41">
        <w:t xml:space="preserve"> (reddish-purple)</w:t>
      </w:r>
      <w:r w:rsidR="00002C94">
        <w:t xml:space="preserve">, </w:t>
      </w:r>
      <w:r w:rsidR="006477DD" w:rsidRPr="002F6E41">
        <w:rPr>
          <w:rStyle w:val="Strong"/>
          <w:b w:val="0"/>
        </w:rPr>
        <w:t>Delphinidin</w:t>
      </w:r>
      <w:r w:rsidR="006477DD" w:rsidRPr="002F6E41">
        <w:t xml:space="preserve"> (blue)</w:t>
      </w:r>
      <w:r w:rsidR="00002C94">
        <w:t xml:space="preserve">, </w:t>
      </w:r>
      <w:r w:rsidR="006477DD" w:rsidRPr="002F6E41">
        <w:rPr>
          <w:rStyle w:val="Strong"/>
          <w:b w:val="0"/>
        </w:rPr>
        <w:t>Pelargonidin</w:t>
      </w:r>
      <w:r w:rsidR="006477DD" w:rsidRPr="002F6E41">
        <w:t xml:space="preserve"> (orange-red)</w:t>
      </w:r>
      <w:r w:rsidR="00002C94">
        <w:t xml:space="preserve">, </w:t>
      </w:r>
      <w:r w:rsidR="006477DD" w:rsidRPr="002F6E41">
        <w:rPr>
          <w:rStyle w:val="Strong"/>
          <w:b w:val="0"/>
        </w:rPr>
        <w:t>Peonidin, Petunidin, and Malvidin</w:t>
      </w:r>
      <w:r w:rsidR="006477DD" w:rsidRPr="002F6E41">
        <w:t xml:space="preserve"> (methyla</w:t>
      </w:r>
      <w:r w:rsidR="00002C94">
        <w:t xml:space="preserve">ted, offering higher stability) </w:t>
      </w:r>
      <w:r w:rsidR="006477DD" w:rsidRPr="002F6E41">
        <w:t xml:space="preserve">(Andersen &amp; </w:t>
      </w:r>
      <w:proofErr w:type="spellStart"/>
      <w:r w:rsidR="006477DD" w:rsidRPr="002F6E41">
        <w:t>Jordheim</w:t>
      </w:r>
      <w:proofErr w:type="spellEnd"/>
      <w:r w:rsidR="006477DD" w:rsidRPr="002F6E41">
        <w:t>, 2010)</w:t>
      </w:r>
    </w:p>
    <w:p w:rsidR="006477DD" w:rsidRPr="00C3001B" w:rsidRDefault="006477DD" w:rsidP="001D6CB1">
      <w:pPr>
        <w:pStyle w:val="NormalWeb"/>
        <w:spacing w:line="276" w:lineRule="auto"/>
        <w:jc w:val="both"/>
      </w:pPr>
      <w:r w:rsidRPr="00C3001B">
        <w:t xml:space="preserve">These anthocyanidins are usually present in nature as </w:t>
      </w:r>
      <w:r w:rsidRPr="002F6E41">
        <w:rPr>
          <w:rStyle w:val="Strong"/>
          <w:b w:val="0"/>
        </w:rPr>
        <w:t>glycosides</w:t>
      </w:r>
      <w:r w:rsidRPr="00C3001B">
        <w:t xml:space="preserve">, forming </w:t>
      </w:r>
      <w:r w:rsidRPr="002F6E41">
        <w:rPr>
          <w:rStyle w:val="Strong"/>
          <w:b w:val="0"/>
        </w:rPr>
        <w:t>anthocyanins</w:t>
      </w:r>
      <w:r w:rsidRPr="00C3001B">
        <w:t xml:space="preserve">, where sugar molecules like </w:t>
      </w:r>
      <w:r w:rsidRPr="002F6E41">
        <w:rPr>
          <w:rStyle w:val="Strong"/>
          <w:b w:val="0"/>
        </w:rPr>
        <w:t>glucose</w:t>
      </w:r>
      <w:r w:rsidRPr="002F6E41">
        <w:rPr>
          <w:b/>
        </w:rPr>
        <w:t xml:space="preserve">, </w:t>
      </w:r>
      <w:r w:rsidRPr="002F6E41">
        <w:rPr>
          <w:rStyle w:val="Strong"/>
          <w:b w:val="0"/>
        </w:rPr>
        <w:t>rhamnose</w:t>
      </w:r>
      <w:r w:rsidRPr="002F6E41">
        <w:t xml:space="preserve">, </w:t>
      </w:r>
      <w:proofErr w:type="spellStart"/>
      <w:r w:rsidRPr="002F6E41">
        <w:t>or</w:t>
      </w:r>
      <w:r w:rsidRPr="002F6E41">
        <w:rPr>
          <w:rStyle w:val="Strong"/>
          <w:b w:val="0"/>
        </w:rPr>
        <w:t>galactose</w:t>
      </w:r>
      <w:proofErr w:type="spellEnd"/>
      <w:r w:rsidRPr="00C3001B">
        <w:t xml:space="preserve"> are attached to hydroxyl groups, commonly at the 3-position. Glycosylation increases water solubility and improves stability against oxidation and light degradation (Giusti &amp; </w:t>
      </w:r>
      <w:proofErr w:type="spellStart"/>
      <w:r w:rsidRPr="00C3001B">
        <w:t>Wrolstad</w:t>
      </w:r>
      <w:proofErr w:type="spellEnd"/>
      <w:r w:rsidRPr="00C3001B">
        <w:t xml:space="preserve">, 2001).In addition, some anthocyanins are </w:t>
      </w:r>
      <w:proofErr w:type="spellStart"/>
      <w:r w:rsidRPr="002F6E41">
        <w:rPr>
          <w:rStyle w:val="Strong"/>
          <w:b w:val="0"/>
        </w:rPr>
        <w:t>acylated</w:t>
      </w:r>
      <w:r w:rsidRPr="00C3001B">
        <w:t>with</w:t>
      </w:r>
      <w:proofErr w:type="spellEnd"/>
      <w:r w:rsidRPr="00C3001B">
        <w:t xml:space="preserve"> organic acids (e.g., acetic or caffeic acids), further enhancing pigment stability and resistance to environmental stressors. Acylation also supports </w:t>
      </w:r>
      <w:r w:rsidRPr="00C3001B">
        <w:rPr>
          <w:rStyle w:val="Strong"/>
        </w:rPr>
        <w:t>co-</w:t>
      </w:r>
      <w:r w:rsidRPr="002F6E41">
        <w:rPr>
          <w:rStyle w:val="Strong"/>
          <w:b w:val="0"/>
        </w:rPr>
        <w:t>pigmentation</w:t>
      </w:r>
      <w:r w:rsidRPr="002F6E41">
        <w:rPr>
          <w:b/>
        </w:rPr>
        <w:t>,</w:t>
      </w:r>
      <w:r w:rsidRPr="00C3001B">
        <w:t xml:space="preserve"> allowing anthocyanins to form complexes with other molecules for more intense and stable </w:t>
      </w:r>
      <w:proofErr w:type="spellStart"/>
      <w:proofErr w:type="gramStart"/>
      <w:r w:rsidRPr="00C3001B">
        <w:t>coloration.These</w:t>
      </w:r>
      <w:proofErr w:type="spellEnd"/>
      <w:proofErr w:type="gramEnd"/>
      <w:r w:rsidRPr="00C3001B">
        <w:t xml:space="preserve"> structural variations determine not only the </w:t>
      </w:r>
      <w:r w:rsidRPr="002F6E41">
        <w:rPr>
          <w:rStyle w:val="Strong"/>
          <w:b w:val="0"/>
        </w:rPr>
        <w:t>visual characteristics</w:t>
      </w:r>
      <w:r w:rsidRPr="00C3001B">
        <w:t xml:space="preserve"> of anthocyanin-rich foods but also their </w:t>
      </w:r>
      <w:r w:rsidRPr="002F6E41">
        <w:rPr>
          <w:rStyle w:val="Strong"/>
          <w:b w:val="0"/>
        </w:rPr>
        <w:t>bioactive potential</w:t>
      </w:r>
      <w:r w:rsidRPr="00C3001B">
        <w:t xml:space="preserve"> in human health applications. The diversity of anthocyanin molecules contributes to their broad functionality as natural colorants, antioxidants, and therapeutic agents.</w:t>
      </w:r>
    </w:p>
    <w:p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6477DD" w:rsidRPr="00C3001B">
        <w:rPr>
          <w:rFonts w:ascii="Times New Roman" w:eastAsia="Times New Roman" w:hAnsi="Times New Roman" w:cs="Times New Roman"/>
          <w:b/>
          <w:bCs/>
          <w:sz w:val="24"/>
          <w:szCs w:val="24"/>
        </w:rPr>
        <w:t xml:space="preserve">Factors Influencing Stability and </w:t>
      </w:r>
      <w:proofErr w:type="spellStart"/>
      <w:r w:rsidR="006477DD" w:rsidRPr="00C3001B">
        <w:rPr>
          <w:rFonts w:ascii="Times New Roman" w:eastAsia="Times New Roman" w:hAnsi="Times New Roman" w:cs="Times New Roman"/>
          <w:b/>
          <w:bCs/>
          <w:sz w:val="24"/>
          <w:szCs w:val="24"/>
        </w:rPr>
        <w:t>Color</w:t>
      </w:r>
      <w:proofErr w:type="spellEnd"/>
    </w:p>
    <w:p w:rsidR="006477DD" w:rsidRPr="00C3001B" w:rsidRDefault="006477DD" w:rsidP="001D6CB1">
      <w:pPr>
        <w:pStyle w:val="NormalWeb"/>
        <w:spacing w:line="276" w:lineRule="auto"/>
        <w:jc w:val="both"/>
      </w:pPr>
      <w:r w:rsidRPr="00C3001B">
        <w:t xml:space="preserve">The </w:t>
      </w:r>
      <w:proofErr w:type="spellStart"/>
      <w:r w:rsidRPr="00C3001B">
        <w:t>color</w:t>
      </w:r>
      <w:proofErr w:type="spellEnd"/>
      <w:r w:rsidRPr="00C3001B">
        <w:t xml:space="preserve"> expression and chemical stability of anthocyanins are highly dependent on environmental and molecular factors, which determine their effectiveness in food, cosmetic, and pharmaceutical applications.</w:t>
      </w:r>
    </w:p>
    <w:p w:rsidR="006477DD" w:rsidRPr="00C3001B" w:rsidRDefault="006477DD" w:rsidP="001D6CB1">
      <w:pPr>
        <w:pStyle w:val="Heading3"/>
        <w:spacing w:line="276" w:lineRule="auto"/>
        <w:jc w:val="both"/>
        <w:rPr>
          <w:sz w:val="24"/>
          <w:szCs w:val="24"/>
        </w:rPr>
      </w:pPr>
      <w:r w:rsidRPr="00C3001B">
        <w:rPr>
          <w:rStyle w:val="Strong"/>
          <w:b/>
          <w:bCs/>
          <w:sz w:val="24"/>
          <w:szCs w:val="24"/>
        </w:rPr>
        <w:t>pH</w:t>
      </w:r>
    </w:p>
    <w:p w:rsidR="006477DD" w:rsidRPr="00C3001B" w:rsidRDefault="006477DD" w:rsidP="001D6CB1">
      <w:pPr>
        <w:pStyle w:val="NormalWeb"/>
        <w:spacing w:line="276" w:lineRule="auto"/>
        <w:jc w:val="both"/>
      </w:pPr>
      <w:r w:rsidRPr="00C3001B">
        <w:lastRenderedPageBreak/>
        <w:t xml:space="preserve">One of the most critical factors affecting anthocyanin </w:t>
      </w:r>
      <w:proofErr w:type="spellStart"/>
      <w:r w:rsidRPr="00C3001B">
        <w:t>color</w:t>
      </w:r>
      <w:proofErr w:type="spellEnd"/>
      <w:r w:rsidRPr="00C3001B">
        <w:t xml:space="preserve"> is </w:t>
      </w:r>
      <w:proofErr w:type="spellStart"/>
      <w:r w:rsidRPr="002F6E41">
        <w:rPr>
          <w:rStyle w:val="Strong"/>
          <w:b w:val="0"/>
        </w:rPr>
        <w:t>pH</w:t>
      </w:r>
      <w:r w:rsidRPr="00C3001B">
        <w:t>.</w:t>
      </w:r>
      <w:proofErr w:type="spellEnd"/>
      <w:r w:rsidRPr="00C3001B">
        <w:t xml:space="preserve"> In acidic environments (pH &lt; 3), anthocyanins exist primarily in their </w:t>
      </w:r>
      <w:r w:rsidRPr="002F6E41">
        <w:rPr>
          <w:rStyle w:val="Strong"/>
          <w:b w:val="0"/>
        </w:rPr>
        <w:t>flavylium cation</w:t>
      </w:r>
      <w:r w:rsidRPr="00C3001B">
        <w:t xml:space="preserve"> form, displaying a bright red hue. As pH increases to neutral or slightly alkaline conditions, structural transformations lead to the formation of </w:t>
      </w:r>
      <w:proofErr w:type="spellStart"/>
      <w:r w:rsidRPr="002F6E41">
        <w:rPr>
          <w:rStyle w:val="Strong"/>
          <w:b w:val="0"/>
        </w:rPr>
        <w:t>quinonoidal</w:t>
      </w:r>
      <w:proofErr w:type="spellEnd"/>
      <w:r w:rsidRPr="002F6E41">
        <w:rPr>
          <w:rStyle w:val="Strong"/>
          <w:b w:val="0"/>
        </w:rPr>
        <w:t xml:space="preserve"> bases</w:t>
      </w:r>
      <w:r w:rsidRPr="00C3001B">
        <w:t xml:space="preserve"> (purple) and </w:t>
      </w:r>
      <w:r w:rsidRPr="002F6E41">
        <w:rPr>
          <w:rStyle w:val="Strong"/>
          <w:b w:val="0"/>
        </w:rPr>
        <w:t>anionic or chalcone forms</w:t>
      </w:r>
      <w:r w:rsidRPr="00C3001B">
        <w:t xml:space="preserve"> (blue to </w:t>
      </w:r>
      <w:proofErr w:type="spellStart"/>
      <w:r w:rsidRPr="00C3001B">
        <w:t>colorless</w:t>
      </w:r>
      <w:proofErr w:type="spellEnd"/>
      <w:r w:rsidRPr="00C3001B">
        <w:t xml:space="preserve">), resulting in diminished </w:t>
      </w:r>
      <w:proofErr w:type="spellStart"/>
      <w:r w:rsidRPr="00C3001B">
        <w:t>color</w:t>
      </w:r>
      <w:proofErr w:type="spellEnd"/>
      <w:r w:rsidRPr="00C3001B">
        <w:t xml:space="preserve"> intensity and pigment stability.</w:t>
      </w:r>
    </w:p>
    <w:p w:rsidR="006477DD" w:rsidRPr="00C3001B" w:rsidRDefault="006477DD" w:rsidP="001D6CB1">
      <w:pPr>
        <w:pStyle w:val="Heading3"/>
        <w:spacing w:line="276" w:lineRule="auto"/>
        <w:jc w:val="both"/>
        <w:rPr>
          <w:sz w:val="24"/>
          <w:szCs w:val="24"/>
        </w:rPr>
      </w:pPr>
      <w:r w:rsidRPr="00C3001B">
        <w:rPr>
          <w:rStyle w:val="Strong"/>
          <w:b/>
          <w:bCs/>
          <w:sz w:val="24"/>
          <w:szCs w:val="24"/>
        </w:rPr>
        <w:t>Temperature and Light</w:t>
      </w:r>
    </w:p>
    <w:p w:rsidR="006477DD" w:rsidRPr="00C3001B" w:rsidRDefault="006477DD" w:rsidP="001D6CB1">
      <w:pPr>
        <w:pStyle w:val="NormalWeb"/>
        <w:spacing w:line="276" w:lineRule="auto"/>
        <w:jc w:val="both"/>
      </w:pPr>
      <w:r w:rsidRPr="00C3001B">
        <w:t xml:space="preserve">Anthocyanins are thermolabile and photosensitive. </w:t>
      </w:r>
      <w:r w:rsidRPr="002F6E41">
        <w:rPr>
          <w:rStyle w:val="Strong"/>
          <w:b w:val="0"/>
        </w:rPr>
        <w:t>High temperatures</w:t>
      </w:r>
      <w:r w:rsidRPr="00C3001B">
        <w:t xml:space="preserve"> accelerate hydrolysis of </w:t>
      </w:r>
      <w:proofErr w:type="spellStart"/>
      <w:r w:rsidRPr="00C3001B">
        <w:t>glycosidic</w:t>
      </w:r>
      <w:proofErr w:type="spellEnd"/>
      <w:r w:rsidRPr="00C3001B">
        <w:t xml:space="preserve"> bonds and promote oxidative degradation, leading to browning and </w:t>
      </w:r>
      <w:proofErr w:type="spellStart"/>
      <w:r w:rsidRPr="00C3001B">
        <w:t>color</w:t>
      </w:r>
      <w:proofErr w:type="spellEnd"/>
      <w:r w:rsidRPr="00C3001B">
        <w:t xml:space="preserve"> loss. Similarly, </w:t>
      </w:r>
      <w:r w:rsidRPr="002F6E41">
        <w:rPr>
          <w:rStyle w:val="Strong"/>
          <w:b w:val="0"/>
        </w:rPr>
        <w:t>light exposure</w:t>
      </w:r>
      <w:r w:rsidRPr="00C3001B">
        <w:t>, especially UV and visible light, triggers photodegradation, especially in non-acylated anthocyanins (Patras et al., 2010). Thus, proper storage and processing conditions are essential to preserve anthocyanin-rich products.</w:t>
      </w:r>
    </w:p>
    <w:p w:rsidR="006477DD" w:rsidRPr="00C3001B" w:rsidRDefault="006477DD" w:rsidP="001D6CB1">
      <w:pPr>
        <w:pStyle w:val="Heading3"/>
        <w:spacing w:line="276" w:lineRule="auto"/>
        <w:jc w:val="both"/>
        <w:rPr>
          <w:sz w:val="24"/>
          <w:szCs w:val="24"/>
        </w:rPr>
      </w:pPr>
      <w:r w:rsidRPr="00C3001B">
        <w:rPr>
          <w:rStyle w:val="Strong"/>
          <w:b/>
          <w:bCs/>
          <w:sz w:val="24"/>
          <w:szCs w:val="24"/>
        </w:rPr>
        <w:t>Co-pigmentation</w:t>
      </w:r>
    </w:p>
    <w:p w:rsidR="006477DD" w:rsidRPr="00C3001B" w:rsidRDefault="006477DD" w:rsidP="001D6CB1">
      <w:pPr>
        <w:pStyle w:val="NormalWeb"/>
        <w:spacing w:line="276" w:lineRule="auto"/>
        <w:jc w:val="both"/>
      </w:pPr>
      <w:r w:rsidRPr="002F6E41">
        <w:rPr>
          <w:rStyle w:val="Strong"/>
          <w:b w:val="0"/>
        </w:rPr>
        <w:t>Co-pigmentation</w:t>
      </w:r>
      <w:r w:rsidRPr="00C3001B">
        <w:t xml:space="preserve"> is a natural phenomenon where anthocyanins interact with co-pigments such as </w:t>
      </w:r>
      <w:r w:rsidRPr="002F6E41">
        <w:rPr>
          <w:rStyle w:val="Strong"/>
          <w:b w:val="0"/>
        </w:rPr>
        <w:t>flavonoids</w:t>
      </w:r>
      <w:r w:rsidRPr="002F6E41">
        <w:rPr>
          <w:b/>
        </w:rPr>
        <w:t xml:space="preserve">, </w:t>
      </w:r>
      <w:r w:rsidRPr="002F6E41">
        <w:rPr>
          <w:rStyle w:val="Strong"/>
          <w:b w:val="0"/>
        </w:rPr>
        <w:t>phenolic acids</w:t>
      </w:r>
      <w:r w:rsidRPr="002F6E41">
        <w:rPr>
          <w:b/>
        </w:rPr>
        <w:t>,</w:t>
      </w:r>
      <w:r w:rsidRPr="00C3001B">
        <w:t xml:space="preserve"> and </w:t>
      </w:r>
      <w:r w:rsidRPr="002F6E41">
        <w:rPr>
          <w:rStyle w:val="Strong"/>
          <w:b w:val="0"/>
        </w:rPr>
        <w:t xml:space="preserve">metal </w:t>
      </w:r>
      <w:proofErr w:type="gramStart"/>
      <w:r w:rsidRPr="002F6E41">
        <w:rPr>
          <w:rStyle w:val="Strong"/>
          <w:b w:val="0"/>
        </w:rPr>
        <w:t>ions</w:t>
      </w:r>
      <w:r w:rsidRPr="00C3001B">
        <w:t>(</w:t>
      </w:r>
      <w:proofErr w:type="gramEnd"/>
      <w:r w:rsidRPr="00C3001B">
        <w:t>e.g., Mg²</w:t>
      </w:r>
      <w:r w:rsidRPr="00C3001B">
        <w:rPr>
          <w:rFonts w:ascii="Cambria Math" w:hAnsi="Cambria Math"/>
        </w:rPr>
        <w:t>⁺</w:t>
      </w:r>
      <w:r w:rsidRPr="00C3001B">
        <w:t>, Al³</w:t>
      </w:r>
      <w:r w:rsidRPr="00C3001B">
        <w:rPr>
          <w:rFonts w:ascii="Cambria Math" w:hAnsi="Cambria Math"/>
        </w:rPr>
        <w:t>⁺</w:t>
      </w:r>
      <w:r w:rsidRPr="00C3001B">
        <w:t xml:space="preserve">). These interactions form non-covalent complexes that enhance </w:t>
      </w:r>
      <w:proofErr w:type="spellStart"/>
      <w:r w:rsidRPr="00C3001B">
        <w:t>color</w:t>
      </w:r>
      <w:proofErr w:type="spellEnd"/>
      <w:r w:rsidRPr="00C3001B">
        <w:t xml:space="preserve"> intensity (hyperchromic effect) and shift hue (bathochromic shift), while also protecting the chromophore from degradation (Giusti &amp; </w:t>
      </w:r>
      <w:proofErr w:type="spellStart"/>
      <w:r w:rsidRPr="00C3001B">
        <w:t>Wrolstad</w:t>
      </w:r>
      <w:proofErr w:type="spellEnd"/>
      <w:r w:rsidRPr="00C3001B">
        <w:t xml:space="preserve">, 2001). This mechanism is commonly exploited in food and beverage industries to maintain vibrant </w:t>
      </w:r>
      <w:proofErr w:type="spellStart"/>
      <w:proofErr w:type="gramStart"/>
      <w:r w:rsidRPr="00C3001B">
        <w:t>coloring</w:t>
      </w:r>
      <w:proofErr w:type="spellEnd"/>
      <w:r w:rsidRPr="00C3001B">
        <w:t>..</w:t>
      </w:r>
      <w:proofErr w:type="gramEnd"/>
    </w:p>
    <w:p w:rsidR="00E66629" w:rsidRPr="004F1EE1" w:rsidRDefault="00E66629" w:rsidP="00E66629">
      <w:pPr>
        <w:pStyle w:val="Heading3"/>
        <w:jc w:val="both"/>
        <w:rPr>
          <w:b w:val="0"/>
          <w:sz w:val="24"/>
          <w:szCs w:val="24"/>
        </w:rPr>
      </w:pPr>
      <w:r w:rsidRPr="004F1EE1">
        <w:rPr>
          <w:rStyle w:val="Strong"/>
          <w:b/>
          <w:bCs/>
          <w:sz w:val="24"/>
          <w:szCs w:val="24"/>
        </w:rPr>
        <w:t>4. Health Benefits of Anthocyanins</w:t>
      </w:r>
    </w:p>
    <w:p w:rsidR="00E66629" w:rsidRPr="004F1EE1" w:rsidRDefault="00E66629" w:rsidP="004F1EE1">
      <w:pPr>
        <w:pStyle w:val="NormalWeb"/>
        <w:jc w:val="both"/>
      </w:pPr>
      <w:r w:rsidRPr="00E66629">
        <w:t>Anthocyanins are widely recognized for their diverse biological activities, which contribute significantly to the prevention and management of chronic and degenerative diseases. Their beneficial effects stem from their ability to act as antioxidants, modulate inflammatory responses, protect cardiovascular health, inhibit cancer progression, and safeguard neuronal function. The combined action of these mechanisms makes anthocyanins an important class of bioactive compounds in both dietary and therapeutic contexts.</w:t>
      </w:r>
    </w:p>
    <w:p w:rsidR="00E66629" w:rsidRPr="004F1EE1" w:rsidRDefault="00E66629" w:rsidP="00E66629">
      <w:pPr>
        <w:pStyle w:val="Heading4"/>
        <w:jc w:val="both"/>
        <w:rPr>
          <w:rFonts w:ascii="Times New Roman" w:hAnsi="Times New Roman" w:cs="Times New Roman"/>
          <w:b w:val="0"/>
          <w:i w:val="0"/>
          <w:color w:val="auto"/>
          <w:sz w:val="24"/>
          <w:szCs w:val="24"/>
        </w:rPr>
      </w:pPr>
      <w:r w:rsidRPr="004F1EE1">
        <w:rPr>
          <w:rStyle w:val="Strong"/>
          <w:rFonts w:ascii="Times New Roman" w:hAnsi="Times New Roman" w:cs="Times New Roman"/>
          <w:b/>
          <w:bCs/>
          <w:i w:val="0"/>
          <w:color w:val="auto"/>
          <w:sz w:val="24"/>
          <w:szCs w:val="24"/>
        </w:rPr>
        <w:t>Antioxidant Activity</w:t>
      </w:r>
    </w:p>
    <w:p w:rsidR="00E66629" w:rsidRDefault="00E66629" w:rsidP="004F1EE1">
      <w:pPr>
        <w:pStyle w:val="NormalWeb"/>
        <w:jc w:val="both"/>
      </w:pPr>
      <w:r w:rsidRPr="00E66629">
        <w:t xml:space="preserve">Anthocyanins are potent free radical scavengers capable of neutralizing </w:t>
      </w:r>
      <w:r w:rsidRPr="004F1EE1">
        <w:rPr>
          <w:rStyle w:val="Strong"/>
          <w:b w:val="0"/>
        </w:rPr>
        <w:t>reactive oxygen species (ROS)</w:t>
      </w:r>
      <w:r w:rsidRPr="00E66629">
        <w:t xml:space="preserve"> and </w:t>
      </w:r>
      <w:r w:rsidRPr="004F1EE1">
        <w:rPr>
          <w:rStyle w:val="Strong"/>
          <w:b w:val="0"/>
        </w:rPr>
        <w:t>reactive nitrogen species (RNS)</w:t>
      </w:r>
      <w:r w:rsidRPr="00E66629">
        <w:t xml:space="preserve">, which are by-products of normal metabolism and are elevated under conditions of stress (Tsuda, 2012). By preventing the accumulation of ROS and RNS, anthocyanins help protect lipids, proteins, and nucleic acids from oxidative damage. Beyond direct scavenging, they enhance the body’s </w:t>
      </w:r>
      <w:r w:rsidRPr="004F1EE1">
        <w:rPr>
          <w:rStyle w:val="Strong"/>
          <w:b w:val="0"/>
        </w:rPr>
        <w:t xml:space="preserve">endogenous antioxidant </w:t>
      </w:r>
      <w:proofErr w:type="spellStart"/>
      <w:r w:rsidRPr="004F1EE1">
        <w:rPr>
          <w:rStyle w:val="Strong"/>
          <w:b w:val="0"/>
        </w:rPr>
        <w:t>defense</w:t>
      </w:r>
      <w:proofErr w:type="spellEnd"/>
      <w:r w:rsidRPr="004F1EE1">
        <w:rPr>
          <w:rStyle w:val="Strong"/>
          <w:b w:val="0"/>
        </w:rPr>
        <w:t xml:space="preserve"> systems</w:t>
      </w:r>
      <w:r w:rsidRPr="00E66629">
        <w:t xml:space="preserve"> by upregulating enzymes such as </w:t>
      </w:r>
      <w:r w:rsidRPr="004F1EE1">
        <w:rPr>
          <w:rStyle w:val="Strong"/>
          <w:b w:val="0"/>
        </w:rPr>
        <w:t>superoxide dismutase (SOD)</w:t>
      </w:r>
      <w:r w:rsidRPr="00E66629">
        <w:t xml:space="preserve">, which converts superoxide radicals into hydrogen peroxide, and </w:t>
      </w:r>
      <w:r w:rsidRPr="004F1EE1">
        <w:rPr>
          <w:rStyle w:val="Strong"/>
          <w:b w:val="0"/>
        </w:rPr>
        <w:t>catalase</w:t>
      </w:r>
      <w:r w:rsidRPr="00E66629">
        <w:t>, which subsequently breaks down hydrogen peroxide into water and oxygen (He &amp; Giu</w:t>
      </w:r>
      <w:r w:rsidR="004F1EE1">
        <w:t xml:space="preserve">sti, 2010). This dual mechanism </w:t>
      </w:r>
      <w:r w:rsidRPr="00E66629">
        <w:t>direct neutralization and en</w:t>
      </w:r>
      <w:r w:rsidR="004F1EE1">
        <w:t xml:space="preserve">zyme induction </w:t>
      </w:r>
      <w:r w:rsidRPr="00E66629">
        <w:t xml:space="preserve">reduces </w:t>
      </w:r>
      <w:r w:rsidRPr="004F1EE1">
        <w:rPr>
          <w:rStyle w:val="Strong"/>
          <w:b w:val="0"/>
        </w:rPr>
        <w:t>lipid peroxidation</w:t>
      </w:r>
      <w:r w:rsidRPr="00E66629">
        <w:t xml:space="preserve"> (damage to cell membranes) and </w:t>
      </w:r>
      <w:r w:rsidRPr="004F1EE1">
        <w:rPr>
          <w:rStyle w:val="Strong"/>
          <w:b w:val="0"/>
        </w:rPr>
        <w:t>DNA strand breaks</w:t>
      </w:r>
      <w:r w:rsidRPr="00E66629">
        <w:t>, both of which are key contributors to aging and chronic disease.</w:t>
      </w:r>
    </w:p>
    <w:p w:rsidR="004F1EE1" w:rsidRPr="00E66629" w:rsidRDefault="004F1EE1" w:rsidP="004F1EE1">
      <w:pPr>
        <w:pStyle w:val="NormalWeb"/>
        <w:jc w:val="both"/>
      </w:pPr>
    </w:p>
    <w:p w:rsidR="00E66629" w:rsidRPr="004F1EE1" w:rsidRDefault="00E66629" w:rsidP="00E66629">
      <w:pPr>
        <w:pStyle w:val="Heading4"/>
        <w:jc w:val="both"/>
        <w:rPr>
          <w:rFonts w:ascii="Times New Roman" w:hAnsi="Times New Roman" w:cs="Times New Roman"/>
          <w:b w:val="0"/>
          <w:i w:val="0"/>
          <w:color w:val="auto"/>
          <w:sz w:val="24"/>
          <w:szCs w:val="24"/>
        </w:rPr>
      </w:pPr>
      <w:r w:rsidRPr="004F1EE1">
        <w:rPr>
          <w:rStyle w:val="Strong"/>
          <w:rFonts w:ascii="Times New Roman" w:hAnsi="Times New Roman" w:cs="Times New Roman"/>
          <w:b/>
          <w:bCs/>
          <w:i w:val="0"/>
          <w:color w:val="auto"/>
          <w:sz w:val="24"/>
          <w:szCs w:val="24"/>
        </w:rPr>
        <w:lastRenderedPageBreak/>
        <w:t>Anti-inflammatory Effects</w:t>
      </w:r>
    </w:p>
    <w:p w:rsidR="00E66629" w:rsidRPr="00E66629" w:rsidRDefault="00E66629" w:rsidP="00E66629">
      <w:pPr>
        <w:pStyle w:val="NormalWeb"/>
        <w:jc w:val="both"/>
      </w:pPr>
      <w:r w:rsidRPr="00E66629">
        <w:t xml:space="preserve">Chronic inflammation is a driving factor in the development of metabolic syndrome, cardiovascular disorders, and certain cancers. Anthocyanins exert anti-inflammatory effects by </w:t>
      </w:r>
      <w:r w:rsidRPr="004F1EE1">
        <w:rPr>
          <w:rStyle w:val="Strong"/>
          <w:b w:val="0"/>
        </w:rPr>
        <w:t>downregulating the expression of pro-inflammatory mediators</w:t>
      </w:r>
      <w:r w:rsidRPr="00E66629">
        <w:t xml:space="preserve"> such as </w:t>
      </w:r>
      <w:r w:rsidRPr="004F1EE1">
        <w:rPr>
          <w:rStyle w:val="Strong"/>
          <w:b w:val="0"/>
        </w:rPr>
        <w:t>cyclooxygenase-2 (COX-2)</w:t>
      </w:r>
      <w:r w:rsidRPr="00E66629">
        <w:t xml:space="preserve"> and </w:t>
      </w:r>
      <w:r w:rsidRPr="004F1EE1">
        <w:rPr>
          <w:rStyle w:val="Strong"/>
          <w:b w:val="0"/>
        </w:rPr>
        <w:t>nuclear factor kappa B (NF-</w:t>
      </w:r>
      <w:proofErr w:type="spellStart"/>
      <w:r w:rsidRPr="004F1EE1">
        <w:rPr>
          <w:rStyle w:val="Strong"/>
          <w:b w:val="0"/>
        </w:rPr>
        <w:t>κB</w:t>
      </w:r>
      <w:proofErr w:type="spellEnd"/>
      <w:r w:rsidRPr="004F1EE1">
        <w:rPr>
          <w:rStyle w:val="Strong"/>
          <w:b w:val="0"/>
        </w:rPr>
        <w:t>)</w:t>
      </w:r>
      <w:r w:rsidRPr="004F1EE1">
        <w:rPr>
          <w:b/>
        </w:rPr>
        <w:t>,</w:t>
      </w:r>
      <w:r w:rsidRPr="00E66629">
        <w:t xml:space="preserve"> a transcription factor that regulates genes involved in inflammation. They also </w:t>
      </w:r>
      <w:r w:rsidRPr="004F1EE1">
        <w:rPr>
          <w:rStyle w:val="Strong"/>
          <w:b w:val="0"/>
        </w:rPr>
        <w:t>reduce circulating levels of pro-inflammatory cytokines</w:t>
      </w:r>
      <w:r w:rsidRPr="00E66629">
        <w:t xml:space="preserve">, including </w:t>
      </w:r>
      <w:proofErr w:type="spellStart"/>
      <w:r w:rsidRPr="004F1EE1">
        <w:rPr>
          <w:rStyle w:val="Strong"/>
          <w:b w:val="0"/>
        </w:rPr>
        <w:t>tumor</w:t>
      </w:r>
      <w:proofErr w:type="spellEnd"/>
      <w:r w:rsidRPr="004F1EE1">
        <w:rPr>
          <w:rStyle w:val="Strong"/>
          <w:b w:val="0"/>
        </w:rPr>
        <w:t xml:space="preserve"> necrosis factor-alpha (TNF-α)</w:t>
      </w:r>
      <w:r w:rsidRPr="00E66629">
        <w:t xml:space="preserve"> and </w:t>
      </w:r>
      <w:r w:rsidRPr="004F1EE1">
        <w:rPr>
          <w:rStyle w:val="Strong"/>
          <w:b w:val="0"/>
        </w:rPr>
        <w:t>interleukin-6 (IL-6)</w:t>
      </w:r>
      <w:r w:rsidRPr="00E66629">
        <w:t xml:space="preserve"> (Wang &amp; Stoner, 2008). By inhibiting these inflammatory pathways, anthocyanins help prevent the tissue damage and metabolic disturbances associated with long-term inflammation.</w:t>
      </w:r>
    </w:p>
    <w:p w:rsidR="00E66629" w:rsidRPr="00E66629" w:rsidRDefault="00E66629" w:rsidP="00E66629">
      <w:pPr>
        <w:pStyle w:val="Heading4"/>
        <w:jc w:val="both"/>
        <w:rPr>
          <w:rFonts w:ascii="Times New Roman" w:hAnsi="Times New Roman" w:cs="Times New Roman"/>
          <w:b w:val="0"/>
          <w:i w:val="0"/>
          <w:color w:val="auto"/>
          <w:sz w:val="24"/>
          <w:szCs w:val="24"/>
        </w:rPr>
      </w:pPr>
      <w:r w:rsidRPr="00E66629">
        <w:rPr>
          <w:rStyle w:val="Strong"/>
          <w:rFonts w:ascii="Times New Roman" w:hAnsi="Times New Roman" w:cs="Times New Roman"/>
          <w:b/>
          <w:bCs/>
          <w:i w:val="0"/>
          <w:color w:val="auto"/>
          <w:sz w:val="24"/>
          <w:szCs w:val="24"/>
        </w:rPr>
        <w:t>Cardiovascular Protection</w:t>
      </w:r>
    </w:p>
    <w:p w:rsidR="00E66629" w:rsidRPr="00E66629" w:rsidRDefault="00E66629" w:rsidP="00E66629">
      <w:pPr>
        <w:pStyle w:val="NormalWeb"/>
        <w:jc w:val="both"/>
      </w:pPr>
      <w:r w:rsidRPr="00E66629">
        <w:t xml:space="preserve">The cardioprotective role of anthocyanins is linked to their ability to improve vascular health. They </w:t>
      </w:r>
      <w:r w:rsidRPr="00E66629">
        <w:rPr>
          <w:rStyle w:val="Strong"/>
          <w:b w:val="0"/>
        </w:rPr>
        <w:t>enhance nitric oxide (NO) bioavailability</w:t>
      </w:r>
      <w:r w:rsidRPr="00E66629">
        <w:t xml:space="preserve">, promoting vasodilation and improving blood flow (Wallace, 2011). This effect lowers vascular resistance, contributing to reduced blood pressure. Anthocyanins also </w:t>
      </w:r>
      <w:r w:rsidRPr="00E66629">
        <w:rPr>
          <w:rStyle w:val="Strong"/>
          <w:b w:val="0"/>
        </w:rPr>
        <w:t>inhibit the oxidation of low-density lipoprotein (LDL)</w:t>
      </w:r>
      <w:r w:rsidRPr="00E66629">
        <w:rPr>
          <w:rStyle w:val="Strong"/>
        </w:rPr>
        <w:t xml:space="preserve"> </w:t>
      </w:r>
      <w:r w:rsidRPr="00E66629">
        <w:rPr>
          <w:rStyle w:val="Strong"/>
          <w:b w:val="0"/>
        </w:rPr>
        <w:t>cholesterol</w:t>
      </w:r>
      <w:r w:rsidRPr="00E66629">
        <w:t xml:space="preserve">, a process that initiates the formation of atherosclerotic plaques. Regular intake of anthocyanin-rich foods has been associated with </w:t>
      </w:r>
      <w:r w:rsidRPr="00E66629">
        <w:rPr>
          <w:rStyle w:val="Strong"/>
          <w:b w:val="0"/>
        </w:rPr>
        <w:t>improved endothelial function</w:t>
      </w:r>
      <w:r w:rsidRPr="00E66629">
        <w:t xml:space="preserve"> and a </w:t>
      </w:r>
      <w:r w:rsidRPr="00E66629">
        <w:rPr>
          <w:rStyle w:val="Strong"/>
          <w:b w:val="0"/>
        </w:rPr>
        <w:t>lower risk of cardiovascular events</w:t>
      </w:r>
      <w:r w:rsidRPr="00E66629">
        <w:t>, such as heart attacks and strokes. In epidemiological studies, populations with higher berry consumption tend to exhibit a reduced incidence of hypertension and atherosclerosis.</w:t>
      </w:r>
    </w:p>
    <w:p w:rsidR="00E66629" w:rsidRPr="00E66629" w:rsidRDefault="00E66629" w:rsidP="00E66629">
      <w:pPr>
        <w:pStyle w:val="Heading4"/>
        <w:jc w:val="both"/>
        <w:rPr>
          <w:rFonts w:ascii="Times New Roman" w:hAnsi="Times New Roman" w:cs="Times New Roman"/>
          <w:b w:val="0"/>
          <w:i w:val="0"/>
          <w:color w:val="auto"/>
          <w:sz w:val="24"/>
          <w:szCs w:val="24"/>
        </w:rPr>
      </w:pPr>
      <w:r w:rsidRPr="00E66629">
        <w:rPr>
          <w:rStyle w:val="Strong"/>
          <w:rFonts w:ascii="Times New Roman" w:hAnsi="Times New Roman" w:cs="Times New Roman"/>
          <w:b/>
          <w:bCs/>
          <w:i w:val="0"/>
          <w:color w:val="auto"/>
          <w:sz w:val="24"/>
          <w:szCs w:val="24"/>
        </w:rPr>
        <w:t>Anti-cancer Activity</w:t>
      </w:r>
    </w:p>
    <w:p w:rsidR="00E66629" w:rsidRPr="00E66629" w:rsidRDefault="00E66629" w:rsidP="00E66629">
      <w:pPr>
        <w:pStyle w:val="NormalWeb"/>
        <w:jc w:val="both"/>
      </w:pPr>
      <w:r w:rsidRPr="00E66629">
        <w:t xml:space="preserve">In cancer biology, anthocyanins have demonstrated the ability to </w:t>
      </w:r>
      <w:r w:rsidRPr="00E66629">
        <w:rPr>
          <w:rStyle w:val="Strong"/>
          <w:b w:val="0"/>
        </w:rPr>
        <w:t>induce apoptosis</w:t>
      </w:r>
      <w:r w:rsidRPr="00E66629">
        <w:t xml:space="preserve"> (programmed cell death) in malignant cells while sparing healthy ones (Hou </w:t>
      </w:r>
      <w:r w:rsidRPr="00E66629">
        <w:rPr>
          <w:i/>
        </w:rPr>
        <w:t>et al</w:t>
      </w:r>
      <w:r w:rsidRPr="00E66629">
        <w:t xml:space="preserve">., 2010). They also </w:t>
      </w:r>
      <w:r w:rsidRPr="00E66629">
        <w:rPr>
          <w:rStyle w:val="Strong"/>
          <w:b w:val="0"/>
        </w:rPr>
        <w:t>inhibit cell cycle progression</w:t>
      </w:r>
      <w:r w:rsidRPr="00E66629">
        <w:t xml:space="preserve">, thereby slowing the rate of </w:t>
      </w:r>
      <w:proofErr w:type="spellStart"/>
      <w:r w:rsidRPr="00E66629">
        <w:t>tumor</w:t>
      </w:r>
      <w:proofErr w:type="spellEnd"/>
      <w:r w:rsidRPr="00E66629">
        <w:t xml:space="preserve"> growth. Through the modulation of </w:t>
      </w:r>
      <w:r w:rsidRPr="00E66629">
        <w:rPr>
          <w:rStyle w:val="Strong"/>
          <w:b w:val="0"/>
        </w:rPr>
        <w:t>PI3K/</w:t>
      </w:r>
      <w:proofErr w:type="spellStart"/>
      <w:r w:rsidRPr="00E66629">
        <w:rPr>
          <w:rStyle w:val="Strong"/>
          <w:b w:val="0"/>
        </w:rPr>
        <w:t>Akt</w:t>
      </w:r>
      <w:proofErr w:type="spellEnd"/>
      <w:r w:rsidRPr="00E66629">
        <w:t xml:space="preserve"> and </w:t>
      </w:r>
      <w:r w:rsidRPr="00E66629">
        <w:rPr>
          <w:rStyle w:val="Strong"/>
          <w:b w:val="0"/>
        </w:rPr>
        <w:t>MAPK</w:t>
      </w:r>
      <w:r>
        <w:t xml:space="preserve"> </w:t>
      </w:r>
      <w:proofErr w:type="spellStart"/>
      <w:r>
        <w:t>signaling</w:t>
      </w:r>
      <w:proofErr w:type="spellEnd"/>
      <w:r>
        <w:t xml:space="preserve"> pathways </w:t>
      </w:r>
      <w:r w:rsidRPr="00E66629">
        <w:t xml:space="preserve">key regulators of cell survival, </w:t>
      </w:r>
      <w:r>
        <w:t xml:space="preserve">proliferation, and angiogenesis </w:t>
      </w:r>
      <w:r w:rsidRPr="00E66629">
        <w:t xml:space="preserve">anthocyanins suppress the formation of new blood vessels that feed </w:t>
      </w:r>
      <w:proofErr w:type="spellStart"/>
      <w:r w:rsidRPr="00E66629">
        <w:t>tumors</w:t>
      </w:r>
      <w:proofErr w:type="spellEnd"/>
      <w:r w:rsidRPr="00E66629">
        <w:t xml:space="preserve">. Additionally, their antioxidant and anti-inflammatory properties indirectly contribute to cancer prevention by reducing DNA damage and chronic inflammation, both of which can initiate </w:t>
      </w:r>
      <w:proofErr w:type="spellStart"/>
      <w:r w:rsidRPr="00E66629">
        <w:t>tumor</w:t>
      </w:r>
      <w:proofErr w:type="spellEnd"/>
      <w:r w:rsidRPr="00E66629">
        <w:t xml:space="preserve"> development.</w:t>
      </w:r>
    </w:p>
    <w:p w:rsidR="00E66629" w:rsidRPr="00E66629" w:rsidRDefault="00E66629" w:rsidP="00E66629">
      <w:pPr>
        <w:pStyle w:val="Heading4"/>
        <w:jc w:val="both"/>
        <w:rPr>
          <w:rFonts w:ascii="Times New Roman" w:hAnsi="Times New Roman" w:cs="Times New Roman"/>
          <w:b w:val="0"/>
          <w:i w:val="0"/>
          <w:color w:val="auto"/>
          <w:sz w:val="24"/>
          <w:szCs w:val="24"/>
        </w:rPr>
      </w:pPr>
      <w:r w:rsidRPr="00E66629">
        <w:rPr>
          <w:rStyle w:val="Strong"/>
          <w:rFonts w:ascii="Times New Roman" w:hAnsi="Times New Roman" w:cs="Times New Roman"/>
          <w:b/>
          <w:bCs/>
          <w:i w:val="0"/>
          <w:color w:val="auto"/>
          <w:sz w:val="24"/>
          <w:szCs w:val="24"/>
        </w:rPr>
        <w:t>Neuroprotective Effects</w:t>
      </w:r>
    </w:p>
    <w:p w:rsidR="00E66629" w:rsidRPr="00E66629" w:rsidRDefault="00E66629" w:rsidP="00E66629">
      <w:pPr>
        <w:pStyle w:val="NormalWeb"/>
        <w:jc w:val="both"/>
      </w:pPr>
      <w:r w:rsidRPr="00E66629">
        <w:t xml:space="preserve">Anthocyanins are among the few dietary antioxidants capable of crossing the </w:t>
      </w:r>
      <w:r w:rsidRPr="00E66629">
        <w:rPr>
          <w:rStyle w:val="Strong"/>
          <w:b w:val="0"/>
        </w:rPr>
        <w:t>blood–brain barrier</w:t>
      </w:r>
      <w:r w:rsidRPr="00E66629">
        <w:rPr>
          <w:b/>
        </w:rPr>
        <w:t>,</w:t>
      </w:r>
      <w:r w:rsidRPr="00E66629">
        <w:t xml:space="preserve"> allowing them to directly influence brain tissue health (Shipp &amp; Abdel-</w:t>
      </w:r>
      <w:proofErr w:type="spellStart"/>
      <w:r w:rsidRPr="00E66629">
        <w:t>Aal</w:t>
      </w:r>
      <w:proofErr w:type="spellEnd"/>
      <w:r w:rsidRPr="00E66629">
        <w:t>, 2010). Once in the brain, they protect neurons from oxidative stress and reduce n</w:t>
      </w:r>
      <w:r>
        <w:t xml:space="preserve">euroinflammation </w:t>
      </w:r>
      <w:r w:rsidRPr="00E66629">
        <w:t xml:space="preserve">two major factors in neurodegenerative diseases such as </w:t>
      </w:r>
      <w:r w:rsidRPr="00E66629">
        <w:rPr>
          <w:rStyle w:val="Strong"/>
          <w:b w:val="0"/>
        </w:rPr>
        <w:t>Alzheimer’s</w:t>
      </w:r>
      <w:r w:rsidRPr="00E66629">
        <w:t xml:space="preserve"> and </w:t>
      </w:r>
      <w:r w:rsidRPr="00E66629">
        <w:rPr>
          <w:rStyle w:val="Strong"/>
          <w:b w:val="0"/>
        </w:rPr>
        <w:t>Parkinson’s</w:t>
      </w:r>
      <w:r w:rsidRPr="00E66629">
        <w:rPr>
          <w:b/>
        </w:rPr>
        <w:t>.</w:t>
      </w:r>
      <w:r w:rsidRPr="00E66629">
        <w:t xml:space="preserve"> Anthocyanins also interfere with the aggregation of </w:t>
      </w:r>
      <w:r w:rsidRPr="00E66629">
        <w:rPr>
          <w:rStyle w:val="Strong"/>
          <w:b w:val="0"/>
        </w:rPr>
        <w:t>amyloid-β peptides</w:t>
      </w:r>
      <w:r w:rsidRPr="00E66629">
        <w:t xml:space="preserve">, which are toxic protein deposits implicated in Alzheimer’s pathology. Furthermore, they support synaptic plasticity and neuronal </w:t>
      </w:r>
      <w:proofErr w:type="spellStart"/>
      <w:r w:rsidRPr="00E66629">
        <w:t>signaling</w:t>
      </w:r>
      <w:proofErr w:type="spellEnd"/>
      <w:r w:rsidRPr="00E66629">
        <w:t xml:space="preserve">, which are critical for </w:t>
      </w:r>
      <w:r w:rsidRPr="00E66629">
        <w:rPr>
          <w:rStyle w:val="Strong"/>
          <w:b w:val="0"/>
        </w:rPr>
        <w:t>memory</w:t>
      </w:r>
      <w:r w:rsidRPr="00E66629">
        <w:rPr>
          <w:rStyle w:val="Strong"/>
        </w:rPr>
        <w:t xml:space="preserve"> </w:t>
      </w:r>
      <w:r w:rsidRPr="00E66629">
        <w:rPr>
          <w:rStyle w:val="Strong"/>
          <w:b w:val="0"/>
        </w:rPr>
        <w:t>formation and cognitive performance</w:t>
      </w:r>
      <w:r w:rsidRPr="00E66629">
        <w:rPr>
          <w:b/>
        </w:rPr>
        <w:t>.</w:t>
      </w:r>
      <w:r w:rsidRPr="00E66629">
        <w:t xml:space="preserve"> In both experimental and observational studies, higher anthocyanin intake is associated with better learning ability, memory retention, and slower cognitive decline with aging.</w:t>
      </w:r>
    </w:p>
    <w:p w:rsidR="001D6CB1" w:rsidRDefault="001D6CB1" w:rsidP="001D6CB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6477DD" w:rsidRPr="00C3001B">
        <w:rPr>
          <w:rFonts w:ascii="Times New Roman" w:eastAsia="Times New Roman" w:hAnsi="Times New Roman" w:cs="Times New Roman"/>
          <w:b/>
          <w:bCs/>
          <w:sz w:val="24"/>
          <w:szCs w:val="24"/>
        </w:rPr>
        <w:t>Anthocyanins in Mulberry (</w:t>
      </w:r>
      <w:proofErr w:type="spellStart"/>
      <w:r w:rsidR="006477DD" w:rsidRPr="000965AA">
        <w:rPr>
          <w:rFonts w:ascii="Times New Roman" w:eastAsia="Times New Roman" w:hAnsi="Times New Roman" w:cs="Times New Roman"/>
          <w:b/>
          <w:bCs/>
          <w:i/>
          <w:sz w:val="24"/>
          <w:szCs w:val="24"/>
        </w:rPr>
        <w:t>Morus</w:t>
      </w:r>
      <w:proofErr w:type="spellEnd"/>
      <w:r w:rsidR="006477DD" w:rsidRPr="00C3001B">
        <w:rPr>
          <w:rFonts w:ascii="Times New Roman" w:eastAsia="Times New Roman" w:hAnsi="Times New Roman" w:cs="Times New Roman"/>
          <w:b/>
          <w:bCs/>
          <w:sz w:val="24"/>
          <w:szCs w:val="24"/>
        </w:rPr>
        <w:t xml:space="preserve"> spp.)</w:t>
      </w:r>
    </w:p>
    <w:p w:rsidR="006477DD" w:rsidRPr="001D6CB1" w:rsidRDefault="006477DD" w:rsidP="001D6CB1">
      <w:pPr>
        <w:spacing w:after="0" w:line="360" w:lineRule="auto"/>
        <w:jc w:val="both"/>
        <w:outlineLvl w:val="1"/>
        <w:rPr>
          <w:rFonts w:ascii="Times New Roman" w:eastAsia="Times New Roman" w:hAnsi="Times New Roman" w:cs="Times New Roman"/>
          <w:b/>
          <w:bCs/>
          <w:sz w:val="24"/>
          <w:szCs w:val="24"/>
        </w:rPr>
      </w:pPr>
      <w:r w:rsidRPr="001D6CB1">
        <w:rPr>
          <w:rStyle w:val="Strong"/>
          <w:rFonts w:ascii="Times New Roman" w:hAnsi="Times New Roman" w:cs="Times New Roman"/>
          <w:sz w:val="24"/>
          <w:szCs w:val="24"/>
        </w:rPr>
        <w:t>Types and Concentration</w:t>
      </w:r>
    </w:p>
    <w:p w:rsidR="006477DD" w:rsidRPr="00C3001B" w:rsidRDefault="006477DD" w:rsidP="0054269E">
      <w:pPr>
        <w:pStyle w:val="NormalWeb"/>
        <w:spacing w:before="0" w:beforeAutospacing="0" w:after="0" w:afterAutospacing="0" w:line="276" w:lineRule="auto"/>
        <w:jc w:val="both"/>
      </w:pPr>
      <w:r w:rsidRPr="00C3001B">
        <w:lastRenderedPageBreak/>
        <w:t xml:space="preserve">Mulberries are a rich natural source of anthocyanins, especially in </w:t>
      </w:r>
      <w:r w:rsidRPr="002F6E41">
        <w:rPr>
          <w:rStyle w:val="Strong"/>
          <w:b w:val="0"/>
        </w:rPr>
        <w:t>dark-fruited species</w:t>
      </w:r>
      <w:r w:rsidRPr="00C3001B">
        <w:t xml:space="preserve"> such as </w:t>
      </w:r>
      <w:proofErr w:type="spellStart"/>
      <w:r w:rsidRPr="00C3001B">
        <w:rPr>
          <w:rStyle w:val="Emphasis"/>
        </w:rPr>
        <w:t>Morus</w:t>
      </w:r>
      <w:proofErr w:type="spellEnd"/>
      <w:r w:rsidRPr="00C3001B">
        <w:rPr>
          <w:rStyle w:val="Emphasis"/>
        </w:rPr>
        <w:t xml:space="preserve"> </w:t>
      </w:r>
      <w:proofErr w:type="spellStart"/>
      <w:r w:rsidRPr="00C3001B">
        <w:rPr>
          <w:rStyle w:val="Emphasis"/>
        </w:rPr>
        <w:t>nigra</w:t>
      </w:r>
      <w:proofErr w:type="spellEnd"/>
      <w:r w:rsidRPr="00C3001B">
        <w:t xml:space="preserve">, </w:t>
      </w:r>
      <w:proofErr w:type="spellStart"/>
      <w:r w:rsidRPr="00C3001B">
        <w:rPr>
          <w:rStyle w:val="Emphasis"/>
        </w:rPr>
        <w:t>Morus</w:t>
      </w:r>
      <w:proofErr w:type="spellEnd"/>
      <w:r w:rsidRPr="00C3001B">
        <w:rPr>
          <w:rStyle w:val="Emphasis"/>
        </w:rPr>
        <w:t xml:space="preserve"> rubra</w:t>
      </w:r>
      <w:r w:rsidRPr="00C3001B">
        <w:t xml:space="preserve">, and </w:t>
      </w:r>
      <w:proofErr w:type="spellStart"/>
      <w:r w:rsidRPr="00C3001B">
        <w:rPr>
          <w:rStyle w:val="Emphasis"/>
        </w:rPr>
        <w:t>Morus</w:t>
      </w:r>
      <w:proofErr w:type="spellEnd"/>
      <w:r w:rsidRPr="00C3001B">
        <w:rPr>
          <w:rStyle w:val="Emphasis"/>
        </w:rPr>
        <w:t xml:space="preserve"> </w:t>
      </w:r>
      <w:proofErr w:type="spellStart"/>
      <w:r w:rsidRPr="00C3001B">
        <w:rPr>
          <w:rStyle w:val="Emphasis"/>
        </w:rPr>
        <w:t>indica</w:t>
      </w:r>
      <w:proofErr w:type="spellEnd"/>
      <w:r w:rsidRPr="00C3001B">
        <w:t xml:space="preserve">. The concentration and profile of anthocyanins vary with </w:t>
      </w:r>
      <w:r w:rsidRPr="002F6E41">
        <w:rPr>
          <w:rStyle w:val="Strong"/>
          <w:b w:val="0"/>
        </w:rPr>
        <w:t>species</w:t>
      </w:r>
      <w:r w:rsidRPr="002F6E41">
        <w:rPr>
          <w:b/>
        </w:rPr>
        <w:t xml:space="preserve">, </w:t>
      </w:r>
      <w:r w:rsidRPr="002F6E41">
        <w:rPr>
          <w:rStyle w:val="Strong"/>
          <w:b w:val="0"/>
        </w:rPr>
        <w:t>cultivar</w:t>
      </w:r>
      <w:r w:rsidRPr="002F6E41">
        <w:rPr>
          <w:b/>
        </w:rPr>
        <w:t xml:space="preserve">, </w:t>
      </w:r>
      <w:r w:rsidRPr="002F6E41">
        <w:rPr>
          <w:rStyle w:val="Strong"/>
          <w:b w:val="0"/>
        </w:rPr>
        <w:t>maturity stage</w:t>
      </w:r>
      <w:r w:rsidRPr="002F6E41">
        <w:rPr>
          <w:b/>
        </w:rPr>
        <w:t xml:space="preserve">, </w:t>
      </w:r>
      <w:proofErr w:type="spellStart"/>
      <w:r w:rsidRPr="002F6E41">
        <w:t>and</w:t>
      </w:r>
      <w:r w:rsidRPr="002F6E41">
        <w:rPr>
          <w:rStyle w:val="Strong"/>
          <w:b w:val="0"/>
        </w:rPr>
        <w:t>environmental</w:t>
      </w:r>
      <w:proofErr w:type="spellEnd"/>
      <w:r w:rsidRPr="002F6E41">
        <w:rPr>
          <w:rStyle w:val="Strong"/>
          <w:b w:val="0"/>
        </w:rPr>
        <w:t xml:space="preserve"> conditions</w:t>
      </w:r>
      <w:r w:rsidR="003405AD">
        <w:t>.</w:t>
      </w:r>
    </w:p>
    <w:p w:rsidR="006477DD" w:rsidRPr="00C3001B" w:rsidRDefault="006477DD" w:rsidP="001D6CB1">
      <w:pPr>
        <w:pStyle w:val="NormalWeb"/>
        <w:spacing w:line="276" w:lineRule="auto"/>
        <w:jc w:val="both"/>
      </w:pPr>
      <w:r w:rsidRPr="00C3001B">
        <w:t xml:space="preserve">Among the different anthocyanins identified, </w:t>
      </w:r>
      <w:r w:rsidRPr="002F6E41">
        <w:rPr>
          <w:rStyle w:val="Strong"/>
          <w:b w:val="0"/>
        </w:rPr>
        <w:t>cyanidin derivatives</w:t>
      </w:r>
      <w:r w:rsidRPr="00C3001B">
        <w:t xml:space="preserve"> are the most abundant and bioactive in mulberries. The </w:t>
      </w:r>
      <w:r w:rsidRPr="002F6E41">
        <w:rPr>
          <w:rStyle w:val="Strong"/>
          <w:b w:val="0"/>
        </w:rPr>
        <w:t>dominant compounds</w:t>
      </w:r>
      <w:r w:rsidRPr="00C3001B">
        <w:t xml:space="preserve"> include:</w:t>
      </w:r>
    </w:p>
    <w:p w:rsidR="006477DD" w:rsidRPr="00C3001B" w:rsidRDefault="006477DD" w:rsidP="001D6CB1">
      <w:pPr>
        <w:pStyle w:val="NormalWeb"/>
        <w:numPr>
          <w:ilvl w:val="0"/>
          <w:numId w:val="10"/>
        </w:numPr>
        <w:spacing w:line="276" w:lineRule="auto"/>
        <w:jc w:val="both"/>
      </w:pPr>
      <w:r w:rsidRPr="002F6E41">
        <w:rPr>
          <w:rStyle w:val="Strong"/>
          <w:b w:val="0"/>
        </w:rPr>
        <w:t>Cyanidin-3-O-glucoside</w:t>
      </w:r>
      <w:r w:rsidRPr="00C3001B">
        <w:t xml:space="preserve"> – the major anthocyanin, contributing significantly to the fruit's deep purple to black coloration and high antioxidant capacity</w:t>
      </w:r>
    </w:p>
    <w:p w:rsidR="006477DD" w:rsidRPr="00C3001B" w:rsidRDefault="006477DD" w:rsidP="001D6CB1">
      <w:pPr>
        <w:pStyle w:val="NormalWeb"/>
        <w:numPr>
          <w:ilvl w:val="0"/>
          <w:numId w:val="10"/>
        </w:numPr>
        <w:spacing w:line="276" w:lineRule="auto"/>
        <w:jc w:val="both"/>
      </w:pPr>
      <w:r w:rsidRPr="002F6E41">
        <w:rPr>
          <w:rStyle w:val="Strong"/>
          <w:b w:val="0"/>
        </w:rPr>
        <w:t>Cyanidin-3-O-rutinoside</w:t>
      </w:r>
      <w:r w:rsidRPr="00C3001B">
        <w:t xml:space="preserve"> – present in considerable quantities and known for its stability under acidic conditions</w:t>
      </w:r>
    </w:p>
    <w:p w:rsidR="006477DD" w:rsidRPr="00C3001B" w:rsidRDefault="006477DD" w:rsidP="001D6CB1">
      <w:pPr>
        <w:pStyle w:val="NormalWeb"/>
        <w:numPr>
          <w:ilvl w:val="0"/>
          <w:numId w:val="10"/>
        </w:numPr>
        <w:spacing w:line="276" w:lineRule="auto"/>
        <w:jc w:val="both"/>
      </w:pPr>
      <w:r w:rsidRPr="002F6E41">
        <w:rPr>
          <w:rStyle w:val="Strong"/>
          <w:b w:val="0"/>
        </w:rPr>
        <w:t>Pelargonidin-3-O-glucoside</w:t>
      </w:r>
      <w:r w:rsidRPr="00C3001B">
        <w:t xml:space="preserve"> – detected in lower amounts, usually more prevalent in red-purple cultivars (Li et </w:t>
      </w:r>
      <w:r w:rsidRPr="008B5786">
        <w:rPr>
          <w:i/>
        </w:rPr>
        <w:t>al</w:t>
      </w:r>
      <w:r w:rsidRPr="00C3001B">
        <w:t>., 2012)</w:t>
      </w:r>
    </w:p>
    <w:p w:rsidR="006477DD" w:rsidRPr="002F6E41" w:rsidRDefault="006477DD" w:rsidP="001D6CB1">
      <w:pPr>
        <w:pStyle w:val="NormalWeb"/>
        <w:spacing w:line="276" w:lineRule="auto"/>
        <w:jc w:val="both"/>
        <w:rPr>
          <w:b/>
        </w:rPr>
      </w:pPr>
      <w:r w:rsidRPr="00C3001B">
        <w:t xml:space="preserve">These anthocyanins are predominantly located in the skin of the fruit, but are also distributed in the pulp, contributing to both </w:t>
      </w:r>
      <w:r w:rsidRPr="002F6E41">
        <w:rPr>
          <w:rStyle w:val="Strong"/>
          <w:b w:val="0"/>
        </w:rPr>
        <w:t>visual appeal</w:t>
      </w:r>
      <w:r w:rsidRPr="00C3001B">
        <w:t xml:space="preserve"> and </w:t>
      </w:r>
      <w:r w:rsidRPr="002F6E41">
        <w:rPr>
          <w:rStyle w:val="Strong"/>
          <w:b w:val="0"/>
        </w:rPr>
        <w:t xml:space="preserve">functional </w:t>
      </w:r>
      <w:proofErr w:type="spellStart"/>
      <w:r w:rsidRPr="002F6E41">
        <w:rPr>
          <w:rStyle w:val="Strong"/>
          <w:b w:val="0"/>
        </w:rPr>
        <w:t>bioactivity</w:t>
      </w:r>
      <w:r w:rsidRPr="002F6E41">
        <w:rPr>
          <w:b/>
        </w:rPr>
        <w:t>.</w:t>
      </w:r>
      <w:r w:rsidRPr="00C3001B">
        <w:t>Quantitatively</w:t>
      </w:r>
      <w:proofErr w:type="spellEnd"/>
      <w:r w:rsidRPr="00C3001B">
        <w:t>, black mulberries (</w:t>
      </w:r>
      <w:r w:rsidRPr="00C3001B">
        <w:rPr>
          <w:rStyle w:val="Emphasis"/>
        </w:rPr>
        <w:t xml:space="preserve">M. </w:t>
      </w:r>
      <w:proofErr w:type="spellStart"/>
      <w:r w:rsidRPr="00C3001B">
        <w:rPr>
          <w:rStyle w:val="Emphasis"/>
        </w:rPr>
        <w:t>nigra</w:t>
      </w:r>
      <w:proofErr w:type="spellEnd"/>
      <w:r w:rsidRPr="00C3001B">
        <w:t xml:space="preserve">) have been reported to contain between </w:t>
      </w:r>
      <w:r w:rsidRPr="002F6E41">
        <w:rPr>
          <w:rStyle w:val="Strong"/>
          <w:b w:val="0"/>
        </w:rPr>
        <w:t>100–300 mg anthocyanins per 100 g fresh weight</w:t>
      </w:r>
      <w:r w:rsidRPr="00C3001B">
        <w:t>, whereas red mulberries (</w:t>
      </w:r>
      <w:r w:rsidRPr="00C3001B">
        <w:rPr>
          <w:rStyle w:val="Emphasis"/>
        </w:rPr>
        <w:t>M. rubra</w:t>
      </w:r>
      <w:r w:rsidRPr="00C3001B">
        <w:t>) show slightly lower levels, and white mulberries (</w:t>
      </w:r>
      <w:r w:rsidRPr="00C3001B">
        <w:rPr>
          <w:rStyle w:val="Emphasis"/>
        </w:rPr>
        <w:t>M. alba</w:t>
      </w:r>
      <w:r w:rsidRPr="00C3001B">
        <w:t>) possess negligible anthocyanin content due to the lack of pigmentation genes (</w:t>
      </w:r>
      <w:proofErr w:type="spellStart"/>
      <w:r w:rsidRPr="00C3001B">
        <w:t>Ercisli&amp;Orhan</w:t>
      </w:r>
      <w:proofErr w:type="spellEnd"/>
      <w:r w:rsidRPr="00C3001B">
        <w:t xml:space="preserve">, 2007).Cultivars such as </w:t>
      </w:r>
      <w:r w:rsidRPr="002F6E41">
        <w:rPr>
          <w:rStyle w:val="Strong"/>
          <w:b w:val="0"/>
        </w:rPr>
        <w:t>MR2</w:t>
      </w:r>
      <w:r w:rsidRPr="002F6E41">
        <w:rPr>
          <w:b/>
        </w:rPr>
        <w:t xml:space="preserve">, </w:t>
      </w:r>
      <w:r w:rsidRPr="002F6E41">
        <w:rPr>
          <w:rStyle w:val="Strong"/>
          <w:b w:val="0"/>
        </w:rPr>
        <w:t>S36</w:t>
      </w:r>
      <w:r w:rsidRPr="00C3001B">
        <w:t xml:space="preserve">, and </w:t>
      </w:r>
      <w:r w:rsidRPr="002F6E41">
        <w:rPr>
          <w:rStyle w:val="Strong"/>
          <w:b w:val="0"/>
        </w:rPr>
        <w:t>V1</w:t>
      </w:r>
      <w:r w:rsidRPr="00C3001B">
        <w:t xml:space="preserve"> in India have shown considerable variation in anthocyanin concentration and profile, making them important targets for breeding and functional food development (</w:t>
      </w:r>
      <w:proofErr w:type="spellStart"/>
      <w:r w:rsidRPr="00C3001B">
        <w:t>Menaka</w:t>
      </w:r>
      <w:proofErr w:type="spellEnd"/>
      <w:r w:rsidRPr="00C3001B">
        <w:t xml:space="preserve"> </w:t>
      </w:r>
      <w:r w:rsidRPr="008B5786">
        <w:rPr>
          <w:i/>
        </w:rPr>
        <w:t>et al</w:t>
      </w:r>
      <w:r w:rsidRPr="00C3001B">
        <w:t xml:space="preserve">., 2025).In summary, the anthocyanin content in mulberry fruits is diverse and largely composed of </w:t>
      </w:r>
      <w:r w:rsidRPr="002F6E41">
        <w:rPr>
          <w:rStyle w:val="Strong"/>
          <w:b w:val="0"/>
        </w:rPr>
        <w:t>cyanidin-based glycosides</w:t>
      </w:r>
      <w:r w:rsidRPr="00C3001B">
        <w:t xml:space="preserve">, making mulberries an excellent dietary source of natural antioxidants. Their high anthocyanin levels further enhance their utility in </w:t>
      </w:r>
      <w:r w:rsidRPr="002F6E41">
        <w:rPr>
          <w:rStyle w:val="Strong"/>
          <w:b w:val="0"/>
        </w:rPr>
        <w:t>functional beverages</w:t>
      </w:r>
      <w:r w:rsidRPr="002F6E41">
        <w:rPr>
          <w:b/>
        </w:rPr>
        <w:t xml:space="preserve">, </w:t>
      </w:r>
      <w:r w:rsidRPr="002F6E41">
        <w:rPr>
          <w:rStyle w:val="Strong"/>
          <w:b w:val="0"/>
        </w:rPr>
        <w:t>natural colorants</w:t>
      </w:r>
      <w:r w:rsidRPr="00C3001B">
        <w:t xml:space="preserve">, and </w:t>
      </w:r>
      <w:r w:rsidRPr="002F6E41">
        <w:rPr>
          <w:rStyle w:val="Strong"/>
          <w:b w:val="0"/>
        </w:rPr>
        <w:t>nutraceutical applications</w:t>
      </w:r>
      <w:r w:rsidRPr="002F6E41">
        <w:rPr>
          <w:b/>
        </w:rPr>
        <w:t>.</w:t>
      </w:r>
    </w:p>
    <w:p w:rsidR="00B52D85" w:rsidRPr="002F6E41" w:rsidRDefault="00B52D85" w:rsidP="001D6CB1">
      <w:pPr>
        <w:spacing w:before="100" w:beforeAutospacing="1" w:after="100" w:afterAutospacing="1"/>
        <w:jc w:val="both"/>
        <w:outlineLvl w:val="2"/>
        <w:rPr>
          <w:rFonts w:ascii="Times New Roman" w:eastAsia="Times New Roman" w:hAnsi="Times New Roman" w:cs="Times New Roman"/>
          <w:b/>
          <w:bCs/>
          <w:sz w:val="24"/>
          <w:szCs w:val="24"/>
        </w:rPr>
      </w:pPr>
      <w:r w:rsidRPr="002F6E41">
        <w:rPr>
          <w:rFonts w:ascii="Times New Roman" w:hAnsi="Times New Roman" w:cs="Times New Roman"/>
          <w:b/>
          <w:sz w:val="24"/>
          <w:szCs w:val="24"/>
        </w:rPr>
        <w:t>Quantitative Profile of Anthocyanins in Mulberry Species</w:t>
      </w:r>
    </w:p>
    <w:p w:rsidR="00B52D85" w:rsidRDefault="00B52D85" w:rsidP="001D6CB1">
      <w:pPr>
        <w:jc w:val="both"/>
        <w:rPr>
          <w:rFonts w:ascii="Times New Roman" w:hAnsi="Times New Roman" w:cs="Times New Roman"/>
          <w:sz w:val="24"/>
          <w:szCs w:val="24"/>
        </w:rPr>
      </w:pPr>
      <w:r w:rsidRPr="00C3001B">
        <w:rPr>
          <w:rFonts w:ascii="Times New Roman" w:hAnsi="Times New Roman" w:cs="Times New Roman"/>
          <w:sz w:val="24"/>
          <w:szCs w:val="24"/>
        </w:rPr>
        <w:t>Anthocyanin content in mulberry fruits varie</w:t>
      </w:r>
      <w:r w:rsidR="00397EB3">
        <w:rPr>
          <w:rFonts w:ascii="Times New Roman" w:hAnsi="Times New Roman" w:cs="Times New Roman"/>
          <w:sz w:val="24"/>
          <w:szCs w:val="24"/>
        </w:rPr>
        <w:t xml:space="preserve">s significantly among species. </w:t>
      </w:r>
      <w:proofErr w:type="spellStart"/>
      <w:r w:rsidR="00397EB3">
        <w:rPr>
          <w:rFonts w:ascii="Times New Roman" w:hAnsi="Times New Roman" w:cs="Times New Roman"/>
          <w:sz w:val="24"/>
          <w:szCs w:val="24"/>
        </w:rPr>
        <w:t>Morus</w:t>
      </w:r>
      <w:proofErr w:type="spellEnd"/>
      <w:r w:rsidR="00397EB3">
        <w:rPr>
          <w:rFonts w:ascii="Times New Roman" w:hAnsi="Times New Roman" w:cs="Times New Roman"/>
          <w:sz w:val="24"/>
          <w:szCs w:val="24"/>
        </w:rPr>
        <w:t xml:space="preserve"> </w:t>
      </w:r>
      <w:proofErr w:type="spellStart"/>
      <w:r w:rsidR="00397EB3">
        <w:rPr>
          <w:rFonts w:ascii="Times New Roman" w:hAnsi="Times New Roman" w:cs="Times New Roman"/>
          <w:sz w:val="24"/>
          <w:szCs w:val="24"/>
        </w:rPr>
        <w:t>nigra</w:t>
      </w:r>
      <w:proofErr w:type="spellEnd"/>
      <w:r w:rsidRPr="00C3001B">
        <w:rPr>
          <w:rFonts w:ascii="Times New Roman" w:hAnsi="Times New Roman" w:cs="Times New Roman"/>
          <w:sz w:val="24"/>
          <w:szCs w:val="24"/>
        </w:rPr>
        <w:t xml:space="preserve"> is particularly ric</w:t>
      </w:r>
      <w:r w:rsidR="00397EB3">
        <w:rPr>
          <w:rFonts w:ascii="Times New Roman" w:hAnsi="Times New Roman" w:cs="Times New Roman"/>
          <w:sz w:val="24"/>
          <w:szCs w:val="24"/>
        </w:rPr>
        <w:t xml:space="preserve">h in anthocyanins, followed by </w:t>
      </w:r>
      <w:proofErr w:type="spellStart"/>
      <w:r w:rsidRPr="00397EB3">
        <w:rPr>
          <w:rFonts w:ascii="Times New Roman" w:hAnsi="Times New Roman" w:cs="Times New Roman"/>
          <w:i/>
          <w:sz w:val="24"/>
          <w:szCs w:val="24"/>
        </w:rPr>
        <w:t>Morus</w:t>
      </w:r>
      <w:proofErr w:type="spellEnd"/>
      <w:r w:rsidRPr="00397EB3">
        <w:rPr>
          <w:rFonts w:ascii="Times New Roman" w:hAnsi="Times New Roman" w:cs="Times New Roman"/>
          <w:i/>
          <w:sz w:val="24"/>
          <w:szCs w:val="24"/>
        </w:rPr>
        <w:t xml:space="preserve"> rubra</w:t>
      </w:r>
      <w:r w:rsidR="00397EB3">
        <w:rPr>
          <w:rFonts w:ascii="Times New Roman" w:hAnsi="Times New Roman" w:cs="Times New Roman"/>
          <w:sz w:val="24"/>
          <w:szCs w:val="24"/>
        </w:rPr>
        <w:t xml:space="preserve">, while </w:t>
      </w:r>
      <w:proofErr w:type="spellStart"/>
      <w:r w:rsidR="00397EB3" w:rsidRPr="00397EB3">
        <w:rPr>
          <w:rFonts w:ascii="Times New Roman" w:hAnsi="Times New Roman" w:cs="Times New Roman"/>
          <w:i/>
          <w:sz w:val="24"/>
          <w:szCs w:val="24"/>
        </w:rPr>
        <w:t>Morus</w:t>
      </w:r>
      <w:proofErr w:type="spellEnd"/>
      <w:r w:rsidR="00397EB3" w:rsidRPr="00397EB3">
        <w:rPr>
          <w:rFonts w:ascii="Times New Roman" w:hAnsi="Times New Roman" w:cs="Times New Roman"/>
          <w:i/>
          <w:sz w:val="24"/>
          <w:szCs w:val="24"/>
        </w:rPr>
        <w:t xml:space="preserve"> alba</w:t>
      </w:r>
      <w:r w:rsidRPr="00C3001B">
        <w:rPr>
          <w:rFonts w:ascii="Times New Roman" w:hAnsi="Times New Roman" w:cs="Times New Roman"/>
          <w:sz w:val="24"/>
          <w:szCs w:val="24"/>
        </w:rPr>
        <w:t xml:space="preserve"> contains minimal amounts due to its lack of pigmentation. These differences are influenced by genetic, environmental, and post-harvest factors. Recent studies have reinforced earlier findings, </w:t>
      </w:r>
      <w:r w:rsidR="00397EB3">
        <w:rPr>
          <w:rFonts w:ascii="Times New Roman" w:hAnsi="Times New Roman" w:cs="Times New Roman"/>
          <w:sz w:val="24"/>
          <w:szCs w:val="24"/>
        </w:rPr>
        <w:t xml:space="preserve">with updated values confirming </w:t>
      </w:r>
      <w:proofErr w:type="spellStart"/>
      <w:r w:rsidR="00397EB3" w:rsidRPr="00397EB3">
        <w:rPr>
          <w:rFonts w:ascii="Times New Roman" w:hAnsi="Times New Roman" w:cs="Times New Roman"/>
          <w:i/>
          <w:sz w:val="24"/>
          <w:szCs w:val="24"/>
        </w:rPr>
        <w:t>Morus</w:t>
      </w:r>
      <w:proofErr w:type="spellEnd"/>
      <w:r w:rsidR="00397EB3" w:rsidRPr="00397EB3">
        <w:rPr>
          <w:rFonts w:ascii="Times New Roman" w:hAnsi="Times New Roman" w:cs="Times New Roman"/>
          <w:i/>
          <w:sz w:val="24"/>
          <w:szCs w:val="24"/>
        </w:rPr>
        <w:t xml:space="preserve"> </w:t>
      </w:r>
      <w:proofErr w:type="spellStart"/>
      <w:r w:rsidR="00397EB3" w:rsidRPr="00397EB3">
        <w:rPr>
          <w:rFonts w:ascii="Times New Roman" w:hAnsi="Times New Roman" w:cs="Times New Roman"/>
          <w:i/>
          <w:sz w:val="24"/>
          <w:szCs w:val="24"/>
        </w:rPr>
        <w:t>nigra</w:t>
      </w:r>
      <w:proofErr w:type="spellEnd"/>
      <w:r w:rsidRPr="00C3001B">
        <w:rPr>
          <w:rFonts w:ascii="Times New Roman" w:hAnsi="Times New Roman" w:cs="Times New Roman"/>
          <w:sz w:val="24"/>
          <w:szCs w:val="24"/>
        </w:rPr>
        <w:t xml:space="preserve"> as a potent source of natural anthocyanins.</w:t>
      </w:r>
    </w:p>
    <w:p w:rsidR="008C008A" w:rsidRPr="00C3001B" w:rsidRDefault="008C008A" w:rsidP="001D6CB1">
      <w:pPr>
        <w:jc w:val="both"/>
        <w:rPr>
          <w:rFonts w:ascii="Times New Roman" w:hAnsi="Times New Roman" w:cs="Times New Roman"/>
          <w:sz w:val="24"/>
          <w:szCs w:val="24"/>
        </w:rPr>
      </w:pPr>
      <w:r w:rsidRPr="00EF4EBB">
        <w:rPr>
          <w:rFonts w:ascii="Times New Roman" w:hAnsi="Times New Roman" w:cs="Times New Roman"/>
          <w:b/>
          <w:bCs/>
          <w:sz w:val="24"/>
          <w:szCs w:val="24"/>
        </w:rPr>
        <w:t xml:space="preserve">Table </w:t>
      </w:r>
      <w:proofErr w:type="gramStart"/>
      <w:r w:rsidRPr="00EF4EBB">
        <w:rPr>
          <w:rFonts w:ascii="Times New Roman" w:hAnsi="Times New Roman" w:cs="Times New Roman"/>
          <w:b/>
          <w:bCs/>
          <w:sz w:val="24"/>
          <w:szCs w:val="24"/>
        </w:rPr>
        <w:t>1:</w:t>
      </w:r>
      <w:r w:rsidR="00EF4EBB" w:rsidRPr="00D47647">
        <w:rPr>
          <w:rFonts w:ascii="Times New Roman" w:hAnsi="Times New Roman" w:cs="Times New Roman"/>
          <w:b/>
          <w:sz w:val="24"/>
          <w:szCs w:val="24"/>
        </w:rPr>
        <w:t>Total</w:t>
      </w:r>
      <w:proofErr w:type="gramEnd"/>
      <w:r w:rsidR="00EF4EBB" w:rsidRPr="00D47647">
        <w:rPr>
          <w:rFonts w:ascii="Times New Roman" w:hAnsi="Times New Roman" w:cs="Times New Roman"/>
          <w:b/>
          <w:sz w:val="24"/>
          <w:szCs w:val="24"/>
        </w:rPr>
        <w:t xml:space="preserve"> Anthocyanin Content (mg/100g FW)</w:t>
      </w:r>
      <w:r w:rsidR="00EF4EBB">
        <w:rPr>
          <w:rFonts w:ascii="Times New Roman" w:hAnsi="Times New Roman" w:cs="Times New Roman"/>
          <w:b/>
          <w:sz w:val="24"/>
          <w:szCs w:val="24"/>
        </w:rPr>
        <w:t xml:space="preserve"> in different </w:t>
      </w:r>
      <w:r w:rsidR="00EF4EBB" w:rsidRPr="00D47647">
        <w:rPr>
          <w:rFonts w:ascii="Times New Roman" w:hAnsi="Times New Roman" w:cs="Times New Roman"/>
          <w:b/>
          <w:sz w:val="24"/>
          <w:szCs w:val="24"/>
        </w:rPr>
        <w:t>Mulberry Species</w:t>
      </w:r>
    </w:p>
    <w:tbl>
      <w:tblPr>
        <w:tblStyle w:val="TableGrid"/>
        <w:tblW w:w="0" w:type="auto"/>
        <w:tblInd w:w="108" w:type="dxa"/>
        <w:tblLook w:val="04A0" w:firstRow="1" w:lastRow="0" w:firstColumn="1" w:lastColumn="0" w:noHBand="0" w:noVBand="1"/>
      </w:tblPr>
      <w:tblGrid>
        <w:gridCol w:w="2772"/>
        <w:gridCol w:w="2880"/>
        <w:gridCol w:w="3420"/>
      </w:tblGrid>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Mulberry Species</w:t>
            </w:r>
          </w:p>
        </w:tc>
        <w:tc>
          <w:tcPr>
            <w:tcW w:w="2880" w:type="dxa"/>
          </w:tcPr>
          <w:p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Total Anthocyanin Content (mg/100g FW)</w:t>
            </w:r>
          </w:p>
        </w:tc>
        <w:tc>
          <w:tcPr>
            <w:tcW w:w="3420" w:type="dxa"/>
          </w:tcPr>
          <w:p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References</w:t>
            </w:r>
          </w:p>
        </w:tc>
      </w:tr>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i/>
                <w:sz w:val="24"/>
                <w:szCs w:val="24"/>
              </w:rPr>
            </w:pPr>
            <w:proofErr w:type="spellStart"/>
            <w:r w:rsidRPr="00D47647">
              <w:rPr>
                <w:rFonts w:ascii="Times New Roman" w:hAnsi="Times New Roman" w:cs="Times New Roman"/>
                <w:i/>
                <w:sz w:val="24"/>
                <w:szCs w:val="24"/>
              </w:rPr>
              <w:t>Morus</w:t>
            </w:r>
            <w:proofErr w:type="spellEnd"/>
            <w:r w:rsidRPr="00D47647">
              <w:rPr>
                <w:rFonts w:ascii="Times New Roman" w:hAnsi="Times New Roman" w:cs="Times New Roman"/>
                <w:i/>
                <w:sz w:val="24"/>
                <w:szCs w:val="24"/>
              </w:rPr>
              <w:t xml:space="preserve"> </w:t>
            </w:r>
            <w:proofErr w:type="spellStart"/>
            <w:r w:rsidRPr="00D47647">
              <w:rPr>
                <w:rFonts w:ascii="Times New Roman" w:hAnsi="Times New Roman" w:cs="Times New Roman"/>
                <w:i/>
                <w:sz w:val="24"/>
                <w:szCs w:val="24"/>
              </w:rPr>
              <w:t>nigra</w:t>
            </w:r>
            <w:proofErr w:type="spellEnd"/>
          </w:p>
        </w:tc>
        <w:tc>
          <w:tcPr>
            <w:tcW w:w="288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100–300</w:t>
            </w:r>
          </w:p>
        </w:tc>
        <w:tc>
          <w:tcPr>
            <w:tcW w:w="3420" w:type="dxa"/>
          </w:tcPr>
          <w:p w:rsidR="00B52D85" w:rsidRPr="00C3001B" w:rsidRDefault="00B52D85" w:rsidP="001D6CB1">
            <w:pPr>
              <w:spacing w:line="276" w:lineRule="auto"/>
              <w:jc w:val="both"/>
              <w:rPr>
                <w:rFonts w:ascii="Times New Roman" w:hAnsi="Times New Roman" w:cs="Times New Roman"/>
                <w:sz w:val="24"/>
                <w:szCs w:val="24"/>
              </w:rPr>
            </w:pPr>
            <w:proofErr w:type="spellStart"/>
            <w:r w:rsidRPr="003502ED">
              <w:rPr>
                <w:rFonts w:ascii="Times New Roman" w:hAnsi="Times New Roman" w:cs="Times New Roman"/>
                <w:sz w:val="24"/>
                <w:szCs w:val="24"/>
                <w:lang w:val="es-US"/>
              </w:rPr>
              <w:t>Giusti&amp;Wrolstad</w:t>
            </w:r>
            <w:proofErr w:type="spellEnd"/>
            <w:r w:rsidRPr="003502ED">
              <w:rPr>
                <w:rFonts w:ascii="Times New Roman" w:hAnsi="Times New Roman" w:cs="Times New Roman"/>
                <w:sz w:val="24"/>
                <w:szCs w:val="24"/>
                <w:lang w:val="es-US"/>
              </w:rPr>
              <w:t xml:space="preserve"> (2001); </w:t>
            </w:r>
            <w:r w:rsidRPr="00C3001B">
              <w:rPr>
                <w:rFonts w:ascii="Times New Roman" w:hAnsi="Times New Roman" w:cs="Times New Roman"/>
                <w:sz w:val="24"/>
                <w:szCs w:val="24"/>
              </w:rPr>
              <w:t xml:space="preserve">Zhao </w:t>
            </w:r>
            <w:r w:rsidRPr="008B5786">
              <w:rPr>
                <w:rFonts w:ascii="Times New Roman" w:hAnsi="Times New Roman" w:cs="Times New Roman"/>
                <w:i/>
                <w:sz w:val="24"/>
                <w:szCs w:val="24"/>
              </w:rPr>
              <w:t>et al</w:t>
            </w:r>
            <w:r w:rsidRPr="00C3001B">
              <w:rPr>
                <w:rFonts w:ascii="Times New Roman" w:hAnsi="Times New Roman" w:cs="Times New Roman"/>
                <w:sz w:val="24"/>
                <w:szCs w:val="24"/>
              </w:rPr>
              <w:t>. (2023)</w:t>
            </w:r>
          </w:p>
        </w:tc>
      </w:tr>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i/>
                <w:sz w:val="24"/>
                <w:szCs w:val="24"/>
              </w:rPr>
            </w:pPr>
            <w:proofErr w:type="spellStart"/>
            <w:r w:rsidRPr="00D47647">
              <w:rPr>
                <w:rFonts w:ascii="Times New Roman" w:hAnsi="Times New Roman" w:cs="Times New Roman"/>
                <w:i/>
                <w:sz w:val="24"/>
                <w:szCs w:val="24"/>
              </w:rPr>
              <w:t>Morus</w:t>
            </w:r>
            <w:proofErr w:type="spellEnd"/>
            <w:r w:rsidRPr="00D47647">
              <w:rPr>
                <w:rFonts w:ascii="Times New Roman" w:hAnsi="Times New Roman" w:cs="Times New Roman"/>
                <w:i/>
                <w:sz w:val="24"/>
                <w:szCs w:val="24"/>
              </w:rPr>
              <w:t xml:space="preserve"> rubra</w:t>
            </w:r>
          </w:p>
        </w:tc>
        <w:tc>
          <w:tcPr>
            <w:tcW w:w="288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80–150</w:t>
            </w:r>
          </w:p>
        </w:tc>
        <w:tc>
          <w:tcPr>
            <w:tcW w:w="3420" w:type="dxa"/>
          </w:tcPr>
          <w:p w:rsidR="00B52D85" w:rsidRPr="00C3001B" w:rsidRDefault="00B52D85" w:rsidP="001D6CB1">
            <w:pPr>
              <w:spacing w:line="276" w:lineRule="auto"/>
              <w:jc w:val="both"/>
              <w:rPr>
                <w:rFonts w:ascii="Times New Roman" w:hAnsi="Times New Roman" w:cs="Times New Roman"/>
                <w:sz w:val="24"/>
                <w:szCs w:val="24"/>
              </w:rPr>
            </w:pPr>
            <w:r w:rsidRPr="003502ED">
              <w:rPr>
                <w:rFonts w:ascii="Times New Roman" w:hAnsi="Times New Roman" w:cs="Times New Roman"/>
                <w:sz w:val="24"/>
                <w:szCs w:val="24"/>
                <w:lang w:val="es-US"/>
              </w:rPr>
              <w:t xml:space="preserve">Li </w:t>
            </w:r>
            <w:r w:rsidRPr="008B5786">
              <w:rPr>
                <w:rFonts w:ascii="Times New Roman" w:hAnsi="Times New Roman" w:cs="Times New Roman"/>
                <w:i/>
                <w:sz w:val="24"/>
                <w:szCs w:val="24"/>
                <w:lang w:val="es-US"/>
              </w:rPr>
              <w:t>et al</w:t>
            </w:r>
            <w:r w:rsidRPr="003502ED">
              <w:rPr>
                <w:rFonts w:ascii="Times New Roman" w:hAnsi="Times New Roman" w:cs="Times New Roman"/>
                <w:sz w:val="24"/>
                <w:szCs w:val="24"/>
                <w:lang w:val="es-US"/>
              </w:rPr>
              <w:t xml:space="preserve">. </w:t>
            </w:r>
            <w:r w:rsidRPr="00C3001B">
              <w:rPr>
                <w:rFonts w:ascii="Times New Roman" w:hAnsi="Times New Roman" w:cs="Times New Roman"/>
                <w:sz w:val="24"/>
                <w:szCs w:val="24"/>
              </w:rPr>
              <w:t>(2021)</w:t>
            </w:r>
          </w:p>
        </w:tc>
      </w:tr>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i/>
                <w:sz w:val="24"/>
                <w:szCs w:val="24"/>
              </w:rPr>
            </w:pPr>
            <w:proofErr w:type="spellStart"/>
            <w:r w:rsidRPr="00D47647">
              <w:rPr>
                <w:rFonts w:ascii="Times New Roman" w:hAnsi="Times New Roman" w:cs="Times New Roman"/>
                <w:i/>
                <w:sz w:val="24"/>
                <w:szCs w:val="24"/>
              </w:rPr>
              <w:t>Morus</w:t>
            </w:r>
            <w:proofErr w:type="spellEnd"/>
            <w:r w:rsidRPr="00D47647">
              <w:rPr>
                <w:rFonts w:ascii="Times New Roman" w:hAnsi="Times New Roman" w:cs="Times New Roman"/>
                <w:i/>
                <w:sz w:val="24"/>
                <w:szCs w:val="24"/>
              </w:rPr>
              <w:t xml:space="preserve"> alba</w:t>
            </w:r>
          </w:p>
        </w:tc>
        <w:tc>
          <w:tcPr>
            <w:tcW w:w="288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1–10 (white or pale varieties)</w:t>
            </w:r>
          </w:p>
        </w:tc>
        <w:tc>
          <w:tcPr>
            <w:tcW w:w="342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 xml:space="preserve">Giusti &amp; </w:t>
            </w:r>
            <w:proofErr w:type="spellStart"/>
            <w:r w:rsidRPr="00C3001B">
              <w:rPr>
                <w:rFonts w:ascii="Times New Roman" w:hAnsi="Times New Roman" w:cs="Times New Roman"/>
                <w:sz w:val="24"/>
                <w:szCs w:val="24"/>
              </w:rPr>
              <w:t>Wrolstad</w:t>
            </w:r>
            <w:proofErr w:type="spellEnd"/>
            <w:r w:rsidRPr="00C3001B">
              <w:rPr>
                <w:rFonts w:ascii="Times New Roman" w:hAnsi="Times New Roman" w:cs="Times New Roman"/>
                <w:sz w:val="24"/>
                <w:szCs w:val="24"/>
              </w:rPr>
              <w:t xml:space="preserve"> (2001)</w:t>
            </w:r>
          </w:p>
        </w:tc>
      </w:tr>
    </w:tbl>
    <w:p w:rsidR="00B52D85" w:rsidRPr="005C0723" w:rsidRDefault="001D6CB1" w:rsidP="001D6CB1">
      <w:pPr>
        <w:spacing w:before="100" w:beforeAutospacing="1" w:after="100" w:afterAutospacing="1"/>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6. </w:t>
      </w:r>
      <w:r w:rsidR="00B52D85" w:rsidRPr="005C0723">
        <w:rPr>
          <w:rStyle w:val="Strong"/>
          <w:rFonts w:ascii="Times New Roman" w:hAnsi="Times New Roman" w:cs="Times New Roman"/>
          <w:bCs w:val="0"/>
          <w:sz w:val="24"/>
          <w:szCs w:val="24"/>
        </w:rPr>
        <w:t>Influence of Cultivar and Environment on Anthocyanin Content</w:t>
      </w:r>
    </w:p>
    <w:p w:rsidR="00B52D85" w:rsidRPr="00C3001B" w:rsidRDefault="00B52D85" w:rsidP="001D6CB1">
      <w:pPr>
        <w:pStyle w:val="NormalWeb"/>
        <w:spacing w:line="276" w:lineRule="auto"/>
        <w:jc w:val="both"/>
      </w:pPr>
      <w:r w:rsidRPr="00C3001B">
        <w:t>The anthocyanin composition and concentration in mulberries (</w:t>
      </w:r>
      <w:proofErr w:type="spellStart"/>
      <w:r w:rsidRPr="00C3001B">
        <w:rPr>
          <w:rStyle w:val="Emphasis"/>
        </w:rPr>
        <w:t>Morus</w:t>
      </w:r>
      <w:proofErr w:type="spellEnd"/>
      <w:r w:rsidRPr="00C3001B">
        <w:t xml:space="preserve"> spp.) are not uniform and are significantly influenced by both </w:t>
      </w:r>
      <w:r w:rsidRPr="002F6E41">
        <w:rPr>
          <w:rStyle w:val="Strong"/>
          <w:b w:val="0"/>
        </w:rPr>
        <w:t>genetic factors</w:t>
      </w:r>
      <w:r w:rsidRPr="00C3001B">
        <w:t xml:space="preserve"> (cultivar differences) and </w:t>
      </w:r>
      <w:r w:rsidRPr="002F6E41">
        <w:rPr>
          <w:rStyle w:val="Strong"/>
          <w:b w:val="0"/>
        </w:rPr>
        <w:t>environmental conditions</w:t>
      </w:r>
      <w:r w:rsidRPr="00C3001B">
        <w:t xml:space="preserve">. These variables play a pivotal role in determining the </w:t>
      </w:r>
      <w:proofErr w:type="spellStart"/>
      <w:r w:rsidRPr="00C3001B">
        <w:t>color</w:t>
      </w:r>
      <w:proofErr w:type="spellEnd"/>
      <w:r w:rsidRPr="00C3001B">
        <w:t xml:space="preserve"> intensity, bioactive potential, and functional quality of mulberry fruits (Li </w:t>
      </w:r>
      <w:r w:rsidRPr="008B5786">
        <w:rPr>
          <w:i/>
        </w:rPr>
        <w:t>et al</w:t>
      </w:r>
      <w:r w:rsidRPr="00C3001B">
        <w:t>., 2012).</w:t>
      </w:r>
    </w:p>
    <w:p w:rsidR="00B52D85" w:rsidRPr="00C3001B" w:rsidRDefault="00B52D85" w:rsidP="001D6CB1">
      <w:pPr>
        <w:pStyle w:val="Heading3"/>
        <w:spacing w:line="276" w:lineRule="auto"/>
        <w:jc w:val="both"/>
        <w:rPr>
          <w:sz w:val="24"/>
          <w:szCs w:val="24"/>
        </w:rPr>
      </w:pPr>
      <w:r w:rsidRPr="00C3001B">
        <w:rPr>
          <w:rStyle w:val="Strong"/>
          <w:b/>
          <w:bCs/>
          <w:sz w:val="24"/>
          <w:szCs w:val="24"/>
        </w:rPr>
        <w:t>Cultivar Variation</w:t>
      </w:r>
    </w:p>
    <w:p w:rsidR="00B52D85" w:rsidRPr="00C3001B" w:rsidRDefault="00B52D85" w:rsidP="001D6CB1">
      <w:pPr>
        <w:pStyle w:val="NormalWeb"/>
        <w:spacing w:line="276" w:lineRule="auto"/>
        <w:jc w:val="both"/>
      </w:pPr>
      <w:r w:rsidRPr="00C3001B">
        <w:t xml:space="preserve">Among mulberry cultivars, there exists a wide range of anthocyanin content, largely attributed to genetic differences in metabolic pathways regulating flavonoid biosynthesis. Indian cultivars such as </w:t>
      </w:r>
      <w:r w:rsidRPr="003C1B4B">
        <w:rPr>
          <w:rStyle w:val="Strong"/>
          <w:b w:val="0"/>
        </w:rPr>
        <w:t>MR2</w:t>
      </w:r>
      <w:r w:rsidRPr="003C1B4B">
        <w:rPr>
          <w:b/>
        </w:rPr>
        <w:t xml:space="preserve">, </w:t>
      </w:r>
      <w:r w:rsidRPr="003C1B4B">
        <w:rPr>
          <w:rStyle w:val="Strong"/>
          <w:b w:val="0"/>
        </w:rPr>
        <w:t>S36</w:t>
      </w:r>
      <w:r w:rsidRPr="003C1B4B">
        <w:rPr>
          <w:b/>
        </w:rPr>
        <w:t>,</w:t>
      </w:r>
      <w:r w:rsidRPr="00C3001B">
        <w:t xml:space="preserve"> and </w:t>
      </w:r>
      <w:r w:rsidRPr="003C1B4B">
        <w:rPr>
          <w:rStyle w:val="Strong"/>
          <w:b w:val="0"/>
        </w:rPr>
        <w:t>V1</w:t>
      </w:r>
      <w:r w:rsidRPr="00C3001B">
        <w:t xml:space="preserve"> have been documented to show substantial variation in anthocyanin concentration and </w:t>
      </w:r>
      <w:proofErr w:type="spellStart"/>
      <w:r w:rsidRPr="00C3001B">
        <w:t>color</w:t>
      </w:r>
      <w:proofErr w:type="spellEnd"/>
      <w:r w:rsidRPr="00C3001B">
        <w:t xml:space="preserve"> expression (</w:t>
      </w:r>
      <w:proofErr w:type="spellStart"/>
      <w:r w:rsidRPr="00C3001B">
        <w:t>Menaka</w:t>
      </w:r>
      <w:proofErr w:type="spellEnd"/>
      <w:r w:rsidRPr="00C3001B">
        <w:t xml:space="preserve"> </w:t>
      </w:r>
      <w:r w:rsidRPr="00495693">
        <w:rPr>
          <w:i/>
        </w:rPr>
        <w:t>et al</w:t>
      </w:r>
      <w:r w:rsidRPr="00C3001B">
        <w:t xml:space="preserve">., 2025). For instance, MR2 is known to produce deep purple to black fruits with significantly higher levels of </w:t>
      </w:r>
      <w:r w:rsidRPr="003C1B4B">
        <w:rPr>
          <w:rStyle w:val="Strong"/>
          <w:b w:val="0"/>
        </w:rPr>
        <w:t>cyanidin-3-glucoside</w:t>
      </w:r>
      <w:r w:rsidRPr="00C3001B">
        <w:t>, while S36 exhibits red to black hues with moderate anthocyanin levels. V1, on the other hand, generally yields black fruits with consistent pigment stability and sweetness. These differences are crucial for selecting cultivars for juice production, functional beverage formulation, or natural pigment extraction.</w:t>
      </w:r>
    </w:p>
    <w:p w:rsidR="00B52D85" w:rsidRPr="00C3001B" w:rsidRDefault="00B52D85" w:rsidP="001D6CB1">
      <w:pPr>
        <w:pStyle w:val="Heading3"/>
        <w:spacing w:line="276" w:lineRule="auto"/>
        <w:jc w:val="both"/>
        <w:rPr>
          <w:sz w:val="24"/>
          <w:szCs w:val="24"/>
        </w:rPr>
      </w:pPr>
      <w:r w:rsidRPr="00C3001B">
        <w:rPr>
          <w:rStyle w:val="Strong"/>
          <w:b/>
          <w:bCs/>
          <w:sz w:val="24"/>
          <w:szCs w:val="24"/>
        </w:rPr>
        <w:t>Agro</w:t>
      </w:r>
      <w:r w:rsidR="00F424A0">
        <w:rPr>
          <w:rStyle w:val="Strong"/>
          <w:b/>
          <w:bCs/>
          <w:sz w:val="24"/>
          <w:szCs w:val="24"/>
        </w:rPr>
        <w:t>-</w:t>
      </w:r>
      <w:r w:rsidRPr="00C3001B">
        <w:rPr>
          <w:rStyle w:val="Strong"/>
          <w:b/>
          <w:bCs/>
          <w:sz w:val="24"/>
          <w:szCs w:val="24"/>
        </w:rPr>
        <w:t>climatic Factors</w:t>
      </w:r>
    </w:p>
    <w:p w:rsidR="00B52D85" w:rsidRPr="00C3001B" w:rsidRDefault="00B52D85" w:rsidP="001D6CB1">
      <w:pPr>
        <w:pStyle w:val="NormalWeb"/>
        <w:spacing w:line="276" w:lineRule="auto"/>
        <w:jc w:val="both"/>
      </w:pPr>
      <w:r w:rsidRPr="00C3001B">
        <w:t xml:space="preserve">Environmental conditions such as </w:t>
      </w:r>
      <w:r w:rsidRPr="003C1B4B">
        <w:rPr>
          <w:rStyle w:val="Strong"/>
          <w:b w:val="0"/>
        </w:rPr>
        <w:t>sunlight intensity</w:t>
      </w:r>
      <w:r w:rsidRPr="003C1B4B">
        <w:rPr>
          <w:b/>
        </w:rPr>
        <w:t xml:space="preserve">, </w:t>
      </w:r>
      <w:r w:rsidRPr="003C1B4B">
        <w:rPr>
          <w:rStyle w:val="Strong"/>
          <w:b w:val="0"/>
        </w:rPr>
        <w:t>altitude</w:t>
      </w:r>
      <w:r w:rsidRPr="003C1B4B">
        <w:rPr>
          <w:b/>
        </w:rPr>
        <w:t xml:space="preserve">, </w:t>
      </w:r>
      <w:r w:rsidRPr="003C1B4B">
        <w:rPr>
          <w:rStyle w:val="Strong"/>
          <w:b w:val="0"/>
        </w:rPr>
        <w:t>soil type</w:t>
      </w:r>
      <w:r w:rsidRPr="003C1B4B">
        <w:rPr>
          <w:b/>
        </w:rPr>
        <w:t xml:space="preserve">, </w:t>
      </w:r>
      <w:proofErr w:type="spellStart"/>
      <w:r w:rsidRPr="003C1B4B">
        <w:t>and</w:t>
      </w:r>
      <w:r w:rsidRPr="003C1B4B">
        <w:rPr>
          <w:rStyle w:val="Strong"/>
          <w:b w:val="0"/>
        </w:rPr>
        <w:t>temperature</w:t>
      </w:r>
      <w:proofErr w:type="spellEnd"/>
      <w:r w:rsidRPr="00C3001B">
        <w:t xml:space="preserve"> during fruit development greatly affect anthocyanin biosynthesis. Increased light exposure, especially UV radiation, upregulates the expression of flavonoid pathway genes, enhancing pigment accumulation (</w:t>
      </w:r>
      <w:proofErr w:type="spellStart"/>
      <w:r w:rsidRPr="00C3001B">
        <w:t>Gonzali</w:t>
      </w:r>
      <w:proofErr w:type="spellEnd"/>
      <w:r w:rsidRPr="00C3001B">
        <w:t xml:space="preserve"> </w:t>
      </w:r>
      <w:r w:rsidRPr="00495693">
        <w:rPr>
          <w:i/>
        </w:rPr>
        <w:t>et al</w:t>
      </w:r>
      <w:r w:rsidRPr="00C3001B">
        <w:t xml:space="preserve">., 2009). Likewise, cooler </w:t>
      </w:r>
      <w:proofErr w:type="spellStart"/>
      <w:r w:rsidRPr="00C3001B">
        <w:t>nighttime</w:t>
      </w:r>
      <w:proofErr w:type="spellEnd"/>
      <w:r w:rsidRPr="00C3001B">
        <w:t xml:space="preserve"> temperatures at higher altitudes </w:t>
      </w:r>
      <w:proofErr w:type="spellStart"/>
      <w:r w:rsidRPr="00C3001B">
        <w:t>favor</w:t>
      </w:r>
      <w:proofErr w:type="spellEnd"/>
      <w:r w:rsidRPr="00C3001B">
        <w:t xml:space="preserve"> anthocyanin stability by slowing degradation processes (</w:t>
      </w:r>
      <w:proofErr w:type="spellStart"/>
      <w:r w:rsidRPr="00C3001B">
        <w:t>Ercisli&amp;Orhan</w:t>
      </w:r>
      <w:proofErr w:type="spellEnd"/>
      <w:r w:rsidRPr="00C3001B">
        <w:t>, 2007). Conversely, high temperatures may reduce pigment stability and promote oxidation.</w:t>
      </w:r>
    </w:p>
    <w:p w:rsidR="00B52D85" w:rsidRPr="00C3001B" w:rsidRDefault="00B52D85" w:rsidP="001D6CB1">
      <w:pPr>
        <w:pStyle w:val="Heading3"/>
        <w:spacing w:line="276" w:lineRule="auto"/>
        <w:jc w:val="both"/>
        <w:rPr>
          <w:sz w:val="24"/>
          <w:szCs w:val="24"/>
        </w:rPr>
      </w:pPr>
      <w:r w:rsidRPr="00C3001B">
        <w:rPr>
          <w:rStyle w:val="Strong"/>
          <w:b/>
          <w:bCs/>
          <w:sz w:val="24"/>
          <w:szCs w:val="24"/>
        </w:rPr>
        <w:t>Fruit Maturity</w:t>
      </w:r>
    </w:p>
    <w:p w:rsidR="00B52D85" w:rsidRPr="00C3001B" w:rsidRDefault="00B52D85" w:rsidP="001D6CB1">
      <w:pPr>
        <w:pStyle w:val="NormalWeb"/>
        <w:spacing w:line="276" w:lineRule="auto"/>
        <w:jc w:val="both"/>
      </w:pPr>
      <w:r w:rsidRPr="00C3001B">
        <w:t xml:space="preserve">The </w:t>
      </w:r>
      <w:r w:rsidRPr="003C1B4B">
        <w:rPr>
          <w:rStyle w:val="Strong"/>
          <w:b w:val="0"/>
        </w:rPr>
        <w:t>stage of ripening</w:t>
      </w:r>
      <w:r w:rsidRPr="00C3001B">
        <w:t xml:space="preserve"> plays a critical role in anthocyanin accumulation. Immature mulberries are typically green or white with negligible anthocyanin content. As ripening progresses, anthocyanin biosynthesis intensifies, resulting in </w:t>
      </w:r>
      <w:proofErr w:type="spellStart"/>
      <w:r w:rsidRPr="00C3001B">
        <w:t>color</w:t>
      </w:r>
      <w:proofErr w:type="spellEnd"/>
      <w:r w:rsidRPr="00C3001B">
        <w:t xml:space="preserve"> deepening from red to purple or black. Peak anthocyanin levels are generally observed at full maturity, which also correlates with maximum antioxidant activity.</w:t>
      </w:r>
      <w:r w:rsidR="00F424A0">
        <w:t xml:space="preserve"> T</w:t>
      </w:r>
      <w:r w:rsidRPr="00C3001B">
        <w:t>he anthocyanin content in mulberries is highly dynamic and influenced by cultivar genotype, agroclimatic conditions, and physiological maturity. Optimizing these factors is key to maximizing the health benefits and commercial value of mulberry-based products.</w:t>
      </w:r>
    </w:p>
    <w:p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Stability in Processing</w:t>
      </w:r>
    </w:p>
    <w:p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Mulberry anthocyanins are relatively stable under acidic conditions.</w:t>
      </w:r>
    </w:p>
    <w:p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Retention is higher in low-temperature pasteurization and fermentation (e.g., probiotic juices).</w:t>
      </w:r>
    </w:p>
    <w:p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lastRenderedPageBreak/>
        <w:t xml:space="preserve">Heat, oxygen, and light can lead to degradation, causing </w:t>
      </w:r>
      <w:proofErr w:type="spellStart"/>
      <w:r w:rsidRPr="006477DD">
        <w:rPr>
          <w:rFonts w:ascii="Times New Roman" w:eastAsia="Times New Roman" w:hAnsi="Times New Roman" w:cs="Times New Roman"/>
          <w:sz w:val="24"/>
          <w:szCs w:val="24"/>
        </w:rPr>
        <w:t>color</w:t>
      </w:r>
      <w:proofErr w:type="spellEnd"/>
      <w:r w:rsidRPr="006477DD">
        <w:rPr>
          <w:rFonts w:ascii="Times New Roman" w:eastAsia="Times New Roman" w:hAnsi="Times New Roman" w:cs="Times New Roman"/>
          <w:sz w:val="24"/>
          <w:szCs w:val="24"/>
        </w:rPr>
        <w:t xml:space="preserve"> loss and reduced antioxidant potential.</w:t>
      </w:r>
    </w:p>
    <w:p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6477DD" w:rsidRPr="00C3001B">
        <w:rPr>
          <w:rFonts w:ascii="Times New Roman" w:eastAsia="Times New Roman" w:hAnsi="Times New Roman" w:cs="Times New Roman"/>
          <w:b/>
          <w:bCs/>
          <w:sz w:val="24"/>
          <w:szCs w:val="24"/>
        </w:rPr>
        <w:t>Functional and Industrial Applications</w:t>
      </w:r>
    </w:p>
    <w:p w:rsidR="00B52D85" w:rsidRPr="00C3001B" w:rsidRDefault="00B52D85" w:rsidP="001D6CB1">
      <w:pPr>
        <w:pStyle w:val="Heading2"/>
        <w:spacing w:line="276" w:lineRule="auto"/>
        <w:jc w:val="both"/>
        <w:rPr>
          <w:sz w:val="24"/>
          <w:szCs w:val="24"/>
        </w:rPr>
      </w:pPr>
      <w:r w:rsidRPr="00C3001B">
        <w:rPr>
          <w:rStyle w:val="Strong"/>
          <w:b/>
          <w:bCs/>
          <w:sz w:val="24"/>
          <w:szCs w:val="24"/>
        </w:rPr>
        <w:t>Functional and Industrial Applications of Anthocyanins</w:t>
      </w:r>
    </w:p>
    <w:p w:rsidR="00B52D85" w:rsidRPr="00C3001B" w:rsidRDefault="00B52D85" w:rsidP="001D6CB1">
      <w:pPr>
        <w:pStyle w:val="NormalWeb"/>
        <w:spacing w:line="276" w:lineRule="auto"/>
        <w:jc w:val="both"/>
      </w:pPr>
      <w:r w:rsidRPr="00C3001B">
        <w:t xml:space="preserve">Anthocyanins, beyond their nutritional and therapeutic roles, have gained considerable importance in various industries owing to their </w:t>
      </w:r>
      <w:r w:rsidRPr="003C1B4B">
        <w:rPr>
          <w:rStyle w:val="Strong"/>
          <w:b w:val="0"/>
        </w:rPr>
        <w:t>natural origin</w:t>
      </w:r>
      <w:r w:rsidRPr="003C1B4B">
        <w:rPr>
          <w:b/>
        </w:rPr>
        <w:t xml:space="preserve">, </w:t>
      </w:r>
      <w:r w:rsidRPr="003C1B4B">
        <w:rPr>
          <w:rStyle w:val="Strong"/>
          <w:b w:val="0"/>
        </w:rPr>
        <w:t>vibrant coloration</w:t>
      </w:r>
      <w:r w:rsidRPr="003C1B4B">
        <w:rPr>
          <w:b/>
        </w:rPr>
        <w:t>,</w:t>
      </w:r>
      <w:r w:rsidRPr="00C3001B">
        <w:t xml:space="preserve"> and </w:t>
      </w:r>
      <w:r w:rsidRPr="003C1B4B">
        <w:rPr>
          <w:rStyle w:val="Strong"/>
          <w:b w:val="0"/>
        </w:rPr>
        <w:t>multifunctional bioactivity</w:t>
      </w:r>
      <w:r w:rsidRPr="003C1B4B">
        <w:rPr>
          <w:b/>
        </w:rPr>
        <w:t>.</w:t>
      </w:r>
      <w:r w:rsidRPr="00C3001B">
        <w:t xml:space="preserve"> Their applications span across the food, nutraceutical, pharmaceutical, and cosmetic sectors, often replacing synthetic additives and dyes due to growing consumer demand for clean-label products.</w:t>
      </w:r>
    </w:p>
    <w:p w:rsidR="00B52D85" w:rsidRPr="00C3001B" w:rsidRDefault="00B52D85" w:rsidP="001D6CB1">
      <w:pPr>
        <w:pStyle w:val="Heading3"/>
        <w:spacing w:line="276" w:lineRule="auto"/>
        <w:jc w:val="both"/>
        <w:rPr>
          <w:sz w:val="24"/>
          <w:szCs w:val="24"/>
        </w:rPr>
      </w:pPr>
      <w:r w:rsidRPr="00C3001B">
        <w:rPr>
          <w:rStyle w:val="Strong"/>
          <w:b/>
          <w:bCs/>
          <w:sz w:val="24"/>
          <w:szCs w:val="24"/>
        </w:rPr>
        <w:t>Food Colorants</w:t>
      </w:r>
    </w:p>
    <w:p w:rsidR="00B52D85" w:rsidRPr="00C3001B" w:rsidRDefault="00B52D85" w:rsidP="001D6CB1">
      <w:pPr>
        <w:pStyle w:val="NormalWeb"/>
        <w:spacing w:line="276" w:lineRule="auto"/>
        <w:jc w:val="both"/>
      </w:pPr>
      <w:r w:rsidRPr="00C3001B">
        <w:t xml:space="preserve">Anthocyanins are widely used as </w:t>
      </w:r>
      <w:r w:rsidRPr="003C1B4B">
        <w:rPr>
          <w:rStyle w:val="Strong"/>
          <w:b w:val="0"/>
        </w:rPr>
        <w:t>natural food colorants</w:t>
      </w:r>
      <w:r w:rsidRPr="00C3001B">
        <w:t xml:space="preserve"> (E163) in beverages, yogurts, candies, jams, and bakery items. Their bright red to purple-blue hues, depending on pH, make them ideal for acidic food systems like fruit juices and carbonated drinks (He &amp; Giusti, 2010). They are particularly valued in the production of </w:t>
      </w:r>
      <w:r w:rsidRPr="003C1B4B">
        <w:rPr>
          <w:rStyle w:val="Strong"/>
          <w:b w:val="0"/>
        </w:rPr>
        <w:t>functional beverages</w:t>
      </w:r>
      <w:r w:rsidRPr="00C3001B">
        <w:t xml:space="preserve"> where both </w:t>
      </w:r>
      <w:proofErr w:type="spellStart"/>
      <w:r w:rsidRPr="00C3001B">
        <w:t>color</w:t>
      </w:r>
      <w:proofErr w:type="spellEnd"/>
      <w:r w:rsidRPr="00C3001B">
        <w:t xml:space="preserve"> appeal and antioxidant benefits are desired. However, stability challenges related to pH, heat, and light must be addressed through formulation techniques such as co-pigmentation or encapsulation.</w:t>
      </w:r>
    </w:p>
    <w:p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Nutraceuticals and Functional Foods</w:t>
      </w:r>
    </w:p>
    <w:p w:rsidR="00B52D85" w:rsidRPr="00C3001B" w:rsidRDefault="00B52D85" w:rsidP="001D6CB1">
      <w:pPr>
        <w:pStyle w:val="NormalWeb"/>
        <w:spacing w:line="276" w:lineRule="auto"/>
        <w:jc w:val="both"/>
      </w:pPr>
      <w:r w:rsidRPr="00C3001B">
        <w:t xml:space="preserve">Owing to their </w:t>
      </w:r>
      <w:r w:rsidRPr="003C1B4B">
        <w:rPr>
          <w:rStyle w:val="Strong"/>
          <w:b w:val="0"/>
        </w:rPr>
        <w:t>strong antioxidant, anti-inflammatory, and cardioprotective properties</w:t>
      </w:r>
      <w:r w:rsidRPr="00C3001B">
        <w:t xml:space="preserve">, anthocyanins are increasingly incorporated into </w:t>
      </w:r>
      <w:r w:rsidRPr="003C1B4B">
        <w:rPr>
          <w:rStyle w:val="Strong"/>
          <w:b w:val="0"/>
        </w:rPr>
        <w:t>nutraceuticals</w:t>
      </w:r>
      <w:r w:rsidRPr="003C1B4B">
        <w:rPr>
          <w:b/>
        </w:rPr>
        <w:t>.</w:t>
      </w:r>
      <w:r w:rsidRPr="00C3001B">
        <w:t xml:space="preserve"> They are marketed as </w:t>
      </w:r>
      <w:r w:rsidRPr="003C1B4B">
        <w:rPr>
          <w:rStyle w:val="Strong"/>
          <w:b w:val="0"/>
        </w:rPr>
        <w:t>encapsulated powders</w:t>
      </w:r>
      <w:r w:rsidRPr="003C1B4B">
        <w:rPr>
          <w:b/>
        </w:rPr>
        <w:t xml:space="preserve">, </w:t>
      </w:r>
      <w:r w:rsidRPr="003C1B4B">
        <w:rPr>
          <w:rStyle w:val="Strong"/>
          <w:b w:val="0"/>
        </w:rPr>
        <w:t>extracts</w:t>
      </w:r>
      <w:r w:rsidRPr="003C1B4B">
        <w:rPr>
          <w:b/>
        </w:rPr>
        <w:t xml:space="preserve">, </w:t>
      </w:r>
      <w:proofErr w:type="spellStart"/>
      <w:r w:rsidRPr="003C1B4B">
        <w:t>or</w:t>
      </w:r>
      <w:r w:rsidRPr="003C1B4B">
        <w:rPr>
          <w:rStyle w:val="Strong"/>
          <w:b w:val="0"/>
        </w:rPr>
        <w:t>soft</w:t>
      </w:r>
      <w:proofErr w:type="spellEnd"/>
      <w:r w:rsidRPr="003C1B4B">
        <w:rPr>
          <w:rStyle w:val="Strong"/>
          <w:b w:val="0"/>
        </w:rPr>
        <w:t xml:space="preserve"> gels</w:t>
      </w:r>
      <w:r w:rsidRPr="00C3001B">
        <w:t>, often standardized for cyanidin-3-glucoside content (Shipp &amp; Abdel-</w:t>
      </w:r>
      <w:proofErr w:type="spellStart"/>
      <w:r w:rsidRPr="00C3001B">
        <w:t>Aal</w:t>
      </w:r>
      <w:proofErr w:type="spellEnd"/>
      <w:r w:rsidRPr="00C3001B">
        <w:t>, 2010). Clinical and preclinical studies support their role in preventing oxidative stress-related disorders, making them popular in dietary supplements and fortified foods (Tsuda, 2012).</w:t>
      </w:r>
    </w:p>
    <w:p w:rsidR="00B52D85" w:rsidRPr="00C3001B" w:rsidRDefault="00B52D85" w:rsidP="001D6CB1">
      <w:pPr>
        <w:pStyle w:val="Heading3"/>
        <w:spacing w:line="276" w:lineRule="auto"/>
        <w:jc w:val="both"/>
        <w:rPr>
          <w:sz w:val="24"/>
          <w:szCs w:val="24"/>
        </w:rPr>
      </w:pPr>
      <w:r w:rsidRPr="00C3001B">
        <w:rPr>
          <w:rStyle w:val="Strong"/>
          <w:b/>
          <w:bCs/>
          <w:sz w:val="24"/>
          <w:szCs w:val="24"/>
        </w:rPr>
        <w:t>Cosmetics and Dermatology</w:t>
      </w:r>
    </w:p>
    <w:p w:rsidR="00B52D85" w:rsidRPr="00C3001B" w:rsidRDefault="00B52D85" w:rsidP="001D6CB1">
      <w:pPr>
        <w:pStyle w:val="NormalWeb"/>
        <w:spacing w:line="276" w:lineRule="auto"/>
        <w:jc w:val="both"/>
      </w:pPr>
      <w:r w:rsidRPr="00C3001B">
        <w:t xml:space="preserve">In the cosmetic industry, anthocyanins are valued for their </w:t>
      </w:r>
      <w:r w:rsidRPr="00AB4BB0">
        <w:rPr>
          <w:rStyle w:val="Strong"/>
          <w:b w:val="0"/>
        </w:rPr>
        <w:t>skin-protective and anti-aging effects</w:t>
      </w:r>
      <w:r w:rsidRPr="00C3001B">
        <w:t xml:space="preserve">. Their ability to </w:t>
      </w:r>
      <w:r w:rsidRPr="00AB4BB0">
        <w:rPr>
          <w:rStyle w:val="Strong"/>
          <w:b w:val="0"/>
        </w:rPr>
        <w:t>neutralize reactive oxygen species (ROS)</w:t>
      </w:r>
      <w:r w:rsidRPr="00C3001B">
        <w:t xml:space="preserve"> helps in reducing oxidative damage to skin cells, improving elasticity, and brightening the skin tone (</w:t>
      </w:r>
      <w:proofErr w:type="spellStart"/>
      <w:r w:rsidRPr="00C3001B">
        <w:t>Dzialo</w:t>
      </w:r>
      <w:proofErr w:type="spellEnd"/>
      <w:r w:rsidRPr="00C3001B">
        <w:t xml:space="preserve"> </w:t>
      </w:r>
      <w:r w:rsidRPr="00495693">
        <w:rPr>
          <w:i/>
        </w:rPr>
        <w:t>et al</w:t>
      </w:r>
      <w:r w:rsidRPr="00C3001B">
        <w:t xml:space="preserve">., 2016). They are increasingly used in </w:t>
      </w:r>
      <w:r w:rsidRPr="00AB4BB0">
        <w:rPr>
          <w:rStyle w:val="Strong"/>
          <w:b w:val="0"/>
        </w:rPr>
        <w:t>anti-aging creams</w:t>
      </w:r>
      <w:r w:rsidRPr="00AB4BB0">
        <w:rPr>
          <w:b/>
        </w:rPr>
        <w:t xml:space="preserve">, </w:t>
      </w:r>
      <w:r w:rsidRPr="00AB4BB0">
        <w:rPr>
          <w:rStyle w:val="Strong"/>
          <w:b w:val="0"/>
        </w:rPr>
        <w:t>serums</w:t>
      </w:r>
      <w:r w:rsidRPr="00AB4BB0">
        <w:rPr>
          <w:b/>
        </w:rPr>
        <w:t>,</w:t>
      </w:r>
      <w:r w:rsidRPr="00C3001B">
        <w:t xml:space="preserve"> and </w:t>
      </w:r>
      <w:proofErr w:type="spellStart"/>
      <w:r w:rsidRPr="00AB4BB0">
        <w:rPr>
          <w:rStyle w:val="Strong"/>
          <w:b w:val="0"/>
        </w:rPr>
        <w:t>naturalskincare</w:t>
      </w:r>
      <w:proofErr w:type="spellEnd"/>
      <w:r w:rsidRPr="00AB4BB0">
        <w:rPr>
          <w:rStyle w:val="Strong"/>
          <w:b w:val="0"/>
        </w:rPr>
        <w:t xml:space="preserve"> formulations</w:t>
      </w:r>
      <w:r w:rsidRPr="00C3001B">
        <w:t>, often derived from berry or mulberry extracts.</w:t>
      </w:r>
      <w:r w:rsidR="00F424A0">
        <w:t xml:space="preserve"> The </w:t>
      </w:r>
      <w:r w:rsidRPr="00C3001B">
        <w:t xml:space="preserve">anthocyanins’ multifunctionality has broadened their commercial appeal across industries. Their use not only enhances </w:t>
      </w:r>
      <w:r w:rsidRPr="00AB4BB0">
        <w:rPr>
          <w:rStyle w:val="Strong"/>
          <w:b w:val="0"/>
        </w:rPr>
        <w:t>product quality and consumer appeal</w:t>
      </w:r>
      <w:r w:rsidRPr="00C3001B">
        <w:t xml:space="preserve"> but also contributes to </w:t>
      </w:r>
      <w:r w:rsidRPr="00AB4BB0">
        <w:rPr>
          <w:rStyle w:val="Strong"/>
          <w:b w:val="0"/>
        </w:rPr>
        <w:t>health and sustainability</w:t>
      </w:r>
      <w:r w:rsidRPr="00C3001B">
        <w:t>, aligning with modern functional product development.</w:t>
      </w:r>
    </w:p>
    <w:p w:rsidR="004F1EE1" w:rsidRPr="004F1EE1" w:rsidRDefault="004F1EE1" w:rsidP="004F1EE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8. Health Implications of Mulberry Anthocyanins</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lastRenderedPageBreak/>
        <w:t>Anthocyanins extracted from mulberry fruits (</w:t>
      </w:r>
      <w:proofErr w:type="spellStart"/>
      <w:r w:rsidRPr="004F1EE1">
        <w:rPr>
          <w:rFonts w:ascii="Times New Roman" w:eastAsia="Times New Roman" w:hAnsi="Times New Roman" w:cs="Times New Roman"/>
          <w:i/>
          <w:iCs/>
          <w:sz w:val="24"/>
          <w:szCs w:val="24"/>
        </w:rPr>
        <w:t>Morus</w:t>
      </w:r>
      <w:proofErr w:type="spellEnd"/>
      <w:r w:rsidRPr="004F1EE1">
        <w:rPr>
          <w:rFonts w:ascii="Times New Roman" w:eastAsia="Times New Roman" w:hAnsi="Times New Roman" w:cs="Times New Roman"/>
          <w:sz w:val="24"/>
          <w:szCs w:val="24"/>
        </w:rPr>
        <w:t xml:space="preserve"> spp.), especially those rich in </w:t>
      </w:r>
      <w:r w:rsidRPr="004F1EE1">
        <w:rPr>
          <w:rFonts w:ascii="Times New Roman" w:eastAsia="Times New Roman" w:hAnsi="Times New Roman" w:cs="Times New Roman"/>
          <w:bCs/>
          <w:sz w:val="24"/>
          <w:szCs w:val="24"/>
        </w:rPr>
        <w:t>cyanidin-3-O-glucoside</w:t>
      </w:r>
      <w:r w:rsidRPr="004F1EE1">
        <w:rPr>
          <w:rFonts w:ascii="Times New Roman" w:eastAsia="Times New Roman" w:hAnsi="Times New Roman" w:cs="Times New Roman"/>
          <w:sz w:val="24"/>
          <w:szCs w:val="24"/>
        </w:rPr>
        <w:t>, exhibit a broad spectrum of bioactive functions. These compounds act through multiple biochemical pathways to help prevent or manage chronic metabolic, neurodegenerative, and hepatic disorders. The following subsections outline their key therapeutic roles.</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8.1 Antidiabetic Properties</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Mulberry anthocyanins play a significant role in </w:t>
      </w:r>
      <w:r w:rsidRPr="004F1EE1">
        <w:rPr>
          <w:rFonts w:ascii="Times New Roman" w:eastAsia="Times New Roman" w:hAnsi="Times New Roman" w:cs="Times New Roman"/>
          <w:bCs/>
          <w:sz w:val="24"/>
          <w:szCs w:val="24"/>
        </w:rPr>
        <w:t>modulating glucose metabolism</w:t>
      </w:r>
      <w:r w:rsidRPr="004F1EE1">
        <w:rPr>
          <w:rFonts w:ascii="Times New Roman" w:eastAsia="Times New Roman" w:hAnsi="Times New Roman" w:cs="Times New Roman"/>
          <w:sz w:val="24"/>
          <w:szCs w:val="24"/>
        </w:rPr>
        <w:t xml:space="preserve"> and improving </w:t>
      </w:r>
      <w:r w:rsidRPr="004F1EE1">
        <w:rPr>
          <w:rFonts w:ascii="Times New Roman" w:eastAsia="Times New Roman" w:hAnsi="Times New Roman" w:cs="Times New Roman"/>
          <w:bCs/>
          <w:sz w:val="24"/>
          <w:szCs w:val="24"/>
        </w:rPr>
        <w:t>insulin sensitivity</w:t>
      </w:r>
      <w:r w:rsidRPr="004F1EE1">
        <w:rPr>
          <w:rFonts w:ascii="Times New Roman" w:eastAsia="Times New Roman" w:hAnsi="Times New Roman" w:cs="Times New Roman"/>
          <w:sz w:val="24"/>
          <w:szCs w:val="24"/>
        </w:rPr>
        <w:t xml:space="preserve">. Clinical and experimental findings indicate that these compounds can lower </w:t>
      </w:r>
      <w:r w:rsidRPr="004F1EE1">
        <w:rPr>
          <w:rFonts w:ascii="Times New Roman" w:eastAsia="Times New Roman" w:hAnsi="Times New Roman" w:cs="Times New Roman"/>
          <w:bCs/>
          <w:sz w:val="24"/>
          <w:szCs w:val="24"/>
        </w:rPr>
        <w:t>postprandial blood glucose levels</w:t>
      </w:r>
      <w:r w:rsidRPr="004F1EE1">
        <w:rPr>
          <w:rFonts w:ascii="Times New Roman" w:eastAsia="Times New Roman" w:hAnsi="Times New Roman" w:cs="Times New Roman"/>
          <w:sz w:val="24"/>
          <w:szCs w:val="24"/>
        </w:rPr>
        <w:t xml:space="preserve"> by slowing carbohydrate digestion and absorption. A notable bioactive molecule present in mulberry, </w:t>
      </w:r>
      <w:r w:rsidRPr="004F1EE1">
        <w:rPr>
          <w:rFonts w:ascii="Times New Roman" w:eastAsia="Times New Roman" w:hAnsi="Times New Roman" w:cs="Times New Roman"/>
          <w:bCs/>
          <w:sz w:val="24"/>
          <w:szCs w:val="24"/>
        </w:rPr>
        <w:t>1-deoxynojirimycin (DNJ)</w:t>
      </w:r>
      <w:r w:rsidRPr="004F1EE1">
        <w:rPr>
          <w:rFonts w:ascii="Times New Roman" w:eastAsia="Times New Roman" w:hAnsi="Times New Roman" w:cs="Times New Roman"/>
          <w:sz w:val="24"/>
          <w:szCs w:val="24"/>
        </w:rPr>
        <w:t xml:space="preserve">, works synergistically with anthocyanins to inhibit </w:t>
      </w:r>
      <w:r w:rsidRPr="004F1EE1">
        <w:rPr>
          <w:rFonts w:ascii="Times New Roman" w:eastAsia="Times New Roman" w:hAnsi="Times New Roman" w:cs="Times New Roman"/>
          <w:bCs/>
          <w:sz w:val="24"/>
          <w:szCs w:val="24"/>
        </w:rPr>
        <w:t>intestinal α-glucosidase enzymes</w:t>
      </w:r>
      <w:r w:rsidRPr="004F1EE1">
        <w:rPr>
          <w:rFonts w:ascii="Times New Roman" w:eastAsia="Times New Roman" w:hAnsi="Times New Roman" w:cs="Times New Roman"/>
          <w:sz w:val="24"/>
          <w:szCs w:val="24"/>
        </w:rPr>
        <w:t xml:space="preserve">, thereby delaying the breakdown of complex carbohydrates into glucose. This mechanism reduces the rapid spikes in blood sugar after meals. Additionally, </w:t>
      </w:r>
      <w:r w:rsidRPr="004F1EE1">
        <w:rPr>
          <w:rFonts w:ascii="Times New Roman" w:eastAsia="Times New Roman" w:hAnsi="Times New Roman" w:cs="Times New Roman"/>
          <w:bCs/>
          <w:sz w:val="24"/>
          <w:szCs w:val="24"/>
        </w:rPr>
        <w:t>cyanidin-3-O-glucoside</w:t>
      </w:r>
      <w:r w:rsidRPr="004F1EE1">
        <w:rPr>
          <w:rFonts w:ascii="Times New Roman" w:eastAsia="Times New Roman" w:hAnsi="Times New Roman" w:cs="Times New Roman"/>
          <w:sz w:val="24"/>
          <w:szCs w:val="24"/>
        </w:rPr>
        <w:t xml:space="preserve"> has been shown to </w:t>
      </w:r>
      <w:r w:rsidRPr="004F1EE1">
        <w:rPr>
          <w:rFonts w:ascii="Times New Roman" w:eastAsia="Times New Roman" w:hAnsi="Times New Roman" w:cs="Times New Roman"/>
          <w:bCs/>
          <w:sz w:val="24"/>
          <w:szCs w:val="24"/>
        </w:rPr>
        <w:t>stimulate glucose uptake in skeletal muscle and adipose tissue</w:t>
      </w:r>
      <w:r w:rsidRPr="004F1EE1">
        <w:rPr>
          <w:rFonts w:ascii="Times New Roman" w:eastAsia="Times New Roman" w:hAnsi="Times New Roman" w:cs="Times New Roman"/>
          <w:sz w:val="24"/>
          <w:szCs w:val="24"/>
        </w:rPr>
        <w:t xml:space="preserve"> while enhancing insulin receptor </w:t>
      </w:r>
      <w:proofErr w:type="spellStart"/>
      <w:r w:rsidRPr="004F1EE1">
        <w:rPr>
          <w:rFonts w:ascii="Times New Roman" w:eastAsia="Times New Roman" w:hAnsi="Times New Roman" w:cs="Times New Roman"/>
          <w:sz w:val="24"/>
          <w:szCs w:val="24"/>
        </w:rPr>
        <w:t>signaling</w:t>
      </w:r>
      <w:proofErr w:type="spellEnd"/>
      <w:r w:rsidRPr="004F1EE1">
        <w:rPr>
          <w:rFonts w:ascii="Times New Roman" w:eastAsia="Times New Roman" w:hAnsi="Times New Roman" w:cs="Times New Roman"/>
          <w:sz w:val="24"/>
          <w:szCs w:val="24"/>
        </w:rPr>
        <w:t xml:space="preserve"> cascades, ultimately improving peripheral tissue glucose utilization (Tsuda, 2012). Together, these effects support the use of mulberry anthocyanins as natural dietary agents for </w:t>
      </w:r>
      <w:proofErr w:type="spellStart"/>
      <w:r w:rsidRPr="004F1EE1">
        <w:rPr>
          <w:rFonts w:ascii="Times New Roman" w:eastAsia="Times New Roman" w:hAnsi="Times New Roman" w:cs="Times New Roman"/>
          <w:sz w:val="24"/>
          <w:szCs w:val="24"/>
        </w:rPr>
        <w:t>glycemic</w:t>
      </w:r>
      <w:proofErr w:type="spellEnd"/>
      <w:r w:rsidRPr="004F1EE1">
        <w:rPr>
          <w:rFonts w:ascii="Times New Roman" w:eastAsia="Times New Roman" w:hAnsi="Times New Roman" w:cs="Times New Roman"/>
          <w:sz w:val="24"/>
          <w:szCs w:val="24"/>
        </w:rPr>
        <w:t xml:space="preserve"> control.</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Anti-obesity Effects</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Anthocyanin-rich mulberry extracts have demonstrated </w:t>
      </w:r>
      <w:r w:rsidRPr="004F1EE1">
        <w:rPr>
          <w:rFonts w:ascii="Times New Roman" w:eastAsia="Times New Roman" w:hAnsi="Times New Roman" w:cs="Times New Roman"/>
          <w:bCs/>
          <w:sz w:val="24"/>
          <w:szCs w:val="24"/>
        </w:rPr>
        <w:t>anti-</w:t>
      </w:r>
      <w:proofErr w:type="spellStart"/>
      <w:r w:rsidRPr="004F1EE1">
        <w:rPr>
          <w:rFonts w:ascii="Times New Roman" w:eastAsia="Times New Roman" w:hAnsi="Times New Roman" w:cs="Times New Roman"/>
          <w:bCs/>
          <w:sz w:val="24"/>
          <w:szCs w:val="24"/>
        </w:rPr>
        <w:t>adipogenic</w:t>
      </w:r>
      <w:proofErr w:type="spellEnd"/>
      <w:r w:rsidRPr="004F1EE1">
        <w:rPr>
          <w:rFonts w:ascii="Times New Roman" w:eastAsia="Times New Roman" w:hAnsi="Times New Roman" w:cs="Times New Roman"/>
          <w:sz w:val="24"/>
          <w:szCs w:val="24"/>
        </w:rPr>
        <w:t xml:space="preserve"> effects by regulating gene expression associated with lipid storage and fat cell differentiation. Specifically, they </w:t>
      </w:r>
      <w:r w:rsidRPr="004F1EE1">
        <w:rPr>
          <w:rFonts w:ascii="Times New Roman" w:eastAsia="Times New Roman" w:hAnsi="Times New Roman" w:cs="Times New Roman"/>
          <w:bCs/>
          <w:sz w:val="24"/>
          <w:szCs w:val="24"/>
        </w:rPr>
        <w:t>downregulate peroxisome proliferator-activated receptor gamma (</w:t>
      </w:r>
      <w:proofErr w:type="spellStart"/>
      <w:r w:rsidRPr="004F1EE1">
        <w:rPr>
          <w:rFonts w:ascii="Times New Roman" w:eastAsia="Times New Roman" w:hAnsi="Times New Roman" w:cs="Times New Roman"/>
          <w:bCs/>
          <w:sz w:val="24"/>
          <w:szCs w:val="24"/>
        </w:rPr>
        <w:t>PPARγ</w:t>
      </w:r>
      <w:proofErr w:type="spellEnd"/>
      <w:r w:rsidRPr="004F1EE1">
        <w:rPr>
          <w:rFonts w:ascii="Times New Roman" w:eastAsia="Times New Roman" w:hAnsi="Times New Roman" w:cs="Times New Roman"/>
          <w:bCs/>
          <w:sz w:val="24"/>
          <w:szCs w:val="24"/>
        </w:rPr>
        <w:t>)</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sterol regulatory element-binding protein 1c (SREBP-1c)</w:t>
      </w:r>
      <w:r>
        <w:rPr>
          <w:rFonts w:ascii="Times New Roman" w:eastAsia="Times New Roman" w:hAnsi="Times New Roman" w:cs="Times New Roman"/>
          <w:sz w:val="24"/>
          <w:szCs w:val="24"/>
        </w:rPr>
        <w:t xml:space="preserve"> </w:t>
      </w:r>
      <w:r w:rsidRPr="004F1EE1">
        <w:rPr>
          <w:rFonts w:ascii="Times New Roman" w:eastAsia="Times New Roman" w:hAnsi="Times New Roman" w:cs="Times New Roman"/>
          <w:sz w:val="24"/>
          <w:szCs w:val="24"/>
        </w:rPr>
        <w:t xml:space="preserve">key transcription factors that drive adipogenesis and lipogenesis. In animal model studies, supplementation with mulberry anthocyanins has led to </w:t>
      </w:r>
      <w:r w:rsidRPr="004F1EE1">
        <w:rPr>
          <w:rFonts w:ascii="Times New Roman" w:eastAsia="Times New Roman" w:hAnsi="Times New Roman" w:cs="Times New Roman"/>
          <w:bCs/>
          <w:sz w:val="24"/>
          <w:szCs w:val="24"/>
        </w:rPr>
        <w:t>reduced body weight gain</w:t>
      </w:r>
      <w:r w:rsidRPr="004F1EE1">
        <w:rPr>
          <w:rFonts w:ascii="Times New Roman" w:eastAsia="Times New Roman" w:hAnsi="Times New Roman" w:cs="Times New Roman"/>
          <w:sz w:val="24"/>
          <w:szCs w:val="24"/>
        </w:rPr>
        <w:t xml:space="preserve">, </w:t>
      </w:r>
      <w:r w:rsidRPr="004F1EE1">
        <w:rPr>
          <w:rFonts w:ascii="Times New Roman" w:eastAsia="Times New Roman" w:hAnsi="Times New Roman" w:cs="Times New Roman"/>
          <w:bCs/>
          <w:sz w:val="24"/>
          <w:szCs w:val="24"/>
        </w:rPr>
        <w:t>lower serum triglyceride concentrations</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decreased total cholesterol levels</w:t>
      </w:r>
      <w:r w:rsidRPr="004F1EE1">
        <w:rPr>
          <w:rFonts w:ascii="Times New Roman" w:eastAsia="Times New Roman" w:hAnsi="Times New Roman" w:cs="Times New Roman"/>
          <w:sz w:val="24"/>
          <w:szCs w:val="24"/>
        </w:rPr>
        <w:t xml:space="preserve"> (</w:t>
      </w:r>
      <w:proofErr w:type="spellStart"/>
      <w:r w:rsidRPr="004F1EE1">
        <w:rPr>
          <w:rFonts w:ascii="Times New Roman" w:eastAsia="Times New Roman" w:hAnsi="Times New Roman" w:cs="Times New Roman"/>
          <w:sz w:val="24"/>
          <w:szCs w:val="24"/>
        </w:rPr>
        <w:t>Andallu</w:t>
      </w:r>
      <w:proofErr w:type="spellEnd"/>
      <w:r w:rsidRPr="004F1EE1">
        <w:rPr>
          <w:rFonts w:ascii="Times New Roman" w:eastAsia="Times New Roman" w:hAnsi="Times New Roman" w:cs="Times New Roman"/>
          <w:sz w:val="24"/>
          <w:szCs w:val="24"/>
        </w:rPr>
        <w:t xml:space="preserve"> </w:t>
      </w:r>
      <w:r w:rsidRPr="004F1EE1">
        <w:rPr>
          <w:rFonts w:ascii="Times New Roman" w:eastAsia="Times New Roman" w:hAnsi="Times New Roman" w:cs="Times New Roman"/>
          <w:i/>
          <w:sz w:val="24"/>
          <w:szCs w:val="24"/>
        </w:rPr>
        <w:t>et al</w:t>
      </w:r>
      <w:r w:rsidRPr="004F1EE1">
        <w:rPr>
          <w:rFonts w:ascii="Times New Roman" w:eastAsia="Times New Roman" w:hAnsi="Times New Roman" w:cs="Times New Roman"/>
          <w:sz w:val="24"/>
          <w:szCs w:val="24"/>
        </w:rPr>
        <w:t xml:space="preserve">., 2003). These effects are accompanied by improved lipid metabolism, suggesting that mulberry anthocyanins may support </w:t>
      </w:r>
      <w:r w:rsidRPr="004F1EE1">
        <w:rPr>
          <w:rFonts w:ascii="Times New Roman" w:eastAsia="Times New Roman" w:hAnsi="Times New Roman" w:cs="Times New Roman"/>
          <w:bCs/>
          <w:sz w:val="24"/>
          <w:szCs w:val="24"/>
        </w:rPr>
        <w:t>weight management strategies</w:t>
      </w:r>
      <w:r w:rsidRPr="004F1EE1">
        <w:rPr>
          <w:rFonts w:ascii="Times New Roman" w:eastAsia="Times New Roman" w:hAnsi="Times New Roman" w:cs="Times New Roman"/>
          <w:sz w:val="24"/>
          <w:szCs w:val="24"/>
        </w:rPr>
        <w:t xml:space="preserve"> and reduce the risk of obesity-associated metabolic complications.</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8.3 Neuroprotective Activity</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Mulberry anthocyanins from </w:t>
      </w:r>
      <w:proofErr w:type="spellStart"/>
      <w:r w:rsidRPr="004F1EE1">
        <w:rPr>
          <w:rFonts w:ascii="Times New Roman" w:eastAsia="Times New Roman" w:hAnsi="Times New Roman" w:cs="Times New Roman"/>
          <w:i/>
          <w:iCs/>
          <w:sz w:val="24"/>
          <w:szCs w:val="24"/>
        </w:rPr>
        <w:t>Morus</w:t>
      </w:r>
      <w:proofErr w:type="spellEnd"/>
      <w:r w:rsidRPr="004F1EE1">
        <w:rPr>
          <w:rFonts w:ascii="Times New Roman" w:eastAsia="Times New Roman" w:hAnsi="Times New Roman" w:cs="Times New Roman"/>
          <w:i/>
          <w:iCs/>
          <w:sz w:val="24"/>
          <w:szCs w:val="24"/>
        </w:rPr>
        <w:t xml:space="preserve"> </w:t>
      </w:r>
      <w:proofErr w:type="spellStart"/>
      <w:r w:rsidRPr="004F1EE1">
        <w:rPr>
          <w:rFonts w:ascii="Times New Roman" w:eastAsia="Times New Roman" w:hAnsi="Times New Roman" w:cs="Times New Roman"/>
          <w:i/>
          <w:iCs/>
          <w:sz w:val="24"/>
          <w:szCs w:val="24"/>
        </w:rPr>
        <w:t>nigra</w:t>
      </w:r>
      <w:proofErr w:type="spellEnd"/>
      <w:r w:rsidRPr="004F1EE1">
        <w:rPr>
          <w:rFonts w:ascii="Times New Roman" w:eastAsia="Times New Roman" w:hAnsi="Times New Roman" w:cs="Times New Roman"/>
          <w:sz w:val="24"/>
          <w:szCs w:val="24"/>
        </w:rPr>
        <w:t xml:space="preserve"> and </w:t>
      </w:r>
      <w:proofErr w:type="spellStart"/>
      <w:r w:rsidRPr="004F1EE1">
        <w:rPr>
          <w:rFonts w:ascii="Times New Roman" w:eastAsia="Times New Roman" w:hAnsi="Times New Roman" w:cs="Times New Roman"/>
          <w:i/>
          <w:iCs/>
          <w:sz w:val="24"/>
          <w:szCs w:val="24"/>
        </w:rPr>
        <w:t>Morus</w:t>
      </w:r>
      <w:proofErr w:type="spellEnd"/>
      <w:r w:rsidRPr="004F1EE1">
        <w:rPr>
          <w:rFonts w:ascii="Times New Roman" w:eastAsia="Times New Roman" w:hAnsi="Times New Roman" w:cs="Times New Roman"/>
          <w:i/>
          <w:iCs/>
          <w:sz w:val="24"/>
          <w:szCs w:val="24"/>
        </w:rPr>
        <w:t xml:space="preserve"> rubra</w:t>
      </w:r>
      <w:r w:rsidRPr="004F1EE1">
        <w:rPr>
          <w:rFonts w:ascii="Times New Roman" w:eastAsia="Times New Roman" w:hAnsi="Times New Roman" w:cs="Times New Roman"/>
          <w:sz w:val="24"/>
          <w:szCs w:val="24"/>
        </w:rPr>
        <w:t xml:space="preserve"> can cross the </w:t>
      </w:r>
      <w:r w:rsidRPr="004F1EE1">
        <w:rPr>
          <w:rFonts w:ascii="Times New Roman" w:eastAsia="Times New Roman" w:hAnsi="Times New Roman" w:cs="Times New Roman"/>
          <w:bCs/>
          <w:sz w:val="24"/>
          <w:szCs w:val="24"/>
        </w:rPr>
        <w:t>blood–brain barrier</w:t>
      </w:r>
      <w:r w:rsidRPr="004F1EE1">
        <w:rPr>
          <w:rFonts w:ascii="Times New Roman" w:eastAsia="Times New Roman" w:hAnsi="Times New Roman" w:cs="Times New Roman"/>
          <w:sz w:val="24"/>
          <w:szCs w:val="24"/>
        </w:rPr>
        <w:t xml:space="preserve">, enabling them to exert direct protective effects on neuronal cells. Their </w:t>
      </w:r>
      <w:r w:rsidRPr="004F1EE1">
        <w:rPr>
          <w:rFonts w:ascii="Times New Roman" w:eastAsia="Times New Roman" w:hAnsi="Times New Roman" w:cs="Times New Roman"/>
          <w:bCs/>
          <w:sz w:val="24"/>
          <w:szCs w:val="24"/>
        </w:rPr>
        <w:t>antioxidant</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anti-inflammatory</w:t>
      </w:r>
      <w:r w:rsidRPr="004F1EE1">
        <w:rPr>
          <w:rFonts w:ascii="Times New Roman" w:eastAsia="Times New Roman" w:hAnsi="Times New Roman" w:cs="Times New Roman"/>
          <w:sz w:val="24"/>
          <w:szCs w:val="24"/>
        </w:rPr>
        <w:t xml:space="preserve"> actions reduce oxidative damage to neuronal membranes, suppress microglial activation, and limit the release of neurotoxic inflammatory mediators. In experimental studies, mice administered mulberry anthocyanins exhibited </w:t>
      </w:r>
      <w:r w:rsidRPr="004F1EE1">
        <w:rPr>
          <w:rFonts w:ascii="Times New Roman" w:eastAsia="Times New Roman" w:hAnsi="Times New Roman" w:cs="Times New Roman"/>
          <w:bCs/>
          <w:sz w:val="24"/>
          <w:szCs w:val="24"/>
        </w:rPr>
        <w:t>enhanced learning ability</w:t>
      </w:r>
      <w:r w:rsidRPr="004F1EE1">
        <w:rPr>
          <w:rFonts w:ascii="Times New Roman" w:eastAsia="Times New Roman" w:hAnsi="Times New Roman" w:cs="Times New Roman"/>
          <w:sz w:val="24"/>
          <w:szCs w:val="24"/>
        </w:rPr>
        <w:t xml:space="preserve">, </w:t>
      </w:r>
      <w:r w:rsidRPr="004F1EE1">
        <w:rPr>
          <w:rFonts w:ascii="Times New Roman" w:eastAsia="Times New Roman" w:hAnsi="Times New Roman" w:cs="Times New Roman"/>
          <w:bCs/>
          <w:sz w:val="24"/>
          <w:szCs w:val="24"/>
        </w:rPr>
        <w:t>improved memory retention</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reduced neuronal degeneration</w:t>
      </w:r>
      <w:r w:rsidRPr="004F1EE1">
        <w:rPr>
          <w:rFonts w:ascii="Times New Roman" w:eastAsia="Times New Roman" w:hAnsi="Times New Roman" w:cs="Times New Roman"/>
          <w:sz w:val="24"/>
          <w:szCs w:val="24"/>
        </w:rPr>
        <w:t xml:space="preserve"> in brain regions associated with cognition (Han </w:t>
      </w:r>
      <w:r w:rsidRPr="004F1EE1">
        <w:rPr>
          <w:rFonts w:ascii="Times New Roman" w:eastAsia="Times New Roman" w:hAnsi="Times New Roman" w:cs="Times New Roman"/>
          <w:i/>
          <w:sz w:val="24"/>
          <w:szCs w:val="24"/>
        </w:rPr>
        <w:t>et al</w:t>
      </w:r>
      <w:r w:rsidRPr="004F1EE1">
        <w:rPr>
          <w:rFonts w:ascii="Times New Roman" w:eastAsia="Times New Roman" w:hAnsi="Times New Roman" w:cs="Times New Roman"/>
          <w:sz w:val="24"/>
          <w:szCs w:val="24"/>
        </w:rPr>
        <w:t xml:space="preserve">., 2016). These findings suggest their potential application in </w:t>
      </w:r>
      <w:r w:rsidRPr="004F1EE1">
        <w:rPr>
          <w:rFonts w:ascii="Times New Roman" w:eastAsia="Times New Roman" w:hAnsi="Times New Roman" w:cs="Times New Roman"/>
          <w:bCs/>
          <w:sz w:val="24"/>
          <w:szCs w:val="24"/>
        </w:rPr>
        <w:t>slowing age-related cognitive decline</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reducing the risk of neurodegenerative diseases</w:t>
      </w:r>
      <w:r w:rsidRPr="004F1EE1">
        <w:rPr>
          <w:rFonts w:ascii="Times New Roman" w:eastAsia="Times New Roman" w:hAnsi="Times New Roman" w:cs="Times New Roman"/>
          <w:sz w:val="24"/>
          <w:szCs w:val="24"/>
        </w:rPr>
        <w:t xml:space="preserve"> such as Alzheimer’s and Parkinson’s disease.</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Hepatoprotective Function</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Mulberry anthocyanins also display strong </w:t>
      </w:r>
      <w:r w:rsidRPr="004F1EE1">
        <w:rPr>
          <w:rFonts w:ascii="Times New Roman" w:eastAsia="Times New Roman" w:hAnsi="Times New Roman" w:cs="Times New Roman"/>
          <w:bCs/>
          <w:sz w:val="24"/>
          <w:szCs w:val="24"/>
        </w:rPr>
        <w:t>liver-protective properties</w:t>
      </w:r>
      <w:r w:rsidRPr="004F1EE1">
        <w:rPr>
          <w:rFonts w:ascii="Times New Roman" w:eastAsia="Times New Roman" w:hAnsi="Times New Roman" w:cs="Times New Roman"/>
          <w:sz w:val="24"/>
          <w:szCs w:val="24"/>
        </w:rPr>
        <w:t xml:space="preserve">, particularly in conditions involving oxidative stress and lipid dysregulation. They help </w:t>
      </w:r>
      <w:r w:rsidRPr="004F1EE1">
        <w:rPr>
          <w:rFonts w:ascii="Times New Roman" w:eastAsia="Times New Roman" w:hAnsi="Times New Roman" w:cs="Times New Roman"/>
          <w:bCs/>
          <w:sz w:val="24"/>
          <w:szCs w:val="24"/>
        </w:rPr>
        <w:t>reduce hepatic lipid accumulation</w:t>
      </w:r>
      <w:r w:rsidRPr="004F1EE1">
        <w:rPr>
          <w:rFonts w:ascii="Times New Roman" w:eastAsia="Times New Roman" w:hAnsi="Times New Roman" w:cs="Times New Roman"/>
          <w:sz w:val="24"/>
          <w:szCs w:val="24"/>
        </w:rPr>
        <w:t xml:space="preserve"> by modulating enzymes involved in lipid metabolism, while also </w:t>
      </w:r>
      <w:r w:rsidRPr="004F1EE1">
        <w:rPr>
          <w:rFonts w:ascii="Times New Roman" w:eastAsia="Times New Roman" w:hAnsi="Times New Roman" w:cs="Times New Roman"/>
          <w:bCs/>
          <w:sz w:val="24"/>
          <w:szCs w:val="24"/>
        </w:rPr>
        <w:t>enhancing antioxidant enzyme activities</w:t>
      </w:r>
      <w:r w:rsidRPr="004F1EE1">
        <w:rPr>
          <w:rFonts w:ascii="Times New Roman" w:eastAsia="Times New Roman" w:hAnsi="Times New Roman" w:cs="Times New Roman"/>
          <w:sz w:val="24"/>
          <w:szCs w:val="24"/>
        </w:rPr>
        <w:t xml:space="preserve"> such as superoxide dismutase and catalase. Furthermore, they </w:t>
      </w:r>
      <w:r w:rsidRPr="004F1EE1">
        <w:rPr>
          <w:rFonts w:ascii="Times New Roman" w:eastAsia="Times New Roman" w:hAnsi="Times New Roman" w:cs="Times New Roman"/>
          <w:sz w:val="24"/>
          <w:szCs w:val="24"/>
        </w:rPr>
        <w:lastRenderedPageBreak/>
        <w:t xml:space="preserve">lower </w:t>
      </w:r>
      <w:r w:rsidRPr="004F1EE1">
        <w:rPr>
          <w:rFonts w:ascii="Times New Roman" w:eastAsia="Times New Roman" w:hAnsi="Times New Roman" w:cs="Times New Roman"/>
          <w:bCs/>
          <w:sz w:val="24"/>
          <w:szCs w:val="24"/>
        </w:rPr>
        <w:t>markers of oxidative stress</w:t>
      </w:r>
      <w:r w:rsidRPr="004F1EE1">
        <w:rPr>
          <w:rFonts w:ascii="Times New Roman" w:eastAsia="Times New Roman" w:hAnsi="Times New Roman" w:cs="Times New Roman"/>
          <w:sz w:val="24"/>
          <w:szCs w:val="24"/>
        </w:rPr>
        <w:t xml:space="preserve"> and lipid peroxidation, thereby protecting hepatocytes from structural and functional damage. Experimental evidence demonstrates that mulberry anthocyanin supplementation supports </w:t>
      </w:r>
      <w:r w:rsidRPr="004F1EE1">
        <w:rPr>
          <w:rFonts w:ascii="Times New Roman" w:eastAsia="Times New Roman" w:hAnsi="Times New Roman" w:cs="Times New Roman"/>
          <w:bCs/>
          <w:sz w:val="24"/>
          <w:szCs w:val="24"/>
        </w:rPr>
        <w:t>liver detoxification pathways</w:t>
      </w:r>
      <w:r w:rsidRPr="004F1EE1">
        <w:rPr>
          <w:rFonts w:ascii="Times New Roman" w:eastAsia="Times New Roman" w:hAnsi="Times New Roman" w:cs="Times New Roman"/>
          <w:sz w:val="24"/>
          <w:szCs w:val="24"/>
        </w:rPr>
        <w:t xml:space="preserve"> and may be beneficial in metabolic liver disorders such as </w:t>
      </w:r>
      <w:r w:rsidRPr="004F1EE1">
        <w:rPr>
          <w:rFonts w:ascii="Times New Roman" w:eastAsia="Times New Roman" w:hAnsi="Times New Roman" w:cs="Times New Roman"/>
          <w:bCs/>
          <w:sz w:val="24"/>
          <w:szCs w:val="24"/>
        </w:rPr>
        <w:t>non-alcoholic fatty liver disease (NAFLD)</w:t>
      </w:r>
      <w:r w:rsidR="003405AD">
        <w:rPr>
          <w:rFonts w:ascii="Times New Roman" w:eastAsia="Times New Roman" w:hAnsi="Times New Roman" w:cs="Times New Roman"/>
          <w:sz w:val="24"/>
          <w:szCs w:val="24"/>
        </w:rPr>
        <w:t>.</w:t>
      </w:r>
    </w:p>
    <w:p w:rsidR="0054269E" w:rsidRPr="0054269E" w:rsidRDefault="0054269E" w:rsidP="0054269E">
      <w:pPr>
        <w:spacing w:before="100" w:beforeAutospacing="1" w:after="100" w:afterAutospacing="1" w:line="240" w:lineRule="auto"/>
        <w:outlineLvl w:val="2"/>
        <w:rPr>
          <w:rFonts w:ascii="Times New Roman" w:eastAsia="Times New Roman" w:hAnsi="Times New Roman" w:cs="Times New Roman"/>
          <w:b/>
          <w:bCs/>
          <w:sz w:val="27"/>
          <w:szCs w:val="27"/>
        </w:rPr>
      </w:pPr>
      <w:r w:rsidRPr="0054269E">
        <w:rPr>
          <w:rFonts w:ascii="Times New Roman" w:eastAsia="Times New Roman" w:hAnsi="Times New Roman" w:cs="Times New Roman"/>
          <w:b/>
          <w:bCs/>
          <w:sz w:val="27"/>
          <w:szCs w:val="27"/>
        </w:rPr>
        <w:t>Conclusion</w:t>
      </w:r>
    </w:p>
    <w:p w:rsidR="00D72ADB" w:rsidRDefault="0054269E" w:rsidP="0054269E">
      <w:pPr>
        <w:spacing w:before="100" w:beforeAutospacing="1" w:after="100" w:afterAutospacing="1" w:line="240" w:lineRule="auto"/>
        <w:jc w:val="both"/>
        <w:rPr>
          <w:rFonts w:ascii="Times New Roman" w:eastAsia="Times New Roman" w:hAnsi="Times New Roman" w:cs="Times New Roman"/>
          <w:sz w:val="24"/>
          <w:szCs w:val="24"/>
        </w:rPr>
      </w:pPr>
      <w:r w:rsidRPr="0054269E">
        <w:rPr>
          <w:rFonts w:ascii="Times New Roman" w:eastAsia="Times New Roman" w:hAnsi="Times New Roman" w:cs="Times New Roman"/>
          <w:sz w:val="24"/>
          <w:szCs w:val="24"/>
        </w:rPr>
        <w:t>Mulberry (</w:t>
      </w:r>
      <w:proofErr w:type="spellStart"/>
      <w:r w:rsidRPr="0054269E">
        <w:rPr>
          <w:rFonts w:ascii="Times New Roman" w:eastAsia="Times New Roman" w:hAnsi="Times New Roman" w:cs="Times New Roman"/>
          <w:i/>
          <w:sz w:val="24"/>
          <w:szCs w:val="24"/>
        </w:rPr>
        <w:t>Morus</w:t>
      </w:r>
      <w:proofErr w:type="spellEnd"/>
      <w:r w:rsidRPr="0054269E">
        <w:rPr>
          <w:rFonts w:ascii="Times New Roman" w:eastAsia="Times New Roman" w:hAnsi="Times New Roman" w:cs="Times New Roman"/>
          <w:sz w:val="24"/>
          <w:szCs w:val="24"/>
        </w:rPr>
        <w:t xml:space="preserve"> spp.) stands out as a potent natural source of anthocyanins, particularly cyanidin-3-O-glucoside and its derivatives, offering remarkable phytochemical richness, functional properties, and commercial viability. These pigments not only impart vibrant coloration but also provide extensive health benefits including antioxidant, antidiabetic, cardioprotective, neuroprotective, and hepatoprotective effects. The anthocyanin content in mulberries varies significantly depending on species, cultivar, environmental</w:t>
      </w:r>
      <w:r>
        <w:rPr>
          <w:rFonts w:ascii="Times New Roman" w:eastAsia="Times New Roman" w:hAnsi="Times New Roman" w:cs="Times New Roman"/>
          <w:sz w:val="24"/>
          <w:szCs w:val="24"/>
        </w:rPr>
        <w:t xml:space="preserve"> conditions, and fruit maturity </w:t>
      </w:r>
      <w:r w:rsidRPr="0054269E">
        <w:rPr>
          <w:rFonts w:ascii="Times New Roman" w:eastAsia="Times New Roman" w:hAnsi="Times New Roman" w:cs="Times New Roman"/>
          <w:sz w:val="24"/>
          <w:szCs w:val="24"/>
        </w:rPr>
        <w:t>factors that can be optimized for enhanced functionality. Industrially, mulberry anthocyanins serve as sustainable natural colorants (E163) and bioactive ingredients in food, nutraceutical, pharmaceutical, and cosmetic products. However, their inherent sensitivity to environmental factors necessitates innovative stabilization strategies such as encapsulation and co-pigmentation for broader commercial application. With growing demand for clean-label and functional ingredients, mulberry anthocyanins hold immense promise in addressing both nutritional and industrial needs, paving the way for their integration into health-oriented and eco-conscious product development.</w:t>
      </w:r>
    </w:p>
    <w:p w:rsidR="00693894" w:rsidRDefault="00693894" w:rsidP="00693894">
      <w:pPr>
        <w:pStyle w:val="NormalWeb"/>
      </w:pPr>
      <w:r>
        <w:rPr>
          <w:rStyle w:val="Strong"/>
        </w:rPr>
        <w:t>Disclaimer (Artificial Intelligence)</w:t>
      </w:r>
    </w:p>
    <w:p w:rsidR="00693894" w:rsidRDefault="00693894" w:rsidP="00693894">
      <w:pPr>
        <w:pStyle w:val="NormalWeb"/>
      </w:pPr>
      <w:r>
        <w:t>Author(s) hereby declare that generative AI technologies such as Large Language Models have been used during the writing and editing of this manuscript.</w:t>
      </w:r>
      <w:r>
        <w:br/>
        <w:t>Details of the AI usage are given below:</w:t>
      </w:r>
    </w:p>
    <w:p w:rsidR="00693894" w:rsidRDefault="00693894" w:rsidP="00693894">
      <w:pPr>
        <w:pStyle w:val="NormalWeb"/>
        <w:numPr>
          <w:ilvl w:val="0"/>
          <w:numId w:val="12"/>
        </w:numPr>
      </w:pPr>
      <w:r>
        <w:rPr>
          <w:rStyle w:val="Strong"/>
        </w:rPr>
        <w:t>Name, Version, and Model:</w:t>
      </w:r>
      <w:r>
        <w:t xml:space="preserve"> </w:t>
      </w:r>
      <w:proofErr w:type="spellStart"/>
      <w:r>
        <w:t>ChatGPT</w:t>
      </w:r>
      <w:proofErr w:type="spellEnd"/>
      <w:r>
        <w:t xml:space="preserve"> (GPT-5), developed by </w:t>
      </w:r>
      <w:proofErr w:type="spellStart"/>
      <w:r>
        <w:t>OpenAI</w:t>
      </w:r>
      <w:proofErr w:type="spellEnd"/>
      <w:r>
        <w:t>.</w:t>
      </w:r>
    </w:p>
    <w:p w:rsidR="00693894" w:rsidRDefault="00693894" w:rsidP="00693894">
      <w:pPr>
        <w:pStyle w:val="NormalWeb"/>
        <w:numPr>
          <w:ilvl w:val="0"/>
          <w:numId w:val="12"/>
        </w:numPr>
      </w:pPr>
      <w:r>
        <w:rPr>
          <w:rStyle w:val="Strong"/>
        </w:rPr>
        <w:t>Source:</w:t>
      </w:r>
      <w:r>
        <w:t xml:space="preserve"> Accessed via </w:t>
      </w:r>
      <w:proofErr w:type="spellStart"/>
      <w:r>
        <w:t>ChatGPT</w:t>
      </w:r>
      <w:proofErr w:type="spellEnd"/>
      <w:r>
        <w:t xml:space="preserve"> web interface (</w:t>
      </w:r>
      <w:hyperlink r:id="rId7" w:tgtFrame="_new" w:history="1">
        <w:r>
          <w:rPr>
            <w:rStyle w:val="Hyperlink"/>
          </w:rPr>
          <w:t>https://chat.openai.com</w:t>
        </w:r>
      </w:hyperlink>
      <w:r>
        <w:t>).</w:t>
      </w:r>
    </w:p>
    <w:p w:rsidR="00D72ADB" w:rsidRPr="0054269E" w:rsidRDefault="00D72ADB" w:rsidP="0054269E">
      <w:pPr>
        <w:spacing w:before="100" w:beforeAutospacing="1" w:after="100" w:afterAutospacing="1" w:line="240" w:lineRule="auto"/>
        <w:jc w:val="both"/>
        <w:rPr>
          <w:rFonts w:ascii="Times New Roman" w:eastAsia="Times New Roman" w:hAnsi="Times New Roman" w:cs="Times New Roman"/>
          <w:sz w:val="24"/>
          <w:szCs w:val="24"/>
        </w:rPr>
      </w:pPr>
    </w:p>
    <w:p w:rsidR="00693894" w:rsidRDefault="00693894" w:rsidP="001D6CB1">
      <w:pPr>
        <w:pStyle w:val="Heading2"/>
        <w:spacing w:line="276" w:lineRule="auto"/>
        <w:jc w:val="both"/>
        <w:rPr>
          <w:rStyle w:val="Strong"/>
          <w:b/>
          <w:bCs/>
          <w:sz w:val="24"/>
          <w:szCs w:val="24"/>
        </w:rPr>
      </w:pPr>
    </w:p>
    <w:p w:rsidR="00C3001B" w:rsidRPr="00C3001B" w:rsidRDefault="00C3001B" w:rsidP="001D6CB1">
      <w:pPr>
        <w:pStyle w:val="Heading2"/>
        <w:spacing w:line="276" w:lineRule="auto"/>
        <w:jc w:val="both"/>
        <w:rPr>
          <w:sz w:val="24"/>
          <w:szCs w:val="24"/>
        </w:rPr>
      </w:pPr>
      <w:r w:rsidRPr="00C3001B">
        <w:rPr>
          <w:rStyle w:val="Strong"/>
          <w:b/>
          <w:bCs/>
          <w:sz w:val="24"/>
          <w:szCs w:val="24"/>
        </w:rPr>
        <w:t>References</w:t>
      </w:r>
    </w:p>
    <w:p w:rsidR="00BC638B" w:rsidRDefault="00BC638B" w:rsidP="00F96E68">
      <w:pPr>
        <w:pStyle w:val="NormalWeb"/>
        <w:spacing w:line="276" w:lineRule="auto"/>
        <w:ind w:left="360"/>
        <w:jc w:val="both"/>
      </w:pPr>
      <w:proofErr w:type="spellStart"/>
      <w:r>
        <w:rPr>
          <w:rStyle w:val="Strong"/>
        </w:rPr>
        <w:t>Andallu</w:t>
      </w:r>
      <w:proofErr w:type="spellEnd"/>
      <w:r>
        <w:rPr>
          <w:rStyle w:val="Strong"/>
        </w:rPr>
        <w:t xml:space="preserve">, B. &amp; </w:t>
      </w:r>
      <w:proofErr w:type="spellStart"/>
      <w:r>
        <w:rPr>
          <w:rStyle w:val="Strong"/>
        </w:rPr>
        <w:t>Varadacharyulu</w:t>
      </w:r>
      <w:proofErr w:type="spellEnd"/>
      <w:r>
        <w:rPr>
          <w:rStyle w:val="Strong"/>
        </w:rPr>
        <w:t>, N. Ch. (2003). Antioxidant role of mulberry (</w:t>
      </w:r>
      <w:proofErr w:type="spellStart"/>
      <w:r>
        <w:rPr>
          <w:rStyle w:val="Strong"/>
        </w:rPr>
        <w:t>Morus</w:t>
      </w:r>
      <w:proofErr w:type="spellEnd"/>
      <w:r>
        <w:rPr>
          <w:rStyle w:val="Strong"/>
        </w:rPr>
        <w:t xml:space="preserve"> </w:t>
      </w:r>
      <w:proofErr w:type="spellStart"/>
      <w:r>
        <w:rPr>
          <w:rStyle w:val="Strong"/>
        </w:rPr>
        <w:t>indica</w:t>
      </w:r>
      <w:proofErr w:type="spellEnd"/>
      <w:r>
        <w:rPr>
          <w:rStyle w:val="Strong"/>
        </w:rPr>
        <w:t xml:space="preserve"> L. cv. </w:t>
      </w:r>
      <w:proofErr w:type="spellStart"/>
      <w:r>
        <w:rPr>
          <w:rStyle w:val="Strong"/>
        </w:rPr>
        <w:t>Anantha</w:t>
      </w:r>
      <w:proofErr w:type="spellEnd"/>
      <w:r>
        <w:rPr>
          <w:rStyle w:val="Strong"/>
        </w:rPr>
        <w:t xml:space="preserve">) leaves in streptozotocin-diabetic rats. </w:t>
      </w:r>
      <w:proofErr w:type="spellStart"/>
      <w:r>
        <w:rPr>
          <w:rStyle w:val="Emphasis"/>
          <w:b/>
          <w:bCs/>
        </w:rPr>
        <w:t>Clinica</w:t>
      </w:r>
      <w:proofErr w:type="spellEnd"/>
      <w:r>
        <w:rPr>
          <w:rStyle w:val="Emphasis"/>
          <w:b/>
          <w:bCs/>
        </w:rPr>
        <w:t xml:space="preserve"> </w:t>
      </w:r>
      <w:proofErr w:type="spellStart"/>
      <w:r>
        <w:rPr>
          <w:rStyle w:val="Emphasis"/>
          <w:b/>
          <w:bCs/>
        </w:rPr>
        <w:t>Chimica</w:t>
      </w:r>
      <w:proofErr w:type="spellEnd"/>
      <w:r>
        <w:rPr>
          <w:rStyle w:val="Emphasis"/>
          <w:b/>
          <w:bCs/>
        </w:rPr>
        <w:t xml:space="preserve"> Acta, 338</w:t>
      </w:r>
      <w:r>
        <w:rPr>
          <w:rStyle w:val="Strong"/>
        </w:rPr>
        <w:t>(1–2), 3–10.</w:t>
      </w:r>
      <w:r>
        <w:t xml:space="preserve"> doi:10.1016/S0009-8981(03)00322-X</w:t>
      </w:r>
    </w:p>
    <w:p w:rsidR="00BC638B" w:rsidRDefault="00BC638B" w:rsidP="00F96E68">
      <w:pPr>
        <w:pStyle w:val="NormalWeb"/>
        <w:spacing w:line="276" w:lineRule="auto"/>
        <w:ind w:left="360"/>
        <w:jc w:val="both"/>
      </w:pPr>
      <w:r>
        <w:t xml:space="preserve">Andersen, Ø. M., &amp; </w:t>
      </w:r>
      <w:proofErr w:type="spellStart"/>
      <w:r>
        <w:t>Jordheim</w:t>
      </w:r>
      <w:proofErr w:type="spellEnd"/>
      <w:r>
        <w:t xml:space="preserve">, M. (2006). The anthocyanins. In Ø. M. Andersen &amp; K. R. Markham (Eds.), </w:t>
      </w:r>
      <w:r>
        <w:rPr>
          <w:rStyle w:val="Emphasis"/>
        </w:rPr>
        <w:t>Flavonoids: Chemistry, Biochemistry and Applications</w:t>
      </w:r>
      <w:r>
        <w:t xml:space="preserve"> (pp. 471–551). CRC Press. </w:t>
      </w:r>
      <w:hyperlink r:id="rId8" w:history="1">
        <w:r w:rsidRPr="00010045">
          <w:rPr>
            <w:rStyle w:val="Hyperlink"/>
          </w:rPr>
          <w:t>https://doi.org/10.1201/9781420039443</w:t>
        </w:r>
      </w:hyperlink>
    </w:p>
    <w:p w:rsidR="00C3001B" w:rsidRPr="00C3001B" w:rsidRDefault="00C3001B" w:rsidP="00F96E68">
      <w:pPr>
        <w:pStyle w:val="NormalWeb"/>
        <w:spacing w:line="276" w:lineRule="auto"/>
        <w:ind w:left="360"/>
        <w:jc w:val="both"/>
      </w:pPr>
      <w:proofErr w:type="spellStart"/>
      <w:r w:rsidRPr="00C3001B">
        <w:rPr>
          <w:rStyle w:val="Strong"/>
        </w:rPr>
        <w:t>Dzialo</w:t>
      </w:r>
      <w:proofErr w:type="spellEnd"/>
      <w:r w:rsidRPr="00C3001B">
        <w:rPr>
          <w:rStyle w:val="Strong"/>
        </w:rPr>
        <w:t>, M., et al. (2016).</w:t>
      </w:r>
      <w:r w:rsidRPr="00C3001B">
        <w:t xml:space="preserve"> The potential of plant phenolics in prevention and therapy of skin disorders. </w:t>
      </w:r>
      <w:r w:rsidRPr="00C3001B">
        <w:rPr>
          <w:rStyle w:val="Emphasis"/>
        </w:rPr>
        <w:t>International Journal of Molecular Sciences</w:t>
      </w:r>
      <w:r w:rsidRPr="00C3001B">
        <w:t xml:space="preserve">, </w:t>
      </w:r>
      <w:r w:rsidRPr="00C3001B">
        <w:rPr>
          <w:rStyle w:val="Strong"/>
        </w:rPr>
        <w:t>17</w:t>
      </w:r>
      <w:r w:rsidRPr="00C3001B">
        <w:t>(2), 160. https://doi.org/10.3390/ijms17020160</w:t>
      </w:r>
    </w:p>
    <w:p w:rsidR="00C3001B" w:rsidRPr="00C3001B" w:rsidRDefault="00C3001B" w:rsidP="00F96E68">
      <w:pPr>
        <w:pStyle w:val="NormalWeb"/>
        <w:spacing w:line="276" w:lineRule="auto"/>
        <w:ind w:left="360"/>
        <w:jc w:val="both"/>
      </w:pPr>
      <w:proofErr w:type="spellStart"/>
      <w:r w:rsidRPr="00C3001B">
        <w:rPr>
          <w:rStyle w:val="Strong"/>
        </w:rPr>
        <w:lastRenderedPageBreak/>
        <w:t>Ercisli</w:t>
      </w:r>
      <w:proofErr w:type="spellEnd"/>
      <w:r w:rsidRPr="00C3001B">
        <w:rPr>
          <w:rStyle w:val="Strong"/>
        </w:rPr>
        <w:t xml:space="preserve">, S., &amp; </w:t>
      </w:r>
      <w:proofErr w:type="spellStart"/>
      <w:r w:rsidRPr="00C3001B">
        <w:rPr>
          <w:rStyle w:val="Strong"/>
        </w:rPr>
        <w:t>Orhan</w:t>
      </w:r>
      <w:proofErr w:type="spellEnd"/>
      <w:r w:rsidRPr="00C3001B">
        <w:rPr>
          <w:rStyle w:val="Strong"/>
        </w:rPr>
        <w:t>, E. (2007).</w:t>
      </w:r>
      <w:r w:rsidRPr="00C3001B">
        <w:t xml:space="preserve"> Chemical composition of white (</w:t>
      </w:r>
      <w:proofErr w:type="spellStart"/>
      <w:r w:rsidRPr="00C3001B">
        <w:rPr>
          <w:rStyle w:val="Emphasis"/>
        </w:rPr>
        <w:t>Morus</w:t>
      </w:r>
      <w:proofErr w:type="spellEnd"/>
      <w:r w:rsidRPr="00C3001B">
        <w:rPr>
          <w:rStyle w:val="Emphasis"/>
        </w:rPr>
        <w:t xml:space="preserve"> alba</w:t>
      </w:r>
      <w:r w:rsidRPr="00C3001B">
        <w:t>), red (</w:t>
      </w:r>
      <w:proofErr w:type="spellStart"/>
      <w:r w:rsidRPr="00C3001B">
        <w:rPr>
          <w:rStyle w:val="Emphasis"/>
        </w:rPr>
        <w:t>Morus</w:t>
      </w:r>
      <w:proofErr w:type="spellEnd"/>
      <w:r w:rsidRPr="00C3001B">
        <w:rPr>
          <w:rStyle w:val="Emphasis"/>
        </w:rPr>
        <w:t xml:space="preserve"> rubra</w:t>
      </w:r>
      <w:r w:rsidRPr="00C3001B">
        <w:t>), and black (</w:t>
      </w:r>
      <w:proofErr w:type="spellStart"/>
      <w:r w:rsidRPr="00C3001B">
        <w:rPr>
          <w:rStyle w:val="Emphasis"/>
        </w:rPr>
        <w:t>Morus</w:t>
      </w:r>
      <w:proofErr w:type="spellEnd"/>
      <w:r w:rsidRPr="00C3001B">
        <w:rPr>
          <w:rStyle w:val="Emphasis"/>
        </w:rPr>
        <w:t xml:space="preserve"> </w:t>
      </w:r>
      <w:proofErr w:type="spellStart"/>
      <w:r w:rsidRPr="00C3001B">
        <w:rPr>
          <w:rStyle w:val="Emphasis"/>
        </w:rPr>
        <w:t>nigra</w:t>
      </w:r>
      <w:proofErr w:type="spellEnd"/>
      <w:r w:rsidRPr="00C3001B">
        <w:t xml:space="preserve">) mulberry fruits. </w:t>
      </w:r>
      <w:r w:rsidRPr="00C3001B">
        <w:rPr>
          <w:rStyle w:val="Emphasis"/>
        </w:rPr>
        <w:t>Food Chemistry</w:t>
      </w:r>
      <w:r w:rsidRPr="00C3001B">
        <w:t xml:space="preserve">, </w:t>
      </w:r>
      <w:r w:rsidRPr="00C3001B">
        <w:rPr>
          <w:rStyle w:val="Strong"/>
        </w:rPr>
        <w:t>103</w:t>
      </w:r>
      <w:r w:rsidRPr="00C3001B">
        <w:t>(4), 1380–1384. https://doi.org/10.1016/j.foodchem.2006.10.054</w:t>
      </w:r>
    </w:p>
    <w:p w:rsidR="00C3001B" w:rsidRPr="00C3001B" w:rsidRDefault="00C3001B" w:rsidP="00F96E68">
      <w:pPr>
        <w:pStyle w:val="NormalWeb"/>
        <w:spacing w:line="276" w:lineRule="auto"/>
        <w:ind w:left="360"/>
        <w:jc w:val="both"/>
      </w:pPr>
      <w:r w:rsidRPr="00C3001B">
        <w:rPr>
          <w:rStyle w:val="Strong"/>
        </w:rPr>
        <w:t xml:space="preserve">Giusti, M. M., &amp; </w:t>
      </w:r>
      <w:proofErr w:type="spellStart"/>
      <w:r w:rsidRPr="00C3001B">
        <w:rPr>
          <w:rStyle w:val="Strong"/>
        </w:rPr>
        <w:t>Wrolstad</w:t>
      </w:r>
      <w:proofErr w:type="spellEnd"/>
      <w:r w:rsidRPr="00C3001B">
        <w:rPr>
          <w:rStyle w:val="Strong"/>
        </w:rPr>
        <w:t>, R. E. (2001).</w:t>
      </w:r>
      <w:r w:rsidRPr="00C3001B">
        <w:t xml:space="preserve"> Characterization and measurement of anthocyanins by UV–visible spectroscopy. </w:t>
      </w:r>
      <w:r w:rsidRPr="00C3001B">
        <w:rPr>
          <w:rStyle w:val="Emphasis"/>
        </w:rPr>
        <w:t>Current Protocols in Food Analytical Chemistry</w:t>
      </w:r>
      <w:r w:rsidRPr="00C3001B">
        <w:t>, F1.2.1–F1.2.13. https://doi.org/10.1002/0471142913.faf0102s00</w:t>
      </w:r>
    </w:p>
    <w:p w:rsidR="00BC638B" w:rsidRDefault="00BC638B" w:rsidP="00F96E68">
      <w:pPr>
        <w:pStyle w:val="NormalWeb"/>
        <w:spacing w:line="276" w:lineRule="auto"/>
        <w:ind w:left="360"/>
        <w:jc w:val="both"/>
      </w:pPr>
      <w:proofErr w:type="spellStart"/>
      <w:r>
        <w:t>Gonzali</w:t>
      </w:r>
      <w:proofErr w:type="spellEnd"/>
      <w:r>
        <w:t xml:space="preserve">, S., </w:t>
      </w:r>
      <w:proofErr w:type="spellStart"/>
      <w:r>
        <w:t>Mazzucato</w:t>
      </w:r>
      <w:proofErr w:type="spellEnd"/>
      <w:r>
        <w:t xml:space="preserve">, A., &amp; </w:t>
      </w:r>
      <w:proofErr w:type="spellStart"/>
      <w:r>
        <w:t>Perata</w:t>
      </w:r>
      <w:proofErr w:type="spellEnd"/>
      <w:r>
        <w:t xml:space="preserve">, P. (2009). Light influences flavonoid biosynthesis and accumulation in plants. </w:t>
      </w:r>
      <w:r>
        <w:rPr>
          <w:rStyle w:val="Emphasis"/>
        </w:rPr>
        <w:t xml:space="preserve">Plant </w:t>
      </w:r>
      <w:proofErr w:type="spellStart"/>
      <w:r>
        <w:rPr>
          <w:rStyle w:val="Emphasis"/>
        </w:rPr>
        <w:t>Signaling</w:t>
      </w:r>
      <w:proofErr w:type="spellEnd"/>
      <w:r>
        <w:rPr>
          <w:rStyle w:val="Emphasis"/>
        </w:rPr>
        <w:t xml:space="preserve"> &amp; </w:t>
      </w:r>
      <w:proofErr w:type="spellStart"/>
      <w:r>
        <w:rPr>
          <w:rStyle w:val="Emphasis"/>
        </w:rPr>
        <w:t>Behavior</w:t>
      </w:r>
      <w:proofErr w:type="spellEnd"/>
      <w:r>
        <w:rPr>
          <w:rStyle w:val="Emphasis"/>
        </w:rPr>
        <w:t>, 4</w:t>
      </w:r>
      <w:r>
        <w:t xml:space="preserve">(8), 722–724. </w:t>
      </w:r>
      <w:hyperlink r:id="rId9" w:tgtFrame="_new" w:history="1">
        <w:r>
          <w:rPr>
            <w:rStyle w:val="Hyperlink"/>
          </w:rPr>
          <w:t>https://doi.org/10.4161/psb.4.8.9046</w:t>
        </w:r>
      </w:hyperlink>
    </w:p>
    <w:p w:rsidR="00BC638B" w:rsidRPr="003405AD" w:rsidRDefault="00BC638B" w:rsidP="00F96E68">
      <w:pPr>
        <w:pStyle w:val="NormalWeb"/>
        <w:spacing w:line="276" w:lineRule="auto"/>
        <w:ind w:left="360"/>
        <w:jc w:val="both"/>
        <w:rPr>
          <w:highlight w:val="yellow"/>
        </w:rPr>
      </w:pPr>
      <w:r w:rsidRPr="003405AD">
        <w:rPr>
          <w:highlight w:val="yellow"/>
        </w:rPr>
        <w:t xml:space="preserve">Han, X., et al. (2016). </w:t>
      </w:r>
      <w:r w:rsidRPr="003405AD">
        <w:rPr>
          <w:rStyle w:val="Emphasis"/>
          <w:highlight w:val="yellow"/>
        </w:rPr>
        <w:t>Mulberry anthocyanins ameliorate cognitive deficits in aging mice via antioxidant and anti-inflammatory mechanisms</w:t>
      </w:r>
      <w:r w:rsidRPr="003405AD">
        <w:rPr>
          <w:highlight w:val="yellow"/>
        </w:rPr>
        <w:t xml:space="preserve">. Neuroscience Letters, 635, 1–8. </w:t>
      </w:r>
      <w:hyperlink r:id="rId10" w:tgtFrame="_new" w:history="1">
        <w:r w:rsidRPr="003405AD">
          <w:rPr>
            <w:rStyle w:val="Hyperlink"/>
            <w:highlight w:val="yellow"/>
          </w:rPr>
          <w:t>https://doi.org/10.1016/j.neulet.2016.10.006</w:t>
        </w:r>
      </w:hyperlink>
    </w:p>
    <w:p w:rsidR="00C3001B" w:rsidRPr="003405AD" w:rsidRDefault="00C3001B" w:rsidP="00F96E68">
      <w:pPr>
        <w:pStyle w:val="NormalWeb"/>
        <w:spacing w:line="276" w:lineRule="auto"/>
        <w:ind w:left="360"/>
        <w:jc w:val="both"/>
        <w:rPr>
          <w:highlight w:val="yellow"/>
        </w:rPr>
      </w:pPr>
      <w:r w:rsidRPr="003405AD">
        <w:rPr>
          <w:rStyle w:val="Strong"/>
          <w:highlight w:val="yellow"/>
        </w:rPr>
        <w:t>He, J., &amp; Giusti, M. M. (2010).</w:t>
      </w:r>
      <w:r w:rsidRPr="003405AD">
        <w:rPr>
          <w:highlight w:val="yellow"/>
        </w:rPr>
        <w:t xml:space="preserve"> Anthocyanins: Natural colorants with health-promoting properties. </w:t>
      </w:r>
      <w:r w:rsidRPr="003405AD">
        <w:rPr>
          <w:rStyle w:val="Emphasis"/>
          <w:highlight w:val="yellow"/>
        </w:rPr>
        <w:t>Annual Review of Food Science and Technology</w:t>
      </w:r>
      <w:r w:rsidRPr="003405AD">
        <w:rPr>
          <w:highlight w:val="yellow"/>
        </w:rPr>
        <w:t xml:space="preserve">, </w:t>
      </w:r>
      <w:r w:rsidRPr="003405AD">
        <w:rPr>
          <w:rStyle w:val="Strong"/>
          <w:highlight w:val="yellow"/>
        </w:rPr>
        <w:t>1</w:t>
      </w:r>
      <w:r w:rsidRPr="003405AD">
        <w:rPr>
          <w:highlight w:val="yellow"/>
        </w:rPr>
        <w:t>, 163–187. https://doi.org/10.1146/annurev.food.080708.100754</w:t>
      </w:r>
    </w:p>
    <w:p w:rsidR="00C3001B" w:rsidRPr="00C3001B" w:rsidRDefault="00C3001B" w:rsidP="00F96E68">
      <w:pPr>
        <w:pStyle w:val="NormalWeb"/>
        <w:spacing w:line="276" w:lineRule="auto"/>
        <w:ind w:left="360"/>
        <w:jc w:val="both"/>
      </w:pPr>
      <w:r w:rsidRPr="00C3001B">
        <w:rPr>
          <w:rStyle w:val="Strong"/>
        </w:rPr>
        <w:t>Patras, A., et al. (2010).</w:t>
      </w:r>
      <w:r w:rsidRPr="00C3001B">
        <w:t xml:space="preserve"> Effect of thermal processing on anthocyanin stability in foods: Mechanisms and kinetics. </w:t>
      </w:r>
      <w:r w:rsidRPr="00C3001B">
        <w:rPr>
          <w:rStyle w:val="Emphasis"/>
        </w:rPr>
        <w:t>Food Research International</w:t>
      </w:r>
      <w:r w:rsidRPr="00C3001B">
        <w:t xml:space="preserve">, </w:t>
      </w:r>
      <w:r w:rsidRPr="00C3001B">
        <w:rPr>
          <w:rStyle w:val="Strong"/>
        </w:rPr>
        <w:t>43</w:t>
      </w:r>
      <w:r w:rsidRPr="00C3001B">
        <w:t>(4), 1095–1101. https://doi.org/10.1016/j.foodres.2010.01.004</w:t>
      </w:r>
    </w:p>
    <w:p w:rsidR="00C3001B" w:rsidRPr="00C3001B" w:rsidRDefault="00C3001B" w:rsidP="00F96E68">
      <w:pPr>
        <w:pStyle w:val="NormalWeb"/>
        <w:spacing w:line="276" w:lineRule="auto"/>
        <w:ind w:left="360"/>
        <w:jc w:val="both"/>
      </w:pPr>
      <w:bookmarkStart w:id="0" w:name="_GoBack"/>
      <w:bookmarkEnd w:id="0"/>
      <w:r w:rsidRPr="00C3001B">
        <w:rPr>
          <w:rStyle w:val="Strong"/>
        </w:rPr>
        <w:t>Shipp, J., &amp; Abdel-</w:t>
      </w:r>
      <w:proofErr w:type="spellStart"/>
      <w:r w:rsidRPr="00C3001B">
        <w:rPr>
          <w:rStyle w:val="Strong"/>
        </w:rPr>
        <w:t>Aal</w:t>
      </w:r>
      <w:proofErr w:type="spellEnd"/>
      <w:r w:rsidRPr="00C3001B">
        <w:rPr>
          <w:rStyle w:val="Strong"/>
        </w:rPr>
        <w:t>, E. S. M. (2010).</w:t>
      </w:r>
      <w:r w:rsidRPr="00C3001B">
        <w:t xml:space="preserve"> Food applications and physiological effects of anthocyanins as functional food ingredients. </w:t>
      </w:r>
      <w:r w:rsidRPr="00C3001B">
        <w:rPr>
          <w:rStyle w:val="Emphasis"/>
        </w:rPr>
        <w:t>The Open Food Science Journal</w:t>
      </w:r>
      <w:r w:rsidRPr="00C3001B">
        <w:t xml:space="preserve">, </w:t>
      </w:r>
      <w:r w:rsidRPr="00C3001B">
        <w:rPr>
          <w:rStyle w:val="Strong"/>
        </w:rPr>
        <w:t>4</w:t>
      </w:r>
      <w:r w:rsidRPr="00C3001B">
        <w:t>, 7–22. https://doi.org/10.2174/1874256401004010007</w:t>
      </w:r>
    </w:p>
    <w:p w:rsidR="00C3001B" w:rsidRPr="00C3001B" w:rsidRDefault="00C3001B" w:rsidP="00F96E68">
      <w:pPr>
        <w:pStyle w:val="NormalWeb"/>
        <w:spacing w:line="276" w:lineRule="auto"/>
        <w:ind w:left="360"/>
        <w:jc w:val="both"/>
      </w:pPr>
      <w:r w:rsidRPr="00C3001B">
        <w:rPr>
          <w:rStyle w:val="Strong"/>
        </w:rPr>
        <w:t>Tsuda, T. (2012).</w:t>
      </w:r>
      <w:r w:rsidRPr="00C3001B">
        <w:t xml:space="preserve"> Dietary anthocyanin-rich plants: Biochemical basis and recent progress in health benefits. </w:t>
      </w:r>
      <w:r w:rsidRPr="00C3001B">
        <w:rPr>
          <w:rStyle w:val="Emphasis"/>
        </w:rPr>
        <w:t>Molecular Nutrition &amp; Food Research</w:t>
      </w:r>
      <w:r w:rsidRPr="00C3001B">
        <w:t xml:space="preserve">, </w:t>
      </w:r>
      <w:r w:rsidRPr="00C3001B">
        <w:rPr>
          <w:rStyle w:val="Strong"/>
        </w:rPr>
        <w:t>56</w:t>
      </w:r>
      <w:r w:rsidRPr="00C3001B">
        <w:t>(1), 159–170. https://doi.org/10.1002/mnfr.201100526</w:t>
      </w:r>
    </w:p>
    <w:p w:rsidR="00C3001B" w:rsidRPr="00C3001B" w:rsidRDefault="00C3001B" w:rsidP="00F96E68">
      <w:pPr>
        <w:pStyle w:val="NormalWeb"/>
        <w:spacing w:line="276" w:lineRule="auto"/>
        <w:ind w:left="360"/>
        <w:jc w:val="both"/>
      </w:pPr>
      <w:r w:rsidRPr="00C3001B">
        <w:rPr>
          <w:rStyle w:val="Strong"/>
        </w:rPr>
        <w:t>Wallace, T. C. (2011).</w:t>
      </w:r>
      <w:r w:rsidRPr="00C3001B">
        <w:t xml:space="preserve"> Anthocyanins in cardiovascular disease. </w:t>
      </w:r>
      <w:r w:rsidRPr="00C3001B">
        <w:rPr>
          <w:rStyle w:val="Emphasis"/>
        </w:rPr>
        <w:t>Advances in Nutrition</w:t>
      </w:r>
      <w:r w:rsidRPr="00C3001B">
        <w:t xml:space="preserve">, </w:t>
      </w:r>
      <w:r w:rsidRPr="00C3001B">
        <w:rPr>
          <w:rStyle w:val="Strong"/>
        </w:rPr>
        <w:t>2</w:t>
      </w:r>
      <w:r w:rsidRPr="00C3001B">
        <w:t>(1), 1–7. https://doi.org/10.3945/an.110.000042</w:t>
      </w:r>
    </w:p>
    <w:p w:rsidR="00C3001B" w:rsidRPr="00C3001B" w:rsidRDefault="00C3001B" w:rsidP="00F96E68">
      <w:pPr>
        <w:pStyle w:val="NormalWeb"/>
        <w:spacing w:line="276" w:lineRule="auto"/>
        <w:ind w:left="360"/>
        <w:jc w:val="both"/>
      </w:pPr>
      <w:r w:rsidRPr="00C3001B">
        <w:rPr>
          <w:rStyle w:val="Strong"/>
        </w:rPr>
        <w:t>Wang, L. S., &amp; Stoner, G. D. (2008).</w:t>
      </w:r>
      <w:r w:rsidRPr="00C3001B">
        <w:t xml:space="preserve"> Anthocyanins and their role in cancer prevention. </w:t>
      </w:r>
      <w:r w:rsidRPr="00C3001B">
        <w:rPr>
          <w:rStyle w:val="Emphasis"/>
        </w:rPr>
        <w:t>Cancer Letters</w:t>
      </w:r>
      <w:r w:rsidRPr="00C3001B">
        <w:t xml:space="preserve">, </w:t>
      </w:r>
      <w:r w:rsidRPr="00C3001B">
        <w:rPr>
          <w:rStyle w:val="Strong"/>
        </w:rPr>
        <w:t>269</w:t>
      </w:r>
      <w:r w:rsidRPr="00C3001B">
        <w:t>(2), 281–290. https://doi.org/10.1016/j.canlet.2008.05.020</w:t>
      </w:r>
    </w:p>
    <w:p w:rsidR="006477DD" w:rsidRPr="00C3001B" w:rsidRDefault="006477DD" w:rsidP="001D6CB1">
      <w:pPr>
        <w:spacing w:before="100" w:beforeAutospacing="1" w:after="100" w:afterAutospacing="1"/>
        <w:jc w:val="both"/>
        <w:rPr>
          <w:rFonts w:ascii="Times New Roman" w:hAnsi="Times New Roman" w:cs="Times New Roman"/>
          <w:sz w:val="24"/>
          <w:szCs w:val="24"/>
        </w:rPr>
      </w:pPr>
    </w:p>
    <w:sectPr w:rsidR="006477DD" w:rsidRPr="00C3001B" w:rsidSect="006801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A47" w:rsidRDefault="00B11A47" w:rsidP="006E07B8">
      <w:pPr>
        <w:spacing w:after="0" w:line="240" w:lineRule="auto"/>
      </w:pPr>
      <w:r>
        <w:separator/>
      </w:r>
    </w:p>
  </w:endnote>
  <w:endnote w:type="continuationSeparator" w:id="0">
    <w:p w:rsidR="00B11A47" w:rsidRDefault="00B11A47" w:rsidP="006E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6E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6E0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6E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A47" w:rsidRDefault="00B11A47" w:rsidP="006E07B8">
      <w:pPr>
        <w:spacing w:after="0" w:line="240" w:lineRule="auto"/>
      </w:pPr>
      <w:r>
        <w:separator/>
      </w:r>
    </w:p>
  </w:footnote>
  <w:footnote w:type="continuationSeparator" w:id="0">
    <w:p w:rsidR="00B11A47" w:rsidRDefault="00B11A47" w:rsidP="006E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34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34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34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4E0"/>
    <w:multiLevelType w:val="multilevel"/>
    <w:tmpl w:val="809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130C2"/>
    <w:multiLevelType w:val="multilevel"/>
    <w:tmpl w:val="98D2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3987"/>
    <w:multiLevelType w:val="multilevel"/>
    <w:tmpl w:val="79E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4038"/>
    <w:multiLevelType w:val="multilevel"/>
    <w:tmpl w:val="C45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E6EE5"/>
    <w:multiLevelType w:val="multilevel"/>
    <w:tmpl w:val="2CD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96885"/>
    <w:multiLevelType w:val="multilevel"/>
    <w:tmpl w:val="FF4EE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7615F"/>
    <w:multiLevelType w:val="multilevel"/>
    <w:tmpl w:val="6B1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64148"/>
    <w:multiLevelType w:val="multilevel"/>
    <w:tmpl w:val="444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1601E"/>
    <w:multiLevelType w:val="multilevel"/>
    <w:tmpl w:val="6E6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9169A"/>
    <w:multiLevelType w:val="multilevel"/>
    <w:tmpl w:val="7B4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44E02"/>
    <w:multiLevelType w:val="multilevel"/>
    <w:tmpl w:val="C7EC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375D4"/>
    <w:multiLevelType w:val="multilevel"/>
    <w:tmpl w:val="19D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1"/>
  </w:num>
  <w:num w:numId="5">
    <w:abstractNumId w:val="6"/>
  </w:num>
  <w:num w:numId="6">
    <w:abstractNumId w:val="2"/>
  </w:num>
  <w:num w:numId="7">
    <w:abstractNumId w:val="8"/>
  </w:num>
  <w:num w:numId="8">
    <w:abstractNumId w:val="4"/>
  </w:num>
  <w:num w:numId="9">
    <w:abstractNumId w:val="3"/>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0Nja2MDEyMDMzNLRQ0lEKTi0uzszPAykwrAUAI2jU8SwAAAA="/>
  </w:docVars>
  <w:rsids>
    <w:rsidRoot w:val="006477DD"/>
    <w:rsid w:val="00002C94"/>
    <w:rsid w:val="00007F36"/>
    <w:rsid w:val="000965AA"/>
    <w:rsid w:val="001738E5"/>
    <w:rsid w:val="001C5DDC"/>
    <w:rsid w:val="001D6CB1"/>
    <w:rsid w:val="001E761E"/>
    <w:rsid w:val="002F6E41"/>
    <w:rsid w:val="003405AD"/>
    <w:rsid w:val="003502ED"/>
    <w:rsid w:val="003715F1"/>
    <w:rsid w:val="0037419D"/>
    <w:rsid w:val="00397EB3"/>
    <w:rsid w:val="003C1B4B"/>
    <w:rsid w:val="003C448C"/>
    <w:rsid w:val="004468CC"/>
    <w:rsid w:val="00495693"/>
    <w:rsid w:val="004D6C8A"/>
    <w:rsid w:val="004F1EE1"/>
    <w:rsid w:val="00512C5B"/>
    <w:rsid w:val="0054269E"/>
    <w:rsid w:val="005C0723"/>
    <w:rsid w:val="00636AE6"/>
    <w:rsid w:val="006477DD"/>
    <w:rsid w:val="006801DA"/>
    <w:rsid w:val="00693894"/>
    <w:rsid w:val="006E07B8"/>
    <w:rsid w:val="006E25DD"/>
    <w:rsid w:val="006E6D45"/>
    <w:rsid w:val="008B5786"/>
    <w:rsid w:val="008C008A"/>
    <w:rsid w:val="00940D33"/>
    <w:rsid w:val="00956C8D"/>
    <w:rsid w:val="00956E49"/>
    <w:rsid w:val="00A24E62"/>
    <w:rsid w:val="00A30D9D"/>
    <w:rsid w:val="00AB4BB0"/>
    <w:rsid w:val="00B11A47"/>
    <w:rsid w:val="00B52D85"/>
    <w:rsid w:val="00BC638B"/>
    <w:rsid w:val="00BE5864"/>
    <w:rsid w:val="00C3001B"/>
    <w:rsid w:val="00C31A35"/>
    <w:rsid w:val="00C74051"/>
    <w:rsid w:val="00CB69C9"/>
    <w:rsid w:val="00D47647"/>
    <w:rsid w:val="00D72ADB"/>
    <w:rsid w:val="00DF6690"/>
    <w:rsid w:val="00E66629"/>
    <w:rsid w:val="00EF4EBB"/>
    <w:rsid w:val="00F424A0"/>
    <w:rsid w:val="00F557B6"/>
    <w:rsid w:val="00F96E68"/>
    <w:rsid w:val="00FF11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59B47F"/>
  <w15:docId w15:val="{F258B3E0-F402-4339-B7D5-CB1E0537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1DA"/>
  </w:style>
  <w:style w:type="paragraph" w:styleId="Heading1">
    <w:name w:val="heading 1"/>
    <w:basedOn w:val="Normal"/>
    <w:next w:val="Normal"/>
    <w:link w:val="Heading1Char"/>
    <w:uiPriority w:val="9"/>
    <w:qFormat/>
    <w:rsid w:val="00B52D8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link w:val="Heading2Char"/>
    <w:uiPriority w:val="9"/>
    <w:qFormat/>
    <w:rsid w:val="006477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7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66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7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77DD"/>
    <w:rPr>
      <w:rFonts w:ascii="Times New Roman" w:eastAsia="Times New Roman" w:hAnsi="Times New Roman" w:cs="Times New Roman"/>
      <w:b/>
      <w:bCs/>
      <w:sz w:val="27"/>
      <w:szCs w:val="27"/>
    </w:rPr>
  </w:style>
  <w:style w:type="character" w:styleId="Strong">
    <w:name w:val="Strong"/>
    <w:basedOn w:val="DefaultParagraphFont"/>
    <w:uiPriority w:val="22"/>
    <w:qFormat/>
    <w:rsid w:val="006477DD"/>
    <w:rPr>
      <w:b/>
      <w:bCs/>
    </w:rPr>
  </w:style>
  <w:style w:type="paragraph" w:styleId="NormalWeb">
    <w:name w:val="Normal (Web)"/>
    <w:basedOn w:val="Normal"/>
    <w:uiPriority w:val="99"/>
    <w:unhideWhenUsed/>
    <w:rsid w:val="006477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7DD"/>
    <w:rPr>
      <w:i/>
      <w:iCs/>
    </w:rPr>
  </w:style>
  <w:style w:type="character" w:customStyle="1" w:styleId="Heading1Char">
    <w:name w:val="Heading 1 Char"/>
    <w:basedOn w:val="DefaultParagraphFont"/>
    <w:link w:val="Heading1"/>
    <w:uiPriority w:val="9"/>
    <w:rsid w:val="00B52D85"/>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uiPriority w:val="59"/>
    <w:rsid w:val="00B52D8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E62"/>
    <w:rPr>
      <w:color w:val="0000FF" w:themeColor="hyperlink"/>
      <w:u w:val="single"/>
    </w:rPr>
  </w:style>
  <w:style w:type="character" w:customStyle="1" w:styleId="UnresolvedMention1">
    <w:name w:val="Unresolved Mention1"/>
    <w:basedOn w:val="DefaultParagraphFont"/>
    <w:uiPriority w:val="99"/>
    <w:semiHidden/>
    <w:unhideWhenUsed/>
    <w:rsid w:val="00A24E62"/>
    <w:rPr>
      <w:color w:val="605E5C"/>
      <w:shd w:val="clear" w:color="auto" w:fill="E1DFDD"/>
    </w:rPr>
  </w:style>
  <w:style w:type="paragraph" w:styleId="Header">
    <w:name w:val="header"/>
    <w:basedOn w:val="Normal"/>
    <w:link w:val="HeaderChar"/>
    <w:uiPriority w:val="99"/>
    <w:unhideWhenUsed/>
    <w:rsid w:val="006E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B8"/>
  </w:style>
  <w:style w:type="paragraph" w:styleId="Footer">
    <w:name w:val="footer"/>
    <w:basedOn w:val="Normal"/>
    <w:link w:val="FooterChar"/>
    <w:uiPriority w:val="99"/>
    <w:unhideWhenUsed/>
    <w:rsid w:val="006E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B8"/>
  </w:style>
  <w:style w:type="character" w:customStyle="1" w:styleId="Heading4Char">
    <w:name w:val="Heading 4 Char"/>
    <w:basedOn w:val="DefaultParagraphFont"/>
    <w:link w:val="Heading4"/>
    <w:uiPriority w:val="9"/>
    <w:semiHidden/>
    <w:rsid w:val="00E6662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68489">
      <w:bodyDiv w:val="1"/>
      <w:marLeft w:val="0"/>
      <w:marRight w:val="0"/>
      <w:marTop w:val="0"/>
      <w:marBottom w:val="0"/>
      <w:divBdr>
        <w:top w:val="none" w:sz="0" w:space="0" w:color="auto"/>
        <w:left w:val="none" w:sz="0" w:space="0" w:color="auto"/>
        <w:bottom w:val="none" w:sz="0" w:space="0" w:color="auto"/>
        <w:right w:val="none" w:sz="0" w:space="0" w:color="auto"/>
      </w:divBdr>
    </w:div>
    <w:div w:id="584460102">
      <w:bodyDiv w:val="1"/>
      <w:marLeft w:val="0"/>
      <w:marRight w:val="0"/>
      <w:marTop w:val="0"/>
      <w:marBottom w:val="0"/>
      <w:divBdr>
        <w:top w:val="none" w:sz="0" w:space="0" w:color="auto"/>
        <w:left w:val="none" w:sz="0" w:space="0" w:color="auto"/>
        <w:bottom w:val="none" w:sz="0" w:space="0" w:color="auto"/>
        <w:right w:val="none" w:sz="0" w:space="0" w:color="auto"/>
      </w:divBdr>
    </w:div>
    <w:div w:id="629020292">
      <w:bodyDiv w:val="1"/>
      <w:marLeft w:val="0"/>
      <w:marRight w:val="0"/>
      <w:marTop w:val="0"/>
      <w:marBottom w:val="0"/>
      <w:divBdr>
        <w:top w:val="none" w:sz="0" w:space="0" w:color="auto"/>
        <w:left w:val="none" w:sz="0" w:space="0" w:color="auto"/>
        <w:bottom w:val="none" w:sz="0" w:space="0" w:color="auto"/>
        <w:right w:val="none" w:sz="0" w:space="0" w:color="auto"/>
      </w:divBdr>
    </w:div>
    <w:div w:id="920330771">
      <w:bodyDiv w:val="1"/>
      <w:marLeft w:val="0"/>
      <w:marRight w:val="0"/>
      <w:marTop w:val="0"/>
      <w:marBottom w:val="0"/>
      <w:divBdr>
        <w:top w:val="none" w:sz="0" w:space="0" w:color="auto"/>
        <w:left w:val="none" w:sz="0" w:space="0" w:color="auto"/>
        <w:bottom w:val="none" w:sz="0" w:space="0" w:color="auto"/>
        <w:right w:val="none" w:sz="0" w:space="0" w:color="auto"/>
      </w:divBdr>
    </w:div>
    <w:div w:id="927888986">
      <w:bodyDiv w:val="1"/>
      <w:marLeft w:val="0"/>
      <w:marRight w:val="0"/>
      <w:marTop w:val="0"/>
      <w:marBottom w:val="0"/>
      <w:divBdr>
        <w:top w:val="none" w:sz="0" w:space="0" w:color="auto"/>
        <w:left w:val="none" w:sz="0" w:space="0" w:color="auto"/>
        <w:bottom w:val="none" w:sz="0" w:space="0" w:color="auto"/>
        <w:right w:val="none" w:sz="0" w:space="0" w:color="auto"/>
      </w:divBdr>
      <w:divsChild>
        <w:div w:id="23866401">
          <w:marLeft w:val="0"/>
          <w:marRight w:val="0"/>
          <w:marTop w:val="0"/>
          <w:marBottom w:val="0"/>
          <w:divBdr>
            <w:top w:val="none" w:sz="0" w:space="0" w:color="auto"/>
            <w:left w:val="none" w:sz="0" w:space="0" w:color="auto"/>
            <w:bottom w:val="none" w:sz="0" w:space="0" w:color="auto"/>
            <w:right w:val="none" w:sz="0" w:space="0" w:color="auto"/>
          </w:divBdr>
          <w:divsChild>
            <w:div w:id="1682703380">
              <w:marLeft w:val="0"/>
              <w:marRight w:val="0"/>
              <w:marTop w:val="0"/>
              <w:marBottom w:val="0"/>
              <w:divBdr>
                <w:top w:val="none" w:sz="0" w:space="0" w:color="auto"/>
                <w:left w:val="none" w:sz="0" w:space="0" w:color="auto"/>
                <w:bottom w:val="none" w:sz="0" w:space="0" w:color="auto"/>
                <w:right w:val="none" w:sz="0" w:space="0" w:color="auto"/>
              </w:divBdr>
            </w:div>
          </w:divsChild>
        </w:div>
        <w:div w:id="17126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393827">
      <w:bodyDiv w:val="1"/>
      <w:marLeft w:val="0"/>
      <w:marRight w:val="0"/>
      <w:marTop w:val="0"/>
      <w:marBottom w:val="0"/>
      <w:divBdr>
        <w:top w:val="none" w:sz="0" w:space="0" w:color="auto"/>
        <w:left w:val="none" w:sz="0" w:space="0" w:color="auto"/>
        <w:bottom w:val="none" w:sz="0" w:space="0" w:color="auto"/>
        <w:right w:val="none" w:sz="0" w:space="0" w:color="auto"/>
      </w:divBdr>
    </w:div>
    <w:div w:id="1132214946">
      <w:bodyDiv w:val="1"/>
      <w:marLeft w:val="0"/>
      <w:marRight w:val="0"/>
      <w:marTop w:val="0"/>
      <w:marBottom w:val="0"/>
      <w:divBdr>
        <w:top w:val="none" w:sz="0" w:space="0" w:color="auto"/>
        <w:left w:val="none" w:sz="0" w:space="0" w:color="auto"/>
        <w:bottom w:val="none" w:sz="0" w:space="0" w:color="auto"/>
        <w:right w:val="none" w:sz="0" w:space="0" w:color="auto"/>
      </w:divBdr>
    </w:div>
    <w:div w:id="1287347694">
      <w:bodyDiv w:val="1"/>
      <w:marLeft w:val="0"/>
      <w:marRight w:val="0"/>
      <w:marTop w:val="0"/>
      <w:marBottom w:val="0"/>
      <w:divBdr>
        <w:top w:val="none" w:sz="0" w:space="0" w:color="auto"/>
        <w:left w:val="none" w:sz="0" w:space="0" w:color="auto"/>
        <w:bottom w:val="none" w:sz="0" w:space="0" w:color="auto"/>
        <w:right w:val="none" w:sz="0" w:space="0" w:color="auto"/>
      </w:divBdr>
    </w:div>
    <w:div w:id="1295480470">
      <w:bodyDiv w:val="1"/>
      <w:marLeft w:val="0"/>
      <w:marRight w:val="0"/>
      <w:marTop w:val="0"/>
      <w:marBottom w:val="0"/>
      <w:divBdr>
        <w:top w:val="none" w:sz="0" w:space="0" w:color="auto"/>
        <w:left w:val="none" w:sz="0" w:space="0" w:color="auto"/>
        <w:bottom w:val="none" w:sz="0" w:space="0" w:color="auto"/>
        <w:right w:val="none" w:sz="0" w:space="0" w:color="auto"/>
      </w:divBdr>
    </w:div>
    <w:div w:id="1392265351">
      <w:bodyDiv w:val="1"/>
      <w:marLeft w:val="0"/>
      <w:marRight w:val="0"/>
      <w:marTop w:val="0"/>
      <w:marBottom w:val="0"/>
      <w:divBdr>
        <w:top w:val="none" w:sz="0" w:space="0" w:color="auto"/>
        <w:left w:val="none" w:sz="0" w:space="0" w:color="auto"/>
        <w:bottom w:val="none" w:sz="0" w:space="0" w:color="auto"/>
        <w:right w:val="none" w:sz="0" w:space="0" w:color="auto"/>
      </w:divBdr>
    </w:div>
    <w:div w:id="1510483728">
      <w:bodyDiv w:val="1"/>
      <w:marLeft w:val="0"/>
      <w:marRight w:val="0"/>
      <w:marTop w:val="0"/>
      <w:marBottom w:val="0"/>
      <w:divBdr>
        <w:top w:val="none" w:sz="0" w:space="0" w:color="auto"/>
        <w:left w:val="none" w:sz="0" w:space="0" w:color="auto"/>
        <w:bottom w:val="none" w:sz="0" w:space="0" w:color="auto"/>
        <w:right w:val="none" w:sz="0" w:space="0" w:color="auto"/>
      </w:divBdr>
    </w:div>
    <w:div w:id="1652177240">
      <w:bodyDiv w:val="1"/>
      <w:marLeft w:val="0"/>
      <w:marRight w:val="0"/>
      <w:marTop w:val="0"/>
      <w:marBottom w:val="0"/>
      <w:divBdr>
        <w:top w:val="none" w:sz="0" w:space="0" w:color="auto"/>
        <w:left w:val="none" w:sz="0" w:space="0" w:color="auto"/>
        <w:bottom w:val="none" w:sz="0" w:space="0" w:color="auto"/>
        <w:right w:val="none" w:sz="0" w:space="0" w:color="auto"/>
      </w:divBdr>
    </w:div>
    <w:div w:id="1689405428">
      <w:bodyDiv w:val="1"/>
      <w:marLeft w:val="0"/>
      <w:marRight w:val="0"/>
      <w:marTop w:val="0"/>
      <w:marBottom w:val="0"/>
      <w:divBdr>
        <w:top w:val="none" w:sz="0" w:space="0" w:color="auto"/>
        <w:left w:val="none" w:sz="0" w:space="0" w:color="auto"/>
        <w:bottom w:val="none" w:sz="0" w:space="0" w:color="auto"/>
        <w:right w:val="none" w:sz="0" w:space="0" w:color="auto"/>
      </w:divBdr>
    </w:div>
    <w:div w:id="1779788358">
      <w:bodyDiv w:val="1"/>
      <w:marLeft w:val="0"/>
      <w:marRight w:val="0"/>
      <w:marTop w:val="0"/>
      <w:marBottom w:val="0"/>
      <w:divBdr>
        <w:top w:val="none" w:sz="0" w:space="0" w:color="auto"/>
        <w:left w:val="none" w:sz="0" w:space="0" w:color="auto"/>
        <w:bottom w:val="none" w:sz="0" w:space="0" w:color="auto"/>
        <w:right w:val="none" w:sz="0" w:space="0" w:color="auto"/>
      </w:divBdr>
    </w:div>
    <w:div w:id="1811894787">
      <w:bodyDiv w:val="1"/>
      <w:marLeft w:val="0"/>
      <w:marRight w:val="0"/>
      <w:marTop w:val="0"/>
      <w:marBottom w:val="0"/>
      <w:divBdr>
        <w:top w:val="none" w:sz="0" w:space="0" w:color="auto"/>
        <w:left w:val="none" w:sz="0" w:space="0" w:color="auto"/>
        <w:bottom w:val="none" w:sz="0" w:space="0" w:color="auto"/>
        <w:right w:val="none" w:sz="0" w:space="0" w:color="auto"/>
      </w:divBdr>
    </w:div>
    <w:div w:id="20869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14200394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t.openai.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neulet.2016.10.006" TargetMode="External"/><Relationship Id="rId4" Type="http://schemas.openxmlformats.org/officeDocument/2006/relationships/webSettings" Target="webSettings.xml"/><Relationship Id="rId9" Type="http://schemas.openxmlformats.org/officeDocument/2006/relationships/hyperlink" Target="https://doi.org/10.4161/psb.4.8.904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34</cp:revision>
  <dcterms:created xsi:type="dcterms:W3CDTF">2025-07-24T10:34:00Z</dcterms:created>
  <dcterms:modified xsi:type="dcterms:W3CDTF">2025-08-11T11:54:00Z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4d57252e-7474-4d03-883c-04d5c1a65348</vt:lpwstr>
  </property>
</Properties>
</file>