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883" w:rsidRDefault="002678BF" w:rsidP="00765883">
      <w:pPr>
        <w:tabs>
          <w:tab w:val="left" w:pos="6210"/>
        </w:tabs>
        <w:spacing w:line="360" w:lineRule="auto"/>
        <w:jc w:val="right"/>
        <w:rPr>
          <w:rFonts w:ascii="Arial" w:hAnsi="Arial" w:cs="Arial"/>
          <w:sz w:val="24"/>
          <w:szCs w:val="24"/>
        </w:rPr>
      </w:pPr>
      <w:bookmarkStart w:id="0" w:name="_GoBack"/>
      <w:bookmarkEnd w:id="0"/>
      <w:r w:rsidRPr="00F20528">
        <w:rPr>
          <w:rFonts w:ascii="Arial" w:eastAsia="Arial" w:hAnsi="Arial" w:cs="Arial"/>
          <w:b/>
          <w:color w:val="000000"/>
          <w:sz w:val="20"/>
          <w:szCs w:val="20"/>
          <w:highlight w:val="yellow"/>
        </w:rPr>
        <w:t xml:space="preserve">Evaluation </w:t>
      </w:r>
      <w:r>
        <w:rPr>
          <w:rFonts w:ascii="Arial" w:eastAsia="Arial" w:hAnsi="Arial" w:cs="Arial"/>
          <w:b/>
          <w:color w:val="000000"/>
          <w:sz w:val="20"/>
          <w:szCs w:val="20"/>
          <w:highlight w:val="yellow"/>
        </w:rPr>
        <w:t>o</w:t>
      </w:r>
      <w:r w:rsidRPr="00F20528">
        <w:rPr>
          <w:rFonts w:ascii="Arial" w:eastAsia="Arial" w:hAnsi="Arial" w:cs="Arial"/>
          <w:b/>
          <w:color w:val="000000"/>
          <w:sz w:val="20"/>
          <w:szCs w:val="20"/>
          <w:highlight w:val="yellow"/>
        </w:rPr>
        <w:t xml:space="preserve">f The Clinical and Hematological Response to Hydroxyurea Treatment in Patients with Sickle Cell Disease Attending the Hematology Clinic at </w:t>
      </w:r>
      <w:proofErr w:type="spellStart"/>
      <w:r w:rsidRPr="00F20528">
        <w:rPr>
          <w:rFonts w:ascii="Arial" w:eastAsia="Arial" w:hAnsi="Arial" w:cs="Arial"/>
          <w:b/>
          <w:color w:val="000000"/>
          <w:sz w:val="20"/>
          <w:szCs w:val="20"/>
          <w:highlight w:val="yellow"/>
        </w:rPr>
        <w:t>Jitimai</w:t>
      </w:r>
      <w:proofErr w:type="spellEnd"/>
      <w:r w:rsidRPr="00F20528">
        <w:rPr>
          <w:rFonts w:ascii="Arial" w:eastAsia="Arial" w:hAnsi="Arial" w:cs="Arial"/>
          <w:b/>
          <w:color w:val="000000"/>
          <w:sz w:val="20"/>
          <w:szCs w:val="20"/>
          <w:highlight w:val="yellow"/>
        </w:rPr>
        <w:t xml:space="preserve"> District Hospital</w:t>
      </w:r>
    </w:p>
    <w:p w:rsidR="00765883" w:rsidRDefault="00765883" w:rsidP="00765883">
      <w:pPr>
        <w:tabs>
          <w:tab w:val="left" w:pos="6210"/>
        </w:tabs>
        <w:spacing w:line="360" w:lineRule="auto"/>
        <w:jc w:val="right"/>
        <w:rPr>
          <w:rFonts w:ascii="Arial" w:hAnsi="Arial" w:cs="Arial"/>
          <w:sz w:val="24"/>
          <w:szCs w:val="24"/>
        </w:rPr>
      </w:pPr>
      <w:r>
        <w:rPr>
          <w:rFonts w:ascii="Arial" w:eastAsia="Arial" w:hAnsi="Arial" w:cs="Arial"/>
          <w:b/>
          <w:color w:val="000000"/>
          <w:sz w:val="20"/>
          <w:szCs w:val="20"/>
        </w:rPr>
        <w:t xml:space="preserve"> </w:t>
      </w:r>
    </w:p>
    <w:p w:rsidR="00765883" w:rsidRPr="00201C0A" w:rsidRDefault="00765883" w:rsidP="00765883">
      <w:pPr>
        <w:tabs>
          <w:tab w:val="left" w:pos="6210"/>
        </w:tabs>
        <w:spacing w:line="360" w:lineRule="auto"/>
        <w:jc w:val="right"/>
        <w:rPr>
          <w:rFonts w:ascii="Arial" w:hAnsi="Arial" w:cs="Arial"/>
          <w:sz w:val="24"/>
          <w:szCs w:val="24"/>
        </w:rPr>
      </w:pPr>
    </w:p>
    <w:p w:rsidR="00765883" w:rsidRDefault="00765883" w:rsidP="00765883">
      <w:pPr>
        <w:spacing w:after="0" w:line="360" w:lineRule="auto"/>
        <w:rPr>
          <w:rFonts w:ascii="Times New Roman" w:hAnsi="Times New Roman" w:cs="Times New Roman"/>
          <w:b/>
          <w:bCs/>
          <w:color w:val="000000"/>
          <w:sz w:val="24"/>
          <w:szCs w:val="24"/>
        </w:rPr>
      </w:pPr>
    </w:p>
    <w:p w:rsidR="00765883" w:rsidRPr="005F5B23" w:rsidRDefault="00765883" w:rsidP="00765883">
      <w:pPr>
        <w:spacing w:line="360" w:lineRule="auto"/>
        <w:jc w:val="both"/>
        <w:rPr>
          <w:rFonts w:ascii="Arial" w:hAnsi="Arial" w:cs="Arial"/>
          <w:sz w:val="24"/>
          <w:szCs w:val="24"/>
        </w:rPr>
      </w:pPr>
      <w:r>
        <w:rPr>
          <w:rFonts w:ascii="Arial" w:hAnsi="Arial" w:cs="Arial"/>
          <w:sz w:val="24"/>
          <w:szCs w:val="24"/>
        </w:rPr>
        <w:t>Abstract</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Background</w:t>
      </w:r>
      <w:r w:rsidRPr="005F5B23">
        <w:rPr>
          <w:rFonts w:ascii="Arial" w:hAnsi="Arial" w:cs="Arial"/>
          <w:sz w:val="24"/>
          <w:szCs w:val="24"/>
        </w:rPr>
        <w:t>: Sickle Cell Disease (SCD) is the most common and serious inherited disorder worldwide and ranks among the top 50 leading causes of non-communicable disease-related deaths globally. Africa bears a disproportionately large burden of these deaths. Various interventions have been implemented to reduce SCD-related mortality, with the use of Hydroxyurea (HU) demonstrating significant positive outcomes in decreasing both morbidity and mortality.</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Objectives</w:t>
      </w:r>
      <w:r w:rsidRPr="005F5B23">
        <w:rPr>
          <w:rFonts w:ascii="Arial" w:hAnsi="Arial" w:cs="Arial"/>
          <w:sz w:val="24"/>
          <w:szCs w:val="24"/>
        </w:rPr>
        <w:t xml:space="preserve">: to evaluate the response of patients with Sickle Cell Disease (SCD) treated with Hydroxyurea (HU) attending the </w:t>
      </w:r>
      <w:proofErr w:type="spellStart"/>
      <w:r>
        <w:rPr>
          <w:rFonts w:ascii="Arial" w:hAnsi="Arial" w:cs="Arial"/>
          <w:sz w:val="24"/>
          <w:szCs w:val="24"/>
        </w:rPr>
        <w:t>haematology</w:t>
      </w:r>
      <w:proofErr w:type="spellEnd"/>
      <w:r w:rsidRPr="005F5B23">
        <w:rPr>
          <w:rFonts w:ascii="Arial" w:hAnsi="Arial" w:cs="Arial"/>
          <w:sz w:val="24"/>
          <w:szCs w:val="24"/>
        </w:rPr>
        <w:t xml:space="preserve"> clinic at </w:t>
      </w:r>
      <w:proofErr w:type="spellStart"/>
      <w:r w:rsidRPr="005F5B23">
        <w:rPr>
          <w:rFonts w:ascii="Arial" w:hAnsi="Arial" w:cs="Arial"/>
          <w:sz w:val="24"/>
          <w:szCs w:val="24"/>
        </w:rPr>
        <w:t>Jitimai</w:t>
      </w:r>
      <w:proofErr w:type="spellEnd"/>
      <w:r w:rsidRPr="005F5B23">
        <w:rPr>
          <w:rFonts w:ascii="Arial" w:hAnsi="Arial" w:cs="Arial"/>
          <w:sz w:val="24"/>
          <w:szCs w:val="24"/>
        </w:rPr>
        <w:t xml:space="preserve"> District Hospital.</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Methodology</w:t>
      </w:r>
      <w:r w:rsidRPr="005F5B23">
        <w:rPr>
          <w:rFonts w:ascii="Arial" w:hAnsi="Arial" w:cs="Arial"/>
          <w:sz w:val="24"/>
          <w:szCs w:val="24"/>
        </w:rPr>
        <w:t xml:space="preserve">: The study was a descriptive hospital-based cross-sectional study </w:t>
      </w:r>
      <w:r>
        <w:rPr>
          <w:rFonts w:ascii="Arial" w:hAnsi="Arial" w:cs="Arial"/>
          <w:sz w:val="24"/>
          <w:szCs w:val="24"/>
        </w:rPr>
        <w:t xml:space="preserve">conducted at the </w:t>
      </w:r>
      <w:proofErr w:type="spellStart"/>
      <w:r>
        <w:rPr>
          <w:rFonts w:ascii="Arial" w:hAnsi="Arial" w:cs="Arial"/>
          <w:sz w:val="24"/>
          <w:szCs w:val="24"/>
        </w:rPr>
        <w:t>Haematology</w:t>
      </w:r>
      <w:proofErr w:type="spellEnd"/>
      <w:r>
        <w:rPr>
          <w:rFonts w:ascii="Arial" w:hAnsi="Arial" w:cs="Arial"/>
          <w:sz w:val="24"/>
          <w:szCs w:val="24"/>
        </w:rPr>
        <w:t xml:space="preserve"> clinic</w:t>
      </w:r>
      <w:r w:rsidRPr="005F5B23">
        <w:rPr>
          <w:rFonts w:ascii="Arial" w:hAnsi="Arial" w:cs="Arial"/>
          <w:sz w:val="24"/>
          <w:szCs w:val="24"/>
        </w:rPr>
        <w:t>.</w:t>
      </w:r>
      <w:r>
        <w:rPr>
          <w:rFonts w:ascii="Arial" w:hAnsi="Arial" w:cs="Arial"/>
          <w:sz w:val="24"/>
          <w:szCs w:val="24"/>
        </w:rPr>
        <w:t xml:space="preserve"> </w:t>
      </w:r>
      <w:r w:rsidRPr="005F5B23">
        <w:rPr>
          <w:rFonts w:ascii="Arial" w:hAnsi="Arial" w:cs="Arial"/>
          <w:sz w:val="24"/>
          <w:szCs w:val="24"/>
        </w:rPr>
        <w:t>It involved a sample size of about 180</w:t>
      </w:r>
      <w:r>
        <w:rPr>
          <w:rFonts w:ascii="Arial" w:hAnsi="Arial" w:cs="Arial"/>
          <w:sz w:val="24"/>
          <w:szCs w:val="24"/>
        </w:rPr>
        <w:t xml:space="preserve">, comprising both males and females of different age groups (children and adults) attending the </w:t>
      </w:r>
      <w:proofErr w:type="spellStart"/>
      <w:r>
        <w:rPr>
          <w:rFonts w:ascii="Arial" w:hAnsi="Arial" w:cs="Arial"/>
          <w:sz w:val="24"/>
          <w:szCs w:val="24"/>
        </w:rPr>
        <w:t>Haematology</w:t>
      </w:r>
      <w:proofErr w:type="spellEnd"/>
      <w:r w:rsidRPr="005F5B23">
        <w:rPr>
          <w:rFonts w:ascii="Arial" w:hAnsi="Arial" w:cs="Arial"/>
          <w:sz w:val="24"/>
          <w:szCs w:val="24"/>
        </w:rPr>
        <w:t xml:space="preserve"> clinic. </w:t>
      </w:r>
    </w:p>
    <w:p w:rsidR="00765883" w:rsidRPr="005F5B23" w:rsidRDefault="00765883" w:rsidP="00765883">
      <w:pPr>
        <w:spacing w:line="360" w:lineRule="auto"/>
        <w:jc w:val="both"/>
        <w:rPr>
          <w:rFonts w:ascii="Arial" w:hAnsi="Arial" w:cs="Arial"/>
          <w:sz w:val="24"/>
          <w:szCs w:val="24"/>
        </w:rPr>
      </w:pPr>
      <w:r w:rsidRPr="005F5B23">
        <w:rPr>
          <w:rFonts w:ascii="Arial" w:hAnsi="Arial" w:cs="Arial"/>
          <w:b/>
          <w:sz w:val="24"/>
          <w:szCs w:val="24"/>
        </w:rPr>
        <w:t xml:space="preserve">Result: </w:t>
      </w:r>
      <w:r w:rsidRPr="005F5B23">
        <w:rPr>
          <w:rFonts w:ascii="Arial" w:hAnsi="Arial" w:cs="Arial"/>
          <w:sz w:val="24"/>
          <w:szCs w:val="24"/>
        </w:rPr>
        <w:t>The study showed that</w:t>
      </w:r>
      <w:r>
        <w:rPr>
          <w:rFonts w:ascii="Arial" w:hAnsi="Arial" w:cs="Arial"/>
          <w:sz w:val="24"/>
          <w:szCs w:val="24"/>
        </w:rPr>
        <w:t xml:space="preserve"> there is a significant positive response of hydroxyurea treatment to sickle cell disease patients both clinically and </w:t>
      </w:r>
      <w:proofErr w:type="spellStart"/>
      <w:r>
        <w:rPr>
          <w:rFonts w:ascii="Arial" w:hAnsi="Arial" w:cs="Arial"/>
          <w:sz w:val="24"/>
          <w:szCs w:val="24"/>
        </w:rPr>
        <w:t>hematologically</w:t>
      </w:r>
      <w:proofErr w:type="spellEnd"/>
      <w:r w:rsidRPr="005F5B23">
        <w:rPr>
          <w:rFonts w:ascii="Arial" w:hAnsi="Arial" w:cs="Arial"/>
          <w:sz w:val="24"/>
          <w:szCs w:val="24"/>
        </w:rPr>
        <w:t xml:space="preserve">. Notably, there was a marked reduction in the frequency of painful crises, with the mean number dropping from 3.83 ± 0.8 </w:t>
      </w:r>
      <w:r>
        <w:rPr>
          <w:rFonts w:ascii="Arial" w:hAnsi="Arial" w:cs="Arial"/>
          <w:sz w:val="24"/>
          <w:szCs w:val="24"/>
        </w:rPr>
        <w:t>before</w:t>
      </w:r>
      <w:r w:rsidRPr="005F5B23">
        <w:rPr>
          <w:rFonts w:ascii="Arial" w:hAnsi="Arial" w:cs="Arial"/>
          <w:sz w:val="24"/>
          <w:szCs w:val="24"/>
        </w:rPr>
        <w:t xml:space="preserve"> treatment to 1.80 ± 0.9 following treatment</w:t>
      </w:r>
      <w:r>
        <w:rPr>
          <w:rFonts w:ascii="Arial" w:hAnsi="Arial" w:cs="Arial"/>
          <w:sz w:val="24"/>
          <w:szCs w:val="24"/>
        </w:rPr>
        <w:t xml:space="preserve"> </w:t>
      </w:r>
      <w:r w:rsidRPr="000C495C">
        <w:rPr>
          <w:rFonts w:ascii="Arial" w:hAnsi="Arial" w:cs="Arial"/>
          <w:sz w:val="24"/>
          <w:szCs w:val="24"/>
          <w:highlight w:val="yellow"/>
        </w:rPr>
        <w:t>p&lt;0.001</w:t>
      </w:r>
      <w:r w:rsidRPr="005F5B23">
        <w:rPr>
          <w:rFonts w:ascii="Arial" w:hAnsi="Arial" w:cs="Arial"/>
          <w:sz w:val="24"/>
          <w:szCs w:val="24"/>
        </w:rPr>
        <w:t>. Hospitalization rates also decreased dramatically, falling from 3.09 ± 0.5 to 1.20 ± 0.5</w:t>
      </w:r>
      <w:r>
        <w:rPr>
          <w:rFonts w:ascii="Arial" w:hAnsi="Arial" w:cs="Arial"/>
          <w:sz w:val="24"/>
          <w:szCs w:val="24"/>
        </w:rPr>
        <w:t xml:space="preserve"> </w:t>
      </w:r>
      <w:r w:rsidR="00E922E7">
        <w:rPr>
          <w:rFonts w:ascii="Arial" w:hAnsi="Arial" w:cs="Arial"/>
          <w:sz w:val="24"/>
          <w:szCs w:val="24"/>
        </w:rPr>
        <w:t>(</w:t>
      </w:r>
      <w:r w:rsidRPr="000C495C">
        <w:rPr>
          <w:rFonts w:ascii="Arial" w:hAnsi="Arial" w:cs="Arial"/>
          <w:sz w:val="24"/>
          <w:szCs w:val="24"/>
          <w:highlight w:val="yellow"/>
        </w:rPr>
        <w:t>p&lt; 0.001</w:t>
      </w:r>
      <w:r w:rsidR="00E922E7">
        <w:rPr>
          <w:rFonts w:ascii="Arial" w:hAnsi="Arial" w:cs="Arial"/>
          <w:sz w:val="24"/>
          <w:szCs w:val="24"/>
          <w:highlight w:val="yellow"/>
        </w:rPr>
        <w:t>)</w:t>
      </w:r>
      <w:r w:rsidRPr="000C495C">
        <w:rPr>
          <w:rFonts w:ascii="Arial" w:hAnsi="Arial" w:cs="Arial"/>
          <w:sz w:val="24"/>
          <w:szCs w:val="24"/>
          <w:highlight w:val="yellow"/>
        </w:rPr>
        <w:t>.</w:t>
      </w:r>
      <w:r>
        <w:rPr>
          <w:rFonts w:ascii="Arial" w:hAnsi="Arial" w:cs="Arial"/>
          <w:sz w:val="24"/>
          <w:szCs w:val="24"/>
        </w:rPr>
        <w:t xml:space="preserve"> </w:t>
      </w:r>
      <w:r w:rsidRPr="005F5B23">
        <w:rPr>
          <w:rFonts w:ascii="Arial" w:hAnsi="Arial" w:cs="Arial"/>
          <w:sz w:val="24"/>
          <w:szCs w:val="24"/>
        </w:rPr>
        <w:t xml:space="preserve">The mean number of blood transfusions per patient dropped from 2.49 ± 0.9 to 1.11 ± 0.3. Perhaps most notably, there was a considerable increase in </w:t>
      </w:r>
      <w:proofErr w:type="spellStart"/>
      <w:r>
        <w:rPr>
          <w:rFonts w:ascii="Arial" w:hAnsi="Arial" w:cs="Arial"/>
          <w:sz w:val="24"/>
          <w:szCs w:val="24"/>
        </w:rPr>
        <w:t>haemoglobin</w:t>
      </w:r>
      <w:proofErr w:type="spellEnd"/>
      <w:r>
        <w:rPr>
          <w:rFonts w:ascii="Arial" w:hAnsi="Arial" w:cs="Arial"/>
          <w:sz w:val="24"/>
          <w:szCs w:val="24"/>
        </w:rPr>
        <w:t xml:space="preserve"> (Hb) levels, rising from a mean of </w:t>
      </w:r>
      <w:r w:rsidRPr="005F5B23">
        <w:rPr>
          <w:rFonts w:ascii="Arial" w:hAnsi="Arial" w:cs="Arial"/>
          <w:sz w:val="24"/>
          <w:szCs w:val="24"/>
        </w:rPr>
        <w:t>5.49 ± 1.2 g/dL to 7.82 ± 1.0 g/dL</w:t>
      </w:r>
      <w:r>
        <w:rPr>
          <w:rFonts w:ascii="Arial" w:hAnsi="Arial" w:cs="Arial"/>
          <w:sz w:val="24"/>
          <w:szCs w:val="24"/>
        </w:rPr>
        <w:t xml:space="preserve"> </w:t>
      </w:r>
      <w:r w:rsidR="00E922E7">
        <w:rPr>
          <w:rFonts w:ascii="Arial" w:hAnsi="Arial" w:cs="Arial"/>
          <w:sz w:val="24"/>
          <w:szCs w:val="24"/>
        </w:rPr>
        <w:t>(</w:t>
      </w:r>
      <w:r w:rsidRPr="000C495C">
        <w:rPr>
          <w:rFonts w:ascii="Arial" w:hAnsi="Arial" w:cs="Arial"/>
          <w:sz w:val="24"/>
          <w:szCs w:val="24"/>
          <w:highlight w:val="yellow"/>
        </w:rPr>
        <w:t>p&lt;0.001</w:t>
      </w:r>
      <w:r w:rsidR="00E922E7">
        <w:rPr>
          <w:rFonts w:ascii="Arial" w:hAnsi="Arial" w:cs="Arial"/>
          <w:sz w:val="24"/>
          <w:szCs w:val="24"/>
          <w:highlight w:val="yellow"/>
        </w:rPr>
        <w:t>)</w:t>
      </w:r>
      <w:r w:rsidRPr="000C495C">
        <w:rPr>
          <w:rFonts w:ascii="Arial" w:hAnsi="Arial" w:cs="Arial"/>
          <w:sz w:val="24"/>
          <w:szCs w:val="24"/>
          <w:highlight w:val="yellow"/>
        </w:rPr>
        <w:t>,</w:t>
      </w:r>
      <w:r w:rsidRPr="005F5B23">
        <w:rPr>
          <w:rFonts w:ascii="Arial" w:hAnsi="Arial" w:cs="Arial"/>
          <w:sz w:val="24"/>
          <w:szCs w:val="24"/>
        </w:rPr>
        <w:t xml:space="preserve"> demonstrating an enhanced oxygen-carrying capacity and overall improvement in patient health status. All observed changes were statistically </w:t>
      </w:r>
      <w:r>
        <w:rPr>
          <w:rFonts w:ascii="Arial" w:hAnsi="Arial" w:cs="Arial"/>
          <w:sz w:val="24"/>
          <w:szCs w:val="24"/>
        </w:rPr>
        <w:t xml:space="preserve">significant using the </w:t>
      </w:r>
      <w:r w:rsidRPr="005F5B23">
        <w:rPr>
          <w:rFonts w:ascii="Arial" w:hAnsi="Arial" w:cs="Arial"/>
          <w:sz w:val="24"/>
          <w:szCs w:val="24"/>
        </w:rPr>
        <w:t xml:space="preserve">T student test with p-values less </w:t>
      </w:r>
      <w:r w:rsidRPr="005F5B23">
        <w:rPr>
          <w:rFonts w:ascii="Arial" w:hAnsi="Arial" w:cs="Arial"/>
          <w:sz w:val="24"/>
          <w:szCs w:val="24"/>
        </w:rPr>
        <w:lastRenderedPageBreak/>
        <w:t>than 0.001, strongly supporting the efficacy of hydroxyurea in reducing disease burden and improving hematologic parameters.</w:t>
      </w:r>
    </w:p>
    <w:p w:rsidR="00765883" w:rsidRPr="005F5B23" w:rsidRDefault="00765883" w:rsidP="00765883">
      <w:pPr>
        <w:pStyle w:val="CommentText"/>
        <w:spacing w:line="360" w:lineRule="auto"/>
        <w:jc w:val="both"/>
        <w:rPr>
          <w:rFonts w:ascii="Arial" w:hAnsi="Arial" w:cs="Arial"/>
          <w:sz w:val="24"/>
          <w:szCs w:val="24"/>
        </w:rPr>
      </w:pPr>
      <w:r w:rsidRPr="005F5B23">
        <w:rPr>
          <w:rFonts w:ascii="Arial" w:hAnsi="Arial" w:cs="Arial"/>
          <w:b/>
          <w:sz w:val="24"/>
          <w:szCs w:val="24"/>
        </w:rPr>
        <w:t xml:space="preserve">Conclusions: </w:t>
      </w:r>
      <w:r w:rsidRPr="005F5B23">
        <w:rPr>
          <w:rFonts w:ascii="Arial" w:hAnsi="Arial" w:cs="Arial"/>
          <w:sz w:val="24"/>
          <w:szCs w:val="24"/>
        </w:rPr>
        <w:t xml:space="preserve">The study </w:t>
      </w:r>
      <w:r>
        <w:rPr>
          <w:rFonts w:ascii="Arial" w:hAnsi="Arial" w:cs="Arial"/>
          <w:sz w:val="24"/>
          <w:szCs w:val="24"/>
        </w:rPr>
        <w:t xml:space="preserve">demonstrates that hydroxyurea therapy offers significant clinical and </w:t>
      </w:r>
      <w:proofErr w:type="spellStart"/>
      <w:r>
        <w:rPr>
          <w:rFonts w:ascii="Arial" w:hAnsi="Arial" w:cs="Arial"/>
          <w:sz w:val="24"/>
          <w:szCs w:val="24"/>
        </w:rPr>
        <w:t>haematological</w:t>
      </w:r>
      <w:proofErr w:type="spellEnd"/>
      <w:r>
        <w:rPr>
          <w:rFonts w:ascii="Arial" w:hAnsi="Arial" w:cs="Arial"/>
          <w:sz w:val="24"/>
          <w:szCs w:val="24"/>
        </w:rPr>
        <w:t xml:space="preserve"> benefits to SCD patients at </w:t>
      </w:r>
      <w:proofErr w:type="spellStart"/>
      <w:r>
        <w:rPr>
          <w:rFonts w:ascii="Arial" w:hAnsi="Arial" w:cs="Arial"/>
          <w:sz w:val="24"/>
          <w:szCs w:val="24"/>
        </w:rPr>
        <w:t>Jitimai</w:t>
      </w:r>
      <w:proofErr w:type="spellEnd"/>
      <w:r>
        <w:rPr>
          <w:rFonts w:ascii="Arial" w:hAnsi="Arial" w:cs="Arial"/>
          <w:sz w:val="24"/>
          <w:szCs w:val="24"/>
        </w:rPr>
        <w:t xml:space="preserve"> District Hospital, resulting in reduced </w:t>
      </w:r>
      <w:proofErr w:type="spellStart"/>
      <w:r>
        <w:rPr>
          <w:rFonts w:ascii="Arial" w:hAnsi="Arial" w:cs="Arial"/>
          <w:sz w:val="24"/>
          <w:szCs w:val="24"/>
        </w:rPr>
        <w:t>hospitalisations</w:t>
      </w:r>
      <w:proofErr w:type="spellEnd"/>
      <w:r>
        <w:rPr>
          <w:rFonts w:ascii="Arial" w:hAnsi="Arial" w:cs="Arial"/>
          <w:sz w:val="24"/>
          <w:szCs w:val="24"/>
        </w:rPr>
        <w:t xml:space="preserve">, crises, and blood transfusions, increased </w:t>
      </w:r>
      <w:proofErr w:type="spellStart"/>
      <w:r>
        <w:rPr>
          <w:rFonts w:ascii="Arial" w:hAnsi="Arial" w:cs="Arial"/>
          <w:sz w:val="24"/>
          <w:szCs w:val="24"/>
        </w:rPr>
        <w:t>haemoglobin</w:t>
      </w:r>
      <w:proofErr w:type="spellEnd"/>
      <w:r>
        <w:rPr>
          <w:rFonts w:ascii="Arial" w:hAnsi="Arial" w:cs="Arial"/>
          <w:sz w:val="24"/>
          <w:szCs w:val="24"/>
        </w:rPr>
        <w:t xml:space="preserve"> levels, and improved quality of life, all within a </w:t>
      </w:r>
      <w:proofErr w:type="spellStart"/>
      <w:r>
        <w:rPr>
          <w:rFonts w:ascii="Arial" w:hAnsi="Arial" w:cs="Arial"/>
          <w:sz w:val="24"/>
          <w:szCs w:val="24"/>
        </w:rPr>
        <w:t>favourable</w:t>
      </w:r>
      <w:proofErr w:type="spellEnd"/>
      <w:r>
        <w:rPr>
          <w:rFonts w:ascii="Arial" w:hAnsi="Arial" w:cs="Arial"/>
          <w:sz w:val="24"/>
          <w:szCs w:val="24"/>
        </w:rPr>
        <w:t xml:space="preserve"> safety profile and with </w:t>
      </w:r>
      <w:r w:rsidRPr="005F5B23">
        <w:rPr>
          <w:rFonts w:ascii="Arial" w:hAnsi="Arial" w:cs="Arial"/>
          <w:sz w:val="24"/>
          <w:szCs w:val="24"/>
        </w:rPr>
        <w:t xml:space="preserve">excellent patient adherence. </w:t>
      </w:r>
      <w:r>
        <w:rPr>
          <w:rFonts w:ascii="Arial" w:hAnsi="Arial" w:cs="Arial"/>
          <w:sz w:val="24"/>
          <w:szCs w:val="24"/>
        </w:rPr>
        <w:t xml:space="preserve">The low side effects of </w:t>
      </w:r>
      <w:r w:rsidRPr="005F5B23">
        <w:rPr>
          <w:rFonts w:ascii="Arial" w:hAnsi="Arial" w:cs="Arial"/>
          <w:sz w:val="24"/>
          <w:szCs w:val="24"/>
        </w:rPr>
        <w:t xml:space="preserve">these findings strongly support continued and expanded use of hydroxyurea as part of standard SCD management in this setting. </w:t>
      </w:r>
    </w:p>
    <w:p w:rsidR="00765883" w:rsidRPr="005F5B23" w:rsidRDefault="00765883" w:rsidP="00765883">
      <w:pPr>
        <w:spacing w:line="360" w:lineRule="auto"/>
        <w:jc w:val="both"/>
        <w:rPr>
          <w:rFonts w:ascii="Arial" w:hAnsi="Arial" w:cs="Arial"/>
          <w:sz w:val="24"/>
          <w:szCs w:val="24"/>
        </w:rPr>
      </w:pPr>
      <w:r>
        <w:rPr>
          <w:rFonts w:ascii="Arial" w:hAnsi="Arial" w:cs="Arial"/>
          <w:sz w:val="24"/>
          <w:szCs w:val="24"/>
        </w:rPr>
        <w:t>Keywords: Hydroxyurea, Sickle cell disease, Adherence, Side effect, Zanzibar</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b/>
          <w:sz w:val="24"/>
          <w:szCs w:val="24"/>
        </w:rPr>
      </w:pPr>
      <w:r w:rsidRPr="005F5B23">
        <w:rPr>
          <w:rFonts w:ascii="Arial" w:hAnsi="Arial" w:cs="Arial"/>
          <w:b/>
          <w:sz w:val="24"/>
          <w:szCs w:val="24"/>
        </w:rPr>
        <w:t xml:space="preserve">Introduction </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Sickle Cell Disease (SCD) is an inherited blood disorder caused by a point mutation in the beta-globin gene, resulting in the substitution of valine for glutamic acid at the sixth position of the beta-globin chain. This genetic mutation leads to the production of abnormal </w:t>
      </w:r>
      <w:proofErr w:type="spellStart"/>
      <w:r>
        <w:rPr>
          <w:rFonts w:ascii="Arial" w:hAnsi="Arial" w:cs="Arial"/>
          <w:sz w:val="24"/>
          <w:szCs w:val="24"/>
        </w:rPr>
        <w:t>haemoglobin</w:t>
      </w:r>
      <w:proofErr w:type="spellEnd"/>
      <w:r>
        <w:rPr>
          <w:rFonts w:ascii="Arial" w:hAnsi="Arial" w:cs="Arial"/>
          <w:sz w:val="24"/>
          <w:szCs w:val="24"/>
        </w:rPr>
        <w:t xml:space="preserve">, known as </w:t>
      </w:r>
      <w:proofErr w:type="spellStart"/>
      <w:r>
        <w:rPr>
          <w:rFonts w:ascii="Arial" w:hAnsi="Arial" w:cs="Arial"/>
          <w:sz w:val="24"/>
          <w:szCs w:val="24"/>
        </w:rPr>
        <w:t>haemoglobin</w:t>
      </w:r>
      <w:proofErr w:type="spellEnd"/>
      <w:r w:rsidRPr="005F5B23">
        <w:rPr>
          <w:rFonts w:ascii="Arial" w:hAnsi="Arial" w:cs="Arial"/>
          <w:sz w:val="24"/>
          <w:szCs w:val="24"/>
        </w:rPr>
        <w:t xml:space="preserve"> S (</w:t>
      </w:r>
      <w:proofErr w:type="spellStart"/>
      <w:r w:rsidRPr="005F5B23">
        <w:rPr>
          <w:rFonts w:ascii="Arial" w:hAnsi="Arial" w:cs="Arial"/>
          <w:sz w:val="24"/>
          <w:szCs w:val="24"/>
        </w:rPr>
        <w:t>HbS</w:t>
      </w:r>
      <w:proofErr w:type="spellEnd"/>
      <w:r w:rsidRPr="005F5B23">
        <w:rPr>
          <w:rFonts w:ascii="Arial" w:hAnsi="Arial" w:cs="Arial"/>
          <w:sz w:val="24"/>
          <w:szCs w:val="24"/>
        </w:rPr>
        <w:t>). SCD was first discovered over 100 years ago, at a time when the mortality rate associated with the disease was extremely high. However, advancements in medical technology and early detection methods have significantly reduced mortality rates in developed countries</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{"citationItems":[{"id":"ITEM-1","itemData":{"DOI":"10.2147/JBM.S291394","ISSN":"1179-2736 (Print)","PMID":"33658881","abstract":"Sickle cell disease results in numerous complications that can lead to  significant morbidity and mortality. Amongst them, acute chest syndrome is the leading cause of mortality. As a result, most providers are in tune with this complication and well versed with management. As sickle cell patients now live longer, they face a multitude of other complications that if left unattended, can lead to significant morbidity and mortality as well. It is critical to look beyond acute chest syndrome and adopt a more comprehensive approach to the management of the sickle cell patient.","author":[{"dropping-particle":"","family":"Ogu","given":"Ugochi O","non-dropping-particle":"","parse-names":false,"suffix":""},{"dropping-particle":"","family":"Badamosi","given":"Nnenna U","non-dropping-particle":"","parse-names":false,"suffix":""},{"dropping-particle":"","family":"Camacho","given":"Pamela E","non-dropping-particle":"","parse-names":false,"suffix":""},{"dropping-particle":"","family":"Freire","given":"Amado X","non-dropping-particle":"","parse-names":false,"suffix":""},{"dropping-particle":"","family":"Adams-Graves","given":"Patricia","non-dropping-particle":"","parse-names":false,"suffix":""}],"container-title":"Journal of blood medicine","id":"ITEM-1","issued":{"date-parts":[["2021"]]},"language":"eng","page":"101-114","publisher-place":"New Zealand","title":"Management of Sickle Cell Disease Complications Beyond Acute Chest Syndrome.","type":"article-journal","volume":"12"},"uris":["http://www.mendeley.com/documents/?uuid=2d1d6f83-bc3b-4a6d-8c6f-efb469501cac","http://www.mendeley.com/documents/?uuid=63a23939-44ba-4418-b1e4-5f3cba97801e"]}],"mendeley":{"formattedCitation":"[1]","plainTextFormattedCitation":"[1]","previouslyFormattedCitation":"(Ogu et al., 2021)"},"properties":{"noteIndex":0},"schema":"https://github.com/citation-style-language/schema/raw/master/csl-citation.json"}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[1]</w:t>
      </w:r>
      <w:r w:rsidRPr="005F5B23">
        <w:rPr>
          <w:rFonts w:ascii="Arial" w:hAnsi="Arial" w:cs="Arial"/>
          <w:sz w:val="24"/>
          <w:szCs w:val="24"/>
        </w:rPr>
        <w:fldChar w:fldCharType="end"/>
      </w:r>
      <w:r w:rsidRPr="005F5B23">
        <w:rPr>
          <w:rFonts w:ascii="Arial" w:hAnsi="Arial" w:cs="Arial"/>
          <w:sz w:val="24"/>
          <w:szCs w:val="24"/>
        </w:rPr>
        <w:t>.</w:t>
      </w:r>
      <w:r w:rsidRPr="005F5B23">
        <w:rPr>
          <w:rFonts w:ascii="Arial" w:hAnsi="Arial" w:cs="Arial"/>
          <w:sz w:val="24"/>
          <w:szCs w:val="24"/>
        </w:rPr>
        <w:br/>
        <w:t>Globally, the prevalence of SCD was estimated to be 7.74 million in 2021, marking a 41.4% increase from 2000, when 5.46 million people were living with the disease. In 2021, approximately 515,000 babies were born with SCD worldwide, and an estimated 376,000 deaths were attributed to the disease, with most of these deaths occurring in low- and middle-income countries</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{"citationItems":[{"id":"ITEM-1","itemData":{"DOI":"10.1016/S2352-3026(23)00118-7","ISSN":"2352-3026 (Electronic)","PMID":"37331373","abstract":"BACKGROUND: Previous global analyses, with known underdiagnosis and single cause  per death attribution systems, provide only a small insight into the suspected high population health effect of sickle cell disease. Completed as part of the Global Burden of Diseases, Injuries, and Risk Factors Study (GBD) 2021, this study delivers a comprehensive global assessment of prevalence of sickle cell disease and mortality burden by age and sex for 204 countries and territories from 2000 to 2021. METHODS: We estimated cause-specific sickle cell disease mortality using standardised GBD approaches, in which each death is assigned to a single underlying cause, to estimate mortality rates from the International Classification of Diseases (ICD)-coded vital registration, surveillance, and verbal autopsy data. In parallel, our goal was to estimate a more accurate account of sickle cell disease health burden using four types of epidemiological data on sickle cell disease: birth incidence, age-specific prevalence, with-condition mortality (total deaths), and excess mortality (excess deaths). Systematic reviews, supplemented with ICD-coded hospital discharge and insurance claims data, informed this modelling approach. We employed DisMod-MR 2.1 to triangulate between these measures-borrowing strength from predictive covariates and across age, time, and geography-and generated internally consistent estimates of incidence, prevalence, and mortality for three distinct genotypes of sickle cell disease: homozygous sickle cell disease and severe sickle cell β-thalassaemia, sickle-haemoglobin C disease, and mild sickle cell β-thalassaemia. Summing the three models yielded final estimates of incidence at birth, prevalence by age and sex, and total sickle cell disease mortality, the latter of which was compared directly against cause-specific mortality estimates to evaluate differences in mortality burden assessment and implications for the Sustainable Development Goals (SDGs). FINDINGS: Between 2000 and 2021, national incidence rates of sickle cell disease were relatively stable, but total births of babies with sickle cell disease increased globally by 13·7% (95% uncertainty interval 11·1-16·5), to 515 000 (425 000-614 000), primarily due to population growth in the Caribbean and western and central sub-Saharan Africa. The number of people living with sickle cell disease globally increased by 41·4% (38·3-44·9), from 5·46 million (4·62-6·45) in 2000 to 7·74 million (6·51-9·2) in 202…","container-title":"The Lancet. Haematology","id":"ITEM-1","issue":"8","issued":{"date-parts":[["2023","8"]]},"language":"eng","page":"e585-e599","publisher-place":"England","title":"Global, regional, and national prevalence and mortality burden of sickle cell  disease, 2000-2021: a systematic analysis from the Global Burden of Disease Study 2021.","type":"article-journal","volume":"10"},"uris":["http://www.mendeley.com/documents/?uuid=2ee8bbae-1072-4f0e-8aec-185e7c167414","http://www.mendeley.com/documents/?uuid=f370d636-6056-41ec-a0b1-eebb6b939418"]}],"mendeley":{"formattedCitation":"[2]","plainTextFormattedCitation":"[2]","previouslyFormattedCitation":"(“Global, Regional, and National Prevalence and Mortality Burden of Sickle Cell  Disease, 2000-2021: A Systematic Analysis from the Global Burden of Disease Study 2021.,” 2023)"},"properties":{"noteIndex":0},"schema":"https://github.com/citation-style-language/schema/raw/master/csl-citation.json"}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[2]</w:t>
      </w:r>
      <w:r w:rsidRPr="005F5B23">
        <w:rPr>
          <w:rFonts w:ascii="Arial" w:hAnsi="Arial" w:cs="Arial"/>
          <w:sz w:val="24"/>
          <w:szCs w:val="24"/>
        </w:rPr>
        <w:fldChar w:fldCharType="end"/>
      </w:r>
      <w:r>
        <w:rPr>
          <w:rFonts w:ascii="Arial" w:hAnsi="Arial" w:cs="Arial"/>
          <w:sz w:val="24"/>
          <w:szCs w:val="24"/>
        </w:rPr>
        <w:fldChar w:fldCharType="begin" w:fldLock="1"/>
      </w:r>
      <w:r>
        <w:rPr>
          <w:rFonts w:ascii="Arial" w:hAnsi="Arial" w:cs="Arial"/>
          <w:sz w:val="24"/>
          <w:szCs w:val="24"/>
        </w:rPr>
        <w:instrText>ADDIN CSL_CITATION {"citationItems":[{"id":"ITEM-1","itemData":{"DOI":"10.20944/preprints202505.2130.v1","abstract":"&lt;p&gt;Sickle cell disease (SCD) is a heritable (genetic) disorder and is marked by sporadic episodes of severe pain and hosts other health issues. About 5% of people worldwide suffer from this most common haemoglobinopathy.More than 7% of expectant mothers have haemoglobinopathies in their genetic composition. Each year 330,000 newborns are born with haemoglobinopathies. Nearly 80% of them are born in Africa, Nigeria, Congo, and India. Children with SCD have health challenges that impact their education. Absence from school, grade retention, academic performance and dropouts from school are major issues for children with SCD in the context of academic goals. The main objective of this paper is to understand how SCD affects the school performance of children globally, impact on their education and possible interventions and strategies to reduce school absenteeism. Studies suggest that parents, patients, educators and healthcare professionals can work together to comprehend and manage the effects of SCD on student attendance. Awareness campaigns for educators and care givers, remedial classes for SCD children in schools and policies aligning to the education of children with major disabilities like SCD may compensate the attendance and academic performance of the SCD children.&lt;/p&gt;","author":[{"dropping-particle":"","family":"Birudu","given":"Ravi Babu","non-dropping-particle":"","parse-names":false,"suffix":""},{"dropping-particle":"","family":"Anil","given":"Inti","non-dropping-particle":"","parse-names":false,"suffix":""},{"dropping-particle":"","family":"Bala Krishna","given":"S. Lokeswara","non-dropping-particle":"","parse-names":false,"suffix":""},{"dropping-particle":"","family":"Sridevi","given":"Parikipandla","non-dropping-particle":"","parse-names":false,"suffix":""}],"id":"ITEM-1","issued":{"date-parts":[["2025"]]},"page":"0-11","title":"Global Sickle Cell Disease and Impact on School Education in Children; A Focus on Interventions for Improving Academic Performance","type":"article-journal"},"uris":["http://www.mendeley.com/documents/?uuid=cead3012-eb27-480b-8448-e246b8d8d341","http://www.mendeley.com/documents/?uuid=e05c1835-e0eb-49c0-81bf-170db5ad9588"]}],"mendeley":{"formattedCitation":"[3]","plainTextFormattedCitation":"[3]","previouslyFormattedCitation":"(Birudu et al., 2025)"},"properties":{"noteIndex":0},"schema":"https://github.com/citation-style-language/schema/raw/master/csl-citation.json"}</w:instrText>
      </w:r>
      <w:r>
        <w:rPr>
          <w:rFonts w:ascii="Arial" w:hAnsi="Arial" w:cs="Arial"/>
          <w:sz w:val="24"/>
          <w:szCs w:val="24"/>
        </w:rPr>
        <w:fldChar w:fldCharType="separate"/>
      </w:r>
      <w:r w:rsidRPr="00765883">
        <w:rPr>
          <w:rFonts w:ascii="Arial" w:hAnsi="Arial" w:cs="Arial"/>
          <w:noProof/>
          <w:sz w:val="24"/>
          <w:szCs w:val="24"/>
        </w:rPr>
        <w:t>[3]</w:t>
      </w:r>
      <w:r>
        <w:rPr>
          <w:rFonts w:ascii="Arial" w:hAnsi="Arial" w:cs="Arial"/>
          <w:sz w:val="24"/>
          <w:szCs w:val="24"/>
        </w:rPr>
        <w:fldChar w:fldCharType="end"/>
      </w:r>
      <w:r w:rsidRPr="005F5B23">
        <w:rPr>
          <w:rFonts w:ascii="Arial" w:hAnsi="Arial" w:cs="Arial"/>
          <w:sz w:val="24"/>
          <w:szCs w:val="24"/>
        </w:rPr>
        <w:t>.</w:t>
      </w:r>
    </w:p>
    <w:p w:rsidR="00765883" w:rsidRPr="005F5B23" w:rsidRDefault="00765883" w:rsidP="00765883">
      <w:pPr>
        <w:spacing w:after="0" w:line="360" w:lineRule="auto"/>
        <w:jc w:val="both"/>
        <w:rPr>
          <w:rFonts w:ascii="Arial" w:hAnsi="Arial" w:cs="Arial"/>
          <w:sz w:val="24"/>
          <w:szCs w:val="24"/>
        </w:rPr>
      </w:pPr>
      <w:r w:rsidRPr="005F5B23">
        <w:rPr>
          <w:rFonts w:ascii="Arial" w:hAnsi="Arial" w:cs="Arial"/>
          <w:sz w:val="24"/>
          <w:szCs w:val="24"/>
        </w:rPr>
        <w:t>In Africa, the prevalence of SCD in 2021 was estimated at 5.68 million, with approximately 405,000 babies born with the condition. Tanzania is one of the countries with the highest annual births of children with SCD, with an estimated 8,000–11,000 affected children born each year</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{"citationItems":[{"id":"ITEM-1","itemData":{"DOI":"10.1016/S2352-3026(21)00216-7","ISSN":"2352-3026 (Electronic)","PMID":"34481551","abstract":"BACKGROUND: Child mortality from sickle cell disease in sub-Saharan Africa is  presumed to be high but is not well quantified. This uncertainty contributes to the neglect of sickle cell disease and delays the prioritisation of interventions. In this study, we estimated the mortality of children in Nigeria with sickle cell disease, and the proportion of national under-5 mortality attributable to sickle cell disease. METHODS: We did a model-estimated, population-level analysis of data from Nigeria's 2018 Demographic and Health Survey (DHS) to estimate the prevalence and geographical distribution of HbSS and HbSC genotypes assuming Hardy-Weinberg equilibrium near birth. Interviews for the survey were done between Aug 14 and Dec 29, 2018, and the embedded sickle cell disease survey was done in a randomly selected third of the overall survey's households. We developed an approach for estimating child mortality from sickle cell disease by combining information on tested children and their untested siblings. Tested children were aged 6-59 months at the time of the survey. Untested siblings born 0-14 years before the survey were also included in analyses. Testing as part of the DHS was done without regard to disease status. We analysed mortality differences using the inheritance-derived genotypic distribution of untested siblings older than the tested cohort, enabling us to estimate excess mortality from sickle cell disease for the older-sibling cohort (ie, those born between 2003 and 2013). FINDINGS: We analysed test results for 11 186 children aged 6-59 months from 7411 households in Nigeria. The estimated average birth prevalence of HbSS was 1·21% (95% CI 1·09-1·37) and was 0·24% (0·19-0·31) for HbSC. We obtained data for estimating child mortality from 10 195 tested children (who could be matched to the individual mother survey) and 17 205 of their untested siblings. 15 227 of the siblings were in the older-sibling cohort. The group of children with sickle cell disease born between 2003 and 2013 with at least one younger sibling in the survey had about 370 excess under-5 deaths per 1000 livebirths (95% CI 150-580; p=0·0008) than children with HbAA. The estimated national average under-5 mortality for children with sickle cell disease born between 2003 and 2013 was 490 per 1000 livebirths (95% CI 270-700), 4·0 times higher (95% CI 2·1-6·0) than children with HbAA. About 4·2% (95% CI 1·7-6·9) of national under-5 mortality was attributable to excess mortality …","author":[{"dropping-particle":"","family":"Nnodu","given":"Obiageli E","non-dropping-particle":"","parse-names":false,"suffix":""},{"dropping-particle":"","family":"Oron","given":"Assaf P","non-dropping-particle":"","parse-names":false,"suffix":""},{"dropping-particle":"","family":"Sopekan","given":"Alayo","non-dropping-particle":"","parse-names":false,"suffix":""},{"dropping-particle":"","family":"Akaba","given":"Godwin O","non-dropping-particle":"","parse-names":false,"suffix":""},{"dropping-particle":"","family":"Piel","given":"Frédéric B","non-dropping-particle":"","parse-names":false,"suffix":""},{"dropping-particle":"","family":"Chao","given":"Dennis L","non-dropping-particle":"","parse-names":false,"suffix":""}],"container-title":"The Lancet. Haematology","id":"ITEM-1","issue":"10","issued":{"date-parts":[["2021","10"]]},"language":"eng","page":"e723-e731","publisher-place":"England","title":"Child mortality from sickle cell disease in Nigeria: a model-estimated,  population-level analysis of data from the 2018 Demographic and Health Survey.","type":"article-journal","volume":"8"},"uris":["http://www.mendeley.com/documents/?uuid=159555bc-2c16-4547-8bad-d1730dc55928","http://www.mendeley.com/documents/?uuid=82576eda-7f98-4c5a-b2f2-bd62ad16a793"]}],"mendeley":{"formattedCitation":"[4]","plainTextFormattedCitation":"[4]","previouslyFormattedCitation":"(Nnodu et al., 2021)"},"properties":{"noteIndex":0},"schema":"https://github.com/citation-style-language/schema/raw/master/csl-citation.json"}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[4]</w:t>
      </w:r>
      <w:r w:rsidRPr="005F5B23">
        <w:rPr>
          <w:rFonts w:ascii="Arial" w:hAnsi="Arial" w:cs="Arial"/>
          <w:sz w:val="24"/>
          <w:szCs w:val="24"/>
        </w:rPr>
        <w:fldChar w:fldCharType="end"/>
      </w:r>
      <w:r w:rsidRPr="005F5B23">
        <w:rPr>
          <w:rFonts w:ascii="Arial" w:hAnsi="Arial" w:cs="Arial"/>
          <w:sz w:val="24"/>
          <w:szCs w:val="24"/>
        </w:rPr>
        <w:t>.</w:t>
      </w:r>
    </w:p>
    <w:p w:rsidR="00765883" w:rsidRPr="005F5B23" w:rsidRDefault="00765883" w:rsidP="00765883">
      <w:pPr>
        <w:spacing w:after="0" w:line="360" w:lineRule="auto"/>
        <w:jc w:val="both"/>
        <w:rPr>
          <w:rFonts w:ascii="Arial" w:hAnsi="Arial" w:cs="Arial"/>
          <w:sz w:val="24"/>
          <w:szCs w:val="24"/>
        </w:rPr>
      </w:pPr>
      <w:r w:rsidRPr="005F5B23">
        <w:rPr>
          <w:rFonts w:ascii="Arial" w:hAnsi="Arial" w:cs="Arial"/>
          <w:sz w:val="24"/>
          <w:szCs w:val="24"/>
        </w:rPr>
        <w:br/>
        <w:t>Upon deoxygenation</w:t>
      </w:r>
      <w:r>
        <w:rPr>
          <w:rFonts w:ascii="Arial" w:hAnsi="Arial" w:cs="Arial"/>
          <w:sz w:val="24"/>
          <w:szCs w:val="24"/>
        </w:rPr>
        <w:t xml:space="preserve">, the mutated </w:t>
      </w:r>
      <w:proofErr w:type="spellStart"/>
      <w:r>
        <w:rPr>
          <w:rFonts w:ascii="Arial" w:hAnsi="Arial" w:cs="Arial"/>
          <w:sz w:val="24"/>
          <w:szCs w:val="24"/>
        </w:rPr>
        <w:t>haemoglobin</w:t>
      </w:r>
      <w:proofErr w:type="spellEnd"/>
      <w:r>
        <w:rPr>
          <w:rFonts w:ascii="Arial" w:hAnsi="Arial" w:cs="Arial"/>
          <w:sz w:val="24"/>
          <w:szCs w:val="24"/>
        </w:rPr>
        <w:t xml:space="preserve"> (</w:t>
      </w:r>
      <w:proofErr w:type="spellStart"/>
      <w:r>
        <w:rPr>
          <w:rFonts w:ascii="Arial" w:hAnsi="Arial" w:cs="Arial"/>
          <w:sz w:val="24"/>
          <w:szCs w:val="24"/>
        </w:rPr>
        <w:t>HbS</w:t>
      </w:r>
      <w:proofErr w:type="spellEnd"/>
      <w:r>
        <w:rPr>
          <w:rFonts w:ascii="Arial" w:hAnsi="Arial" w:cs="Arial"/>
          <w:sz w:val="24"/>
          <w:szCs w:val="24"/>
        </w:rPr>
        <w:t xml:space="preserve">) polymerizes, forming rigid bundles </w:t>
      </w:r>
      <w:r>
        <w:rPr>
          <w:rFonts w:ascii="Arial" w:hAnsi="Arial" w:cs="Arial"/>
          <w:sz w:val="24"/>
          <w:szCs w:val="24"/>
        </w:rPr>
        <w:lastRenderedPageBreak/>
        <w:t>that distort the shape of red blood cells (RBCs) to a sickle-cell</w:t>
      </w:r>
      <w:r w:rsidRPr="005F5B23">
        <w:rPr>
          <w:rFonts w:ascii="Arial" w:hAnsi="Arial" w:cs="Arial"/>
          <w:sz w:val="24"/>
          <w:szCs w:val="24"/>
        </w:rPr>
        <w:t xml:space="preserve"> shape. These "sickled" cells lose their flexibility and impair normal RBC function, resulting in occlusion of small blood vessels and tissue ischemia; hence, recurrent painful events, known as </w:t>
      </w:r>
      <w:proofErr w:type="spellStart"/>
      <w:r w:rsidRPr="005F5B23">
        <w:rPr>
          <w:rFonts w:ascii="Arial" w:hAnsi="Arial" w:cs="Arial"/>
          <w:sz w:val="24"/>
          <w:szCs w:val="24"/>
        </w:rPr>
        <w:t>vaso</w:t>
      </w:r>
      <w:proofErr w:type="spellEnd"/>
      <w:r w:rsidRPr="005F5B23">
        <w:rPr>
          <w:rFonts w:ascii="Arial" w:hAnsi="Arial" w:cs="Arial"/>
          <w:sz w:val="24"/>
          <w:szCs w:val="24"/>
        </w:rPr>
        <w:t xml:space="preserve">-occlusive crises, </w:t>
      </w:r>
      <w:r>
        <w:rPr>
          <w:rFonts w:ascii="Arial" w:hAnsi="Arial" w:cs="Arial"/>
          <w:sz w:val="24"/>
          <w:szCs w:val="24"/>
        </w:rPr>
        <w:t xml:space="preserve">are </w:t>
      </w:r>
      <w:r w:rsidRPr="005F5B23">
        <w:rPr>
          <w:rFonts w:ascii="Arial" w:hAnsi="Arial" w:cs="Arial"/>
          <w:sz w:val="24"/>
          <w:szCs w:val="24"/>
        </w:rPr>
        <w:t xml:space="preserve">the hallmark symptom of SCD. Others are </w:t>
      </w:r>
      <w:proofErr w:type="spellStart"/>
      <w:r w:rsidRPr="005F5B23">
        <w:rPr>
          <w:rFonts w:ascii="Arial" w:hAnsi="Arial" w:cs="Arial"/>
          <w:sz w:val="24"/>
          <w:szCs w:val="24"/>
        </w:rPr>
        <w:t>anaemia</w:t>
      </w:r>
      <w:proofErr w:type="spellEnd"/>
      <w:r w:rsidRPr="005F5B23">
        <w:rPr>
          <w:rFonts w:ascii="Arial" w:hAnsi="Arial" w:cs="Arial"/>
          <w:sz w:val="24"/>
          <w:szCs w:val="24"/>
        </w:rPr>
        <w:t>, fatigue and increased susceptibility to infections. SCD presents with diverse clinical features that vary in severity among SCD individuals</w:t>
      </w:r>
      <w:r w:rsidRPr="005F5B23">
        <w:rPr>
          <w:rFonts w:ascii="Arial" w:hAnsi="Arial" w:cs="Arial"/>
          <w:sz w:val="24"/>
          <w:szCs w:val="24"/>
        </w:rPr>
        <w:fldChar w:fldCharType="begin" w:fldLock="1"/>
      </w:r>
      <w:r>
        <w:rPr>
          <w:rFonts w:ascii="Arial" w:hAnsi="Arial" w:cs="Arial"/>
          <w:sz w:val="24"/>
          <w:szCs w:val="24"/>
        </w:rPr>
        <w:instrText>ADDIN CSL_CITATION {"citationItems":[{"id":"ITEM-1","itemData":{"DOI":"10.1038/s41573-018-0003-2","ISSN":"1474-1784 (Electronic)","PMID":"30514970","abstract":"For over 100 years, clinicians and scientists have been unravelling the  consequences of the A to T substitution in the β-globin gene that produces haemoglobin S, which leads to the systemic manifestations of sickle cell disease (SCD), including vaso-occlusion, anaemia, haemolysis, organ injury and pain. However, despite growing understanding of the mechanisms of haemoglobin S polymerization and its effects on red blood cells, only two therapies for SCD - hydroxyurea and L-glutamine - are approved by the US Food and Drug Administration. Moreover, these treatment options do not fully address the manifestations of SCD, which arise from a complex network of interdependent pathophysiological processes. In this article, we review efforts to develop new drugs targeting these processes, including agents that reactivate fetal haemoglobin, anti-sickling agents, anti-adhesion agents, modulators of ischaemia-reperfusion and oxidative stress, agents that counteract free haemoglobin and haem, anti-inflammatory agents, anti-thrombotic agents and anti-platelet agents. We also discuss gene therapy, which holds promise of a cure, although its widespread application is currently limited by technical challenges and the expense of treatment. We thus propose that developing systems-oriented multi-agent strategies on the basis of SCD pathophysiology is needed to improve the quality of life and survival of people with SCD.","author":[{"dropping-particle":"","family":"Telen","given":"Marilyn J","non-dropping-particle":"","parse-names":false,"suffix":""},{"dropping-particle":"","family":"Malik","given":"Punam","non-dropping-particle":"","parse-names":false,"suffix":""},{"dropping-particle":"","family":"Vercellotti","given":"Gregory M","non-dropping-particle":"","parse-names":false,"suffix":""}],"container-title":"Nature reviews. Drug discovery","id":"ITEM-1","issue":"2","issued":{"date-parts":[["2019","2"]]},"language":"eng","page":"139-158","publisher-place":"England","title":"Therapeutic strategies for sickle cell disease: towards a multi-agent approach.","type":"article-journal","volume":"18"},"uris":["http://www.mendeley.com/documents/?uuid=925a1253-98b6-45b6-9c5d-edce367eb4d4","http://www.mendeley.com/documents/?uuid=d0c70f4d-7570-4876-86a7-6f4cd89efabb"]}],"mendeley":{"formattedCitation":"[5]","plainTextFormattedCitation":"[5]","previouslyFormattedCitation":"(Telen et al., 2019)"},"properties":{"noteIndex":0},"schema":"https://github.com/citation-style-language/schema/raw/master/csl-citation.json"}</w:instrText>
      </w:r>
      <w:r w:rsidRPr="005F5B23">
        <w:rPr>
          <w:rFonts w:ascii="Arial" w:hAnsi="Arial" w:cs="Arial"/>
          <w:sz w:val="24"/>
          <w:szCs w:val="24"/>
        </w:rPr>
        <w:fldChar w:fldCharType="separate"/>
      </w:r>
      <w:r w:rsidRPr="00765883">
        <w:rPr>
          <w:rFonts w:ascii="Arial" w:hAnsi="Arial" w:cs="Arial"/>
          <w:noProof/>
          <w:sz w:val="24"/>
          <w:szCs w:val="24"/>
        </w:rPr>
        <w:t>[5]</w:t>
      </w:r>
      <w:r w:rsidRPr="005F5B23">
        <w:rPr>
          <w:rFonts w:ascii="Arial" w:hAnsi="Arial" w:cs="Arial"/>
          <w:sz w:val="24"/>
          <w:szCs w:val="24"/>
        </w:rPr>
        <w:fldChar w:fldCharType="end"/>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br/>
        <w:t>Various treatment approaches have been employed to manage SCD, including chemotherapy, blood transfusions, bone marrow transplant</w:t>
      </w:r>
      <w:r w:rsidR="00B0158B">
        <w:rPr>
          <w:rFonts w:ascii="Arial" w:hAnsi="Arial" w:cs="Arial"/>
          <w:sz w:val="24"/>
          <w:szCs w:val="24"/>
        </w:rPr>
        <w:t xml:space="preserve">, and gene therapy </w:t>
      </w:r>
      <w:r w:rsidR="00B0158B" w:rsidRPr="00B0158B">
        <w:rPr>
          <w:rFonts w:ascii="Arial" w:hAnsi="Arial" w:cs="Arial"/>
          <w:sz w:val="24"/>
          <w:szCs w:val="24"/>
          <w:highlight w:val="yellow"/>
        </w:rPr>
        <w:t>[6</w:t>
      </w:r>
      <w:proofErr w:type="gramStart"/>
      <w:r w:rsidR="00B0158B" w:rsidRPr="00B0158B">
        <w:rPr>
          <w:rFonts w:ascii="Arial" w:hAnsi="Arial" w:cs="Arial"/>
          <w:sz w:val="24"/>
          <w:szCs w:val="24"/>
          <w:highlight w:val="yellow"/>
        </w:rPr>
        <w:t>],[</w:t>
      </w:r>
      <w:proofErr w:type="gramEnd"/>
      <w:r w:rsidR="00B0158B" w:rsidRPr="00B0158B">
        <w:rPr>
          <w:rFonts w:ascii="Arial" w:hAnsi="Arial" w:cs="Arial"/>
          <w:sz w:val="24"/>
          <w:szCs w:val="24"/>
          <w:highlight w:val="yellow"/>
        </w:rPr>
        <w:t>7],[8],[9]</w:t>
      </w:r>
      <w:r w:rsidRPr="00B0158B">
        <w:rPr>
          <w:rFonts w:ascii="Arial" w:hAnsi="Arial" w:cs="Arial"/>
          <w:sz w:val="24"/>
          <w:szCs w:val="24"/>
          <w:highlight w:val="yellow"/>
        </w:rPr>
        <w:t>.</w:t>
      </w:r>
      <w:r>
        <w:rPr>
          <w:rFonts w:ascii="Arial" w:hAnsi="Arial" w:cs="Arial"/>
          <w:sz w:val="24"/>
          <w:szCs w:val="24"/>
        </w:rPr>
        <w:t xml:space="preserve"> </w:t>
      </w:r>
      <w:r w:rsidRPr="005F5B23">
        <w:rPr>
          <w:rFonts w:ascii="Arial" w:hAnsi="Arial" w:cs="Arial"/>
          <w:sz w:val="24"/>
          <w:szCs w:val="24"/>
        </w:rPr>
        <w:t xml:space="preserve">Hydroxyurea (HU), also known as hydroxycarbamide, is an oral anti-neoplastic drug and an inhibitor of ribonucleotide reductase. It has demonstrated numerous positive effects, such as increasing fetal </w:t>
      </w:r>
      <w:proofErr w:type="spellStart"/>
      <w:r>
        <w:rPr>
          <w:rFonts w:ascii="Arial" w:hAnsi="Arial" w:cs="Arial"/>
          <w:sz w:val="24"/>
          <w:szCs w:val="24"/>
        </w:rPr>
        <w:t>haemoglobin</w:t>
      </w:r>
      <w:proofErr w:type="spellEnd"/>
      <w:r w:rsidRPr="005F5B23">
        <w:rPr>
          <w:rFonts w:ascii="Arial" w:hAnsi="Arial" w:cs="Arial"/>
          <w:sz w:val="24"/>
          <w:szCs w:val="24"/>
        </w:rPr>
        <w:t xml:space="preserve"> (</w:t>
      </w:r>
      <w:proofErr w:type="spellStart"/>
      <w:r w:rsidRPr="005F5B23">
        <w:rPr>
          <w:rFonts w:ascii="Arial" w:hAnsi="Arial" w:cs="Arial"/>
          <w:sz w:val="24"/>
          <w:szCs w:val="24"/>
        </w:rPr>
        <w:t>HbF</w:t>
      </w:r>
      <w:proofErr w:type="spellEnd"/>
      <w:r w:rsidRPr="005F5B23">
        <w:rPr>
          <w:rFonts w:ascii="Arial" w:hAnsi="Arial" w:cs="Arial"/>
          <w:sz w:val="24"/>
          <w:szCs w:val="24"/>
        </w:rPr>
        <w:t>) concentrations, improving nitric oxide metabolism, and reducing red cell-endothelial interactions</w:t>
      </w:r>
      <w:r>
        <w:rPr>
          <w:rFonts w:ascii="Arial" w:hAnsi="Arial" w:cs="Arial"/>
          <w:sz w:val="24"/>
          <w:szCs w:val="24"/>
        </w:rPr>
        <w:fldChar w:fldCharType="begin" w:fldLock="1"/>
      </w:r>
      <w:r>
        <w:rPr>
          <w:rFonts w:ascii="Arial" w:hAnsi="Arial" w:cs="Arial"/>
          <w:sz w:val="24"/>
          <w:szCs w:val="24"/>
        </w:rPr>
        <w:instrText>ADDIN CSL_CITATION {"citationItems":[{"id":"ITEM-1","itemData":{"DOI":"10.1186/s13643-024-02461-z","ISSN":"2046-4053","abstract":"BACKGROUND: Hydroxyurea is an affordable drug that reduces vaso-occlusive crises and transfusion requirements in sickle cell disease. However, its effectiveness  in preventing chronic organ damage is still unclear. This systematic review and  meta-analysis aimed to evaluate the role of hydroxyurea in preventing organ  morbidity. METHOD: We included original articles published in English from 1st  January 1990 to 31st January 2023, reporting hydroxyurea therapy and organ damage  from PubMed, Google Scholar, Scopus, and CrossRef databases. A total of 45  studies with 4681 sickle cell disease patients were evaluated for organ damage.  RESULTS: Our analysis showed that hydroxyurea intervention significantly lowered  transcranial Doppler and tricuspid regurgitant velocity, with a standardized mean  difference of - 1.03 (- 1.49; - 0.58); I (2) = 96% and - 1.37  (CI - 2.31, - 0.42); I (2) = 94%, respectively. Moreover, the pooled estimate for  albuminuria showed a beneficial effect post-hydroxyurea therapy by reducing the  risk of albuminuria by 58% (risk ratio of 0.42 (0.28; 0.63); I (2) = 28%).  CONCLUSION: Our study found that a hydroxyurea dose above 20 mg/kg/day with a  mean rise in HbF by 18.46% post-hydroxyurea therapy had a beneficial role in  reducing transcranial doppler velocity, tricuspid regurgitant velocity,  albuminuria, and splenic abnormality. SYSTEMATIC REVIEW REGISTRATION: PROSPERO  CRD42023401187.","author":[{"dropping-particle":"","family":"Khargekar","given":"Naveen","non-dropping-particle":"","parse-names":false,"suffix":""},{"dropping-particle":"","family":"Banerjee","given":"Anindita","non-dropping-particle":"","parse-names":false,"suffix":""},{"dropping-particle":"","family":"Athalye","given":"Shreyasi","non-dropping-particle":"","parse-names":false,"suffix":""},{"dropping-particle":"","family":"Mahajan","given":"Namrata","non-dropping-particle":"","parse-names":false,"suffix":""},{"dropping-particle":"","family":"Kargutkar","given":"Neha","non-dropping-particle":"","parse-names":false,"suffix":""},{"dropping-particle":"","family":"Tapase","given":"Prashant","non-dropping-particle":"","parse-names":false,"suffix":""},{"dropping-particle":"","family":"Madkaikar","given":"Manisha","non-dropping-particle":"","parse-names":false,"suffix":""}],"container-title":"Systematic reviews","id":"ITEM-1","issue":"1","issued":{"date-parts":[["2024"]]},"language":"eng","page":"60","title":"Role of hydroxyurea therapy in the prevention of organ damage in sickle cell disease: a systematic review and meta-analysis.","type":"article-journal","volume":"13"},"uris":["http://www.mendeley.com/documents/?uuid=dbf660a7-c693-430e-b722-3da3e7e05406"]}],"mendeley":{"formattedCitation":"[10]","plainTextFormattedCitation":"[10]","previouslyFormattedCitation":"(Khargekar et al., 2024)"},"properties":{"noteIndex":0},"schema":"https://github.com/citation-style-language/schema/raw/master/csl-citation.json"}</w:instrText>
      </w:r>
      <w:r>
        <w:rPr>
          <w:rFonts w:ascii="Arial" w:hAnsi="Arial" w:cs="Arial"/>
          <w:sz w:val="24"/>
          <w:szCs w:val="24"/>
        </w:rPr>
        <w:fldChar w:fldCharType="separate"/>
      </w:r>
      <w:r w:rsidRPr="00765883">
        <w:rPr>
          <w:rFonts w:ascii="Arial" w:hAnsi="Arial" w:cs="Arial"/>
          <w:noProof/>
          <w:sz w:val="24"/>
          <w:szCs w:val="24"/>
        </w:rPr>
        <w:t>[10]</w:t>
      </w:r>
      <w:r>
        <w:rPr>
          <w:rFonts w:ascii="Arial" w:hAnsi="Arial" w:cs="Arial"/>
          <w:sz w:val="24"/>
          <w:szCs w:val="24"/>
        </w:rPr>
        <w:fldChar w:fldCharType="end"/>
      </w:r>
      <w:r w:rsidRPr="00F43163">
        <w:rPr>
          <w:rFonts w:ascii="Arial" w:hAnsi="Arial" w:cs="Arial"/>
          <w:sz w:val="24"/>
          <w:szCs w:val="24"/>
          <w:highlight w:val="yellow"/>
        </w:rPr>
        <w:t>,</w:t>
      </w:r>
      <w:r>
        <w:rPr>
          <w:rFonts w:ascii="Arial" w:hAnsi="Arial" w:cs="Arial"/>
          <w:sz w:val="24"/>
          <w:szCs w:val="24"/>
          <w:highlight w:val="yellow"/>
        </w:rPr>
        <w:fldChar w:fldCharType="begin" w:fldLock="1"/>
      </w:r>
      <w:r>
        <w:rPr>
          <w:rFonts w:ascii="Arial" w:hAnsi="Arial" w:cs="Arial"/>
          <w:sz w:val="24"/>
          <w:szCs w:val="24"/>
          <w:highlight w:val="yellow"/>
        </w:rPr>
        <w:instrText>ADDIN CSL_CITATION {"citationItems":[{"id":"ITEM-1","itemData":{"DOI":"10.3324/haematol.2023.284633","ISSN":"1592-8721 (Electronic)","PMID":"39781621","abstract":"Over the past 40 years, the introduction and refinement of hydroxyurea therapy  has led to remarkable progress in the care of individuals with sickle cell anemia (SCA). From initial small proof-of-principle studies to multicenter phase III controlled clinical trials and then numerous open-label studies, the consistent benefits of once-daily oral hydroxyurea have been demonstrated across the lifespan. Elevated fetal hemoglobin (HbF) serves as the most important treatment response, as HbF delays sickle hemoglobin polymerization and reduces erythrocyte sickling. Increased amounts of HbF, especially when distributed across the majority of erythrocytes, improve clinical outcomes by reducing hemolytic anemia and preventing vaso-occlusion, thereby ameliorating both acute and chronic - and overt and covert - complications. Additional benefits of hydroxyurea beyond HbF induction include lower neutrophil and platelet counts, reduced inflammation, and improved rheology. Toxicities of hydroxyurea in SCA are typically mild and predictable; modest cytopenia is expected and actually therapeutic, while occasional gastrointestinal and cutaneous manifestations are well-tolerated. Long-term risks of hydroxyurea for SCA are mainly theoretical but require ongoing surveillance. Accordingly, hydroxyurea should be initiated as part of standard of care, ideally in the first year of life. Proper dosing of hydroxyurea is critical, aiming through stepwise dose escalation to achieve modest but safe myelosuppression, with periodic adjustments for weight gain. Precision dosing using pharmacokinetics may facilitate optimal dosing without frequent dose adjustments. Although transformative and even curative therapies for SCA are emerging, hydroxyurea is the only available and accessible disease-modifying treatment that can address the global burden of disease, especially in low-resource settings within sub-Saharan Africa.","author":[{"dropping-particle":"","family":"Quinn","given":"Charles T","non-dropping-particle":"","parse-names":false,"suffix":""},{"dropping-particle":"","family":"Ware","given":"Russell E","non-dropping-particle":"","parse-names":false,"suffix":""}],"container-title":"Haematologica","id":"ITEM-1","issue":"5","issued":{"date-parts":[["2025","5"]]},"language":"eng","page":"1061-1073","publisher-place":"Italy","title":"The modern use of hydroxyurea for children with sickle cell anemia.","type":"article-journal","volume":"110"},"uris":["http://www.mendeley.com/documents/?uuid=6b2056b9-a754-4d61-8463-4421c9d3a51b"]}],"mendeley":{"formattedCitation":"[11]","plainTextFormattedCitation":"[11]","previouslyFormattedCitation":"(Quinn &amp; Ware, 2025)"},"properties":{"noteIndex":0},"schema":"https://github.com/citation-style-language/schema/raw/master/csl-citation.json"}</w:instrText>
      </w:r>
      <w:r>
        <w:rPr>
          <w:rFonts w:ascii="Arial" w:hAnsi="Arial" w:cs="Arial"/>
          <w:sz w:val="24"/>
          <w:szCs w:val="24"/>
          <w:highlight w:val="yellow"/>
        </w:rPr>
        <w:fldChar w:fldCharType="separate"/>
      </w:r>
      <w:r w:rsidRPr="00765883">
        <w:rPr>
          <w:rFonts w:ascii="Arial" w:hAnsi="Arial" w:cs="Arial"/>
          <w:noProof/>
          <w:sz w:val="24"/>
          <w:szCs w:val="24"/>
          <w:highlight w:val="yellow"/>
        </w:rPr>
        <w:t>[11]</w:t>
      </w:r>
      <w:r>
        <w:rPr>
          <w:rFonts w:ascii="Arial" w:hAnsi="Arial" w:cs="Arial"/>
          <w:sz w:val="24"/>
          <w:szCs w:val="24"/>
          <w:highlight w:val="yellow"/>
        </w:rPr>
        <w:fldChar w:fldCharType="end"/>
      </w:r>
      <w:r w:rsidRPr="00F43163">
        <w:rPr>
          <w:rFonts w:ascii="Arial" w:hAnsi="Arial" w:cs="Arial"/>
          <w:sz w:val="24"/>
          <w:szCs w:val="24"/>
          <w:highlight w:val="yellow"/>
        </w:rPr>
        <w:t>.</w:t>
      </w:r>
      <w:r w:rsidRPr="005F5B23">
        <w:rPr>
          <w:rFonts w:ascii="Arial" w:hAnsi="Arial" w:cs="Arial"/>
          <w:sz w:val="24"/>
          <w:szCs w:val="24"/>
        </w:rPr>
        <w:t xml:space="preserve"> These effects collectively decrease the morbidity and mortality associated with SCD. However, despite its benefits, Hydroxyurea is associated with potential side effects, necessitating regular monitoring of blood cell counts</w:t>
      </w:r>
      <w:r>
        <w:rPr>
          <w:rFonts w:ascii="Arial" w:hAnsi="Arial" w:cs="Arial"/>
          <w:sz w:val="24"/>
          <w:szCs w:val="24"/>
        </w:rPr>
        <w:fldChar w:fldCharType="begin" w:fldLock="1"/>
      </w:r>
      <w:r>
        <w:rPr>
          <w:rFonts w:ascii="Arial" w:hAnsi="Arial" w:cs="Arial"/>
          <w:sz w:val="24"/>
          <w:szCs w:val="24"/>
        </w:rPr>
        <w:instrText>ADDIN CSL_CITATION {"citationItems":[{"id":"ITEM-1","itemData":{"DOI":"10.1002/14651858.CD002202.pub2","ISSN":"1469-493X (Electronic)","PMID":"28426137","abstract":"BACKGROUND: Sickle cell disease (SCD) is one of the most common inherited  diseases worldwide. It is associated with lifelong morbidity and a reduced life expectancy. Hydroxyurea (hydroxycarbamide), an oral chemotherapeutic drug, ameliorates some of the clinical problems of SCD, in particular that of pain, by raising fetal haemoglobin. This is an update of a previously published Cochrane Review. OBJECTIVES: To assess the effects of hydroxyurea therapy in people with SCD (all genotypes), of any age, regardless of setting. SEARCH METHODS: We searched the Cochrane Cystic Fibrosis and Genetic Disorders Group Haemoglobinopathies Register, comprising of references identified from comprehensive electronic database searches and handsearches of relevant journals and abstract books of conference proceedings. We also searched online trial registries.Date of the most recent search: 16 January 2017. SELECTION CRITERIA: Randomised and quasi-randomised controlled trials, of one month or longer, comparing hydroxyurea with placebo, standard therapy or other interventions for people with SCD. DATA COLLECTION AND ANALYSIS: Authors independently assessed studies for inclusion, carried out data extraction and assessed the risk of bias. MAIN RESULTS: Seventeen studies were identified in the searches; eight randomised controlled trials were included, recruiting 899 adults and children with SCD (haemoglobin SS (HbSS), haemoglobin SC (HbSC) or haemoglobin Sβºthalassaemia (HbSβºthal) genotypes). Studies lasted from six to 30 months.Four studies (577 adults and children with HbSS or HbSβºthal) compared hydroxyurea to placebo; three recruited individuals with only severe disease and one recruited individuals with all disease severities. There were statistically significant improvements in terms of pain alteration (using measures such as pain crisis frequency, duration, intensity, hospital admissions and opoid use), measures of fetal haemoglobin and neutrophil counts and fewer occurrences of acute chest syndrome and blood transfusions in the hydroxyurea groups. There were no consistent statistically significant differences in terms of quality of life and adverse events (including serious or life-threatening events). Seven deaths occurred during the studies, but the rates by treatment group were not statistically significantly different.Two studies (254 children with HbSS or HbSβºthal also with risk of primary or secondary stroke) compared hydroxyurea and phlebotomy to transfusion a…","author":[{"dropping-particle":"","family":"Nevitt","given":"Sarah J","non-dropping-particle":"","parse-names":false,"suffix":""},{"dropping-particle":"","family":"Jones","given":"Ashley P","non-dropping-particle":"","parse-names":false,"suffix":""},{"dropping-particle":"","family":"Howard","given":"Jo","non-dropping-particle":"","parse-names":false,"suffix":""}],"container-title":"The Cochrane database of systematic reviews","id":"ITEM-1","issue":"4","issued":{"date-parts":[["2017","4"]]},"language":"eng","page":"CD002202","publisher-place":"England","title":"Hydroxyurea (hydroxycarbamide) for sickle cell disease.","type":"article-journal","volume":"4"},"uris":["http://www.mendeley.com/documents/?uuid=240fbe4e-d71a-4aed-b6e4-f4c2aaf52a3b"]}],"mendeley":{"formattedCitation":"[8]","plainTextFormattedCitation":"[8]","previouslyFormattedCitation":"(Nevitt et al., 2017)"},"properties":{"noteIndex":0},"schema":"https://github.com/citation-style-language/schema/raw/master/csl-citation.json"}</w:instrText>
      </w:r>
      <w:r>
        <w:rPr>
          <w:rFonts w:ascii="Arial" w:hAnsi="Arial" w:cs="Arial"/>
          <w:sz w:val="24"/>
          <w:szCs w:val="24"/>
        </w:rPr>
        <w:fldChar w:fldCharType="separate"/>
      </w:r>
      <w:r w:rsidRPr="00765883">
        <w:rPr>
          <w:rFonts w:ascii="Arial" w:hAnsi="Arial" w:cs="Arial"/>
          <w:noProof/>
          <w:sz w:val="24"/>
          <w:szCs w:val="24"/>
        </w:rPr>
        <w:t>[8]</w:t>
      </w:r>
      <w:r>
        <w:rPr>
          <w:rFonts w:ascii="Arial" w:hAnsi="Arial" w:cs="Arial"/>
          <w:sz w:val="24"/>
          <w:szCs w:val="24"/>
        </w:rPr>
        <w:fldChar w:fldCharType="end"/>
      </w:r>
      <w:r w:rsidRPr="00FE1957">
        <w:rPr>
          <w:rFonts w:ascii="Arial" w:hAnsi="Arial" w:cs="Arial"/>
          <w:sz w:val="24"/>
          <w:szCs w:val="24"/>
          <w:highlight w:val="yellow"/>
        </w:rPr>
        <w:t>,</w:t>
      </w:r>
      <w:r>
        <w:rPr>
          <w:rFonts w:ascii="Arial" w:hAnsi="Arial" w:cs="Arial"/>
          <w:sz w:val="24"/>
          <w:szCs w:val="24"/>
          <w:highlight w:val="yellow"/>
        </w:rPr>
        <w:fldChar w:fldCharType="begin" w:fldLock="1"/>
      </w:r>
      <w:r>
        <w:rPr>
          <w:rFonts w:ascii="Arial" w:hAnsi="Arial" w:cs="Arial"/>
          <w:sz w:val="24"/>
          <w:szCs w:val="24"/>
          <w:highlight w:val="yellow"/>
        </w:rPr>
        <w:instrText>ADDIN CSL_CITATION {"citationItems":[{"id":"ITEM-1","itemData":{"DOI":"10.3390/nu16020258","ISSN":"2072-6643 (Electronic)","PMID":"38257151","abstract":"Sickle cell disease (SCD), a distinctive and often overlooked illness in the 21st  century, is a congenital blood disorder characterized by considerable phenotypic diversity. It comprises a group of disorders, with sickle cell anemia (SCA) being the most prevalent and serious genotype. Although there have been some systematic reviews of global data, worldwide statistics regarding SCD prevalence, morbidity, and mortality remain scarce. In developed countries with a lower number of sickle cell patients, cutting-edge technologies have led to the development of new treatments. However, in developing settings where sickle cell disease (SCD) is more prevalent, medical management, rather than a cure, still relies on the use of hydroxyurea, blood transfusions, and analgesics. This is a disease that affects red blood cells, consequently affecting most organs in diverse manners. We discuss its etiology and the advent of new technologies, but the aim of this study is to understand the various types of nutrition-related studies involving individuals suffering from SCD, particularly in Africa. The interplay of the environment, food, gut microbiota, along with their respective genomes collectively known as the gut microbiome, and host metabolism is responsible for mediating host metabolic phenotypes and modulating gut microbiota. In addition, it serves the purpose of providing essential nutrients. Moreover, it engages in direct interactions with host homeostasis and the immune system, as well as indirect interactions via metabolites. Nutrition interventions and nutritional care are mechanisms for addressing increased nutrient expenditures and are important aspects of supportive management for patients with SCD. Underprivileged areas in Sub-Saharan Africa should be accompanied by efforts to define and promote of the nutritional aspects of SCD. Their importance is key to maintaining well-being and quality of life, especially because new technologies and products remain limited, while the use of native medicinal plant resources is acknowledged.","author":[{"dropping-particle":"","family":"Bell","given":"Victoria","non-dropping-particle":"","parse-names":false,"suffix":""},{"dropping-particle":"","family":"Varzakas","given":"Theodoros","non-dropping-particle":"","parse-names":false,"suffix":""},{"dropping-particle":"","family":"Psaltopoulou","given":"Theodora","non-dropping-particle":"","parse-names":false,"suffix":""},{"dropping-particle":"","family":"Fernandes","given":"Tito","non-dropping-particle":"","parse-names":false,"suffix":""}],"container-title":"Nutrients","id":"ITEM-1","issue":"2","issued":{"date-parts":[["2024","1"]]},"language":"eng","publisher-place":"Switzerland","title":"Sickle Cell Disease Update: New Treatments and Challenging Nutritional  Interventions.","type":"article-journal","volume":"16"},"uris":["http://www.mendeley.com/documents/?uuid=d070bbc0-bfcb-4cb8-997d-928b45d7e46a"]}],"mendeley":{"formattedCitation":"[9]","plainTextFormattedCitation":"[9]","previouslyFormattedCitation":"(Bell et al., 2024)"},"properties":{"noteIndex":0},"schema":"https://github.com/citation-style-language/schema/raw/master/csl-citation.json"}</w:instrText>
      </w:r>
      <w:r>
        <w:rPr>
          <w:rFonts w:ascii="Arial" w:hAnsi="Arial" w:cs="Arial"/>
          <w:sz w:val="24"/>
          <w:szCs w:val="24"/>
          <w:highlight w:val="yellow"/>
        </w:rPr>
        <w:fldChar w:fldCharType="separate"/>
      </w:r>
      <w:r w:rsidRPr="00765883">
        <w:rPr>
          <w:rFonts w:ascii="Arial" w:hAnsi="Arial" w:cs="Arial"/>
          <w:noProof/>
          <w:sz w:val="24"/>
          <w:szCs w:val="24"/>
          <w:highlight w:val="yellow"/>
        </w:rPr>
        <w:t>[9]</w:t>
      </w:r>
      <w:r>
        <w:rPr>
          <w:rFonts w:ascii="Arial" w:hAnsi="Arial" w:cs="Arial"/>
          <w:sz w:val="24"/>
          <w:szCs w:val="24"/>
          <w:highlight w:val="yellow"/>
        </w:rPr>
        <w:fldChar w:fldCharType="end"/>
      </w:r>
      <w:r w:rsidRPr="00FE1957">
        <w:rPr>
          <w:rFonts w:ascii="Arial" w:hAnsi="Arial" w:cs="Arial"/>
          <w:sz w:val="24"/>
          <w:szCs w:val="24"/>
          <w:highlight w:val="yellow"/>
        </w:rPr>
        <w:t>.</w:t>
      </w:r>
      <w:r w:rsidRPr="005F5B23">
        <w:rPr>
          <w:rFonts w:ascii="Arial" w:hAnsi="Arial" w:cs="Arial"/>
          <w:sz w:val="24"/>
          <w:szCs w:val="24"/>
        </w:rPr>
        <w:t xml:space="preserve"> As a result, the goal of this research is to </w:t>
      </w:r>
      <w:r>
        <w:rPr>
          <w:rFonts w:ascii="Arial" w:hAnsi="Arial" w:cs="Arial"/>
          <w:sz w:val="24"/>
          <w:szCs w:val="24"/>
        </w:rPr>
        <w:t xml:space="preserve">determine the prevalence of hydroxyurea use among SCD patients in Zanzibar and to assess their clinical and </w:t>
      </w:r>
      <w:proofErr w:type="spellStart"/>
      <w:r>
        <w:rPr>
          <w:rFonts w:ascii="Arial" w:hAnsi="Arial" w:cs="Arial"/>
          <w:sz w:val="24"/>
          <w:szCs w:val="24"/>
        </w:rPr>
        <w:t>haematological</w:t>
      </w:r>
      <w:proofErr w:type="spellEnd"/>
      <w:r>
        <w:rPr>
          <w:rFonts w:ascii="Arial" w:hAnsi="Arial" w:cs="Arial"/>
          <w:sz w:val="24"/>
          <w:szCs w:val="24"/>
        </w:rPr>
        <w:t xml:space="preserve"> responses, as well as the side effects</w:t>
      </w:r>
      <w:r w:rsidRPr="005F5B23">
        <w:rPr>
          <w:rFonts w:ascii="Arial" w:hAnsi="Arial" w:cs="Arial"/>
          <w:sz w:val="24"/>
          <w:szCs w:val="24"/>
        </w:rPr>
        <w:t xml:space="preserve"> of hydroxyurea.</w:t>
      </w:r>
      <w:bookmarkStart w:id="1" w:name="_Toc202865693"/>
      <w:bookmarkStart w:id="2" w:name="_Toc202934369"/>
    </w:p>
    <w:p w:rsidR="00765883" w:rsidRPr="005F5B23" w:rsidRDefault="00765883" w:rsidP="00765883">
      <w:pPr>
        <w:spacing w:line="360" w:lineRule="auto"/>
        <w:jc w:val="both"/>
        <w:rPr>
          <w:rFonts w:ascii="Arial" w:hAnsi="Arial" w:cs="Arial"/>
          <w:sz w:val="24"/>
          <w:szCs w:val="24"/>
        </w:rPr>
      </w:pPr>
      <w:r w:rsidRPr="005F5B23">
        <w:rPr>
          <w:rFonts w:ascii="Arial" w:hAnsi="Arial" w:cs="Arial"/>
          <w:b/>
          <w:color w:val="000000" w:themeColor="text1"/>
          <w:sz w:val="24"/>
          <w:szCs w:val="24"/>
        </w:rPr>
        <w:t xml:space="preserve"> Objectives</w:t>
      </w:r>
      <w:bookmarkEnd w:id="1"/>
      <w:bookmarkEnd w:id="2"/>
      <w:r w:rsidRPr="005F5B23">
        <w:rPr>
          <w:rFonts w:ascii="Arial" w:hAnsi="Arial" w:cs="Arial"/>
          <w:b/>
          <w:color w:val="000000" w:themeColor="text1"/>
          <w:sz w:val="24"/>
          <w:szCs w:val="24"/>
        </w:rPr>
        <w:t xml:space="preserve"> </w:t>
      </w:r>
    </w:p>
    <w:p w:rsidR="00765883" w:rsidRPr="005F5B23" w:rsidRDefault="00765883" w:rsidP="00765883">
      <w:pPr>
        <w:spacing w:line="360" w:lineRule="auto"/>
        <w:jc w:val="both"/>
        <w:rPr>
          <w:rFonts w:ascii="Arial" w:hAnsi="Arial" w:cs="Arial"/>
          <w:sz w:val="24"/>
          <w:szCs w:val="24"/>
        </w:rPr>
      </w:pPr>
      <w:r w:rsidRPr="005F5B23">
        <w:rPr>
          <w:rFonts w:ascii="Arial" w:eastAsia="Times New Roman" w:hAnsi="Arial" w:cs="Arial"/>
          <w:sz w:val="24"/>
          <w:szCs w:val="24"/>
        </w:rPr>
        <w:t xml:space="preserve">The broad objective of this study was to evaluate the response to hydroxyurea therapy in patients with sickle cell disease attending the </w:t>
      </w:r>
      <w:proofErr w:type="spellStart"/>
      <w:r>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Specifically, the study aimed to: (1) identify the socio-demographic characteristics of sickle cell disease patients attending the clinic; (2) assess the clinical response to hydroxyurea therapy in these patients; (3) evaluate their hematological response to </w:t>
      </w:r>
      <w:r>
        <w:rPr>
          <w:rFonts w:ascii="Arial" w:eastAsia="Times New Roman" w:hAnsi="Arial" w:cs="Arial"/>
          <w:sz w:val="24"/>
          <w:szCs w:val="24"/>
        </w:rPr>
        <w:t xml:space="preserve">the </w:t>
      </w:r>
      <w:r w:rsidRPr="005F5B23">
        <w:rPr>
          <w:rFonts w:ascii="Arial" w:eastAsia="Times New Roman" w:hAnsi="Arial" w:cs="Arial"/>
          <w:sz w:val="24"/>
          <w:szCs w:val="24"/>
        </w:rPr>
        <w:t xml:space="preserve">treatment; (4) determine patient compliance with hydroxyurea therapy; and (5) identify any side effects associated with the use of hydroxyurea among patients receiving care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in Zanzibar</w:t>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b/>
          <w:sz w:val="24"/>
          <w:szCs w:val="24"/>
        </w:rPr>
      </w:pPr>
      <w:r w:rsidRPr="005F5B23">
        <w:rPr>
          <w:rFonts w:ascii="Arial" w:hAnsi="Arial" w:cs="Arial"/>
          <w:b/>
          <w:sz w:val="24"/>
          <w:szCs w:val="24"/>
        </w:rPr>
        <w:t>Method</w:t>
      </w:r>
      <w:r>
        <w:rPr>
          <w:rFonts w:ascii="Arial" w:hAnsi="Arial" w:cs="Arial"/>
          <w:b/>
          <w:sz w:val="24"/>
          <w:szCs w:val="24"/>
        </w:rPr>
        <w:t>ology</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bookmarkStart w:id="3" w:name="_Toc202934386"/>
      <w:r w:rsidRPr="005F5B23">
        <w:rPr>
          <w:rFonts w:ascii="Arial" w:eastAsia="Times New Roman" w:hAnsi="Arial" w:cs="Arial"/>
          <w:sz w:val="24"/>
          <w:szCs w:val="24"/>
        </w:rPr>
        <w:lastRenderedPageBreak/>
        <w:t xml:space="preserve">This was a cross-sectional study conducted at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located on M/</w:t>
      </w:r>
      <w:proofErr w:type="spellStart"/>
      <w:r w:rsidRPr="005F5B23">
        <w:rPr>
          <w:rFonts w:ascii="Arial" w:eastAsia="Times New Roman" w:hAnsi="Arial" w:cs="Arial"/>
          <w:sz w:val="24"/>
          <w:szCs w:val="24"/>
        </w:rPr>
        <w:t>Kwerekwe</w:t>
      </w:r>
      <w:proofErr w:type="spellEnd"/>
      <w:r w:rsidRPr="005F5B23">
        <w:rPr>
          <w:rFonts w:ascii="Arial" w:eastAsia="Times New Roman" w:hAnsi="Arial" w:cs="Arial"/>
          <w:sz w:val="24"/>
          <w:szCs w:val="24"/>
        </w:rPr>
        <w:t xml:space="preserve"> Street in West B District, Zanzibar. The study was carried out over </w:t>
      </w:r>
      <w:r>
        <w:rPr>
          <w:rFonts w:ascii="Arial" w:eastAsia="Times New Roman" w:hAnsi="Arial" w:cs="Arial"/>
          <w:sz w:val="24"/>
          <w:szCs w:val="24"/>
        </w:rPr>
        <w:t>six months</w:t>
      </w:r>
      <w:r w:rsidRPr="005F5B23">
        <w:rPr>
          <w:rFonts w:ascii="Arial" w:eastAsia="Times New Roman" w:hAnsi="Arial" w:cs="Arial"/>
          <w:sz w:val="24"/>
          <w:szCs w:val="24"/>
        </w:rPr>
        <w:t xml:space="preserve">, from December 2024 to May 2025, beginning immediately after receiving ethical clearance from the Zanzibar Health Research Ethics Committee (ZAHREC). The study population consisted of patients diagnosed with sickle cell disease (SCD) who were undergoing hydroxyurea therapy and regularly attending the hospital’s </w:t>
      </w:r>
      <w:proofErr w:type="spellStart"/>
      <w:r>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Inclusion criteria were patients with confirmed SCD by </w:t>
      </w:r>
      <w:proofErr w:type="spellStart"/>
      <w:r>
        <w:rPr>
          <w:rFonts w:ascii="Arial" w:eastAsia="Times New Roman" w:hAnsi="Arial" w:cs="Arial"/>
          <w:sz w:val="24"/>
          <w:szCs w:val="24"/>
        </w:rPr>
        <w:t>haemoglobin</w:t>
      </w:r>
      <w:proofErr w:type="spellEnd"/>
      <w:r w:rsidRPr="005F5B23">
        <w:rPr>
          <w:rFonts w:ascii="Arial" w:eastAsia="Times New Roman" w:hAnsi="Arial" w:cs="Arial"/>
          <w:sz w:val="24"/>
          <w:szCs w:val="24"/>
        </w:rPr>
        <w:t xml:space="preserve"> electrophoresis who had been on hydroxyurea therapy for at least one year. Exclusion criteria included individuals who had used hydroxyurea for less than one year, those who declined to provide informed consent, and patients who chose not to continue participating in the study. The sample size was calculated using Cochran’s formula: </w:t>
      </w:r>
      <w:r w:rsidRPr="005F5B23">
        <w:rPr>
          <w:rFonts w:ascii="Arial" w:eastAsia="Times New Roman" w:hAnsi="Arial" w:cs="Arial"/>
          <w:b/>
          <w:bCs/>
          <w:sz w:val="24"/>
          <w:szCs w:val="24"/>
        </w:rPr>
        <w:t>N = z²pq / e²</w:t>
      </w:r>
      <w:r w:rsidRPr="005F5B23">
        <w:rPr>
          <w:rFonts w:ascii="Arial" w:eastAsia="Times New Roman" w:hAnsi="Arial" w:cs="Arial"/>
          <w:sz w:val="24"/>
          <w:szCs w:val="24"/>
        </w:rPr>
        <w:t xml:space="preserve">, where </w:t>
      </w:r>
      <w:r w:rsidRPr="005F5B23">
        <w:rPr>
          <w:rFonts w:ascii="Arial" w:eastAsia="Times New Roman" w:hAnsi="Arial" w:cs="Arial"/>
          <w:i/>
          <w:iCs/>
          <w:sz w:val="24"/>
          <w:szCs w:val="24"/>
        </w:rPr>
        <w:t>z</w:t>
      </w:r>
      <w:r w:rsidRPr="005F5B23">
        <w:rPr>
          <w:rFonts w:ascii="Arial" w:eastAsia="Times New Roman" w:hAnsi="Arial" w:cs="Arial"/>
          <w:sz w:val="24"/>
          <w:szCs w:val="24"/>
        </w:rPr>
        <w:t xml:space="preserve"> is the confidence level (1.96 for 95% confidence), </w:t>
      </w:r>
      <w:r w:rsidRPr="005F5B23">
        <w:rPr>
          <w:rFonts w:ascii="Arial" w:eastAsia="Times New Roman" w:hAnsi="Arial" w:cs="Arial"/>
          <w:i/>
          <w:iCs/>
          <w:sz w:val="24"/>
          <w:szCs w:val="24"/>
        </w:rPr>
        <w:t>p</w:t>
      </w:r>
      <w:r w:rsidRPr="005F5B23">
        <w:rPr>
          <w:rFonts w:ascii="Arial" w:eastAsia="Times New Roman" w:hAnsi="Arial" w:cs="Arial"/>
          <w:sz w:val="24"/>
          <w:szCs w:val="24"/>
        </w:rPr>
        <w:t xml:space="preserve"> is the estimated population proportion from previous studies (0.17), </w:t>
      </w:r>
      <w:r w:rsidRPr="005F5B23">
        <w:rPr>
          <w:rFonts w:ascii="Arial" w:eastAsia="Times New Roman" w:hAnsi="Arial" w:cs="Arial"/>
          <w:i/>
          <w:iCs/>
          <w:sz w:val="24"/>
          <w:szCs w:val="24"/>
        </w:rPr>
        <w:t>q = 1 – p</w:t>
      </w:r>
      <w:r w:rsidRPr="005F5B23">
        <w:rPr>
          <w:rFonts w:ascii="Arial" w:eastAsia="Times New Roman" w:hAnsi="Arial" w:cs="Arial"/>
          <w:sz w:val="24"/>
          <w:szCs w:val="24"/>
        </w:rPr>
        <w:t xml:space="preserve">, and </w:t>
      </w:r>
      <w:r w:rsidRPr="005F5B23">
        <w:rPr>
          <w:rFonts w:ascii="Arial" w:eastAsia="Times New Roman" w:hAnsi="Arial" w:cs="Arial"/>
          <w:i/>
          <w:iCs/>
          <w:sz w:val="24"/>
          <w:szCs w:val="24"/>
        </w:rPr>
        <w:t>e</w:t>
      </w:r>
      <w:r w:rsidRPr="005F5B23">
        <w:rPr>
          <w:rFonts w:ascii="Arial" w:eastAsia="Times New Roman" w:hAnsi="Arial" w:cs="Arial"/>
          <w:sz w:val="24"/>
          <w:szCs w:val="24"/>
        </w:rPr>
        <w:t xml:space="preserve"> is the margin of error (5%). Based on this formula, the required sample size was 180 participants. A purposive sampling technique was used to recruit patients who met the inclusion criteria, focusing specifically on individuals with confirmed SCD who had been on hydroxyurea therapy for at least one year.</w:t>
      </w:r>
    </w:p>
    <w:bookmarkEnd w:id="3"/>
    <w:p w:rsidR="00765883" w:rsidRPr="005F5B23" w:rsidRDefault="00765883" w:rsidP="00765883">
      <w:pPr>
        <w:spacing w:after="0" w:line="360" w:lineRule="auto"/>
        <w:jc w:val="both"/>
        <w:rPr>
          <w:rFonts w:ascii="Arial" w:eastAsia="Times New Roman" w:hAnsi="Arial" w:cs="Arial"/>
          <w:sz w:val="24"/>
          <w:szCs w:val="24"/>
        </w:rPr>
      </w:pP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b/>
          <w:bCs/>
          <w:sz w:val="24"/>
          <w:szCs w:val="24"/>
        </w:rPr>
        <w:t>Variables, Data Collection, and Ethical Considerations</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sz w:val="24"/>
          <w:szCs w:val="24"/>
        </w:rPr>
        <w:t xml:space="preserve">The </w:t>
      </w:r>
      <w:r w:rsidRPr="00C83839">
        <w:rPr>
          <w:rFonts w:ascii="Arial" w:eastAsia="Times New Roman" w:hAnsi="Arial" w:cs="Arial"/>
          <w:b/>
          <w:sz w:val="24"/>
          <w:szCs w:val="24"/>
        </w:rPr>
        <w:t xml:space="preserve">dependent </w:t>
      </w:r>
      <w:r w:rsidRPr="005F5B23">
        <w:rPr>
          <w:rFonts w:ascii="Arial" w:eastAsia="Times New Roman" w:hAnsi="Arial" w:cs="Arial"/>
          <w:sz w:val="24"/>
          <w:szCs w:val="24"/>
        </w:rPr>
        <w:t xml:space="preserve">variables in this study included: hydroxyurea therapy, number of </w:t>
      </w:r>
      <w:r w:rsidR="00B0158B">
        <w:rPr>
          <w:rFonts w:ascii="Arial" w:eastAsia="Times New Roman" w:hAnsi="Arial" w:cs="Arial"/>
          <w:sz w:val="24"/>
          <w:szCs w:val="24"/>
        </w:rPr>
        <w:t>hospitaliz</w:t>
      </w:r>
      <w:r>
        <w:rPr>
          <w:rFonts w:ascii="Arial" w:eastAsia="Times New Roman" w:hAnsi="Arial" w:cs="Arial"/>
          <w:sz w:val="24"/>
          <w:szCs w:val="24"/>
        </w:rPr>
        <w:t xml:space="preserve">ations, </w:t>
      </w:r>
      <w:proofErr w:type="spellStart"/>
      <w:r>
        <w:rPr>
          <w:rFonts w:ascii="Arial" w:eastAsia="Times New Roman" w:hAnsi="Arial" w:cs="Arial"/>
          <w:sz w:val="24"/>
          <w:szCs w:val="24"/>
        </w:rPr>
        <w:t>haemoglobin</w:t>
      </w:r>
      <w:proofErr w:type="spellEnd"/>
      <w:r w:rsidRPr="005F5B23">
        <w:rPr>
          <w:rFonts w:ascii="Arial" w:eastAsia="Times New Roman" w:hAnsi="Arial" w:cs="Arial"/>
          <w:sz w:val="24"/>
          <w:szCs w:val="24"/>
        </w:rPr>
        <w:t xml:space="preserve"> levels, number of blood transfusions, frequency of pain episodes, number of admissions, feelings of well-being, side effects, and adherence to therapy. Medication adherence was assessed using a validated self-report scale developed by </w:t>
      </w:r>
      <w:proofErr w:type="spellStart"/>
      <w:r w:rsidRPr="005F5B23">
        <w:rPr>
          <w:rFonts w:ascii="Arial" w:eastAsia="Times New Roman" w:hAnsi="Arial" w:cs="Arial"/>
          <w:sz w:val="24"/>
          <w:szCs w:val="24"/>
        </w:rPr>
        <w:t>Gehi</w:t>
      </w:r>
      <w:proofErr w:type="spellEnd"/>
      <w:r w:rsidRPr="005F5B23">
        <w:rPr>
          <w:rFonts w:ascii="Arial" w:eastAsia="Times New Roman" w:hAnsi="Arial" w:cs="Arial"/>
          <w:sz w:val="24"/>
          <w:szCs w:val="24"/>
        </w:rPr>
        <w:t xml:space="preserve"> et al., where participants rated their adherence as: "all of the time (100%)," "nearly all of the time (90%)," "most of the time (75%)," "about half of the time (50%)," or "less than half of the time (&lt;50%)." Respondents who selected "all of the time" or "nearly all of the time" were categorized as adherent, while all other responses were considered non-adherent. </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C83839">
        <w:rPr>
          <w:rFonts w:ascii="Arial" w:eastAsia="Times New Roman" w:hAnsi="Arial" w:cs="Arial"/>
          <w:b/>
          <w:sz w:val="24"/>
          <w:szCs w:val="24"/>
        </w:rPr>
        <w:lastRenderedPageBreak/>
        <w:t>Independent variables</w:t>
      </w:r>
      <w:r w:rsidRPr="005F5B23">
        <w:rPr>
          <w:rFonts w:ascii="Arial" w:eastAsia="Times New Roman" w:hAnsi="Arial" w:cs="Arial"/>
          <w:sz w:val="24"/>
          <w:szCs w:val="24"/>
        </w:rPr>
        <w:t xml:space="preserve"> included age, sex, level of education, residence, and occupational status. Data collection was </w:t>
      </w:r>
      <w:r>
        <w:rPr>
          <w:rFonts w:ascii="Arial" w:eastAsia="Times New Roman" w:hAnsi="Arial" w:cs="Arial"/>
          <w:sz w:val="24"/>
          <w:szCs w:val="24"/>
        </w:rPr>
        <w:t xml:space="preserve">conducted at the </w:t>
      </w:r>
      <w:proofErr w:type="spellStart"/>
      <w:r>
        <w:rPr>
          <w:rFonts w:ascii="Arial" w:eastAsia="Times New Roman" w:hAnsi="Arial" w:cs="Arial"/>
          <w:sz w:val="24"/>
          <w:szCs w:val="24"/>
        </w:rPr>
        <w:t>haematology</w:t>
      </w:r>
      <w:proofErr w:type="spellEnd"/>
      <w:r w:rsidRPr="005F5B23">
        <w:rPr>
          <w:rFonts w:ascii="Arial" w:eastAsia="Times New Roman" w:hAnsi="Arial" w:cs="Arial"/>
          <w:sz w:val="24"/>
          <w:szCs w:val="24"/>
        </w:rPr>
        <w:t xml:space="preserve"> clinic of </w:t>
      </w:r>
      <w:proofErr w:type="spellStart"/>
      <w:r w:rsidRPr="005F5B23">
        <w:rPr>
          <w:rFonts w:ascii="Arial" w:eastAsia="Times New Roman" w:hAnsi="Arial" w:cs="Arial"/>
          <w:sz w:val="24"/>
          <w:szCs w:val="24"/>
        </w:rPr>
        <w:t>Jitimai</w:t>
      </w:r>
      <w:proofErr w:type="spellEnd"/>
      <w:r w:rsidRPr="005F5B23">
        <w:rPr>
          <w:rFonts w:ascii="Arial" w:eastAsia="Times New Roman" w:hAnsi="Arial" w:cs="Arial"/>
          <w:sz w:val="24"/>
          <w:szCs w:val="24"/>
        </w:rPr>
        <w:t xml:space="preserve"> District Hospital. Upon arrival, patients with confirmed sickle cell disease were informed about the study and its potential benefits. Data were gathered using a structured questionnaire, and laboratory values were retrieved from clinic records. Primary data were collected through face-to-face interviews using an open-ended questionnaire, while secondary data were obtained from updated patient files and laboratory reports. Before full implementation, the questionnaire was pretested on a sample of 10 patients who met the inclusion criteria but were not included in the final study, ensuring clarity, relevance, and reliability of the instrument. The collected data were organized by variable, tabulated, and analyzed using SPSS version 23. Descriptive statistics such as frequencies and percentages were applied, and comparisons were made using Student’s t-test where appropriate. </w:t>
      </w:r>
    </w:p>
    <w:p w:rsidR="00765883" w:rsidRPr="005F5B23" w:rsidRDefault="00765883" w:rsidP="00765883">
      <w:pPr>
        <w:spacing w:before="100" w:beforeAutospacing="1" w:after="100" w:afterAutospacing="1" w:line="360" w:lineRule="auto"/>
        <w:jc w:val="both"/>
        <w:rPr>
          <w:rFonts w:ascii="Arial" w:eastAsia="Times New Roman" w:hAnsi="Arial" w:cs="Arial"/>
          <w:sz w:val="24"/>
          <w:szCs w:val="24"/>
        </w:rPr>
      </w:pPr>
      <w:r w:rsidRPr="005F5B23">
        <w:rPr>
          <w:rFonts w:ascii="Arial" w:eastAsia="Times New Roman" w:hAnsi="Arial" w:cs="Arial"/>
          <w:sz w:val="24"/>
          <w:szCs w:val="24"/>
        </w:rPr>
        <w:t>The study adhered to ethical standards set forth by the State University of Zanzibar (SUZA) and received approval from the Zanzibar Health Research Ethics Committee (ZAHREC). All participants provided informed consent after being fully briefed on the study’s purpose, procedures, and potential risks and benefits. Participation was entirely voluntary, and patients were assured they could withdraw at any time without repercussions. Confidentiality and privacy were strictly maintained, with personal identifiers omitted and all data securely stored for research purposes only. This study conformed to the ethical principles of the Declaration of Helsinki and applicable local regulations regarding research involving human subjects.</w:t>
      </w:r>
    </w:p>
    <w:p w:rsidR="00765883" w:rsidRPr="005F5B23" w:rsidRDefault="00765883" w:rsidP="00765883">
      <w:pPr>
        <w:pStyle w:val="Heading1"/>
        <w:spacing w:line="360" w:lineRule="auto"/>
        <w:jc w:val="both"/>
        <w:rPr>
          <w:rFonts w:ascii="Arial" w:hAnsi="Arial" w:cs="Arial"/>
          <w:b/>
          <w:sz w:val="24"/>
          <w:szCs w:val="24"/>
        </w:rPr>
      </w:pPr>
    </w:p>
    <w:p w:rsidR="00765883" w:rsidRPr="005F5B23" w:rsidRDefault="00765883" w:rsidP="00765883">
      <w:pPr>
        <w:spacing w:line="360" w:lineRule="auto"/>
        <w:jc w:val="both"/>
        <w:rPr>
          <w:rFonts w:ascii="Arial" w:hAnsi="Arial" w:cs="Arial"/>
          <w:b/>
          <w:sz w:val="24"/>
          <w:szCs w:val="24"/>
        </w:rPr>
      </w:pPr>
      <w:r w:rsidRPr="005F5B23">
        <w:rPr>
          <w:rFonts w:ascii="Arial" w:hAnsi="Arial" w:cs="Arial"/>
          <w:b/>
          <w:sz w:val="24"/>
          <w:szCs w:val="24"/>
        </w:rPr>
        <w:t>Results</w:t>
      </w:r>
    </w:p>
    <w:p w:rsidR="00765883" w:rsidRPr="005F5B23" w:rsidRDefault="00765883" w:rsidP="00765883">
      <w:pPr>
        <w:pStyle w:val="Heading2"/>
        <w:spacing w:line="360" w:lineRule="auto"/>
        <w:jc w:val="both"/>
        <w:rPr>
          <w:rFonts w:ascii="Arial" w:hAnsi="Arial" w:cs="Arial"/>
          <w:b/>
          <w:color w:val="000000" w:themeColor="text1"/>
          <w:sz w:val="24"/>
          <w:szCs w:val="24"/>
          <w:lang w:val="en-GB"/>
        </w:rPr>
      </w:pPr>
      <w:bookmarkStart w:id="4" w:name="_Toc202934398"/>
      <w:r w:rsidRPr="005F5B23">
        <w:rPr>
          <w:rFonts w:ascii="Arial" w:hAnsi="Arial" w:cs="Arial"/>
          <w:b/>
          <w:color w:val="000000" w:themeColor="text1"/>
          <w:sz w:val="24"/>
          <w:szCs w:val="24"/>
          <w:lang w:val="en-GB"/>
        </w:rPr>
        <w:t>Sociodemographic characteristics of the respondents</w:t>
      </w:r>
      <w:bookmarkEnd w:id="4"/>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About 180 respondents were enrolled in this study, of whom more than half </w:t>
      </w:r>
      <w:r>
        <w:rPr>
          <w:rFonts w:ascii="Arial" w:hAnsi="Arial" w:cs="Arial"/>
          <w:sz w:val="24"/>
          <w:szCs w:val="24"/>
        </w:rPr>
        <w:t xml:space="preserve">(107, 57.2%) were female and 73 (42.8%) were male, which could indicate gender-related differences in healthcare-seeking </w:t>
      </w:r>
      <w:proofErr w:type="spellStart"/>
      <w:r>
        <w:rPr>
          <w:rFonts w:ascii="Arial" w:hAnsi="Arial" w:cs="Arial"/>
          <w:sz w:val="24"/>
          <w:szCs w:val="24"/>
        </w:rPr>
        <w:t>behaviour</w:t>
      </w:r>
      <w:proofErr w:type="spellEnd"/>
      <w:r w:rsidRPr="005F5B23">
        <w:rPr>
          <w:rFonts w:ascii="Arial" w:hAnsi="Arial" w:cs="Arial"/>
          <w:sz w:val="24"/>
          <w:szCs w:val="24"/>
        </w:rPr>
        <w:t>, disease presentation, or social factors influencing diagnosis and treatment.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lastRenderedPageBreak/>
        <w:t>More than half of the respondents, 107 (59.4%)</w:t>
      </w:r>
      <w:r w:rsidR="00B0158B">
        <w:rPr>
          <w:rFonts w:ascii="Arial" w:hAnsi="Arial" w:cs="Arial"/>
          <w:sz w:val="24"/>
          <w:szCs w:val="24"/>
        </w:rPr>
        <w:t>,</w:t>
      </w:r>
      <w:r w:rsidRPr="005F5B23">
        <w:rPr>
          <w:rFonts w:ascii="Arial" w:hAnsi="Arial" w:cs="Arial"/>
          <w:sz w:val="24"/>
          <w:szCs w:val="24"/>
        </w:rPr>
        <w:t xml:space="preserve"> </w:t>
      </w:r>
      <w:r w:rsidRPr="005F5B23">
        <w:rPr>
          <w:rFonts w:ascii="Arial" w:hAnsi="Arial" w:cs="Arial"/>
          <w:bCs/>
          <w:sz w:val="24"/>
          <w:szCs w:val="24"/>
        </w:rPr>
        <w:t>were pediatric population aged 1</w:t>
      </w:r>
      <w:r w:rsidRPr="005F5B23">
        <w:rPr>
          <w:rFonts w:ascii="Arial" w:hAnsi="Arial" w:cs="Arial"/>
          <w:b/>
          <w:bCs/>
          <w:sz w:val="24"/>
          <w:szCs w:val="24"/>
        </w:rPr>
        <w:t>-</w:t>
      </w:r>
      <w:r w:rsidRPr="005F5B23">
        <w:rPr>
          <w:rFonts w:ascii="Arial" w:hAnsi="Arial" w:cs="Arial"/>
          <w:bCs/>
          <w:sz w:val="24"/>
          <w:szCs w:val="24"/>
        </w:rPr>
        <w:t>12 years</w:t>
      </w:r>
      <w:r w:rsidRPr="005F5B23">
        <w:rPr>
          <w:rFonts w:ascii="Arial" w:hAnsi="Arial" w:cs="Arial"/>
          <w:sz w:val="24"/>
          <w:szCs w:val="24"/>
        </w:rPr>
        <w:t xml:space="preserve">, suggesting early detection of SCD and frequent pediatric consultations. </w:t>
      </w:r>
      <w:r>
        <w:rPr>
          <w:rFonts w:ascii="Arial" w:hAnsi="Arial" w:cs="Arial"/>
          <w:sz w:val="24"/>
          <w:szCs w:val="24"/>
        </w:rPr>
        <w:t>Nearly half of the respondents, 73 (40.6%), were aged more than 13 years and</w:t>
      </w:r>
      <w:r w:rsidRPr="005F5B23">
        <w:rPr>
          <w:rFonts w:ascii="Arial" w:hAnsi="Arial" w:cs="Arial"/>
          <w:sz w:val="24"/>
          <w:szCs w:val="24"/>
        </w:rPr>
        <w:t xml:space="preserve"> are still present in significant numbers, reinforcing the need for </w:t>
      </w:r>
      <w:r w:rsidRPr="005F5B23">
        <w:rPr>
          <w:rFonts w:ascii="Arial" w:hAnsi="Arial" w:cs="Arial"/>
          <w:bCs/>
          <w:sz w:val="24"/>
          <w:szCs w:val="24"/>
        </w:rPr>
        <w:t>ongoing adolescent and adult SCD care</w:t>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More than half of the respondents were students 125, 69.5%), highlighting the young age of the population. </w:t>
      </w:r>
      <w:r>
        <w:rPr>
          <w:rFonts w:ascii="Arial" w:hAnsi="Arial" w:cs="Arial"/>
          <w:sz w:val="24"/>
          <w:szCs w:val="24"/>
        </w:rPr>
        <w:t>Employment was</w:t>
      </w:r>
      <w:r w:rsidRPr="005F5B23">
        <w:rPr>
          <w:rFonts w:ascii="Arial" w:hAnsi="Arial" w:cs="Arial"/>
          <w:sz w:val="24"/>
          <w:szCs w:val="24"/>
        </w:rPr>
        <w:t xml:space="preserve"> low</w:t>
      </w:r>
      <w:r>
        <w:rPr>
          <w:rFonts w:ascii="Arial" w:hAnsi="Arial" w:cs="Arial"/>
          <w:sz w:val="24"/>
          <w:szCs w:val="24"/>
        </w:rPr>
        <w:t>, 13 (7.2%), and nearly a quarter of respondents, 42 (23.3%), reported</w:t>
      </w:r>
      <w:r w:rsidRPr="005F5B23">
        <w:rPr>
          <w:rFonts w:ascii="Arial" w:hAnsi="Arial" w:cs="Arial"/>
          <w:sz w:val="24"/>
          <w:szCs w:val="24"/>
        </w:rPr>
        <w:t xml:space="preserve"> no formal employment.</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Nearly half of the respondents had only primary education 84, 46.7%), while 50 (21.8%) have no formal education, which may impact health literacy, treatment adherence, and disease management strategies. Only 3.8% had </w:t>
      </w:r>
      <w:r>
        <w:rPr>
          <w:rFonts w:ascii="Arial" w:hAnsi="Arial" w:cs="Arial"/>
          <w:sz w:val="24"/>
          <w:szCs w:val="24"/>
        </w:rPr>
        <w:t xml:space="preserve">a </w:t>
      </w:r>
      <w:r w:rsidRPr="005F5B23">
        <w:rPr>
          <w:rFonts w:ascii="Arial" w:hAnsi="Arial" w:cs="Arial"/>
          <w:b/>
          <w:sz w:val="24"/>
          <w:szCs w:val="24"/>
        </w:rPr>
        <w:t>tertiary</w:t>
      </w:r>
      <w:r w:rsidRPr="005F5B23">
        <w:rPr>
          <w:rFonts w:ascii="Arial" w:hAnsi="Arial" w:cs="Arial"/>
          <w:sz w:val="24"/>
          <w:szCs w:val="24"/>
        </w:rPr>
        <w:t xml:space="preserve"> education, with the majority of respondents</w:t>
      </w:r>
      <w:r>
        <w:rPr>
          <w:rFonts w:ascii="Arial" w:hAnsi="Arial" w:cs="Arial"/>
          <w:sz w:val="24"/>
          <w:szCs w:val="24"/>
        </w:rPr>
        <w:t xml:space="preserve"> in this group being at the</w:t>
      </w:r>
      <w:r w:rsidRPr="005F5B23">
        <w:rPr>
          <w:rFonts w:ascii="Arial" w:hAnsi="Arial" w:cs="Arial"/>
          <w:sz w:val="24"/>
          <w:szCs w:val="24"/>
        </w:rPr>
        <w:t xml:space="preserve"> university.</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The highest patient representation comes from MWERA and MAGOGONI 11 (6.1% each), indicating potential geographical concentration of SCD cases.</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Table 1: </w:t>
      </w:r>
      <w:r w:rsidRPr="005F5B23">
        <w:rPr>
          <w:rFonts w:ascii="Arial" w:hAnsi="Arial" w:cs="Arial"/>
          <w:b/>
          <w:sz w:val="24"/>
          <w:szCs w:val="24"/>
        </w:rPr>
        <w:t xml:space="preserve">Socio-demographic characteristics of the sickle cell patients attending hydroxyurea treatment at </w:t>
      </w:r>
      <w:proofErr w:type="spellStart"/>
      <w:r w:rsidRPr="005F5B23">
        <w:rPr>
          <w:rFonts w:ascii="Arial" w:hAnsi="Arial" w:cs="Arial"/>
          <w:b/>
          <w:sz w:val="24"/>
          <w:szCs w:val="24"/>
        </w:rPr>
        <w:t>Jitimai</w:t>
      </w:r>
      <w:proofErr w:type="spellEnd"/>
      <w:r w:rsidRPr="005F5B23">
        <w:rPr>
          <w:rFonts w:ascii="Arial" w:hAnsi="Arial" w:cs="Arial"/>
          <w:b/>
          <w:sz w:val="24"/>
          <w:szCs w:val="24"/>
        </w:rPr>
        <w:t xml:space="preserve"> Hospital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1620"/>
        <w:gridCol w:w="1530"/>
        <w:gridCol w:w="1440"/>
      </w:tblGrid>
      <w:tr w:rsidR="00765883" w:rsidRPr="005F5B23" w:rsidTr="00B7333C">
        <w:trPr>
          <w:tblHeader/>
          <w:tblCellSpacing w:w="15" w:type="dxa"/>
        </w:trPr>
        <w:tc>
          <w:tcPr>
            <w:tcW w:w="2650"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Item</w:t>
            </w:r>
          </w:p>
        </w:tc>
        <w:tc>
          <w:tcPr>
            <w:tcW w:w="1590"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Category</w:t>
            </w:r>
          </w:p>
        </w:tc>
        <w:tc>
          <w:tcPr>
            <w:tcW w:w="1500"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Frequency (n)</w:t>
            </w:r>
          </w:p>
        </w:tc>
        <w:tc>
          <w:tcPr>
            <w:tcW w:w="1395" w:type="dxa"/>
            <w:vAlign w:val="center"/>
            <w:hideMark/>
          </w:tcPr>
          <w:p w:rsidR="00765883" w:rsidRPr="005F5B23" w:rsidRDefault="00765883" w:rsidP="00B7333C">
            <w:pPr>
              <w:spacing w:line="360" w:lineRule="auto"/>
              <w:jc w:val="both"/>
              <w:rPr>
                <w:rFonts w:ascii="Arial" w:hAnsi="Arial" w:cs="Arial"/>
                <w:b/>
                <w:bCs/>
                <w:sz w:val="24"/>
                <w:szCs w:val="24"/>
              </w:rPr>
            </w:pPr>
            <w:r w:rsidRPr="005F5B23">
              <w:rPr>
                <w:rStyle w:val="Strong"/>
                <w:rFonts w:ascii="Arial" w:hAnsi="Arial" w:cs="Arial"/>
                <w:sz w:val="24"/>
                <w:szCs w:val="24"/>
              </w:rPr>
              <w:t>Percentage (%)</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Gender</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Female</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103</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57.2</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Male</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77</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42.8</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Education Level</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Primary</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84</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46.7</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Secondary</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50</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27.7</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Tertiary</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3.8</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 Education</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39</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21.8</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Age Group</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1–12</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107</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59.4</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&gt;12</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73</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40.6</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Employment Status</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Student</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125</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69.5</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Employed</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13</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7.2</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Not Employed</w:t>
            </w:r>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42</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23.3</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r w:rsidRPr="005F5B23">
              <w:rPr>
                <w:rStyle w:val="Strong"/>
                <w:rFonts w:ascii="Arial" w:hAnsi="Arial" w:cs="Arial"/>
                <w:sz w:val="24"/>
                <w:szCs w:val="24"/>
              </w:rPr>
              <w:t>Residence</w:t>
            </w:r>
          </w:p>
        </w:tc>
        <w:tc>
          <w:tcPr>
            <w:tcW w:w="1590" w:type="dxa"/>
            <w:vAlign w:val="center"/>
            <w:hideMark/>
          </w:tcPr>
          <w:p w:rsidR="00765883" w:rsidRPr="005F5B23" w:rsidRDefault="00765883" w:rsidP="00B7333C">
            <w:pPr>
              <w:spacing w:line="360" w:lineRule="auto"/>
              <w:jc w:val="both"/>
              <w:rPr>
                <w:rFonts w:ascii="Arial" w:hAnsi="Arial" w:cs="Arial"/>
                <w:sz w:val="24"/>
                <w:szCs w:val="24"/>
              </w:rPr>
            </w:pPr>
            <w:proofErr w:type="spellStart"/>
            <w:r w:rsidRPr="005F5B23">
              <w:rPr>
                <w:rFonts w:ascii="Arial" w:hAnsi="Arial" w:cs="Arial"/>
                <w:sz w:val="24"/>
                <w:szCs w:val="24"/>
              </w:rPr>
              <w:t>Mwera</w:t>
            </w:r>
            <w:proofErr w:type="spellEnd"/>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6.1</w:t>
            </w:r>
          </w:p>
        </w:tc>
      </w:tr>
      <w:tr w:rsidR="00765883" w:rsidRPr="005F5B23" w:rsidTr="00B7333C">
        <w:trPr>
          <w:tblCellSpacing w:w="15" w:type="dxa"/>
        </w:trPr>
        <w:tc>
          <w:tcPr>
            <w:tcW w:w="2650" w:type="dxa"/>
            <w:vAlign w:val="center"/>
            <w:hideMark/>
          </w:tcPr>
          <w:p w:rsidR="00765883" w:rsidRPr="005F5B23" w:rsidRDefault="00765883" w:rsidP="00B7333C">
            <w:pPr>
              <w:spacing w:line="360" w:lineRule="auto"/>
              <w:jc w:val="both"/>
              <w:rPr>
                <w:rFonts w:ascii="Arial" w:hAnsi="Arial" w:cs="Arial"/>
                <w:sz w:val="24"/>
                <w:szCs w:val="24"/>
              </w:rPr>
            </w:pPr>
          </w:p>
        </w:tc>
        <w:tc>
          <w:tcPr>
            <w:tcW w:w="1590" w:type="dxa"/>
            <w:vAlign w:val="center"/>
            <w:hideMark/>
          </w:tcPr>
          <w:p w:rsidR="00765883" w:rsidRPr="005F5B23" w:rsidRDefault="00765883" w:rsidP="00B7333C">
            <w:pPr>
              <w:spacing w:line="360" w:lineRule="auto"/>
              <w:jc w:val="both"/>
              <w:rPr>
                <w:rFonts w:ascii="Arial" w:hAnsi="Arial" w:cs="Arial"/>
                <w:sz w:val="24"/>
                <w:szCs w:val="24"/>
              </w:rPr>
            </w:pPr>
            <w:proofErr w:type="spellStart"/>
            <w:r w:rsidRPr="005F5B23">
              <w:rPr>
                <w:rFonts w:ascii="Arial" w:hAnsi="Arial" w:cs="Arial"/>
                <w:sz w:val="24"/>
                <w:szCs w:val="24"/>
              </w:rPr>
              <w:t>Magogoni</w:t>
            </w:r>
            <w:proofErr w:type="spellEnd"/>
          </w:p>
        </w:tc>
        <w:tc>
          <w:tcPr>
            <w:tcW w:w="1500"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w:t>
            </w:r>
          </w:p>
        </w:tc>
        <w:tc>
          <w:tcPr>
            <w:tcW w:w="1395" w:type="dxa"/>
            <w:vAlign w:val="center"/>
            <w:hideMark/>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6.1</w:t>
            </w:r>
          </w:p>
        </w:tc>
      </w:tr>
    </w:tbl>
    <w:p w:rsidR="00765883" w:rsidRPr="005F5B23" w:rsidRDefault="00765883" w:rsidP="00765883">
      <w:pPr>
        <w:spacing w:line="360" w:lineRule="auto"/>
        <w:jc w:val="both"/>
        <w:rPr>
          <w:rFonts w:ascii="Arial" w:hAnsi="Arial" w:cs="Arial"/>
          <w:sz w:val="24"/>
          <w:szCs w:val="24"/>
          <w:lang w:val="en-GB"/>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5" w:name="_Toc202934399"/>
      <w:r w:rsidRPr="005F5B23">
        <w:rPr>
          <w:rFonts w:ascii="Arial" w:hAnsi="Arial" w:cs="Arial"/>
          <w:b/>
          <w:color w:val="000000" w:themeColor="text1"/>
          <w:sz w:val="24"/>
          <w:szCs w:val="24"/>
        </w:rPr>
        <w:t>Table 2</w:t>
      </w:r>
      <w:r>
        <w:rPr>
          <w:rFonts w:ascii="Arial" w:hAnsi="Arial" w:cs="Arial"/>
          <w:b/>
          <w:color w:val="000000" w:themeColor="text1"/>
          <w:sz w:val="24"/>
          <w:szCs w:val="24"/>
        </w:rPr>
        <w:t>:</w:t>
      </w:r>
      <w:r w:rsidRPr="005F5B23">
        <w:rPr>
          <w:rFonts w:ascii="Arial" w:hAnsi="Arial" w:cs="Arial"/>
          <w:b/>
          <w:color w:val="000000" w:themeColor="text1"/>
          <w:sz w:val="24"/>
          <w:szCs w:val="24"/>
        </w:rPr>
        <w:t xml:space="preserve"> Clinical response of Hydroxyurea treatment in SCD </w:t>
      </w:r>
      <w:r>
        <w:rPr>
          <w:rFonts w:ascii="Arial" w:hAnsi="Arial" w:cs="Arial"/>
          <w:b/>
          <w:color w:val="000000" w:themeColor="text1"/>
          <w:sz w:val="24"/>
          <w:szCs w:val="24"/>
        </w:rPr>
        <w:t>patients</w:t>
      </w:r>
      <w:r w:rsidRPr="005F5B23">
        <w:rPr>
          <w:rFonts w:ascii="Arial" w:hAnsi="Arial" w:cs="Arial"/>
          <w:b/>
          <w:color w:val="000000" w:themeColor="text1"/>
          <w:sz w:val="24"/>
          <w:szCs w:val="24"/>
        </w:rPr>
        <w:t xml:space="preserve"> attending </w:t>
      </w:r>
      <w:r>
        <w:rPr>
          <w:rFonts w:ascii="Arial" w:hAnsi="Arial" w:cs="Arial"/>
          <w:b/>
          <w:color w:val="000000" w:themeColor="text1"/>
          <w:sz w:val="24"/>
          <w:szCs w:val="24"/>
        </w:rPr>
        <w:t xml:space="preserve">the </w:t>
      </w:r>
      <w:proofErr w:type="spellStart"/>
      <w:r>
        <w:rPr>
          <w:rFonts w:ascii="Arial" w:hAnsi="Arial" w:cs="Arial"/>
          <w:b/>
          <w:color w:val="000000" w:themeColor="text1"/>
          <w:sz w:val="24"/>
          <w:szCs w:val="24"/>
        </w:rPr>
        <w:t>haematology</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w:t>
      </w:r>
      <w:bookmarkEnd w:id="5"/>
      <w:r w:rsidRPr="005F5B23">
        <w:rPr>
          <w:rFonts w:ascii="Arial" w:hAnsi="Arial" w:cs="Arial"/>
          <w:b/>
          <w:color w:val="000000" w:themeColor="text1"/>
          <w:sz w:val="24"/>
          <w:szCs w:val="24"/>
        </w:rPr>
        <w:t xml:space="preserve"> </w:t>
      </w:r>
    </w:p>
    <w:p w:rsidR="00765883" w:rsidRPr="005F5B23" w:rsidRDefault="00765883" w:rsidP="00765883">
      <w:pPr>
        <w:tabs>
          <w:tab w:val="left" w:pos="960"/>
        </w:tabs>
        <w:spacing w:line="360" w:lineRule="auto"/>
        <w:jc w:val="both"/>
        <w:rPr>
          <w:rFonts w:ascii="Arial" w:hAnsi="Arial" w:cs="Arial"/>
          <w:sz w:val="24"/>
          <w:szCs w:val="24"/>
        </w:rPr>
      </w:pPr>
      <w:r w:rsidRPr="005F5B23">
        <w:rPr>
          <w:rFonts w:ascii="Arial" w:hAnsi="Arial" w:cs="Arial"/>
          <w:sz w:val="24"/>
          <w:szCs w:val="24"/>
        </w:rPr>
        <w:tab/>
      </w:r>
    </w:p>
    <w:tbl>
      <w:tblPr>
        <w:tblStyle w:val="TableGridLight1"/>
        <w:tblW w:w="1107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1440"/>
        <w:gridCol w:w="1350"/>
        <w:gridCol w:w="90"/>
        <w:gridCol w:w="1710"/>
        <w:gridCol w:w="1350"/>
        <w:gridCol w:w="900"/>
        <w:gridCol w:w="1260"/>
      </w:tblGrid>
      <w:tr w:rsidR="00765883" w:rsidRPr="005F5B23" w:rsidTr="00B7333C">
        <w:trPr>
          <w:trHeight w:val="1700"/>
        </w:trPr>
        <w:tc>
          <w:tcPr>
            <w:tcW w:w="2970" w:type="dxa"/>
            <w:gridSpan w:val="2"/>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PARAMETER</w:t>
            </w:r>
          </w:p>
        </w:tc>
        <w:tc>
          <w:tcPr>
            <w:tcW w:w="144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 before treatment</w:t>
            </w:r>
          </w:p>
        </w:tc>
        <w:tc>
          <w:tcPr>
            <w:tcW w:w="135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Pre-treatment(Mean ± SD)</w:t>
            </w:r>
          </w:p>
        </w:tc>
        <w:tc>
          <w:tcPr>
            <w:tcW w:w="1800" w:type="dxa"/>
            <w:gridSpan w:val="2"/>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after treatment</w:t>
            </w:r>
          </w:p>
        </w:tc>
        <w:tc>
          <w:tcPr>
            <w:tcW w:w="135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Post-treatment(Mean ± SD)</w:t>
            </w:r>
          </w:p>
        </w:tc>
        <w:tc>
          <w:tcPr>
            <w:tcW w:w="90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t-test</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p-value</w:t>
            </w:r>
          </w:p>
        </w:tc>
      </w:tr>
      <w:tr w:rsidR="00765883" w:rsidRPr="005F5B23" w:rsidTr="00B7333C">
        <w:trPr>
          <w:trHeight w:val="1070"/>
        </w:trPr>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lastRenderedPageBreak/>
              <w:t>Painful crises in a year</w:t>
            </w:r>
          </w:p>
          <w:p w:rsidR="00765883" w:rsidRPr="005F5B23" w:rsidRDefault="00765883" w:rsidP="00B7333C">
            <w:pPr>
              <w:spacing w:line="360" w:lineRule="auto"/>
              <w:jc w:val="both"/>
              <w:rPr>
                <w:rFonts w:ascii="Arial" w:hAnsi="Arial" w:cs="Arial"/>
                <w:sz w:val="24"/>
                <w:szCs w:val="24"/>
              </w:rPr>
            </w:pP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More than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 to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to 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w:t>
            </w: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155 (86.1%)</w:t>
            </w:r>
          </w:p>
          <w:p w:rsidR="00765883" w:rsidRPr="005F5B23" w:rsidRDefault="00765883" w:rsidP="00B7333C">
            <w:pPr>
              <w:spacing w:line="360" w:lineRule="auto"/>
              <w:jc w:val="both"/>
              <w:rPr>
                <w:rFonts w:ascii="Arial" w:hAnsi="Arial" w:cs="Arial"/>
                <w:sz w:val="24"/>
                <w:szCs w:val="24"/>
              </w:rPr>
            </w:pPr>
            <w:proofErr w:type="gramStart"/>
            <w:r w:rsidRPr="005F5B23">
              <w:rPr>
                <w:rFonts w:ascii="Arial" w:hAnsi="Arial" w:cs="Arial"/>
                <w:sz w:val="24"/>
                <w:szCs w:val="24"/>
              </w:rPr>
              <w:t>22  (</w:t>
            </w:r>
            <w:proofErr w:type="gramEnd"/>
            <w:r w:rsidRPr="005F5B23">
              <w:rPr>
                <w:rFonts w:ascii="Arial" w:hAnsi="Arial" w:cs="Arial"/>
                <w:sz w:val="24"/>
                <w:szCs w:val="24"/>
              </w:rPr>
              <w:t>12.2%)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3   </w:t>
            </w:r>
            <w:proofErr w:type="gramStart"/>
            <w:r w:rsidRPr="005F5B23">
              <w:rPr>
                <w:rFonts w:ascii="Arial" w:hAnsi="Arial" w:cs="Arial"/>
                <w:sz w:val="24"/>
                <w:szCs w:val="24"/>
              </w:rPr>
              <w:t xml:space="preserve">   (</w:t>
            </w:r>
            <w:proofErr w:type="gramEnd"/>
            <w:r w:rsidRPr="005F5B23">
              <w:rPr>
                <w:rFonts w:ascii="Arial" w:hAnsi="Arial" w:cs="Arial"/>
                <w:sz w:val="24"/>
                <w:szCs w:val="24"/>
              </w:rPr>
              <w:t>1.7%)</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3.83 ± 0.8</w:t>
            </w:r>
          </w:p>
        </w:tc>
        <w:tc>
          <w:tcPr>
            <w:tcW w:w="180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12 (6.7%)</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 (8.8%)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78 (43.3%)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75 (41.7%)</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1.80 ± 0.9</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28.25</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w:t>
            </w:r>
            <w:r w:rsidR="00E922E7">
              <w:rPr>
                <w:rFonts w:ascii="Arial" w:hAnsi="Arial" w:cs="Arial"/>
                <w:b/>
                <w:sz w:val="24"/>
                <w:szCs w:val="24"/>
              </w:rPr>
              <w:t>0</w:t>
            </w:r>
            <w:r w:rsidRPr="005F5B23">
              <w:rPr>
                <w:rFonts w:ascii="Arial" w:hAnsi="Arial" w:cs="Arial"/>
                <w:b/>
                <w:sz w:val="24"/>
                <w:szCs w:val="24"/>
              </w:rPr>
              <w:t>1</w:t>
            </w:r>
          </w:p>
        </w:tc>
      </w:tr>
      <w:tr w:rsidR="00765883" w:rsidRPr="005F5B23" w:rsidTr="00B7333C">
        <w:trPr>
          <w:trHeight w:val="1142"/>
        </w:trPr>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Hospitalization in a year</w:t>
            </w: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More than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 to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to 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w:t>
            </w:r>
          </w:p>
          <w:p w:rsidR="00765883" w:rsidRPr="005F5B23" w:rsidRDefault="00765883" w:rsidP="00B7333C">
            <w:pPr>
              <w:spacing w:line="360" w:lineRule="auto"/>
              <w:jc w:val="both"/>
              <w:rPr>
                <w:rFonts w:ascii="Arial" w:hAnsi="Arial" w:cs="Arial"/>
                <w:sz w:val="24"/>
                <w:szCs w:val="24"/>
              </w:rPr>
            </w:pP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67 (37.2%)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68(37.8%)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41 (22.8%)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   (2.2%)</w:t>
            </w:r>
          </w:p>
        </w:tc>
        <w:tc>
          <w:tcPr>
            <w:tcW w:w="144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3.09 ± 0.5</w:t>
            </w:r>
          </w:p>
        </w:tc>
        <w:tc>
          <w:tcPr>
            <w:tcW w:w="171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3   </w:t>
            </w:r>
            <w:proofErr w:type="gramStart"/>
            <w:r w:rsidRPr="005F5B23">
              <w:rPr>
                <w:rFonts w:ascii="Arial" w:hAnsi="Arial" w:cs="Arial"/>
                <w:sz w:val="24"/>
                <w:szCs w:val="24"/>
              </w:rPr>
              <w:t xml:space="preserve">   (</w:t>
            </w:r>
            <w:proofErr w:type="gramEnd"/>
            <w:r w:rsidRPr="005F5B23">
              <w:rPr>
                <w:rFonts w:ascii="Arial" w:hAnsi="Arial" w:cs="Arial"/>
                <w:sz w:val="24"/>
                <w:szCs w:val="24"/>
              </w:rPr>
              <w:t>1.7%)</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4    </w:t>
            </w:r>
            <w:proofErr w:type="gramStart"/>
            <w:r w:rsidRPr="005F5B23">
              <w:rPr>
                <w:rFonts w:ascii="Arial" w:hAnsi="Arial" w:cs="Arial"/>
                <w:sz w:val="24"/>
                <w:szCs w:val="24"/>
              </w:rPr>
              <w:t xml:space="preserve">   (</w:t>
            </w:r>
            <w:proofErr w:type="gramEnd"/>
            <w:r w:rsidRPr="005F5B23">
              <w:rPr>
                <w:rFonts w:ascii="Arial" w:hAnsi="Arial" w:cs="Arial"/>
                <w:sz w:val="24"/>
                <w:szCs w:val="24"/>
              </w:rPr>
              <w:t>2.2%)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28</w:t>
            </w:r>
            <w:proofErr w:type="gramStart"/>
            <w:r w:rsidRPr="005F5B23">
              <w:rPr>
                <w:rFonts w:ascii="Arial" w:hAnsi="Arial" w:cs="Arial"/>
                <w:sz w:val="24"/>
                <w:szCs w:val="24"/>
              </w:rPr>
              <w:t xml:space="preserve">   (</w:t>
            </w:r>
            <w:proofErr w:type="gramEnd"/>
            <w:r w:rsidRPr="005F5B23">
              <w:rPr>
                <w:rFonts w:ascii="Arial" w:hAnsi="Arial" w:cs="Arial"/>
                <w:sz w:val="24"/>
                <w:szCs w:val="24"/>
              </w:rPr>
              <w:t>15.5%)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145 (80.3%)</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1.20 ± 0.5</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35.07</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w:t>
            </w:r>
            <w:r w:rsidR="00E922E7">
              <w:rPr>
                <w:rFonts w:ascii="Arial" w:hAnsi="Arial" w:cs="Arial"/>
                <w:b/>
                <w:sz w:val="24"/>
                <w:szCs w:val="24"/>
              </w:rPr>
              <w:t>0</w:t>
            </w:r>
            <w:r w:rsidRPr="005F5B23">
              <w:rPr>
                <w:rFonts w:ascii="Arial" w:hAnsi="Arial" w:cs="Arial"/>
                <w:b/>
                <w:sz w:val="24"/>
                <w:szCs w:val="24"/>
              </w:rPr>
              <w:t>1</w:t>
            </w:r>
          </w:p>
        </w:tc>
      </w:tr>
      <w:tr w:rsidR="00765883" w:rsidRPr="005F5B23" w:rsidTr="00B7333C">
        <w:trPr>
          <w:trHeight w:val="1142"/>
        </w:trPr>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Blood transfusion in a year</w:t>
            </w: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More than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 to 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to 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w:t>
            </w: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26 (14.4%)</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60 (33.3%)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70 (39%)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24 (13.3%)</w:t>
            </w:r>
          </w:p>
          <w:p w:rsidR="00765883" w:rsidRPr="005F5B23" w:rsidRDefault="00765883" w:rsidP="00B7333C">
            <w:pPr>
              <w:spacing w:line="360" w:lineRule="auto"/>
              <w:jc w:val="both"/>
              <w:rPr>
                <w:rFonts w:ascii="Arial" w:hAnsi="Arial" w:cs="Arial"/>
                <w:sz w:val="24"/>
                <w:szCs w:val="24"/>
              </w:rPr>
            </w:pPr>
          </w:p>
        </w:tc>
        <w:tc>
          <w:tcPr>
            <w:tcW w:w="144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2.49 ± 0.9</w:t>
            </w:r>
          </w:p>
        </w:tc>
        <w:tc>
          <w:tcPr>
            <w:tcW w:w="171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2 (1.1%)</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 (0.6%)</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18 (10%)</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159 (88.3%)</w:t>
            </w:r>
          </w:p>
          <w:p w:rsidR="00765883" w:rsidRPr="005F5B23" w:rsidRDefault="00765883" w:rsidP="00B7333C">
            <w:pPr>
              <w:spacing w:line="360" w:lineRule="auto"/>
              <w:jc w:val="both"/>
              <w:rPr>
                <w:rFonts w:ascii="Arial" w:hAnsi="Arial" w:cs="Arial"/>
                <w:sz w:val="24"/>
                <w:szCs w:val="24"/>
              </w:rPr>
            </w:pPr>
          </w:p>
          <w:p w:rsidR="00765883" w:rsidRPr="005F5B23" w:rsidRDefault="00765883" w:rsidP="00B7333C">
            <w:pPr>
              <w:spacing w:line="360" w:lineRule="auto"/>
              <w:jc w:val="both"/>
              <w:rPr>
                <w:rFonts w:ascii="Arial" w:hAnsi="Arial" w:cs="Arial"/>
                <w:sz w:val="24"/>
                <w:szCs w:val="24"/>
              </w:rPr>
            </w:pP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1.11 ± 0.3</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44.4</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w:t>
            </w:r>
            <w:r w:rsidR="00E922E7">
              <w:rPr>
                <w:rFonts w:ascii="Arial" w:hAnsi="Arial" w:cs="Arial"/>
                <w:b/>
                <w:sz w:val="24"/>
                <w:szCs w:val="24"/>
              </w:rPr>
              <w:t>0</w:t>
            </w:r>
            <w:r w:rsidRPr="005F5B23">
              <w:rPr>
                <w:rFonts w:ascii="Arial" w:hAnsi="Arial" w:cs="Arial"/>
                <w:b/>
                <w:sz w:val="24"/>
                <w:szCs w:val="24"/>
              </w:rPr>
              <w:t>1</w:t>
            </w:r>
          </w:p>
        </w:tc>
      </w:tr>
      <w:tr w:rsidR="00765883" w:rsidRPr="005F5B23" w:rsidTr="00B7333C">
        <w:trPr>
          <w:trHeight w:val="1745"/>
        </w:trPr>
        <w:tc>
          <w:tcPr>
            <w:tcW w:w="1350" w:type="dxa"/>
          </w:tcPr>
          <w:p w:rsidR="00765883" w:rsidRPr="005F5B23" w:rsidRDefault="00765883" w:rsidP="00B7333C">
            <w:pPr>
              <w:spacing w:line="360" w:lineRule="auto"/>
              <w:jc w:val="both"/>
              <w:rPr>
                <w:rFonts w:ascii="Arial" w:hAnsi="Arial" w:cs="Arial"/>
                <w:sz w:val="24"/>
                <w:szCs w:val="24"/>
              </w:rPr>
            </w:pPr>
            <w:r>
              <w:rPr>
                <w:rFonts w:ascii="Arial" w:hAnsi="Arial" w:cs="Arial"/>
                <w:sz w:val="24"/>
                <w:szCs w:val="24"/>
              </w:rPr>
              <w:t xml:space="preserve">Well-being sensation </w:t>
            </w:r>
            <w:r w:rsidRPr="005F5B23">
              <w:rPr>
                <w:rFonts w:ascii="Arial" w:hAnsi="Arial" w:cs="Arial"/>
                <w:sz w:val="24"/>
                <w:szCs w:val="24"/>
              </w:rPr>
              <w:t xml:space="preserve"> </w:t>
            </w:r>
          </w:p>
        </w:tc>
        <w:tc>
          <w:tcPr>
            <w:tcW w:w="162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Much better</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Better</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No change</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Bad</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Worse</w:t>
            </w:r>
          </w:p>
          <w:p w:rsidR="00765883" w:rsidRPr="005F5B23" w:rsidRDefault="00765883" w:rsidP="00B7333C">
            <w:pPr>
              <w:spacing w:line="360" w:lineRule="auto"/>
              <w:jc w:val="both"/>
              <w:rPr>
                <w:rFonts w:ascii="Arial" w:hAnsi="Arial" w:cs="Arial"/>
                <w:sz w:val="24"/>
                <w:szCs w:val="24"/>
              </w:rPr>
            </w:pP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15(8.5%)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45 (24.9%)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68 (37.9%)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42 (23.3%)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9 (5%)</w:t>
            </w:r>
          </w:p>
          <w:p w:rsidR="00765883" w:rsidRPr="005F5B23" w:rsidRDefault="00765883" w:rsidP="00B7333C">
            <w:pPr>
              <w:spacing w:line="360" w:lineRule="auto"/>
              <w:jc w:val="both"/>
              <w:rPr>
                <w:rFonts w:ascii="Arial" w:hAnsi="Arial" w:cs="Arial"/>
                <w:sz w:val="24"/>
                <w:szCs w:val="24"/>
              </w:rPr>
            </w:pPr>
          </w:p>
          <w:p w:rsidR="00765883" w:rsidRPr="005F5B23" w:rsidRDefault="00765883" w:rsidP="00B7333C">
            <w:pPr>
              <w:spacing w:line="360" w:lineRule="auto"/>
              <w:jc w:val="both"/>
              <w:rPr>
                <w:rFonts w:ascii="Arial" w:hAnsi="Arial" w:cs="Arial"/>
                <w:sz w:val="24"/>
                <w:szCs w:val="24"/>
              </w:rPr>
            </w:pPr>
          </w:p>
        </w:tc>
        <w:tc>
          <w:tcPr>
            <w:tcW w:w="1440" w:type="dxa"/>
            <w:gridSpan w:val="2"/>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3.1 ± 1</w:t>
            </w:r>
          </w:p>
        </w:tc>
        <w:tc>
          <w:tcPr>
            <w:tcW w:w="171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106 (58.6%)</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54 </w:t>
            </w:r>
            <w:proofErr w:type="gramStart"/>
            <w:r w:rsidRPr="005F5B23">
              <w:rPr>
                <w:rFonts w:ascii="Arial" w:hAnsi="Arial" w:cs="Arial"/>
                <w:sz w:val="24"/>
                <w:szCs w:val="24"/>
              </w:rPr>
              <w:t xml:space="preserve">   (</w:t>
            </w:r>
            <w:proofErr w:type="gramEnd"/>
            <w:r w:rsidRPr="005F5B23">
              <w:rPr>
                <w:rFonts w:ascii="Arial" w:hAnsi="Arial" w:cs="Arial"/>
                <w:sz w:val="24"/>
                <w:szCs w:val="24"/>
              </w:rPr>
              <w:t>29.8%)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14 </w:t>
            </w:r>
            <w:proofErr w:type="gramStart"/>
            <w:r w:rsidRPr="005F5B23">
              <w:rPr>
                <w:rFonts w:ascii="Arial" w:hAnsi="Arial" w:cs="Arial"/>
                <w:sz w:val="24"/>
                <w:szCs w:val="24"/>
              </w:rPr>
              <w:t xml:space="preserve">   (</w:t>
            </w:r>
            <w:proofErr w:type="gramEnd"/>
            <w:r w:rsidRPr="005F5B23">
              <w:rPr>
                <w:rFonts w:ascii="Arial" w:hAnsi="Arial" w:cs="Arial"/>
                <w:sz w:val="24"/>
                <w:szCs w:val="24"/>
              </w:rPr>
              <w:t>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2    </w:t>
            </w:r>
            <w:proofErr w:type="gramStart"/>
            <w:r w:rsidRPr="005F5B23">
              <w:rPr>
                <w:rFonts w:ascii="Arial" w:hAnsi="Arial" w:cs="Arial"/>
                <w:sz w:val="24"/>
                <w:szCs w:val="24"/>
              </w:rPr>
              <w:t xml:space="preserve">   (</w:t>
            </w:r>
            <w:proofErr w:type="gramEnd"/>
            <w:r w:rsidRPr="005F5B23">
              <w:rPr>
                <w:rFonts w:ascii="Arial" w:hAnsi="Arial" w:cs="Arial"/>
                <w:sz w:val="24"/>
                <w:szCs w:val="24"/>
              </w:rPr>
              <w:t>1.1%)</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       (2.4%)</w:t>
            </w: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 ±0.8</w:t>
            </w:r>
          </w:p>
        </w:tc>
        <w:tc>
          <w:tcPr>
            <w:tcW w:w="90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69.1</w:t>
            </w:r>
          </w:p>
        </w:tc>
        <w:tc>
          <w:tcPr>
            <w:tcW w:w="126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&lt;0.0</w:t>
            </w:r>
            <w:r w:rsidR="00E922E7">
              <w:rPr>
                <w:rFonts w:ascii="Arial" w:hAnsi="Arial" w:cs="Arial"/>
                <w:b/>
                <w:sz w:val="24"/>
                <w:szCs w:val="24"/>
              </w:rPr>
              <w:t>0</w:t>
            </w:r>
            <w:r w:rsidRPr="005F5B23">
              <w:rPr>
                <w:rFonts w:ascii="Arial" w:hAnsi="Arial" w:cs="Arial"/>
                <w:b/>
                <w:sz w:val="24"/>
                <w:szCs w:val="24"/>
              </w:rPr>
              <w:t>1</w:t>
            </w:r>
          </w:p>
        </w:tc>
      </w:tr>
    </w:tbl>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P-value &lt;0.05 (statistically significant)</w:t>
      </w:r>
    </w:p>
    <w:p w:rsidR="00765883" w:rsidRPr="003A5D20" w:rsidRDefault="00765883" w:rsidP="00765883">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Painful Crises:</w:t>
      </w:r>
      <w:r w:rsidRPr="000B5AEF">
        <w:rPr>
          <w:rFonts w:ascii="Arial" w:eastAsia="Times New Roman" w:hAnsi="Arial" w:cs="Arial"/>
          <w:sz w:val="24"/>
          <w:szCs w:val="24"/>
        </w:rPr>
        <w:t xml:space="preserve"> </w:t>
      </w:r>
      <w:r>
        <w:rPr>
          <w:rFonts w:ascii="Arial" w:eastAsia="Times New Roman" w:hAnsi="Arial" w:cs="Arial"/>
          <w:sz w:val="24"/>
          <w:szCs w:val="24"/>
        </w:rPr>
        <w:t>Before</w:t>
      </w:r>
      <w:r w:rsidRPr="003A5D20">
        <w:rPr>
          <w:rFonts w:ascii="Arial" w:eastAsia="Times New Roman" w:hAnsi="Arial" w:cs="Arial"/>
          <w:sz w:val="24"/>
          <w:szCs w:val="24"/>
        </w:rPr>
        <w:t xml:space="preserve"> treatment, the majority of patients (86.1%) experienced </w:t>
      </w:r>
      <w:r w:rsidRPr="000B5AEF">
        <w:rPr>
          <w:rFonts w:ascii="Arial" w:eastAsia="Times New Roman" w:hAnsi="Arial" w:cs="Arial"/>
          <w:bCs/>
          <w:sz w:val="24"/>
          <w:szCs w:val="24"/>
        </w:rPr>
        <w:t>more than five painful crises per year</w:t>
      </w:r>
      <w:r w:rsidRPr="003A5D20">
        <w:rPr>
          <w:rFonts w:ascii="Arial" w:eastAsia="Times New Roman" w:hAnsi="Arial" w:cs="Arial"/>
          <w:sz w:val="24"/>
          <w:szCs w:val="24"/>
        </w:rPr>
        <w:t xml:space="preserve">, with a high mean frequency (3.83 ± 0.8). Following hydroxyurea therapy, only 6.7% continued to experience &gt;5 crises, and the majority (85%) reported ≤2 crises or none at all. The mean number of crises was reduced to </w:t>
      </w:r>
      <w:r w:rsidRPr="000B5AEF">
        <w:rPr>
          <w:rFonts w:ascii="Arial" w:eastAsia="Times New Roman" w:hAnsi="Arial" w:cs="Arial"/>
          <w:bCs/>
          <w:sz w:val="24"/>
          <w:szCs w:val="24"/>
        </w:rPr>
        <w:t>1.80 ± 0.9</w:t>
      </w:r>
      <w:r w:rsidRPr="003A5D20">
        <w:rPr>
          <w:rFonts w:ascii="Arial" w:eastAsia="Times New Roman" w:hAnsi="Arial" w:cs="Arial"/>
          <w:sz w:val="24"/>
          <w:szCs w:val="24"/>
        </w:rPr>
        <w:t xml:space="preserve">, a statistically and clinically significant change (t = 28.25, p &lt; 0.001). This </w:t>
      </w:r>
      <w:r w:rsidRPr="003A5D20">
        <w:rPr>
          <w:rFonts w:ascii="Arial" w:eastAsia="Times New Roman" w:hAnsi="Arial" w:cs="Arial"/>
          <w:sz w:val="24"/>
          <w:szCs w:val="24"/>
        </w:rPr>
        <w:lastRenderedPageBreak/>
        <w:t xml:space="preserve">strongly supports hydroxyurea’s well-documented role in reducing </w:t>
      </w:r>
      <w:proofErr w:type="spellStart"/>
      <w:r w:rsidRPr="003A5D20">
        <w:rPr>
          <w:rFonts w:ascii="Arial" w:eastAsia="Times New Roman" w:hAnsi="Arial" w:cs="Arial"/>
          <w:sz w:val="24"/>
          <w:szCs w:val="24"/>
        </w:rPr>
        <w:t>vaso</w:t>
      </w:r>
      <w:proofErr w:type="spellEnd"/>
      <w:r w:rsidRPr="003A5D20">
        <w:rPr>
          <w:rFonts w:ascii="Arial" w:eastAsia="Times New Roman" w:hAnsi="Arial" w:cs="Arial"/>
          <w:sz w:val="24"/>
          <w:szCs w:val="24"/>
        </w:rPr>
        <w:t>-occlusive episodes.</w:t>
      </w:r>
    </w:p>
    <w:p w:rsidR="00765883" w:rsidRPr="003A5D20" w:rsidRDefault="00765883" w:rsidP="00765883">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 xml:space="preserve">Hospitalizations: </w:t>
      </w:r>
      <w:r w:rsidRPr="003A5D20">
        <w:rPr>
          <w:rFonts w:ascii="Arial" w:eastAsia="Times New Roman" w:hAnsi="Arial" w:cs="Arial"/>
          <w:sz w:val="24"/>
          <w:szCs w:val="24"/>
        </w:rPr>
        <w:t xml:space="preserve">There was a dramatic reduction in hospitalization rates. Before treatment, 75% of patients required at least three hospital admissions annually. After treatment, </w:t>
      </w:r>
      <w:r w:rsidRPr="000B5AEF">
        <w:rPr>
          <w:rFonts w:ascii="Arial" w:eastAsia="Times New Roman" w:hAnsi="Arial" w:cs="Arial"/>
          <w:bCs/>
          <w:sz w:val="24"/>
          <w:szCs w:val="24"/>
        </w:rPr>
        <w:t>80.3% of patients had no hospitalizations</w:t>
      </w:r>
      <w:r w:rsidRPr="003A5D20">
        <w:rPr>
          <w:rFonts w:ascii="Arial" w:eastAsia="Times New Roman" w:hAnsi="Arial" w:cs="Arial"/>
          <w:sz w:val="24"/>
          <w:szCs w:val="24"/>
        </w:rPr>
        <w:t xml:space="preserve">, with the mean frequency falling from 3.09 to </w:t>
      </w:r>
      <w:r w:rsidRPr="000B5AEF">
        <w:rPr>
          <w:rFonts w:ascii="Arial" w:eastAsia="Times New Roman" w:hAnsi="Arial" w:cs="Arial"/>
          <w:bCs/>
          <w:sz w:val="24"/>
          <w:szCs w:val="24"/>
        </w:rPr>
        <w:t>1.20 ± 0.5</w:t>
      </w:r>
      <w:r w:rsidRPr="003A5D20">
        <w:rPr>
          <w:rFonts w:ascii="Arial" w:eastAsia="Times New Roman" w:hAnsi="Arial" w:cs="Arial"/>
          <w:sz w:val="24"/>
          <w:szCs w:val="24"/>
        </w:rPr>
        <w:t>. This not only highlights the therapeutic efficacy but also suggests a substantial reduction in healthcare utilization and burden on the health system (t = 35.07, p &lt; 0.001).</w:t>
      </w:r>
    </w:p>
    <w:p w:rsidR="00765883" w:rsidRPr="000B5AEF" w:rsidRDefault="00765883" w:rsidP="00765883">
      <w:pPr>
        <w:spacing w:before="100" w:beforeAutospacing="1" w:after="100" w:afterAutospacing="1" w:line="360" w:lineRule="auto"/>
        <w:ind w:left="432"/>
        <w:jc w:val="both"/>
        <w:rPr>
          <w:rFonts w:ascii="Arial" w:eastAsia="Times New Roman" w:hAnsi="Arial" w:cs="Arial"/>
          <w:sz w:val="24"/>
          <w:szCs w:val="24"/>
        </w:rPr>
      </w:pPr>
      <w:r w:rsidRPr="000B5AEF">
        <w:rPr>
          <w:rFonts w:ascii="Arial" w:eastAsia="Times New Roman" w:hAnsi="Arial" w:cs="Arial"/>
          <w:bCs/>
          <w:sz w:val="24"/>
          <w:szCs w:val="24"/>
        </w:rPr>
        <w:t xml:space="preserve">Blood Transfusions: </w:t>
      </w:r>
      <w:r w:rsidRPr="003A5D20">
        <w:rPr>
          <w:rFonts w:ascii="Arial" w:eastAsia="Times New Roman" w:hAnsi="Arial" w:cs="Arial"/>
          <w:sz w:val="24"/>
          <w:szCs w:val="24"/>
        </w:rPr>
        <w:t xml:space="preserve">Transfusion dependency, a common issue in SCD management, was significantly mitigated. Pre-treatment data show that </w:t>
      </w:r>
      <w:r w:rsidRPr="000B5AEF">
        <w:rPr>
          <w:rFonts w:ascii="Arial" w:eastAsia="Times New Roman" w:hAnsi="Arial" w:cs="Arial"/>
          <w:bCs/>
          <w:sz w:val="24"/>
          <w:szCs w:val="24"/>
        </w:rPr>
        <w:t>46% of patients required ≥3 transfusions per year</w:t>
      </w:r>
      <w:r w:rsidRPr="003A5D20">
        <w:rPr>
          <w:rFonts w:ascii="Arial" w:eastAsia="Times New Roman" w:hAnsi="Arial" w:cs="Arial"/>
          <w:sz w:val="24"/>
          <w:szCs w:val="24"/>
        </w:rPr>
        <w:t xml:space="preserve">, compared to only </w:t>
      </w:r>
      <w:r w:rsidRPr="000B5AEF">
        <w:rPr>
          <w:rFonts w:ascii="Arial" w:eastAsia="Times New Roman" w:hAnsi="Arial" w:cs="Arial"/>
          <w:bCs/>
          <w:sz w:val="24"/>
          <w:szCs w:val="24"/>
        </w:rPr>
        <w:t>1.7% post-treatment</w:t>
      </w:r>
      <w:r w:rsidRPr="003A5D20">
        <w:rPr>
          <w:rFonts w:ascii="Arial" w:eastAsia="Times New Roman" w:hAnsi="Arial" w:cs="Arial"/>
          <w:sz w:val="24"/>
          <w:szCs w:val="24"/>
        </w:rPr>
        <w:t xml:space="preserve">. Notably, </w:t>
      </w:r>
      <w:r w:rsidRPr="000B5AEF">
        <w:rPr>
          <w:rFonts w:ascii="Arial" w:eastAsia="Times New Roman" w:hAnsi="Arial" w:cs="Arial"/>
          <w:bCs/>
          <w:sz w:val="24"/>
          <w:szCs w:val="24"/>
        </w:rPr>
        <w:t>88.3% required no transfusions</w:t>
      </w:r>
      <w:r w:rsidRPr="003A5D20">
        <w:rPr>
          <w:rFonts w:ascii="Arial" w:eastAsia="Times New Roman" w:hAnsi="Arial" w:cs="Arial"/>
          <w:sz w:val="24"/>
          <w:szCs w:val="24"/>
        </w:rPr>
        <w:t xml:space="preserve"> after treatment, and the mean number dropped from 2.49 ± 0.9 to 1.11 ± 0.3 (t = 44.4, p &lt; 0.001). This is important not only </w:t>
      </w:r>
      <w:r>
        <w:rPr>
          <w:rFonts w:ascii="Arial" w:eastAsia="Times New Roman" w:hAnsi="Arial" w:cs="Arial"/>
          <w:sz w:val="24"/>
          <w:szCs w:val="24"/>
        </w:rPr>
        <w:t>for reducing the risk of iron overload but also for minimizing complications of alloimmunization</w:t>
      </w:r>
      <w:r w:rsidRPr="003A5D20">
        <w:rPr>
          <w:rFonts w:ascii="Arial" w:eastAsia="Times New Roman" w:hAnsi="Arial" w:cs="Arial"/>
          <w:sz w:val="24"/>
          <w:szCs w:val="24"/>
        </w:rPr>
        <w:t>.</w:t>
      </w:r>
    </w:p>
    <w:p w:rsidR="00765883" w:rsidRDefault="00765883" w:rsidP="00765883">
      <w:pPr>
        <w:spacing w:before="100" w:beforeAutospacing="1" w:after="100" w:afterAutospacing="1" w:line="360" w:lineRule="auto"/>
        <w:ind w:left="432"/>
        <w:jc w:val="both"/>
        <w:rPr>
          <w:rFonts w:ascii="Arial" w:hAnsi="Arial" w:cs="Arial"/>
          <w:sz w:val="24"/>
          <w:szCs w:val="24"/>
        </w:rPr>
      </w:pPr>
      <w:r w:rsidRPr="000B5AEF">
        <w:rPr>
          <w:rFonts w:ascii="Arial" w:eastAsia="Times New Roman" w:hAnsi="Arial" w:cs="Arial"/>
          <w:bCs/>
          <w:sz w:val="24"/>
          <w:szCs w:val="24"/>
        </w:rPr>
        <w:t xml:space="preserve">Subjective Well-being: </w:t>
      </w:r>
      <w:r w:rsidRPr="003A5D20">
        <w:rPr>
          <w:rFonts w:ascii="Arial" w:eastAsia="Times New Roman" w:hAnsi="Arial" w:cs="Arial"/>
          <w:sz w:val="24"/>
          <w:szCs w:val="24"/>
        </w:rPr>
        <w:t xml:space="preserve">Patient-reported outcomes also improved markedly. Before hydroxyurea, nearly two-thirds of patients reported </w:t>
      </w:r>
      <w:r w:rsidRPr="000B5AEF">
        <w:rPr>
          <w:rFonts w:ascii="Arial" w:eastAsia="Times New Roman" w:hAnsi="Arial" w:cs="Arial"/>
          <w:bCs/>
          <w:sz w:val="24"/>
          <w:szCs w:val="24"/>
        </w:rPr>
        <w:t>no improvement or worsening in well-being</w:t>
      </w:r>
      <w:r w:rsidRPr="003A5D20">
        <w:rPr>
          <w:rFonts w:ascii="Arial" w:eastAsia="Times New Roman" w:hAnsi="Arial" w:cs="Arial"/>
          <w:sz w:val="24"/>
          <w:szCs w:val="24"/>
        </w:rPr>
        <w:t xml:space="preserve">. Post-treatment, </w:t>
      </w:r>
      <w:r w:rsidRPr="000B5AEF">
        <w:rPr>
          <w:rFonts w:ascii="Arial" w:eastAsia="Times New Roman" w:hAnsi="Arial" w:cs="Arial"/>
          <w:bCs/>
          <w:sz w:val="24"/>
          <w:szCs w:val="24"/>
        </w:rPr>
        <w:t>88.4% reported feeling “better” or “much better”</w:t>
      </w:r>
      <w:r w:rsidRPr="003A5D20">
        <w:rPr>
          <w:rFonts w:ascii="Arial" w:eastAsia="Times New Roman" w:hAnsi="Arial" w:cs="Arial"/>
          <w:sz w:val="24"/>
          <w:szCs w:val="24"/>
        </w:rPr>
        <w:t xml:space="preserve">, with the well-being score improving from 3.1 to </w:t>
      </w:r>
      <w:r w:rsidRPr="000B5AEF">
        <w:rPr>
          <w:rFonts w:ascii="Arial" w:eastAsia="Times New Roman" w:hAnsi="Arial" w:cs="Arial"/>
          <w:bCs/>
          <w:sz w:val="24"/>
          <w:szCs w:val="24"/>
        </w:rPr>
        <w:t>4.4 ± 0.8</w:t>
      </w:r>
      <w:r w:rsidRPr="003A5D20">
        <w:rPr>
          <w:rFonts w:ascii="Arial" w:eastAsia="Times New Roman" w:hAnsi="Arial" w:cs="Arial"/>
          <w:sz w:val="24"/>
          <w:szCs w:val="24"/>
        </w:rPr>
        <w:t xml:space="preserve"> (t = 69.1, p &lt; 0.001). This underscores the quality-of-life benefits of hydroxyurea and suggests positive psychosocial impacts beyond hematologic stabilization.</w:t>
      </w:r>
      <w:r w:rsidRPr="000B5AEF">
        <w:rPr>
          <w:rFonts w:ascii="Arial" w:hAnsi="Arial" w:cs="Arial"/>
          <w:sz w:val="24"/>
          <w:szCs w:val="24"/>
        </w:rPr>
        <w:t xml:space="preserve"> </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Hydroxyurea therapy significantly enhanced patients’ perceived quality of life, likely due to reduced pain, fewer hospital visits, and improved overall well-being.</w:t>
      </w:r>
    </w:p>
    <w:p w:rsidR="00765883" w:rsidRPr="000B5AEF" w:rsidRDefault="00765883" w:rsidP="00765883">
      <w:pPr>
        <w:spacing w:before="100" w:beforeAutospacing="1" w:after="100" w:afterAutospacing="1" w:line="360" w:lineRule="auto"/>
        <w:ind w:left="432"/>
        <w:jc w:val="both"/>
        <w:rPr>
          <w:rFonts w:ascii="Arial" w:eastAsia="Times New Roman" w:hAnsi="Arial" w:cs="Arial"/>
          <w:sz w:val="24"/>
          <w:szCs w:val="24"/>
        </w:rPr>
      </w:pPr>
    </w:p>
    <w:p w:rsidR="00765883" w:rsidRPr="000B5AEF" w:rsidRDefault="00765883" w:rsidP="00765883">
      <w:pPr>
        <w:pStyle w:val="NormalWeb"/>
        <w:spacing w:line="360" w:lineRule="auto"/>
        <w:jc w:val="both"/>
        <w:rPr>
          <w:rFonts w:ascii="Arial" w:hAnsi="Arial" w:cs="Arial"/>
        </w:rPr>
      </w:pPr>
      <w:r w:rsidRPr="000B5AEF">
        <w:rPr>
          <w:rFonts w:ascii="Arial" w:hAnsi="Arial" w:cs="Arial"/>
        </w:rPr>
        <w:t xml:space="preserve">  </w:t>
      </w:r>
    </w:p>
    <w:p w:rsidR="00765883" w:rsidRPr="005F5B23" w:rsidRDefault="00765883" w:rsidP="00765883">
      <w:pPr>
        <w:pStyle w:val="Heading2"/>
        <w:spacing w:line="360" w:lineRule="auto"/>
        <w:jc w:val="both"/>
        <w:rPr>
          <w:rFonts w:ascii="Arial" w:hAnsi="Arial" w:cs="Arial"/>
          <w:b/>
          <w:color w:val="000000" w:themeColor="text1"/>
          <w:sz w:val="24"/>
          <w:szCs w:val="24"/>
        </w:rPr>
      </w:pPr>
      <w:r w:rsidRPr="005F5B23">
        <w:rPr>
          <w:rFonts w:ascii="Arial" w:hAnsi="Arial" w:cs="Arial"/>
          <w:b/>
          <w:color w:val="000000" w:themeColor="text1"/>
          <w:sz w:val="24"/>
          <w:szCs w:val="24"/>
        </w:rPr>
        <w:lastRenderedPageBreak/>
        <w:t xml:space="preserve">  Table 3</w:t>
      </w:r>
      <w:bookmarkStart w:id="6" w:name="_Toc202934400"/>
      <w:r>
        <w:rPr>
          <w:rFonts w:ascii="Arial" w:hAnsi="Arial" w:cs="Arial"/>
          <w:b/>
          <w:color w:val="000000" w:themeColor="text1"/>
          <w:sz w:val="24"/>
          <w:szCs w:val="24"/>
        </w:rPr>
        <w:t>:</w:t>
      </w:r>
      <w:r w:rsidRPr="005F5B23">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Haematological</w:t>
      </w:r>
      <w:proofErr w:type="spellEnd"/>
      <w:r w:rsidRPr="005F5B23">
        <w:rPr>
          <w:rFonts w:ascii="Arial" w:hAnsi="Arial" w:cs="Arial"/>
          <w:b/>
          <w:color w:val="000000" w:themeColor="text1"/>
          <w:sz w:val="24"/>
          <w:szCs w:val="24"/>
        </w:rPr>
        <w:t xml:space="preserve"> response of Hydroxyurea treatment in SCD </w:t>
      </w:r>
      <w:r>
        <w:rPr>
          <w:rFonts w:ascii="Arial" w:hAnsi="Arial" w:cs="Arial"/>
          <w:b/>
          <w:color w:val="000000" w:themeColor="text1"/>
          <w:sz w:val="24"/>
          <w:szCs w:val="24"/>
        </w:rPr>
        <w:t>patients</w:t>
      </w:r>
      <w:r w:rsidRPr="005F5B23">
        <w:rPr>
          <w:rFonts w:ascii="Arial" w:hAnsi="Arial" w:cs="Arial"/>
          <w:b/>
          <w:color w:val="000000" w:themeColor="text1"/>
          <w:sz w:val="24"/>
          <w:szCs w:val="24"/>
        </w:rPr>
        <w:t xml:space="preserve"> attending </w:t>
      </w:r>
      <w:r>
        <w:rPr>
          <w:rFonts w:ascii="Arial" w:hAnsi="Arial" w:cs="Arial"/>
          <w:b/>
          <w:color w:val="000000" w:themeColor="text1"/>
          <w:sz w:val="24"/>
          <w:szCs w:val="24"/>
        </w:rPr>
        <w:t xml:space="preserve">the </w:t>
      </w:r>
      <w:proofErr w:type="spellStart"/>
      <w:r>
        <w:rPr>
          <w:rFonts w:ascii="Arial" w:hAnsi="Arial" w:cs="Arial"/>
          <w:b/>
          <w:color w:val="000000" w:themeColor="text1"/>
          <w:sz w:val="24"/>
          <w:szCs w:val="24"/>
        </w:rPr>
        <w:t>Haematology</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w:t>
      </w:r>
      <w:bookmarkEnd w:id="6"/>
    </w:p>
    <w:tbl>
      <w:tblPr>
        <w:tblStyle w:val="TableGridLight1"/>
        <w:tblW w:w="1008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350"/>
        <w:gridCol w:w="1170"/>
        <w:gridCol w:w="1440"/>
        <w:gridCol w:w="1170"/>
        <w:gridCol w:w="1170"/>
        <w:gridCol w:w="900"/>
      </w:tblGrid>
      <w:tr w:rsidR="00765883" w:rsidRPr="005F5B23" w:rsidTr="00B7333C">
        <w:trPr>
          <w:trHeight w:val="1700"/>
        </w:trPr>
        <w:tc>
          <w:tcPr>
            <w:tcW w:w="2880" w:type="dxa"/>
            <w:gridSpan w:val="2"/>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PARAMETER</w:t>
            </w:r>
          </w:p>
        </w:tc>
        <w:tc>
          <w:tcPr>
            <w:tcW w:w="135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 before treatment</w:t>
            </w: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Pre-treatment(Mean ± SD)</w:t>
            </w:r>
          </w:p>
        </w:tc>
        <w:tc>
          <w:tcPr>
            <w:tcW w:w="144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Frequency</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(Percentage)</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after treatment</w:t>
            </w: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Post-treatment(Mean ± SD)</w:t>
            </w: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t-test</w:t>
            </w:r>
          </w:p>
        </w:tc>
        <w:tc>
          <w:tcPr>
            <w:tcW w:w="90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p-value</w:t>
            </w:r>
          </w:p>
        </w:tc>
      </w:tr>
      <w:tr w:rsidR="00765883" w:rsidRPr="005F5B23" w:rsidTr="00B7333C">
        <w:trPr>
          <w:trHeight w:val="1700"/>
        </w:trPr>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Hb level (g/dl)</w:t>
            </w: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3-3.9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5-5.9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6-6.9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7-7.9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8-8.0</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9-9.9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10-10.9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11-11.9</w:t>
            </w:r>
          </w:p>
          <w:p w:rsidR="00765883" w:rsidRPr="005F5B23" w:rsidRDefault="00765883" w:rsidP="00B7333C">
            <w:pPr>
              <w:spacing w:line="360" w:lineRule="auto"/>
              <w:jc w:val="both"/>
              <w:rPr>
                <w:rFonts w:ascii="Arial" w:hAnsi="Arial" w:cs="Arial"/>
                <w:sz w:val="24"/>
                <w:szCs w:val="24"/>
              </w:rPr>
            </w:pPr>
          </w:p>
        </w:tc>
        <w:tc>
          <w:tcPr>
            <w:tcW w:w="135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 (2.2%)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17 (9.4%)</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33 (18.3%)</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67 (37.2%)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44 (24.5%)</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13 (7.2%)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2 </w:t>
            </w:r>
            <w:proofErr w:type="gramStart"/>
            <w:r w:rsidRPr="005F5B23">
              <w:rPr>
                <w:rFonts w:ascii="Arial" w:hAnsi="Arial" w:cs="Arial"/>
                <w:sz w:val="24"/>
                <w:szCs w:val="24"/>
              </w:rPr>
              <w:t xml:space="preserve">   (</w:t>
            </w:r>
            <w:proofErr w:type="gramEnd"/>
            <w:r w:rsidRPr="005F5B23">
              <w:rPr>
                <w:rFonts w:ascii="Arial" w:hAnsi="Arial" w:cs="Arial"/>
                <w:sz w:val="24"/>
                <w:szCs w:val="24"/>
              </w:rPr>
              <w:t>1.2%)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b/>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sz w:val="24"/>
                <w:szCs w:val="24"/>
              </w:rPr>
            </w:pPr>
          </w:p>
        </w:tc>
        <w:tc>
          <w:tcPr>
            <w:tcW w:w="117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5.49 ± 1.2</w:t>
            </w:r>
          </w:p>
          <w:p w:rsidR="00765883" w:rsidRPr="005F5B23" w:rsidRDefault="00765883" w:rsidP="00B7333C">
            <w:pPr>
              <w:spacing w:line="360" w:lineRule="auto"/>
              <w:jc w:val="both"/>
              <w:rPr>
                <w:rFonts w:ascii="Arial" w:hAnsi="Arial" w:cs="Arial"/>
                <w:sz w:val="24"/>
                <w:szCs w:val="24"/>
              </w:rPr>
            </w:pPr>
          </w:p>
        </w:tc>
        <w:tc>
          <w:tcPr>
            <w:tcW w:w="144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 xml:space="preserve">       ----</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w:t>
            </w:r>
            <w:proofErr w:type="gramStart"/>
            <w:r w:rsidRPr="005F5B23">
              <w:rPr>
                <w:rFonts w:ascii="Arial" w:hAnsi="Arial" w:cs="Arial"/>
                <w:sz w:val="24"/>
                <w:szCs w:val="24"/>
              </w:rPr>
              <w:t xml:space="preserve">   (</w:t>
            </w:r>
            <w:proofErr w:type="gramEnd"/>
            <w:r w:rsidRPr="005F5B23">
              <w:rPr>
                <w:rFonts w:ascii="Arial" w:hAnsi="Arial" w:cs="Arial"/>
                <w:sz w:val="24"/>
                <w:szCs w:val="24"/>
              </w:rPr>
              <w:t>0.6%)</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16</w:t>
            </w:r>
            <w:proofErr w:type="gramStart"/>
            <w:r w:rsidRPr="005F5B23">
              <w:rPr>
                <w:rFonts w:ascii="Arial" w:hAnsi="Arial" w:cs="Arial"/>
                <w:sz w:val="24"/>
                <w:szCs w:val="24"/>
              </w:rPr>
              <w:t xml:space="preserve">   (</w:t>
            </w:r>
            <w:proofErr w:type="gramEnd"/>
            <w:r w:rsidRPr="005F5B23">
              <w:rPr>
                <w:rFonts w:ascii="Arial" w:hAnsi="Arial" w:cs="Arial"/>
                <w:sz w:val="24"/>
                <w:szCs w:val="24"/>
              </w:rPr>
              <w:t>8.9%)</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47 (26.2%)</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76 (42.1%)</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32 (17.8%)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7</w:t>
            </w:r>
            <w:proofErr w:type="gramStart"/>
            <w:r w:rsidRPr="005F5B23">
              <w:rPr>
                <w:rFonts w:ascii="Arial" w:hAnsi="Arial" w:cs="Arial"/>
                <w:sz w:val="24"/>
                <w:szCs w:val="24"/>
              </w:rPr>
              <w:t xml:space="preserve">   (</w:t>
            </w:r>
            <w:proofErr w:type="gramEnd"/>
            <w:r w:rsidRPr="005F5B23">
              <w:rPr>
                <w:rFonts w:ascii="Arial" w:hAnsi="Arial" w:cs="Arial"/>
                <w:sz w:val="24"/>
                <w:szCs w:val="24"/>
              </w:rPr>
              <w:t>3.8%)</w:t>
            </w:r>
          </w:p>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w:t>
            </w:r>
            <w:proofErr w:type="gramStart"/>
            <w:r w:rsidRPr="005F5B23">
              <w:rPr>
                <w:rFonts w:ascii="Arial" w:hAnsi="Arial" w:cs="Arial"/>
                <w:sz w:val="24"/>
                <w:szCs w:val="24"/>
              </w:rPr>
              <w:t xml:space="preserve">   (</w:t>
            </w:r>
            <w:proofErr w:type="gramEnd"/>
            <w:r w:rsidRPr="005F5B23">
              <w:rPr>
                <w:rFonts w:ascii="Arial" w:hAnsi="Arial" w:cs="Arial"/>
                <w:sz w:val="24"/>
                <w:szCs w:val="24"/>
              </w:rPr>
              <w:t>0.6%)</w:t>
            </w:r>
          </w:p>
          <w:p w:rsidR="00765883" w:rsidRPr="005F5B23" w:rsidRDefault="00765883" w:rsidP="00B7333C">
            <w:pPr>
              <w:spacing w:line="360" w:lineRule="auto"/>
              <w:jc w:val="both"/>
              <w:rPr>
                <w:rFonts w:ascii="Arial" w:hAnsi="Arial" w:cs="Arial"/>
                <w:sz w:val="24"/>
                <w:szCs w:val="24"/>
              </w:rPr>
            </w:pPr>
          </w:p>
        </w:tc>
        <w:tc>
          <w:tcPr>
            <w:tcW w:w="117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7.82 ± 1.0</w:t>
            </w:r>
          </w:p>
          <w:p w:rsidR="00765883" w:rsidRPr="005F5B23" w:rsidRDefault="00765883" w:rsidP="00B7333C">
            <w:pPr>
              <w:spacing w:line="360" w:lineRule="auto"/>
              <w:jc w:val="both"/>
              <w:rPr>
                <w:rFonts w:ascii="Arial" w:hAnsi="Arial" w:cs="Arial"/>
                <w:sz w:val="24"/>
                <w:szCs w:val="24"/>
              </w:rPr>
            </w:pPr>
          </w:p>
        </w:tc>
        <w:tc>
          <w:tcPr>
            <w:tcW w:w="1170" w:type="dxa"/>
          </w:tcPr>
          <w:p w:rsidR="00765883" w:rsidRPr="005F5B23" w:rsidRDefault="00765883" w:rsidP="00B7333C">
            <w:pPr>
              <w:spacing w:line="360" w:lineRule="auto"/>
              <w:jc w:val="both"/>
              <w:rPr>
                <w:rFonts w:ascii="Arial" w:hAnsi="Arial" w:cs="Arial"/>
                <w:sz w:val="24"/>
                <w:szCs w:val="24"/>
              </w:rPr>
            </w:pPr>
            <w:r w:rsidRPr="005F5B23">
              <w:rPr>
                <w:rFonts w:ascii="Arial" w:hAnsi="Arial" w:cs="Arial"/>
                <w:sz w:val="24"/>
                <w:szCs w:val="24"/>
              </w:rPr>
              <w:t>101.8</w:t>
            </w:r>
          </w:p>
        </w:tc>
        <w:tc>
          <w:tcPr>
            <w:tcW w:w="900" w:type="dxa"/>
          </w:tcPr>
          <w:p w:rsidR="00765883" w:rsidRPr="005F5B23" w:rsidRDefault="00765883" w:rsidP="00B7333C">
            <w:pPr>
              <w:spacing w:line="360" w:lineRule="auto"/>
              <w:jc w:val="both"/>
              <w:rPr>
                <w:rFonts w:ascii="Arial" w:hAnsi="Arial" w:cs="Arial"/>
                <w:b/>
                <w:sz w:val="24"/>
                <w:szCs w:val="24"/>
              </w:rPr>
            </w:pPr>
            <w:r w:rsidRPr="005F5B23">
              <w:rPr>
                <w:rFonts w:ascii="Arial" w:hAnsi="Arial" w:cs="Arial"/>
                <w:b/>
                <w:sz w:val="24"/>
                <w:szCs w:val="24"/>
              </w:rPr>
              <w:t xml:space="preserve">&lt;0.001 </w:t>
            </w:r>
          </w:p>
          <w:p w:rsidR="00765883" w:rsidRPr="005F5B23" w:rsidRDefault="00765883" w:rsidP="00B7333C">
            <w:pPr>
              <w:spacing w:line="360" w:lineRule="auto"/>
              <w:jc w:val="both"/>
              <w:rPr>
                <w:rFonts w:ascii="Arial" w:hAnsi="Arial" w:cs="Arial"/>
                <w:sz w:val="24"/>
                <w:szCs w:val="24"/>
              </w:rPr>
            </w:pPr>
          </w:p>
        </w:tc>
      </w:tr>
    </w:tbl>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P-value &lt;0.05 (</w:t>
      </w:r>
      <w:r>
        <w:rPr>
          <w:rFonts w:ascii="Arial" w:hAnsi="Arial" w:cs="Arial"/>
          <w:sz w:val="24"/>
          <w:szCs w:val="24"/>
        </w:rPr>
        <w:t>Statistically</w:t>
      </w:r>
      <w:r w:rsidRPr="005F5B23">
        <w:rPr>
          <w:rFonts w:ascii="Arial" w:hAnsi="Arial" w:cs="Arial"/>
          <w:sz w:val="24"/>
          <w:szCs w:val="24"/>
        </w:rPr>
        <w:t xml:space="preserve"> significant)</w:t>
      </w:r>
    </w:p>
    <w:p w:rsidR="00765883" w:rsidRPr="005F5B23" w:rsidRDefault="00765883" w:rsidP="00765883">
      <w:pPr>
        <w:spacing w:line="360" w:lineRule="auto"/>
        <w:jc w:val="both"/>
        <w:rPr>
          <w:rFonts w:ascii="Arial" w:hAnsi="Arial" w:cs="Arial"/>
          <w:sz w:val="24"/>
          <w:szCs w:val="24"/>
        </w:rPr>
      </w:pPr>
      <w:r w:rsidRPr="005F5B23">
        <w:rPr>
          <w:rFonts w:ascii="Arial" w:hAnsi="Arial" w:cs="Arial"/>
          <w:bCs/>
          <w:sz w:val="24"/>
          <w:szCs w:val="24"/>
        </w:rPr>
        <w:t xml:space="preserve">Before treatment, </w:t>
      </w:r>
      <w:r>
        <w:rPr>
          <w:rFonts w:ascii="Arial" w:hAnsi="Arial" w:cs="Arial"/>
          <w:sz w:val="24"/>
          <w:szCs w:val="24"/>
        </w:rPr>
        <w:t xml:space="preserve">a large proportion of patients had dangerously low Hb levels. </w:t>
      </w:r>
      <w:r>
        <w:rPr>
          <w:rFonts w:ascii="Arial" w:hAnsi="Arial" w:cs="Arial"/>
          <w:bCs/>
          <w:sz w:val="24"/>
          <w:szCs w:val="24"/>
        </w:rPr>
        <w:t>3.7</w:t>
      </w:r>
      <w:r w:rsidRPr="005F5B23">
        <w:rPr>
          <w:rFonts w:ascii="Arial" w:hAnsi="Arial" w:cs="Arial"/>
          <w:bCs/>
          <w:sz w:val="24"/>
          <w:szCs w:val="24"/>
        </w:rPr>
        <w:t>2%</w:t>
      </w:r>
      <w:r w:rsidRPr="005F5B23">
        <w:rPr>
          <w:rFonts w:ascii="Arial" w:hAnsi="Arial" w:cs="Arial"/>
          <w:sz w:val="24"/>
          <w:szCs w:val="24"/>
        </w:rPr>
        <w:t xml:space="preserve"> had Hb between </w:t>
      </w:r>
      <w:r w:rsidRPr="005F5B23">
        <w:rPr>
          <w:rFonts w:ascii="Arial" w:hAnsi="Arial" w:cs="Arial"/>
          <w:bCs/>
          <w:sz w:val="24"/>
          <w:szCs w:val="24"/>
        </w:rPr>
        <w:t>6–6.9 g/dL</w:t>
      </w:r>
      <w:r w:rsidRPr="005F5B23">
        <w:rPr>
          <w:rFonts w:ascii="Arial" w:hAnsi="Arial" w:cs="Arial"/>
          <w:sz w:val="24"/>
          <w:szCs w:val="24"/>
        </w:rPr>
        <w:t>.</w:t>
      </w:r>
      <w:r w:rsidRPr="005F5B23">
        <w:rPr>
          <w:rFonts w:ascii="Arial" w:hAnsi="Arial" w:cs="Arial"/>
          <w:bCs/>
          <w:sz w:val="24"/>
          <w:szCs w:val="24"/>
        </w:rPr>
        <w:t>18.3%</w:t>
      </w:r>
      <w:r w:rsidRPr="005F5B23">
        <w:rPr>
          <w:rFonts w:ascii="Arial" w:hAnsi="Arial" w:cs="Arial"/>
          <w:sz w:val="24"/>
          <w:szCs w:val="24"/>
        </w:rPr>
        <w:t xml:space="preserve"> were even lower at </w:t>
      </w:r>
      <w:r w:rsidRPr="005F5B23">
        <w:rPr>
          <w:rFonts w:ascii="Arial" w:hAnsi="Arial" w:cs="Arial"/>
          <w:bCs/>
          <w:sz w:val="24"/>
          <w:szCs w:val="24"/>
        </w:rPr>
        <w:t>5–5.9 g/dL</w:t>
      </w:r>
      <w:r w:rsidRPr="005F5B23">
        <w:rPr>
          <w:rFonts w:ascii="Arial" w:hAnsi="Arial" w:cs="Arial"/>
          <w:sz w:val="24"/>
          <w:szCs w:val="24"/>
        </w:rPr>
        <w:t>. Smaller but concerning groups had Hb below 5 g/dL</w:t>
      </w:r>
      <w:r>
        <w:rPr>
          <w:rFonts w:ascii="Arial" w:hAnsi="Arial" w:cs="Arial"/>
          <w:sz w:val="24"/>
          <w:szCs w:val="24"/>
        </w:rPr>
        <w:t>,</w:t>
      </w:r>
      <w:r w:rsidRPr="005F5B23">
        <w:rPr>
          <w:rFonts w:ascii="Arial" w:hAnsi="Arial" w:cs="Arial"/>
          <w:sz w:val="24"/>
          <w:szCs w:val="24"/>
        </w:rPr>
        <w:t xml:space="preserve"> with </w:t>
      </w:r>
      <w:r w:rsidRPr="005F5B23">
        <w:rPr>
          <w:rFonts w:ascii="Arial" w:hAnsi="Arial" w:cs="Arial"/>
          <w:bCs/>
          <w:sz w:val="24"/>
          <w:szCs w:val="24"/>
        </w:rPr>
        <w:t>2.2%</w:t>
      </w:r>
      <w:r w:rsidRPr="005F5B23">
        <w:rPr>
          <w:rFonts w:ascii="Arial" w:hAnsi="Arial" w:cs="Arial"/>
          <w:sz w:val="24"/>
          <w:szCs w:val="24"/>
        </w:rPr>
        <w:t xml:space="preserve"> as low as </w:t>
      </w:r>
      <w:r w:rsidRPr="005F5B23">
        <w:rPr>
          <w:rFonts w:ascii="Arial" w:hAnsi="Arial" w:cs="Arial"/>
          <w:bCs/>
          <w:sz w:val="24"/>
          <w:szCs w:val="24"/>
        </w:rPr>
        <w:t xml:space="preserve">3–3.9 g/dL. </w:t>
      </w:r>
      <w:r w:rsidRPr="005F5B23">
        <w:rPr>
          <w:rFonts w:ascii="Arial" w:hAnsi="Arial" w:cs="Arial"/>
          <w:sz w:val="24"/>
          <w:szCs w:val="24"/>
        </w:rPr>
        <w:t xml:space="preserve">Only </w:t>
      </w:r>
      <w:r w:rsidRPr="005F5B23">
        <w:rPr>
          <w:rFonts w:ascii="Arial" w:hAnsi="Arial" w:cs="Arial"/>
          <w:bCs/>
          <w:sz w:val="24"/>
          <w:szCs w:val="24"/>
        </w:rPr>
        <w:t>1.2%</w:t>
      </w:r>
      <w:r w:rsidRPr="005F5B23">
        <w:rPr>
          <w:rFonts w:ascii="Arial" w:hAnsi="Arial" w:cs="Arial"/>
          <w:sz w:val="24"/>
          <w:szCs w:val="24"/>
        </w:rPr>
        <w:t xml:space="preserve"> had Hb in the </w:t>
      </w:r>
      <w:r w:rsidRPr="005F5B23">
        <w:rPr>
          <w:rFonts w:ascii="Arial" w:hAnsi="Arial" w:cs="Arial"/>
          <w:bCs/>
          <w:sz w:val="24"/>
          <w:szCs w:val="24"/>
        </w:rPr>
        <w:t>9–9.9 g/dL</w:t>
      </w:r>
      <w:r w:rsidRPr="005F5B23">
        <w:rPr>
          <w:rFonts w:ascii="Arial" w:hAnsi="Arial" w:cs="Arial"/>
          <w:sz w:val="24"/>
          <w:szCs w:val="24"/>
        </w:rPr>
        <w:t xml:space="preserve"> range, with no patients recorded above 10 g/dL. This result accounts for the mean Hb level of</w:t>
      </w:r>
      <w:r w:rsidRPr="005F5B23">
        <w:rPr>
          <w:rFonts w:ascii="Arial" w:hAnsi="Arial" w:cs="Arial"/>
          <w:bCs/>
          <w:sz w:val="24"/>
          <w:szCs w:val="24"/>
        </w:rPr>
        <w:t xml:space="preserve"> (5.49 ± 1.2 g/dL)</w:t>
      </w:r>
    </w:p>
    <w:p w:rsidR="00765883" w:rsidRPr="005F5B23" w:rsidRDefault="00765883" w:rsidP="00765883">
      <w:pPr>
        <w:spacing w:line="360" w:lineRule="auto"/>
        <w:jc w:val="both"/>
        <w:rPr>
          <w:rFonts w:ascii="Arial" w:hAnsi="Arial" w:cs="Arial"/>
          <w:sz w:val="24"/>
          <w:szCs w:val="24"/>
        </w:rPr>
      </w:pPr>
      <w:r w:rsidRPr="005F5B23">
        <w:rPr>
          <w:rFonts w:ascii="Arial" w:hAnsi="Arial" w:cs="Arial"/>
          <w:bCs/>
          <w:sz w:val="24"/>
          <w:szCs w:val="24"/>
        </w:rPr>
        <w:t xml:space="preserve">After treatment, </w:t>
      </w:r>
      <w:r w:rsidRPr="005F5B23">
        <w:rPr>
          <w:rFonts w:ascii="Arial" w:hAnsi="Arial" w:cs="Arial"/>
          <w:sz w:val="24"/>
          <w:szCs w:val="24"/>
        </w:rPr>
        <w:t>a striking improvement was observed</w:t>
      </w:r>
      <w:r>
        <w:rPr>
          <w:rFonts w:ascii="Arial" w:hAnsi="Arial" w:cs="Arial"/>
          <w:sz w:val="24"/>
          <w:szCs w:val="24"/>
        </w:rPr>
        <w:t>;</w:t>
      </w:r>
      <w:r w:rsidRPr="005F5B23">
        <w:rPr>
          <w:rFonts w:ascii="Arial" w:hAnsi="Arial" w:cs="Arial"/>
          <w:sz w:val="24"/>
          <w:szCs w:val="24"/>
        </w:rPr>
        <w:t xml:space="preserve"> </w:t>
      </w:r>
      <w:r w:rsidRPr="005F5B23">
        <w:rPr>
          <w:rFonts w:ascii="Arial" w:hAnsi="Arial" w:cs="Arial"/>
          <w:bCs/>
          <w:sz w:val="24"/>
          <w:szCs w:val="24"/>
        </w:rPr>
        <w:t>42.1%</w:t>
      </w:r>
      <w:r w:rsidRPr="005F5B23">
        <w:rPr>
          <w:rFonts w:ascii="Arial" w:hAnsi="Arial" w:cs="Arial"/>
          <w:sz w:val="24"/>
          <w:szCs w:val="24"/>
        </w:rPr>
        <w:t xml:space="preserve"> had Hb in the </w:t>
      </w:r>
      <w:r w:rsidRPr="005F5B23">
        <w:rPr>
          <w:rFonts w:ascii="Arial" w:hAnsi="Arial" w:cs="Arial"/>
          <w:bCs/>
          <w:sz w:val="24"/>
          <w:szCs w:val="24"/>
        </w:rPr>
        <w:t>8–8.9 g/dL</w:t>
      </w:r>
      <w:r w:rsidRPr="005F5B23">
        <w:rPr>
          <w:rFonts w:ascii="Arial" w:hAnsi="Arial" w:cs="Arial"/>
          <w:sz w:val="24"/>
          <w:szCs w:val="24"/>
        </w:rPr>
        <w:t xml:space="preserve"> range.</w:t>
      </w:r>
      <w:r w:rsidRPr="005F5B23">
        <w:rPr>
          <w:rFonts w:ascii="Arial" w:hAnsi="Arial" w:cs="Arial"/>
          <w:bCs/>
          <w:sz w:val="24"/>
          <w:szCs w:val="24"/>
        </w:rPr>
        <w:t>26.2%</w:t>
      </w:r>
      <w:r w:rsidRPr="005F5B23">
        <w:rPr>
          <w:rFonts w:ascii="Arial" w:hAnsi="Arial" w:cs="Arial"/>
          <w:sz w:val="24"/>
          <w:szCs w:val="24"/>
        </w:rPr>
        <w:t xml:space="preserve"> improved to </w:t>
      </w:r>
      <w:r w:rsidRPr="005F5B23">
        <w:rPr>
          <w:rFonts w:ascii="Arial" w:hAnsi="Arial" w:cs="Arial"/>
          <w:bCs/>
          <w:sz w:val="24"/>
          <w:szCs w:val="24"/>
        </w:rPr>
        <w:t xml:space="preserve">7–7.9 g/dL. </w:t>
      </w:r>
      <w:r w:rsidRPr="005F5B23">
        <w:rPr>
          <w:rFonts w:ascii="Arial" w:hAnsi="Arial" w:cs="Arial"/>
          <w:sz w:val="24"/>
          <w:szCs w:val="24"/>
        </w:rPr>
        <w:t>A small number (</w:t>
      </w:r>
      <w:r w:rsidRPr="005F5B23">
        <w:rPr>
          <w:rFonts w:ascii="Arial" w:hAnsi="Arial" w:cs="Arial"/>
          <w:bCs/>
          <w:sz w:val="24"/>
          <w:szCs w:val="24"/>
        </w:rPr>
        <w:t>0.6%</w:t>
      </w:r>
      <w:r w:rsidRPr="005F5B23">
        <w:rPr>
          <w:rFonts w:ascii="Arial" w:hAnsi="Arial" w:cs="Arial"/>
          <w:sz w:val="24"/>
          <w:szCs w:val="24"/>
        </w:rPr>
        <w:t xml:space="preserve">) reached </w:t>
      </w:r>
      <w:r w:rsidRPr="005F5B23">
        <w:rPr>
          <w:rFonts w:ascii="Arial" w:hAnsi="Arial" w:cs="Arial"/>
          <w:bCs/>
          <w:sz w:val="24"/>
          <w:szCs w:val="24"/>
        </w:rPr>
        <w:t>11–11.9 g/dL</w:t>
      </w:r>
      <w:r w:rsidRPr="005F5B23">
        <w:rPr>
          <w:rFonts w:ascii="Arial" w:hAnsi="Arial" w:cs="Arial"/>
          <w:sz w:val="24"/>
          <w:szCs w:val="24"/>
        </w:rPr>
        <w:t xml:space="preserve">, a level previously unseen before treatment. Those with critically low Hb (below 6 g/dL) </w:t>
      </w:r>
      <w:r w:rsidRPr="005F5B23">
        <w:rPr>
          <w:rFonts w:ascii="Arial" w:hAnsi="Arial" w:cs="Arial"/>
          <w:sz w:val="24"/>
          <w:szCs w:val="24"/>
        </w:rPr>
        <w:lastRenderedPageBreak/>
        <w:t xml:space="preserve">drastically decreased. Combined, only </w:t>
      </w:r>
      <w:r w:rsidRPr="005F5B23">
        <w:rPr>
          <w:rFonts w:ascii="Arial" w:hAnsi="Arial" w:cs="Arial"/>
          <w:bCs/>
          <w:sz w:val="24"/>
          <w:szCs w:val="24"/>
        </w:rPr>
        <w:t>9.5%</w:t>
      </w:r>
      <w:r w:rsidRPr="005F5B23">
        <w:rPr>
          <w:rFonts w:ascii="Arial" w:hAnsi="Arial" w:cs="Arial"/>
          <w:sz w:val="24"/>
          <w:szCs w:val="24"/>
        </w:rPr>
        <w:t xml:space="preserve"> remained under this threshold, compared to </w:t>
      </w:r>
      <w:r w:rsidRPr="005F5B23">
        <w:rPr>
          <w:rFonts w:ascii="Arial" w:hAnsi="Arial" w:cs="Arial"/>
          <w:bCs/>
          <w:sz w:val="24"/>
          <w:szCs w:val="24"/>
        </w:rPr>
        <w:t>29.9%</w:t>
      </w:r>
      <w:r w:rsidRPr="005F5B23">
        <w:rPr>
          <w:rFonts w:ascii="Arial" w:hAnsi="Arial" w:cs="Arial"/>
          <w:sz w:val="24"/>
          <w:szCs w:val="24"/>
        </w:rPr>
        <w:t xml:space="preserve"> before treatment.</w:t>
      </w:r>
      <w:r w:rsidRPr="005F5B23">
        <w:rPr>
          <w:rFonts w:ascii="Arial" w:hAnsi="Arial" w:cs="Arial"/>
          <w:bCs/>
          <w:sz w:val="24"/>
          <w:szCs w:val="24"/>
        </w:rPr>
        <w:t xml:space="preserve"> This </w:t>
      </w:r>
      <w:r>
        <w:rPr>
          <w:rFonts w:ascii="Arial" w:hAnsi="Arial" w:cs="Arial"/>
          <w:bCs/>
          <w:sz w:val="24"/>
          <w:szCs w:val="24"/>
        </w:rPr>
        <w:t>accounts</w:t>
      </w:r>
      <w:r w:rsidRPr="005F5B23">
        <w:rPr>
          <w:rFonts w:ascii="Arial" w:hAnsi="Arial" w:cs="Arial"/>
          <w:bCs/>
          <w:sz w:val="24"/>
          <w:szCs w:val="24"/>
        </w:rPr>
        <w:t xml:space="preserve"> for </w:t>
      </w:r>
      <w:r>
        <w:rPr>
          <w:rFonts w:ascii="Arial" w:hAnsi="Arial" w:cs="Arial"/>
          <w:bCs/>
          <w:sz w:val="24"/>
          <w:szCs w:val="24"/>
        </w:rPr>
        <w:t xml:space="preserve">the </w:t>
      </w:r>
      <w:r w:rsidRPr="005F5B23">
        <w:rPr>
          <w:rFonts w:ascii="Arial" w:hAnsi="Arial" w:cs="Arial"/>
          <w:bCs/>
          <w:sz w:val="24"/>
          <w:szCs w:val="24"/>
        </w:rPr>
        <w:t>mean Hb of (7.82 ± 1.0 g/dL)</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The </w:t>
      </w:r>
      <w:r w:rsidRPr="005F5B23">
        <w:rPr>
          <w:rFonts w:ascii="Arial" w:hAnsi="Arial" w:cs="Arial"/>
          <w:bCs/>
          <w:sz w:val="24"/>
          <w:szCs w:val="24"/>
        </w:rPr>
        <w:t>mean Hb level increased significantly</w:t>
      </w:r>
      <w:r w:rsidRPr="005F5B23">
        <w:rPr>
          <w:rFonts w:ascii="Arial" w:hAnsi="Arial" w:cs="Arial"/>
          <w:sz w:val="24"/>
          <w:szCs w:val="24"/>
        </w:rPr>
        <w:t xml:space="preserve"> by over 2 g/dL after treatment. With a </w:t>
      </w:r>
      <w:r w:rsidRPr="005F5B23">
        <w:rPr>
          <w:rFonts w:ascii="Arial" w:hAnsi="Arial" w:cs="Arial"/>
          <w:bCs/>
          <w:sz w:val="24"/>
          <w:szCs w:val="24"/>
        </w:rPr>
        <w:t>t-test value of 101.8</w:t>
      </w:r>
      <w:r w:rsidRPr="005F5B23">
        <w:rPr>
          <w:rFonts w:ascii="Arial" w:hAnsi="Arial" w:cs="Arial"/>
          <w:sz w:val="24"/>
          <w:szCs w:val="24"/>
        </w:rPr>
        <w:t xml:space="preserve"> and a </w:t>
      </w:r>
      <w:r w:rsidRPr="005F5B23">
        <w:rPr>
          <w:rFonts w:ascii="Arial" w:hAnsi="Arial" w:cs="Arial"/>
          <w:bCs/>
          <w:sz w:val="24"/>
          <w:szCs w:val="24"/>
        </w:rPr>
        <w:t>p-value of &lt; 0.001</w:t>
      </w:r>
      <w:r w:rsidRPr="005F5B23">
        <w:rPr>
          <w:rFonts w:ascii="Arial" w:hAnsi="Arial" w:cs="Arial"/>
          <w:sz w:val="24"/>
          <w:szCs w:val="24"/>
        </w:rPr>
        <w:t xml:space="preserve">, the difference is </w:t>
      </w:r>
      <w:r w:rsidRPr="005F5B23">
        <w:rPr>
          <w:rFonts w:ascii="Arial" w:hAnsi="Arial" w:cs="Arial"/>
          <w:bCs/>
          <w:sz w:val="24"/>
          <w:szCs w:val="24"/>
        </w:rPr>
        <w:t>highly statistically significant</w:t>
      </w:r>
      <w:r>
        <w:rPr>
          <w:rFonts w:ascii="Arial" w:hAnsi="Arial" w:cs="Arial"/>
          <w:sz w:val="24"/>
          <w:szCs w:val="24"/>
        </w:rPr>
        <w:t xml:space="preserve">. This underscores Hydroxyurea’s strong role in improving </w:t>
      </w:r>
      <w:proofErr w:type="spellStart"/>
      <w:r>
        <w:rPr>
          <w:rFonts w:ascii="Arial" w:hAnsi="Arial" w:cs="Arial"/>
          <w:sz w:val="24"/>
          <w:szCs w:val="24"/>
        </w:rPr>
        <w:t>haemoglobin</w:t>
      </w:r>
      <w:proofErr w:type="spellEnd"/>
      <w:r w:rsidRPr="005F5B23">
        <w:rPr>
          <w:rFonts w:ascii="Arial" w:hAnsi="Arial" w:cs="Arial"/>
          <w:sz w:val="24"/>
          <w:szCs w:val="24"/>
        </w:rPr>
        <w:t xml:space="preserve"> synthesis in SCD patients.</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A total of 86.7% of patients required at least one blood transfusion annually before treatment, with a mean of 2.49 ± 0.9. Post-treatment, 88.3% of patients </w:t>
      </w:r>
      <w:r>
        <w:rPr>
          <w:rFonts w:ascii="Arial" w:hAnsi="Arial" w:cs="Arial"/>
          <w:sz w:val="24"/>
          <w:szCs w:val="24"/>
        </w:rPr>
        <w:t>needed</w:t>
      </w:r>
      <w:r w:rsidRPr="005F5B23">
        <w:rPr>
          <w:rFonts w:ascii="Arial" w:hAnsi="Arial" w:cs="Arial"/>
          <w:sz w:val="24"/>
          <w:szCs w:val="24"/>
        </w:rPr>
        <w:t xml:space="preserve"> no transfusions, and the mean decreased to 1.11 ± 0.3 (t = 44.4, p &lt; 0.001).</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 The marked reduction in transfusion needs reflects improved hematologic stability and reduced </w:t>
      </w:r>
      <w:proofErr w:type="spellStart"/>
      <w:r>
        <w:rPr>
          <w:rFonts w:ascii="Arial" w:hAnsi="Arial" w:cs="Arial"/>
          <w:sz w:val="24"/>
          <w:szCs w:val="24"/>
        </w:rPr>
        <w:t>anaemia</w:t>
      </w:r>
      <w:proofErr w:type="spellEnd"/>
      <w:r>
        <w:rPr>
          <w:rFonts w:ascii="Arial" w:hAnsi="Arial" w:cs="Arial"/>
          <w:sz w:val="24"/>
          <w:szCs w:val="24"/>
        </w:rPr>
        <w:t>-related</w:t>
      </w:r>
      <w:r w:rsidRPr="005F5B23">
        <w:rPr>
          <w:rFonts w:ascii="Arial" w:hAnsi="Arial" w:cs="Arial"/>
          <w:sz w:val="24"/>
          <w:szCs w:val="24"/>
        </w:rPr>
        <w:t xml:space="preserve"> complications due to Hydroxyurea therapy.</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7" w:name="_Toc202934401"/>
      <w:r w:rsidRPr="005F5B23">
        <w:rPr>
          <w:rFonts w:ascii="Arial" w:hAnsi="Arial" w:cs="Arial"/>
          <w:b/>
          <w:color w:val="000000" w:themeColor="text1"/>
          <w:sz w:val="24"/>
          <w:szCs w:val="24"/>
        </w:rPr>
        <w:t xml:space="preserve">    </w:t>
      </w:r>
      <w:r>
        <w:rPr>
          <w:rFonts w:ascii="Arial" w:hAnsi="Arial" w:cs="Arial"/>
          <w:b/>
          <w:color w:val="000000" w:themeColor="text1"/>
          <w:sz w:val="24"/>
          <w:szCs w:val="24"/>
        </w:rPr>
        <w:t xml:space="preserve">Fig. 1 Patient adherence to Hydroxyurea treatment attending the </w:t>
      </w:r>
      <w:proofErr w:type="spellStart"/>
      <w:r>
        <w:rPr>
          <w:rFonts w:ascii="Arial" w:hAnsi="Arial" w:cs="Arial"/>
          <w:b/>
          <w:color w:val="000000" w:themeColor="text1"/>
          <w:sz w:val="24"/>
          <w:szCs w:val="24"/>
        </w:rPr>
        <w:t>Haematological</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 Zanzibar.</w:t>
      </w:r>
      <w:bookmarkEnd w:id="7"/>
    </w:p>
    <w:p w:rsidR="00765883" w:rsidRPr="005F5B23" w:rsidRDefault="00765883" w:rsidP="00765883">
      <w:pPr>
        <w:spacing w:line="360" w:lineRule="auto"/>
        <w:jc w:val="both"/>
        <w:rPr>
          <w:rFonts w:ascii="Arial" w:hAnsi="Arial" w:cs="Arial"/>
          <w:sz w:val="24"/>
          <w:szCs w:val="24"/>
        </w:rPr>
      </w:pPr>
      <w:r w:rsidRPr="005F5B23">
        <w:rPr>
          <w:rFonts w:ascii="Arial" w:hAnsi="Arial" w:cs="Arial"/>
          <w:noProof/>
          <w:sz w:val="24"/>
          <w:szCs w:val="24"/>
        </w:rPr>
        <w:drawing>
          <wp:inline distT="0" distB="0" distL="0" distR="0" wp14:anchorId="71CC81C6" wp14:editId="4D9B81DD">
            <wp:extent cx="4567238" cy="2747962"/>
            <wp:effectExtent l="0" t="0" r="508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 xml:space="preserve">Among 180 SCD patients attending the </w:t>
      </w:r>
      <w:proofErr w:type="spellStart"/>
      <w:r>
        <w:rPr>
          <w:rFonts w:ascii="Arial" w:hAnsi="Arial" w:cs="Arial"/>
          <w:sz w:val="24"/>
          <w:szCs w:val="24"/>
        </w:rPr>
        <w:t>Haematology</w:t>
      </w:r>
      <w:proofErr w:type="spellEnd"/>
      <w:r w:rsidRPr="005F5B23">
        <w:rPr>
          <w:rFonts w:ascii="Arial" w:hAnsi="Arial" w:cs="Arial"/>
          <w:sz w:val="24"/>
          <w:szCs w:val="24"/>
        </w:rPr>
        <w:t xml:space="preserve"> Clinic at </w:t>
      </w:r>
      <w:proofErr w:type="spellStart"/>
      <w:r w:rsidRPr="005F5B23">
        <w:rPr>
          <w:rFonts w:ascii="Arial" w:hAnsi="Arial" w:cs="Arial"/>
          <w:sz w:val="24"/>
          <w:szCs w:val="24"/>
        </w:rPr>
        <w:t>Jitimai</w:t>
      </w:r>
      <w:proofErr w:type="spellEnd"/>
      <w:r w:rsidRPr="005F5B23">
        <w:rPr>
          <w:rFonts w:ascii="Arial" w:hAnsi="Arial" w:cs="Arial"/>
          <w:sz w:val="24"/>
          <w:szCs w:val="24"/>
        </w:rPr>
        <w:t xml:space="preserve"> District Hospital, 91.1</w:t>
      </w:r>
      <w:r w:rsidRPr="005F5B23">
        <w:rPr>
          <w:rFonts w:ascii="Arial" w:hAnsi="Arial" w:cs="Arial"/>
          <w:bCs/>
          <w:sz w:val="24"/>
          <w:szCs w:val="24"/>
        </w:rPr>
        <w:t>% (164 patients)</w:t>
      </w:r>
      <w:r w:rsidRPr="005F5B23">
        <w:rPr>
          <w:rFonts w:ascii="Arial" w:hAnsi="Arial" w:cs="Arial"/>
          <w:sz w:val="24"/>
          <w:szCs w:val="24"/>
        </w:rPr>
        <w:t xml:space="preserve"> demonstrated </w:t>
      </w:r>
      <w:r w:rsidRPr="005F5B23">
        <w:rPr>
          <w:rFonts w:ascii="Arial" w:hAnsi="Arial" w:cs="Arial"/>
          <w:bCs/>
          <w:sz w:val="24"/>
          <w:szCs w:val="24"/>
        </w:rPr>
        <w:t>good adherence</w:t>
      </w:r>
      <w:r w:rsidRPr="005F5B23">
        <w:rPr>
          <w:rFonts w:ascii="Arial" w:hAnsi="Arial" w:cs="Arial"/>
          <w:sz w:val="24"/>
          <w:szCs w:val="24"/>
        </w:rPr>
        <w:t xml:space="preserve"> to Hydroxyurea therapy. This </w:t>
      </w:r>
      <w:r w:rsidRPr="005F5B23">
        <w:rPr>
          <w:rFonts w:ascii="Arial" w:hAnsi="Arial" w:cs="Arial"/>
          <w:sz w:val="24"/>
          <w:szCs w:val="24"/>
        </w:rPr>
        <w:lastRenderedPageBreak/>
        <w:t>indicates a high level of treatment commitment, likely influenced by positive therapeutic outcomes, patient education, regular follow-up, and accessible healthcare support.</w:t>
      </w:r>
    </w:p>
    <w:p w:rsidR="00765883" w:rsidRPr="005F5B23" w:rsidRDefault="00765883" w:rsidP="00765883">
      <w:pPr>
        <w:spacing w:line="360" w:lineRule="auto"/>
        <w:jc w:val="both"/>
        <w:rPr>
          <w:rFonts w:ascii="Arial" w:hAnsi="Arial" w:cs="Arial"/>
          <w:sz w:val="24"/>
          <w:szCs w:val="24"/>
        </w:rPr>
      </w:pPr>
      <w:r w:rsidRPr="005F5B23">
        <w:rPr>
          <w:rFonts w:ascii="Arial" w:hAnsi="Arial" w:cs="Arial"/>
          <w:bCs/>
          <w:sz w:val="24"/>
          <w:szCs w:val="24"/>
        </w:rPr>
        <w:t>8.9% (16 patients)</w:t>
      </w:r>
      <w:r w:rsidRPr="005F5B23">
        <w:rPr>
          <w:rFonts w:ascii="Arial" w:hAnsi="Arial" w:cs="Arial"/>
          <w:sz w:val="24"/>
          <w:szCs w:val="24"/>
        </w:rPr>
        <w:t xml:space="preserve"> exhibited </w:t>
      </w:r>
      <w:r w:rsidRPr="005F5B23">
        <w:rPr>
          <w:rFonts w:ascii="Arial" w:hAnsi="Arial" w:cs="Arial"/>
          <w:bCs/>
          <w:sz w:val="24"/>
          <w:szCs w:val="24"/>
        </w:rPr>
        <w:t>moderate to poor adherence</w:t>
      </w:r>
      <w:r w:rsidRPr="005F5B23">
        <w:rPr>
          <w:rFonts w:ascii="Arial" w:hAnsi="Arial" w:cs="Arial"/>
          <w:sz w:val="24"/>
          <w:szCs w:val="24"/>
        </w:rPr>
        <w:t xml:space="preserve">. Factors contributing to this may include forgetfulness, side effects, lack of understanding of the therapy's benefits, financial or logistical barriers, or fear of long-term medication use. </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8" w:name="_Toc202934402"/>
      <w:r w:rsidRPr="005F5B23">
        <w:rPr>
          <w:rFonts w:ascii="Arial" w:hAnsi="Arial" w:cs="Arial"/>
          <w:b/>
          <w:color w:val="000000" w:themeColor="text1"/>
          <w:sz w:val="24"/>
          <w:szCs w:val="24"/>
        </w:rPr>
        <w:t>Figure 2</w:t>
      </w:r>
      <w:r>
        <w:rPr>
          <w:rFonts w:ascii="Arial" w:hAnsi="Arial" w:cs="Arial"/>
          <w:b/>
          <w:color w:val="000000" w:themeColor="text1"/>
          <w:sz w:val="24"/>
          <w:szCs w:val="24"/>
        </w:rPr>
        <w:t xml:space="preserve">: Side effects of Hydroxyurea treatment on the SCD patient attending the </w:t>
      </w:r>
      <w:proofErr w:type="spellStart"/>
      <w:r>
        <w:rPr>
          <w:rFonts w:ascii="Arial" w:hAnsi="Arial" w:cs="Arial"/>
          <w:b/>
          <w:color w:val="000000" w:themeColor="text1"/>
          <w:sz w:val="24"/>
          <w:szCs w:val="24"/>
        </w:rPr>
        <w:t>Haematology</w:t>
      </w:r>
      <w:proofErr w:type="spellEnd"/>
      <w:r w:rsidRPr="005F5B23">
        <w:rPr>
          <w:rFonts w:ascii="Arial" w:hAnsi="Arial" w:cs="Arial"/>
          <w:b/>
          <w:color w:val="000000" w:themeColor="text1"/>
          <w:sz w:val="24"/>
          <w:szCs w:val="24"/>
        </w:rPr>
        <w:t xml:space="preserve"> clinic at </w:t>
      </w:r>
      <w:proofErr w:type="spellStart"/>
      <w:r w:rsidRPr="005F5B23">
        <w:rPr>
          <w:rFonts w:ascii="Arial" w:hAnsi="Arial" w:cs="Arial"/>
          <w:b/>
          <w:color w:val="000000" w:themeColor="text1"/>
          <w:sz w:val="24"/>
          <w:szCs w:val="24"/>
        </w:rPr>
        <w:t>Jitimai</w:t>
      </w:r>
      <w:proofErr w:type="spellEnd"/>
      <w:r w:rsidRPr="005F5B23">
        <w:rPr>
          <w:rFonts w:ascii="Arial" w:hAnsi="Arial" w:cs="Arial"/>
          <w:b/>
          <w:color w:val="000000" w:themeColor="text1"/>
          <w:sz w:val="24"/>
          <w:szCs w:val="24"/>
        </w:rPr>
        <w:t xml:space="preserve"> District Hospital.</w:t>
      </w:r>
      <w:bookmarkEnd w:id="8"/>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tab/>
      </w:r>
    </w:p>
    <w:p w:rsidR="00765883" w:rsidRPr="005F5B23" w:rsidRDefault="00765883" w:rsidP="00765883">
      <w:pPr>
        <w:pStyle w:val="BodyText"/>
        <w:spacing w:line="360" w:lineRule="auto"/>
        <w:jc w:val="both"/>
        <w:rPr>
          <w:rFonts w:ascii="Arial" w:hAnsi="Arial" w:cs="Arial"/>
        </w:rPr>
      </w:pPr>
      <w:r w:rsidRPr="005F5B23">
        <w:rPr>
          <w:rFonts w:ascii="Arial" w:hAnsi="Arial" w:cs="Arial"/>
          <w:noProof/>
        </w:rPr>
        <w:drawing>
          <wp:inline distT="0" distB="0" distL="0" distR="0" wp14:anchorId="61D1DBB7" wp14:editId="4AE6F2EA">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65883" w:rsidRPr="005F5B23" w:rsidRDefault="00765883" w:rsidP="00765883">
      <w:pPr>
        <w:pStyle w:val="NormalWeb"/>
        <w:spacing w:line="360" w:lineRule="auto"/>
        <w:jc w:val="both"/>
        <w:rPr>
          <w:rFonts w:ascii="Arial" w:hAnsi="Arial" w:cs="Arial"/>
        </w:rPr>
      </w:pPr>
      <w:r>
        <w:rPr>
          <w:rFonts w:ascii="Arial" w:hAnsi="Arial" w:cs="Arial"/>
        </w:rPr>
        <w:t>Considering the side effects</w:t>
      </w:r>
      <w:r w:rsidRPr="005F5B23">
        <w:rPr>
          <w:rFonts w:ascii="Arial" w:hAnsi="Arial" w:cs="Arial"/>
        </w:rPr>
        <w:t xml:space="preserve">, </w:t>
      </w:r>
      <w:r w:rsidRPr="005F5B23">
        <w:rPr>
          <w:rStyle w:val="Strong"/>
          <w:rFonts w:ascii="Arial" w:hAnsi="Arial" w:cs="Arial"/>
        </w:rPr>
        <w:t>87.8% reported no side effects</w:t>
      </w:r>
      <w:r w:rsidRPr="005F5B23">
        <w:rPr>
          <w:rFonts w:ascii="Arial" w:hAnsi="Arial" w:cs="Arial"/>
          <w:b/>
        </w:rPr>
        <w:t xml:space="preserve">, </w:t>
      </w:r>
      <w:r w:rsidRPr="005F5B23">
        <w:rPr>
          <w:rFonts w:ascii="Arial" w:hAnsi="Arial" w:cs="Arial"/>
        </w:rPr>
        <w:t xml:space="preserve">indicating strong tolerability. The most common adverse effects were </w:t>
      </w:r>
      <w:r w:rsidRPr="005F5B23">
        <w:rPr>
          <w:rStyle w:val="Strong"/>
          <w:rFonts w:ascii="Arial" w:hAnsi="Arial" w:cs="Arial"/>
        </w:rPr>
        <w:t>nausea and vomiting (6.7%)</w:t>
      </w:r>
      <w:r w:rsidRPr="005F5B23">
        <w:rPr>
          <w:rFonts w:ascii="Arial" w:hAnsi="Arial" w:cs="Arial"/>
          <w:b/>
        </w:rPr>
        <w:t>,</w:t>
      </w:r>
      <w:r w:rsidRPr="005F5B23">
        <w:rPr>
          <w:rFonts w:ascii="Arial" w:hAnsi="Arial" w:cs="Arial"/>
        </w:rPr>
        <w:t xml:space="preserve"> followed by </w:t>
      </w:r>
      <w:r w:rsidRPr="005F5B23">
        <w:rPr>
          <w:rStyle w:val="Strong"/>
          <w:rFonts w:ascii="Arial" w:hAnsi="Arial" w:cs="Arial"/>
        </w:rPr>
        <w:t>fatigue (3.3%)</w:t>
      </w:r>
      <w:r w:rsidRPr="005F5B23">
        <w:rPr>
          <w:rFonts w:ascii="Arial" w:hAnsi="Arial" w:cs="Arial"/>
          <w:b/>
        </w:rPr>
        <w:t xml:space="preserve">, </w:t>
      </w:r>
      <w:r w:rsidRPr="005F5B23">
        <w:rPr>
          <w:rStyle w:val="Strong"/>
          <w:rFonts w:ascii="Arial" w:hAnsi="Arial" w:cs="Arial"/>
        </w:rPr>
        <w:t>hair loss (1.1%)</w:t>
      </w:r>
      <w:r w:rsidRPr="005F5B23">
        <w:rPr>
          <w:rFonts w:ascii="Arial" w:hAnsi="Arial" w:cs="Arial"/>
          <w:b/>
        </w:rPr>
        <w:t xml:space="preserve">, </w:t>
      </w:r>
      <w:r w:rsidRPr="005F5B23">
        <w:rPr>
          <w:rFonts w:ascii="Arial" w:hAnsi="Arial" w:cs="Arial"/>
        </w:rPr>
        <w:t>and</w:t>
      </w:r>
      <w:r w:rsidRPr="005F5B23">
        <w:rPr>
          <w:rFonts w:ascii="Arial" w:hAnsi="Arial" w:cs="Arial"/>
          <w:b/>
        </w:rPr>
        <w:t xml:space="preserve"> </w:t>
      </w:r>
      <w:r w:rsidRPr="005F5B23">
        <w:rPr>
          <w:rStyle w:val="Strong"/>
          <w:rFonts w:ascii="Arial" w:hAnsi="Arial" w:cs="Arial"/>
        </w:rPr>
        <w:t>mouth ulcers (1.1%)</w:t>
      </w:r>
      <w:r w:rsidRPr="005F5B23">
        <w:rPr>
          <w:rFonts w:ascii="Arial" w:hAnsi="Arial" w:cs="Arial"/>
          <w:b/>
        </w:rPr>
        <w:t>.</w:t>
      </w:r>
      <w:r w:rsidRPr="005F5B23">
        <w:rPr>
          <w:rFonts w:ascii="Arial" w:hAnsi="Arial" w:cs="Arial"/>
        </w:rPr>
        <w:t xml:space="preserve"> All reported side effects were mild and manageable, reinforcing Hydroxyurea's </w:t>
      </w:r>
      <w:proofErr w:type="spellStart"/>
      <w:r>
        <w:rPr>
          <w:rFonts w:ascii="Arial" w:hAnsi="Arial" w:cs="Arial"/>
        </w:rPr>
        <w:t>favourable</w:t>
      </w:r>
      <w:proofErr w:type="spellEnd"/>
      <w:r w:rsidRPr="005F5B23">
        <w:rPr>
          <w:rFonts w:ascii="Arial" w:hAnsi="Arial" w:cs="Arial"/>
        </w:rPr>
        <w:t xml:space="preserve"> safety profile in this setting.</w:t>
      </w: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1"/>
        <w:spacing w:line="360" w:lineRule="auto"/>
        <w:jc w:val="both"/>
        <w:rPr>
          <w:rFonts w:ascii="Arial" w:hAnsi="Arial" w:cs="Arial"/>
          <w:b/>
          <w:color w:val="000000" w:themeColor="text1"/>
          <w:sz w:val="24"/>
          <w:szCs w:val="24"/>
        </w:rPr>
      </w:pPr>
      <w:bookmarkStart w:id="9" w:name="_Toc202934404"/>
      <w:r w:rsidRPr="005F5B23">
        <w:rPr>
          <w:rFonts w:ascii="Arial" w:hAnsi="Arial" w:cs="Arial"/>
          <w:b/>
          <w:color w:val="000000" w:themeColor="text1"/>
          <w:sz w:val="24"/>
          <w:szCs w:val="24"/>
        </w:rPr>
        <w:lastRenderedPageBreak/>
        <w:t>DISCUSSION</w:t>
      </w:r>
      <w:bookmarkEnd w:id="9"/>
    </w:p>
    <w:p w:rsidR="00765883" w:rsidRPr="005F5B23" w:rsidRDefault="00765883" w:rsidP="00765883">
      <w:pPr>
        <w:pStyle w:val="BodyText"/>
        <w:spacing w:line="360" w:lineRule="auto"/>
        <w:jc w:val="both"/>
        <w:rPr>
          <w:rFonts w:ascii="Arial" w:hAnsi="Arial" w:cs="Arial"/>
        </w:rPr>
      </w:pPr>
    </w:p>
    <w:p w:rsidR="00765883" w:rsidRPr="00E23860" w:rsidRDefault="00765883" w:rsidP="00765883">
      <w:pPr>
        <w:spacing w:before="100" w:beforeAutospacing="1" w:after="100" w:afterAutospacing="1" w:line="360" w:lineRule="auto"/>
        <w:jc w:val="both"/>
        <w:rPr>
          <w:rFonts w:ascii="Arial" w:eastAsia="Times New Roman" w:hAnsi="Arial" w:cs="Arial"/>
          <w:sz w:val="24"/>
          <w:szCs w:val="24"/>
        </w:rPr>
      </w:pPr>
      <w:r w:rsidRPr="00621B64">
        <w:rPr>
          <w:rFonts w:ascii="Arial" w:eastAsia="Times New Roman" w:hAnsi="Arial" w:cs="Arial"/>
          <w:sz w:val="24"/>
          <w:szCs w:val="24"/>
        </w:rPr>
        <w:t xml:space="preserve">This study enrolled 180 respondents, with a higher proportion of females (57.2%) compared to males (42.8%). This gender distribution may reflect differences in health-seeking </w:t>
      </w:r>
      <w:proofErr w:type="spellStart"/>
      <w:r>
        <w:rPr>
          <w:rFonts w:ascii="Arial" w:eastAsia="Times New Roman" w:hAnsi="Arial" w:cs="Arial"/>
          <w:sz w:val="24"/>
          <w:szCs w:val="24"/>
        </w:rPr>
        <w:t>behaviour</w:t>
      </w:r>
      <w:proofErr w:type="spellEnd"/>
      <w:r w:rsidRPr="00621B64">
        <w:rPr>
          <w:rFonts w:ascii="Arial" w:eastAsia="Times New Roman" w:hAnsi="Arial" w:cs="Arial"/>
          <w:sz w:val="24"/>
          <w:szCs w:val="24"/>
        </w:rPr>
        <w:t>, disease perception, or care access, particularly among caregivers of pediatric patients. Similar gender disparities have been reported in studies from</w:t>
      </w:r>
      <w:r w:rsidRPr="00E23860">
        <w:rPr>
          <w:rFonts w:ascii="Arial" w:eastAsia="Times New Roman" w:hAnsi="Arial" w:cs="Arial"/>
          <w:sz w:val="24"/>
          <w:szCs w:val="24"/>
        </w:rPr>
        <w:t xml:space="preserve"> Nigeria and Ghana, where male</w:t>
      </w:r>
      <w:r w:rsidRPr="00621B64">
        <w:rPr>
          <w:rFonts w:ascii="Arial" w:eastAsia="Times New Roman" w:hAnsi="Arial" w:cs="Arial"/>
          <w:sz w:val="24"/>
          <w:szCs w:val="24"/>
        </w:rPr>
        <w:t xml:space="preserve"> predominance among clinic attendees was attributed to higher caregiver involvement by mothers or differing disease severity perceptions between genders</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{"citationItems":[{"id":"ITEM-1","itemData":{"DOI":"10.3389/fmolb.2019.00140","ISSN":"2296889X","abstract":"Sickle cell disease (SCD) is one of the most common monogenic disease worldwide. The incidence of SCD is not strictly gender-related as it is transmitted as an autosomal recessive disorder. In particular, the gender-related differences in pediatric SCD are not well-characterized. To address this matter, we retrospectively analyzed the clinical records of 39 pediatric patients with a diagnosis of SCD (hemoglobin SS genotype) focusing on gender differences analyzing various aspects of the disease and comprising both acute symptoms and late complications. We found various gender-related differences in our pediatric population. In particular, pain crisis frequency per year was significantly increased in the male population with a mean number of crisis per year of 1.6 vs. 0.6 in the female population (p = 0.04). Also, severe complications (both infectious and cardiovascular) were mostly found in the male population. SCD-related late cardiac complications were observed mainly in the male population (p = 0.04). Our data support the hypothesis that gender could play a role in determining the clinical course of SCD, even though further studies are needed to assess the exact weight of its influence over the course of the disease. The higher morbidity in males is a well-known feature of SCD in adults and these findings have been only partially studied in the pediatric population. These differences have, in adults, been attributed to hormonal variations found in the two sexes after puberty. In a pediatric population, other factors must be responsible for these discrepancies. These findings suggest that gender could be a valuable factor in the risk stratification of these patients at diagnosis, and possibly guide therapeutic decisions, with the final aim of personalizing the therapy.","author":[{"dropping-particle":"","family":"Ceglie","given":"Giulia","non-dropping-particle":"","parse-names":false,"suffix":""},{"dropping-particle":"","family":"Mauro","given":"Margherita","non-dropping-particle":"Di","parse-names":false,"suffix":""},{"dropping-particle":"","family":"Tarissi De Jacobis","given":"Isabella","non-dropping-particle":"","parse-names":false,"suffix":""},{"dropping-particle":"","family":"Gennaro","given":"Francesca","non-dropping-particle":"de","parse-names":false,"suffix":""},{"dropping-particle":"","family":"Quaranta","given":"Martina","non-dropping-particle":"","parse-names":false,"suffix":""},{"dropping-particle":"","family":"Baronci","given":"Carlo","non-dropping-particle":"","parse-names":false,"suffix":""},{"dropping-particle":"","family":"Villani","given":"Alberto","non-dropping-particle":"","parse-names":false,"suffix":""},{"dropping-particle":"","family":"Palumbo","given":"Giuseppe","non-dropping-particle":"","parse-names":false,"suffix":""}],"container-title":"Frontiers in Molecular Biosciences","id":"ITEM-1","issue":"December","issued":{"date-parts":[["2019"]]},"page":"1-5","title":"Gender-Related Differences in Sickle Cell Disease in a Pediatric Cohort: A Single-Center Retrospective Study","type":"article-journal","volume":"6"},"uris":["http://www.mendeley.com/documents/?uuid=cf5ca97b-e492-406d-bb54-93e2cacb7d6f","http://www.mendeley.com/documents/?uuid=63116296-2849-43e3-8ea3-767116cacb8a"]}],"mendeley":{"formattedCitation":"[12]","plainTextFormattedCitation":"[12]","previouslyFormattedCitation":"(Ceglie et al., 2019)"},"properties":{"noteIndex":0},"schema":"https://github.com/citation-style-language/schema/raw/master/csl-citation.json"}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[12]</w:t>
      </w:r>
      <w:r w:rsidRPr="00E23860">
        <w:rPr>
          <w:rFonts w:ascii="Arial" w:eastAsia="Times New Roman" w:hAnsi="Arial" w:cs="Arial"/>
          <w:sz w:val="24"/>
          <w:szCs w:val="24"/>
        </w:rPr>
        <w:fldChar w:fldCharType="end"/>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{"citationItems":[{"id":"ITEM-1","itemData":{"DOI":"10.2147/JBM.S294952","ISBN":"2348038617","ISSN":"11792736","abstract":"Background: Due to the chronic nature of sickle cell disease (SCD), affected individuals may seek help from diverse places thus raising the need to understand their health-seeking behavior (HSB) in order to design an appropriate management policy for them. Aim: The aim of this study was to evaluate the HSB among pediatric SCD patients relative to their non-SCD counterparts attending a tertiary facility in Southwest Nigeria and identified predictors of poor HSB among SCD patients. Methods: A total of 110 children with SCD were recruited and studied for their HSPs which were compared with 110 non-SCD patients with other chronic medical conditions. Questionnaires were used to obtain self-reported information on participants’ socio- demographic data and HSB. Logistic regression was used to determine the predictors of poor HSB among the SCD cohort. Results: More SCD patients received treatments at private hospitals, patent medicine stores and faith-based centers compared to their non-SCD counterparts (p=0.0052; 0.006; and 0.007), respectively. No difference was observed in the patronage of traditional care centres 10 (9.1%) vs 6 (5.5%). More SCD patients 61 (55.5%) vs 35 (31.8%) exhibited poor HSB (p=0.0004). SCD patients who were not enrolled on health insurance scheme were 18 times more likely to have poor HSB (OR=18.38, 95% CI (4.41-76.57), p value= &lt;0.0001) while absence of VOC within the preceding year reduces the risk of poor HSB by 91.5% (OR=0.085, 95% CI (0.028-0.258), p value= &lt;0.0001). Conclusion: SCD patients in the study locality had poor HSB. This raises the need for their education on proper HSB. More enrollment into health insurance scheme and the prevention of VOC will lessen the burden of poor HSB. The high patronage of non-hospital care facilities in this study raises the need for stakeholders to monitor activities and train the operators at these informal care centres.","author":[{"dropping-particle":"","family":"Olatunya","given":"Oladele Simeon","non-dropping-particle":"","parse-names":false,"suffix":""},{"dropping-particle":"","family":"Babatola","given":"Adefunke Olarinre","non-dropping-particle":"","parse-names":false,"suffix":""},{"dropping-particle":"","family":"Adeniyi","given":"Adewuyi Temidayo","non-dropping-particle":"","parse-names":false,"suffix":""},{"dropping-particle":"","family":"Lawal","given":"Olubunmi Adeola","non-dropping-particle":"","parse-names":false,"suffix":""},{"dropping-particle":"","family":"Daramola","given":"Alaba Olanrewaju","non-dropping-particle":"","parse-names":false,"suffix":""},{"dropping-particle":"","family":"Agbesanwa","given":"Tosin Anthony","non-dropping-particle":"","parse-names":false,"suffix":""},{"dropping-particle":"","family":"Ojo","given":"Temitope Olumuyiwa","non-dropping-particle":"","parse-names":false,"suffix":""},{"dropping-particle":"","family":"Ajayi","given":"Paul Oladapo","non-dropping-particle":"","parse-names":false,"suffix":""},{"dropping-particle":"","family":"Ibijola","given":"Adeleke Ajayi","non-dropping-particle":"","parse-names":false,"suffix":""},{"dropping-particle":"","family":"Komolafe","given":"Akinwumi Kolawole","non-dropping-particle":"","parse-names":false,"suffix":""},{"dropping-particle":"","family":"Adekile","given":"Adekunle","non-dropping-particle":"","parse-names":false,"suffix":""}],"container-title":"Journal of Blood Medicine","id":"ITEM-1","issued":{"date-parts":[["2021"]]},"page":"123-132","title":"Determinants of care-seeking practices for children with sickle cell disease in Ekiti, Southwest Nigeria","type":"article-journal","volume":"12"},"uris":["http://www.mendeley.com/documents/?uuid=84b76daf-8158-453d-968a-9a11858996fc","http://www.mendeley.com/documents/?uuid=4ca4e626-f589-4f41-86cd-327cd50eec08"]}],"mendeley":{"formattedCitation":"[13]","plainTextFormattedCitation":"[13]","previouslyFormattedCitation":"(Olatunya et al., 2021)"},"properties":{"noteIndex":0},"schema":"https://github.com/citation-style-language/schema/raw/master/csl-citation.json"}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[13]</w:t>
      </w:r>
      <w:r w:rsidRPr="00E23860">
        <w:rPr>
          <w:rFonts w:ascii="Arial" w:eastAsia="Times New Roman" w:hAnsi="Arial" w:cs="Arial"/>
          <w:sz w:val="24"/>
          <w:szCs w:val="24"/>
        </w:rPr>
        <w:fldChar w:fldCharType="end"/>
      </w:r>
      <w:r w:rsidRPr="00621B64">
        <w:rPr>
          <w:rFonts w:ascii="Arial" w:eastAsia="Times New Roman" w:hAnsi="Arial" w:cs="Arial"/>
          <w:sz w:val="24"/>
          <w:szCs w:val="24"/>
        </w:rPr>
        <w:t>. The majority of participants (59.4%) were children aged 1–12 years, suggesting early diagnosis and regular pediatric follow-up of sickle cell disease (SCD). This alig</w:t>
      </w:r>
      <w:r w:rsidRPr="00E23860">
        <w:rPr>
          <w:rFonts w:ascii="Arial" w:eastAsia="Times New Roman" w:hAnsi="Arial" w:cs="Arial"/>
          <w:sz w:val="24"/>
          <w:szCs w:val="24"/>
        </w:rPr>
        <w:t xml:space="preserve">ns with findings by </w:t>
      </w:r>
      <w:proofErr w:type="spellStart"/>
      <w:r w:rsidRPr="00E23860">
        <w:rPr>
          <w:rFonts w:ascii="Arial" w:hAnsi="Arial" w:cs="Arial"/>
          <w:sz w:val="24"/>
          <w:szCs w:val="24"/>
        </w:rPr>
        <w:t>Kilungu</w:t>
      </w:r>
      <w:proofErr w:type="spellEnd"/>
      <w:r w:rsidRPr="00621B64">
        <w:rPr>
          <w:rFonts w:ascii="Arial" w:eastAsia="Times New Roman" w:hAnsi="Arial" w:cs="Arial"/>
          <w:sz w:val="24"/>
          <w:szCs w:val="24"/>
        </w:rPr>
        <w:t xml:space="preserve"> in Tanzania</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author":[{"dropping-particle":"","family":"Kilungu","given":"Adamu","non-dropping-particle":"","parse-names":false,"suffix":""},{"dropping-particle":"","family":"Winchislaus","given":"Ernest","non-dropping-particle":"","parse-names":false,"suffix":""},{"dropping-particle":"","family":"Alberto","given":"Gaudence","non-dropping-particle":"","parse-names":false,"suffix":""},{"dropping-particle":"","family":"Wapalila","given":"Abednego","non-dropping-particle":"","parse-names":false,"suffix":""},{"dropping-particle":"","family":"Kayombo","given":"Victor","non-dropping-particle":"","parse-names":false,"suffix":""},{"dropping-particle":"","family":"Sonda","given":"Tolbert","non-dropping-particle":"","parse-names":false,"suffix":""}],"container-title":"medRxiv","id":"ITEM-1","issued":{"date-parts":[["2025"]]},"page":"2003-2025","title":"Outcomes and Complications of Sickle Cell Disease among Hospitalized Paediatric Patients; A Retrospective Study in a Tertiary Hospital, Tanzania","type":"article-journal"},"uris":["http://www.mendeley.com/documents/?uuid=1aadf6ed-5ae9-49c1-bfc8-f19136141582","http://www.mendeley.com/documents/?uuid=7d653fb5-02b5-46f3-b328-d184dafa5f9d"]}],"mendeley":{"formattedCitation":"[14]","plainTextFormattedCitation":"[14]","previouslyFormattedCitation":"(Kilungu et al., 2025)"},"properties":{"noteIndex":0},"schema":"https://github.com/citation-style-language/schema/raw/master/csl-citation.json"}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[14]</w:t>
      </w:r>
      <w:r w:rsidRPr="00E23860">
        <w:rPr>
          <w:rFonts w:ascii="Arial" w:eastAsia="Times New Roman" w:hAnsi="Arial" w:cs="Arial"/>
          <w:sz w:val="24"/>
          <w:szCs w:val="24"/>
        </w:rPr>
        <w:fldChar w:fldCharType="end"/>
      </w:r>
      <w:r w:rsidRPr="00621B64">
        <w:rPr>
          <w:rFonts w:ascii="Arial" w:eastAsia="Times New Roman" w:hAnsi="Arial" w:cs="Arial"/>
          <w:sz w:val="24"/>
          <w:szCs w:val="24"/>
        </w:rPr>
        <w:t xml:space="preserve">, who </w:t>
      </w:r>
      <w:proofErr w:type="spellStart"/>
      <w:r>
        <w:rPr>
          <w:rFonts w:ascii="Arial" w:eastAsia="Times New Roman" w:hAnsi="Arial" w:cs="Arial"/>
          <w:sz w:val="24"/>
          <w:szCs w:val="24"/>
        </w:rPr>
        <w:t>emphasised</w:t>
      </w:r>
      <w:proofErr w:type="spellEnd"/>
      <w:r w:rsidRPr="00621B64">
        <w:rPr>
          <w:rFonts w:ascii="Arial" w:eastAsia="Times New Roman" w:hAnsi="Arial" w:cs="Arial"/>
          <w:sz w:val="24"/>
          <w:szCs w:val="24"/>
        </w:rPr>
        <w:t xml:space="preserve"> the importance of early SCD detection through newborn screening programs. However, the presence of a significant proportion of adolescents and adults (40.6%) underlines the necessity of continuity of care beyond childhood, a challenge echoed </w:t>
      </w:r>
      <w:r w:rsidRPr="00E23860">
        <w:rPr>
          <w:rFonts w:ascii="Arial" w:eastAsia="Times New Roman" w:hAnsi="Arial" w:cs="Arial"/>
          <w:sz w:val="24"/>
          <w:szCs w:val="24"/>
        </w:rPr>
        <w:t>by studies in Uganda</w:t>
      </w:r>
      <w:r w:rsidRPr="00621B64">
        <w:rPr>
          <w:rFonts w:ascii="Arial" w:eastAsia="Times New Roman" w:hAnsi="Arial" w:cs="Arial"/>
          <w:sz w:val="24"/>
          <w:szCs w:val="24"/>
        </w:rPr>
        <w:t xml:space="preserve"> due to limited adult-focused </w:t>
      </w:r>
      <w:r w:rsidRPr="00E23860">
        <w:rPr>
          <w:rFonts w:ascii="Arial" w:eastAsia="Times New Roman" w:hAnsi="Arial" w:cs="Arial"/>
          <w:sz w:val="24"/>
          <w:szCs w:val="24"/>
        </w:rPr>
        <w:t>SCD services</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{"citationItems":[{"id":"ITEM-1","itemData":{"abstract":"&lt;p&gt; &lt;bold&gt;Background&lt;/bold&gt; Outcome of patients with sickle cell disease (SCD) has improved greatly over the past 60 years with several studies showing improved survival into adulthood due to advancement in medical care. A successful transition is critical for optimal health outcomes. However, health care delivery systems that support the optimal transfer from pediatric to adult care have not kept pace with the growing adult population. Mulago pediatric sickle cell clinic has faced multiple challenges with transition to adult care that are not well documented. The objective of this study was to describe the clinical characteristics of adolescents and adults with sickle cell disease and barriers to adult care at Mulago hospital. &lt;bold&gt;Methods&lt;/bold&gt; This was a mixed methods cross sectional study with both qualitative and quantitative data collection methods conducted among patients attending the pediatric sickle cell clinic at Mulago hospital, their caregivers and health care workers. A registry and medical records review was done to obtain data for the quantitative arm. The qualitative component consisted of 30 in-depth-interviews involving patients and care givers and 10 key informant interviews with healthcare workers. Quantitative data was coded and entered into Epidata version 4.6 and then exported to STATA 14 for analysis. Qualitative data was analyzed using the content thematic approach. &lt;bold&gt;RESULTS&lt;/bold&gt; The proportion of patients aged 14 years and above still attending the pediatric clinic was 21.6%. Barriers to transition of care as expressed by care givers and patients were limited knowledge on transition, attachment to their pediatric careers and negative experiences in the adult clinics. Health care system barriers included poorly organized adult clinics with few working days compared to the paediatric clinic that operates daily. This was compounded by lack of policies and guidelines on transition, inadequate human resource and limited access to the essential drugs in the adult clinics. &lt;bold&gt;Conclusions and recommendations&lt;/bold&gt; There is still a large proportion of adults and young adults (AYAs) still attending the pediatric sickle cell clinic and barriers to transition were not only sociodemographic but also psychosocial and health system related. There is need for better planning and preparation with better patient centered interventions in order to improve transition. &lt;/p&gt;","author":[{"dropping-particle":"","family":"Owomuhangi","given":"Racheal","non-dropping-particle":"","parse-names":false,"suffix":""},{"dropping-particle":"","family":"Karamagi","given":"Charles","non-dropping-particle":"","parse-names":false,"suffix":""},{"dropping-particle":"","family":"Ndeezi","given":"Grace","non-dropping-particle":"","parse-names":false,"suffix":""},{"dropping-particle":"","family":"Kwiringira","given":"Japheth","non-dropping-particle":"","parse-names":false,"suffix":""},{"dropping-particle":"","family":"Munube","given":"Deogratias","non-dropping-particle":"","parse-names":false,"suffix":""},{"dropping-particle":"","family":"Kiguli","given":"Sarah","non-dropping-particle":"","parse-names":false,"suffix":""},{"dropping-particle":"","family":"Opoka","given":"Robert Opika","non-dropping-particle":"","parse-names":false,"suffix":""},{"dropping-particle":"","family":"Namazzi","given":"Ruth","non-dropping-particle":"","parse-names":false,"suffix":""}],"id":"ITEM-1","issued":{"date-parts":[["2025"]]},"page":"1-19","title":"Clinical characteristics of adolescents and adults with Sickle Cell Disease and barriers to transition to adult care at Mulago Hospital, Uganda: A mixed methods study","type":"article-journal"},"uris":["http://www.mendeley.com/documents/?uuid=87d16c07-5206-458c-bbf6-1824e342c530","http://www.mendeley.com/documents/?uuid=64252c4f-a1f5-4c5d-9283-4d45b3344340"]}],"mendeley":{"formattedCitation":"[15]","plainTextFormattedCitation":"[15]","previouslyFormattedCitation":"(Owomuhangi et al., 2025)"},"properties":{"noteIndex":0},"schema":"https://github.com/citation-style-language/schema/raw/master/csl-citation.json"}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[15]</w:t>
      </w:r>
      <w:r w:rsidRPr="00E23860">
        <w:rPr>
          <w:rFonts w:ascii="Arial" w:eastAsia="Times New Roman" w:hAnsi="Arial" w:cs="Arial"/>
          <w:sz w:val="24"/>
          <w:szCs w:val="24"/>
        </w:rPr>
        <w:fldChar w:fldCharType="end"/>
      </w:r>
      <w:r w:rsidRPr="00E23860">
        <w:rPr>
          <w:rFonts w:ascii="Arial" w:eastAsia="Times New Roman" w:hAnsi="Arial" w:cs="Arial"/>
          <w:sz w:val="24"/>
          <w:szCs w:val="24"/>
        </w:rPr>
        <w:t xml:space="preserve"> </w:t>
      </w:r>
    </w:p>
    <w:p w:rsidR="00765883" w:rsidRPr="00586642" w:rsidRDefault="00765883" w:rsidP="00765883">
      <w:pPr>
        <w:spacing w:before="100" w:beforeAutospacing="1" w:after="100" w:afterAutospacing="1" w:line="360" w:lineRule="auto"/>
        <w:jc w:val="both"/>
        <w:rPr>
          <w:rFonts w:ascii="Arial" w:eastAsia="Times New Roman" w:hAnsi="Arial" w:cs="Arial"/>
          <w:sz w:val="24"/>
          <w:szCs w:val="24"/>
        </w:rPr>
      </w:pPr>
      <w:r w:rsidRPr="00621B64">
        <w:rPr>
          <w:rFonts w:ascii="Arial" w:eastAsia="Times New Roman" w:hAnsi="Arial" w:cs="Arial"/>
          <w:sz w:val="24"/>
          <w:szCs w:val="24"/>
        </w:rPr>
        <w:t>In terms of occupation, the majority of respondents were students (69.5%), highlighting the young age distribution of the cohort. Employment among participants was low (7.2%), and 23.3% reported being unemployed. These findings are consistent with studies in similar contexts, where chronic illness often disrupts education and employment opportunities. Educational levels were also concerning, with nearly half of the respondents having only primary education (46.7%) and 21.8% reporting no formal education at all. Limited educational attainment can adversely affect health literacy, treatment adherence, and long-term disease management, as shown</w:t>
      </w:r>
      <w:r w:rsidRPr="00E23860">
        <w:rPr>
          <w:rFonts w:ascii="Arial" w:eastAsia="Times New Roman" w:hAnsi="Arial" w:cs="Arial"/>
          <w:sz w:val="24"/>
          <w:szCs w:val="24"/>
        </w:rPr>
        <w:t xml:space="preserve"> in studies by Amour in Zanzibar</w:t>
      </w:r>
      <w:r w:rsidRPr="00E23860">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{"citationItems":[{"id":"ITEM-1","itemData":{"DOI":"10.3390/genes16010047","ISSN":"20734425","PMID":"39858594","abstract":"Background: This study aimed to describe Sickle Cell Disease (SCD) phenotypes, sociodemographic characteristics, healthcare, and clinical outcomes of patients with SCD attending Mnazi Mmoja Hospital (MMH) in Zanzibar. Methods: Individuals who visited MMH between September 2021 and December 2022 and were known or suspected to have SCD were enrolled in the clinic. Sociodemographic characteristics and clinical features were documented, and laboratory tests were performed. A two-sample test of proportions was used to ascertain the significance of differences in the distribution of clinical outcomes between the follow-up visits. Results: A total of 724 patients with SCD were enrolled: 367 (50.7%) were male, and 357 (49.3%) were female. Most patients—713 (98.5%) in total—were homozygous (Hb SS), 9 (1.2%) had the Hb SC phenotype, and 2 (0.3%) had HbS β+ thalassemia. The majority of patients were aged 13 years and below—520 (71.8%) in total—and most did not have health insurance—582 (80.4%) in total. While all patients received folic acid, only a quarter received pneumococcal prophylaxis and hydroxyurea. Attendance at the third visit was associated with a reduced frequency of self-reported episodes of pain (24 patients [4.3%] vs. 11 patients [1.9%]). Conclusion: The population of patients with SCD in Zanzibar mostly comprised children who were Hb SS. Basic care services are still suboptimal, although they are associated with better outcomes when present. Thorough evaluation of SCD prevalence in Zanzibar through newborn screening programs is warranted.","author":[{"dropping-particle":"","family":"Amour","given":"Ahlam","non-dropping-particle":"","parse-names":false,"suffix":""},{"dropping-particle":"","family":"Hashim","given":"Fadya","non-dropping-particle":"","parse-names":false,"suffix":""},{"dropping-particle":"","family":"Said","given":"Fat Hiya","non-dropping-particle":"","parse-names":false,"suffix":""},{"dropping-particle":"","family":"Joshua","given":"Daniel","non-dropping-particle":"","parse-names":false,"suffix":""},{"dropping-particle":"","family":"Kandonga","given":"Daniel","non-dropping-particle":"","parse-names":false,"suffix":""},{"dropping-particle":"","family":"Msangawale","given":"Michael","non-dropping-particle":"","parse-names":false,"suffix":""},{"dropping-particle":"","family":"Jonathan","given":"Agnes","non-dropping-particle":"","parse-names":false,"suffix":""},{"dropping-particle":"","family":"Kidenya","given":"Benson","non-dropping-particle":"","parse-names":false,"suffix":""},{"dropping-particle":"","family":"Ruggajo","given":"Paschal","non-dropping-particle":"","parse-names":false,"suffix":""},{"dropping-particle":"","family":"Msafiri","given":"Marijani","non-dropping-particle":"","parse-names":false,"suffix":""},{"dropping-particle":"","family":"Balandya","given":"Emmanuel","non-dropping-particle":"","parse-names":false,"suffix":""},{"dropping-particle":"","family":"Mahmoud","given":"Muhiddin","non-dropping-particle":"","parse-names":false,"suffix":""}],"container-title":"Genes","id":"ITEM-1","issue":"1","issued":{"date-parts":[["2025"]]},"page":"1-11","title":"Sickle Cell Disease in the Islands of Zanzibar: Patients’ Characteristics, Management, and Clinical Outcomes","type":"article-journal","volume":"16"},"uris":["http://www.mendeley.com/documents/?uuid=caa2a364-ae5c-4fd7-87f4-c8e5d3ad318c","http://www.mendeley.com/documents/?uuid=80be5957-2b09-4f2c-a4d0-f86b8d425745"]}],"mendeley":{"formattedCitation":"[16]","plainTextFormattedCitation":"[16]","previouslyFormattedCitation":"(Amour et al., 2025)"},"properties":{"noteIndex":0},"schema":"https://github.com/citation-style-language/schema/raw/master/csl-citation.json"}</w:instrText>
      </w:r>
      <w:r w:rsidRPr="00E23860">
        <w:rPr>
          <w:rFonts w:ascii="Arial" w:eastAsia="Times New Roman" w:hAnsi="Arial" w:cs="Arial"/>
          <w:sz w:val="24"/>
          <w:szCs w:val="24"/>
        </w:rPr>
        <w:fldChar w:fldCharType="separate"/>
      </w:r>
      <w:r w:rsidRPr="00765883">
        <w:rPr>
          <w:rFonts w:ascii="Arial" w:eastAsia="Times New Roman" w:hAnsi="Arial" w:cs="Arial"/>
          <w:noProof/>
          <w:sz w:val="24"/>
          <w:szCs w:val="24"/>
        </w:rPr>
        <w:t>[16]</w:t>
      </w:r>
      <w:r w:rsidRPr="00E23860">
        <w:rPr>
          <w:rFonts w:ascii="Arial" w:eastAsia="Times New Roman" w:hAnsi="Arial" w:cs="Arial"/>
          <w:sz w:val="24"/>
          <w:szCs w:val="24"/>
        </w:rPr>
        <w:fldChar w:fldCharType="end"/>
      </w:r>
      <w:r w:rsidRPr="00E23860">
        <w:rPr>
          <w:rFonts w:ascii="Arial" w:eastAsia="Times New Roman" w:hAnsi="Arial" w:cs="Arial"/>
          <w:sz w:val="24"/>
          <w:szCs w:val="24"/>
        </w:rPr>
        <w:t xml:space="preserve">. </w:t>
      </w:r>
      <w:r>
        <w:rPr>
          <w:rFonts w:ascii="Arial" w:eastAsia="Times New Roman" w:hAnsi="Arial" w:cs="Arial"/>
          <w:sz w:val="24"/>
          <w:szCs w:val="24"/>
        </w:rPr>
        <w:t>T</w:t>
      </w:r>
      <w:r w:rsidRPr="00621B64">
        <w:rPr>
          <w:rFonts w:ascii="Arial" w:eastAsia="Times New Roman" w:hAnsi="Arial" w:cs="Arial"/>
          <w:sz w:val="24"/>
          <w:szCs w:val="24"/>
        </w:rPr>
        <w:t xml:space="preserve">he highest geographic representation came from </w:t>
      </w:r>
      <w:proofErr w:type="spellStart"/>
      <w:r w:rsidRPr="00621B64">
        <w:rPr>
          <w:rFonts w:ascii="Arial" w:eastAsia="Times New Roman" w:hAnsi="Arial" w:cs="Arial"/>
          <w:sz w:val="24"/>
          <w:szCs w:val="24"/>
        </w:rPr>
        <w:t>Mwera</w:t>
      </w:r>
      <w:proofErr w:type="spellEnd"/>
      <w:r w:rsidRPr="00621B64">
        <w:rPr>
          <w:rFonts w:ascii="Arial" w:eastAsia="Times New Roman" w:hAnsi="Arial" w:cs="Arial"/>
          <w:sz w:val="24"/>
          <w:szCs w:val="24"/>
        </w:rPr>
        <w:t xml:space="preserve"> and </w:t>
      </w:r>
      <w:proofErr w:type="spellStart"/>
      <w:r w:rsidRPr="00621B64">
        <w:rPr>
          <w:rFonts w:ascii="Arial" w:eastAsia="Times New Roman" w:hAnsi="Arial" w:cs="Arial"/>
          <w:sz w:val="24"/>
          <w:szCs w:val="24"/>
        </w:rPr>
        <w:t>Magogoni</w:t>
      </w:r>
      <w:proofErr w:type="spellEnd"/>
      <w:r w:rsidRPr="00621B64">
        <w:rPr>
          <w:rFonts w:ascii="Arial" w:eastAsia="Times New Roman" w:hAnsi="Arial" w:cs="Arial"/>
          <w:sz w:val="24"/>
          <w:szCs w:val="24"/>
        </w:rPr>
        <w:t xml:space="preserve"> wards (6.1% each), suggesting possible clustering of cases or referral patterns from these areas</w:t>
      </w:r>
      <w:r>
        <w:rPr>
          <w:rFonts w:ascii="Arial" w:eastAsia="Times New Roman" w:hAnsi="Arial" w:cs="Arial"/>
          <w:sz w:val="24"/>
          <w:szCs w:val="24"/>
        </w:rPr>
        <w:t>.</w:t>
      </w:r>
    </w:p>
    <w:p w:rsidR="00765883" w:rsidRPr="00586642" w:rsidRDefault="00765883" w:rsidP="00765883">
      <w:pPr>
        <w:pStyle w:val="Heading3"/>
        <w:shd w:val="clear" w:color="auto" w:fill="FFFFFF"/>
        <w:spacing w:before="225" w:line="450" w:lineRule="atLeast"/>
        <w:jc w:val="both"/>
        <w:rPr>
          <w:rFonts w:ascii="Arial" w:hAnsi="Arial" w:cs="Arial"/>
          <w:color w:val="333333"/>
        </w:rPr>
      </w:pPr>
      <w:r w:rsidRPr="00AE35E8">
        <w:rPr>
          <w:rFonts w:ascii="Arial" w:hAnsi="Arial" w:cs="Arial"/>
          <w:color w:val="auto"/>
        </w:rPr>
        <w:lastRenderedPageBreak/>
        <w:t xml:space="preserve">There </w:t>
      </w:r>
      <w:r w:rsidR="00B0158B" w:rsidRPr="00AE35E8">
        <w:rPr>
          <w:rFonts w:ascii="Arial" w:hAnsi="Arial" w:cs="Arial"/>
          <w:color w:val="auto"/>
        </w:rPr>
        <w:t>were</w:t>
      </w:r>
      <w:r w:rsidRPr="00AE35E8">
        <w:rPr>
          <w:rFonts w:ascii="Arial" w:hAnsi="Arial" w:cs="Arial"/>
          <w:color w:val="auto"/>
        </w:rPr>
        <w:t xml:space="preserve"> significant clinical benefits associated with hydroxyurea therapy. Notably, there was a marked reduction in the frequency of painful crises. This substantial decline suggests improved disease management and a considerable enhancement in patients’ quality of life, aligning with </w:t>
      </w:r>
      <w:r w:rsidRPr="00586642">
        <w:rPr>
          <w:rStyle w:val="name"/>
          <w:rFonts w:ascii="Arial" w:hAnsi="Arial" w:cs="Arial"/>
          <w:bCs/>
          <w:color w:val="333333"/>
        </w:rPr>
        <w:t xml:space="preserve">Rankine-Mullings in a systematic review, who described that </w:t>
      </w:r>
      <w:r w:rsidRPr="00586642">
        <w:rPr>
          <w:rFonts w:ascii="Arial" w:hAnsi="Arial" w:cs="Arial"/>
          <w:color w:val="212121"/>
          <w:shd w:val="clear" w:color="auto" w:fill="FFFFFF"/>
        </w:rPr>
        <w:t>Hydroxyurea probably improves pain alteration (using measures such as pain crisis frequency, duration, intensity, hospital admissions, and opioid use</w:t>
      </w:r>
      <w:r>
        <w:rPr>
          <w:rFonts w:ascii="Arial" w:hAnsi="Arial" w:cs="Arial"/>
          <w:color w:val="212121"/>
          <w:shd w:val="clear" w:color="auto" w:fill="FFFFFF"/>
        </w:rPr>
        <w:t>.</w:t>
      </w:r>
      <w:r>
        <w:rPr>
          <w:rFonts w:ascii="Arial" w:hAnsi="Arial" w:cs="Arial"/>
          <w:color w:val="212121"/>
          <w:shd w:val="clear" w:color="auto" w:fill="FFFFFF"/>
        </w:rPr>
        <w:fldChar w:fldCharType="begin" w:fldLock="1"/>
      </w:r>
      <w:r>
        <w:rPr>
          <w:rFonts w:ascii="Arial" w:hAnsi="Arial" w:cs="Arial"/>
          <w:color w:val="212121"/>
          <w:shd w:val="clear" w:color="auto" w:fill="FFFFFF"/>
        </w:rPr>
        <w:instrText>ADDIN CSL_CITATION {"citationItems":[{"id":"ITEM-1","itemData":{"DOI":"10.1002/14651858.CD002202.pub3","ISSN":"1469-493X 1361-6137","abstract":"BACKGROUND: Sickle cell disease (SCD) is one of the most common inherited diseases worldwide. It is associated with lifelong morbidity and a reduced life  expectancy. Hydroxyurea (hydroxycarbamide), an oral chemotherapeutic drug,  ameliorates some of the clinical problems of SCD, in particular that of pain, by  raising foetal haemoglobin (HbF). This is an update of a previously published  Cochrane Review. OBJECTIVES: The aims of this review are to determine through a  review of randomised or quasi-randomised studies whether the use of hydroxyurea  in people with SCD alters the pattern of acute events, including pain; prevents,  delays or reverses organ dysfunction; alters mortality and quality of life; or is  associated with adverse effects. In addition, we hoped to assess whether the  response to hydroxyurea in SCD varies with the type of SCD, age of the  individual, duration and dose of treatment, and healthcare setting. SEARCH  METHODS: We searched the Cochrane Cystic Fibrosis and Genetic Disorders  Haemoglobinopathies Register, comprising references identified from comprehensive  electronic database searches and handsearches of relevant journals and abstract  books of conference proceedings. We also searched online trial registries. The  date of the most recent search was 17 February 2022. SELECTION CRITERIA:  Randomised and quasi-randomised controlled trials (RCTs and quasi-RCTs), of one  month or longer, comparing hydroxyurea with placebo or standard therapy in people  with SCD. DATA COLLECTION AND ANALYSIS: Authors independently assessed studies  for inclusion, carried out data extraction, assessed the risk of bias and  assessed the quality of the evidence using GRADE. MAIN RESULTS: We included nine  RCTs recruiting 1104 adults and children with SCD (haemoglobin SS (HbSS),  haemoglobin SC (HbSC) or haemoglobin Sβºthalassaemia (HbSβºthal) genotypes).  Studies lasted from six to 30 months. We judged the quality of the evidence for  the first two comparisons below as moderate to low as the studies contributing to  these comparisons were mostly large and well-designed (and at low risk of bias);  however, the evidence was limited and imprecise for some outcomes such as quality  of life, deaths during the studies and adverse events, and the results are  applicable only to individuals with HbSS and HbSβºthal genotypes. We judged the  quality of the evidence for the third and fourth comparisons to be very low due  to the limited number of participants, t…","author":[{"dropping-particle":"","family":"Rankine-Mullings","given":"Angela E","non-dropping-particle":"","parse-names":false,"suffix":""},{"dropping-particle":"","family":"Nevitt","given":"Sarah J","non-dropping-particle":"","parse-names":false,"suffix":""}],"container-title":"The Cochrane database of systematic reviews","id":"ITEM-1","issue":"9","issued":{"date-parts":[["2022"]]},"language":"eng","page":"CD002202","title":"Hydroxyurea (hydroxycarbamide) for sickle cell disease.","type":"article-journal","volume":"9"},"uris":["http://www.mendeley.com/documents/?uuid=79275f21-2d9b-4e11-870b-32b08f6999ea","http://www.mendeley.com/documents/?uuid=46401218-79c6-4b6d-8869-56dbec581a14"]}],"mendeley":{"formattedCitation":"[17]","plainTextFormattedCitation":"[17]","previouslyFormattedCitation":"(Rankine-Mullings &amp; Nevitt, 2022)"},"properties":{"noteIndex":0},"schema":"https://github.com/citation-style-language/schema/raw/master/csl-citation.json"}</w:instrText>
      </w:r>
      <w:r>
        <w:rPr>
          <w:rFonts w:ascii="Arial" w:hAnsi="Arial" w:cs="Arial"/>
          <w:color w:val="212121"/>
          <w:shd w:val="clear" w:color="auto" w:fill="FFFFFF"/>
        </w:rPr>
        <w:fldChar w:fldCharType="separate"/>
      </w:r>
      <w:r w:rsidRPr="00765883">
        <w:rPr>
          <w:rFonts w:ascii="Arial" w:hAnsi="Arial" w:cs="Arial"/>
          <w:noProof/>
          <w:color w:val="212121"/>
          <w:shd w:val="clear" w:color="auto" w:fill="FFFFFF"/>
        </w:rPr>
        <w:t>[17]</w:t>
      </w:r>
      <w:r>
        <w:rPr>
          <w:rFonts w:ascii="Arial" w:hAnsi="Arial" w:cs="Arial"/>
          <w:color w:val="212121"/>
          <w:shd w:val="clear" w:color="auto" w:fill="FFFFFF"/>
        </w:rPr>
        <w:fldChar w:fldCharType="end"/>
      </w:r>
      <w:r w:rsidRPr="00586642">
        <w:rPr>
          <w:rFonts w:ascii="Arial" w:hAnsi="Arial" w:cs="Arial"/>
          <w:color w:val="333333"/>
        </w:rPr>
        <w:t xml:space="preserve"> </w:t>
      </w:r>
    </w:p>
    <w:p w:rsidR="00765883" w:rsidRPr="00586642" w:rsidRDefault="00765883" w:rsidP="00765883">
      <w:pPr>
        <w:pStyle w:val="BodyText"/>
        <w:spacing w:line="360" w:lineRule="auto"/>
        <w:jc w:val="both"/>
        <w:rPr>
          <w:rFonts w:ascii="Arial" w:hAnsi="Arial" w:cs="Arial"/>
        </w:rPr>
      </w:pPr>
    </w:p>
    <w:p w:rsidR="00765883" w:rsidRPr="00586642" w:rsidRDefault="00765883" w:rsidP="00765883">
      <w:pPr>
        <w:spacing w:line="360" w:lineRule="auto"/>
        <w:jc w:val="both"/>
        <w:rPr>
          <w:rFonts w:ascii="Arial" w:hAnsi="Arial" w:cs="Arial"/>
          <w:sz w:val="24"/>
          <w:szCs w:val="24"/>
        </w:rPr>
      </w:pPr>
      <w:r>
        <w:rPr>
          <w:rFonts w:ascii="Arial" w:hAnsi="Arial" w:cs="Arial"/>
          <w:sz w:val="24"/>
          <w:szCs w:val="24"/>
        </w:rPr>
        <w:t>Hospitalization</w:t>
      </w:r>
      <w:r w:rsidRPr="00586642">
        <w:rPr>
          <w:rFonts w:ascii="Arial" w:hAnsi="Arial" w:cs="Arial"/>
          <w:sz w:val="24"/>
          <w:szCs w:val="24"/>
        </w:rPr>
        <w:t xml:space="preserve"> rates also decreased dramatically, falling from 3.09 ± 0.5 to 1.20 ± 0.5, which may reflect a reduction in severe disease-related complications and a corresponding decrease in the burden on healthcare resources. The mean number of blood transfusions per patient dropped from 2.49 ± 0.9 to 1.11 ± 0.3 this reduction is clinically meaningful, as frequent transfusions pose risks such as iron overload, alloimmunization and infections</w:t>
      </w:r>
      <w:r w:rsidRPr="00586642">
        <w:rPr>
          <w:rFonts w:ascii="Arial" w:eastAsiaTheme="minorEastAsia" w:hAnsi="Arial" w:cs="Arial"/>
          <w:color w:val="000000" w:themeColor="text1"/>
          <w:kern w:val="24"/>
          <w:sz w:val="24"/>
          <w:szCs w:val="24"/>
        </w:rPr>
        <w:t xml:space="preserve"> </w:t>
      </w:r>
      <w:r w:rsidRPr="00586642">
        <w:rPr>
          <w:rFonts w:ascii="Arial" w:hAnsi="Arial" w:cs="Arial"/>
          <w:sz w:val="24"/>
          <w:szCs w:val="24"/>
        </w:rPr>
        <w:t>perhaps most notably,</w:t>
      </w:r>
      <w:r>
        <w:rPr>
          <w:rFonts w:ascii="Arial" w:hAnsi="Arial" w:cs="Arial"/>
          <w:sz w:val="24"/>
          <w:szCs w:val="24"/>
        </w:rPr>
        <w:t xml:space="preserve"> </w:t>
      </w:r>
      <w:r w:rsidRPr="00586642">
        <w:rPr>
          <w:rFonts w:ascii="Arial" w:hAnsi="Arial" w:cs="Arial"/>
          <w:sz w:val="24"/>
          <w:szCs w:val="24"/>
        </w:rPr>
        <w:t xml:space="preserve">similar </w:t>
      </w:r>
      <w:r w:rsidRPr="00586642">
        <w:rPr>
          <w:rFonts w:ascii="Arial" w:hAnsi="Arial" w:cs="Arial"/>
          <w:color w:val="1F1F1F"/>
          <w:sz w:val="24"/>
          <w:szCs w:val="24"/>
          <w:shd w:val="clear" w:color="auto" w:fill="FFFFFF"/>
        </w:rPr>
        <w:t>Abdullahi</w:t>
      </w:r>
      <w:r w:rsidRPr="00586642">
        <w:rPr>
          <w:rFonts w:ascii="Arial" w:hAnsi="Arial" w:cs="Arial"/>
          <w:sz w:val="24"/>
          <w:szCs w:val="24"/>
        </w:rPr>
        <w:t xml:space="preserve"> in Nigeria, in a multicenter double blind study reported </w:t>
      </w:r>
      <w:r w:rsidRPr="00586642">
        <w:rPr>
          <w:rFonts w:ascii="Arial" w:hAnsi="Arial" w:cs="Arial"/>
          <w:color w:val="1F1F1F"/>
          <w:sz w:val="24"/>
          <w:szCs w:val="24"/>
        </w:rPr>
        <w:t>that the moderate-dose of hydroxyurea group could lower incidence rates for all-cause hospitalizations</w:t>
      </w:r>
      <w:r w:rsidRPr="00586642">
        <w:rPr>
          <w:rFonts w:ascii="Arial" w:hAnsi="Arial" w:cs="Arial"/>
          <w:color w:val="1F1F1F"/>
          <w:sz w:val="24"/>
          <w:szCs w:val="24"/>
        </w:rPr>
        <w:fldChar w:fldCharType="begin" w:fldLock="1"/>
      </w:r>
      <w:r>
        <w:rPr>
          <w:rFonts w:ascii="Arial" w:hAnsi="Arial" w:cs="Arial"/>
          <w:color w:val="1F1F1F"/>
          <w:sz w:val="24"/>
          <w:szCs w:val="24"/>
        </w:rPr>
        <w:instrText>ADDIN CSL_CITATION {"citationItems":[{"id":"ITEM-1","itemData":{"DOI":"10.1016/S2352-3026(21)00368-9","ISSN":"2352-3026","abstract":"BACKGROUND: In high-income countries, standard care for primary stroke prevention in children with sickle cell anaemia and abnormal transcranial Doppler velocities  results in a 92% relative risk reduction of strokes but mandates initial monthly  blood transfusion. In Africa, where regular blood transfusion is not feasible for  most children, we tested the hypothesis that initial moderate-dose compared with  low-dose hydroxyurea decreases the incidence of strokes for children with  abnormal transcranial Doppler velocities. METHODS: SPRING is a double-blind,  parallel-group, randomised, controlled, phase 3 trial of children aged 5-12 years  with sickle cell anaemia with abnormal transcranial Doppler velocities conducted  at three teaching hospitals in Nigeria. For randomisation, we used a permuted  block allocation scheme with block sizes of four, stratified by sex and site.  Allocation was concealed from all but the pharmacists and statisticians.  Participants were assigned in a 1:1 ratio to low-dose (10 mg/kg per day) or  moderate-dose (20 mg/kg per day) oral hydroxyurea taken once daily with monthly  clinical evaluation and laboratory monitoring. The primary outcome was initial  stroke or transient ischaemic attack, centrally adjudicated. The secondary  outcome was all-cause hospitalisation. We used the intention-to-treat population  for data analysis. The trial was stopped early for futility after a planned  minimum follow-up of 3·0 years to follow-up for participants. This trial was  registered with ClinicalTrials.gov, number NCT02560935. FINDINGS: Between Aug 2,  2016, and June 14, 2018, 220 participants (median age 7·2 years [IQR 5·5-8·9];  114 [52%] female) were randomly allocated and followed for a median of 2·4 years  (IQR 2·0-2·8). All participants were Nigerian and were from the following ethnic  groups: 179 (82%) people were Hausa, 25 (11%) were Fulani, and 16 (7%) identified  as another ethnicity. In the low-dose hydroxyurea group, three (3%) of 109  participants had strokes, with an incidence rate of 1·19 per 100 person-years and  in the moderate-dose hydroxyurea group five (5%) of 111 had strokes with an  incidence rate of 1·92 per 100 person-years (incidence rate ratio 0·62 [95% CI  0·10-3·20], p=0·77). The incidence rate ratio of hospitalisation for any reason  was 1·71 (95% CI 1·15-2·57, p=0·0071), with higher incidence rates per 100  person-years in the low-dose group versus the moderate-dose group (27·43 vs  16·08). No participant ha…","author":[{"dropping-particle":"","family":"Abdullahi","given":"Shehu U","non-dropping-particle":"","parse-names":false,"suffix":""},{"dropping-particle":"","family":"Jibir","given":"Binta W","non-dropping-particle":"","parse-names":false,"suffix":""},{"dropping-particle":"","family":"Bello-Manga","given":"Halima","non-dropping-particle":"","parse-names":false,"suffix":""},{"dropping-particle":"","family":"Gambo","given":"Safiya","non-dropping-particle":"","parse-names":false,"suffix":""},{"dropping-particle":"","family":"Inuwa","given":"Hauwa","non-dropping-particle":"","parse-names":false,"suffix":""},{"dropping-particle":"","family":"Tijjani","given":"Aliyu G","non-dropping-particle":"","parse-names":false,"suffix":""},{"dropping-particle":"","family":"Idris","given":"Nura","non-dropping-particle":"","parse-names":false,"suffix":""},{"dropping-particle":"","family":"Galadanci","given":"Aisha","non-dropping-particle":"","parse-names":false,"suffix":""},{"dropping-particle":"","family":"Hikima","given":"Mustapha S","non-dropping-particle":"","parse-names":false,"suffix":""},{"dropping-particle":"","family":"Galadanci","given":"Najibah","non-dropping-particle":"","parse-names":false,"suffix":""},{"dropping-particle":"","family":"Borodo","given":"Awwal","non-dropping-particle":"","parse-names":false,"suffix":""},{"dropping-particle":"","family":"Tabari","given":"Abdulkadir M","non-dropping-particle":"","parse-names":false,"suffix":""},{"dropping-particle":"","family":"Haliru","given":"Lawal","non-dropping-particle":"","parse-names":false,"suffix":""},{"dropping-particle":"","family":"Suleiman","given":"Aisha","non-dropping-particle":"","parse-names":false,"suffix":""},{"dropping-particle":"","family":"Ibrahim","given":"Jamila","non-dropping-particle":"","parse-names":false,"suffix":""},{"dropping-particle":"","family":"Greene","given":"Brittany C","non-dropping-particle":"","parse-names":false,"suffix":""},{"dropping-particle":"","family":"Ghafuri","given":"Djamila L","non-dropping-particle":"","parse-names":false,"suffix":""},{"dropping-particle":"","family":"Rodeghier","given":"Mark","non-dropping-particle":"","parse-names":false,"suffix":""},{"dropping-particle":"","family":"Slaughter","given":"James C","non-dropping-particle":"","parse-names":false,"suffix":""},{"dropping-particle":"","family":"Kirkham","given":"Fenella J","non-dropping-particle":"","parse-names":false,"suffix":""},{"dropping-particle":"","family":"Neville","given":"Kathleen","non-dropping-particle":"","parse-names":false,"suffix":""},{"dropping-particle":"","family":"Kassim","given":"Adetola","non-dropping-particle":"","parse-names":false,"suffix":""},{"dropping-particle":"","family":"Trevathan","given":"Edwin","non-dropping-particle":"","parse-names":false,"suffix":""},{"dropping-particle":"","family":"Jordan","given":"Lori C","non-dropping-particle":"","parse-names":false,"suffix":""},{"dropping-particle":"","family":"Aliyu","given":"Muktar H","non-dropping-particle":"","parse-names":false,"suffix":""},{"dropping-particle":"","family":"DeBaun","given":"Michael R","non-dropping-particle":"","parse-names":false,"suffix":""}],"container-title":"The Lancet. Haematology","id":"ITEM-1","issue":"1","issued":{"date-parts":[["2022"]]},"language":"eng","page":"e26-e37","title":"Hydroxyurea for primary stroke prevention in children with sickle cell anaemia in Nigeria (SPRING): a double-blind, multicentre, randomised, phase 3 trial.","type":"article-journal","volume":"9"},"uris":["http://www.mendeley.com/documents/?uuid=ed05264b-7e38-4cc7-b492-65f28c8f6670","http://www.mendeley.com/documents/?uuid=33b39e86-33c5-4f42-9250-ed85638492ab"]}],"mendeley":{"formattedCitation":"[18]","plainTextFormattedCitation":"[18]","previouslyFormattedCitation":"(Abdullahi et al., 2022)"},"properties":{"noteIndex":0},"schema":"https://github.com/citation-style-language/schema/raw/master/csl-citation.json"}</w:instrText>
      </w:r>
      <w:r w:rsidRPr="00586642">
        <w:rPr>
          <w:rFonts w:ascii="Arial" w:hAnsi="Arial" w:cs="Arial"/>
          <w:color w:val="1F1F1F"/>
          <w:sz w:val="24"/>
          <w:szCs w:val="24"/>
        </w:rPr>
        <w:fldChar w:fldCharType="separate"/>
      </w:r>
      <w:r w:rsidRPr="00765883">
        <w:rPr>
          <w:rFonts w:ascii="Arial" w:hAnsi="Arial" w:cs="Arial"/>
          <w:noProof/>
          <w:color w:val="1F1F1F"/>
          <w:sz w:val="24"/>
          <w:szCs w:val="24"/>
        </w:rPr>
        <w:t>[18]</w:t>
      </w:r>
      <w:r w:rsidRPr="00586642">
        <w:rPr>
          <w:rFonts w:ascii="Arial" w:hAnsi="Arial" w:cs="Arial"/>
          <w:color w:val="1F1F1F"/>
          <w:sz w:val="24"/>
          <w:szCs w:val="24"/>
        </w:rPr>
        <w:fldChar w:fldCharType="end"/>
      </w:r>
      <w:r w:rsidRPr="00586642">
        <w:rPr>
          <w:rFonts w:ascii="Arial" w:hAnsi="Arial" w:cs="Arial"/>
          <w:color w:val="1F1F1F"/>
          <w:sz w:val="24"/>
          <w:szCs w:val="24"/>
        </w:rPr>
        <w:fldChar w:fldCharType="begin" w:fldLock="1"/>
      </w:r>
      <w:r>
        <w:rPr>
          <w:rFonts w:ascii="Arial" w:hAnsi="Arial" w:cs="Arial"/>
          <w:color w:val="1F1F1F"/>
          <w:sz w:val="24"/>
          <w:szCs w:val="24"/>
        </w:rPr>
        <w:instrText>ADDIN CSL_CITATION {"citationItems":[{"id":"ITEM-1","itemData":{"DOI":"10.18203/2349-3291.ijcp20223416","ISSN":"2349-3283","abstract":"Background: Hydroxyurea therapy is a known effective and safe therapy for the treatment of sickle cell anemia (SCA). Although it is used worldwide in our Indian based setup, it is underutilized not only due to economic reasons but also due to unaware practitioners about its use.Methods: An ambispective observational study was performed at our tertiary care center over a period of 1 year 8 months. One hundred and ninety patients were enrolled after taking a complete history, then started on Hydroxyurea and followed up every 2 months till 1 year. On follow-up, frequency of vaso-occlucive crisis, blood transfusion and hospitalization were noted along with routine investigations and for any side effects.Results: Of 190 total recruited patients, 84 were studied at the end because of loss to follow-up due to various reasons. Significant decrease in the frequency of vaso-occlusive crisis (VOC), blood transfusion and hospitalisation were observed within 1 year of starting hydroxyurea (p&lt;0.05).Conclusions: The use of hydroxyurea in our native population at our setup can decrease the frequency of vasooccluisve crisis, blood transfusion and hospitalisation in sickle cell patients.","author":[{"dropping-particle":"","family":"Gupta","given":"Shikha","non-dropping-particle":"","parse-names":false,"suffix":""},{"dropping-particle":"","family":"Choudhary","given":"Prachi","non-dropping-particle":"","parse-names":false,"suffix":""},{"dropping-particle":"","family":"Singh","given":"Devraj","non-dropping-particle":"","parse-names":false,"suffix":""},{"dropping-particle":"","family":"Malpani","given":"Preeti","non-dropping-particle":"","parse-names":false,"suffix":""}],"container-title":"International Journal of Contemporary Pediatrics","id":"ITEM-1","issue":"1","issued":{"date-parts":[["2022"]]},"page":"29","title":"An evaluation of effect of hydroxyurea on frequency of blood transfusion, vaso-occlusive crisis and hospitalisation in children of sickle cell anemia","type":"article-journal","volume":"10"},"uris":["http://www.mendeley.com/documents/?uuid=41210a28-8494-475b-ac4b-d1126ae88e03","http://www.mendeley.com/documents/?uuid=af437410-d1d5-4a2b-9b57-d95d07b67072"]}],"mendeley":{"formattedCitation":"[19]","plainTextFormattedCitation":"[19]","previouslyFormattedCitation":"(Gupta et al., 2022)"},"properties":{"noteIndex":0},"schema":"https://github.com/citation-style-language/schema/raw/master/csl-citation.json"}</w:instrText>
      </w:r>
      <w:r w:rsidRPr="00586642">
        <w:rPr>
          <w:rFonts w:ascii="Arial" w:hAnsi="Arial" w:cs="Arial"/>
          <w:color w:val="1F1F1F"/>
          <w:sz w:val="24"/>
          <w:szCs w:val="24"/>
        </w:rPr>
        <w:fldChar w:fldCharType="separate"/>
      </w:r>
      <w:r w:rsidRPr="00765883">
        <w:rPr>
          <w:rFonts w:ascii="Arial" w:hAnsi="Arial" w:cs="Arial"/>
          <w:noProof/>
          <w:color w:val="1F1F1F"/>
          <w:sz w:val="24"/>
          <w:szCs w:val="24"/>
        </w:rPr>
        <w:t>[19]</w:t>
      </w:r>
      <w:r w:rsidRPr="00586642">
        <w:rPr>
          <w:rFonts w:ascii="Arial" w:hAnsi="Arial" w:cs="Arial"/>
          <w:color w:val="1F1F1F"/>
          <w:sz w:val="24"/>
          <w:szCs w:val="24"/>
        </w:rPr>
        <w:fldChar w:fldCharType="end"/>
      </w:r>
      <w:r w:rsidRPr="00586642">
        <w:rPr>
          <w:rFonts w:ascii="Arial" w:hAnsi="Arial" w:cs="Arial"/>
          <w:color w:val="1F1F1F"/>
          <w:sz w:val="24"/>
          <w:szCs w:val="24"/>
        </w:rPr>
        <w:t xml:space="preserve"> </w:t>
      </w:r>
      <w:r w:rsidRPr="00586642">
        <w:rPr>
          <w:rFonts w:ascii="Arial" w:hAnsi="Arial" w:cs="Arial"/>
          <w:sz w:val="24"/>
          <w:szCs w:val="24"/>
        </w:rPr>
        <w:t xml:space="preserve">There was a considerable </w:t>
      </w:r>
      <w:r w:rsidRPr="00586642">
        <w:rPr>
          <w:rFonts w:ascii="Arial" w:hAnsi="Arial" w:cs="Arial"/>
          <w:bCs/>
          <w:sz w:val="24"/>
          <w:szCs w:val="24"/>
        </w:rPr>
        <w:t xml:space="preserve">increase in hemoglobin (Hb) </w:t>
      </w:r>
      <w:r w:rsidRPr="00586642">
        <w:rPr>
          <w:rFonts w:ascii="Arial" w:hAnsi="Arial" w:cs="Arial"/>
          <w:sz w:val="24"/>
          <w:szCs w:val="24"/>
        </w:rPr>
        <w:t xml:space="preserve">levels, rising from </w:t>
      </w:r>
      <w:r w:rsidRPr="00586642">
        <w:rPr>
          <w:rFonts w:ascii="Arial" w:hAnsi="Arial" w:cs="Arial"/>
          <w:bCs/>
          <w:sz w:val="24"/>
          <w:szCs w:val="24"/>
        </w:rPr>
        <w:t>5.49 ± 1.2 g/dL</w:t>
      </w:r>
      <w:r w:rsidRPr="00586642">
        <w:rPr>
          <w:rFonts w:ascii="Arial" w:hAnsi="Arial" w:cs="Arial"/>
          <w:sz w:val="24"/>
          <w:szCs w:val="24"/>
        </w:rPr>
        <w:t xml:space="preserve"> to </w:t>
      </w:r>
      <w:r w:rsidRPr="00586642">
        <w:rPr>
          <w:rFonts w:ascii="Arial" w:hAnsi="Arial" w:cs="Arial"/>
          <w:bCs/>
          <w:sz w:val="24"/>
          <w:szCs w:val="24"/>
        </w:rPr>
        <w:t>7.82 ± 1.0 g/dL</w:t>
      </w:r>
      <w:r w:rsidRPr="00586642">
        <w:rPr>
          <w:rFonts w:ascii="Arial" w:hAnsi="Arial" w:cs="Arial"/>
          <w:sz w:val="24"/>
          <w:szCs w:val="24"/>
        </w:rPr>
        <w:t xml:space="preserve">. A similar study by Kumar and other researchers shows that </w:t>
      </w:r>
      <w:proofErr w:type="spellStart"/>
      <w:r w:rsidRPr="00586642">
        <w:rPr>
          <w:rFonts w:ascii="Arial" w:hAnsi="Arial" w:cs="Arial"/>
          <w:sz w:val="24"/>
          <w:szCs w:val="24"/>
        </w:rPr>
        <w:t>Haemoglobin</w:t>
      </w:r>
      <w:proofErr w:type="spellEnd"/>
      <w:r w:rsidRPr="00586642">
        <w:rPr>
          <w:rFonts w:ascii="Arial" w:hAnsi="Arial" w:cs="Arial"/>
          <w:sz w:val="24"/>
          <w:szCs w:val="24"/>
        </w:rPr>
        <w:t xml:space="preserve"> (g/dL) – Before treatment, patients had a low mean </w:t>
      </w:r>
      <w:proofErr w:type="spellStart"/>
      <w:r w:rsidRPr="00586642">
        <w:rPr>
          <w:rFonts w:ascii="Arial" w:hAnsi="Arial" w:cs="Arial"/>
          <w:sz w:val="24"/>
          <w:szCs w:val="24"/>
        </w:rPr>
        <w:t>haemoglobin</w:t>
      </w:r>
      <w:proofErr w:type="spellEnd"/>
      <w:r w:rsidRPr="00586642">
        <w:rPr>
          <w:rFonts w:ascii="Arial" w:hAnsi="Arial" w:cs="Arial"/>
          <w:sz w:val="24"/>
          <w:szCs w:val="24"/>
        </w:rPr>
        <w:t xml:space="preserve"> level of 7.5 g/dL. After treatment, </w:t>
      </w:r>
      <w:proofErr w:type="spellStart"/>
      <w:r w:rsidRPr="00586642">
        <w:rPr>
          <w:rFonts w:ascii="Arial" w:hAnsi="Arial" w:cs="Arial"/>
          <w:sz w:val="24"/>
          <w:szCs w:val="24"/>
        </w:rPr>
        <w:t>haemoglobin</w:t>
      </w:r>
      <w:proofErr w:type="spellEnd"/>
      <w:r w:rsidRPr="00586642">
        <w:rPr>
          <w:rFonts w:ascii="Arial" w:hAnsi="Arial" w:cs="Arial"/>
          <w:sz w:val="24"/>
          <w:szCs w:val="24"/>
        </w:rPr>
        <w:t xml:space="preserve"> levels significantly increased to 9.3 g/dL</w:t>
      </w:r>
      <w:r w:rsidRPr="00586642">
        <w:rPr>
          <w:rFonts w:ascii="Arial" w:hAnsi="Arial" w:cs="Arial"/>
          <w:sz w:val="24"/>
          <w:szCs w:val="24"/>
        </w:rPr>
        <w:fldChar w:fldCharType="begin" w:fldLock="1"/>
      </w:r>
      <w:r>
        <w:rPr>
          <w:rFonts w:ascii="Arial" w:hAnsi="Arial" w:cs="Arial"/>
          <w:sz w:val="24"/>
          <w:szCs w:val="24"/>
        </w:rPr>
        <w:instrText>ADDIN CSL_CITATION {"citationItems":[{"id":"ITEM-1","itemData":{"author":[{"dropping-particle":"","family":"Kumar","given":"Vivek","non-dropping-particle":"","parse-names":false,"suffix":""},{"dropping-particle":"","family":"Shah","given":"Sapna Ratan","non-dropping-particle":"","parse-names":false,"suffix":""}],"id":"ITEM-1","issued":{"date-parts":[["2025"]]},"title":"Research in Engineering Management and Science ( Ijprems ) Assessing the Clinical Outcomes of Hydroxyurea Treatment in Patients With Sickle Cell Disease","type":"article-journal"},"uris":["http://www.mendeley.com/documents/?uuid=a68382af-4876-4000-b126-0f21c1a0769f","http://www.mendeley.com/documents/?uuid=3d52adf4-bc08-4aff-883a-d68c09cbb0da"]}],"mendeley":{"formattedCitation":"[20]","plainTextFormattedCitation":"[20]","previouslyFormattedCitation":"(Kumar &amp; Shah, 2025)"},"properties":{"noteIndex":0},"schema":"https://github.com/citation-style-language/schema/raw/master/csl-citation.json"}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[20]</w:t>
      </w:r>
      <w:r w:rsidRPr="00586642">
        <w:rPr>
          <w:rFonts w:ascii="Arial" w:hAnsi="Arial" w:cs="Arial"/>
          <w:sz w:val="24"/>
          <w:szCs w:val="24"/>
        </w:rPr>
        <w:fldChar w:fldCharType="end"/>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{"citationItems":[{"id":"ITEM-1","itemData":{"DOI":"10.1371/journal.pone.0072077","ISSN":"19326203","PMID":"23967276","abstract":"Background:A decline in hospitalizations and pain episodes among those with sickle cell disease (SCD) who take hydroxyurea (HU) has been shown when compared to pre-HU patterns but paradoxically, when compared to those who have never been treated, HU recipients often have more frequent hospitalizations. This analysis evaluates the impact of increasing usage of HU on trends in hospitalizations and blood transfusions within a large SCD treatment program.Methods:Eligibility was restricted to patients with Hb SS or Hb Sβ0-thalassemia who were 2-18 years old between 2006-2010 and received care at St. Jude Children's Research Hospital (N = 508). Hospitalizations and blood transfusions were calculated for each of the years under study for those exposed and never exposed to HU. Differences in number of hospitalizations before and after HU initiation were compared.Results:The proportion of patients receiving HU increased by 4% per year on average. In the HU exposed group, a modest decline in mean per-patient hospitalizations and per-patient hospital days occurred, while those never exposed to HU trended toward a slight increase over time. Rates of blood transfusions declined among those on HU but not in patients never exposed to HU. Patients on HU had a median of one fewer hospital admission in the year after initiation of HU, compared to the year prior. Two deaths occurred in the patient population, both of whom were not exposed to HU.Conclusions:Increasing usage of HU was concurrent with decreased hospitalization rates and blood transfusions. Our results support the utility of HU on decreasing hospitalizations and transfusions for patients with SCD outside of the clinical trial setting. © 2013 Nottage et al.","author":[{"dropping-particle":"","family":"Nottage","given":"Kerri A.","non-dropping-particle":"","parse-names":false,"suffix":""},{"dropping-particle":"","family":"Hankins","given":"Jane S.","non-dropping-particle":"","parse-names":false,"suffix":""},{"dropping-particle":"","family":"Smeltzer","given":"Matthew","non-dropping-particle":"","parse-names":false,"suffix":""},{"dropping-particle":"","family":"Mzayek","given":"Fawaz","non-dropping-particle":"","parse-names":false,"suffix":""},{"dropping-particle":"","family":"Wang","given":"Winfred C.","non-dropping-particle":"","parse-names":false,"suffix":""},{"dropping-particle":"","family":"Aygun","given":"Banu","non-dropping-particle":"","parse-names":false,"suffix":""},{"dropping-particle":"","family":"Gurney","given":"James G.","non-dropping-particle":"","parse-names":false,"suffix":""}],"container-title":"PLoS ONE","id":"ITEM-1","issue":"8","issued":{"date-parts":[["2013"]]},"page":"1-5","title":"Hydroxyurea Use and Hospitalization Trends in a Comprehensive Pediatric Sickle Cell Program","type":"article-journal","volume":"8"},"uris":["http://www.mendeley.com/documents/?uuid=6e474751-aafd-460a-9d6a-799dad2be05f","http://www.mendeley.com/documents/?uuid=9b282b75-4139-44c7-8676-3e9afb503ea1"]}],"mendeley":{"formattedCitation":"[21]","plainTextFormattedCitation":"[21]","previouslyFormattedCitation":"(Nottage et al., 2013)"},"properties":{"noteIndex":0},"schema":"https://github.com/citation-style-language/schema/raw/master/csl-citation.json"}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[21]</w:t>
      </w:r>
      <w:r w:rsidRPr="00586642">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Albohassan</w:t>
      </w:r>
      <w:proofErr w:type="spellEnd"/>
      <w:r>
        <w:rPr>
          <w:rFonts w:ascii="Arial" w:hAnsi="Arial" w:cs="Arial"/>
          <w:sz w:val="24"/>
          <w:szCs w:val="24"/>
        </w:rPr>
        <w:t xml:space="preserve"> in the Eater Region of Saudi Arabia also reported the reduction of the number of </w:t>
      </w:r>
      <w:proofErr w:type="spellStart"/>
      <w:r>
        <w:rPr>
          <w:rFonts w:ascii="Arial" w:hAnsi="Arial" w:cs="Arial"/>
          <w:sz w:val="24"/>
          <w:szCs w:val="24"/>
        </w:rPr>
        <w:t>vaso</w:t>
      </w:r>
      <w:proofErr w:type="spellEnd"/>
      <w:r>
        <w:rPr>
          <w:rFonts w:ascii="Arial" w:hAnsi="Arial" w:cs="Arial"/>
          <w:sz w:val="24"/>
          <w:szCs w:val="24"/>
        </w:rPr>
        <w:t xml:space="preserve">-occlusive crisis (VOC) episodes (per year) from 3.8 to 1.2 per year and the hospitalizations </w:t>
      </w:r>
      <w:r w:rsidRPr="00586642">
        <w:rPr>
          <w:rFonts w:ascii="Arial" w:hAnsi="Arial" w:cs="Arial"/>
          <w:sz w:val="24"/>
          <w:szCs w:val="24"/>
        </w:rPr>
        <w:t>per year</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{"citationItems":[{"id":"ITEM-1","itemData":{"DOI":"10.7759/cureus.31527","ISSN":"2168-8184","abstract":"Background In Saudi Arabia, sickle cell disease (SCD) is a major public health issue, especially in the eastern region. Sickle cell patients have major  health-related issues, resulting in a poor quality of life and increased  morbidity. Abnormal hemoglobin production in SCD causes various complications,  such as vaso-occlusive crises, hemolytic episodes, and acute chest syndrome.  These disease manifestations increase the need for hospital admission and  long-term care. Most therapies for SCD are supportive and include episodic red  blood cell transfusions, narcotics, antibiotics, and intravenous fluids.  Hydroxyurea is a disease-modifying therapy. This study aimed to assess the  effectiveness of hydroxyurea therapy on reducing pain crises, hospital  admissions, and length of stay for SCD patients and discern reasons that would  prevent SCD patients from using hydroxyurea as a treatment option. Methodology We  conducted a descriptive cross-sectional study on SCD patients from the eastern  Saudi Arabian province. The study included 202 SCD patients from hematology  clinics and medical wards. We used a validated questionnaire tested for  reliability after a pilot study of 15 randomly selected patients. We surveyed  participants on demographic data, use of hydroxyurea, compliance with the  regimen, hospitalization rates, durations, and complications. The study used IBM  SPSS Statistics for Windows, Version 22.0. (IBM Corp., Armonk, NY) to analyze the  data. All statistical analysis was done using two-tailed tests. P-values &lt; 0.05  were considered statistically significant. Results The study included 202  participants who agreed to participate and completed the study questionnaire. The  respondents comprised 150 SCD patients (74.3%) and 52 caregivers of SCD patients  (25.7%). Patient ages ranged from one year to older than 36 years (mean age: 26.8  ± 12.3 years). The most common reason for not using hydroxyurea was that it was  never offered to patients as a treatment option (40.9% of respondents), followed  by respondents who had never heard of it (34.4%), think that they do not need it  (24.7%), and fears of long-term consequences (23.7%). More hydroxyurea users  (35.1%) suffered no acute painful crises during the last year than nonusers  (32%), and more nonusers suffered more than four crises (20%) than hydroxyurea  users (9.1%; p=.046). As for hospitalization due to SCD-related complications,  66.2% of hydroxyurea users were never hospitalized, while 5…","author":[{"dropping-particle":"","family":"Albohassan","given":"Hassan","non-dropping-particle":"","parse-names":false,"suffix":""},{"dropping-particle":"","family":"Ammen","given":"Muhammed","non-dropping-particle":"","parse-names":false,"suffix":""},{"dropping-particle":"","family":"Alomran","given":"Ali A","non-dropping-particle":"","parse-names":false,"suffix":""},{"dropping-particle":"","family":"Bu Shehab","given":"Hussain","non-dropping-particle":"","parse-names":false,"suffix":""},{"dropping-particle":"","family":"Sakkak","given":"Hussain","non-dropping-particle":"Al","parse-names":false,"suffix":""},{"dropping-particle":"","family":"Bohassan","given":"Afnan","non-dropping-particle":"Al","parse-names":false,"suffix":""}],"container-title":"Cureus","id":"ITEM-1","issue":"11","issued":{"date-parts":[["2022"]]},"language":"eng","page":"e31527","title":"Impact of Hydroxyurea Therapy in Reducing Pain Crises, Hospital Admissions, and Length of Stay Among Sickle Cell Patients in the Eastern Region of Saudi Arabia.","type":"article-journal","volume":"14"},"uris":["http://www.mendeley.com/documents/?uuid=dd6594d1-ee27-4b8b-8da1-83f13b0588a0","http://www.mendeley.com/documents/?uuid=d1e37d63-6bac-468f-b17e-457f0bc4e9e3"]}],"mendeley":{"formattedCitation":"[22]","plainTextFormattedCitation":"[22]","previouslyFormattedCitation":"(Albohassan et al., 2022)"},"properties":{"noteIndex":0},"schema":"https://github.com/citation-style-language/schema/raw/master/csl-citation.json"}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[22]</w:t>
      </w:r>
      <w:r w:rsidRPr="00586642">
        <w:rPr>
          <w:rFonts w:ascii="Arial" w:hAnsi="Arial" w:cs="Arial"/>
          <w:sz w:val="24"/>
          <w:szCs w:val="24"/>
        </w:rPr>
        <w:fldChar w:fldCharType="end"/>
      </w:r>
      <w:r w:rsidRPr="00586642">
        <w:rPr>
          <w:rFonts w:ascii="Arial" w:hAnsi="Arial" w:cs="Arial"/>
          <w:sz w:val="24"/>
          <w:szCs w:val="24"/>
        </w:rPr>
        <w:t xml:space="preserve"> .. In our study, the patients significantly improved their sense of well-being after treatment. </w:t>
      </w:r>
      <w:proofErr w:type="spellStart"/>
      <w:r>
        <w:rPr>
          <w:rFonts w:ascii="Arial" w:hAnsi="Arial" w:cs="Arial"/>
          <w:sz w:val="24"/>
          <w:szCs w:val="24"/>
        </w:rPr>
        <w:t>Mbiya-Mukinay</w:t>
      </w:r>
      <w:proofErr w:type="spellEnd"/>
      <w:r>
        <w:rPr>
          <w:rFonts w:ascii="Arial" w:hAnsi="Arial" w:cs="Arial"/>
          <w:sz w:val="24"/>
          <w:szCs w:val="24"/>
        </w:rPr>
        <w:t xml:space="preserve">, assessing the quality of life using the SF-36 questionnaire, found an Improvement in pain management and a reduction in misperception of role limitations related to emotional issues after </w:t>
      </w:r>
      <w:r w:rsidRPr="00586642">
        <w:rPr>
          <w:rFonts w:ascii="Arial" w:hAnsi="Arial" w:cs="Arial"/>
          <w:sz w:val="24"/>
          <w:szCs w:val="24"/>
        </w:rPr>
        <w:t>treatment with hydroxyurea.  Pain was the main factor affecting quality of life. It is significantly associated with physical functioning</w:t>
      </w:r>
      <w:r>
        <w:rPr>
          <w:rFonts w:ascii="Arial" w:hAnsi="Arial" w:cs="Arial"/>
          <w:sz w:val="24"/>
          <w:szCs w:val="24"/>
        </w:rPr>
        <w:t>,</w:t>
      </w:r>
      <w:r w:rsidRPr="00586642">
        <w:rPr>
          <w:rFonts w:ascii="Arial" w:hAnsi="Arial" w:cs="Arial"/>
          <w:sz w:val="24"/>
          <w:szCs w:val="24"/>
        </w:rPr>
        <w:t xml:space="preserve"> energy/ fatigue, functional and emotional well-being</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{"citationItems":[{"id":"ITEM-1","itemData":{"DOI":"10.1007/s44155-025-00216-2","ISBN":"0123456789","ISSN":"27310469","abstract":"Background: Sickle cell disease is the most common genetic disease in the world, affecting mainly populations in sub-Saharan Africa. It causes high morbidity and mortality rates and is a real public health problem in the Democratic Republic of the Congo. Regular medical follow-up improves the quality of life of patients, especially adolescents, and raises the issue of their transition to adult medicine. This study aims to assess the quality of life and transition of sickle-cell adolescents, identifying key factors influencing their well-being. Method: This was a cross-sectional descriptive and observational study conducted in the form of interviews with 106 sickle cell adolescents in Mbujimayi. The SF-36 short questionnaire was used to assess quality of life. A closed questionnaire (dichotomous or nominal) was used to assess the transition period. Results: The results revealed an overall optimal quality of life, with an average SF-36 score of 60.6 ± 8. Improvement in pain management (75.21 ± 23.49) and misperception of role limitations related to emotional issues (47.79 ± 27.53). Pain is the main factor affecting quality of life. It is significantly associated with physical functioning (p-value 0.014), energy/fatigue p-value 0.014), functional/physical role (p 0.001), emotional well-being (p-value 0.000), social functioning (p-value 0.000) and pain itself (p-value 0.000). The majority, 92% of the adolescents, were unaware of the transition, and 68% did not feel ready to move from pediatric care to adult care. Conclusion: These findings highlight the importance of considering the quality of life of sickle cell adolescents and their transition to adult medicine in Mbujimayi, highlighting the challenges they face and the factors that affect their well-being in general. The most significant factors impacting quality of life were pain and fatigue. While many interviewees recognized the transition to adult care, they felt unprepared and lacked sufficient financial resources.","author":[{"dropping-particle":"","family":"Mbiya-Mukinayi","given":"Benoît","non-dropping-particle":"","parse-names":false,"suffix":""},{"dropping-particle":"","family":"Kalala-Mushinta","given":"Corneille","non-dropping-particle":"","parse-names":false,"suffix":""},{"dropping-particle":"","family":"Kalombo-Munganga","given":"Schadrac","non-dropping-particle":"","parse-names":false,"suffix":""},{"dropping-particle":"","family":"Kalala-Mwanza","given":"Alexandre","non-dropping-particle":"","parse-names":false,"suffix":""},{"dropping-particle":"","family":"Kasongo-Tshiala","given":"Steve","non-dropping-particle":"","parse-names":false,"suffix":""},{"dropping-particle":"","family":"Mpoyi-Kalenda","given":"John","non-dropping-particle":"","parse-names":false,"suffix":""},{"dropping-particle":"","family":"Gulbis","given":"Béatrice","non-dropping-particle":"","parse-names":false,"suffix":""}],"container-title":"Discover Social Science and Health","id":"ITEM-1","issue":"1","issued":{"date-parts":[["2025"]]},"publisher":"Springer International Publishing","title":"Assessing the quality of life of adolescents with sickle cell disease and their transition to adult medicine: experience in a remote area of the Democratic Republic of Congo","type":"article-journal","volume":"5"},"uris":["http://www.mendeley.com/documents/?uuid=e5f1f41f-0150-4f41-825a-7306f766f3e4","http://www.mendeley.com/documents/?uuid=a1ceafae-f42b-4b89-9694-088718511958"]}],"mendeley":{"formattedCitation":"[23]","plainTextFormattedCitation":"[23]","previouslyFormattedCitation":"(Mbiya-Mukinayi et al., 2025)"},"properties":{"noteIndex":0},"schema":"https://github.com/citation-style-language/schema/raw/master/csl-citation.json"}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[23]</w:t>
      </w:r>
      <w:r w:rsidRPr="00586642">
        <w:rPr>
          <w:rFonts w:ascii="Arial" w:hAnsi="Arial" w:cs="Arial"/>
          <w:sz w:val="24"/>
          <w:szCs w:val="24"/>
        </w:rPr>
        <w:fldChar w:fldCharType="end"/>
      </w:r>
      <w:r w:rsidRPr="00586642">
        <w:rPr>
          <w:rFonts w:ascii="Arial" w:hAnsi="Arial" w:cs="Arial"/>
          <w:sz w:val="24"/>
          <w:szCs w:val="24"/>
        </w:rPr>
        <w:t xml:space="preserve">.  </w:t>
      </w:r>
      <w:r w:rsidRPr="00586642">
        <w:rPr>
          <w:rFonts w:ascii="Arial" w:eastAsia="Times New Roman" w:hAnsi="Arial" w:cs="Arial"/>
          <w:sz w:val="24"/>
          <w:szCs w:val="24"/>
        </w:rPr>
        <w:t xml:space="preserve">Another study </w:t>
      </w:r>
      <w:r w:rsidRPr="00743957">
        <w:rPr>
          <w:rFonts w:ascii="Arial" w:eastAsia="Times New Roman" w:hAnsi="Arial" w:cs="Arial"/>
          <w:sz w:val="24"/>
          <w:szCs w:val="24"/>
        </w:rPr>
        <w:t xml:space="preserve">conducted at King Saud Medical City in Riyadh, Saudi Arabia, demonstrated that hydroxyurea leads to significant improvements in both clinical and </w:t>
      </w:r>
      <w:proofErr w:type="spellStart"/>
      <w:r>
        <w:rPr>
          <w:rFonts w:ascii="Arial" w:eastAsia="Times New Roman" w:hAnsi="Arial" w:cs="Arial"/>
          <w:sz w:val="24"/>
          <w:szCs w:val="24"/>
        </w:rPr>
        <w:t>haematological</w:t>
      </w:r>
      <w:proofErr w:type="spellEnd"/>
      <w:r w:rsidRPr="00743957">
        <w:rPr>
          <w:rFonts w:ascii="Arial" w:eastAsia="Times New Roman" w:hAnsi="Arial" w:cs="Arial"/>
          <w:sz w:val="24"/>
          <w:szCs w:val="24"/>
        </w:rPr>
        <w:t xml:space="preserve"> responses in patients with sickle cell disease</w:t>
      </w:r>
      <w:r w:rsidRPr="00586642">
        <w:rPr>
          <w:rFonts w:ascii="Arial" w:hAnsi="Arial" w:cs="Arial"/>
          <w:sz w:val="24"/>
          <w:szCs w:val="24"/>
        </w:rPr>
        <w:t xml:space="preserve">  </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{"citationItems":[{"id":"ITEM-1","itemData":{"DOI":"10.15537/smj.2020.1.24698","ISSN":"1658-3175 0379-5284","abstract":"To measure the incidence of vaso-occlusive crises (VOC) and the role of hydroxyurea (HU) in reducing VOC in sickle cell anemia  patients being treated at  a large tertiary care setting in Kingdom of Saudi Arabia (KSA). The secondary  objective of this study is to observe the gradual improvement in laboratory data  (white blood cell [WBC], platelets, mean corpuscular volume [MCV], hemoglobin  [Hgb], HgbF) following regular use of HU. Methods: Clinical effectiveness of HU  was evaluated in a large pediatric population using a retrospective cohort,  non-interventional, pre-post treatment study designed to control disease severity  selection bias. The cohort included children with SCA (sickle cell (SS),  sickle-beta thalassemia) at King Saud Medical City, Riyadh, KSA, who initiated HU  between January 2012 and June 2017. For each patient healthcare utilization,  laboratory values, and clinical outcomes were observed for an equal duration of  time pre and post hydroxyurea. Results: Out of 416 SCD patients, 128 children  with SCD who initiated HU, of them 82 met the eligibility criteria. After  initiation of HU, there was significant reduction in both VOC (80%) and length of  stay (LOS) (73%). Significant increase in Hgb (13%), MCV (10%), and HgbF (28%)  and significant decrease in WBC (28%) was observed. Only the mean platelet count  decreased by 3% with a p greater than 0.05. Conclusion: Hydroxyurea treatment  significantly decreased episodes of VOC and LOS, it also led to reductions in  hospitalizations and significant improvement in complete blood count indices.","author":[{"dropping-particle":"","family":"Azmet","given":"Fauzia R","non-dropping-particle":"","parse-names":false,"suffix":""},{"dropping-particle":"","family":"Al-Kasim","given":"Fawaz","non-dropping-particle":"","parse-names":false,"suffix":""},{"dropping-particle":"","family":"Alashram","given":"Walid M","non-dropping-particle":"","parse-names":false,"suffix":""},{"dropping-particle":"","family":"Siddique","given":"Khawar","non-dropping-particle":"","parse-names":false,"suffix":""}],"container-title":"Saudi medical journal","id":"ITEM-1","issue":"1","issued":{"date-parts":[["2020"]]},"language":"eng","page":"46-52","title":"The role of hydroxyurea in decreasing the occurrence of vasso-occulusive crisis in pediatric patients with sickle cell disease at King Saud Medical City in  Riyadh, Saudi Arabia.","type":"article-journal","volume":"41"},"uris":["http://www.mendeley.com/documents/?uuid=7894245a-f74b-4990-bff9-8617d8b55e6e","http://www.mendeley.com/documents/?uuid=a09674a4-ea64-461a-a9a2-69c96f5a9999"]}],"mendeley":{"formattedCitation":"[24]","plainTextFormattedCitation":"[24]","previouslyFormattedCitation":"(Azmet et al., 2020a)"},"properties":{"noteIndex":0},"schema":"https://github.com/citation-style-language/schema/raw/master/csl-citation.json"}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[24]</w:t>
      </w:r>
      <w:r w:rsidRPr="00586642">
        <w:rPr>
          <w:rFonts w:ascii="Arial" w:hAnsi="Arial" w:cs="Arial"/>
          <w:sz w:val="24"/>
          <w:szCs w:val="24"/>
        </w:rPr>
        <w:fldChar w:fldCharType="end"/>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{"citationItems":[{"id":"ITEM-1","itemData":{"DOI":"10.1111/ejh.14138","ISSN":"0902-4441","abstract":"Hydroxyurea reduces the frequency of vaso-occlusive complications, increases hemoglobin, and decreases mortality in sickle cell disease (SCD). Although current guidelines recommend escalation to maximum tolerated dose (MTD), the use of fixed low-dose hydroxyurea is common in low-resource countries. We conducted a systematic review and meta-analysis to evaluate the efficacy of escalated doses versus fixed low-dose of hydroxyurea in adults with SCD. Nine studies were included in the quantitative synthesis, four evaluating fixed low-dose and five evaluating escalated doses of hydroxyurea. Average daily doses of hydroxyurea in the fixed low-dose and escalated dose studies were ~10 mg/kg and 22 mg/kg, respectively. There was no difference in the estimate of vaso-occlusive crisis rate between escalated and fixed low-dose studies (p=0.73). The mean difference in hemoglobin from baseline to follow-up was greater for fixed low-dose than escalated dose studies (1.07 g/dL vs. 0.54 g/dL, p=0.01). No difference was seen in the mean estimate of fetal hemoglobin. Despite limited eligible studies and substantial heterogeneity of effect between the studies for several outcomes, there appears to be clinical equipoise regarding the most appropriate hydroxyurea dosing regimen in adults with SCD. Controlled studies of hydroxyurea at MTD versus fixed low-dose in adults with SCD are required.","author":[{"dropping-particle":"","family":"Ogu","given":"Ugochi O","non-dropping-particle":"","parse-names":false,"suffix":""},{"dropping-particle":"","family":"Mukhopadhyay","given":"Ayesha","non-dropping-particle":"","parse-names":false,"suffix":""},{"dropping-particle":"","family":"Patel","given":"Kruti","non-dropping-particle":"","parse-names":false,"suffix":""},{"dropping-particle":"","family":"Nelson","given":"Marquita N","non-dropping-particle":"","parse-names":false,"suffix":""},{"dropping-particle":"","family":"Strahan","given":"KayLee S","non-dropping-particle":"","parse-names":false,"suffix":""},{"dropping-particle":"","family":"Wu","given":"Lin","non-dropping-particle":"","parse-names":false,"suffix":""},{"dropping-particle":"","family":"Smeltzer","given":"Matthew P","non-dropping-particle":"","parse-names":false,"suffix":""},{"dropping-particle":"","family":"Ataga","given":"Kenneth I","non-dropping-particle":"","parse-names":false,"suffix":""}],"container-title":"European journal of haematology","id":"ITEM-1","issue":"3","issued":{"date-parts":[["2024","7"]]},"page":"466-474","title":"Hydroxyurea at Escalated Dose versus Fixed Low-Dose Hydroxyurea in Adults with Sickle Cell Disease","type":"article-journal","volume":"112"},"uris":["http://www.mendeley.com/documents/?uuid=a1ff616f-0680-4bd7-8d7c-eb493f19d0f9","http://www.mendeley.com/documents/?uuid=91fec501-26c3-48d5-b90a-31f511b2a74b"]}],"mendeley":{"formattedCitation":"[25]","plainTextFormattedCitation":"[25]","previouslyFormattedCitation":"(Ogu et al., 2024)"},"properties":{"noteIndex":0},"schema":"https://github.com/citation-style-language/schema/raw/master/csl-citation.json"}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[25]</w:t>
      </w:r>
      <w:r w:rsidRPr="00586642">
        <w:rPr>
          <w:rFonts w:ascii="Arial" w:hAnsi="Arial" w:cs="Arial"/>
          <w:sz w:val="24"/>
          <w:szCs w:val="24"/>
        </w:rPr>
        <w:fldChar w:fldCharType="end"/>
      </w:r>
      <w:r w:rsidRPr="00586642">
        <w:rPr>
          <w:rFonts w:ascii="Arial" w:hAnsi="Arial" w:cs="Arial"/>
          <w:sz w:val="24"/>
          <w:szCs w:val="24"/>
        </w:rPr>
        <w:t xml:space="preserve"> </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{"citationItems":[{"id":"ITEM-1","itemData":{"DOI":"10.15537/smj.2020.1.24698","ISSN":"16583175","PMID":"31915794","abstract":"Objectives: To measure the incidence of vaso-occlusive crises)VOC(and the role of hydroxyurea)HU(in reducing VOC in sickle cell anemia patients being treated at a large tertiary care setting in Kingdom of Saudi Arabia)KSA(. The secondary objective of this study is to observe the gradual improvement in laboratory data)white blood cell ]WBC[, platelets, mean corpuscular volume ]MCV[, hemoglobin ]Hgb[, HgbF(following regular use of HU. Methods: Clinical effectiveness of HU was evaluated in a large pediatric population using a retrospective cohort, non-interventional, pre-post treatment study designed to control disease severity selection bias. The cohort included children with SCA)sickle cell)SS(, sickle-beta thalassemia(at King Saud Medical City, Riyadh, KSA, who initiated HU between January 2012 and June 2017. For each patient healthcare utilization, laboratory values, and clinical outcomes were observed for an equal duration of time pre and post hydroxyurea. Results: Out of 416 SCD patients, 128 children with SCD who initiated HU, of them 82 met the eligibility criteria. After initiation of HU, there was significant reduction in both VOC)80%(and length of stay)LOS()73%(. Significant increase in Hgb)13%(, MCV)10%(, and HgbF)28%(and significant decrease in WBC)28%(was observed. Only the mean platelet count decreased by 3% with a p&gt;0.05. Conclusion: Hydroxyurea treatment significantly decreased episodes of VOC and LOS, it also led to reductions in hospitalizations and significant improvement in complete blood count indices.","author":[{"dropping-particle":"","family":"Azmet","given":"Fauzia R.","non-dropping-particle":"","parse-names":false,"suffix":""},{"dropping-particle":"","family":"Al-Kasim","given":"Fawaz","non-dropping-particle":"","parse-names":false,"suffix":""},{"dropping-particle":"","family":"Alashram","given":"Walid M.","non-dropping-particle":"","parse-names":false,"suffix":""},{"dropping-particle":"","family":"Siddique","given":"Khawar","non-dropping-particle":"","parse-names":false,"suffix":""}],"container-title":"Saudi Medical Journal","id":"ITEM-1","issue":"1","issued":{"date-parts":[["2020"]]},"page":"46-52","title":"The role of hydroxyurea in decreasing the occurrence of vasso-occulusive crisis in pediatric patients with sickle cell disease at King Saud Medical City in Riyadh, Saudi Arabia","type":"article-journal","volume":"41"},"uris":["http://www.mendeley.com/documents/?uuid=64fb708e-5b30-4681-a6dc-bf89433048e3","http://www.mendeley.com/documents/?uuid=b1955257-63c1-4489-a8e0-7f774b5f8340"]}],"mendeley":{"formattedCitation":"[26]","plainTextFormattedCitation":"[26]","previouslyFormattedCitation":"(Azmet et al., 2020b)"},"properties":{"noteIndex":0},"schema":"https://github.com/citation-style-language/schema/raw/master/csl-citation.json"}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[26]</w:t>
      </w:r>
      <w:r w:rsidRPr="00586642">
        <w:rPr>
          <w:rFonts w:ascii="Arial" w:hAnsi="Arial" w:cs="Arial"/>
          <w:sz w:val="24"/>
          <w:szCs w:val="24"/>
        </w:rPr>
        <w:fldChar w:fldCharType="end"/>
      </w:r>
    </w:p>
    <w:p w:rsidR="00765883" w:rsidRPr="00061965" w:rsidRDefault="00765883" w:rsidP="00765883">
      <w:pPr>
        <w:spacing w:before="100" w:beforeAutospacing="1" w:after="100" w:afterAutospacing="1" w:line="360" w:lineRule="auto"/>
        <w:jc w:val="both"/>
        <w:rPr>
          <w:rFonts w:ascii="Arial" w:eastAsia="Times New Roman" w:hAnsi="Arial" w:cs="Arial"/>
          <w:sz w:val="24"/>
          <w:szCs w:val="24"/>
        </w:rPr>
      </w:pPr>
      <w:r w:rsidRPr="00586642">
        <w:rPr>
          <w:rFonts w:ascii="Arial" w:hAnsi="Arial" w:cs="Arial"/>
          <w:sz w:val="24"/>
          <w:szCs w:val="24"/>
        </w:rPr>
        <w:lastRenderedPageBreak/>
        <w:t>Regarding adherence to Hydroxyurea treatment,</w:t>
      </w:r>
      <w:r w:rsidRPr="00586642">
        <w:rPr>
          <w:rFonts w:ascii="Arial" w:hAnsi="Arial" w:cs="Arial"/>
          <w:bCs/>
          <w:sz w:val="24"/>
          <w:szCs w:val="24"/>
        </w:rPr>
        <w:t xml:space="preserve"> 164</w:t>
      </w:r>
      <w:r w:rsidRPr="00586642">
        <w:rPr>
          <w:rFonts w:ascii="Arial" w:hAnsi="Arial" w:cs="Arial"/>
          <w:sz w:val="24"/>
          <w:szCs w:val="24"/>
        </w:rPr>
        <w:t xml:space="preserve"> (</w:t>
      </w:r>
      <w:r w:rsidRPr="00586642">
        <w:rPr>
          <w:rFonts w:ascii="Arial" w:hAnsi="Arial" w:cs="Arial"/>
          <w:bCs/>
          <w:sz w:val="24"/>
          <w:szCs w:val="24"/>
        </w:rPr>
        <w:t xml:space="preserve">91.1%) of respondents </w:t>
      </w:r>
      <w:r w:rsidRPr="00586642">
        <w:rPr>
          <w:rFonts w:ascii="Arial" w:hAnsi="Arial" w:cs="Arial"/>
          <w:sz w:val="24"/>
          <w:szCs w:val="24"/>
        </w:rPr>
        <w:t xml:space="preserve">demonstrated </w:t>
      </w:r>
      <w:r w:rsidRPr="00586642">
        <w:rPr>
          <w:rFonts w:ascii="Arial" w:hAnsi="Arial" w:cs="Arial"/>
          <w:bCs/>
          <w:sz w:val="24"/>
          <w:szCs w:val="24"/>
        </w:rPr>
        <w:t>good adherence</w:t>
      </w:r>
      <w:r w:rsidRPr="00586642">
        <w:rPr>
          <w:rFonts w:ascii="Arial" w:hAnsi="Arial" w:cs="Arial"/>
          <w:sz w:val="24"/>
          <w:szCs w:val="24"/>
        </w:rPr>
        <w:t xml:space="preserve"> to Hydroxyurea therapy. This indicates a high level of treatment commitment, likely influenced by positive therapeutic outcomes, patient education, regular follow-up, and accessible healthcare support.</w:t>
      </w:r>
      <w:r w:rsidRPr="00586642">
        <w:rPr>
          <w:rFonts w:ascii="Arial" w:hAnsi="Arial" w:cs="Arial"/>
          <w:bCs/>
          <w:sz w:val="24"/>
          <w:szCs w:val="24"/>
        </w:rPr>
        <w:t>8.9% (16 patients)</w:t>
      </w:r>
      <w:r w:rsidRPr="00586642">
        <w:rPr>
          <w:rFonts w:ascii="Arial" w:hAnsi="Arial" w:cs="Arial"/>
          <w:sz w:val="24"/>
          <w:szCs w:val="24"/>
        </w:rPr>
        <w:t xml:space="preserve"> exhibited </w:t>
      </w:r>
      <w:r w:rsidRPr="00586642">
        <w:rPr>
          <w:rFonts w:ascii="Arial" w:hAnsi="Arial" w:cs="Arial"/>
          <w:bCs/>
          <w:sz w:val="24"/>
          <w:szCs w:val="24"/>
        </w:rPr>
        <w:t>moderate to poor adherence</w:t>
      </w:r>
      <w:r w:rsidRPr="00586642">
        <w:rPr>
          <w:rFonts w:ascii="Arial" w:hAnsi="Arial" w:cs="Arial"/>
          <w:sz w:val="24"/>
          <w:szCs w:val="24"/>
        </w:rPr>
        <w:t>.</w:t>
      </w:r>
      <w:r w:rsidRPr="000E33D7">
        <w:t xml:space="preserve"> </w:t>
      </w:r>
      <w:r w:rsidRPr="00C83839">
        <w:rPr>
          <w:rFonts w:ascii="Arial" w:hAnsi="Arial" w:cs="Arial"/>
          <w:sz w:val="24"/>
          <w:szCs w:val="24"/>
        </w:rPr>
        <w:t>In the present study</w:t>
      </w:r>
      <w:r>
        <w:rPr>
          <w:rFonts w:ascii="Arial" w:hAnsi="Arial" w:cs="Arial"/>
          <w:sz w:val="24"/>
          <w:szCs w:val="24"/>
        </w:rPr>
        <w:t>, patients</w:t>
      </w:r>
      <w:r w:rsidRPr="00C83839">
        <w:rPr>
          <w:rFonts w:ascii="Arial" w:hAnsi="Arial" w:cs="Arial"/>
          <w:sz w:val="24"/>
          <w:szCs w:val="24"/>
        </w:rPr>
        <w:t xml:space="preserve"> demonstrated good adherence to hydroxyurea therapy. This adherence rate is notably higher than that reported in Oman, where 82.5% of patients adhered to treatment</w:t>
      </w:r>
      <w:r>
        <w:rPr>
          <w:rFonts w:ascii="Arial" w:hAnsi="Arial" w:cs="Arial"/>
          <w:sz w:val="24"/>
          <w:szCs w:val="24"/>
        </w:rPr>
        <w:t>. Another study conducted at King Abdul Aziz, Saudi Arabia, involving adolescents and young adults aged 15–24, found a similar adherence rate of 82.5%</w:t>
      </w:r>
      <w:r w:rsidRPr="00C83839">
        <w:rPr>
          <w:rFonts w:ascii="Arial" w:hAnsi="Arial" w:cs="Arial"/>
          <w:sz w:val="24"/>
          <w:szCs w:val="24"/>
        </w:rPr>
        <w:t xml:space="preserve"> to hydroxyurea. </w:t>
      </w:r>
      <w:r w:rsidRPr="00C83839">
        <w:rPr>
          <w:rFonts w:ascii="Arial" w:hAnsi="Arial" w:cs="Arial"/>
          <w:sz w:val="24"/>
          <w:szCs w:val="24"/>
        </w:rPr>
        <w:fldChar w:fldCharType="begin" w:fldLock="1"/>
      </w:r>
      <w:r>
        <w:rPr>
          <w:rFonts w:ascii="Arial" w:hAnsi="Arial" w:cs="Arial"/>
          <w:sz w:val="24"/>
          <w:szCs w:val="24"/>
        </w:rPr>
        <w:instrText>ADDIN CSL_CITATION {"citationItems":[{"id":"ITEM-1","itemData":{"DOI":"10.7759/cureus.13453","ISSN":"2168-8184","abstract":"Background Sickle cell disease (SCD) is an autosomal recessive hemoglobinopathy that is very common and causes a great burden in Saudi Arabia and worldwide. This  study aims to determine the frequency and benefits of using hydroxyurea in  treating children with SCD in King Abdulaziz University Hospital (KAUH) in Saudi  Arabia. Method This retrospective observational study included all SCD patients,  males and females, who were following up in KAUH and were less than 18 years old.  Patients on chronic transfusion therapy or who had previous stem cell  transplantation were excluded from the study. The study was approved by the unit  of biomedical ethics in KAUH, Jeddah. Result The study included 102 SCD patients;  the median age of the sample was 7.5±4.2, with the majority being female (58  patients; 56.9%). Hydroxyurea users among participants in the study were 62  patients (60.8%). Thirty-seven (37) of the patients using hydroxyurea had an  increase in the mean corpuscular volume (MCV). There was a decrease in the level  of white blood cells (WBCs) and neutrophil count from 15.81±10.24 and  48.31±23.23% to 12.48±5.48 and 40.81±15.78%, respectively. Platelet count showed  an increase from 345.4±2.1096 to 359.162±199.87 after starting hydroxyurea. The  incidence of vaso-occlusive crisis (VOC) increased after hydroxyurea initiation  from 4.555±4.08 to 6.288±9.80. Moreover, the frequency of blood transfusion in  patients using hydroxyurea was statistically significant as p-value = 0.048.  Conclusion In conclusion, our results showed significant clinical and laboratory  benefits of hydroxyurea in children with SCD. Hydroxyurea has been shown to  reduce the frequency of VOC and blood transfusion in patients with SCD.","author":[{"dropping-particle":"","family":"Alzahrani","given":"Fatma","non-dropping-particle":"","parse-names":false,"suffix":""},{"dropping-particle":"","family":"Albaz","given":"Ghaidaa F","non-dropping-particle":"","parse-names":false,"suffix":""},{"dropping-particle":"","family":"AlSinan","given":"Fatima","non-dropping-particle":"","parse-names":false,"suffix":""},{"dropping-particle":"","family":"Alzuhayri","given":"Jumana","non-dropping-particle":"","parse-names":false,"suffix":""},{"dropping-particle":"","family":"Barnawi","given":"Zahra M","non-dropping-particle":"","parse-names":false,"suffix":""},{"dropping-particle":"","family":"Melebari","given":"Nouf","non-dropping-particle":"","parse-names":false,"suffix":""},{"dropping-particle":"","family":"Twairgi","given":"Tethkar M 2nd","non-dropping-particle":"Al","parse-names":false,"suffix":""}],"container-title":"Cureus","id":"ITEM-1","issue":"2","issued":{"date-parts":[["2021"]]},"language":"eng","page":"e13453","title":"Hydroxyurea Use Among Children With Sickle Cell Disease at King Abdulaziz University Hospital in Jeddah City.","type":"article-journal","volume":"13"},"uris":["http://www.mendeley.com/documents/?uuid=53d6477b-b3e1-4397-950a-1f2dd8048cf9","http://www.mendeley.com/documents/?uuid=c2a8a3e1-eaa8-4abb-9547-374f4dc22c26"]}],"mendeley":{"formattedCitation":"[27]","plainTextFormattedCitation":"[27]","previouslyFormattedCitation":"(Alzahrani et al., 2021)"},"properties":{"noteIndex":0},"schema":"https://github.com/citation-style-language/schema/raw/master/csl-citation.json"}</w:instrText>
      </w:r>
      <w:r w:rsidRPr="00C83839">
        <w:rPr>
          <w:rFonts w:ascii="Arial" w:hAnsi="Arial" w:cs="Arial"/>
          <w:sz w:val="24"/>
          <w:szCs w:val="24"/>
        </w:rPr>
        <w:fldChar w:fldCharType="separate"/>
      </w:r>
      <w:r w:rsidRPr="00765883">
        <w:rPr>
          <w:rFonts w:ascii="Arial" w:hAnsi="Arial" w:cs="Arial"/>
          <w:noProof/>
          <w:sz w:val="24"/>
          <w:szCs w:val="24"/>
        </w:rPr>
        <w:t>[27]</w:t>
      </w:r>
      <w:r w:rsidRPr="00C83839">
        <w:rPr>
          <w:rFonts w:ascii="Arial" w:hAnsi="Arial" w:cs="Arial"/>
          <w:sz w:val="24"/>
          <w:szCs w:val="24"/>
        </w:rPr>
        <w:fldChar w:fldCharType="end"/>
      </w:r>
      <w:r w:rsidRPr="00C83839">
        <w:rPr>
          <w:rFonts w:ascii="Arial" w:hAnsi="Arial" w:cs="Arial"/>
          <w:sz w:val="24"/>
          <w:szCs w:val="24"/>
        </w:rPr>
        <w:fldChar w:fldCharType="begin" w:fldLock="1"/>
      </w:r>
      <w:r>
        <w:rPr>
          <w:rFonts w:ascii="Arial" w:hAnsi="Arial" w:cs="Arial"/>
          <w:sz w:val="24"/>
          <w:szCs w:val="24"/>
        </w:rPr>
        <w:instrText>ADDIN CSL_CITATION {"citationItems":[{"id":"ITEM-1","itemData":{"DOI":"10.3390/medicina60010124","ISSN":"1648-9144 1010-660X","abstract":"Background and Objectives: Hydroxyurea is a crucial treatment for sickle cell disease (SCD), but some patients' adherence to it remains suboptimal.  Understanding patients' perspectives on SCD and HU is essential for improving  adherence. This study aimed to assess hydroxyurea adherence and patients'  perceptions of SCD and hydroxyurea among SCD patients in the Jazan region of  Saudi Arabia. Materials and Methods: This cross-sectional study collected data  from 217 SCD patients using self-administered questionnaires from August 2022 to  January 2023. The survey covered patient demographics, SCD consequences, and  other clinical data. We used the Brief Illness Perception Questionnaire (B-IPQ)  to measure patients' disease perception and the 8-item Morisky Medication  Adherence Scale (MMAS-8) to evaluate patients' adherence to HU. Data were  analysed using descriptive, t-test, and chi-square tests, and the p-value was set  at &lt;0.05 for significance. Results: More than half of the patients were male,  with a mean age of 28.09 ± 8.40 years. About 57.6% of the patients were currently  using HU. About 81.6% of HU users reported low adherence. The adherence was lower  among individuals with infections/recurrent infections and in patients who  received repeated blood transfusions. ICU admission, blood transfusion, and  certain SCD complications were associated with HU use. Male patients had a higher  perception of SCD consequences, concern, and understanding. ICU-admitted and  recurrent hospitalized patients had a higher perception of the SCD-related  consequences, symptoms, concerns, and emotional responses. Conclusions: HU seems  a well-established and efficacious disease-modifying agent, but its  underutilization for SCD patients remains challenging. To overcome the adherence  challenges, healthcare providers must educate SCD patients about the role of  hydroxyurea in lowering disease severity and addressing side effects to obtain  maximum benefits. Healthcare providers may consider tailored educational  interventions to improve adherence, particularly for patients with infections,  recurrent hospitalizations, or repeated blood transfusions. Further research is  needed to identify strategies for improving hydroxyurea adherence and patient  education among SCD patients.","author":[{"dropping-particle":"","family":"Madkhali","given":"Mohammed Ali","non-dropping-particle":"","parse-names":false,"suffix":""},{"dropping-particle":"","family":"Abusageah","given":"Faisal","non-dropping-particle":"","parse-names":false,"suffix":""},{"dropping-particle":"","family":"Hakami","given":"Faisal","non-dropping-particle":"","parse-names":false,"suffix":""},{"dropping-particle":"","family":"Zogel","given":"Basem","non-dropping-particle":"","parse-names":false,"suffix":""},{"dropping-particle":"","family":"Hakami","given":"Khalid M","non-dropping-particle":"","parse-names":false,"suffix":""},{"dropping-particle":"","family":"Alfaifi","given":"Samar","non-dropping-particle":"","parse-names":false,"suffix":""},{"dropping-particle":"","family":"Alhazmi","given":"Essam","non-dropping-particle":"","parse-names":false,"suffix":""},{"dropping-particle":"","family":"Zaalah","given":"Shaden","non-dropping-particle":"","parse-names":false,"suffix":""},{"dropping-particle":"","family":"Trabi","given":"Shadi","non-dropping-particle":"","parse-names":false,"suffix":""},{"dropping-particle":"","family":"Alhazmi","given":"Abdulaziz H","non-dropping-particle":"","parse-names":false,"suffix":""},{"dropping-particle":"","family":"Mohrag","given":"Mostafa","non-dropping-particle":"","parse-names":false,"suffix":""},{"dropping-particle":"","family":"Malhan","given":"Hafiz","non-dropping-particle":"","parse-names":false,"suffix":""}],"container-title":"Medicina (Kaunas, Lithuania)","id":"ITEM-1","issue":"1","issued":{"date-parts":[["2024"]]},"language":"eng","title":"Adherence to Hydroxyurea and Patients' Perceptions of Sickle Cell Disease and Hydroxyurea: A Cross-Sectional Study.","type":"article-journal","volume":"60"},"uris":["http://www.mendeley.com/documents/?uuid=863b2397-b093-42b7-a40e-45108425e0ca","http://www.mendeley.com/documents/?uuid=eeeaba57-0826-41e3-9e16-d050178ab3f3"]}],"mendeley":{"formattedCitation":"[28]","plainTextFormattedCitation":"[28]","previouslyFormattedCitation":"(Madkhali et al., 2024)"},"properties":{"noteIndex":0},"schema":"https://github.com/citation-style-language/schema/raw/master/csl-citation.json"}</w:instrText>
      </w:r>
      <w:r w:rsidRPr="00C83839">
        <w:rPr>
          <w:rFonts w:ascii="Arial" w:hAnsi="Arial" w:cs="Arial"/>
          <w:sz w:val="24"/>
          <w:szCs w:val="24"/>
        </w:rPr>
        <w:fldChar w:fldCharType="separate"/>
      </w:r>
      <w:r w:rsidRPr="00765883">
        <w:rPr>
          <w:rFonts w:ascii="Arial" w:hAnsi="Arial" w:cs="Arial"/>
          <w:noProof/>
          <w:sz w:val="24"/>
          <w:szCs w:val="24"/>
        </w:rPr>
        <w:t>[28]</w:t>
      </w:r>
      <w:r w:rsidRPr="00C83839">
        <w:rPr>
          <w:rFonts w:ascii="Arial" w:hAnsi="Arial" w:cs="Arial"/>
          <w:sz w:val="24"/>
          <w:szCs w:val="24"/>
        </w:rPr>
        <w:fldChar w:fldCharType="end"/>
      </w:r>
      <w:r w:rsidRPr="00C83839">
        <w:rPr>
          <w:rFonts w:ascii="Arial" w:hAnsi="Arial" w:cs="Arial"/>
          <w:sz w:val="24"/>
          <w:szCs w:val="24"/>
        </w:rPr>
        <w:t xml:space="preserve">. One study </w:t>
      </w:r>
      <w:r w:rsidRPr="00061965">
        <w:rPr>
          <w:rFonts w:ascii="Arial" w:eastAsia="Times New Roman" w:hAnsi="Arial" w:cs="Arial"/>
          <w:sz w:val="24"/>
          <w:szCs w:val="24"/>
        </w:rPr>
        <w:t xml:space="preserve">conducted in Oman </w:t>
      </w:r>
      <w:r w:rsidRPr="00C83839">
        <w:rPr>
          <w:rFonts w:ascii="Arial" w:hAnsi="Arial" w:cs="Arial"/>
          <w:sz w:val="24"/>
          <w:szCs w:val="24"/>
        </w:rPr>
        <w:fldChar w:fldCharType="begin" w:fldLock="1"/>
      </w:r>
      <w:r>
        <w:rPr>
          <w:rFonts w:ascii="Arial" w:hAnsi="Arial" w:cs="Arial"/>
          <w:sz w:val="24"/>
          <w:szCs w:val="24"/>
        </w:rPr>
        <w:instrText>ADDIN CSL_CITATION {"citationItems":[{"id":"ITEM-1","itemData":{"DOI":"10.5001/omj.2019.64","ISSN":"1999768X, 20705204","author":[{"dropping-particle":"","family":"Jose","given":"Jimmy","non-dropping-particle":"","parse-names":false,"suffix":""},{"dropping-particle":"","family":"Elsadek","given":"Refaat Abdullah","non-dropping-particle":"","parse-names":false,"suffix":""},{"dropping-particle":"","family":"Jimmy","given":"Beena","non-dropping-particle":"","parse-names":false,"suffix":""},{"dropping-particle":"","family":"George","given":"Prasad","non-dropping-particle":"","parse-names":false,"suffix":""}],"container-title":"Oman Medical Journal","id":"ITEM-1","issue":"4","issued":{"date-parts":[["2019","12"]]},"page":"327-335","title":"Hydroxyurea: Pattern of Use, Patient Adherence, and Safety Profile in Patients with Sickle Cell Disease in Oman","type":"article-journal","volume":"34"},"uris":["http://www.mendeley.com/documents/?uuid=e31dba9e-ecbf-48dc-bcea-3efb220cc1cf","http://www.mendeley.com/documents/?uuid=7cfd8754-66c5-44dd-8380-6af2e8aa74f6"]}],"mendeley":{"formattedCitation":"[29]","plainTextFormattedCitation":"[29]","previouslyFormattedCitation":"(Jose et al., 2019)"},"properties":{"noteIndex":0},"schema":"https://github.com/citation-style-language/schema/raw/master/csl-citation.json"}</w:instrText>
      </w:r>
      <w:r w:rsidRPr="00C83839">
        <w:rPr>
          <w:rFonts w:ascii="Arial" w:hAnsi="Arial" w:cs="Arial"/>
          <w:sz w:val="24"/>
          <w:szCs w:val="24"/>
        </w:rPr>
        <w:fldChar w:fldCharType="separate"/>
      </w:r>
      <w:r w:rsidRPr="00765883">
        <w:rPr>
          <w:rFonts w:ascii="Arial" w:hAnsi="Arial" w:cs="Arial"/>
          <w:noProof/>
          <w:sz w:val="24"/>
          <w:szCs w:val="24"/>
        </w:rPr>
        <w:t>[29]</w:t>
      </w:r>
      <w:r w:rsidRPr="00C83839">
        <w:rPr>
          <w:rFonts w:ascii="Arial" w:hAnsi="Arial" w:cs="Arial"/>
          <w:sz w:val="24"/>
          <w:szCs w:val="24"/>
        </w:rPr>
        <w:fldChar w:fldCharType="end"/>
      </w:r>
      <w:r w:rsidRPr="00C83839">
        <w:rPr>
          <w:rFonts w:ascii="Arial" w:hAnsi="Arial" w:cs="Arial"/>
          <w:sz w:val="24"/>
          <w:szCs w:val="24"/>
        </w:rPr>
        <w:t xml:space="preserve"> </w:t>
      </w:r>
      <w:r w:rsidRPr="00061965">
        <w:rPr>
          <w:rFonts w:ascii="Arial" w:eastAsia="Times New Roman" w:hAnsi="Arial" w:cs="Arial"/>
          <w:sz w:val="24"/>
          <w:szCs w:val="24"/>
        </w:rPr>
        <w:t xml:space="preserve">reported that among 80 patients with sickle cell disease receiving hydroxyurea therapy, 66 (82.5%) were adherent to the treatment, while only 14 (17.5%) were non-adherent. Similarly, a high level of adherence was also observed at </w:t>
      </w:r>
      <w:proofErr w:type="spellStart"/>
      <w:r w:rsidRPr="00061965">
        <w:rPr>
          <w:rFonts w:ascii="Arial" w:eastAsia="Times New Roman" w:hAnsi="Arial" w:cs="Arial"/>
          <w:sz w:val="24"/>
          <w:szCs w:val="24"/>
        </w:rPr>
        <w:t>Bugando</w:t>
      </w:r>
      <w:proofErr w:type="spellEnd"/>
      <w:r w:rsidRPr="00061965">
        <w:rPr>
          <w:rFonts w:ascii="Arial" w:eastAsia="Times New Roman" w:hAnsi="Arial" w:cs="Arial"/>
          <w:sz w:val="24"/>
          <w:szCs w:val="24"/>
        </w:rPr>
        <w:t xml:space="preserve"> Medical Centre in Tanzania</w:t>
      </w:r>
      <w:r w:rsidRPr="00586642">
        <w:rPr>
          <w:rFonts w:ascii="Arial" w:hAnsi="Arial" w:cs="Arial"/>
          <w:sz w:val="24"/>
          <w:szCs w:val="24"/>
        </w:rPr>
        <w:fldChar w:fldCharType="begin" w:fldLock="1"/>
      </w:r>
      <w:r>
        <w:rPr>
          <w:rFonts w:ascii="Arial" w:hAnsi="Arial" w:cs="Arial"/>
          <w:sz w:val="24"/>
          <w:szCs w:val="24"/>
        </w:rPr>
        <w:instrText>ADDIN CSL_CITATION {"citationItems":[{"id":"ITEM-1","itemData":{"DOI":"10.3390/ijerph22040616","ISSN":"16604601","PMID":"40283840","abstract":"Hydroxyurea is effective in reducing the severity of Sickle cell anemia (SCA) symptoms, yet adherence remains challenging, particularly in resource-limited settings. Bugando Medical Centre, a major healthcare provider, faces undocumented adherence issues among its pediatric SCA patients. This study aims to evaluate the adherence rate to hydroxyurea therapy among caregivers of children with SCA at Bugando Medical Centre and identify factors contributing to non-adherence. This analytical cross-sectional study involved 172 participants. Data were analyzed using Stata version 15 and modified Poisson regression determined the association between exposures and adherence to hydroxyurea treatment. More than half (68.6%) of the children were aged between 1 and 10 years, with a median age of 8 years (IQR: 5–12). Good adherence to hydroxyurea was observed in 23.8% of participants, while 76.2% showed moderate to poor adherence. Children aged 1–10 years were twice as likely to have good adherence compared to those aged 11–17 years (aPR = 2.98, 95% CI = 1.18, 7.47). Children of caregivers with secondary education had a 41% higher chance of good adherence (aPR = 1.41, 95% CI = 1.19, 2.87) compared to those with primary education. Additionally, children of caregivers with college/university education had a 92% higher chance of good adherence (aPR = 1.92, 95% CI = 1.09, 4.63) compared to those with primary education. Participants with good knowledge of hydroxyurea had a 55% higher chance of good adherence (aPR = 1.55, 95% CI = 1.10, 4.78) compared to those with poor knowledge. Factors such as the child’s age and caregiver’s educational level are associated with good adherence to hydroxyurea treatment. Despite these associations, overall adherence rates are low, highlighting the need for targeted interventions to enhance knowledge and awareness about the importance of adherence to hydroxyurea treatment.","author":[{"dropping-particle":"","family":"Subira","given":"Maria Inviolata","non-dropping-particle":"","parse-names":false,"suffix":""},{"dropping-particle":"","family":"Ambrose","given":"Emmanuela E.","non-dropping-particle":"","parse-names":false,"suffix":""},{"dropping-particle":"","family":"Konje","given":"Eveline","non-dropping-particle":"","parse-names":false,"suffix":""}],"container-title":"International Journal of Environmental Research and Public Health","id":"ITEM-1","issue":"4","issued":{"date-parts":[["2025"]]},"page":"1-11","title":"Adherence to Hydroxyurea Therapy for Pediatric Sickle Cell Anemia in Tanzania: Evidence from Bugando Medical Centre","type":"article-journal","volume":"22"},"uris":["http://www.mendeley.com/documents/?uuid=e0d01e43-2730-48e6-9b77-13449fff502b","http://www.mendeley.com/documents/?uuid=e15b9e7a-1456-4ed3-83ea-1183979c5ed4"]}],"mendeley":{"formattedCitation":"[30]","plainTextFormattedCitation":"[30]","previouslyFormattedCitation":"(Subira et al., 2025)"},"properties":{"noteIndex":0},"schema":"https://github.com/citation-style-language/schema/raw/master/csl-citation.json"}</w:instrText>
      </w:r>
      <w:r w:rsidRPr="00586642">
        <w:rPr>
          <w:rFonts w:ascii="Arial" w:hAnsi="Arial" w:cs="Arial"/>
          <w:sz w:val="24"/>
          <w:szCs w:val="24"/>
        </w:rPr>
        <w:fldChar w:fldCharType="separate"/>
      </w:r>
      <w:r w:rsidRPr="00765883">
        <w:rPr>
          <w:rFonts w:ascii="Arial" w:hAnsi="Arial" w:cs="Arial"/>
          <w:noProof/>
          <w:sz w:val="24"/>
          <w:szCs w:val="24"/>
        </w:rPr>
        <w:t>[30]</w:t>
      </w:r>
      <w:r w:rsidRPr="00586642">
        <w:rPr>
          <w:rFonts w:ascii="Arial" w:hAnsi="Arial" w:cs="Arial"/>
          <w:sz w:val="24"/>
          <w:szCs w:val="24"/>
        </w:rPr>
        <w:fldChar w:fldCharType="end"/>
      </w:r>
      <w:r w:rsidRPr="00586642">
        <w:rPr>
          <w:rFonts w:ascii="Arial" w:hAnsi="Arial" w:cs="Arial"/>
          <w:sz w:val="24"/>
          <w:szCs w:val="24"/>
        </w:rPr>
        <w:t xml:space="preserve">. </w:t>
      </w:r>
      <w:r w:rsidRPr="00061965">
        <w:rPr>
          <w:rFonts w:ascii="Arial" w:eastAsia="Times New Roman" w:hAnsi="Arial" w:cs="Arial"/>
          <w:sz w:val="24"/>
          <w:szCs w:val="24"/>
        </w:rPr>
        <w:t xml:space="preserve">These findings highlight the importance of treatment adherence in achieving </w:t>
      </w:r>
      <w:proofErr w:type="spellStart"/>
      <w:r>
        <w:rPr>
          <w:rFonts w:ascii="Arial" w:eastAsia="Times New Roman" w:hAnsi="Arial" w:cs="Arial"/>
          <w:sz w:val="24"/>
          <w:szCs w:val="24"/>
        </w:rPr>
        <w:t>favourable</w:t>
      </w:r>
      <w:proofErr w:type="spellEnd"/>
      <w:r w:rsidRPr="00061965">
        <w:rPr>
          <w:rFonts w:ascii="Arial" w:eastAsia="Times New Roman" w:hAnsi="Arial" w:cs="Arial"/>
          <w:sz w:val="24"/>
          <w:szCs w:val="24"/>
        </w:rPr>
        <w:t xml:space="preserve"> outcomes for patients with sickle cell disease undergoing hydroxyurea therapy.</w:t>
      </w:r>
      <w:r>
        <w:rPr>
          <w:rFonts w:ascii="Arial" w:eastAsia="Times New Roman" w:hAnsi="Arial" w:cs="Arial"/>
          <w:sz w:val="24"/>
          <w:szCs w:val="24"/>
        </w:rPr>
        <w:t xml:space="preserve"> </w:t>
      </w:r>
    </w:p>
    <w:p w:rsidR="00765883" w:rsidRPr="000A370D" w:rsidRDefault="00765883" w:rsidP="00765883">
      <w:pPr>
        <w:spacing w:before="100" w:beforeAutospacing="1" w:after="100" w:afterAutospacing="1" w:line="360" w:lineRule="auto"/>
        <w:jc w:val="both"/>
        <w:rPr>
          <w:rFonts w:ascii="Arial" w:eastAsia="Times New Roman" w:hAnsi="Arial" w:cs="Arial"/>
          <w:sz w:val="24"/>
          <w:szCs w:val="24"/>
        </w:rPr>
      </w:pPr>
      <w:r w:rsidRPr="000A370D">
        <w:rPr>
          <w:rFonts w:ascii="Arial" w:eastAsia="Times New Roman" w:hAnsi="Arial" w:cs="Arial"/>
          <w:sz w:val="24"/>
          <w:szCs w:val="24"/>
        </w:rPr>
        <w:t xml:space="preserve">The results of this study suggest that hydroxyurea is generally well tolerated among the participants. A substantial majority (87.8%) of patients reported no side effects, underscoring the </w:t>
      </w:r>
      <w:proofErr w:type="spellStart"/>
      <w:r>
        <w:rPr>
          <w:rFonts w:ascii="Arial" w:eastAsia="Times New Roman" w:hAnsi="Arial" w:cs="Arial"/>
          <w:sz w:val="24"/>
          <w:szCs w:val="24"/>
        </w:rPr>
        <w:t>favourable</w:t>
      </w:r>
      <w:proofErr w:type="spellEnd"/>
      <w:r w:rsidRPr="000A370D">
        <w:rPr>
          <w:rFonts w:ascii="Arial" w:eastAsia="Times New Roman" w:hAnsi="Arial" w:cs="Arial"/>
          <w:sz w:val="24"/>
          <w:szCs w:val="24"/>
        </w:rPr>
        <w:t xml:space="preserve"> safety profile of hydroxyurea in this population. </w:t>
      </w:r>
      <w:r>
        <w:rPr>
          <w:rFonts w:ascii="Arial" w:eastAsia="Times New Roman" w:hAnsi="Arial" w:cs="Arial"/>
          <w:sz w:val="24"/>
          <w:szCs w:val="24"/>
        </w:rPr>
        <w:t xml:space="preserve">Notably less tolerance was described </w:t>
      </w:r>
      <w:r w:rsidRPr="000A370D">
        <w:rPr>
          <w:rFonts w:ascii="Arial" w:eastAsia="Times New Roman" w:hAnsi="Arial" w:cs="Arial"/>
          <w:sz w:val="24"/>
          <w:szCs w:val="24"/>
        </w:rPr>
        <w:t xml:space="preserve">by </w:t>
      </w:r>
      <w:proofErr w:type="spellStart"/>
      <w:r w:rsidRPr="000A370D">
        <w:rPr>
          <w:rFonts w:ascii="Arial" w:eastAsia="Times New Roman" w:hAnsi="Arial" w:cs="Arial"/>
          <w:sz w:val="24"/>
          <w:szCs w:val="24"/>
        </w:rPr>
        <w:t>Ch</w:t>
      </w:r>
      <w:r>
        <w:rPr>
          <w:rFonts w:ascii="Arial" w:eastAsia="Times New Roman" w:hAnsi="Arial" w:cs="Arial"/>
          <w:sz w:val="24"/>
          <w:szCs w:val="24"/>
        </w:rPr>
        <w:t>ianumba</w:t>
      </w:r>
      <w:proofErr w:type="spellEnd"/>
      <w:r>
        <w:rPr>
          <w:rFonts w:ascii="Arial" w:eastAsia="Times New Roman" w:hAnsi="Arial" w:cs="Arial"/>
          <w:sz w:val="24"/>
          <w:szCs w:val="24"/>
        </w:rPr>
        <w:t xml:space="preserve"> et al. in Nigeria</w:t>
      </w:r>
      <w:r w:rsidR="00B7333C">
        <w:rPr>
          <w:rFonts w:ascii="Arial" w:eastAsia="Times New Roman" w:hAnsi="Arial" w:cs="Arial"/>
          <w:sz w:val="24"/>
          <w:szCs w:val="24"/>
        </w:rPr>
        <w:t>,</w:t>
      </w:r>
      <w:r>
        <w:rPr>
          <w:rFonts w:ascii="Arial" w:eastAsia="Times New Roman" w:hAnsi="Arial" w:cs="Arial"/>
          <w:sz w:val="24"/>
          <w:szCs w:val="24"/>
        </w:rPr>
        <w:t xml:space="preserve"> who </w:t>
      </w:r>
      <w:r w:rsidRPr="000A370D">
        <w:rPr>
          <w:rFonts w:ascii="Arial" w:eastAsia="Times New Roman" w:hAnsi="Arial" w:cs="Arial"/>
          <w:sz w:val="24"/>
          <w:szCs w:val="24"/>
        </w:rPr>
        <w:t>found that among 378 patients with sickle cell disease, 51.3% reported none to minimal side effects</w:t>
      </w:r>
      <w:r>
        <w:rPr>
          <w:rFonts w:ascii="Arial" w:eastAsia="Times New Roman" w:hAnsi="Arial" w:cs="Arial"/>
          <w:sz w:val="24"/>
          <w:szCs w:val="24"/>
        </w:rPr>
        <w:t>. In contrast,</w:t>
      </w:r>
      <w:r w:rsidRPr="000A370D">
        <w:rPr>
          <w:rFonts w:ascii="Arial" w:eastAsia="Times New Roman" w:hAnsi="Arial" w:cs="Arial"/>
          <w:sz w:val="24"/>
          <w:szCs w:val="24"/>
        </w:rPr>
        <w:t xml:space="preserve"> 89.7% continued with therapy, indicating strong tolerability</w:t>
      </w:r>
      <w:r>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{"citationItems":[{"id":"ITEM-1","itemData":{"DOI":"10.3389/fgene.2022.826132","ISSN":"1664-8021","abstract":"Introduction: Hydroxyurea (HU) has been shown to be beneficial in the management of sickle cell disease (SCD) as it improves treatment outcomes. However, despite  the benefits of HU, its uptake among SCD patients in Nigeria remains low.  Objective: This study aimed to assess the perception and experience of patients  with SCD in Nigeria who are using or had used HU, thereby informing and promoting  its use. Methodology: A multi-centre, cross-sectional study was conducted among  378 SCD patients aged 1-53 years who have enrolled on Sickle Pan African Research  Consortium (SPARCO) registry as HU users. The SPARCO project was funded by the  National Institutes of Health (NIH) to establish a sickle cell disease (SCD)  registry, strengthen skills and plan research in three African countries. The  Nigerian SPARCO registry had 6453 SCD patients at the time of this report with  &lt;15% of this population on HU. Data on sociodemographics, perception and  experience about HU use were obtained and analysed using descriptive statistics.  Findings: Out of the 378 participants, 339 (89.7%) were using HU while 39 (10.3%)  had stopped using HU at the time of the study. 281 (74.3%) found HU expensive,  while 194 (51.3%) reported none to minimal side effects while using HU. Among  patients that stopped HU, cost (59%) and availability (51.3%) were the commonest  reasons for discontinuing the drug. Furthermore, 347 (92.5%) had fewer pain  crises, 173 (84.8%) had a fewer need for blood transfusion, 145 (86.3%) had  improved PCV and 318 (84.6%) had fewer hospital admissions. Finally, the study  also showed that 322 (85.2%) respondents would recommend the drug to other  patients, whereas 14 respondents (3.7%) would not. Mean corpuscular volume (MCV)  and fetal hemoglobin (HbF) levels were not collected in this study and may have  improved findings. Conclusion: This study showed that the majority of the SCD  patients had good perception and experience with the use of HU while a few had to  stop the medication mostly on account of cost and availability. Patients' based  advocacy could be leveraged to improve HU uptake while more efforts are needed to  ensure that it is readily available and affordable.","author":[{"dropping-particle":"","family":"Chianumba","given":"Reuben Ikechukwu","non-dropping-particle":"","parse-names":false,"suffix":""},{"dropping-particle":"","family":"Ofakunrin","given":"Akinyemi O D","non-dropping-particle":"","parse-names":false,"suffix":""},{"dropping-particle":"","family":"Morrice","given":"Jack","non-dropping-particle":"","parse-names":false,"suffix":""},{"dropping-particle":"","family":"Olanrewaju","given":"Olaniyi","non-dropping-particle":"","parse-names":false,"suffix":""},{"dropping-particle":"","family":"Oniyangi","given":"Oluseyi","non-dropping-particle":"","parse-names":false,"suffix":""},{"dropping-particle":"","family":"Kuliya-Gwarzo","given":"Aisha","non-dropping-particle":"","parse-names":false,"suffix":""},{"dropping-particle":"","family":"Nnebe-Agumadu","given":"Uche","non-dropping-particle":"","parse-names":false,"suffix":""},{"dropping-particle":"","family":"Isa","given":"Hezekiah Alkali","non-dropping-particle":"","parse-names":false,"suffix":""},{"dropping-particle":"","family":"Nnodu","given":"Obiageli Eunice","non-dropping-particle":"","parse-names":false,"suffix":""}],"container-title":"Frontiers in genetics","id":"ITEM-1","issued":{"date-parts":[["2022"]]},"language":"eng","page":"826132","title":"Outcome of Hydroxyurea Use in SCD and Evaluation of Patients' Perception and Experience in Nigeria.","type":"article-journal","volume":"13"},"uris":["http://www.mendeley.com/documents/?uuid=674d44b4-4513-44aa-8006-35ee62c01d51","http://www.mendeley.com/documents/?uuid=1982c9ee-2af2-4ff9-a9c3-529a63a97f42"]}],"mendeley":{"formattedCitation":"[31]","plainTextFormattedCitation":"[31]","previouslyFormattedCitation":"(Chianumba et al., 2022)"},"properties":{"noteIndex":0},"schema":"https://github.com/citation-style-language/schema/raw/master/csl-citation.json"}</w:instrText>
      </w:r>
      <w:r>
        <w:rPr>
          <w:rFonts w:ascii="Arial" w:eastAsia="Times New Roman" w:hAnsi="Arial" w:cs="Arial"/>
          <w:sz w:val="24"/>
          <w:szCs w:val="24"/>
        </w:rPr>
        <w:fldChar w:fldCharType="separate"/>
      </w:r>
      <w:r w:rsidRPr="00765883">
        <w:rPr>
          <w:rFonts w:ascii="Arial" w:eastAsia="Times New Roman" w:hAnsi="Arial" w:cs="Arial"/>
          <w:noProof/>
          <w:sz w:val="24"/>
          <w:szCs w:val="24"/>
        </w:rPr>
        <w:t>[31]</w:t>
      </w:r>
      <w:r>
        <w:rPr>
          <w:rFonts w:ascii="Arial" w:eastAsia="Times New Roman" w:hAnsi="Arial" w:cs="Arial"/>
          <w:sz w:val="24"/>
          <w:szCs w:val="24"/>
        </w:rPr>
        <w:fldChar w:fldCharType="end"/>
      </w:r>
      <w:r w:rsidR="00B0158B">
        <w:rPr>
          <w:rFonts w:ascii="Arial" w:eastAsia="Times New Roman" w:hAnsi="Arial" w:cs="Arial"/>
          <w:sz w:val="24"/>
          <w:szCs w:val="24"/>
        </w:rPr>
        <w:t>. Many</w:t>
      </w:r>
      <w:r>
        <w:rPr>
          <w:rFonts w:ascii="Arial" w:eastAsia="Times New Roman" w:hAnsi="Arial" w:cs="Arial"/>
          <w:sz w:val="24"/>
          <w:szCs w:val="24"/>
        </w:rPr>
        <w:t xml:space="preserve"> </w:t>
      </w:r>
      <w:r w:rsidRPr="000A370D">
        <w:rPr>
          <w:rFonts w:ascii="Arial" w:eastAsia="Times New Roman" w:hAnsi="Arial" w:cs="Arial"/>
          <w:sz w:val="24"/>
          <w:szCs w:val="24"/>
        </w:rPr>
        <w:t>reported</w:t>
      </w:r>
      <w:r>
        <w:rPr>
          <w:rFonts w:ascii="Arial" w:eastAsia="Times New Roman" w:hAnsi="Arial" w:cs="Arial"/>
          <w:sz w:val="24"/>
          <w:szCs w:val="24"/>
        </w:rPr>
        <w:t xml:space="preserve"> that hydroxyurea is</w:t>
      </w:r>
      <w:r w:rsidRPr="000A370D">
        <w:rPr>
          <w:rFonts w:ascii="Arial" w:eastAsia="Times New Roman" w:hAnsi="Arial" w:cs="Arial"/>
          <w:sz w:val="24"/>
          <w:szCs w:val="24"/>
        </w:rPr>
        <w:t xml:space="preserve"> well tolerated among sickle cell disease patients, with only a few experiencing mild side effects</w:t>
      </w:r>
      <w:r w:rsidR="00B0158B">
        <w:rPr>
          <w:rFonts w:ascii="Arial" w:eastAsia="Times New Roman" w:hAnsi="Arial" w:cs="Arial"/>
          <w:sz w:val="24"/>
          <w:szCs w:val="24"/>
        </w:rPr>
        <w:t xml:space="preserve">. However, a systematic review noted that there is </w:t>
      </w:r>
      <w:r>
        <w:rPr>
          <w:rFonts w:ascii="Arial" w:hAnsi="Arial" w:cs="Arial"/>
          <w:sz w:val="24"/>
          <w:szCs w:val="24"/>
        </w:rPr>
        <w:t>insuf</w:t>
      </w:r>
      <w:r w:rsidRPr="00A06ABE">
        <w:rPr>
          <w:rFonts w:ascii="Arial" w:hAnsi="Arial" w:cs="Arial"/>
          <w:sz w:val="24"/>
          <w:szCs w:val="24"/>
        </w:rPr>
        <w:t>ficient evidence about the long-term risks of hy</w:t>
      </w:r>
      <w:r>
        <w:rPr>
          <w:rFonts w:ascii="Arial" w:hAnsi="Arial" w:cs="Arial"/>
          <w:sz w:val="24"/>
          <w:szCs w:val="24"/>
        </w:rPr>
        <w:t>droxyurea, including its impact</w:t>
      </w:r>
      <w:r w:rsidRPr="00A06ABE">
        <w:rPr>
          <w:rFonts w:ascii="Arial" w:hAnsi="Arial" w:cs="Arial"/>
          <w:sz w:val="24"/>
          <w:szCs w:val="24"/>
        </w:rPr>
        <w:t xml:space="preserve"> on fertility and reproduction. Evidence is also limited on the </w:t>
      </w:r>
      <w:r>
        <w:rPr>
          <w:rFonts w:ascii="Arial" w:hAnsi="Arial" w:cs="Arial"/>
          <w:sz w:val="24"/>
          <w:szCs w:val="24"/>
        </w:rPr>
        <w:t>effects</w:t>
      </w:r>
      <w:r w:rsidRPr="00A06ABE">
        <w:rPr>
          <w:rFonts w:ascii="Arial" w:hAnsi="Arial" w:cs="Arial"/>
          <w:sz w:val="24"/>
          <w:szCs w:val="24"/>
        </w:rPr>
        <w:t xml:space="preserve"> of hydroxyurea on individuals with the </w:t>
      </w:r>
      <w:proofErr w:type="spellStart"/>
      <w:r w:rsidRPr="00A06ABE">
        <w:rPr>
          <w:rFonts w:ascii="Arial" w:hAnsi="Arial" w:cs="Arial"/>
          <w:sz w:val="24"/>
          <w:szCs w:val="24"/>
        </w:rPr>
        <w:t>HbSC</w:t>
      </w:r>
      <w:proofErr w:type="spellEnd"/>
      <w:r w:rsidRPr="00A06ABE">
        <w:rPr>
          <w:rFonts w:ascii="Arial" w:hAnsi="Arial" w:cs="Arial"/>
          <w:sz w:val="24"/>
          <w:szCs w:val="24"/>
        </w:rPr>
        <w:t xml:space="preserve"> genotype</w:t>
      </w:r>
      <w:r>
        <w:fldChar w:fldCharType="begin" w:fldLock="1"/>
      </w:r>
      <w:r>
        <w:instrText>ADDIN CSL_CITATION {"citationItems":[{"id":"ITEM-1","itemData":{"DOI":"10.1002/14651858.CD002202.pub3.www.cochranelibrary.com","author":[{"dropping-particle":"","family":"Ae","given":"Rankine-mullings","non-dropping-particle":"","parse-names":false,"suffix":""},{"dropping-particle":"","family":"Sj","given":"Nevitt","non-dropping-particle":"","parse-names":false,"suffix":""}],"id":"ITEM-1","issued":{"date-parts":[["2022"]]},"title":"Hydroxyurea (hydroxycarbamide) for sickle cell disease (Review)","type":"article-journal"},"uris":["http://www.mendeley.com/documents/?uuid=d7022486-028a-4d40-9d08-39b8c922afcf","http://www.mendeley.com/documents/?uuid=8aef16d2-a1b1-4ba6-b169-e28fd10ea438"]}],"mendeley":{"formattedCitation":"[32]","plainTextFormattedCitation":"[32]","previouslyFormattedCitation":"(Ae &amp; Sj, 2022)"},"properties":{"noteIndex":0},"schema":"https://github.com/citation-style-language/schema/raw/master/csl-citation.json"}</w:instrText>
      </w:r>
      <w:r>
        <w:fldChar w:fldCharType="separate"/>
      </w:r>
      <w:r w:rsidRPr="00765883">
        <w:rPr>
          <w:noProof/>
        </w:rPr>
        <w:t>[32]</w:t>
      </w:r>
      <w:r>
        <w:fldChar w:fldCharType="end"/>
      </w:r>
      <w:r>
        <w:t>.</w:t>
      </w:r>
      <w:r>
        <w:rPr>
          <w:rFonts w:ascii="Arial" w:eastAsia="Times New Roman" w:hAnsi="Arial" w:cs="Arial"/>
          <w:sz w:val="24"/>
          <w:szCs w:val="24"/>
        </w:rPr>
        <w:t xml:space="preserve"> The</w:t>
      </w:r>
      <w:r w:rsidRPr="000A370D">
        <w:rPr>
          <w:rFonts w:ascii="Arial" w:eastAsia="Times New Roman" w:hAnsi="Arial" w:cs="Arial"/>
          <w:sz w:val="24"/>
          <w:szCs w:val="24"/>
        </w:rPr>
        <w:t xml:space="preserve"> findings collectively support the notion that hydroxyurea remains a safe and effective treatment option, with minimal adverse effects in most patients</w:t>
      </w:r>
      <w:r>
        <w:rPr>
          <w:rFonts w:ascii="Arial" w:eastAsia="Times New Roman" w:hAnsi="Arial" w:cs="Arial"/>
          <w:sz w:val="24"/>
          <w:szCs w:val="24"/>
        </w:rPr>
        <w:t xml:space="preserve"> and a low incidence of malignancies secondary to the treatment [29]</w:t>
      </w:r>
      <w:r w:rsidRPr="000A370D">
        <w:rPr>
          <w:rFonts w:ascii="Arial" w:eastAsia="Times New Roman" w:hAnsi="Arial" w:cs="Arial"/>
          <w:sz w:val="24"/>
          <w:szCs w:val="24"/>
        </w:rPr>
        <w:t xml:space="preserve"> </w:t>
      </w:r>
    </w:p>
    <w:p w:rsidR="00765883" w:rsidRPr="005F5B23" w:rsidRDefault="00765883" w:rsidP="00765883">
      <w:pPr>
        <w:pStyle w:val="BodyText"/>
        <w:spacing w:line="360" w:lineRule="auto"/>
        <w:jc w:val="both"/>
        <w:rPr>
          <w:rFonts w:ascii="Arial" w:hAnsi="Arial" w:cs="Arial"/>
        </w:rPr>
      </w:pPr>
    </w:p>
    <w:p w:rsidR="00765883" w:rsidRPr="005F5B23" w:rsidRDefault="00765883" w:rsidP="00765883">
      <w:pPr>
        <w:pStyle w:val="BodyText"/>
        <w:spacing w:line="360" w:lineRule="auto"/>
        <w:jc w:val="both"/>
        <w:rPr>
          <w:rFonts w:ascii="Arial" w:hAnsi="Arial" w:cs="Arial"/>
        </w:rPr>
      </w:pPr>
      <w:r w:rsidRPr="005F5B23">
        <w:rPr>
          <w:rFonts w:ascii="Arial" w:hAnsi="Arial" w:cs="Arial"/>
        </w:rPr>
        <w:t xml:space="preserve"> </w:t>
      </w:r>
      <w:bookmarkStart w:id="10" w:name="_Toc202934407"/>
      <w:r w:rsidRPr="005F5B23">
        <w:rPr>
          <w:rFonts w:ascii="Arial" w:hAnsi="Arial" w:cs="Arial"/>
          <w:b/>
          <w:color w:val="000000" w:themeColor="text1"/>
        </w:rPr>
        <w:t>Conclusion</w:t>
      </w:r>
      <w:bookmarkEnd w:id="10"/>
    </w:p>
    <w:p w:rsidR="00765883" w:rsidRPr="00766A28" w:rsidRDefault="00765883" w:rsidP="00765883">
      <w:pPr>
        <w:spacing w:after="0" w:line="240" w:lineRule="auto"/>
        <w:rPr>
          <w:rFonts w:ascii="Times New Roman" w:eastAsia="Times New Roman" w:hAnsi="Times New Roman" w:cs="Times New Roman"/>
          <w:sz w:val="24"/>
          <w:szCs w:val="24"/>
        </w:rPr>
      </w:pPr>
    </w:p>
    <w:p w:rsidR="00765883" w:rsidRPr="00766A28" w:rsidRDefault="00765883" w:rsidP="00765883">
      <w:pPr>
        <w:spacing w:before="100" w:beforeAutospacing="1" w:after="100" w:afterAutospacing="1" w:line="360" w:lineRule="auto"/>
        <w:jc w:val="both"/>
        <w:rPr>
          <w:rFonts w:ascii="Arial" w:eastAsia="Times New Roman" w:hAnsi="Arial" w:cs="Arial"/>
          <w:sz w:val="24"/>
          <w:szCs w:val="24"/>
        </w:rPr>
      </w:pPr>
      <w:r w:rsidRPr="00766A28">
        <w:rPr>
          <w:rFonts w:ascii="Arial" w:eastAsia="Times New Roman" w:hAnsi="Arial" w:cs="Arial"/>
          <w:sz w:val="24"/>
          <w:szCs w:val="24"/>
        </w:rPr>
        <w:t>The study revealed that more than half of the respondents were pediatric pati</w:t>
      </w:r>
      <w:r>
        <w:rPr>
          <w:rFonts w:ascii="Arial" w:eastAsia="Times New Roman" w:hAnsi="Arial" w:cs="Arial"/>
          <w:sz w:val="24"/>
          <w:szCs w:val="24"/>
        </w:rPr>
        <w:t xml:space="preserve">ents aged 1–12 years, with </w:t>
      </w:r>
      <w:r w:rsidRPr="00766A28">
        <w:rPr>
          <w:rFonts w:ascii="Arial" w:eastAsia="Times New Roman" w:hAnsi="Arial" w:cs="Arial"/>
          <w:sz w:val="24"/>
          <w:szCs w:val="24"/>
        </w:rPr>
        <w:t xml:space="preserve">early detection of sickle cell disease (SCD) and frequent engagement with pediatric healthcare services. The findings demonstrate that hydroxyurea therapy offers significant clinical benefits, including a reduction in </w:t>
      </w:r>
      <w:proofErr w:type="spellStart"/>
      <w:r w:rsidRPr="00766A28">
        <w:rPr>
          <w:rFonts w:ascii="Arial" w:eastAsia="Times New Roman" w:hAnsi="Arial" w:cs="Arial"/>
          <w:sz w:val="24"/>
          <w:szCs w:val="24"/>
        </w:rPr>
        <w:t>vaso</w:t>
      </w:r>
      <w:proofErr w:type="spellEnd"/>
      <w:r w:rsidRPr="00766A28">
        <w:rPr>
          <w:rFonts w:ascii="Arial" w:eastAsia="Times New Roman" w:hAnsi="Arial" w:cs="Arial"/>
          <w:sz w:val="24"/>
          <w:szCs w:val="24"/>
        </w:rPr>
        <w:t xml:space="preserve">-occlusive crises, hospitalizations, and the need for blood transfusions. It also provides notable </w:t>
      </w:r>
      <w:proofErr w:type="spellStart"/>
      <w:r>
        <w:rPr>
          <w:rFonts w:ascii="Arial" w:eastAsia="Times New Roman" w:hAnsi="Arial" w:cs="Arial"/>
          <w:sz w:val="24"/>
          <w:szCs w:val="24"/>
        </w:rPr>
        <w:t>haematological</w:t>
      </w:r>
      <w:proofErr w:type="spellEnd"/>
      <w:r w:rsidRPr="00766A28">
        <w:rPr>
          <w:rFonts w:ascii="Arial" w:eastAsia="Times New Roman" w:hAnsi="Arial" w:cs="Arial"/>
          <w:sz w:val="24"/>
          <w:szCs w:val="24"/>
        </w:rPr>
        <w:t xml:space="preserve"> improvements and enhances patients’ overall sense of well-being. With a </w:t>
      </w:r>
      <w:proofErr w:type="spellStart"/>
      <w:r>
        <w:rPr>
          <w:rFonts w:ascii="Arial" w:eastAsia="Times New Roman" w:hAnsi="Arial" w:cs="Arial"/>
          <w:sz w:val="24"/>
          <w:szCs w:val="24"/>
        </w:rPr>
        <w:t>favourable</w:t>
      </w:r>
      <w:proofErr w:type="spellEnd"/>
      <w:r>
        <w:rPr>
          <w:rFonts w:ascii="Arial" w:eastAsia="Times New Roman" w:hAnsi="Arial" w:cs="Arial"/>
          <w:sz w:val="24"/>
          <w:szCs w:val="24"/>
        </w:rPr>
        <w:t xml:space="preserve"> safety profile,</w:t>
      </w:r>
      <w:r w:rsidRPr="00766A28">
        <w:rPr>
          <w:rFonts w:ascii="Arial" w:eastAsia="Times New Roman" w:hAnsi="Arial" w:cs="Arial"/>
          <w:sz w:val="24"/>
          <w:szCs w:val="24"/>
        </w:rPr>
        <w:t xml:space="preserve"> high adherence rates, </w:t>
      </w:r>
      <w:r>
        <w:rPr>
          <w:rFonts w:ascii="Arial" w:eastAsia="Times New Roman" w:hAnsi="Arial" w:cs="Arial"/>
          <w:sz w:val="24"/>
          <w:szCs w:val="24"/>
        </w:rPr>
        <w:t xml:space="preserve">and few side effects, </w:t>
      </w:r>
      <w:r w:rsidRPr="00766A28">
        <w:rPr>
          <w:rFonts w:ascii="Arial" w:eastAsia="Times New Roman" w:hAnsi="Arial" w:cs="Arial"/>
          <w:sz w:val="24"/>
          <w:szCs w:val="24"/>
        </w:rPr>
        <w:t>hydroxyurea proves to be a highly effective treatment in this population. These results strongly support the continued and expanded use of hydroxyurea as a standard component of SCD management in this setting. Strategic efforts in patient education, regular monitoring, and robust support systems will be essential to sustain and further enhance these positive outcomes.</w:t>
      </w:r>
    </w:p>
    <w:p w:rsidR="00765883" w:rsidRPr="00766A28" w:rsidRDefault="00765883" w:rsidP="00765883">
      <w:pPr>
        <w:spacing w:after="0" w:line="240" w:lineRule="auto"/>
        <w:rPr>
          <w:rFonts w:ascii="Times New Roman" w:eastAsia="Times New Roman" w:hAnsi="Times New Roman" w:cs="Times New Roman"/>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11" w:name="_Toc202934408"/>
      <w:r w:rsidRPr="005F5B23">
        <w:rPr>
          <w:rFonts w:ascii="Arial" w:hAnsi="Arial" w:cs="Arial"/>
          <w:b/>
          <w:color w:val="000000" w:themeColor="text1"/>
          <w:sz w:val="24"/>
          <w:szCs w:val="24"/>
        </w:rPr>
        <w:t>6.2 Recommendations</w:t>
      </w:r>
      <w:bookmarkEnd w:id="11"/>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 xml:space="preserve">-To sustain and maximize the benefits of hydroxyurea therapy in sickle cell disease (SCD) management, efforts should focus on expanding its availability to other health facilities, given its proven effectiveness and tolerability. </w:t>
      </w:r>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 xml:space="preserve">- To </w:t>
      </w:r>
      <w:r w:rsidR="00B0158B">
        <w:rPr>
          <w:rFonts w:ascii="Arial" w:eastAsia="Times New Roman" w:hAnsi="Arial" w:cs="Arial"/>
          <w:sz w:val="24"/>
          <w:szCs w:val="24"/>
          <w:highlight w:val="yellow"/>
        </w:rPr>
        <w:t>strengthen</w:t>
      </w:r>
      <w:r w:rsidRPr="00F10AFE">
        <w:rPr>
          <w:rFonts w:ascii="Arial" w:eastAsia="Times New Roman" w:hAnsi="Arial" w:cs="Arial"/>
          <w:sz w:val="24"/>
          <w:szCs w:val="24"/>
          <w:highlight w:val="yellow"/>
        </w:rPr>
        <w:t xml:space="preserve"> patient and caregiver education on adherence, benefits, and side effect monitoring is crucial. </w:t>
      </w:r>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w:t>
      </w:r>
      <w:r w:rsidR="00B0158B">
        <w:rPr>
          <w:rFonts w:ascii="Arial" w:eastAsia="Times New Roman" w:hAnsi="Arial" w:cs="Arial"/>
          <w:sz w:val="24"/>
          <w:szCs w:val="24"/>
          <w:highlight w:val="yellow"/>
        </w:rPr>
        <w:t>Establishing standardized follow-up protocols, including hematologic monitoring and safety surveillance, will help optimize</w:t>
      </w:r>
      <w:r w:rsidRPr="00F10AFE">
        <w:rPr>
          <w:rFonts w:ascii="Arial" w:eastAsia="Times New Roman" w:hAnsi="Arial" w:cs="Arial"/>
          <w:sz w:val="24"/>
          <w:szCs w:val="24"/>
          <w:highlight w:val="yellow"/>
        </w:rPr>
        <w:t xml:space="preserve"> treatment outcomes. </w:t>
      </w:r>
    </w:p>
    <w:p w:rsidR="00765883" w:rsidRPr="00F10AFE" w:rsidRDefault="00765883" w:rsidP="00765883">
      <w:pPr>
        <w:spacing w:before="100" w:beforeAutospacing="1" w:after="100" w:afterAutospacing="1" w:line="360" w:lineRule="auto"/>
        <w:jc w:val="both"/>
        <w:rPr>
          <w:rFonts w:ascii="Arial" w:eastAsia="Times New Roman" w:hAnsi="Arial" w:cs="Arial"/>
          <w:sz w:val="24"/>
          <w:szCs w:val="24"/>
          <w:highlight w:val="yellow"/>
        </w:rPr>
      </w:pPr>
      <w:r w:rsidRPr="00F10AFE">
        <w:rPr>
          <w:rFonts w:ascii="Arial" w:eastAsia="Times New Roman" w:hAnsi="Arial" w:cs="Arial"/>
          <w:sz w:val="24"/>
          <w:szCs w:val="24"/>
          <w:highlight w:val="yellow"/>
        </w:rPr>
        <w:t xml:space="preserve">- To integrate psychosocial support and school health programs is essential, particularly for the predominantly school-aged population.  </w:t>
      </w:r>
    </w:p>
    <w:p w:rsidR="00765883" w:rsidRPr="002A1D44" w:rsidRDefault="00765883" w:rsidP="00765883">
      <w:pPr>
        <w:spacing w:before="100" w:beforeAutospacing="1" w:after="100" w:afterAutospacing="1" w:line="360" w:lineRule="auto"/>
        <w:jc w:val="both"/>
        <w:rPr>
          <w:rFonts w:ascii="Arial" w:eastAsia="Times New Roman" w:hAnsi="Arial" w:cs="Arial"/>
          <w:sz w:val="24"/>
          <w:szCs w:val="24"/>
        </w:rPr>
      </w:pPr>
      <w:r w:rsidRPr="00F10AFE">
        <w:rPr>
          <w:rFonts w:ascii="Arial" w:eastAsia="Times New Roman" w:hAnsi="Arial" w:cs="Arial"/>
          <w:sz w:val="24"/>
          <w:szCs w:val="24"/>
          <w:highlight w:val="yellow"/>
        </w:rPr>
        <w:t>-Further longitudinal research is needed to evaluate hydroxyurea’s long-term effects on organ protection, growth, development, fertility, and overall survival.</w:t>
      </w:r>
    </w:p>
    <w:p w:rsidR="00765883" w:rsidRPr="005F5B23" w:rsidRDefault="00765883" w:rsidP="00765883">
      <w:pPr>
        <w:spacing w:line="360" w:lineRule="auto"/>
        <w:jc w:val="both"/>
        <w:rPr>
          <w:rFonts w:ascii="Arial" w:hAnsi="Arial" w:cs="Arial"/>
          <w:sz w:val="24"/>
          <w:szCs w:val="24"/>
        </w:rPr>
      </w:pPr>
      <w:r w:rsidRPr="005F5B23">
        <w:rPr>
          <w:rFonts w:ascii="Arial" w:hAnsi="Arial" w:cs="Arial"/>
          <w:sz w:val="24"/>
          <w:szCs w:val="24"/>
        </w:rPr>
        <w:lastRenderedPageBreak/>
        <w:t>.</w:t>
      </w:r>
    </w:p>
    <w:p w:rsidR="00765883" w:rsidRPr="005F5B23" w:rsidRDefault="00765883" w:rsidP="00765883">
      <w:pPr>
        <w:pStyle w:val="Heading2"/>
        <w:spacing w:line="360" w:lineRule="auto"/>
        <w:jc w:val="both"/>
        <w:rPr>
          <w:rFonts w:ascii="Arial" w:hAnsi="Arial" w:cs="Arial"/>
          <w:b/>
          <w:color w:val="000000" w:themeColor="text1"/>
          <w:sz w:val="24"/>
          <w:szCs w:val="24"/>
        </w:rPr>
      </w:pPr>
      <w:bookmarkStart w:id="12" w:name="_Toc202934409"/>
      <w:r w:rsidRPr="005F5B23">
        <w:rPr>
          <w:rFonts w:ascii="Arial" w:hAnsi="Arial" w:cs="Arial"/>
          <w:b/>
          <w:color w:val="000000" w:themeColor="text1"/>
          <w:sz w:val="24"/>
          <w:szCs w:val="24"/>
        </w:rPr>
        <w:t>6.3 Limitations of the study</w:t>
      </w:r>
      <w:bookmarkEnd w:id="12"/>
    </w:p>
    <w:p w:rsidR="00765883" w:rsidRPr="005F5B23" w:rsidRDefault="00765883" w:rsidP="00765883">
      <w:pPr>
        <w:spacing w:line="360" w:lineRule="auto"/>
        <w:jc w:val="both"/>
        <w:rPr>
          <w:rFonts w:ascii="Arial" w:hAnsi="Arial" w:cs="Arial"/>
          <w:sz w:val="24"/>
          <w:szCs w:val="24"/>
        </w:rPr>
      </w:pPr>
      <w:r>
        <w:rPr>
          <w:rFonts w:ascii="Arial" w:eastAsia="Times New Roman" w:hAnsi="Arial" w:cs="Arial"/>
          <w:sz w:val="24"/>
          <w:szCs w:val="24"/>
        </w:rPr>
        <w:t xml:space="preserve">This study has </w:t>
      </w:r>
      <w:r w:rsidRPr="002A1D44">
        <w:rPr>
          <w:rFonts w:ascii="Arial" w:eastAsia="Times New Roman" w:hAnsi="Arial" w:cs="Arial"/>
          <w:sz w:val="24"/>
          <w:szCs w:val="24"/>
        </w:rPr>
        <w:t xml:space="preserve">limitations that may affect the interpretation and generalizability of its findings. The absence of a control group limits the ability to attribute observed improvements solely to hydroxyurea therapy. Additionally, the small sample size and short follow-up period restrict the strength of the conclusions, particularly regarding long-term outcomes. As a </w:t>
      </w:r>
      <w:r>
        <w:rPr>
          <w:rFonts w:ascii="Arial" w:eastAsia="Times New Roman" w:hAnsi="Arial" w:cs="Arial"/>
          <w:sz w:val="24"/>
          <w:szCs w:val="24"/>
        </w:rPr>
        <w:t>single-</w:t>
      </w:r>
      <w:proofErr w:type="spellStart"/>
      <w:r>
        <w:rPr>
          <w:rFonts w:ascii="Arial" w:eastAsia="Times New Roman" w:hAnsi="Arial" w:cs="Arial"/>
          <w:sz w:val="24"/>
          <w:szCs w:val="24"/>
        </w:rPr>
        <w:t>centre</w:t>
      </w:r>
      <w:proofErr w:type="spellEnd"/>
      <w:r>
        <w:rPr>
          <w:rFonts w:ascii="Arial" w:eastAsia="Times New Roman" w:hAnsi="Arial" w:cs="Arial"/>
          <w:sz w:val="24"/>
          <w:szCs w:val="24"/>
        </w:rPr>
        <w:t xml:space="preserve"> study conducted at </w:t>
      </w:r>
      <w:proofErr w:type="spellStart"/>
      <w:r>
        <w:rPr>
          <w:rFonts w:ascii="Arial" w:eastAsia="Times New Roman" w:hAnsi="Arial" w:cs="Arial"/>
          <w:sz w:val="24"/>
          <w:szCs w:val="24"/>
        </w:rPr>
        <w:t>J</w:t>
      </w:r>
      <w:r w:rsidRPr="002A1D44">
        <w:rPr>
          <w:rFonts w:ascii="Arial" w:eastAsia="Times New Roman" w:hAnsi="Arial" w:cs="Arial"/>
          <w:sz w:val="24"/>
          <w:szCs w:val="24"/>
        </w:rPr>
        <w:t>itimai</w:t>
      </w:r>
      <w:proofErr w:type="spellEnd"/>
      <w:r w:rsidRPr="002A1D44">
        <w:rPr>
          <w:rFonts w:ascii="Arial" w:eastAsia="Times New Roman" w:hAnsi="Arial" w:cs="Arial"/>
          <w:sz w:val="24"/>
          <w:szCs w:val="24"/>
        </w:rPr>
        <w:t xml:space="preserve"> District Hospital, the results may not be representative of broader patient populations or healthcare settings. Furthermore, the lack of randomization may introduce selection bias, potentially influencing the accuracy and validity of the observed treatment effects</w:t>
      </w:r>
      <w:r>
        <w:rPr>
          <w:rFonts w:ascii="Arial" w:hAnsi="Arial" w:cs="Arial"/>
          <w:sz w:val="24"/>
          <w:szCs w:val="24"/>
        </w:rPr>
        <w:t>.</w:t>
      </w:r>
      <w:r w:rsidRPr="004D067C">
        <w:rPr>
          <w:rFonts w:ascii="Arial" w:hAnsi="Arial" w:cs="Arial"/>
          <w:sz w:val="24"/>
          <w:szCs w:val="24"/>
        </w:rPr>
        <w:t xml:space="preserve"> Lack of randomization: Patients were not randomly assigned to treatment, which may introduce bias and affect the accuracy of the results</w:t>
      </w:r>
      <w:r w:rsidRPr="005F5B23">
        <w:rPr>
          <w:rFonts w:ascii="Arial" w:hAnsi="Arial" w:cs="Arial"/>
          <w:sz w:val="24"/>
          <w:szCs w:val="24"/>
        </w:rPr>
        <w:t>.</w:t>
      </w:r>
    </w:p>
    <w:p w:rsidR="00765883" w:rsidRPr="005F5B23" w:rsidRDefault="00765883" w:rsidP="00765883">
      <w:pPr>
        <w:spacing w:line="360" w:lineRule="auto"/>
        <w:jc w:val="both"/>
        <w:rPr>
          <w:rFonts w:ascii="Arial" w:hAnsi="Arial" w:cs="Arial"/>
          <w:sz w:val="24"/>
          <w:szCs w:val="24"/>
        </w:rPr>
      </w:pPr>
    </w:p>
    <w:p w:rsidR="00765883" w:rsidRPr="002678BF" w:rsidRDefault="00765883" w:rsidP="00765883">
      <w:pPr>
        <w:spacing w:line="360" w:lineRule="auto"/>
        <w:jc w:val="both"/>
        <w:rPr>
          <w:rFonts w:ascii="Arial" w:hAnsi="Arial" w:cs="Arial"/>
          <w:b/>
          <w:sz w:val="24"/>
          <w:szCs w:val="24"/>
        </w:rPr>
      </w:pPr>
      <w:r w:rsidRPr="002678BF">
        <w:rPr>
          <w:rFonts w:ascii="Arial" w:hAnsi="Arial" w:cs="Arial"/>
          <w:b/>
          <w:sz w:val="24"/>
          <w:szCs w:val="24"/>
        </w:rPr>
        <w:t>Ethical Approval and Consent</w:t>
      </w:r>
    </w:p>
    <w:p w:rsidR="00765883" w:rsidRPr="00221383" w:rsidRDefault="00765883" w:rsidP="00765883">
      <w:pPr>
        <w:spacing w:before="100" w:beforeAutospacing="1" w:after="100" w:afterAutospacing="1" w:line="360" w:lineRule="auto"/>
        <w:jc w:val="both"/>
        <w:rPr>
          <w:rFonts w:ascii="Times New Roman" w:eastAsia="Times New Roman" w:hAnsi="Times New Roman" w:cs="Times New Roman"/>
          <w:color w:val="000000"/>
          <w:sz w:val="24"/>
          <w:szCs w:val="24"/>
        </w:rPr>
      </w:pPr>
      <w:r w:rsidRPr="00221383">
        <w:rPr>
          <w:rFonts w:ascii="Times New Roman" w:eastAsia="Times New Roman" w:hAnsi="Times New Roman" w:cs="Times New Roman"/>
          <w:color w:val="000000"/>
          <w:sz w:val="24"/>
          <w:szCs w:val="24"/>
        </w:rPr>
        <w:t>Ethical considerations were observed by obtaining permission from the School of Health and Medical Sciences at SUZA and ethical approval from the Zanzibar Health Research</w:t>
      </w:r>
      <w:r>
        <w:rPr>
          <w:rFonts w:ascii="Times New Roman" w:eastAsia="Times New Roman" w:hAnsi="Times New Roman" w:cs="Times New Roman"/>
          <w:color w:val="000000"/>
          <w:sz w:val="24"/>
          <w:szCs w:val="24"/>
        </w:rPr>
        <w:t xml:space="preserve"> Ethics Committee (ZAHREC) with</w:t>
      </w:r>
      <w:r w:rsidRPr="00221383">
        <w:rPr>
          <w:rFonts w:ascii="Times New Roman" w:eastAsia="Times New Roman" w:hAnsi="Times New Roman" w:cs="Times New Roman"/>
          <w:color w:val="000000"/>
          <w:sz w:val="24"/>
          <w:szCs w:val="24"/>
        </w:rPr>
        <w:t xml:space="preserve"> reference </w:t>
      </w:r>
      <w:r>
        <w:rPr>
          <w:rFonts w:ascii="Times New Roman" w:eastAsia="Times New Roman" w:hAnsi="Times New Roman" w:cs="Times New Roman"/>
          <w:color w:val="000000"/>
          <w:sz w:val="24"/>
          <w:szCs w:val="24"/>
        </w:rPr>
        <w:t>number ZAHREC/02/ST/MAR/2025/215. Participants, including their guides in the case of children, were provided with</w:t>
      </w:r>
      <w:r w:rsidRPr="00221383">
        <w:rPr>
          <w:rFonts w:ascii="Times New Roman" w:eastAsia="Times New Roman" w:hAnsi="Times New Roman" w:cs="Times New Roman"/>
          <w:color w:val="000000"/>
          <w:sz w:val="24"/>
          <w:szCs w:val="24"/>
        </w:rPr>
        <w:t xml:space="preserve"> detailed information about the study and gave informed consent </w:t>
      </w:r>
      <w:r>
        <w:rPr>
          <w:rFonts w:ascii="Times New Roman" w:eastAsia="Times New Roman" w:hAnsi="Times New Roman" w:cs="Times New Roman"/>
          <w:color w:val="000000"/>
          <w:sz w:val="24"/>
          <w:szCs w:val="24"/>
        </w:rPr>
        <w:t>before</w:t>
      </w:r>
      <w:r w:rsidRPr="00221383">
        <w:rPr>
          <w:rFonts w:ascii="Times New Roman" w:eastAsia="Times New Roman" w:hAnsi="Times New Roman" w:cs="Times New Roman"/>
          <w:color w:val="000000"/>
          <w:sz w:val="24"/>
          <w:szCs w:val="24"/>
        </w:rPr>
        <w:t xml:space="preserve"> participation. Con</w:t>
      </w:r>
      <w:r>
        <w:rPr>
          <w:rFonts w:ascii="Times New Roman" w:eastAsia="Times New Roman" w:hAnsi="Times New Roman" w:cs="Times New Roman"/>
          <w:color w:val="000000"/>
          <w:sz w:val="24"/>
          <w:szCs w:val="24"/>
        </w:rPr>
        <w:t>fidentiality was assured, and the</w:t>
      </w:r>
      <w:r w:rsidRPr="00221383">
        <w:rPr>
          <w:rFonts w:ascii="Times New Roman" w:eastAsia="Times New Roman" w:hAnsi="Times New Roman" w:cs="Times New Roman"/>
          <w:color w:val="000000"/>
          <w:sz w:val="24"/>
          <w:szCs w:val="24"/>
        </w:rPr>
        <w:t xml:space="preserve"> data</w:t>
      </w:r>
      <w:r>
        <w:rPr>
          <w:rFonts w:ascii="Times New Roman" w:eastAsia="Times New Roman" w:hAnsi="Times New Roman" w:cs="Times New Roman"/>
          <w:color w:val="000000"/>
          <w:sz w:val="24"/>
          <w:szCs w:val="24"/>
        </w:rPr>
        <w:t xml:space="preserve"> were</w:t>
      </w:r>
      <w:r w:rsidRPr="00221383">
        <w:rPr>
          <w:rFonts w:ascii="Times New Roman" w:eastAsia="Times New Roman" w:hAnsi="Times New Roman" w:cs="Times New Roman"/>
          <w:color w:val="000000"/>
          <w:sz w:val="24"/>
          <w:szCs w:val="24"/>
        </w:rPr>
        <w:t xml:space="preserve"> used solely for research purposes. Participants were </w:t>
      </w:r>
      <w:r>
        <w:rPr>
          <w:rFonts w:ascii="Times New Roman" w:eastAsia="Times New Roman" w:hAnsi="Times New Roman" w:cs="Times New Roman"/>
          <w:color w:val="000000"/>
          <w:sz w:val="24"/>
          <w:szCs w:val="24"/>
        </w:rPr>
        <w:t xml:space="preserve">also </w:t>
      </w:r>
      <w:r w:rsidRPr="00221383">
        <w:rPr>
          <w:rFonts w:ascii="Times New Roman" w:eastAsia="Times New Roman" w:hAnsi="Times New Roman" w:cs="Times New Roman"/>
          <w:color w:val="000000"/>
          <w:sz w:val="24"/>
          <w:szCs w:val="24"/>
        </w:rPr>
        <w:t>informed of their right to decline participation or withdraw at any time without any consequences.</w:t>
      </w:r>
    </w:p>
    <w:p w:rsidR="00765883" w:rsidRPr="002678BF" w:rsidRDefault="00765883" w:rsidP="00765883">
      <w:pPr>
        <w:spacing w:line="360" w:lineRule="auto"/>
        <w:jc w:val="both"/>
        <w:rPr>
          <w:rFonts w:ascii="Arial" w:hAnsi="Arial" w:cs="Arial"/>
          <w:b/>
          <w:sz w:val="24"/>
          <w:szCs w:val="24"/>
        </w:rPr>
      </w:pPr>
    </w:p>
    <w:p w:rsidR="00765883" w:rsidRPr="002678BF" w:rsidRDefault="00765883" w:rsidP="00765883">
      <w:pPr>
        <w:rPr>
          <w:b/>
          <w:highlight w:val="yellow"/>
        </w:rPr>
      </w:pPr>
      <w:r w:rsidRPr="002678BF">
        <w:rPr>
          <w:b/>
          <w:highlight w:val="yellow"/>
        </w:rPr>
        <w:t>Disclaimer (Artificial intelligence)</w:t>
      </w:r>
    </w:p>
    <w:p w:rsidR="00765883" w:rsidRPr="00270720" w:rsidRDefault="00765883" w:rsidP="00765883">
      <w:pPr>
        <w:rPr>
          <w:highlight w:val="yellow"/>
        </w:rPr>
      </w:pPr>
      <w:r>
        <w:rPr>
          <w:highlight w:val="yellow"/>
        </w:rPr>
        <w:t xml:space="preserve"> </w:t>
      </w:r>
    </w:p>
    <w:p w:rsidR="00765883" w:rsidRPr="00270720" w:rsidRDefault="00765883" w:rsidP="00765883">
      <w:pPr>
        <w:rPr>
          <w:highlight w:val="yellow"/>
        </w:rPr>
      </w:pPr>
    </w:p>
    <w:p w:rsidR="00765883" w:rsidRPr="00270720" w:rsidRDefault="00765883" w:rsidP="00765883">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765883" w:rsidRPr="00270720" w:rsidRDefault="00765883" w:rsidP="00765883">
      <w:pPr>
        <w:rPr>
          <w:highlight w:val="yellow"/>
        </w:rPr>
      </w:pPr>
    </w:p>
    <w:p w:rsidR="00765883" w:rsidRPr="006A3D77" w:rsidRDefault="00765883" w:rsidP="00765883">
      <w:pPr>
        <w:rPr>
          <w:highlight w:val="yellow"/>
        </w:rPr>
      </w:pPr>
      <w:r>
        <w:rPr>
          <w:highlight w:val="yellow"/>
        </w:rPr>
        <w:lastRenderedPageBreak/>
        <w:t xml:space="preserve"> </w:t>
      </w:r>
    </w:p>
    <w:p w:rsidR="00765883" w:rsidRDefault="00765883" w:rsidP="00765883">
      <w:pPr>
        <w:spacing w:line="360" w:lineRule="auto"/>
        <w:jc w:val="both"/>
        <w:rPr>
          <w:rFonts w:ascii="Arial" w:hAnsi="Arial" w:cs="Arial"/>
          <w:sz w:val="24"/>
          <w:szCs w:val="24"/>
        </w:rPr>
      </w:pPr>
      <w:r>
        <w:rPr>
          <w:rFonts w:ascii="Arial" w:hAnsi="Arial" w:cs="Arial"/>
          <w:sz w:val="24"/>
          <w:szCs w:val="24"/>
        </w:rPr>
        <w:t>References</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765883">
        <w:rPr>
          <w:rFonts w:ascii="Arial" w:hAnsi="Arial" w:cs="Arial"/>
          <w:noProof/>
          <w:sz w:val="24"/>
          <w:szCs w:val="24"/>
        </w:rPr>
        <w:t>[1]</w:t>
      </w:r>
      <w:r w:rsidRPr="00765883">
        <w:rPr>
          <w:rFonts w:ascii="Arial" w:hAnsi="Arial" w:cs="Arial"/>
          <w:noProof/>
          <w:sz w:val="24"/>
          <w:szCs w:val="24"/>
        </w:rPr>
        <w:tab/>
        <w:t xml:space="preserve">U. O. Ogu, N. U. Badamosi, P. E. Camacho, A. X. Freire, and P. Adams-Graves, “Management of Sickle Cell Disease Complications Beyond Acute Chest Syndrome.,” </w:t>
      </w:r>
      <w:r w:rsidRPr="00765883">
        <w:rPr>
          <w:rFonts w:ascii="Arial" w:hAnsi="Arial" w:cs="Arial"/>
          <w:i/>
          <w:iCs/>
          <w:noProof/>
          <w:sz w:val="24"/>
          <w:szCs w:val="24"/>
        </w:rPr>
        <w:t>J. Blood Med.</w:t>
      </w:r>
      <w:r w:rsidRPr="00765883">
        <w:rPr>
          <w:rFonts w:ascii="Arial" w:hAnsi="Arial" w:cs="Arial"/>
          <w:noProof/>
          <w:sz w:val="24"/>
          <w:szCs w:val="24"/>
        </w:rPr>
        <w:t>, vol. 12, pp. 101–114, 2021, doi: 10.2147/JBM.S291394.</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w:t>
      </w:r>
      <w:r w:rsidRPr="00765883">
        <w:rPr>
          <w:rFonts w:ascii="Arial" w:hAnsi="Arial" w:cs="Arial"/>
          <w:noProof/>
          <w:sz w:val="24"/>
          <w:szCs w:val="24"/>
        </w:rPr>
        <w:tab/>
        <w:t xml:space="preserve">“Global, regional, and national prevalence and mortality burden of sickle cell  disease, 2000-2021: a systematic analysis from the Global Burden of Disease Study 2021.,” </w:t>
      </w:r>
      <w:r w:rsidRPr="00765883">
        <w:rPr>
          <w:rFonts w:ascii="Arial" w:hAnsi="Arial" w:cs="Arial"/>
          <w:i/>
          <w:iCs/>
          <w:noProof/>
          <w:sz w:val="24"/>
          <w:szCs w:val="24"/>
        </w:rPr>
        <w:t>Lancet. Haematol.</w:t>
      </w:r>
      <w:r w:rsidRPr="00765883">
        <w:rPr>
          <w:rFonts w:ascii="Arial" w:hAnsi="Arial" w:cs="Arial"/>
          <w:noProof/>
          <w:sz w:val="24"/>
          <w:szCs w:val="24"/>
        </w:rPr>
        <w:t>, vol. 10, no. 8, pp. e585–e599, Aug. 2023, doi: 10.1016/S2352-3026(23)00118-7.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[3]</w:t>
      </w:r>
      <w:r w:rsidRPr="00765883">
        <w:rPr>
          <w:rFonts w:ascii="Arial" w:hAnsi="Arial" w:cs="Arial"/>
          <w:noProof/>
          <w:sz w:val="24"/>
          <w:szCs w:val="24"/>
        </w:rPr>
        <w:tab/>
        <w:t>R. B. Birudu, I. Anil, S. L. Bala Krishna, and P. Sridevi, “Global Sickle Cell Disease and Impact on School Education in Children; A Focus on Interventions for Improving Academic Performance,” pp. 0–11, 2025, doi: 10.20944/preprints202505.2130.v1.</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[4]</w:t>
      </w:r>
      <w:r w:rsidRPr="00765883">
        <w:rPr>
          <w:rFonts w:ascii="Arial" w:hAnsi="Arial" w:cs="Arial"/>
          <w:noProof/>
          <w:sz w:val="24"/>
          <w:szCs w:val="24"/>
        </w:rPr>
        <w:tab/>
        <w:t xml:space="preserve">O. E. Nnodu, A. P. Oron, A. Sopekan, G. O. Akaba, F. B. Piel, and D. L. Chao, “Child mortality from sickle cell disease in Nigeria: a model-estimated,  population-level analysis of data from the 2018 Demographic and Health Survey.,” </w:t>
      </w:r>
      <w:r w:rsidRPr="00765883">
        <w:rPr>
          <w:rFonts w:ascii="Arial" w:hAnsi="Arial" w:cs="Arial"/>
          <w:i/>
          <w:iCs/>
          <w:noProof/>
          <w:sz w:val="24"/>
          <w:szCs w:val="24"/>
        </w:rPr>
        <w:t>Lancet. Haematol.</w:t>
      </w:r>
      <w:r w:rsidRPr="00765883">
        <w:rPr>
          <w:rFonts w:ascii="Arial" w:hAnsi="Arial" w:cs="Arial"/>
          <w:noProof/>
          <w:sz w:val="24"/>
          <w:szCs w:val="24"/>
        </w:rPr>
        <w:t>, vol. 8, no. 10, pp. e723–e731, Oct. 2021, doi: 10.1016/S2352-3026(21)00216-7.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[5]</w:t>
      </w:r>
      <w:r w:rsidRPr="00765883">
        <w:rPr>
          <w:rFonts w:ascii="Arial" w:hAnsi="Arial" w:cs="Arial"/>
          <w:noProof/>
          <w:sz w:val="24"/>
          <w:szCs w:val="24"/>
        </w:rPr>
        <w:tab/>
        <w:t xml:space="preserve">M. J. Telen, P. Malik, and G. M. Vercellotti, “Therapeutic strategies for sickle cell disease: towards a multi-agent approach.” </w:t>
      </w:r>
      <w:r w:rsidRPr="00765883">
        <w:rPr>
          <w:rFonts w:ascii="Arial" w:hAnsi="Arial" w:cs="Arial"/>
          <w:i/>
          <w:iCs/>
          <w:noProof/>
          <w:sz w:val="24"/>
          <w:szCs w:val="24"/>
        </w:rPr>
        <w:t>Nat. Rev. Drug Discov.</w:t>
      </w:r>
      <w:r w:rsidRPr="00765883">
        <w:rPr>
          <w:rFonts w:ascii="Arial" w:hAnsi="Arial" w:cs="Arial"/>
          <w:noProof/>
          <w:sz w:val="24"/>
          <w:szCs w:val="24"/>
        </w:rPr>
        <w:t>, vol. 18, no. 2, pp. 139–158, Feb. 2019, doi: 10.1038/s41573-018-0003-2.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[6]</w:t>
      </w:r>
      <w:r w:rsidRPr="00765883">
        <w:rPr>
          <w:rFonts w:ascii="Arial" w:hAnsi="Arial" w:cs="Arial"/>
          <w:noProof/>
          <w:sz w:val="24"/>
          <w:szCs w:val="24"/>
        </w:rPr>
        <w:tab/>
        <w:t xml:space="preserve">“Annual Sickle Cell &amp; Thalassaemia Conference (ASCAT) - October 2024,” </w:t>
      </w:r>
      <w:r w:rsidRPr="00765883">
        <w:rPr>
          <w:rFonts w:ascii="Arial" w:hAnsi="Arial" w:cs="Arial"/>
          <w:i/>
          <w:iCs/>
          <w:noProof/>
          <w:sz w:val="24"/>
          <w:szCs w:val="24"/>
        </w:rPr>
        <w:t>HemaSphere</w:t>
      </w:r>
      <w:r w:rsidRPr="00765883">
        <w:rPr>
          <w:rFonts w:ascii="Arial" w:hAnsi="Arial" w:cs="Arial"/>
          <w:noProof/>
          <w:sz w:val="24"/>
          <w:szCs w:val="24"/>
        </w:rPr>
        <w:t>, vol. 8, no. S4, p. e70009, Dec. 2024, doi: https://doi.org/10.1002/hem3.70009.</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[7]</w:t>
      </w:r>
      <w:r w:rsidRPr="00765883">
        <w:rPr>
          <w:rFonts w:ascii="Arial" w:hAnsi="Arial" w:cs="Arial"/>
          <w:noProof/>
          <w:sz w:val="24"/>
          <w:szCs w:val="24"/>
        </w:rPr>
        <w:tab/>
        <w:t xml:space="preserve">F. B. Piel </w:t>
      </w:r>
      <w:r w:rsidRPr="00765883">
        <w:rPr>
          <w:rFonts w:ascii="Arial" w:hAnsi="Arial" w:cs="Arial"/>
          <w:i/>
          <w:iCs/>
          <w:noProof/>
          <w:sz w:val="24"/>
          <w:szCs w:val="24"/>
        </w:rPr>
        <w:t>et al.</w:t>
      </w:r>
      <w:r w:rsidRPr="00765883">
        <w:rPr>
          <w:rFonts w:ascii="Arial" w:hAnsi="Arial" w:cs="Arial"/>
          <w:noProof/>
          <w:sz w:val="24"/>
          <w:szCs w:val="24"/>
        </w:rPr>
        <w:t xml:space="preserve">, “Defining global strategies to improve outcomes in sickle cell disease: a Lancet  Haematology Commission,” </w:t>
      </w:r>
      <w:r w:rsidRPr="00765883">
        <w:rPr>
          <w:rFonts w:ascii="Arial" w:hAnsi="Arial" w:cs="Arial"/>
          <w:i/>
          <w:iCs/>
          <w:noProof/>
          <w:sz w:val="24"/>
          <w:szCs w:val="24"/>
        </w:rPr>
        <w:t>Lancet. Haematol.</w:t>
      </w:r>
      <w:r w:rsidRPr="00765883">
        <w:rPr>
          <w:rFonts w:ascii="Arial" w:hAnsi="Arial" w:cs="Arial"/>
          <w:noProof/>
          <w:sz w:val="24"/>
          <w:szCs w:val="24"/>
        </w:rPr>
        <w:t>, vol. 10, no. 8, pp. e633–e686, Aug. 2023, doi: 10.1016/S2352-3026(23)00096-0.</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lastRenderedPageBreak/>
        <w:t>[8]</w:t>
      </w:r>
      <w:r w:rsidRPr="00765883">
        <w:rPr>
          <w:rFonts w:ascii="Arial" w:hAnsi="Arial" w:cs="Arial"/>
          <w:noProof/>
          <w:sz w:val="24"/>
          <w:szCs w:val="24"/>
        </w:rPr>
        <w:tab/>
        <w:t xml:space="preserve">S. J. Nevitt, A. P. Jones, and J. Howard, “Hydroxyurea (hydroxycarbamide) for sickle cell disease.,” </w:t>
      </w:r>
      <w:r w:rsidRPr="00765883">
        <w:rPr>
          <w:rFonts w:ascii="Arial" w:hAnsi="Arial" w:cs="Arial"/>
          <w:i/>
          <w:iCs/>
          <w:noProof/>
          <w:sz w:val="24"/>
          <w:szCs w:val="24"/>
        </w:rPr>
        <w:t>Cochrane database Syst. Rev.</w:t>
      </w:r>
      <w:r w:rsidRPr="00765883">
        <w:rPr>
          <w:rFonts w:ascii="Arial" w:hAnsi="Arial" w:cs="Arial"/>
          <w:noProof/>
          <w:sz w:val="24"/>
          <w:szCs w:val="24"/>
        </w:rPr>
        <w:t>, vol. 4, no. 4, p. CD002202, Apr. 2017, doi: 10.1002/14651858.CD002202.pub2.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[9]</w:t>
      </w:r>
      <w:r w:rsidRPr="00765883">
        <w:rPr>
          <w:rFonts w:ascii="Arial" w:hAnsi="Arial" w:cs="Arial"/>
          <w:noProof/>
          <w:sz w:val="24"/>
          <w:szCs w:val="24"/>
        </w:rPr>
        <w:tab/>
        <w:t xml:space="preserve">V. Bell, T. Varzakas, T. Psaltopoulou, and T. Fernandes, “Sickle Cell Disease Update: New Treatments and Challenging Nutritional  Interventions,” </w:t>
      </w:r>
      <w:r w:rsidRPr="00765883">
        <w:rPr>
          <w:rFonts w:ascii="Arial" w:hAnsi="Arial" w:cs="Arial"/>
          <w:i/>
          <w:iCs/>
          <w:noProof/>
          <w:sz w:val="24"/>
          <w:szCs w:val="24"/>
        </w:rPr>
        <w:t>Nutrients</w:t>
      </w:r>
      <w:r w:rsidRPr="00765883">
        <w:rPr>
          <w:rFonts w:ascii="Arial" w:hAnsi="Arial" w:cs="Arial"/>
          <w:noProof/>
          <w:sz w:val="24"/>
          <w:szCs w:val="24"/>
        </w:rPr>
        <w:t>, vol. 16, no. 2, Jan. 2024, doi: 10.3390/nu16020258.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[10]</w:t>
      </w:r>
      <w:r w:rsidRPr="00765883">
        <w:rPr>
          <w:rFonts w:ascii="Arial" w:hAnsi="Arial" w:cs="Arial"/>
          <w:noProof/>
          <w:sz w:val="24"/>
          <w:szCs w:val="24"/>
        </w:rPr>
        <w:tab/>
        <w:t xml:space="preserve">N. Khargekar </w:t>
      </w:r>
      <w:r w:rsidRPr="00765883">
        <w:rPr>
          <w:rFonts w:ascii="Arial" w:hAnsi="Arial" w:cs="Arial"/>
          <w:i/>
          <w:iCs/>
          <w:noProof/>
          <w:sz w:val="24"/>
          <w:szCs w:val="24"/>
        </w:rPr>
        <w:t>et al.</w:t>
      </w:r>
      <w:r w:rsidRPr="00765883">
        <w:rPr>
          <w:rFonts w:ascii="Arial" w:hAnsi="Arial" w:cs="Arial"/>
          <w:noProof/>
          <w:sz w:val="24"/>
          <w:szCs w:val="24"/>
        </w:rPr>
        <w:t xml:space="preserve">, “Role of hydroxyurea therapy in the prevention of organ damage in sickle cell disease: a systematic review and meta-analysis.,” </w:t>
      </w:r>
      <w:r w:rsidRPr="00765883">
        <w:rPr>
          <w:rFonts w:ascii="Arial" w:hAnsi="Arial" w:cs="Arial"/>
          <w:i/>
          <w:iCs/>
          <w:noProof/>
          <w:sz w:val="24"/>
          <w:szCs w:val="24"/>
        </w:rPr>
        <w:t>Syst. Rev.</w:t>
      </w:r>
      <w:r w:rsidRPr="00765883">
        <w:rPr>
          <w:rFonts w:ascii="Arial" w:hAnsi="Arial" w:cs="Arial"/>
          <w:noProof/>
          <w:sz w:val="24"/>
          <w:szCs w:val="24"/>
        </w:rPr>
        <w:t>, vol. 13, no. 1, p. 60, 2024, doi: 10.1186/s13643-024-02461-z.</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[11]</w:t>
      </w:r>
      <w:r w:rsidRPr="00765883">
        <w:rPr>
          <w:rFonts w:ascii="Arial" w:hAnsi="Arial" w:cs="Arial"/>
          <w:noProof/>
          <w:sz w:val="24"/>
          <w:szCs w:val="24"/>
        </w:rPr>
        <w:tab/>
        <w:t xml:space="preserve">C. T. Quinn and R. E. Ware, “The modern use of hydroxyurea for children with sickle cell anemia.,” </w:t>
      </w:r>
      <w:r w:rsidRPr="00765883">
        <w:rPr>
          <w:rFonts w:ascii="Arial" w:hAnsi="Arial" w:cs="Arial"/>
          <w:i/>
          <w:iCs/>
          <w:noProof/>
          <w:sz w:val="24"/>
          <w:szCs w:val="24"/>
        </w:rPr>
        <w:t>Haematologica</w:t>
      </w:r>
      <w:r w:rsidRPr="00765883">
        <w:rPr>
          <w:rFonts w:ascii="Arial" w:hAnsi="Arial" w:cs="Arial"/>
          <w:noProof/>
          <w:sz w:val="24"/>
          <w:szCs w:val="24"/>
        </w:rPr>
        <w:t>, vol. 110, no. 5, pp. 1061–1073, May 2025, doi: 10.3324/haematol.2023.284633.</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[12]</w:t>
      </w:r>
      <w:r w:rsidRPr="00765883">
        <w:rPr>
          <w:rFonts w:ascii="Arial" w:hAnsi="Arial" w:cs="Arial"/>
          <w:noProof/>
          <w:sz w:val="24"/>
          <w:szCs w:val="24"/>
        </w:rPr>
        <w:tab/>
        <w:t xml:space="preserve">G. Ceglie </w:t>
      </w:r>
      <w:r w:rsidRPr="00765883">
        <w:rPr>
          <w:rFonts w:ascii="Arial" w:hAnsi="Arial" w:cs="Arial"/>
          <w:i/>
          <w:iCs/>
          <w:noProof/>
          <w:sz w:val="24"/>
          <w:szCs w:val="24"/>
        </w:rPr>
        <w:t>et al.</w:t>
      </w:r>
      <w:r w:rsidRPr="00765883">
        <w:rPr>
          <w:rFonts w:ascii="Arial" w:hAnsi="Arial" w:cs="Arial"/>
          <w:noProof/>
          <w:sz w:val="24"/>
          <w:szCs w:val="24"/>
        </w:rPr>
        <w:t xml:space="preserve">, “Gender-Related Differences in Sickle Cell Disease in a Pediatric Cohort: A Single-Center Retrospective Study,” </w:t>
      </w:r>
      <w:r w:rsidRPr="00765883">
        <w:rPr>
          <w:rFonts w:ascii="Arial" w:hAnsi="Arial" w:cs="Arial"/>
          <w:i/>
          <w:iCs/>
          <w:noProof/>
          <w:sz w:val="24"/>
          <w:szCs w:val="24"/>
        </w:rPr>
        <w:t>Front. Mol. Biosci.</w:t>
      </w:r>
      <w:r w:rsidRPr="00765883">
        <w:rPr>
          <w:rFonts w:ascii="Arial" w:hAnsi="Arial" w:cs="Arial"/>
          <w:noProof/>
          <w:sz w:val="24"/>
          <w:szCs w:val="24"/>
        </w:rPr>
        <w:t>, vol. 6, no. December, pp. 1–5, 2019, doi: 10.3389/</w:t>
      </w:r>
      <w:r w:rsidR="00B7333C">
        <w:rPr>
          <w:rFonts w:ascii="Arial" w:hAnsi="Arial" w:cs="Arial"/>
          <w:noProof/>
          <w:sz w:val="24"/>
          <w:szCs w:val="24"/>
        </w:rPr>
        <w:t xml:space="preserve">fmolb. </w:t>
      </w:r>
      <w:r w:rsidRPr="00765883">
        <w:rPr>
          <w:rFonts w:ascii="Arial" w:hAnsi="Arial" w:cs="Arial"/>
          <w:noProof/>
          <w:sz w:val="24"/>
          <w:szCs w:val="24"/>
        </w:rPr>
        <w:t>2019.00140.</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[13]</w:t>
      </w:r>
      <w:r w:rsidRPr="00765883">
        <w:rPr>
          <w:rFonts w:ascii="Arial" w:hAnsi="Arial" w:cs="Arial"/>
          <w:noProof/>
          <w:sz w:val="24"/>
          <w:szCs w:val="24"/>
        </w:rPr>
        <w:tab/>
        <w:t xml:space="preserve">O. S. Olatunya </w:t>
      </w:r>
      <w:r w:rsidRPr="00765883">
        <w:rPr>
          <w:rFonts w:ascii="Arial" w:hAnsi="Arial" w:cs="Arial"/>
          <w:i/>
          <w:iCs/>
          <w:noProof/>
          <w:sz w:val="24"/>
          <w:szCs w:val="24"/>
        </w:rPr>
        <w:t>et al.</w:t>
      </w:r>
      <w:r w:rsidRPr="00765883">
        <w:rPr>
          <w:rFonts w:ascii="Arial" w:hAnsi="Arial" w:cs="Arial"/>
          <w:noProof/>
          <w:sz w:val="24"/>
          <w:szCs w:val="24"/>
        </w:rPr>
        <w:t xml:space="preserve">, “Determinants of care-seeking practices for children with sickle cell disease in Ekiti, Southwest Nigeria,” </w:t>
      </w:r>
      <w:r w:rsidRPr="00765883">
        <w:rPr>
          <w:rFonts w:ascii="Arial" w:hAnsi="Arial" w:cs="Arial"/>
          <w:i/>
          <w:iCs/>
          <w:noProof/>
          <w:sz w:val="24"/>
          <w:szCs w:val="24"/>
        </w:rPr>
        <w:t>J. Blood Med.</w:t>
      </w:r>
      <w:r w:rsidRPr="00765883">
        <w:rPr>
          <w:rFonts w:ascii="Arial" w:hAnsi="Arial" w:cs="Arial"/>
          <w:noProof/>
          <w:sz w:val="24"/>
          <w:szCs w:val="24"/>
        </w:rPr>
        <w:t>, vol. 12, pp. 123–132, 2021, doi: 10.2147/JBM.S294952.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[14]</w:t>
      </w:r>
      <w:r w:rsidRPr="00765883">
        <w:rPr>
          <w:rFonts w:ascii="Arial" w:hAnsi="Arial" w:cs="Arial"/>
          <w:noProof/>
          <w:sz w:val="24"/>
          <w:szCs w:val="24"/>
        </w:rPr>
        <w:tab/>
        <w:t xml:space="preserve">A. Kilungu, E. Winchislaus, G. Alberto, A. Wapalila, V. Kayombo, and T. Sonda, “Outcomes and Complications of Sickle Cell Disease among Hospitalized Paediatric Patients; A Retrospective Study in a Tertiary Hospital, Tanzania,” </w:t>
      </w:r>
      <w:r w:rsidRPr="00765883">
        <w:rPr>
          <w:rFonts w:ascii="Arial" w:hAnsi="Arial" w:cs="Arial"/>
          <w:i/>
          <w:iCs/>
          <w:noProof/>
          <w:sz w:val="24"/>
          <w:szCs w:val="24"/>
        </w:rPr>
        <w:t>medRxiv</w:t>
      </w:r>
      <w:r w:rsidRPr="00765883">
        <w:rPr>
          <w:rFonts w:ascii="Arial" w:hAnsi="Arial" w:cs="Arial"/>
          <w:noProof/>
          <w:sz w:val="24"/>
          <w:szCs w:val="24"/>
        </w:rPr>
        <w:t>, pp. 2003–2025, 2025.</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[15]</w:t>
      </w:r>
      <w:r w:rsidRPr="00765883">
        <w:rPr>
          <w:rFonts w:ascii="Arial" w:hAnsi="Arial" w:cs="Arial"/>
          <w:noProof/>
          <w:sz w:val="24"/>
          <w:szCs w:val="24"/>
        </w:rPr>
        <w:tab/>
        <w:t xml:space="preserve">R. Owomuhangi </w:t>
      </w:r>
      <w:r w:rsidRPr="00765883">
        <w:rPr>
          <w:rFonts w:ascii="Arial" w:hAnsi="Arial" w:cs="Arial"/>
          <w:i/>
          <w:iCs/>
          <w:noProof/>
          <w:sz w:val="24"/>
          <w:szCs w:val="24"/>
        </w:rPr>
        <w:t>et al.</w:t>
      </w:r>
      <w:r w:rsidRPr="00765883">
        <w:rPr>
          <w:rFonts w:ascii="Arial" w:hAnsi="Arial" w:cs="Arial"/>
          <w:noProof/>
          <w:sz w:val="24"/>
          <w:szCs w:val="24"/>
        </w:rPr>
        <w:t>, “Clinical characteristics of adolescents and adults with Sickle Cell Disease and barriers to transition to adult care at Mulago Hospital, Uganda: A mixed methods study,” pp. 1–19, 2025.</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[16]</w:t>
      </w:r>
      <w:r w:rsidRPr="00765883">
        <w:rPr>
          <w:rFonts w:ascii="Arial" w:hAnsi="Arial" w:cs="Arial"/>
          <w:noProof/>
          <w:sz w:val="24"/>
          <w:szCs w:val="24"/>
        </w:rPr>
        <w:tab/>
        <w:t xml:space="preserve">A. Amour </w:t>
      </w:r>
      <w:r w:rsidRPr="00765883">
        <w:rPr>
          <w:rFonts w:ascii="Arial" w:hAnsi="Arial" w:cs="Arial"/>
          <w:i/>
          <w:iCs/>
          <w:noProof/>
          <w:sz w:val="24"/>
          <w:szCs w:val="24"/>
        </w:rPr>
        <w:t>et al.</w:t>
      </w:r>
      <w:r w:rsidRPr="00765883">
        <w:rPr>
          <w:rFonts w:ascii="Arial" w:hAnsi="Arial" w:cs="Arial"/>
          <w:noProof/>
          <w:sz w:val="24"/>
          <w:szCs w:val="24"/>
        </w:rPr>
        <w:t xml:space="preserve">, “Sickle Cell Disease in the Islands of Zanzibar: Patients’ Characteristics, Management, and Clinical Outcomes,” </w:t>
      </w:r>
      <w:r w:rsidRPr="00765883">
        <w:rPr>
          <w:rFonts w:ascii="Arial" w:hAnsi="Arial" w:cs="Arial"/>
          <w:i/>
          <w:iCs/>
          <w:noProof/>
          <w:sz w:val="24"/>
          <w:szCs w:val="24"/>
        </w:rPr>
        <w:t>Genes (Basel).</w:t>
      </w:r>
      <w:r w:rsidRPr="00765883">
        <w:rPr>
          <w:rFonts w:ascii="Arial" w:hAnsi="Arial" w:cs="Arial"/>
          <w:noProof/>
          <w:sz w:val="24"/>
          <w:szCs w:val="24"/>
        </w:rPr>
        <w:t>, vol. 16, no. 1, pp. 1–11, 2025, doi: 10.3390/genes16010047.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lastRenderedPageBreak/>
        <w:t>[17]</w:t>
      </w:r>
      <w:r w:rsidRPr="00765883">
        <w:rPr>
          <w:rFonts w:ascii="Arial" w:hAnsi="Arial" w:cs="Arial"/>
          <w:noProof/>
          <w:sz w:val="24"/>
          <w:szCs w:val="24"/>
        </w:rPr>
        <w:tab/>
        <w:t xml:space="preserve">A. E. Rankine-Mullings and S. J. Nevitt, “Hydroxyurea (hydroxycarbamide) for sickle cell disease.,” </w:t>
      </w:r>
      <w:r w:rsidRPr="00765883">
        <w:rPr>
          <w:rFonts w:ascii="Arial" w:hAnsi="Arial" w:cs="Arial"/>
          <w:i/>
          <w:iCs/>
          <w:noProof/>
          <w:sz w:val="24"/>
          <w:szCs w:val="24"/>
        </w:rPr>
        <w:t>Cochrane database Syst. Rev.</w:t>
      </w:r>
      <w:r w:rsidRPr="00765883">
        <w:rPr>
          <w:rFonts w:ascii="Arial" w:hAnsi="Arial" w:cs="Arial"/>
          <w:noProof/>
          <w:sz w:val="24"/>
          <w:szCs w:val="24"/>
        </w:rPr>
        <w:t>, vol. 9, no. 9, p. CD002202, 2022, doi: 10.1002/14651858.CD002202.pub3.</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[18]</w:t>
      </w:r>
      <w:r w:rsidRPr="00765883">
        <w:rPr>
          <w:rFonts w:ascii="Arial" w:hAnsi="Arial" w:cs="Arial"/>
          <w:noProof/>
          <w:sz w:val="24"/>
          <w:szCs w:val="24"/>
        </w:rPr>
        <w:tab/>
        <w:t xml:space="preserve">S. U. Abdullahi </w:t>
      </w:r>
      <w:r w:rsidRPr="00765883">
        <w:rPr>
          <w:rFonts w:ascii="Arial" w:hAnsi="Arial" w:cs="Arial"/>
          <w:i/>
          <w:iCs/>
          <w:noProof/>
          <w:sz w:val="24"/>
          <w:szCs w:val="24"/>
        </w:rPr>
        <w:t>et al.</w:t>
      </w:r>
      <w:r w:rsidRPr="00765883">
        <w:rPr>
          <w:rFonts w:ascii="Arial" w:hAnsi="Arial" w:cs="Arial"/>
          <w:noProof/>
          <w:sz w:val="24"/>
          <w:szCs w:val="24"/>
        </w:rPr>
        <w:t xml:space="preserve">, “Hydroxyurea for primary stroke prevention in children with sickle cell anaemia in Nigeria (SPRING): a double-blind, multicentre, randomised, phase 3 trial.,” </w:t>
      </w:r>
      <w:r w:rsidRPr="00765883">
        <w:rPr>
          <w:rFonts w:ascii="Arial" w:hAnsi="Arial" w:cs="Arial"/>
          <w:i/>
          <w:iCs/>
          <w:noProof/>
          <w:sz w:val="24"/>
          <w:szCs w:val="24"/>
        </w:rPr>
        <w:t>Lancet. Haematol.</w:t>
      </w:r>
      <w:r w:rsidRPr="00765883">
        <w:rPr>
          <w:rFonts w:ascii="Arial" w:hAnsi="Arial" w:cs="Arial"/>
          <w:noProof/>
          <w:sz w:val="24"/>
          <w:szCs w:val="24"/>
        </w:rPr>
        <w:t>, vol. 9, no. 1, pp. e26–e37, 2022, doi: 10.1016/S2352-3026(21)00368-9.</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[19]</w:t>
      </w:r>
      <w:r w:rsidRPr="00765883">
        <w:rPr>
          <w:rFonts w:ascii="Arial" w:hAnsi="Arial" w:cs="Arial"/>
          <w:noProof/>
          <w:sz w:val="24"/>
          <w:szCs w:val="24"/>
        </w:rPr>
        <w:tab/>
        <w:t xml:space="preserve">S. Gupta, P. Choudhary, D. Singh, and P. Malpani, “An evaluation of effect of hydroxyurea on frequency of blood transfusion, vaso-occlusive crisis and hospitalisation in children of sickle cell anemia,” </w:t>
      </w:r>
      <w:r w:rsidRPr="00765883">
        <w:rPr>
          <w:rFonts w:ascii="Arial" w:hAnsi="Arial" w:cs="Arial"/>
          <w:i/>
          <w:iCs/>
          <w:noProof/>
          <w:sz w:val="24"/>
          <w:szCs w:val="24"/>
        </w:rPr>
        <w:t>Int. J. Contemp. Pediatr.</w:t>
      </w:r>
      <w:r w:rsidRPr="00765883">
        <w:rPr>
          <w:rFonts w:ascii="Arial" w:hAnsi="Arial" w:cs="Arial"/>
          <w:noProof/>
          <w:sz w:val="24"/>
          <w:szCs w:val="24"/>
        </w:rPr>
        <w:t>, vol. 10, no. 1, p. 29, 2022, doi: 10.18203/2349-3291.ijcp20223416.</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[20]</w:t>
      </w:r>
      <w:r w:rsidRPr="00765883">
        <w:rPr>
          <w:rFonts w:ascii="Arial" w:hAnsi="Arial" w:cs="Arial"/>
          <w:noProof/>
          <w:sz w:val="24"/>
          <w:szCs w:val="24"/>
        </w:rPr>
        <w:tab/>
        <w:t>V. Kumar and S. R. Shah, “Research in Engineering Management and Science ( Ijprems ) Assessing the Clinical Outcomes of Hydroxyurea Treatment in Patients With Sickle Cell Disease,” 2025.</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[21]</w:t>
      </w:r>
      <w:r w:rsidRPr="00765883">
        <w:rPr>
          <w:rFonts w:ascii="Arial" w:hAnsi="Arial" w:cs="Arial"/>
          <w:noProof/>
          <w:sz w:val="24"/>
          <w:szCs w:val="24"/>
        </w:rPr>
        <w:tab/>
        <w:t xml:space="preserve">K. A. Nottage </w:t>
      </w:r>
      <w:r w:rsidRPr="00765883">
        <w:rPr>
          <w:rFonts w:ascii="Arial" w:hAnsi="Arial" w:cs="Arial"/>
          <w:i/>
          <w:iCs/>
          <w:noProof/>
          <w:sz w:val="24"/>
          <w:szCs w:val="24"/>
        </w:rPr>
        <w:t>et al.</w:t>
      </w:r>
      <w:r w:rsidRPr="00765883">
        <w:rPr>
          <w:rFonts w:ascii="Arial" w:hAnsi="Arial" w:cs="Arial"/>
          <w:noProof/>
          <w:sz w:val="24"/>
          <w:szCs w:val="24"/>
        </w:rPr>
        <w:t xml:space="preserve">, “Hydroxyurea Use and Hospitalization Trends in a Comprehensive Pediatric Sickle Cell Program,” </w:t>
      </w:r>
      <w:r w:rsidRPr="00765883">
        <w:rPr>
          <w:rFonts w:ascii="Arial" w:hAnsi="Arial" w:cs="Arial"/>
          <w:i/>
          <w:iCs/>
          <w:noProof/>
          <w:sz w:val="24"/>
          <w:szCs w:val="24"/>
        </w:rPr>
        <w:t>PLoS One</w:t>
      </w:r>
      <w:r w:rsidRPr="00765883">
        <w:rPr>
          <w:rFonts w:ascii="Arial" w:hAnsi="Arial" w:cs="Arial"/>
          <w:noProof/>
          <w:sz w:val="24"/>
          <w:szCs w:val="24"/>
        </w:rPr>
        <w:t>, vol. 8, no. 8, pp. 1–5, 2013, doi: 10.1371/journal.pone.0072077.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[22]</w:t>
      </w:r>
      <w:r w:rsidRPr="00765883">
        <w:rPr>
          <w:rFonts w:ascii="Arial" w:hAnsi="Arial" w:cs="Arial"/>
          <w:noProof/>
          <w:sz w:val="24"/>
          <w:szCs w:val="24"/>
        </w:rPr>
        <w:tab/>
        <w:t xml:space="preserve">H. Albohassan, M. Ammen, A. A. Alomran, H. Bu Shehab, H. Al Sakkak, and A. Al Bohassan, “Impact of Hydroxyurea Therapy in Reducing Pain Crises, Hospital Admissions, and Length of Stay Among Sickle Cell Patients in the Eastern Region of Saudi Arabia.,” </w:t>
      </w:r>
      <w:r w:rsidRPr="00765883">
        <w:rPr>
          <w:rFonts w:ascii="Arial" w:hAnsi="Arial" w:cs="Arial"/>
          <w:i/>
          <w:iCs/>
          <w:noProof/>
          <w:sz w:val="24"/>
          <w:szCs w:val="24"/>
        </w:rPr>
        <w:t>Cureus</w:t>
      </w:r>
      <w:r w:rsidRPr="00765883">
        <w:rPr>
          <w:rFonts w:ascii="Arial" w:hAnsi="Arial" w:cs="Arial"/>
          <w:noProof/>
          <w:sz w:val="24"/>
          <w:szCs w:val="24"/>
        </w:rPr>
        <w:t>, vol. 14, no. 11, p. e31527, 2022, doi: 10.7759/cureus.31527.</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[23]</w:t>
      </w:r>
      <w:r w:rsidRPr="00765883">
        <w:rPr>
          <w:rFonts w:ascii="Arial" w:hAnsi="Arial" w:cs="Arial"/>
          <w:noProof/>
          <w:sz w:val="24"/>
          <w:szCs w:val="24"/>
        </w:rPr>
        <w:tab/>
        <w:t xml:space="preserve">B. Mbiya-Mukinayi </w:t>
      </w:r>
      <w:r w:rsidRPr="00765883">
        <w:rPr>
          <w:rFonts w:ascii="Arial" w:hAnsi="Arial" w:cs="Arial"/>
          <w:i/>
          <w:iCs/>
          <w:noProof/>
          <w:sz w:val="24"/>
          <w:szCs w:val="24"/>
        </w:rPr>
        <w:t>et al.</w:t>
      </w:r>
      <w:r w:rsidRPr="00765883">
        <w:rPr>
          <w:rFonts w:ascii="Arial" w:hAnsi="Arial" w:cs="Arial"/>
          <w:noProof/>
          <w:sz w:val="24"/>
          <w:szCs w:val="24"/>
        </w:rPr>
        <w:t xml:space="preserve">, “Assessing the quality of life of adolescents with sickle cell disease and their transition to adult medicine: experience in a remote area of the Democratic Republic of Congo,” </w:t>
      </w:r>
      <w:r w:rsidRPr="00765883">
        <w:rPr>
          <w:rFonts w:ascii="Arial" w:hAnsi="Arial" w:cs="Arial"/>
          <w:i/>
          <w:iCs/>
          <w:noProof/>
          <w:sz w:val="24"/>
          <w:szCs w:val="24"/>
        </w:rPr>
        <w:t>Discov. Soc. Sci. Heal.</w:t>
      </w:r>
      <w:r w:rsidRPr="00765883">
        <w:rPr>
          <w:rFonts w:ascii="Arial" w:hAnsi="Arial" w:cs="Arial"/>
          <w:noProof/>
          <w:sz w:val="24"/>
          <w:szCs w:val="24"/>
        </w:rPr>
        <w:t>, vol. 5, no. 1, 2025, doi: 10.1007/s44155-025-00216-2.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[24]</w:t>
      </w:r>
      <w:r w:rsidRPr="00765883">
        <w:rPr>
          <w:rFonts w:ascii="Arial" w:hAnsi="Arial" w:cs="Arial"/>
          <w:noProof/>
          <w:sz w:val="24"/>
          <w:szCs w:val="24"/>
        </w:rPr>
        <w:tab/>
        <w:t xml:space="preserve">F. R. Azmet, F. Al-Kasim, W. M. Alashram, and K. Siddique, “The role of hydroxyurea in decreasing the occurrence of </w:t>
      </w:r>
      <w:r w:rsidR="00B7333C">
        <w:rPr>
          <w:rFonts w:ascii="Arial" w:hAnsi="Arial" w:cs="Arial"/>
          <w:noProof/>
          <w:sz w:val="24"/>
          <w:szCs w:val="24"/>
        </w:rPr>
        <w:t>vaso-occlusive</w:t>
      </w:r>
      <w:r w:rsidRPr="00765883">
        <w:rPr>
          <w:rFonts w:ascii="Arial" w:hAnsi="Arial" w:cs="Arial"/>
          <w:noProof/>
          <w:sz w:val="24"/>
          <w:szCs w:val="24"/>
        </w:rPr>
        <w:t xml:space="preserve"> crisis in pediatric </w:t>
      </w:r>
      <w:r w:rsidRPr="00765883">
        <w:rPr>
          <w:rFonts w:ascii="Arial" w:hAnsi="Arial" w:cs="Arial"/>
          <w:noProof/>
          <w:sz w:val="24"/>
          <w:szCs w:val="24"/>
        </w:rPr>
        <w:lastRenderedPageBreak/>
        <w:t xml:space="preserve">patients with sickle cell disease at King Saud Medical City in  Riyadh, Saudi Arabia.,” </w:t>
      </w:r>
      <w:r w:rsidRPr="00765883">
        <w:rPr>
          <w:rFonts w:ascii="Arial" w:hAnsi="Arial" w:cs="Arial"/>
          <w:i/>
          <w:iCs/>
          <w:noProof/>
          <w:sz w:val="24"/>
          <w:szCs w:val="24"/>
        </w:rPr>
        <w:t>Saudi Med. J.</w:t>
      </w:r>
      <w:r w:rsidRPr="00765883">
        <w:rPr>
          <w:rFonts w:ascii="Arial" w:hAnsi="Arial" w:cs="Arial"/>
          <w:noProof/>
          <w:sz w:val="24"/>
          <w:szCs w:val="24"/>
        </w:rPr>
        <w:t>, vol. 41, no. 1, pp. 46–52, 2020, doi: 10.15537/</w:t>
      </w:r>
      <w:r w:rsidR="00B7333C">
        <w:rPr>
          <w:rFonts w:ascii="Arial" w:hAnsi="Arial" w:cs="Arial"/>
          <w:noProof/>
          <w:sz w:val="24"/>
          <w:szCs w:val="24"/>
        </w:rPr>
        <w:t xml:space="preserve">smj . </w:t>
      </w:r>
      <w:r w:rsidRPr="00765883">
        <w:rPr>
          <w:rFonts w:ascii="Arial" w:hAnsi="Arial" w:cs="Arial"/>
          <w:noProof/>
          <w:sz w:val="24"/>
          <w:szCs w:val="24"/>
        </w:rPr>
        <w:t>2020.1.24698.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[25]</w:t>
      </w:r>
      <w:r w:rsidRPr="00765883">
        <w:rPr>
          <w:rFonts w:ascii="Arial" w:hAnsi="Arial" w:cs="Arial"/>
          <w:noProof/>
          <w:sz w:val="24"/>
          <w:szCs w:val="24"/>
        </w:rPr>
        <w:tab/>
        <w:t xml:space="preserve">U. O. Ogu </w:t>
      </w:r>
      <w:r w:rsidRPr="00765883">
        <w:rPr>
          <w:rFonts w:ascii="Arial" w:hAnsi="Arial" w:cs="Arial"/>
          <w:i/>
          <w:iCs/>
          <w:noProof/>
          <w:sz w:val="24"/>
          <w:szCs w:val="24"/>
        </w:rPr>
        <w:t>et al.</w:t>
      </w:r>
      <w:r w:rsidRPr="00765883">
        <w:rPr>
          <w:rFonts w:ascii="Arial" w:hAnsi="Arial" w:cs="Arial"/>
          <w:noProof/>
          <w:sz w:val="24"/>
          <w:szCs w:val="24"/>
        </w:rPr>
        <w:t xml:space="preserve">, “Hydroxyurea at Escalated Dose versus Fixed Low-Dose Hydroxyurea in Adults with Sickle Cell Disease,” </w:t>
      </w:r>
      <w:r w:rsidRPr="00765883">
        <w:rPr>
          <w:rFonts w:ascii="Arial" w:hAnsi="Arial" w:cs="Arial"/>
          <w:i/>
          <w:iCs/>
          <w:noProof/>
          <w:sz w:val="24"/>
          <w:szCs w:val="24"/>
        </w:rPr>
        <w:t>Eur. J. Haematol.</w:t>
      </w:r>
      <w:r w:rsidRPr="00765883">
        <w:rPr>
          <w:rFonts w:ascii="Arial" w:hAnsi="Arial" w:cs="Arial"/>
          <w:noProof/>
          <w:sz w:val="24"/>
          <w:szCs w:val="24"/>
        </w:rPr>
        <w:t>, vol. 112, no. 3, pp. 466–474, Jul. 2024, doi: 10.1111/ejh.14138.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[26]</w:t>
      </w:r>
      <w:r w:rsidRPr="00765883">
        <w:rPr>
          <w:rFonts w:ascii="Arial" w:hAnsi="Arial" w:cs="Arial"/>
          <w:noProof/>
          <w:sz w:val="24"/>
          <w:szCs w:val="24"/>
        </w:rPr>
        <w:tab/>
        <w:t xml:space="preserve">F. R. Azmet, F. Al-Kasim, W. M. Alashram, and K. Siddique, “The role of hydroxyurea in decreasing the occurrence of </w:t>
      </w:r>
      <w:r w:rsidR="00B7333C">
        <w:rPr>
          <w:rFonts w:ascii="Arial" w:hAnsi="Arial" w:cs="Arial"/>
          <w:noProof/>
          <w:sz w:val="24"/>
          <w:szCs w:val="24"/>
        </w:rPr>
        <w:t>vaso-occlusive</w:t>
      </w:r>
      <w:r w:rsidRPr="00765883">
        <w:rPr>
          <w:rFonts w:ascii="Arial" w:hAnsi="Arial" w:cs="Arial"/>
          <w:noProof/>
          <w:sz w:val="24"/>
          <w:szCs w:val="24"/>
        </w:rPr>
        <w:t xml:space="preserve"> crisis in pediatric patients with sickle cell disease at King Saud Medical City in Riyadh, Saudi Arabia,” </w:t>
      </w:r>
      <w:r w:rsidRPr="00765883">
        <w:rPr>
          <w:rFonts w:ascii="Arial" w:hAnsi="Arial" w:cs="Arial"/>
          <w:i/>
          <w:iCs/>
          <w:noProof/>
          <w:sz w:val="24"/>
          <w:szCs w:val="24"/>
        </w:rPr>
        <w:t>Saudi Med. J.</w:t>
      </w:r>
      <w:r w:rsidRPr="00765883">
        <w:rPr>
          <w:rFonts w:ascii="Arial" w:hAnsi="Arial" w:cs="Arial"/>
          <w:noProof/>
          <w:sz w:val="24"/>
          <w:szCs w:val="24"/>
        </w:rPr>
        <w:t>, vol. 41, no. 1, pp. 46–52, 2020, doi: 10.15537/</w:t>
      </w:r>
      <w:r w:rsidR="00B7333C">
        <w:rPr>
          <w:rFonts w:ascii="Arial" w:hAnsi="Arial" w:cs="Arial"/>
          <w:noProof/>
          <w:sz w:val="24"/>
          <w:szCs w:val="24"/>
        </w:rPr>
        <w:t xml:space="preserve">smj. </w:t>
      </w:r>
      <w:r w:rsidRPr="00765883">
        <w:rPr>
          <w:rFonts w:ascii="Arial" w:hAnsi="Arial" w:cs="Arial"/>
          <w:noProof/>
          <w:sz w:val="24"/>
          <w:szCs w:val="24"/>
        </w:rPr>
        <w:t>2020.1.24698.</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[27]</w:t>
      </w:r>
      <w:r w:rsidRPr="00765883">
        <w:rPr>
          <w:rFonts w:ascii="Arial" w:hAnsi="Arial" w:cs="Arial"/>
          <w:noProof/>
          <w:sz w:val="24"/>
          <w:szCs w:val="24"/>
        </w:rPr>
        <w:tab/>
        <w:t xml:space="preserve">F. Alzahrani </w:t>
      </w:r>
      <w:r w:rsidRPr="00765883">
        <w:rPr>
          <w:rFonts w:ascii="Arial" w:hAnsi="Arial" w:cs="Arial"/>
          <w:i/>
          <w:iCs/>
          <w:noProof/>
          <w:sz w:val="24"/>
          <w:szCs w:val="24"/>
        </w:rPr>
        <w:t>et al.</w:t>
      </w:r>
      <w:r w:rsidRPr="00765883">
        <w:rPr>
          <w:rFonts w:ascii="Arial" w:hAnsi="Arial" w:cs="Arial"/>
          <w:noProof/>
          <w:sz w:val="24"/>
          <w:szCs w:val="24"/>
        </w:rPr>
        <w:t xml:space="preserve">, “Hydroxyurea Use Among Children With Sickle Cell Disease at King Abdulaziz University Hospital in Jeddah City.,” </w:t>
      </w:r>
      <w:r w:rsidRPr="00765883">
        <w:rPr>
          <w:rFonts w:ascii="Arial" w:hAnsi="Arial" w:cs="Arial"/>
          <w:i/>
          <w:iCs/>
          <w:noProof/>
          <w:sz w:val="24"/>
          <w:szCs w:val="24"/>
        </w:rPr>
        <w:t>Cureus</w:t>
      </w:r>
      <w:r w:rsidRPr="00765883">
        <w:rPr>
          <w:rFonts w:ascii="Arial" w:hAnsi="Arial" w:cs="Arial"/>
          <w:noProof/>
          <w:sz w:val="24"/>
          <w:szCs w:val="24"/>
        </w:rPr>
        <w:t>, vol. 13, no. 2, p. e13453, 2021, doi: 10.7759/cureus.13453.</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[28]</w:t>
      </w:r>
      <w:r w:rsidRPr="00765883">
        <w:rPr>
          <w:rFonts w:ascii="Arial" w:hAnsi="Arial" w:cs="Arial"/>
          <w:noProof/>
          <w:sz w:val="24"/>
          <w:szCs w:val="24"/>
        </w:rPr>
        <w:tab/>
        <w:t xml:space="preserve">M. A. Madkhali </w:t>
      </w:r>
      <w:r w:rsidRPr="00765883">
        <w:rPr>
          <w:rFonts w:ascii="Arial" w:hAnsi="Arial" w:cs="Arial"/>
          <w:i/>
          <w:iCs/>
          <w:noProof/>
          <w:sz w:val="24"/>
          <w:szCs w:val="24"/>
        </w:rPr>
        <w:t>et al.</w:t>
      </w:r>
      <w:r w:rsidRPr="00765883">
        <w:rPr>
          <w:rFonts w:ascii="Arial" w:hAnsi="Arial" w:cs="Arial"/>
          <w:noProof/>
          <w:sz w:val="24"/>
          <w:szCs w:val="24"/>
        </w:rPr>
        <w:t>, “Adherence to Hydroxyurea and Patients’ Perceptions of Sickle Cell Disease and Hydroxyurea: A Cross-Sectional Study</w:t>
      </w:r>
      <w:r w:rsidR="00B7333C">
        <w:rPr>
          <w:rFonts w:ascii="Arial" w:hAnsi="Arial" w:cs="Arial"/>
          <w:noProof/>
          <w:sz w:val="24"/>
          <w:szCs w:val="24"/>
        </w:rPr>
        <w:t>,” Medicina (Kaunas)</w:t>
      </w:r>
      <w:r w:rsidRPr="00765883">
        <w:rPr>
          <w:rFonts w:ascii="Arial" w:hAnsi="Arial" w:cs="Arial"/>
          <w:noProof/>
          <w:sz w:val="24"/>
          <w:szCs w:val="24"/>
        </w:rPr>
        <w:t>, vol. 60, no. 1, 2024, doi: 10.3390/medicina60010124.</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[29]</w:t>
      </w:r>
      <w:r w:rsidRPr="00765883">
        <w:rPr>
          <w:rFonts w:ascii="Arial" w:hAnsi="Arial" w:cs="Arial"/>
          <w:noProof/>
          <w:sz w:val="24"/>
          <w:szCs w:val="24"/>
        </w:rPr>
        <w:tab/>
        <w:t xml:space="preserve">J. Jose, R. A. Elsadek, B. Jimmy, and P. George, “Hydroxyurea: Pattern of Use, Patient Adherence, and Safety Profile in Patients with Sickle Cell Disease in Oman,” </w:t>
      </w:r>
      <w:r w:rsidRPr="00765883">
        <w:rPr>
          <w:rFonts w:ascii="Arial" w:hAnsi="Arial" w:cs="Arial"/>
          <w:i/>
          <w:iCs/>
          <w:noProof/>
          <w:sz w:val="24"/>
          <w:szCs w:val="24"/>
        </w:rPr>
        <w:t>Oman Med. J.</w:t>
      </w:r>
      <w:r w:rsidRPr="00765883">
        <w:rPr>
          <w:rFonts w:ascii="Arial" w:hAnsi="Arial" w:cs="Arial"/>
          <w:noProof/>
          <w:sz w:val="24"/>
          <w:szCs w:val="24"/>
        </w:rPr>
        <w:t>, vol. 34, no. 4, pp. 327–335, Dec. 2019, doi: 10.5001/omj.2019.64.</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[30]</w:t>
      </w:r>
      <w:r w:rsidRPr="00765883">
        <w:rPr>
          <w:rFonts w:ascii="Arial" w:hAnsi="Arial" w:cs="Arial"/>
          <w:noProof/>
          <w:sz w:val="24"/>
          <w:szCs w:val="24"/>
        </w:rPr>
        <w:tab/>
        <w:t xml:space="preserve">M. I. Subira, E. E. Ambrose, and E. Konje, “Adherence to Hydroxyurea Therapy for Pediatric Sickle Cell Anemia in Tanzania: Evidence from Bugando Medical Centre,” </w:t>
      </w:r>
      <w:r w:rsidRPr="00765883">
        <w:rPr>
          <w:rFonts w:ascii="Arial" w:hAnsi="Arial" w:cs="Arial"/>
          <w:i/>
          <w:iCs/>
          <w:noProof/>
          <w:sz w:val="24"/>
          <w:szCs w:val="24"/>
        </w:rPr>
        <w:t>Int. J. Environ. Res. Public Health</w:t>
      </w:r>
      <w:r w:rsidRPr="00765883">
        <w:rPr>
          <w:rFonts w:ascii="Arial" w:hAnsi="Arial" w:cs="Arial"/>
          <w:noProof/>
          <w:sz w:val="24"/>
          <w:szCs w:val="24"/>
        </w:rPr>
        <w:t>, vol. 22, no. 4, pp. 1–11, 2025, doi: 10.3390/ijerph22040616.</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szCs w:val="24"/>
        </w:rPr>
      </w:pPr>
      <w:r w:rsidRPr="00765883">
        <w:rPr>
          <w:rFonts w:ascii="Arial" w:hAnsi="Arial" w:cs="Arial"/>
          <w:noProof/>
          <w:sz w:val="24"/>
          <w:szCs w:val="24"/>
        </w:rPr>
        <w:t>[31]</w:t>
      </w:r>
      <w:r w:rsidRPr="00765883">
        <w:rPr>
          <w:rFonts w:ascii="Arial" w:hAnsi="Arial" w:cs="Arial"/>
          <w:noProof/>
          <w:sz w:val="24"/>
          <w:szCs w:val="24"/>
        </w:rPr>
        <w:tab/>
        <w:t xml:space="preserve">R. I. Chianumba </w:t>
      </w:r>
      <w:r w:rsidRPr="00765883">
        <w:rPr>
          <w:rFonts w:ascii="Arial" w:hAnsi="Arial" w:cs="Arial"/>
          <w:i/>
          <w:iCs/>
          <w:noProof/>
          <w:sz w:val="24"/>
          <w:szCs w:val="24"/>
        </w:rPr>
        <w:t>et al.</w:t>
      </w:r>
      <w:r w:rsidRPr="00765883">
        <w:rPr>
          <w:rFonts w:ascii="Arial" w:hAnsi="Arial" w:cs="Arial"/>
          <w:noProof/>
          <w:sz w:val="24"/>
          <w:szCs w:val="24"/>
        </w:rPr>
        <w:t xml:space="preserve">, “Outcome of Hydroxyurea Use in SCD and Evaluation of Patients’ Perception and Experience in Nigeria.,” </w:t>
      </w:r>
      <w:r w:rsidRPr="00765883">
        <w:rPr>
          <w:rFonts w:ascii="Arial" w:hAnsi="Arial" w:cs="Arial"/>
          <w:i/>
          <w:iCs/>
          <w:noProof/>
          <w:sz w:val="24"/>
          <w:szCs w:val="24"/>
        </w:rPr>
        <w:t>Front. Genet.</w:t>
      </w:r>
      <w:r w:rsidRPr="00765883">
        <w:rPr>
          <w:rFonts w:ascii="Arial" w:hAnsi="Arial" w:cs="Arial"/>
          <w:noProof/>
          <w:sz w:val="24"/>
          <w:szCs w:val="24"/>
        </w:rPr>
        <w:t>, vol. 13, p. 826132, 2022, doi: 10.3389/</w:t>
      </w:r>
      <w:r w:rsidR="00B7333C">
        <w:rPr>
          <w:rFonts w:ascii="Arial" w:hAnsi="Arial" w:cs="Arial"/>
          <w:noProof/>
          <w:sz w:val="24"/>
          <w:szCs w:val="24"/>
        </w:rPr>
        <w:t xml:space="preserve">fgene. </w:t>
      </w:r>
      <w:r w:rsidRPr="00765883">
        <w:rPr>
          <w:rFonts w:ascii="Arial" w:hAnsi="Arial" w:cs="Arial"/>
          <w:noProof/>
          <w:sz w:val="24"/>
          <w:szCs w:val="24"/>
        </w:rPr>
        <w:t>2022.826132.</w:t>
      </w:r>
    </w:p>
    <w:p w:rsidR="00765883" w:rsidRPr="00765883" w:rsidRDefault="00765883" w:rsidP="00765883">
      <w:pPr>
        <w:widowControl w:val="0"/>
        <w:autoSpaceDE w:val="0"/>
        <w:autoSpaceDN w:val="0"/>
        <w:adjustRightInd w:val="0"/>
        <w:spacing w:line="360" w:lineRule="auto"/>
        <w:ind w:left="640" w:hanging="640"/>
        <w:rPr>
          <w:rFonts w:ascii="Arial" w:hAnsi="Arial" w:cs="Arial"/>
          <w:noProof/>
          <w:sz w:val="24"/>
        </w:rPr>
      </w:pPr>
      <w:r w:rsidRPr="00765883">
        <w:rPr>
          <w:rFonts w:ascii="Arial" w:hAnsi="Arial" w:cs="Arial"/>
          <w:noProof/>
          <w:sz w:val="24"/>
          <w:szCs w:val="24"/>
        </w:rPr>
        <w:lastRenderedPageBreak/>
        <w:t>[32]</w:t>
      </w:r>
      <w:r w:rsidRPr="00765883">
        <w:rPr>
          <w:rFonts w:ascii="Arial" w:hAnsi="Arial" w:cs="Arial"/>
          <w:noProof/>
          <w:sz w:val="24"/>
          <w:szCs w:val="24"/>
        </w:rPr>
        <w:tab/>
        <w:t>R. Ae and N. Sj, “Hydroxyurea (hydroxycarbamide) for sickle cell disease (Review),” 2022, doi: 10.1002/14651858.CD002202.pub3.www.cochranelibrary.com.</w:t>
      </w:r>
    </w:p>
    <w:p w:rsidR="00765883" w:rsidRPr="005F5B23" w:rsidRDefault="00765883" w:rsidP="00765883">
      <w:pPr>
        <w:spacing w:line="360" w:lineRule="auto"/>
        <w:jc w:val="both"/>
        <w:rPr>
          <w:rFonts w:ascii="Arial" w:hAnsi="Arial" w:cs="Arial"/>
          <w:sz w:val="24"/>
          <w:szCs w:val="24"/>
        </w:rPr>
      </w:pPr>
      <w:r>
        <w:rPr>
          <w:rFonts w:ascii="Arial" w:hAnsi="Arial" w:cs="Arial"/>
          <w:sz w:val="24"/>
          <w:szCs w:val="24"/>
        </w:rPr>
        <w:fldChar w:fldCharType="end"/>
      </w:r>
    </w:p>
    <w:p w:rsidR="00765883" w:rsidRDefault="00765883" w:rsidP="00765883">
      <w:pPr>
        <w:spacing w:line="360" w:lineRule="auto"/>
        <w:jc w:val="both"/>
        <w:rPr>
          <w:rFonts w:ascii="Arial" w:hAnsi="Arial" w:cs="Arial"/>
          <w:sz w:val="24"/>
          <w:szCs w:val="24"/>
        </w:rPr>
      </w:pPr>
    </w:p>
    <w:p w:rsidR="00765883" w:rsidRDefault="00765883" w:rsidP="00765883">
      <w:pPr>
        <w:spacing w:line="360" w:lineRule="auto"/>
        <w:jc w:val="both"/>
        <w:rPr>
          <w:rFonts w:ascii="Arial" w:hAnsi="Arial" w:cs="Arial"/>
          <w:sz w:val="24"/>
          <w:szCs w:val="24"/>
        </w:rPr>
      </w:pPr>
    </w:p>
    <w:p w:rsidR="00765883" w:rsidRDefault="00765883" w:rsidP="00765883">
      <w:pPr>
        <w:spacing w:line="360" w:lineRule="auto"/>
        <w:jc w:val="both"/>
        <w:rPr>
          <w:rFonts w:ascii="Arial" w:hAnsi="Arial" w:cs="Arial"/>
          <w:sz w:val="24"/>
          <w:szCs w:val="24"/>
        </w:rPr>
      </w:pPr>
    </w:p>
    <w:p w:rsidR="0076588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Pr="005F5B23" w:rsidRDefault="00765883" w:rsidP="00765883">
      <w:pPr>
        <w:spacing w:line="360" w:lineRule="auto"/>
        <w:jc w:val="both"/>
        <w:rPr>
          <w:rFonts w:ascii="Arial" w:hAnsi="Arial" w:cs="Arial"/>
          <w:sz w:val="24"/>
          <w:szCs w:val="24"/>
        </w:rPr>
      </w:pPr>
    </w:p>
    <w:p w:rsidR="00765883" w:rsidRDefault="00765883" w:rsidP="00765883"/>
    <w:p w:rsidR="002E009E" w:rsidRDefault="002E009E"/>
    <w:sectPr w:rsidR="002E009E">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79E" w:rsidRDefault="009E379E">
      <w:pPr>
        <w:spacing w:after="0" w:line="240" w:lineRule="auto"/>
      </w:pPr>
      <w:r>
        <w:separator/>
      </w:r>
    </w:p>
  </w:endnote>
  <w:endnote w:type="continuationSeparator" w:id="0">
    <w:p w:rsidR="009E379E" w:rsidRDefault="009E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79E" w:rsidRDefault="009E379E">
      <w:pPr>
        <w:spacing w:after="0" w:line="240" w:lineRule="auto"/>
      </w:pPr>
      <w:r>
        <w:separator/>
      </w:r>
    </w:p>
  </w:footnote>
  <w:footnote w:type="continuationSeparator" w:id="0">
    <w:p w:rsidR="009E379E" w:rsidRDefault="009E3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33C" w:rsidRDefault="00E92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7" o:spid="_x0000_s2050"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33C" w:rsidRDefault="00E92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8" o:spid="_x0000_s2051"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33C" w:rsidRDefault="00E92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75796" o:spid="_x0000_s2049"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MjEzMDY1MTWzMDFU0lEKTi0uzszPAykwrAUAAWqpmywAAAA="/>
  </w:docVars>
  <w:rsids>
    <w:rsidRoot w:val="00765883"/>
    <w:rsid w:val="002678BF"/>
    <w:rsid w:val="002E009E"/>
    <w:rsid w:val="003D3CC4"/>
    <w:rsid w:val="00436EF3"/>
    <w:rsid w:val="00765883"/>
    <w:rsid w:val="009E379E"/>
    <w:rsid w:val="00B0158B"/>
    <w:rsid w:val="00B7333C"/>
    <w:rsid w:val="00E9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448B77"/>
  <w15:chartTrackingRefBased/>
  <w15:docId w15:val="{C3B473B6-4B05-4971-9A91-496D9CBA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883"/>
  </w:style>
  <w:style w:type="paragraph" w:styleId="Heading1">
    <w:name w:val="heading 1"/>
    <w:basedOn w:val="Normal"/>
    <w:next w:val="Normal"/>
    <w:link w:val="Heading1Char"/>
    <w:uiPriority w:val="9"/>
    <w:qFormat/>
    <w:rsid w:val="00765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5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658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8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58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65883"/>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765883"/>
    <w:pPr>
      <w:spacing w:line="240" w:lineRule="auto"/>
    </w:pPr>
    <w:rPr>
      <w:sz w:val="20"/>
      <w:szCs w:val="20"/>
    </w:rPr>
  </w:style>
  <w:style w:type="character" w:customStyle="1" w:styleId="CommentTextChar">
    <w:name w:val="Comment Text Char"/>
    <w:basedOn w:val="DefaultParagraphFont"/>
    <w:link w:val="CommentText"/>
    <w:uiPriority w:val="99"/>
    <w:rsid w:val="00765883"/>
    <w:rPr>
      <w:sz w:val="20"/>
      <w:szCs w:val="20"/>
    </w:rPr>
  </w:style>
  <w:style w:type="paragraph" w:styleId="BodyText">
    <w:name w:val="Body Text"/>
    <w:basedOn w:val="Normal"/>
    <w:link w:val="BodyTextChar"/>
    <w:uiPriority w:val="1"/>
    <w:qFormat/>
    <w:rsid w:val="0076588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65883"/>
    <w:rPr>
      <w:rFonts w:ascii="Times New Roman" w:eastAsia="Times New Roman" w:hAnsi="Times New Roman" w:cs="Times New Roman"/>
      <w:sz w:val="24"/>
      <w:szCs w:val="24"/>
    </w:rPr>
  </w:style>
  <w:style w:type="paragraph" w:styleId="NormalWeb">
    <w:name w:val="Normal (Web)"/>
    <w:basedOn w:val="Normal"/>
    <w:uiPriority w:val="99"/>
    <w:unhideWhenUsed/>
    <w:rsid w:val="007658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Light1">
    <w:name w:val="Table Grid Light1"/>
    <w:basedOn w:val="TableNormal"/>
    <w:next w:val="TableGridLight"/>
    <w:uiPriority w:val="40"/>
    <w:rsid w:val="007658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765883"/>
    <w:rPr>
      <w:b/>
      <w:bCs/>
    </w:rPr>
  </w:style>
  <w:style w:type="character" w:customStyle="1" w:styleId="name">
    <w:name w:val="name"/>
    <w:basedOn w:val="DefaultParagraphFont"/>
    <w:rsid w:val="00765883"/>
  </w:style>
  <w:style w:type="paragraph" w:styleId="Header">
    <w:name w:val="header"/>
    <w:basedOn w:val="Normal"/>
    <w:link w:val="HeaderChar"/>
    <w:uiPriority w:val="99"/>
    <w:unhideWhenUsed/>
    <w:rsid w:val="00765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883"/>
  </w:style>
  <w:style w:type="table" w:styleId="TableGridLight">
    <w:name w:val="Grid Table Light"/>
    <w:basedOn w:val="TableNormal"/>
    <w:uiPriority w:val="40"/>
    <w:rsid w:val="007658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Adherence to hydroxyurea treatment in patients with sicklecell disease at Hematology clinic at Jitimai Hospital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Sheet1!$C$7</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94-42DD-8431-E3FAC3EE6E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94-42DD-8431-E3FAC3EE6E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Sheet1!$B$8:$B$9</c:f>
              <c:strCache>
                <c:ptCount val="2"/>
                <c:pt idx="0">
                  <c:v>GOOD</c:v>
                </c:pt>
                <c:pt idx="1">
                  <c:v>MODERATE TO POOR</c:v>
                </c:pt>
              </c:strCache>
            </c:strRef>
          </c:cat>
          <c:val>
            <c:numRef>
              <c:f>Sheet1!$C$8:$C$9</c:f>
              <c:numCache>
                <c:formatCode>0.00%</c:formatCode>
                <c:ptCount val="2"/>
                <c:pt idx="0">
                  <c:v>0.91100000000000003</c:v>
                </c:pt>
                <c:pt idx="1">
                  <c:v>8.8999999999999996E-2</c:v>
                </c:pt>
              </c:numCache>
            </c:numRef>
          </c:val>
          <c:extLst>
            <c:ext xmlns:c16="http://schemas.microsoft.com/office/drawing/2014/chart" uri="{C3380CC4-5D6E-409C-BE32-E72D297353CC}">
              <c16:uniqueId val="{00000004-DD94-42DD-8431-E3FAC3EE6EA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Side effect of Hydroxyurea treatment to the SCD patient attending Hematology clinic at Jitimai District Hospital</a:t>
            </a:r>
            <a:endParaRPr lang="en-US"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Sheet2!$C$7</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Sheet2!$B$8:$B$12</c:f>
              <c:strCache>
                <c:ptCount val="5"/>
                <c:pt idx="0">
                  <c:v>No side effect</c:v>
                </c:pt>
                <c:pt idx="1">
                  <c:v>Nausea and vomiting </c:v>
                </c:pt>
                <c:pt idx="2">
                  <c:v>Fatigue</c:v>
                </c:pt>
                <c:pt idx="3">
                  <c:v>Hair loss</c:v>
                </c:pt>
                <c:pt idx="4">
                  <c:v> Mouth ulcers </c:v>
                </c:pt>
              </c:strCache>
            </c:strRef>
          </c:cat>
          <c:val>
            <c:numRef>
              <c:f>Sheet2!$C$8:$C$12</c:f>
              <c:numCache>
                <c:formatCode>0.00%</c:formatCode>
                <c:ptCount val="5"/>
                <c:pt idx="0">
                  <c:v>0.878</c:v>
                </c:pt>
                <c:pt idx="1">
                  <c:v>6.7000000000000004E-2</c:v>
                </c:pt>
                <c:pt idx="2">
                  <c:v>3.3000000000000002E-2</c:v>
                </c:pt>
                <c:pt idx="3">
                  <c:v>1.0999999999999999E-2</c:v>
                </c:pt>
                <c:pt idx="4">
                  <c:v>1.0999999999999999E-2</c:v>
                </c:pt>
              </c:numCache>
            </c:numRef>
          </c:val>
          <c:extLst>
            <c:ext xmlns:c16="http://schemas.microsoft.com/office/drawing/2014/chart" uri="{C3380CC4-5D6E-409C-BE32-E72D297353CC}">
              <c16:uniqueId val="{00000000-0500-4163-AB7C-34C730B97A21}"/>
            </c:ext>
          </c:extLst>
        </c:ser>
        <c:dLbls>
          <c:showLegendKey val="0"/>
          <c:showVal val="0"/>
          <c:showCatName val="0"/>
          <c:showSerName val="0"/>
          <c:showPercent val="0"/>
          <c:showBubbleSize val="0"/>
        </c:dLbls>
        <c:gapWidth val="182"/>
        <c:axId val="1220932208"/>
        <c:axId val="1220922960"/>
      </c:barChart>
      <c:catAx>
        <c:axId val="1220932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922960"/>
        <c:crosses val="autoZero"/>
        <c:auto val="1"/>
        <c:lblAlgn val="ctr"/>
        <c:lblOffset val="100"/>
        <c:noMultiLvlLbl val="0"/>
      </c:catAx>
      <c:valAx>
        <c:axId val="12209229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93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B1EA-418B-4CC5-AF80-CDD36801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5272</Words>
  <Characters>128490</Characters>
  <Application>Microsoft Office Word</Application>
  <DocSecurity>0</DocSecurity>
  <Lines>1070</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SDI PC New 16</cp:lastModifiedBy>
  <cp:revision>4</cp:revision>
  <dcterms:created xsi:type="dcterms:W3CDTF">2025-08-17T17:00:00Z</dcterms:created>
  <dcterms:modified xsi:type="dcterms:W3CDTF">2025-08-23T12:15:00Z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c0a9d296-6c9f-4d7f-8be3-8ed8bd52f12b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cccce271-7dd1-3059-84fe-b8fbeaa9ff09</vt:lpwstr>
  </property>
</Properties>
</file>