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883" w:rsidRDefault="00765883" w:rsidP="00765883">
      <w:pPr>
        <w:tabs>
          <w:tab w:val="left" w:pos="6210"/>
        </w:tabs>
        <w:spacing w:line="360" w:lineRule="auto"/>
        <w:jc w:val="right"/>
        <w:rPr>
          <w:rFonts w:ascii="Arial" w:hAnsi="Arial" w:cs="Arial"/>
          <w:sz w:val="24"/>
          <w:szCs w:val="24"/>
        </w:rPr>
      </w:pPr>
      <w:r w:rsidRPr="00F20528">
        <w:rPr>
          <w:rFonts w:ascii="Arial" w:eastAsia="Arial" w:hAnsi="Arial" w:cs="Arial"/>
          <w:b/>
          <w:color w:val="000000"/>
          <w:sz w:val="20"/>
          <w:szCs w:val="20"/>
          <w:highlight w:val="yellow"/>
        </w:rPr>
        <w:t>EVALUATION OF THE CLINICAL AND HEMATOLOGICAL RESPONSE TO HYDROXYUREA TREATMENT IN PATIENTS WITH SICKLE CELL DISEASE ATTENDING THE HEMATOLOGY CLINIC AT JITIMAI DISTRICT HOSPITAL</w:t>
      </w:r>
    </w:p>
    <w:p w:rsidR="00765883" w:rsidRDefault="00765883" w:rsidP="00765883">
      <w:pPr>
        <w:tabs>
          <w:tab w:val="left" w:pos="6210"/>
        </w:tabs>
        <w:spacing w:line="360" w:lineRule="auto"/>
        <w:jc w:val="right"/>
        <w:rPr>
          <w:rFonts w:ascii="Arial" w:hAnsi="Arial" w:cs="Arial"/>
          <w:sz w:val="24"/>
          <w:szCs w:val="24"/>
        </w:rPr>
      </w:pPr>
      <w:r>
        <w:rPr>
          <w:rFonts w:ascii="Arial" w:eastAsia="Arial" w:hAnsi="Arial" w:cs="Arial"/>
          <w:b/>
          <w:color w:val="000000"/>
          <w:sz w:val="20"/>
          <w:szCs w:val="20"/>
        </w:rPr>
        <w:t xml:space="preserve"> </w:t>
      </w:r>
    </w:p>
    <w:p w:rsidR="00765883" w:rsidRPr="00201C0A" w:rsidRDefault="00765883" w:rsidP="00765883">
      <w:pPr>
        <w:tabs>
          <w:tab w:val="left" w:pos="6210"/>
        </w:tabs>
        <w:spacing w:line="360" w:lineRule="auto"/>
        <w:jc w:val="right"/>
        <w:rPr>
          <w:rFonts w:ascii="Arial" w:hAnsi="Arial" w:cs="Arial"/>
          <w:sz w:val="24"/>
          <w:szCs w:val="24"/>
        </w:rPr>
      </w:pPr>
    </w:p>
    <w:p w:rsidR="00765883" w:rsidRDefault="00765883" w:rsidP="00765883">
      <w:pPr>
        <w:spacing w:after="0" w:line="360" w:lineRule="auto"/>
        <w:rPr>
          <w:rFonts w:ascii="Times New Roman" w:hAnsi="Times New Roman" w:cs="Times New Roman"/>
          <w:b/>
          <w:bCs/>
          <w:color w:val="000000"/>
          <w:sz w:val="24"/>
          <w:szCs w:val="24"/>
        </w:rPr>
      </w:pPr>
    </w:p>
    <w:p w:rsidR="00765883" w:rsidRPr="005F5B23" w:rsidRDefault="00765883" w:rsidP="00765883">
      <w:pPr>
        <w:spacing w:line="360" w:lineRule="auto"/>
        <w:jc w:val="both"/>
        <w:rPr>
          <w:rFonts w:ascii="Arial" w:hAnsi="Arial" w:cs="Arial"/>
          <w:sz w:val="24"/>
          <w:szCs w:val="24"/>
        </w:rPr>
      </w:pPr>
      <w:r>
        <w:rPr>
          <w:rFonts w:ascii="Arial" w:hAnsi="Arial" w:cs="Arial"/>
          <w:sz w:val="24"/>
          <w:szCs w:val="24"/>
        </w:rPr>
        <w:t>Abstract</w:t>
      </w:r>
    </w:p>
    <w:p w:rsidR="00765883" w:rsidRPr="005F5B23" w:rsidRDefault="00765883" w:rsidP="00765883">
      <w:pPr>
        <w:spacing w:line="360" w:lineRule="auto"/>
        <w:jc w:val="both"/>
        <w:rPr>
          <w:rFonts w:ascii="Arial" w:hAnsi="Arial" w:cs="Arial"/>
          <w:sz w:val="24"/>
          <w:szCs w:val="24"/>
        </w:rPr>
      </w:pPr>
      <w:r w:rsidRPr="005F5B23">
        <w:rPr>
          <w:rFonts w:ascii="Arial" w:hAnsi="Arial" w:cs="Arial"/>
          <w:b/>
          <w:sz w:val="24"/>
          <w:szCs w:val="24"/>
        </w:rPr>
        <w:t>Background</w:t>
      </w:r>
      <w:r w:rsidRPr="005F5B23">
        <w:rPr>
          <w:rFonts w:ascii="Arial" w:hAnsi="Arial" w:cs="Arial"/>
          <w:sz w:val="24"/>
          <w:szCs w:val="24"/>
        </w:rPr>
        <w:t xml:space="preserve">: Sickle Cell Disease (SCD) is the most common and serious inherited disorder worldwide and ranks among the top 50 leading causes of non-communicable disease-related deaths globally. Africa bears a disproportionately large burden of these deaths. Various interventions have been implemented to reduce SCD-related mortality, with the use of </w:t>
      </w:r>
      <w:proofErr w:type="spellStart"/>
      <w:r w:rsidRPr="005F5B23">
        <w:rPr>
          <w:rFonts w:ascii="Arial" w:hAnsi="Arial" w:cs="Arial"/>
          <w:sz w:val="24"/>
          <w:szCs w:val="24"/>
        </w:rPr>
        <w:t>Hydroxyurea</w:t>
      </w:r>
      <w:proofErr w:type="spellEnd"/>
      <w:r w:rsidRPr="005F5B23">
        <w:rPr>
          <w:rFonts w:ascii="Arial" w:hAnsi="Arial" w:cs="Arial"/>
          <w:sz w:val="24"/>
          <w:szCs w:val="24"/>
        </w:rPr>
        <w:t xml:space="preserve"> (HU) demonstrating significant positive outcomes in decreasing both morbidity and mortality.</w:t>
      </w:r>
    </w:p>
    <w:p w:rsidR="00765883" w:rsidRPr="005F5B23" w:rsidRDefault="00765883" w:rsidP="00765883">
      <w:pPr>
        <w:spacing w:line="360" w:lineRule="auto"/>
        <w:jc w:val="both"/>
        <w:rPr>
          <w:rFonts w:ascii="Arial" w:hAnsi="Arial" w:cs="Arial"/>
          <w:sz w:val="24"/>
          <w:szCs w:val="24"/>
        </w:rPr>
      </w:pPr>
      <w:r w:rsidRPr="005F5B23">
        <w:rPr>
          <w:rFonts w:ascii="Arial" w:hAnsi="Arial" w:cs="Arial"/>
          <w:b/>
          <w:sz w:val="24"/>
          <w:szCs w:val="24"/>
        </w:rPr>
        <w:t>Objectives</w:t>
      </w:r>
      <w:r w:rsidRPr="005F5B23">
        <w:rPr>
          <w:rFonts w:ascii="Arial" w:hAnsi="Arial" w:cs="Arial"/>
          <w:sz w:val="24"/>
          <w:szCs w:val="24"/>
        </w:rPr>
        <w:t xml:space="preserve">: to evaluate the response of patients with Sickle Cell Disease (SCD) treated with </w:t>
      </w:r>
      <w:proofErr w:type="spellStart"/>
      <w:r w:rsidRPr="005F5B23">
        <w:rPr>
          <w:rFonts w:ascii="Arial" w:hAnsi="Arial" w:cs="Arial"/>
          <w:sz w:val="24"/>
          <w:szCs w:val="24"/>
        </w:rPr>
        <w:t>Hydroxyurea</w:t>
      </w:r>
      <w:proofErr w:type="spellEnd"/>
      <w:r w:rsidRPr="005F5B23">
        <w:rPr>
          <w:rFonts w:ascii="Arial" w:hAnsi="Arial" w:cs="Arial"/>
          <w:sz w:val="24"/>
          <w:szCs w:val="24"/>
        </w:rPr>
        <w:t xml:space="preserve"> (HU) attending the </w:t>
      </w:r>
      <w:proofErr w:type="spellStart"/>
      <w:r>
        <w:rPr>
          <w:rFonts w:ascii="Arial" w:hAnsi="Arial" w:cs="Arial"/>
          <w:sz w:val="24"/>
          <w:szCs w:val="24"/>
        </w:rPr>
        <w:t>haematology</w:t>
      </w:r>
      <w:proofErr w:type="spellEnd"/>
      <w:r w:rsidRPr="005F5B23">
        <w:rPr>
          <w:rFonts w:ascii="Arial" w:hAnsi="Arial" w:cs="Arial"/>
          <w:sz w:val="24"/>
          <w:szCs w:val="24"/>
        </w:rPr>
        <w:t xml:space="preserve"> clinic at </w:t>
      </w:r>
      <w:proofErr w:type="spellStart"/>
      <w:r w:rsidRPr="005F5B23">
        <w:rPr>
          <w:rFonts w:ascii="Arial" w:hAnsi="Arial" w:cs="Arial"/>
          <w:sz w:val="24"/>
          <w:szCs w:val="24"/>
        </w:rPr>
        <w:t>Jitimai</w:t>
      </w:r>
      <w:proofErr w:type="spellEnd"/>
      <w:r w:rsidRPr="005F5B23">
        <w:rPr>
          <w:rFonts w:ascii="Arial" w:hAnsi="Arial" w:cs="Arial"/>
          <w:sz w:val="24"/>
          <w:szCs w:val="24"/>
        </w:rPr>
        <w:t xml:space="preserve"> District Hospital.</w:t>
      </w:r>
    </w:p>
    <w:p w:rsidR="00765883" w:rsidRPr="005F5B23" w:rsidRDefault="00765883" w:rsidP="00765883">
      <w:pPr>
        <w:spacing w:line="360" w:lineRule="auto"/>
        <w:jc w:val="both"/>
        <w:rPr>
          <w:rFonts w:ascii="Arial" w:hAnsi="Arial" w:cs="Arial"/>
          <w:sz w:val="24"/>
          <w:szCs w:val="24"/>
        </w:rPr>
      </w:pPr>
      <w:r w:rsidRPr="005F5B23">
        <w:rPr>
          <w:rFonts w:ascii="Arial" w:hAnsi="Arial" w:cs="Arial"/>
          <w:b/>
          <w:sz w:val="24"/>
          <w:szCs w:val="24"/>
        </w:rPr>
        <w:t>Methodology</w:t>
      </w:r>
      <w:r w:rsidRPr="005F5B23">
        <w:rPr>
          <w:rFonts w:ascii="Arial" w:hAnsi="Arial" w:cs="Arial"/>
          <w:sz w:val="24"/>
          <w:szCs w:val="24"/>
        </w:rPr>
        <w:t xml:space="preserve">: The study was a descriptive hospital-based cross-sectional study </w:t>
      </w:r>
      <w:r>
        <w:rPr>
          <w:rFonts w:ascii="Arial" w:hAnsi="Arial" w:cs="Arial"/>
          <w:sz w:val="24"/>
          <w:szCs w:val="24"/>
        </w:rPr>
        <w:t xml:space="preserve">conducted at the </w:t>
      </w:r>
      <w:proofErr w:type="spellStart"/>
      <w:r>
        <w:rPr>
          <w:rFonts w:ascii="Arial" w:hAnsi="Arial" w:cs="Arial"/>
          <w:sz w:val="24"/>
          <w:szCs w:val="24"/>
        </w:rPr>
        <w:t>Haematology</w:t>
      </w:r>
      <w:proofErr w:type="spellEnd"/>
      <w:r>
        <w:rPr>
          <w:rFonts w:ascii="Arial" w:hAnsi="Arial" w:cs="Arial"/>
          <w:sz w:val="24"/>
          <w:szCs w:val="24"/>
        </w:rPr>
        <w:t xml:space="preserve"> clinic</w:t>
      </w:r>
      <w:r w:rsidRPr="005F5B23">
        <w:rPr>
          <w:rFonts w:ascii="Arial" w:hAnsi="Arial" w:cs="Arial"/>
          <w:sz w:val="24"/>
          <w:szCs w:val="24"/>
        </w:rPr>
        <w:t>.</w:t>
      </w:r>
      <w:r>
        <w:rPr>
          <w:rFonts w:ascii="Arial" w:hAnsi="Arial" w:cs="Arial"/>
          <w:sz w:val="24"/>
          <w:szCs w:val="24"/>
        </w:rPr>
        <w:t xml:space="preserve"> </w:t>
      </w:r>
      <w:r w:rsidRPr="005F5B23">
        <w:rPr>
          <w:rFonts w:ascii="Arial" w:hAnsi="Arial" w:cs="Arial"/>
          <w:sz w:val="24"/>
          <w:szCs w:val="24"/>
        </w:rPr>
        <w:t>It involved a sample size of about 180</w:t>
      </w:r>
      <w:r>
        <w:rPr>
          <w:rFonts w:ascii="Arial" w:hAnsi="Arial" w:cs="Arial"/>
          <w:sz w:val="24"/>
          <w:szCs w:val="24"/>
        </w:rPr>
        <w:t xml:space="preserve">, comprising both males and females of different age groups (children and adults) attending the </w:t>
      </w:r>
      <w:proofErr w:type="spellStart"/>
      <w:r>
        <w:rPr>
          <w:rFonts w:ascii="Arial" w:hAnsi="Arial" w:cs="Arial"/>
          <w:sz w:val="24"/>
          <w:szCs w:val="24"/>
        </w:rPr>
        <w:t>Haematology</w:t>
      </w:r>
      <w:proofErr w:type="spellEnd"/>
      <w:r w:rsidRPr="005F5B23">
        <w:rPr>
          <w:rFonts w:ascii="Arial" w:hAnsi="Arial" w:cs="Arial"/>
          <w:sz w:val="24"/>
          <w:szCs w:val="24"/>
        </w:rPr>
        <w:t xml:space="preserve"> clinic. </w:t>
      </w:r>
    </w:p>
    <w:p w:rsidR="00765883" w:rsidRPr="005F5B23" w:rsidRDefault="00765883" w:rsidP="00765883">
      <w:pPr>
        <w:spacing w:line="360" w:lineRule="auto"/>
        <w:jc w:val="both"/>
        <w:rPr>
          <w:rFonts w:ascii="Arial" w:hAnsi="Arial" w:cs="Arial"/>
          <w:sz w:val="24"/>
          <w:szCs w:val="24"/>
        </w:rPr>
      </w:pPr>
      <w:r w:rsidRPr="005F5B23">
        <w:rPr>
          <w:rFonts w:ascii="Arial" w:hAnsi="Arial" w:cs="Arial"/>
          <w:b/>
          <w:sz w:val="24"/>
          <w:szCs w:val="24"/>
        </w:rPr>
        <w:t xml:space="preserve">Result: </w:t>
      </w:r>
      <w:r w:rsidRPr="005F5B23">
        <w:rPr>
          <w:rFonts w:ascii="Arial" w:hAnsi="Arial" w:cs="Arial"/>
          <w:sz w:val="24"/>
          <w:szCs w:val="24"/>
        </w:rPr>
        <w:t>The study showed that</w:t>
      </w:r>
      <w:r>
        <w:rPr>
          <w:rFonts w:ascii="Arial" w:hAnsi="Arial" w:cs="Arial"/>
          <w:sz w:val="24"/>
          <w:szCs w:val="24"/>
        </w:rPr>
        <w:t xml:space="preserve"> there is a significant positive response of </w:t>
      </w:r>
      <w:proofErr w:type="spellStart"/>
      <w:r>
        <w:rPr>
          <w:rFonts w:ascii="Arial" w:hAnsi="Arial" w:cs="Arial"/>
          <w:sz w:val="24"/>
          <w:szCs w:val="24"/>
        </w:rPr>
        <w:t>hydroxyurea</w:t>
      </w:r>
      <w:proofErr w:type="spellEnd"/>
      <w:r>
        <w:rPr>
          <w:rFonts w:ascii="Arial" w:hAnsi="Arial" w:cs="Arial"/>
          <w:sz w:val="24"/>
          <w:szCs w:val="24"/>
        </w:rPr>
        <w:t xml:space="preserve"> treatment to sickle cell disease patients both clinically and </w:t>
      </w:r>
      <w:proofErr w:type="spellStart"/>
      <w:r>
        <w:rPr>
          <w:rFonts w:ascii="Arial" w:hAnsi="Arial" w:cs="Arial"/>
          <w:sz w:val="24"/>
          <w:szCs w:val="24"/>
        </w:rPr>
        <w:t>hematologically</w:t>
      </w:r>
      <w:proofErr w:type="spellEnd"/>
      <w:r w:rsidRPr="005F5B23">
        <w:rPr>
          <w:rFonts w:ascii="Arial" w:hAnsi="Arial" w:cs="Arial"/>
          <w:sz w:val="24"/>
          <w:szCs w:val="24"/>
        </w:rPr>
        <w:t xml:space="preserve">. Notably, there was a marked reduction in the frequency of painful crises, with the mean number dropping from 3.83 ± 0.8 </w:t>
      </w:r>
      <w:r>
        <w:rPr>
          <w:rFonts w:ascii="Arial" w:hAnsi="Arial" w:cs="Arial"/>
          <w:sz w:val="24"/>
          <w:szCs w:val="24"/>
        </w:rPr>
        <w:t>before</w:t>
      </w:r>
      <w:r w:rsidRPr="005F5B23">
        <w:rPr>
          <w:rFonts w:ascii="Arial" w:hAnsi="Arial" w:cs="Arial"/>
          <w:sz w:val="24"/>
          <w:szCs w:val="24"/>
        </w:rPr>
        <w:t xml:space="preserve"> treatment to 1.80 ± 0.9 following treatment</w:t>
      </w:r>
      <w:r>
        <w:rPr>
          <w:rFonts w:ascii="Arial" w:hAnsi="Arial" w:cs="Arial"/>
          <w:sz w:val="24"/>
          <w:szCs w:val="24"/>
        </w:rPr>
        <w:t xml:space="preserve"> </w:t>
      </w:r>
      <w:r w:rsidRPr="000C495C">
        <w:rPr>
          <w:rFonts w:ascii="Arial" w:hAnsi="Arial" w:cs="Arial"/>
          <w:sz w:val="24"/>
          <w:szCs w:val="24"/>
          <w:highlight w:val="yellow"/>
        </w:rPr>
        <w:t>p&lt;0.001</w:t>
      </w:r>
      <w:r w:rsidRPr="005F5B23">
        <w:rPr>
          <w:rFonts w:ascii="Arial" w:hAnsi="Arial" w:cs="Arial"/>
          <w:sz w:val="24"/>
          <w:szCs w:val="24"/>
        </w:rPr>
        <w:t>. Hospitalization rates also decreased dramatically, falling from 3.09 ± 0.5 to 1.20 ± 0.5</w:t>
      </w:r>
      <w:r>
        <w:rPr>
          <w:rFonts w:ascii="Arial" w:hAnsi="Arial" w:cs="Arial"/>
          <w:sz w:val="24"/>
          <w:szCs w:val="24"/>
        </w:rPr>
        <w:t xml:space="preserve"> </w:t>
      </w:r>
      <w:r w:rsidRPr="000C495C">
        <w:rPr>
          <w:rFonts w:ascii="Arial" w:hAnsi="Arial" w:cs="Arial"/>
          <w:sz w:val="24"/>
          <w:szCs w:val="24"/>
          <w:highlight w:val="yellow"/>
        </w:rPr>
        <w:t>p&lt; 0.001.</w:t>
      </w:r>
      <w:r>
        <w:rPr>
          <w:rFonts w:ascii="Arial" w:hAnsi="Arial" w:cs="Arial"/>
          <w:sz w:val="24"/>
          <w:szCs w:val="24"/>
        </w:rPr>
        <w:t xml:space="preserve"> </w:t>
      </w:r>
      <w:r w:rsidRPr="005F5B23">
        <w:rPr>
          <w:rFonts w:ascii="Arial" w:hAnsi="Arial" w:cs="Arial"/>
          <w:sz w:val="24"/>
          <w:szCs w:val="24"/>
        </w:rPr>
        <w:t xml:space="preserve">The mean number of blood transfusions per patient dropped from 2.49 ± 0.9 to 1.11 ± 0.3. Perhaps most notably, there was a considerable increase in </w:t>
      </w:r>
      <w:proofErr w:type="spellStart"/>
      <w:r>
        <w:rPr>
          <w:rFonts w:ascii="Arial" w:hAnsi="Arial" w:cs="Arial"/>
          <w:sz w:val="24"/>
          <w:szCs w:val="24"/>
        </w:rPr>
        <w:t>haemoglobin</w:t>
      </w:r>
      <w:proofErr w:type="spellEnd"/>
      <w:r>
        <w:rPr>
          <w:rFonts w:ascii="Arial" w:hAnsi="Arial" w:cs="Arial"/>
          <w:sz w:val="24"/>
          <w:szCs w:val="24"/>
        </w:rPr>
        <w:t xml:space="preserve"> (</w:t>
      </w:r>
      <w:proofErr w:type="spellStart"/>
      <w:r>
        <w:rPr>
          <w:rFonts w:ascii="Arial" w:hAnsi="Arial" w:cs="Arial"/>
          <w:sz w:val="24"/>
          <w:szCs w:val="24"/>
        </w:rPr>
        <w:t>Hb</w:t>
      </w:r>
      <w:proofErr w:type="spellEnd"/>
      <w:r>
        <w:rPr>
          <w:rFonts w:ascii="Arial" w:hAnsi="Arial" w:cs="Arial"/>
          <w:sz w:val="24"/>
          <w:szCs w:val="24"/>
        </w:rPr>
        <w:t xml:space="preserve">) levels, rising from a mean of </w:t>
      </w:r>
      <w:r w:rsidRPr="005F5B23">
        <w:rPr>
          <w:rFonts w:ascii="Arial" w:hAnsi="Arial" w:cs="Arial"/>
          <w:sz w:val="24"/>
          <w:szCs w:val="24"/>
        </w:rPr>
        <w:t>5.49 ± 1.2 g/</w:t>
      </w:r>
      <w:proofErr w:type="spellStart"/>
      <w:r w:rsidRPr="005F5B23">
        <w:rPr>
          <w:rFonts w:ascii="Arial" w:hAnsi="Arial" w:cs="Arial"/>
          <w:sz w:val="24"/>
          <w:szCs w:val="24"/>
        </w:rPr>
        <w:t>dL</w:t>
      </w:r>
      <w:proofErr w:type="spellEnd"/>
      <w:r w:rsidRPr="005F5B23">
        <w:rPr>
          <w:rFonts w:ascii="Arial" w:hAnsi="Arial" w:cs="Arial"/>
          <w:sz w:val="24"/>
          <w:szCs w:val="24"/>
        </w:rPr>
        <w:t xml:space="preserve"> to 7.82 ± 1.0 g/</w:t>
      </w:r>
      <w:proofErr w:type="spellStart"/>
      <w:r w:rsidRPr="005F5B23">
        <w:rPr>
          <w:rFonts w:ascii="Arial" w:hAnsi="Arial" w:cs="Arial"/>
          <w:sz w:val="24"/>
          <w:szCs w:val="24"/>
        </w:rPr>
        <w:t>dL</w:t>
      </w:r>
      <w:proofErr w:type="spellEnd"/>
      <w:r>
        <w:rPr>
          <w:rFonts w:ascii="Arial" w:hAnsi="Arial" w:cs="Arial"/>
          <w:sz w:val="24"/>
          <w:szCs w:val="24"/>
        </w:rPr>
        <w:t xml:space="preserve"> </w:t>
      </w:r>
      <w:r w:rsidRPr="000C495C">
        <w:rPr>
          <w:rFonts w:ascii="Arial" w:hAnsi="Arial" w:cs="Arial"/>
          <w:sz w:val="24"/>
          <w:szCs w:val="24"/>
          <w:highlight w:val="yellow"/>
        </w:rPr>
        <w:t>p&lt;0.001,</w:t>
      </w:r>
      <w:r w:rsidRPr="005F5B23">
        <w:rPr>
          <w:rFonts w:ascii="Arial" w:hAnsi="Arial" w:cs="Arial"/>
          <w:sz w:val="24"/>
          <w:szCs w:val="24"/>
        </w:rPr>
        <w:t xml:space="preserve"> demonstrating an enhanced oxygen-carrying capacity and overall improvement in patient health status. All observed changes were statistically </w:t>
      </w:r>
      <w:r>
        <w:rPr>
          <w:rFonts w:ascii="Arial" w:hAnsi="Arial" w:cs="Arial"/>
          <w:sz w:val="24"/>
          <w:szCs w:val="24"/>
        </w:rPr>
        <w:t xml:space="preserve">significant using the </w:t>
      </w:r>
      <w:r w:rsidRPr="005F5B23">
        <w:rPr>
          <w:rFonts w:ascii="Arial" w:hAnsi="Arial" w:cs="Arial"/>
          <w:sz w:val="24"/>
          <w:szCs w:val="24"/>
        </w:rPr>
        <w:t xml:space="preserve">T student test with p-values less </w:t>
      </w:r>
      <w:r w:rsidRPr="005F5B23">
        <w:rPr>
          <w:rFonts w:ascii="Arial" w:hAnsi="Arial" w:cs="Arial"/>
          <w:sz w:val="24"/>
          <w:szCs w:val="24"/>
        </w:rPr>
        <w:lastRenderedPageBreak/>
        <w:t xml:space="preserve">than 0.001, strongly supporting the efficacy of </w:t>
      </w:r>
      <w:proofErr w:type="spellStart"/>
      <w:r w:rsidRPr="005F5B23">
        <w:rPr>
          <w:rFonts w:ascii="Arial" w:hAnsi="Arial" w:cs="Arial"/>
          <w:sz w:val="24"/>
          <w:szCs w:val="24"/>
        </w:rPr>
        <w:t>hydroxyurea</w:t>
      </w:r>
      <w:proofErr w:type="spellEnd"/>
      <w:r w:rsidRPr="005F5B23">
        <w:rPr>
          <w:rFonts w:ascii="Arial" w:hAnsi="Arial" w:cs="Arial"/>
          <w:sz w:val="24"/>
          <w:szCs w:val="24"/>
        </w:rPr>
        <w:t xml:space="preserve"> in reducing disease burden and improving hematologic parameters.</w:t>
      </w:r>
    </w:p>
    <w:p w:rsidR="00765883" w:rsidRPr="005F5B23" w:rsidRDefault="00765883" w:rsidP="00765883">
      <w:pPr>
        <w:pStyle w:val="CommentText"/>
        <w:spacing w:line="360" w:lineRule="auto"/>
        <w:jc w:val="both"/>
        <w:rPr>
          <w:rFonts w:ascii="Arial" w:hAnsi="Arial" w:cs="Arial"/>
          <w:sz w:val="24"/>
          <w:szCs w:val="24"/>
        </w:rPr>
      </w:pPr>
      <w:r w:rsidRPr="005F5B23">
        <w:rPr>
          <w:rFonts w:ascii="Arial" w:hAnsi="Arial" w:cs="Arial"/>
          <w:b/>
          <w:sz w:val="24"/>
          <w:szCs w:val="24"/>
        </w:rPr>
        <w:t xml:space="preserve">Conclusions: </w:t>
      </w:r>
      <w:r w:rsidRPr="005F5B23">
        <w:rPr>
          <w:rFonts w:ascii="Arial" w:hAnsi="Arial" w:cs="Arial"/>
          <w:sz w:val="24"/>
          <w:szCs w:val="24"/>
        </w:rPr>
        <w:t xml:space="preserve">The study </w:t>
      </w:r>
      <w:r>
        <w:rPr>
          <w:rFonts w:ascii="Arial" w:hAnsi="Arial" w:cs="Arial"/>
          <w:sz w:val="24"/>
          <w:szCs w:val="24"/>
        </w:rPr>
        <w:t xml:space="preserve">demonstrates that </w:t>
      </w:r>
      <w:proofErr w:type="spellStart"/>
      <w:r>
        <w:rPr>
          <w:rFonts w:ascii="Arial" w:hAnsi="Arial" w:cs="Arial"/>
          <w:sz w:val="24"/>
          <w:szCs w:val="24"/>
        </w:rPr>
        <w:t>hydroxyurea</w:t>
      </w:r>
      <w:proofErr w:type="spellEnd"/>
      <w:r>
        <w:rPr>
          <w:rFonts w:ascii="Arial" w:hAnsi="Arial" w:cs="Arial"/>
          <w:sz w:val="24"/>
          <w:szCs w:val="24"/>
        </w:rPr>
        <w:t xml:space="preserve"> therapy offers significant clinical and </w:t>
      </w:r>
      <w:proofErr w:type="spellStart"/>
      <w:r>
        <w:rPr>
          <w:rFonts w:ascii="Arial" w:hAnsi="Arial" w:cs="Arial"/>
          <w:sz w:val="24"/>
          <w:szCs w:val="24"/>
        </w:rPr>
        <w:t>haematological</w:t>
      </w:r>
      <w:proofErr w:type="spellEnd"/>
      <w:r>
        <w:rPr>
          <w:rFonts w:ascii="Arial" w:hAnsi="Arial" w:cs="Arial"/>
          <w:sz w:val="24"/>
          <w:szCs w:val="24"/>
        </w:rPr>
        <w:t xml:space="preserve"> benefits to SCD patients at </w:t>
      </w:r>
      <w:proofErr w:type="spellStart"/>
      <w:r>
        <w:rPr>
          <w:rFonts w:ascii="Arial" w:hAnsi="Arial" w:cs="Arial"/>
          <w:sz w:val="24"/>
          <w:szCs w:val="24"/>
        </w:rPr>
        <w:t>Jitimai</w:t>
      </w:r>
      <w:proofErr w:type="spellEnd"/>
      <w:r>
        <w:rPr>
          <w:rFonts w:ascii="Arial" w:hAnsi="Arial" w:cs="Arial"/>
          <w:sz w:val="24"/>
          <w:szCs w:val="24"/>
        </w:rPr>
        <w:t xml:space="preserve"> District Hospital, resulting in reduced </w:t>
      </w:r>
      <w:proofErr w:type="spellStart"/>
      <w:r>
        <w:rPr>
          <w:rFonts w:ascii="Arial" w:hAnsi="Arial" w:cs="Arial"/>
          <w:sz w:val="24"/>
          <w:szCs w:val="24"/>
        </w:rPr>
        <w:t>hospitalisations</w:t>
      </w:r>
      <w:proofErr w:type="spellEnd"/>
      <w:r>
        <w:rPr>
          <w:rFonts w:ascii="Arial" w:hAnsi="Arial" w:cs="Arial"/>
          <w:sz w:val="24"/>
          <w:szCs w:val="24"/>
        </w:rPr>
        <w:t xml:space="preserve">, crises, and blood transfusions, increased </w:t>
      </w:r>
      <w:proofErr w:type="spellStart"/>
      <w:r>
        <w:rPr>
          <w:rFonts w:ascii="Arial" w:hAnsi="Arial" w:cs="Arial"/>
          <w:sz w:val="24"/>
          <w:szCs w:val="24"/>
        </w:rPr>
        <w:t>haemoglobin</w:t>
      </w:r>
      <w:proofErr w:type="spellEnd"/>
      <w:r>
        <w:rPr>
          <w:rFonts w:ascii="Arial" w:hAnsi="Arial" w:cs="Arial"/>
          <w:sz w:val="24"/>
          <w:szCs w:val="24"/>
        </w:rPr>
        <w:t xml:space="preserve"> levels, and improved quality of life, all within a </w:t>
      </w:r>
      <w:proofErr w:type="spellStart"/>
      <w:r>
        <w:rPr>
          <w:rFonts w:ascii="Arial" w:hAnsi="Arial" w:cs="Arial"/>
          <w:sz w:val="24"/>
          <w:szCs w:val="24"/>
        </w:rPr>
        <w:t>favourable</w:t>
      </w:r>
      <w:proofErr w:type="spellEnd"/>
      <w:r>
        <w:rPr>
          <w:rFonts w:ascii="Arial" w:hAnsi="Arial" w:cs="Arial"/>
          <w:sz w:val="24"/>
          <w:szCs w:val="24"/>
        </w:rPr>
        <w:t xml:space="preserve"> safety profile and with </w:t>
      </w:r>
      <w:r w:rsidRPr="005F5B23">
        <w:rPr>
          <w:rFonts w:ascii="Arial" w:hAnsi="Arial" w:cs="Arial"/>
          <w:sz w:val="24"/>
          <w:szCs w:val="24"/>
        </w:rPr>
        <w:t xml:space="preserve">excellent patient adherence. </w:t>
      </w:r>
      <w:r>
        <w:rPr>
          <w:rFonts w:ascii="Arial" w:hAnsi="Arial" w:cs="Arial"/>
          <w:sz w:val="24"/>
          <w:szCs w:val="24"/>
        </w:rPr>
        <w:t xml:space="preserve">The low side effects of </w:t>
      </w:r>
      <w:r w:rsidRPr="005F5B23">
        <w:rPr>
          <w:rFonts w:ascii="Arial" w:hAnsi="Arial" w:cs="Arial"/>
          <w:sz w:val="24"/>
          <w:szCs w:val="24"/>
        </w:rPr>
        <w:t xml:space="preserve">these findings strongly support continued and expanded use of </w:t>
      </w:r>
      <w:proofErr w:type="spellStart"/>
      <w:r w:rsidRPr="005F5B23">
        <w:rPr>
          <w:rFonts w:ascii="Arial" w:hAnsi="Arial" w:cs="Arial"/>
          <w:sz w:val="24"/>
          <w:szCs w:val="24"/>
        </w:rPr>
        <w:t>hydroxyurea</w:t>
      </w:r>
      <w:proofErr w:type="spellEnd"/>
      <w:r w:rsidRPr="005F5B23">
        <w:rPr>
          <w:rFonts w:ascii="Arial" w:hAnsi="Arial" w:cs="Arial"/>
          <w:sz w:val="24"/>
          <w:szCs w:val="24"/>
        </w:rPr>
        <w:t xml:space="preserve"> as part of standard SCD management in this setting. </w:t>
      </w:r>
    </w:p>
    <w:p w:rsidR="00765883" w:rsidRPr="005F5B23" w:rsidRDefault="00765883" w:rsidP="00765883">
      <w:pPr>
        <w:spacing w:line="360" w:lineRule="auto"/>
        <w:jc w:val="both"/>
        <w:rPr>
          <w:rFonts w:ascii="Arial" w:hAnsi="Arial" w:cs="Arial"/>
          <w:sz w:val="24"/>
          <w:szCs w:val="24"/>
        </w:rPr>
      </w:pPr>
      <w:r>
        <w:rPr>
          <w:rFonts w:ascii="Arial" w:hAnsi="Arial" w:cs="Arial"/>
          <w:sz w:val="24"/>
          <w:szCs w:val="24"/>
        </w:rPr>
        <w:t xml:space="preserve">Keywords: </w:t>
      </w:r>
      <w:proofErr w:type="spellStart"/>
      <w:r>
        <w:rPr>
          <w:rFonts w:ascii="Arial" w:hAnsi="Arial" w:cs="Arial"/>
          <w:sz w:val="24"/>
          <w:szCs w:val="24"/>
        </w:rPr>
        <w:t>Hydroxyurea</w:t>
      </w:r>
      <w:proofErr w:type="spellEnd"/>
      <w:r>
        <w:rPr>
          <w:rFonts w:ascii="Arial" w:hAnsi="Arial" w:cs="Arial"/>
          <w:sz w:val="24"/>
          <w:szCs w:val="24"/>
        </w:rPr>
        <w:t>, Sickle cell disease, Adherence, Side effect, Zanzibar</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b/>
          <w:sz w:val="24"/>
          <w:szCs w:val="24"/>
        </w:rPr>
      </w:pPr>
      <w:r w:rsidRPr="005F5B23">
        <w:rPr>
          <w:rFonts w:ascii="Arial" w:hAnsi="Arial" w:cs="Arial"/>
          <w:b/>
          <w:sz w:val="24"/>
          <w:szCs w:val="24"/>
        </w:rPr>
        <w:t xml:space="preserve">Introduction </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Sickle Cell Disease (SCD) is an inherited blood disorder caused by a point mutation in the beta-globin gene, resulting in the substitution of valine for glutamic acid at the sixth position of the beta-globin chain. This genetic mutation leads to the production of abnormal </w:t>
      </w:r>
      <w:proofErr w:type="spellStart"/>
      <w:r>
        <w:rPr>
          <w:rFonts w:ascii="Arial" w:hAnsi="Arial" w:cs="Arial"/>
          <w:sz w:val="24"/>
          <w:szCs w:val="24"/>
        </w:rPr>
        <w:t>haemoglobin</w:t>
      </w:r>
      <w:proofErr w:type="spellEnd"/>
      <w:r>
        <w:rPr>
          <w:rFonts w:ascii="Arial" w:hAnsi="Arial" w:cs="Arial"/>
          <w:sz w:val="24"/>
          <w:szCs w:val="24"/>
        </w:rPr>
        <w:t xml:space="preserve">, known as </w:t>
      </w:r>
      <w:proofErr w:type="spellStart"/>
      <w:r>
        <w:rPr>
          <w:rFonts w:ascii="Arial" w:hAnsi="Arial" w:cs="Arial"/>
          <w:sz w:val="24"/>
          <w:szCs w:val="24"/>
        </w:rPr>
        <w:t>haemoglobin</w:t>
      </w:r>
      <w:proofErr w:type="spellEnd"/>
      <w:r w:rsidRPr="005F5B23">
        <w:rPr>
          <w:rFonts w:ascii="Arial" w:hAnsi="Arial" w:cs="Arial"/>
          <w:sz w:val="24"/>
          <w:szCs w:val="24"/>
        </w:rPr>
        <w:t xml:space="preserve"> S (</w:t>
      </w:r>
      <w:proofErr w:type="spellStart"/>
      <w:r w:rsidRPr="005F5B23">
        <w:rPr>
          <w:rFonts w:ascii="Arial" w:hAnsi="Arial" w:cs="Arial"/>
          <w:sz w:val="24"/>
          <w:szCs w:val="24"/>
        </w:rPr>
        <w:t>HbS</w:t>
      </w:r>
      <w:proofErr w:type="spellEnd"/>
      <w:r w:rsidRPr="005F5B23">
        <w:rPr>
          <w:rFonts w:ascii="Arial" w:hAnsi="Arial" w:cs="Arial"/>
          <w:sz w:val="24"/>
          <w:szCs w:val="24"/>
        </w:rPr>
        <w:t>). SCD was first discovered over 100 years ago, at a time when the mortality rate associated with the disease was extremely high. However, advancements in medical technology and early detection methods have significantly reduced mortality rates in developed countries</w:t>
      </w:r>
      <w:r w:rsidRPr="005F5B23">
        <w:rPr>
          <w:rFonts w:ascii="Arial" w:hAnsi="Arial" w:cs="Arial"/>
          <w:sz w:val="24"/>
          <w:szCs w:val="24"/>
        </w:rPr>
        <w:fldChar w:fldCharType="begin" w:fldLock="1"/>
      </w:r>
      <w:r>
        <w:rPr>
          <w:rFonts w:ascii="Arial" w:hAnsi="Arial" w:cs="Arial"/>
          <w:sz w:val="24"/>
          <w:szCs w:val="24"/>
        </w:rPr>
        <w:instrText>ADDIN CSL_CITATION {"citationItems":[{"id":"ITEM-1","itemData":{"DOI":"10.2147/JBM.S291394","ISSN":"1179-2736 (Print)","PMID":"33658881","abstract":"Sickle cell disease results in numerous complications that can lead to  significant morbidity and mortality. Amongst them, acute chest syndrome is the leading cause of mortality. As a result, most providers are in tune with this complication and well versed with management. As sickle cell patients now live longer, they face a multitude of other complications that if left unattended, can lead to significant morbidity and mortality as well. It is critical to look beyond acute chest syndrome and adopt a more comprehensive approach to the management of the sickle cell patient.","author":[{"dropping-particle":"","family":"Ogu","given":"Ugochi O","non-dropping-particle":"","parse-names":false,"suffix":""},{"dropping-particle":"","family":"Badamosi","given":"Nnenna U","non-dropping-particle":"","parse-names":false,"suffix":""},{"dropping-particle":"","family":"Camacho","given":"Pamela E","non-dropping-particle":"","parse-names":false,"suffix":""},{"dropping-particle":"","family":"Freire","given":"Amado X","non-dropping-particle":"","parse-names":false,"suffix":""},{"dropping-particle":"","family":"Adams-Graves","given":"Patricia","non-dropping-particle":"","parse-names":false,"suffix":""}],"container-title":"Journal of blood medicine","id":"ITEM-1","issued":{"date-parts":[["2021"]]},"language":"eng","page":"101-114","publisher-place":"New Zealand","title":"Management of Sickle Cell Disease Complications Beyond Acute Chest Syndrome.","type":"article-journal","volume":"12"},"uris":["http://www.mendeley.com/documents/?uuid=2d1d6f83-bc3b-4a6d-8c6f-efb469501cac","http://www.mendeley.com/documents/?uuid=63a23939-44ba-4418-b1e4-5f3cba97801e"]}],"mendeley":{"formattedCitation":"[1]","plainTextFormattedCitation":"[1]","previouslyFormattedCitation":"(Ogu et al., 2021)"},"properties":{"noteIndex":0},"schema":"https://github.com/citation-style-language/schema/raw/master/csl-citation.json"}</w:instrText>
      </w:r>
      <w:r w:rsidRPr="005F5B23">
        <w:rPr>
          <w:rFonts w:ascii="Arial" w:hAnsi="Arial" w:cs="Arial"/>
          <w:sz w:val="24"/>
          <w:szCs w:val="24"/>
        </w:rPr>
        <w:fldChar w:fldCharType="separate"/>
      </w:r>
      <w:r w:rsidRPr="00765883">
        <w:rPr>
          <w:rFonts w:ascii="Arial" w:hAnsi="Arial" w:cs="Arial"/>
          <w:noProof/>
          <w:sz w:val="24"/>
          <w:szCs w:val="24"/>
        </w:rPr>
        <w:t>[1]</w:t>
      </w:r>
      <w:r w:rsidRPr="005F5B23">
        <w:rPr>
          <w:rFonts w:ascii="Arial" w:hAnsi="Arial" w:cs="Arial"/>
          <w:sz w:val="24"/>
          <w:szCs w:val="24"/>
        </w:rPr>
        <w:fldChar w:fldCharType="end"/>
      </w:r>
      <w:r w:rsidRPr="005F5B23">
        <w:rPr>
          <w:rFonts w:ascii="Arial" w:hAnsi="Arial" w:cs="Arial"/>
          <w:sz w:val="24"/>
          <w:szCs w:val="24"/>
        </w:rPr>
        <w:t>.</w:t>
      </w:r>
      <w:r w:rsidRPr="005F5B23">
        <w:rPr>
          <w:rFonts w:ascii="Arial" w:hAnsi="Arial" w:cs="Arial"/>
          <w:sz w:val="24"/>
          <w:szCs w:val="24"/>
        </w:rPr>
        <w:br/>
        <w:t>Globally, the prevalence of SCD was estimated to be 7.74 million in 2021, marking a 41.4% increase from 2000, when 5.46 million people were living with the disease. In 2021, approximately 515,000 babies were born with SCD worldwide, and an estimated 376,000 deaths were attributed to the disease, with most of these deaths occurring in low- and middle-income countries</w:t>
      </w:r>
      <w:r w:rsidRPr="005F5B23">
        <w:rPr>
          <w:rFonts w:ascii="Arial" w:hAnsi="Arial" w:cs="Arial"/>
          <w:sz w:val="24"/>
          <w:szCs w:val="24"/>
        </w:rPr>
        <w:fldChar w:fldCharType="begin" w:fldLock="1"/>
      </w:r>
      <w:r>
        <w:rPr>
          <w:rFonts w:ascii="Arial" w:hAnsi="Arial" w:cs="Arial"/>
          <w:sz w:val="24"/>
          <w:szCs w:val="24"/>
        </w:rPr>
        <w:instrText>ADDIN CSL_CITATION {"citationItems":[{"id":"ITEM-1","itemData":{"DOI":"10.1016/S2352-3026(23)00118-7","ISSN":"2352-3026 (Electronic)","PMID":"37331373","abstract":"BACKGROUND: Previous global analyses, with known underdiagnosis and single cause  per death attribution systems, provide only a small insight into the suspected high population health effect of sickle cell disease. Completed as part of the Global Burden of Diseases, Injuries, and Risk Factors Study (GBD) 2021, this study delivers a comprehensive global assessment of prevalence of sickle cell disease and mortality burden by age and sex for 204 countries and territories from 2000 to 2021. METHODS: We estimated cause-specific sickle cell disease mortality using standardised GBD approaches, in which each death is assigned to a single underlying cause, to estimate mortality rates from the International Classification of Diseases (ICD)-coded vital registration, surveillance, and verbal autopsy data. In parallel, our goal was to estimate a more accurate account of sickle cell disease health burden using four types of epidemiological data on sickle cell disease: birth incidence, age-specific prevalence, with-condition mortality (total deaths), and excess mortality (excess deaths). Systematic reviews, supplemented with ICD-coded hospital discharge and insurance claims data, informed this modelling approach. We employed DisMod-MR 2.1 to triangulate between these measures-borrowing strength from predictive covariates and across age, time, and geography-and generated internally consistent estimates of incidence, prevalence, and mortality for three distinct genotypes of sickle cell disease: homozygous sickle cell disease and severe sickle cell β-thalassaemia, sickle-haemoglobin C disease, and mild sickle cell β-thalassaemia. Summing the three models yielded final estimates of incidence at birth, prevalence by age and sex, and total sickle cell disease mortality, the latter of which was compared directly against cause-specific mortality estimates to evaluate differences in mortality burden assessment and implications for the Sustainable Development Goals (SDGs). FINDINGS: Between 2000 and 2021, national incidence rates of sickle cell disease were relatively stable, but total births of babies with sickle cell disease increased globally by 13·7% (95% uncertainty interval 11·1-16·5), to 515 000 (425 000-614 000), primarily due to population growth in the Caribbean and western and central sub-Saharan Africa. The number of people living with sickle cell disease globally increased by 41·4% (38·3-44·9), from 5·46 million (4·62-6·45) in 2000 to 7·74 million (6·51-9·2) in 202…","container-title":"The Lancet. Haematology","id":"ITEM-1","issue":"8","issued":{"date-parts":[["2023","8"]]},"language":"eng","page":"e585-e599","publisher-place":"England","title":"Global, regional, and national prevalence and mortality burden of sickle cell  disease, 2000-2021: a systematic analysis from the Global Burden of Disease Study 2021.","type":"article-journal","volume":"10"},"uris":["http://www.mendeley.com/documents/?uuid=2ee8bbae-1072-4f0e-8aec-185e7c167414","http://www.mendeley.com/documents/?uuid=f370d636-6056-41ec-a0b1-eebb6b939418"]}],"mendeley":{"formattedCitation":"[2]","plainTextFormattedCitation":"[2]","previouslyFormattedCitation":"(“Global, Regional, and National Prevalence and Mortality Burden of Sickle Cell  Disease, 2000-2021: A Systematic Analysis from the Global Burden of Disease Study 2021.,” 2023)"},"properties":{"noteIndex":0},"schema":"https://github.com/citation-style-language/schema/raw/master/csl-citation.json"}</w:instrText>
      </w:r>
      <w:r w:rsidRPr="005F5B23">
        <w:rPr>
          <w:rFonts w:ascii="Arial" w:hAnsi="Arial" w:cs="Arial"/>
          <w:sz w:val="24"/>
          <w:szCs w:val="24"/>
        </w:rPr>
        <w:fldChar w:fldCharType="separate"/>
      </w:r>
      <w:r w:rsidRPr="00765883">
        <w:rPr>
          <w:rFonts w:ascii="Arial" w:hAnsi="Arial" w:cs="Arial"/>
          <w:noProof/>
          <w:sz w:val="24"/>
          <w:szCs w:val="24"/>
        </w:rPr>
        <w:t>[2]</w:t>
      </w:r>
      <w:r w:rsidRPr="005F5B23">
        <w:rPr>
          <w:rFonts w:ascii="Arial" w:hAnsi="Arial" w:cs="Arial"/>
          <w:sz w:val="24"/>
          <w:szCs w:val="24"/>
        </w:rPr>
        <w:fldChar w:fldCharType="end"/>
      </w:r>
      <w:r>
        <w:rPr>
          <w:rFonts w:ascii="Arial" w:hAnsi="Arial" w:cs="Arial"/>
          <w:sz w:val="24"/>
          <w:szCs w:val="24"/>
        </w:rPr>
        <w:fldChar w:fldCharType="begin" w:fldLock="1"/>
      </w:r>
      <w:r>
        <w:rPr>
          <w:rFonts w:ascii="Arial" w:hAnsi="Arial" w:cs="Arial"/>
          <w:sz w:val="24"/>
          <w:szCs w:val="24"/>
        </w:rPr>
        <w:instrText>ADDIN CSL_CITATION {"citationItems":[{"id":"ITEM-1","itemData":{"DOI":"10.20944/preprints202505.2130.v1","abstract":"&lt;p&gt;Sickle cell disease (SCD) is a heritable (genetic) disorder and is marked by sporadic episodes of severe pain and hosts other health issues. About 5% of people worldwide suffer from this most common haemoglobinopathy.More than 7% of expectant mothers have haemoglobinopathies in their genetic composition. Each year 330,000 newborns are born with haemoglobinopathies. Nearly 80% of them are born in Africa, Nigeria, Congo, and India. Children with SCD have health challenges that impact their education. Absence from school, grade retention, academic performance and dropouts from school are major issues for children with SCD in the context of academic goals. The main objective of this paper is to understand how SCD affects the school performance of children globally, impact on their education and possible interventions and strategies to reduce school absenteeism. Studies suggest that parents, patients, educators and healthcare professionals can work together to comprehend and manage the effects of SCD on student attendance. Awareness campaigns for educators and care givers, remedial classes for SCD children in schools and policies aligning to the education of children with major disabilities like SCD may compensate the attendance and academic performance of the SCD children.&lt;/p&gt;","author":[{"dropping-particle":"","family":"Birudu","given":"Ravi Babu","non-dropping-particle":"","parse-names":false,"suffix":""},{"dropping-particle":"","family":"Anil","given":"Inti","non-dropping-particle":"","parse-names":false,"suffix":""},{"dropping-particle":"","family":"Bala Krishna","given":"S. Lokeswara","non-dropping-particle":"","parse-names":false,"suffix":""},{"dropping-particle":"","family":"Sridevi","given":"Parikipandla","non-dropping-particle":"","parse-names":false,"suffix":""}],"id":"ITEM-1","issued":{"date-parts":[["2025"]]},"page":"0-11","title":"Global Sickle Cell Disease and Impact on School Education in Children; A Focus on Interventions for Improving Academic Performance","type":"article-journal"},"uris":["http://www.mendeley.com/documents/?uuid=cead3012-eb27-480b-8448-e246b8d8d341","http://www.mendeley.com/documents/?uuid=e05c1835-e0eb-49c0-81bf-170db5ad9588"]}],"mendeley":{"formattedCitation":"[3]","plainTextFormattedCitation":"[3]","previouslyFormattedCitation":"(Birudu et al., 2025)"},"properties":{"noteIndex":0},"schema":"https://github.com/citation-style-language/schema/raw/master/csl-citation.json"}</w:instrText>
      </w:r>
      <w:r>
        <w:rPr>
          <w:rFonts w:ascii="Arial" w:hAnsi="Arial" w:cs="Arial"/>
          <w:sz w:val="24"/>
          <w:szCs w:val="24"/>
        </w:rPr>
        <w:fldChar w:fldCharType="separate"/>
      </w:r>
      <w:r w:rsidRPr="00765883">
        <w:rPr>
          <w:rFonts w:ascii="Arial" w:hAnsi="Arial" w:cs="Arial"/>
          <w:noProof/>
          <w:sz w:val="24"/>
          <w:szCs w:val="24"/>
        </w:rPr>
        <w:t>[3]</w:t>
      </w:r>
      <w:r>
        <w:rPr>
          <w:rFonts w:ascii="Arial" w:hAnsi="Arial" w:cs="Arial"/>
          <w:sz w:val="24"/>
          <w:szCs w:val="24"/>
        </w:rPr>
        <w:fldChar w:fldCharType="end"/>
      </w:r>
      <w:r w:rsidRPr="005F5B23">
        <w:rPr>
          <w:rFonts w:ascii="Arial" w:hAnsi="Arial" w:cs="Arial"/>
          <w:sz w:val="24"/>
          <w:szCs w:val="24"/>
        </w:rPr>
        <w:t>.</w:t>
      </w:r>
    </w:p>
    <w:p w:rsidR="00765883" w:rsidRPr="005F5B23" w:rsidRDefault="00765883" w:rsidP="00765883">
      <w:pPr>
        <w:spacing w:after="0" w:line="360" w:lineRule="auto"/>
        <w:jc w:val="both"/>
        <w:rPr>
          <w:rFonts w:ascii="Arial" w:hAnsi="Arial" w:cs="Arial"/>
          <w:sz w:val="24"/>
          <w:szCs w:val="24"/>
        </w:rPr>
      </w:pPr>
      <w:r w:rsidRPr="005F5B23">
        <w:rPr>
          <w:rFonts w:ascii="Arial" w:hAnsi="Arial" w:cs="Arial"/>
          <w:sz w:val="24"/>
          <w:szCs w:val="24"/>
        </w:rPr>
        <w:t>In Africa, the prevalence of SCD in 2021 was estimated at 5.68 million, with approximately 405,000 babies born with the condition. Tanzania is one of the countries with the highest annual births of children with SCD, with an estimated 8,000–11,000 affected children born each year</w:t>
      </w:r>
      <w:r w:rsidRPr="005F5B23">
        <w:rPr>
          <w:rFonts w:ascii="Arial" w:hAnsi="Arial" w:cs="Arial"/>
          <w:sz w:val="24"/>
          <w:szCs w:val="24"/>
        </w:rPr>
        <w:fldChar w:fldCharType="begin" w:fldLock="1"/>
      </w:r>
      <w:r>
        <w:rPr>
          <w:rFonts w:ascii="Arial" w:hAnsi="Arial" w:cs="Arial"/>
          <w:sz w:val="24"/>
          <w:szCs w:val="24"/>
        </w:rPr>
        <w:instrText>ADDIN CSL_CITATION {"citationItems":[{"id":"ITEM-1","itemData":{"DOI":"10.1016/S2352-3026(21)00216-7","ISSN":"2352-3026 (Electronic)","PMID":"34481551","abstract":"BACKGROUND: Child mortality from sickle cell disease in sub-Saharan Africa is  presumed to be high but is not well quantified. This uncertainty contributes to the neglect of sickle cell disease and delays the prioritisation of interventions. In this study, we estimated the mortality of children in Nigeria with sickle cell disease, and the proportion of national under-5 mortality attributable to sickle cell disease. METHODS: We did a model-estimated, population-level analysis of data from Nigeria's 2018 Demographic and Health Survey (DHS) to estimate the prevalence and geographical distribution of HbSS and HbSC genotypes assuming Hardy-Weinberg equilibrium near birth. Interviews for the survey were done between Aug 14 and Dec 29, 2018, and the embedded sickle cell disease survey was done in a randomly selected third of the overall survey's households. We developed an approach for estimating child mortality from sickle cell disease by combining information on tested children and their untested siblings. Tested children were aged 6-59 months at the time of the survey. Untested siblings born 0-14 years before the survey were also included in analyses. Testing as part of the DHS was done without regard to disease status. We analysed mortality differences using the inheritance-derived genotypic distribution of untested siblings older than the tested cohort, enabling us to estimate excess mortality from sickle cell disease for the older-sibling cohort (ie, those born between 2003 and 2013). FINDINGS: We analysed test results for 11 186 children aged 6-59 months from 7411 households in Nigeria. The estimated average birth prevalence of HbSS was 1·21% (95% CI 1·09-1·37) and was 0·24% (0·19-0·31) for HbSC. We obtained data for estimating child mortality from 10 195 tested children (who could be matched to the individual mother survey) and 17 205 of their untested siblings. 15 227 of the siblings were in the older-sibling cohort. The group of children with sickle cell disease born between 2003 and 2013 with at least one younger sibling in the survey had about 370 excess under-5 deaths per 1000 livebirths (95% CI 150-580; p=0·0008) than children with HbAA. The estimated national average under-5 mortality for children with sickle cell disease born between 2003 and 2013 was 490 per 1000 livebirths (95% CI 270-700), 4·0 times higher (95% CI 2·1-6·0) than children with HbAA. About 4·2% (95% CI 1·7-6·9) of national under-5 mortality was attributable to excess mortality …","author":[{"dropping-particle":"","family":"Nnodu","given":"Obiageli E","non-dropping-particle":"","parse-names":false,"suffix":""},{"dropping-particle":"","family":"Oron","given":"Assaf P","non-dropping-particle":"","parse-names":false,"suffix":""},{"dropping-particle":"","family":"Sopekan","given":"Alayo","non-dropping-particle":"","parse-names":false,"suffix":""},{"dropping-particle":"","family":"Akaba","given":"Godwin O","non-dropping-particle":"","parse-names":false,"suffix":""},{"dropping-particle":"","family":"Piel","given":"Frédéric B","non-dropping-particle":"","parse-names":false,"suffix":""},{"dropping-particle":"","family":"Chao","given":"Dennis L","non-dropping-particle":"","parse-names":false,"suffix":""}],"container-title":"The Lancet. Haematology","id":"ITEM-1","issue":"10","issued":{"date-parts":[["2021","10"]]},"language":"eng","page":"e723-e731","publisher-place":"England","title":"Child mortality from sickle cell disease in Nigeria: a model-estimated,  population-level analysis of data from the 2018 Demographic and Health Survey.","type":"article-journal","volume":"8"},"uris":["http://www.mendeley.com/documents/?uuid=159555bc-2c16-4547-8bad-d1730dc55928","http://www.mendeley.com/documents/?uuid=82576eda-7f98-4c5a-b2f2-bd62ad16a793"]}],"mendeley":{"formattedCitation":"[4]","plainTextFormattedCitation":"[4]","previouslyFormattedCitation":"(Nnodu et al., 2021)"},"properties":{"noteIndex":0},"schema":"https://github.com/citation-style-language/schema/raw/master/csl-citation.json"}</w:instrText>
      </w:r>
      <w:r w:rsidRPr="005F5B23">
        <w:rPr>
          <w:rFonts w:ascii="Arial" w:hAnsi="Arial" w:cs="Arial"/>
          <w:sz w:val="24"/>
          <w:szCs w:val="24"/>
        </w:rPr>
        <w:fldChar w:fldCharType="separate"/>
      </w:r>
      <w:r w:rsidRPr="00765883">
        <w:rPr>
          <w:rFonts w:ascii="Arial" w:hAnsi="Arial" w:cs="Arial"/>
          <w:noProof/>
          <w:sz w:val="24"/>
          <w:szCs w:val="24"/>
        </w:rPr>
        <w:t>[4]</w:t>
      </w:r>
      <w:r w:rsidRPr="005F5B23">
        <w:rPr>
          <w:rFonts w:ascii="Arial" w:hAnsi="Arial" w:cs="Arial"/>
          <w:sz w:val="24"/>
          <w:szCs w:val="24"/>
        </w:rPr>
        <w:fldChar w:fldCharType="end"/>
      </w:r>
      <w:r w:rsidRPr="005F5B23">
        <w:rPr>
          <w:rFonts w:ascii="Arial" w:hAnsi="Arial" w:cs="Arial"/>
          <w:sz w:val="24"/>
          <w:szCs w:val="24"/>
        </w:rPr>
        <w:t>.</w:t>
      </w:r>
    </w:p>
    <w:p w:rsidR="00765883" w:rsidRPr="005F5B23" w:rsidRDefault="00765883" w:rsidP="00765883">
      <w:pPr>
        <w:spacing w:after="0" w:line="360" w:lineRule="auto"/>
        <w:jc w:val="both"/>
        <w:rPr>
          <w:rFonts w:ascii="Arial" w:hAnsi="Arial" w:cs="Arial"/>
          <w:sz w:val="24"/>
          <w:szCs w:val="24"/>
        </w:rPr>
      </w:pPr>
      <w:r w:rsidRPr="005F5B23">
        <w:rPr>
          <w:rFonts w:ascii="Arial" w:hAnsi="Arial" w:cs="Arial"/>
          <w:sz w:val="24"/>
          <w:szCs w:val="24"/>
        </w:rPr>
        <w:br/>
        <w:t>Upon deoxygenation</w:t>
      </w:r>
      <w:r>
        <w:rPr>
          <w:rFonts w:ascii="Arial" w:hAnsi="Arial" w:cs="Arial"/>
          <w:sz w:val="24"/>
          <w:szCs w:val="24"/>
        </w:rPr>
        <w:t xml:space="preserve">, the mutated </w:t>
      </w:r>
      <w:proofErr w:type="spellStart"/>
      <w:r>
        <w:rPr>
          <w:rFonts w:ascii="Arial" w:hAnsi="Arial" w:cs="Arial"/>
          <w:sz w:val="24"/>
          <w:szCs w:val="24"/>
        </w:rPr>
        <w:t>haemoglobin</w:t>
      </w:r>
      <w:proofErr w:type="spellEnd"/>
      <w:r>
        <w:rPr>
          <w:rFonts w:ascii="Arial" w:hAnsi="Arial" w:cs="Arial"/>
          <w:sz w:val="24"/>
          <w:szCs w:val="24"/>
        </w:rPr>
        <w:t xml:space="preserve"> (</w:t>
      </w:r>
      <w:proofErr w:type="spellStart"/>
      <w:r>
        <w:rPr>
          <w:rFonts w:ascii="Arial" w:hAnsi="Arial" w:cs="Arial"/>
          <w:sz w:val="24"/>
          <w:szCs w:val="24"/>
        </w:rPr>
        <w:t>HbS</w:t>
      </w:r>
      <w:proofErr w:type="spellEnd"/>
      <w:r>
        <w:rPr>
          <w:rFonts w:ascii="Arial" w:hAnsi="Arial" w:cs="Arial"/>
          <w:sz w:val="24"/>
          <w:szCs w:val="24"/>
        </w:rPr>
        <w:t xml:space="preserve">) polymerizes, forming rigid bundles </w:t>
      </w:r>
      <w:r>
        <w:rPr>
          <w:rFonts w:ascii="Arial" w:hAnsi="Arial" w:cs="Arial"/>
          <w:sz w:val="24"/>
          <w:szCs w:val="24"/>
        </w:rPr>
        <w:lastRenderedPageBreak/>
        <w:t>that distort the shape of red blood cells (RBCs) to a sickle-cell</w:t>
      </w:r>
      <w:r w:rsidRPr="005F5B23">
        <w:rPr>
          <w:rFonts w:ascii="Arial" w:hAnsi="Arial" w:cs="Arial"/>
          <w:sz w:val="24"/>
          <w:szCs w:val="24"/>
        </w:rPr>
        <w:t xml:space="preserve"> shape. These "sickled" cells lose their flexibility and impair normal RBC function, resulting in occlusion of small blood vessels and tissue ischemia; hence, recurrent painful events, known as </w:t>
      </w:r>
      <w:proofErr w:type="spellStart"/>
      <w:r w:rsidRPr="005F5B23">
        <w:rPr>
          <w:rFonts w:ascii="Arial" w:hAnsi="Arial" w:cs="Arial"/>
          <w:sz w:val="24"/>
          <w:szCs w:val="24"/>
        </w:rPr>
        <w:t>vaso</w:t>
      </w:r>
      <w:proofErr w:type="spellEnd"/>
      <w:r w:rsidRPr="005F5B23">
        <w:rPr>
          <w:rFonts w:ascii="Arial" w:hAnsi="Arial" w:cs="Arial"/>
          <w:sz w:val="24"/>
          <w:szCs w:val="24"/>
        </w:rPr>
        <w:t xml:space="preserve">-occlusive crises, </w:t>
      </w:r>
      <w:r>
        <w:rPr>
          <w:rFonts w:ascii="Arial" w:hAnsi="Arial" w:cs="Arial"/>
          <w:sz w:val="24"/>
          <w:szCs w:val="24"/>
        </w:rPr>
        <w:t xml:space="preserve">are </w:t>
      </w:r>
      <w:r w:rsidRPr="005F5B23">
        <w:rPr>
          <w:rFonts w:ascii="Arial" w:hAnsi="Arial" w:cs="Arial"/>
          <w:sz w:val="24"/>
          <w:szCs w:val="24"/>
        </w:rPr>
        <w:t xml:space="preserve">the hallmark symptom of SCD. Others are </w:t>
      </w:r>
      <w:proofErr w:type="spellStart"/>
      <w:r w:rsidRPr="005F5B23">
        <w:rPr>
          <w:rFonts w:ascii="Arial" w:hAnsi="Arial" w:cs="Arial"/>
          <w:sz w:val="24"/>
          <w:szCs w:val="24"/>
        </w:rPr>
        <w:t>anaemia</w:t>
      </w:r>
      <w:proofErr w:type="spellEnd"/>
      <w:r w:rsidRPr="005F5B23">
        <w:rPr>
          <w:rFonts w:ascii="Arial" w:hAnsi="Arial" w:cs="Arial"/>
          <w:sz w:val="24"/>
          <w:szCs w:val="24"/>
        </w:rPr>
        <w:t>, fatigue and increased susceptibility to infections. SCD presents with diverse clinical features that vary in severity among SCD individuals</w:t>
      </w:r>
      <w:r w:rsidRPr="005F5B23">
        <w:rPr>
          <w:rFonts w:ascii="Arial" w:hAnsi="Arial" w:cs="Arial"/>
          <w:sz w:val="24"/>
          <w:szCs w:val="24"/>
        </w:rPr>
        <w:fldChar w:fldCharType="begin" w:fldLock="1"/>
      </w:r>
      <w:r>
        <w:rPr>
          <w:rFonts w:ascii="Arial" w:hAnsi="Arial" w:cs="Arial"/>
          <w:sz w:val="24"/>
          <w:szCs w:val="24"/>
        </w:rPr>
        <w:instrText>ADDIN CSL_CITATION {"citationItems":[{"id":"ITEM-1","itemData":{"DOI":"10.1038/s41573-018-0003-2","ISSN":"1474-1784 (Electronic)","PMID":"30514970","abstract":"For over 100 years, clinicians and scientists have been unravelling the  consequences of the A to T substitution in the β-globin gene that produces haemoglobin S, which leads to the systemic manifestations of sickle cell disease (SCD), including vaso-occlusion, anaemia, haemolysis, organ injury and pain. However, despite growing understanding of the mechanisms of haemoglobin S polymerization and its effects on red blood cells, only two therapies for SCD - hydroxyurea and L-glutamine - are approved by the US Food and Drug Administration. Moreover, these treatment options do not fully address the manifestations of SCD, which arise from a complex network of interdependent pathophysiological processes. In this article, we review efforts to develop new drugs targeting these processes, including agents that reactivate fetal haemoglobin, anti-sickling agents, anti-adhesion agents, modulators of ischaemia-reperfusion and oxidative stress, agents that counteract free haemoglobin and haem, anti-inflammatory agents, anti-thrombotic agents and anti-platelet agents. We also discuss gene therapy, which holds promise of a cure, although its widespread application is currently limited by technical challenges and the expense of treatment. We thus propose that developing systems-oriented multi-agent strategies on the basis of SCD pathophysiology is needed to improve the quality of life and survival of people with SCD.","author":[{"dropping-particle":"","family":"Telen","given":"Marilyn J","non-dropping-particle":"","parse-names":false,"suffix":""},{"dropping-particle":"","family":"Malik","given":"Punam","non-dropping-particle":"","parse-names":false,"suffix":""},{"dropping-particle":"","family":"Vercellotti","given":"Gregory M","non-dropping-particle":"","parse-names":false,"suffix":""}],"container-title":"Nature reviews. Drug discovery","id":"ITEM-1","issue":"2","issued":{"date-parts":[["2019","2"]]},"language":"eng","page":"139-158","publisher-place":"England","title":"Therapeutic strategies for sickle cell disease: towards a multi-agent approach.","type":"article-journal","volume":"18"},"uris":["http://www.mendeley.com/documents/?uuid=925a1253-98b6-45b6-9c5d-edce367eb4d4","http://www.mendeley.com/documents/?uuid=d0c70f4d-7570-4876-86a7-6f4cd89efabb"]}],"mendeley":{"formattedCitation":"[5]","plainTextFormattedCitation":"[5]","previouslyFormattedCitation":"(Telen et al., 2019)"},"properties":{"noteIndex":0},"schema":"https://github.com/citation-style-language/schema/raw/master/csl-citation.json"}</w:instrText>
      </w:r>
      <w:r w:rsidRPr="005F5B23">
        <w:rPr>
          <w:rFonts w:ascii="Arial" w:hAnsi="Arial" w:cs="Arial"/>
          <w:sz w:val="24"/>
          <w:szCs w:val="24"/>
        </w:rPr>
        <w:fldChar w:fldCharType="separate"/>
      </w:r>
      <w:r w:rsidRPr="00765883">
        <w:rPr>
          <w:rFonts w:ascii="Arial" w:hAnsi="Arial" w:cs="Arial"/>
          <w:noProof/>
          <w:sz w:val="24"/>
          <w:szCs w:val="24"/>
        </w:rPr>
        <w:t>[5]</w:t>
      </w:r>
      <w:r w:rsidRPr="005F5B23">
        <w:rPr>
          <w:rFonts w:ascii="Arial" w:hAnsi="Arial" w:cs="Arial"/>
          <w:sz w:val="24"/>
          <w:szCs w:val="24"/>
        </w:rPr>
        <w:fldChar w:fldCharType="end"/>
      </w:r>
      <w:r w:rsidRPr="005F5B23">
        <w:rPr>
          <w:rFonts w:ascii="Arial" w:hAnsi="Arial" w:cs="Arial"/>
          <w:sz w:val="24"/>
          <w:szCs w:val="24"/>
        </w:rPr>
        <w:t>.</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br/>
        <w:t>Various treatment approaches have been employed to manage SCD, including chemotherapy, blood transfusions, bone marrow transplant</w:t>
      </w:r>
      <w:r w:rsidR="00B0158B">
        <w:rPr>
          <w:rFonts w:ascii="Arial" w:hAnsi="Arial" w:cs="Arial"/>
          <w:sz w:val="24"/>
          <w:szCs w:val="24"/>
        </w:rPr>
        <w:t xml:space="preserve">, and gene therapy </w:t>
      </w:r>
      <w:r w:rsidR="00B0158B" w:rsidRPr="00B0158B">
        <w:rPr>
          <w:rFonts w:ascii="Arial" w:hAnsi="Arial" w:cs="Arial"/>
          <w:sz w:val="24"/>
          <w:szCs w:val="24"/>
          <w:highlight w:val="yellow"/>
        </w:rPr>
        <w:t>[6</w:t>
      </w:r>
      <w:proofErr w:type="gramStart"/>
      <w:r w:rsidR="00B0158B" w:rsidRPr="00B0158B">
        <w:rPr>
          <w:rFonts w:ascii="Arial" w:hAnsi="Arial" w:cs="Arial"/>
          <w:sz w:val="24"/>
          <w:szCs w:val="24"/>
          <w:highlight w:val="yellow"/>
        </w:rPr>
        <w:t>],[</w:t>
      </w:r>
      <w:proofErr w:type="gramEnd"/>
      <w:r w:rsidR="00B0158B" w:rsidRPr="00B0158B">
        <w:rPr>
          <w:rFonts w:ascii="Arial" w:hAnsi="Arial" w:cs="Arial"/>
          <w:sz w:val="24"/>
          <w:szCs w:val="24"/>
          <w:highlight w:val="yellow"/>
        </w:rPr>
        <w:t>7],[8],[9]</w:t>
      </w:r>
      <w:r w:rsidRPr="00B0158B">
        <w:rPr>
          <w:rFonts w:ascii="Arial" w:hAnsi="Arial" w:cs="Arial"/>
          <w:sz w:val="24"/>
          <w:szCs w:val="24"/>
          <w:highlight w:val="yellow"/>
        </w:rPr>
        <w:t>.</w:t>
      </w:r>
      <w:r>
        <w:rPr>
          <w:rFonts w:ascii="Arial" w:hAnsi="Arial" w:cs="Arial"/>
          <w:sz w:val="24"/>
          <w:szCs w:val="24"/>
        </w:rPr>
        <w:t xml:space="preserve"> </w:t>
      </w:r>
      <w:proofErr w:type="spellStart"/>
      <w:r w:rsidRPr="005F5B23">
        <w:rPr>
          <w:rFonts w:ascii="Arial" w:hAnsi="Arial" w:cs="Arial"/>
          <w:sz w:val="24"/>
          <w:szCs w:val="24"/>
        </w:rPr>
        <w:t>Hydroxyurea</w:t>
      </w:r>
      <w:proofErr w:type="spellEnd"/>
      <w:r w:rsidRPr="005F5B23">
        <w:rPr>
          <w:rFonts w:ascii="Arial" w:hAnsi="Arial" w:cs="Arial"/>
          <w:sz w:val="24"/>
          <w:szCs w:val="24"/>
        </w:rPr>
        <w:t xml:space="preserve"> (HU), also known as </w:t>
      </w:r>
      <w:proofErr w:type="spellStart"/>
      <w:r w:rsidRPr="005F5B23">
        <w:rPr>
          <w:rFonts w:ascii="Arial" w:hAnsi="Arial" w:cs="Arial"/>
          <w:sz w:val="24"/>
          <w:szCs w:val="24"/>
        </w:rPr>
        <w:t>hydroxycarbamide</w:t>
      </w:r>
      <w:proofErr w:type="spellEnd"/>
      <w:r w:rsidRPr="005F5B23">
        <w:rPr>
          <w:rFonts w:ascii="Arial" w:hAnsi="Arial" w:cs="Arial"/>
          <w:sz w:val="24"/>
          <w:szCs w:val="24"/>
        </w:rPr>
        <w:t xml:space="preserve">, is an oral anti-neoplastic drug and an inhibitor of ribonucleotide reductase. It has demonstrated numerous positive effects, such as increasing fetal </w:t>
      </w:r>
      <w:proofErr w:type="spellStart"/>
      <w:r>
        <w:rPr>
          <w:rFonts w:ascii="Arial" w:hAnsi="Arial" w:cs="Arial"/>
          <w:sz w:val="24"/>
          <w:szCs w:val="24"/>
        </w:rPr>
        <w:t>haemoglobin</w:t>
      </w:r>
      <w:proofErr w:type="spellEnd"/>
      <w:r w:rsidRPr="005F5B23">
        <w:rPr>
          <w:rFonts w:ascii="Arial" w:hAnsi="Arial" w:cs="Arial"/>
          <w:sz w:val="24"/>
          <w:szCs w:val="24"/>
        </w:rPr>
        <w:t xml:space="preserve"> (</w:t>
      </w:r>
      <w:proofErr w:type="spellStart"/>
      <w:r w:rsidRPr="005F5B23">
        <w:rPr>
          <w:rFonts w:ascii="Arial" w:hAnsi="Arial" w:cs="Arial"/>
          <w:sz w:val="24"/>
          <w:szCs w:val="24"/>
        </w:rPr>
        <w:t>HbF</w:t>
      </w:r>
      <w:proofErr w:type="spellEnd"/>
      <w:r w:rsidRPr="005F5B23">
        <w:rPr>
          <w:rFonts w:ascii="Arial" w:hAnsi="Arial" w:cs="Arial"/>
          <w:sz w:val="24"/>
          <w:szCs w:val="24"/>
        </w:rPr>
        <w:t>) concentrations, improving nitric oxide metabolism, and reducing red cell-endothelial interactions</w:t>
      </w:r>
      <w:r>
        <w:rPr>
          <w:rFonts w:ascii="Arial" w:hAnsi="Arial" w:cs="Arial"/>
          <w:sz w:val="24"/>
          <w:szCs w:val="24"/>
        </w:rPr>
        <w:fldChar w:fldCharType="begin" w:fldLock="1"/>
      </w:r>
      <w:r>
        <w:rPr>
          <w:rFonts w:ascii="Arial" w:hAnsi="Arial" w:cs="Arial"/>
          <w:sz w:val="24"/>
          <w:szCs w:val="24"/>
        </w:rPr>
        <w:instrText>ADDIN CSL_CITATION {"citationItems":[{"id":"ITEM-1","itemData":{"DOI":"10.1186/s13643-024-02461-z","ISSN":"2046-4053","abstract":"BACKGROUND: Hydroxyurea is an affordable drug that reduces vaso-occlusive crises and transfusion requirements in sickle cell disease. However, its effectiveness  in preventing chronic organ damage is still unclear. This systematic review and  meta-analysis aimed to evaluate the role of hydroxyurea in preventing organ  morbidity. METHOD: We included original articles published in English from 1st  January 1990 to 31st January 2023, reporting hydroxyurea therapy and organ damage  from PubMed, Google Scholar, Scopus, and CrossRef databases. A total of 45  studies with 4681 sickle cell disease patients were evaluated for organ damage.  RESULTS: Our analysis showed that hydroxyurea intervention significantly lowered  transcranial Doppler and tricuspid regurgitant velocity, with a standardized mean  difference of - 1.03 (- 1.49; - 0.58); I (2) = 96% and - 1.37  (CI - 2.31, - 0.42); I (2) = 94%, respectively. Moreover, the pooled estimate for  albuminuria showed a beneficial effect post-hydroxyurea therapy by reducing the  risk of albuminuria by 58% (risk ratio of 0.42 (0.28; 0.63); I (2) = 28%).  CONCLUSION: Our study found that a hydroxyurea dose above 20 mg/kg/day with a  mean rise in HbF by 18.46% post-hydroxyurea therapy had a beneficial role in  reducing transcranial doppler velocity, tricuspid regurgitant velocity,  albuminuria, and splenic abnormality. SYSTEMATIC REVIEW REGISTRATION: PROSPERO  CRD42023401187.","author":[{"dropping-particle":"","family":"Khargekar","given":"Naveen","non-dropping-particle":"","parse-names":false,"suffix":""},{"dropping-particle":"","family":"Banerjee","given":"Anindita","non-dropping-particle":"","parse-names":false,"suffix":""},{"dropping-particle":"","family":"Athalye","given":"Shreyasi","non-dropping-particle":"","parse-names":false,"suffix":""},{"dropping-particle":"","family":"Mahajan","given":"Namrata","non-dropping-particle":"","parse-names":false,"suffix":""},{"dropping-particle":"","family":"Kargutkar","given":"Neha","non-dropping-particle":"","parse-names":false,"suffix":""},{"dropping-particle":"","family":"Tapase","given":"Prashant","non-dropping-particle":"","parse-names":false,"suffix":""},{"dropping-particle":"","family":"Madkaikar","given":"Manisha","non-dropping-particle":"","parse-names":false,"suffix":""}],"container-title":"Systematic reviews","id":"ITEM-1","issue":"1","issued":{"date-parts":[["2024"]]},"language":"eng","page":"60","title":"Role of hydroxyurea therapy in the prevention of organ damage in sickle cell disease: a systematic review and meta-analysis.","type":"article-journal","volume":"13"},"uris":["http://www.mendeley.com/documents/?uuid=dbf660a7-c693-430e-b722-3da3e7e05406"]}],"mendeley":{"formattedCitation":"[10]","plainTextFormattedCitation":"[10]","previouslyFormattedCitation":"(Khargekar et al., 2024)"},"properties":{"noteIndex":0},"schema":"https://github.com/citation-style-language/schema/raw/master/csl-citation.json"}</w:instrText>
      </w:r>
      <w:r>
        <w:rPr>
          <w:rFonts w:ascii="Arial" w:hAnsi="Arial" w:cs="Arial"/>
          <w:sz w:val="24"/>
          <w:szCs w:val="24"/>
        </w:rPr>
        <w:fldChar w:fldCharType="separate"/>
      </w:r>
      <w:r w:rsidRPr="00765883">
        <w:rPr>
          <w:rFonts w:ascii="Arial" w:hAnsi="Arial" w:cs="Arial"/>
          <w:noProof/>
          <w:sz w:val="24"/>
          <w:szCs w:val="24"/>
        </w:rPr>
        <w:t>[10]</w:t>
      </w:r>
      <w:r>
        <w:rPr>
          <w:rFonts w:ascii="Arial" w:hAnsi="Arial" w:cs="Arial"/>
          <w:sz w:val="24"/>
          <w:szCs w:val="24"/>
        </w:rPr>
        <w:fldChar w:fldCharType="end"/>
      </w:r>
      <w:r w:rsidRPr="00F43163">
        <w:rPr>
          <w:rFonts w:ascii="Arial" w:hAnsi="Arial" w:cs="Arial"/>
          <w:sz w:val="24"/>
          <w:szCs w:val="24"/>
          <w:highlight w:val="yellow"/>
        </w:rPr>
        <w:t>,</w:t>
      </w:r>
      <w:r>
        <w:rPr>
          <w:rFonts w:ascii="Arial" w:hAnsi="Arial" w:cs="Arial"/>
          <w:sz w:val="24"/>
          <w:szCs w:val="24"/>
          <w:highlight w:val="yellow"/>
        </w:rPr>
        <w:fldChar w:fldCharType="begin" w:fldLock="1"/>
      </w:r>
      <w:r>
        <w:rPr>
          <w:rFonts w:ascii="Arial" w:hAnsi="Arial" w:cs="Arial"/>
          <w:sz w:val="24"/>
          <w:szCs w:val="24"/>
          <w:highlight w:val="yellow"/>
        </w:rPr>
        <w:instrText>ADDIN CSL_CITATION {"citationItems":[{"id":"ITEM-1","itemData":{"DOI":"10.3324/haematol.2023.284633","ISSN":"1592-8721 (Electronic)","PMID":"39781621","abstract":"Over the past 40 years, the introduction and refinement of hydroxyurea therapy  has led to remarkable progress in the care of individuals with sickle cell anemia (SCA). From initial small proof-of-principle studies to multicenter phase III controlled clinical trials and then numerous open-label studies, the consistent benefits of once-daily oral hydroxyurea have been demonstrated across the lifespan. Elevated fetal hemoglobin (HbF) serves as the most important treatment response, as HbF delays sickle hemoglobin polymerization and reduces erythrocyte sickling. Increased amounts of HbF, especially when distributed across the majority of erythrocytes, improve clinical outcomes by reducing hemolytic anemia and preventing vaso-occlusion, thereby ameliorating both acute and chronic - and overt and covert - complications. Additional benefits of hydroxyurea beyond HbF induction include lower neutrophil and platelet counts, reduced inflammation, and improved rheology. Toxicities of hydroxyurea in SCA are typically mild and predictable; modest cytopenia is expected and actually therapeutic, while occasional gastrointestinal and cutaneous manifestations are well-tolerated. Long-term risks of hydroxyurea for SCA are mainly theoretical but require ongoing surveillance. Accordingly, hydroxyurea should be initiated as part of standard of care, ideally in the first year of life. Proper dosing of hydroxyurea is critical, aiming through stepwise dose escalation to achieve modest but safe myelosuppression, with periodic adjustments for weight gain. Precision dosing using pharmacokinetics may facilitate optimal dosing without frequent dose adjustments. Although transformative and even curative therapies for SCA are emerging, hydroxyurea is the only available and accessible disease-modifying treatment that can address the global burden of disease, especially in low-resource settings within sub-Saharan Africa.","author":[{"dropping-particle":"","family":"Quinn","given":"Charles T","non-dropping-particle":"","parse-names":false,"suffix":""},{"dropping-particle":"","family":"Ware","given":"Russell E","non-dropping-particle":"","parse-names":false,"suffix":""}],"container-title":"Haematologica","id":"ITEM-1","issue":"5","issued":{"date-parts":[["2025","5"]]},"language":"eng","page":"1061-1073","publisher-place":"Italy","title":"The modern use of hydroxyurea for children with sickle cell anemia.","type":"article-journal","volume":"110"},"uris":["http://www.mendeley.com/documents/?uuid=6b2056b9-a754-4d61-8463-4421c9d3a51b"]}],"mendeley":{"formattedCitation":"[11]","plainTextFormattedCitation":"[11]","previouslyFormattedCitation":"(Quinn &amp; Ware, 2025)"},"properties":{"noteIndex":0},"schema":"https://github.com/citation-style-language/schema/raw/master/csl-citation.json"}</w:instrText>
      </w:r>
      <w:r>
        <w:rPr>
          <w:rFonts w:ascii="Arial" w:hAnsi="Arial" w:cs="Arial"/>
          <w:sz w:val="24"/>
          <w:szCs w:val="24"/>
          <w:highlight w:val="yellow"/>
        </w:rPr>
        <w:fldChar w:fldCharType="separate"/>
      </w:r>
      <w:r w:rsidRPr="00765883">
        <w:rPr>
          <w:rFonts w:ascii="Arial" w:hAnsi="Arial" w:cs="Arial"/>
          <w:noProof/>
          <w:sz w:val="24"/>
          <w:szCs w:val="24"/>
          <w:highlight w:val="yellow"/>
        </w:rPr>
        <w:t>[11]</w:t>
      </w:r>
      <w:r>
        <w:rPr>
          <w:rFonts w:ascii="Arial" w:hAnsi="Arial" w:cs="Arial"/>
          <w:sz w:val="24"/>
          <w:szCs w:val="24"/>
          <w:highlight w:val="yellow"/>
        </w:rPr>
        <w:fldChar w:fldCharType="end"/>
      </w:r>
      <w:r w:rsidRPr="00F43163">
        <w:rPr>
          <w:rFonts w:ascii="Arial" w:hAnsi="Arial" w:cs="Arial"/>
          <w:sz w:val="24"/>
          <w:szCs w:val="24"/>
          <w:highlight w:val="yellow"/>
        </w:rPr>
        <w:t>.</w:t>
      </w:r>
      <w:r w:rsidRPr="005F5B23">
        <w:rPr>
          <w:rFonts w:ascii="Arial" w:hAnsi="Arial" w:cs="Arial"/>
          <w:sz w:val="24"/>
          <w:szCs w:val="24"/>
        </w:rPr>
        <w:t xml:space="preserve"> These effects collectively decrease the morbidity and mortality associated with SCD. However, despite its benefits, </w:t>
      </w:r>
      <w:proofErr w:type="spellStart"/>
      <w:r w:rsidRPr="005F5B23">
        <w:rPr>
          <w:rFonts w:ascii="Arial" w:hAnsi="Arial" w:cs="Arial"/>
          <w:sz w:val="24"/>
          <w:szCs w:val="24"/>
        </w:rPr>
        <w:t>Hydroxyurea</w:t>
      </w:r>
      <w:proofErr w:type="spellEnd"/>
      <w:r w:rsidRPr="005F5B23">
        <w:rPr>
          <w:rFonts w:ascii="Arial" w:hAnsi="Arial" w:cs="Arial"/>
          <w:sz w:val="24"/>
          <w:szCs w:val="24"/>
        </w:rPr>
        <w:t xml:space="preserve"> is associated with potential side effects, necessitating regular monitoring of blood cell counts</w:t>
      </w:r>
      <w:r>
        <w:rPr>
          <w:rFonts w:ascii="Arial" w:hAnsi="Arial" w:cs="Arial"/>
          <w:sz w:val="24"/>
          <w:szCs w:val="24"/>
        </w:rPr>
        <w:fldChar w:fldCharType="begin" w:fldLock="1"/>
      </w:r>
      <w:r>
        <w:rPr>
          <w:rFonts w:ascii="Arial" w:hAnsi="Arial" w:cs="Arial"/>
          <w:sz w:val="24"/>
          <w:szCs w:val="24"/>
        </w:rPr>
        <w:instrText>ADDIN CSL_CITATION {"citationItems":[{"id":"ITEM-1","itemData":{"DOI":"10.1002/14651858.CD002202.pub2","ISSN":"1469-493X (Electronic)","PMID":"28426137","abstract":"BACKGROUND: Sickle cell disease (SCD) is one of the most common inherited  diseases worldwide. It is associated with lifelong morbidity and a reduced life expectancy. Hydroxyurea (hydroxycarbamide), an oral chemotherapeutic drug, ameliorates some of the clinical problems of SCD, in particular that of pain, by raising fetal haemoglobin. This is an update of a previously published Cochrane Review. OBJECTIVES: To assess the effects of hydroxyurea therapy in people with SCD (all genotypes), of any age, regardless of setting. SEARCH METHODS: We searched the Cochrane Cystic Fibrosis and Genetic Disorders Group Haemoglobinopathies Register, comprising of references identified from comprehensive electronic database searches and handsearches of relevant journals and abstract books of conference proceedings. We also searched online trial registries.Date of the most recent search: 16 January 2017. SELECTION CRITERIA: Randomised and quasi-randomised controlled trials, of one month or longer, comparing hydroxyurea with placebo, standard therapy or other interventions for people with SCD. DATA COLLECTION AND ANALYSIS: Authors independently assessed studies for inclusion, carried out data extraction and assessed the risk of bias. MAIN RESULTS: Seventeen studies were identified in the searches; eight randomised controlled trials were included, recruiting 899 adults and children with SCD (haemoglobin SS (HbSS), haemoglobin SC (HbSC) or haemoglobin Sβºthalassaemia (HbSβºthal) genotypes). Studies lasted from six to 30 months.Four studies (577 adults and children with HbSS or HbSβºthal) compared hydroxyurea to placebo; three recruited individuals with only severe disease and one recruited individuals with all disease severities. There were statistically significant improvements in terms of pain alteration (using measures such as pain crisis frequency, duration, intensity, hospital admissions and opoid use), measures of fetal haemoglobin and neutrophil counts and fewer occurrences of acute chest syndrome and blood transfusions in the hydroxyurea groups. There were no consistent statistically significant differences in terms of quality of life and adverse events (including serious or life-threatening events). Seven deaths occurred during the studies, but the rates by treatment group were not statistically significantly different.Two studies (254 children with HbSS or HbSβºthal also with risk of primary or secondary stroke) compared hydroxyurea and phlebotomy to transfusion a…","author":[{"dropping-particle":"","family":"Nevitt","given":"Sarah J","non-dropping-particle":"","parse-names":false,"suffix":""},{"dropping-particle":"","family":"Jones","given":"Ashley P","non-dropping-particle":"","parse-names":false,"suffix":""},{"dropping-particle":"","family":"Howard","given":"Jo","non-dropping-particle":"","parse-names":false,"suffix":""}],"container-title":"The Cochrane database of systematic reviews","id":"ITEM-1","issue":"4","issued":{"date-parts":[["2017","4"]]},"language":"eng","page":"CD002202","publisher-place":"England","title":"Hydroxyurea (hydroxycarbamide) for sickle cell disease.","type":"article-journal","volume":"4"},"uris":["http://www.mendeley.com/documents/?uuid=240fbe4e-d71a-4aed-b6e4-f4c2aaf52a3b"]}],"mendeley":{"formattedCitation":"[8]","plainTextFormattedCitation":"[8]","previouslyFormattedCitation":"(Nevitt et al., 2017)"},"properties":{"noteIndex":0},"schema":"https://github.com/citation-style-language/schema/raw/master/csl-citation.json"}</w:instrText>
      </w:r>
      <w:r>
        <w:rPr>
          <w:rFonts w:ascii="Arial" w:hAnsi="Arial" w:cs="Arial"/>
          <w:sz w:val="24"/>
          <w:szCs w:val="24"/>
        </w:rPr>
        <w:fldChar w:fldCharType="separate"/>
      </w:r>
      <w:r w:rsidRPr="00765883">
        <w:rPr>
          <w:rFonts w:ascii="Arial" w:hAnsi="Arial" w:cs="Arial"/>
          <w:noProof/>
          <w:sz w:val="24"/>
          <w:szCs w:val="24"/>
        </w:rPr>
        <w:t>[8]</w:t>
      </w:r>
      <w:r>
        <w:rPr>
          <w:rFonts w:ascii="Arial" w:hAnsi="Arial" w:cs="Arial"/>
          <w:sz w:val="24"/>
          <w:szCs w:val="24"/>
        </w:rPr>
        <w:fldChar w:fldCharType="end"/>
      </w:r>
      <w:r w:rsidRPr="00FE1957">
        <w:rPr>
          <w:rFonts w:ascii="Arial" w:hAnsi="Arial" w:cs="Arial"/>
          <w:sz w:val="24"/>
          <w:szCs w:val="24"/>
          <w:highlight w:val="yellow"/>
        </w:rPr>
        <w:t>,</w:t>
      </w:r>
      <w:r>
        <w:rPr>
          <w:rFonts w:ascii="Arial" w:hAnsi="Arial" w:cs="Arial"/>
          <w:sz w:val="24"/>
          <w:szCs w:val="24"/>
          <w:highlight w:val="yellow"/>
        </w:rPr>
        <w:fldChar w:fldCharType="begin" w:fldLock="1"/>
      </w:r>
      <w:r>
        <w:rPr>
          <w:rFonts w:ascii="Arial" w:hAnsi="Arial" w:cs="Arial"/>
          <w:sz w:val="24"/>
          <w:szCs w:val="24"/>
          <w:highlight w:val="yellow"/>
        </w:rPr>
        <w:instrText>ADDIN CSL_CITATION {"citationItems":[{"id":"ITEM-1","itemData":{"DOI":"10.3390/nu16020258","ISSN":"2072-6643 (Electronic)","PMID":"38257151","abstract":"Sickle cell disease (SCD), a distinctive and often overlooked illness in the 21st  century, is a congenital blood disorder characterized by considerable phenotypic diversity. It comprises a group of disorders, with sickle cell anemia (SCA) being the most prevalent and serious genotype. Although there have been some systematic reviews of global data, worldwide statistics regarding SCD prevalence, morbidity, and mortality remain scarce. In developed countries with a lower number of sickle cell patients, cutting-edge technologies have led to the development of new treatments. However, in developing settings where sickle cell disease (SCD) is more prevalent, medical management, rather than a cure, still relies on the use of hydroxyurea, blood transfusions, and analgesics. This is a disease that affects red blood cells, consequently affecting most organs in diverse manners. We discuss its etiology and the advent of new technologies, but the aim of this study is to understand the various types of nutrition-related studies involving individuals suffering from SCD, particularly in Africa. The interplay of the environment, food, gut microbiota, along with their respective genomes collectively known as the gut microbiome, and host metabolism is responsible for mediating host metabolic phenotypes and modulating gut microbiota. In addition, it serves the purpose of providing essential nutrients. Moreover, it engages in direct interactions with host homeostasis and the immune system, as well as indirect interactions via metabolites. Nutrition interventions and nutritional care are mechanisms for addressing increased nutrient expenditures and are important aspects of supportive management for patients with SCD. Underprivileged areas in Sub-Saharan Africa should be accompanied by efforts to define and promote of the nutritional aspects of SCD. Their importance is key to maintaining well-being and quality of life, especially because new technologies and products remain limited, while the use of native medicinal plant resources is acknowledged.","author":[{"dropping-particle":"","family":"Bell","given":"Victoria","non-dropping-particle":"","parse-names":false,"suffix":""},{"dropping-particle":"","family":"Varzakas","given":"Theodoros","non-dropping-particle":"","parse-names":false,"suffix":""},{"dropping-particle":"","family":"Psaltopoulou","given":"Theodora","non-dropping-particle":"","parse-names":false,"suffix":""},{"dropping-particle":"","family":"Fernandes","given":"Tito","non-dropping-particle":"","parse-names":false,"suffix":""}],"container-title":"Nutrients","id":"ITEM-1","issue":"2","issued":{"date-parts":[["2024","1"]]},"language":"eng","publisher-place":"Switzerland","title":"Sickle Cell Disease Update: New Treatments and Challenging Nutritional  Interventions.","type":"article-journal","volume":"16"},"uris":["http://www.mendeley.com/documents/?uuid=d070bbc0-bfcb-4cb8-997d-928b45d7e46a"]}],"mendeley":{"formattedCitation":"[9]","plainTextFormattedCitation":"[9]","previouslyFormattedCitation":"(Bell et al., 2024)"},"properties":{"noteIndex":0},"schema":"https://github.com/citation-style-language/schema/raw/master/csl-citation.json"}</w:instrText>
      </w:r>
      <w:r>
        <w:rPr>
          <w:rFonts w:ascii="Arial" w:hAnsi="Arial" w:cs="Arial"/>
          <w:sz w:val="24"/>
          <w:szCs w:val="24"/>
          <w:highlight w:val="yellow"/>
        </w:rPr>
        <w:fldChar w:fldCharType="separate"/>
      </w:r>
      <w:r w:rsidRPr="00765883">
        <w:rPr>
          <w:rFonts w:ascii="Arial" w:hAnsi="Arial" w:cs="Arial"/>
          <w:noProof/>
          <w:sz w:val="24"/>
          <w:szCs w:val="24"/>
          <w:highlight w:val="yellow"/>
        </w:rPr>
        <w:t>[9]</w:t>
      </w:r>
      <w:r>
        <w:rPr>
          <w:rFonts w:ascii="Arial" w:hAnsi="Arial" w:cs="Arial"/>
          <w:sz w:val="24"/>
          <w:szCs w:val="24"/>
          <w:highlight w:val="yellow"/>
        </w:rPr>
        <w:fldChar w:fldCharType="end"/>
      </w:r>
      <w:r w:rsidRPr="00FE1957">
        <w:rPr>
          <w:rFonts w:ascii="Arial" w:hAnsi="Arial" w:cs="Arial"/>
          <w:sz w:val="24"/>
          <w:szCs w:val="24"/>
          <w:highlight w:val="yellow"/>
        </w:rPr>
        <w:t>.</w:t>
      </w:r>
      <w:r w:rsidRPr="005F5B23">
        <w:rPr>
          <w:rFonts w:ascii="Arial" w:hAnsi="Arial" w:cs="Arial"/>
          <w:sz w:val="24"/>
          <w:szCs w:val="24"/>
        </w:rPr>
        <w:t xml:space="preserve"> As a result, the goal of this research is to </w:t>
      </w:r>
      <w:r>
        <w:rPr>
          <w:rFonts w:ascii="Arial" w:hAnsi="Arial" w:cs="Arial"/>
          <w:sz w:val="24"/>
          <w:szCs w:val="24"/>
        </w:rPr>
        <w:t xml:space="preserve">determine the prevalence of </w:t>
      </w:r>
      <w:proofErr w:type="spellStart"/>
      <w:r>
        <w:rPr>
          <w:rFonts w:ascii="Arial" w:hAnsi="Arial" w:cs="Arial"/>
          <w:sz w:val="24"/>
          <w:szCs w:val="24"/>
        </w:rPr>
        <w:t>hydroxyurea</w:t>
      </w:r>
      <w:proofErr w:type="spellEnd"/>
      <w:r>
        <w:rPr>
          <w:rFonts w:ascii="Arial" w:hAnsi="Arial" w:cs="Arial"/>
          <w:sz w:val="24"/>
          <w:szCs w:val="24"/>
        </w:rPr>
        <w:t xml:space="preserve"> use among SCD patients in Zanzibar and to assess their clinical and </w:t>
      </w:r>
      <w:proofErr w:type="spellStart"/>
      <w:r>
        <w:rPr>
          <w:rFonts w:ascii="Arial" w:hAnsi="Arial" w:cs="Arial"/>
          <w:sz w:val="24"/>
          <w:szCs w:val="24"/>
        </w:rPr>
        <w:t>haematological</w:t>
      </w:r>
      <w:proofErr w:type="spellEnd"/>
      <w:r>
        <w:rPr>
          <w:rFonts w:ascii="Arial" w:hAnsi="Arial" w:cs="Arial"/>
          <w:sz w:val="24"/>
          <w:szCs w:val="24"/>
        </w:rPr>
        <w:t xml:space="preserve"> responses, as well as the side effects</w:t>
      </w:r>
      <w:r w:rsidRPr="005F5B23">
        <w:rPr>
          <w:rFonts w:ascii="Arial" w:hAnsi="Arial" w:cs="Arial"/>
          <w:sz w:val="24"/>
          <w:szCs w:val="24"/>
        </w:rPr>
        <w:t xml:space="preserve"> of </w:t>
      </w:r>
      <w:proofErr w:type="spellStart"/>
      <w:r w:rsidRPr="005F5B23">
        <w:rPr>
          <w:rFonts w:ascii="Arial" w:hAnsi="Arial" w:cs="Arial"/>
          <w:sz w:val="24"/>
          <w:szCs w:val="24"/>
        </w:rPr>
        <w:t>hydroxyurea</w:t>
      </w:r>
      <w:proofErr w:type="spellEnd"/>
      <w:r w:rsidRPr="005F5B23">
        <w:rPr>
          <w:rFonts w:ascii="Arial" w:hAnsi="Arial" w:cs="Arial"/>
          <w:sz w:val="24"/>
          <w:szCs w:val="24"/>
        </w:rPr>
        <w:t>.</w:t>
      </w:r>
      <w:bookmarkStart w:id="0" w:name="_Toc202865693"/>
      <w:bookmarkStart w:id="1" w:name="_Toc202934369"/>
    </w:p>
    <w:p w:rsidR="00765883" w:rsidRPr="005F5B23" w:rsidRDefault="00765883" w:rsidP="00765883">
      <w:pPr>
        <w:spacing w:line="360" w:lineRule="auto"/>
        <w:jc w:val="both"/>
        <w:rPr>
          <w:rFonts w:ascii="Arial" w:hAnsi="Arial" w:cs="Arial"/>
          <w:sz w:val="24"/>
          <w:szCs w:val="24"/>
        </w:rPr>
      </w:pPr>
      <w:r w:rsidRPr="005F5B23">
        <w:rPr>
          <w:rFonts w:ascii="Arial" w:hAnsi="Arial" w:cs="Arial"/>
          <w:b/>
          <w:color w:val="000000" w:themeColor="text1"/>
          <w:sz w:val="24"/>
          <w:szCs w:val="24"/>
        </w:rPr>
        <w:t xml:space="preserve"> Objectives</w:t>
      </w:r>
      <w:bookmarkEnd w:id="0"/>
      <w:bookmarkEnd w:id="1"/>
      <w:r w:rsidRPr="005F5B23">
        <w:rPr>
          <w:rFonts w:ascii="Arial" w:hAnsi="Arial" w:cs="Arial"/>
          <w:b/>
          <w:color w:val="000000" w:themeColor="text1"/>
          <w:sz w:val="24"/>
          <w:szCs w:val="24"/>
        </w:rPr>
        <w:t xml:space="preserve"> </w:t>
      </w:r>
    </w:p>
    <w:p w:rsidR="00765883" w:rsidRPr="005F5B23" w:rsidRDefault="00765883" w:rsidP="00765883">
      <w:pPr>
        <w:spacing w:line="360" w:lineRule="auto"/>
        <w:jc w:val="both"/>
        <w:rPr>
          <w:rFonts w:ascii="Arial" w:hAnsi="Arial" w:cs="Arial"/>
          <w:sz w:val="24"/>
          <w:szCs w:val="24"/>
        </w:rPr>
      </w:pPr>
      <w:r w:rsidRPr="005F5B23">
        <w:rPr>
          <w:rFonts w:ascii="Arial" w:eastAsia="Times New Roman" w:hAnsi="Arial" w:cs="Arial"/>
          <w:sz w:val="24"/>
          <w:szCs w:val="24"/>
        </w:rPr>
        <w:t xml:space="preserve">The broad objective of this study was to evaluate the response to </w:t>
      </w:r>
      <w:proofErr w:type="spellStart"/>
      <w:r w:rsidRPr="005F5B23">
        <w:rPr>
          <w:rFonts w:ascii="Arial" w:eastAsia="Times New Roman" w:hAnsi="Arial" w:cs="Arial"/>
          <w:sz w:val="24"/>
          <w:szCs w:val="24"/>
        </w:rPr>
        <w:t>hydroxyurea</w:t>
      </w:r>
      <w:proofErr w:type="spellEnd"/>
      <w:r w:rsidRPr="005F5B23">
        <w:rPr>
          <w:rFonts w:ascii="Arial" w:eastAsia="Times New Roman" w:hAnsi="Arial" w:cs="Arial"/>
          <w:sz w:val="24"/>
          <w:szCs w:val="24"/>
        </w:rPr>
        <w:t xml:space="preserve"> therapy in patients with sickle cell disease attending the </w:t>
      </w:r>
      <w:proofErr w:type="spellStart"/>
      <w:r>
        <w:rPr>
          <w:rFonts w:ascii="Arial" w:eastAsia="Times New Roman" w:hAnsi="Arial" w:cs="Arial"/>
          <w:sz w:val="24"/>
          <w:szCs w:val="24"/>
        </w:rPr>
        <w:t>haematology</w:t>
      </w:r>
      <w:proofErr w:type="spellEnd"/>
      <w:r w:rsidRPr="005F5B23">
        <w:rPr>
          <w:rFonts w:ascii="Arial" w:eastAsia="Times New Roman" w:hAnsi="Arial" w:cs="Arial"/>
          <w:sz w:val="24"/>
          <w:szCs w:val="24"/>
        </w:rPr>
        <w:t xml:space="preserve"> clinic at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District Hospital. Specifically, the study aimed to: (1) identify the socio-demographic characteristics of sickle cell disease patients attending the clinic; (2) assess the clinical response to </w:t>
      </w:r>
      <w:proofErr w:type="spellStart"/>
      <w:r w:rsidRPr="005F5B23">
        <w:rPr>
          <w:rFonts w:ascii="Arial" w:eastAsia="Times New Roman" w:hAnsi="Arial" w:cs="Arial"/>
          <w:sz w:val="24"/>
          <w:szCs w:val="24"/>
        </w:rPr>
        <w:t>hydroxyurea</w:t>
      </w:r>
      <w:proofErr w:type="spellEnd"/>
      <w:r w:rsidRPr="005F5B23">
        <w:rPr>
          <w:rFonts w:ascii="Arial" w:eastAsia="Times New Roman" w:hAnsi="Arial" w:cs="Arial"/>
          <w:sz w:val="24"/>
          <w:szCs w:val="24"/>
        </w:rPr>
        <w:t xml:space="preserve"> therapy in these patients; (3) evaluate their hematological response to </w:t>
      </w:r>
      <w:r>
        <w:rPr>
          <w:rFonts w:ascii="Arial" w:eastAsia="Times New Roman" w:hAnsi="Arial" w:cs="Arial"/>
          <w:sz w:val="24"/>
          <w:szCs w:val="24"/>
        </w:rPr>
        <w:t xml:space="preserve">the </w:t>
      </w:r>
      <w:r w:rsidRPr="005F5B23">
        <w:rPr>
          <w:rFonts w:ascii="Arial" w:eastAsia="Times New Roman" w:hAnsi="Arial" w:cs="Arial"/>
          <w:sz w:val="24"/>
          <w:szCs w:val="24"/>
        </w:rPr>
        <w:t xml:space="preserve">treatment; (4) determine patient compliance with </w:t>
      </w:r>
      <w:proofErr w:type="spellStart"/>
      <w:r w:rsidRPr="005F5B23">
        <w:rPr>
          <w:rFonts w:ascii="Arial" w:eastAsia="Times New Roman" w:hAnsi="Arial" w:cs="Arial"/>
          <w:sz w:val="24"/>
          <w:szCs w:val="24"/>
        </w:rPr>
        <w:t>hydroxyurea</w:t>
      </w:r>
      <w:proofErr w:type="spellEnd"/>
      <w:r w:rsidRPr="005F5B23">
        <w:rPr>
          <w:rFonts w:ascii="Arial" w:eastAsia="Times New Roman" w:hAnsi="Arial" w:cs="Arial"/>
          <w:sz w:val="24"/>
          <w:szCs w:val="24"/>
        </w:rPr>
        <w:t xml:space="preserve"> therapy; and (5) identify any side effects associated with the use of </w:t>
      </w:r>
      <w:proofErr w:type="spellStart"/>
      <w:r w:rsidRPr="005F5B23">
        <w:rPr>
          <w:rFonts w:ascii="Arial" w:eastAsia="Times New Roman" w:hAnsi="Arial" w:cs="Arial"/>
          <w:sz w:val="24"/>
          <w:szCs w:val="24"/>
        </w:rPr>
        <w:t>hydroxyurea</w:t>
      </w:r>
      <w:proofErr w:type="spellEnd"/>
      <w:r w:rsidRPr="005F5B23">
        <w:rPr>
          <w:rFonts w:ascii="Arial" w:eastAsia="Times New Roman" w:hAnsi="Arial" w:cs="Arial"/>
          <w:sz w:val="24"/>
          <w:szCs w:val="24"/>
        </w:rPr>
        <w:t xml:space="preserve"> among patients receiving care at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District Hospital in Zanzibar</w:t>
      </w:r>
      <w:r w:rsidRPr="005F5B23">
        <w:rPr>
          <w:rFonts w:ascii="Arial" w:hAnsi="Arial" w:cs="Arial"/>
          <w:sz w:val="24"/>
          <w:szCs w:val="24"/>
        </w:rPr>
        <w:t>.</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b/>
          <w:sz w:val="24"/>
          <w:szCs w:val="24"/>
        </w:rPr>
      </w:pPr>
      <w:r w:rsidRPr="005F5B23">
        <w:rPr>
          <w:rFonts w:ascii="Arial" w:hAnsi="Arial" w:cs="Arial"/>
          <w:b/>
          <w:sz w:val="24"/>
          <w:szCs w:val="24"/>
        </w:rPr>
        <w:t>Method</w:t>
      </w:r>
      <w:r>
        <w:rPr>
          <w:rFonts w:ascii="Arial" w:hAnsi="Arial" w:cs="Arial"/>
          <w:b/>
          <w:sz w:val="24"/>
          <w:szCs w:val="24"/>
        </w:rPr>
        <w:t>ology</w:t>
      </w:r>
    </w:p>
    <w:p w:rsidR="00765883" w:rsidRPr="005F5B23" w:rsidRDefault="00765883" w:rsidP="00765883">
      <w:pPr>
        <w:spacing w:before="100" w:beforeAutospacing="1" w:after="100" w:afterAutospacing="1" w:line="360" w:lineRule="auto"/>
        <w:jc w:val="both"/>
        <w:rPr>
          <w:rFonts w:ascii="Arial" w:eastAsia="Times New Roman" w:hAnsi="Arial" w:cs="Arial"/>
          <w:sz w:val="24"/>
          <w:szCs w:val="24"/>
        </w:rPr>
      </w:pPr>
      <w:bookmarkStart w:id="2" w:name="_Toc202934386"/>
      <w:r w:rsidRPr="005F5B23">
        <w:rPr>
          <w:rFonts w:ascii="Arial" w:eastAsia="Times New Roman" w:hAnsi="Arial" w:cs="Arial"/>
          <w:sz w:val="24"/>
          <w:szCs w:val="24"/>
        </w:rPr>
        <w:lastRenderedPageBreak/>
        <w:t xml:space="preserve">This was a cross-sectional study conducted at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District Hospital, located on M/</w:t>
      </w:r>
      <w:proofErr w:type="spellStart"/>
      <w:r w:rsidRPr="005F5B23">
        <w:rPr>
          <w:rFonts w:ascii="Arial" w:eastAsia="Times New Roman" w:hAnsi="Arial" w:cs="Arial"/>
          <w:sz w:val="24"/>
          <w:szCs w:val="24"/>
        </w:rPr>
        <w:t>Kwerekwe</w:t>
      </w:r>
      <w:proofErr w:type="spellEnd"/>
      <w:r w:rsidRPr="005F5B23">
        <w:rPr>
          <w:rFonts w:ascii="Arial" w:eastAsia="Times New Roman" w:hAnsi="Arial" w:cs="Arial"/>
          <w:sz w:val="24"/>
          <w:szCs w:val="24"/>
        </w:rPr>
        <w:t xml:space="preserve"> Street in West B District, Zanzibar. The study was carried out over </w:t>
      </w:r>
      <w:r>
        <w:rPr>
          <w:rFonts w:ascii="Arial" w:eastAsia="Times New Roman" w:hAnsi="Arial" w:cs="Arial"/>
          <w:sz w:val="24"/>
          <w:szCs w:val="24"/>
        </w:rPr>
        <w:t>six months</w:t>
      </w:r>
      <w:r w:rsidRPr="005F5B23">
        <w:rPr>
          <w:rFonts w:ascii="Arial" w:eastAsia="Times New Roman" w:hAnsi="Arial" w:cs="Arial"/>
          <w:sz w:val="24"/>
          <w:szCs w:val="24"/>
        </w:rPr>
        <w:t xml:space="preserve">, from December 2024 to May 2025, beginning immediately after receiving ethical clearance from the Zanzibar Health Research Ethics Committee (ZAHREC). The study population consisted of patients diagnosed with sickle cell disease (SCD) who were undergoing </w:t>
      </w:r>
      <w:proofErr w:type="spellStart"/>
      <w:r w:rsidRPr="005F5B23">
        <w:rPr>
          <w:rFonts w:ascii="Arial" w:eastAsia="Times New Roman" w:hAnsi="Arial" w:cs="Arial"/>
          <w:sz w:val="24"/>
          <w:szCs w:val="24"/>
        </w:rPr>
        <w:t>hydroxyurea</w:t>
      </w:r>
      <w:proofErr w:type="spellEnd"/>
      <w:r w:rsidRPr="005F5B23">
        <w:rPr>
          <w:rFonts w:ascii="Arial" w:eastAsia="Times New Roman" w:hAnsi="Arial" w:cs="Arial"/>
          <w:sz w:val="24"/>
          <w:szCs w:val="24"/>
        </w:rPr>
        <w:t xml:space="preserve"> therapy and regularly attending the hospital’s </w:t>
      </w:r>
      <w:proofErr w:type="spellStart"/>
      <w:r>
        <w:rPr>
          <w:rFonts w:ascii="Arial" w:eastAsia="Times New Roman" w:hAnsi="Arial" w:cs="Arial"/>
          <w:sz w:val="24"/>
          <w:szCs w:val="24"/>
        </w:rPr>
        <w:t>haematology</w:t>
      </w:r>
      <w:proofErr w:type="spellEnd"/>
      <w:r w:rsidRPr="005F5B23">
        <w:rPr>
          <w:rFonts w:ascii="Arial" w:eastAsia="Times New Roman" w:hAnsi="Arial" w:cs="Arial"/>
          <w:sz w:val="24"/>
          <w:szCs w:val="24"/>
        </w:rPr>
        <w:t xml:space="preserve"> clinic. Inclusion criteria were patients with confirmed SCD by </w:t>
      </w:r>
      <w:proofErr w:type="spellStart"/>
      <w:r>
        <w:rPr>
          <w:rFonts w:ascii="Arial" w:eastAsia="Times New Roman" w:hAnsi="Arial" w:cs="Arial"/>
          <w:sz w:val="24"/>
          <w:szCs w:val="24"/>
        </w:rPr>
        <w:t>haemoglobin</w:t>
      </w:r>
      <w:proofErr w:type="spellEnd"/>
      <w:r w:rsidRPr="005F5B23">
        <w:rPr>
          <w:rFonts w:ascii="Arial" w:eastAsia="Times New Roman" w:hAnsi="Arial" w:cs="Arial"/>
          <w:sz w:val="24"/>
          <w:szCs w:val="24"/>
        </w:rPr>
        <w:t xml:space="preserve"> electrophoresis who had been on </w:t>
      </w:r>
      <w:proofErr w:type="spellStart"/>
      <w:r w:rsidRPr="005F5B23">
        <w:rPr>
          <w:rFonts w:ascii="Arial" w:eastAsia="Times New Roman" w:hAnsi="Arial" w:cs="Arial"/>
          <w:sz w:val="24"/>
          <w:szCs w:val="24"/>
        </w:rPr>
        <w:t>hydroxyurea</w:t>
      </w:r>
      <w:proofErr w:type="spellEnd"/>
      <w:r w:rsidRPr="005F5B23">
        <w:rPr>
          <w:rFonts w:ascii="Arial" w:eastAsia="Times New Roman" w:hAnsi="Arial" w:cs="Arial"/>
          <w:sz w:val="24"/>
          <w:szCs w:val="24"/>
        </w:rPr>
        <w:t xml:space="preserve"> therapy for at least one year. Exclusion criteria included individuals who had used </w:t>
      </w:r>
      <w:proofErr w:type="spellStart"/>
      <w:r w:rsidRPr="005F5B23">
        <w:rPr>
          <w:rFonts w:ascii="Arial" w:eastAsia="Times New Roman" w:hAnsi="Arial" w:cs="Arial"/>
          <w:sz w:val="24"/>
          <w:szCs w:val="24"/>
        </w:rPr>
        <w:t>hydroxyurea</w:t>
      </w:r>
      <w:proofErr w:type="spellEnd"/>
      <w:r w:rsidRPr="005F5B23">
        <w:rPr>
          <w:rFonts w:ascii="Arial" w:eastAsia="Times New Roman" w:hAnsi="Arial" w:cs="Arial"/>
          <w:sz w:val="24"/>
          <w:szCs w:val="24"/>
        </w:rPr>
        <w:t xml:space="preserve"> for less than one year, those who declined to provide informed consent, and patients who chose not to continue participating in the study. The sample size was calculated using Cochran’s formula: </w:t>
      </w:r>
      <w:r w:rsidRPr="005F5B23">
        <w:rPr>
          <w:rFonts w:ascii="Arial" w:eastAsia="Times New Roman" w:hAnsi="Arial" w:cs="Arial"/>
          <w:b/>
          <w:bCs/>
          <w:sz w:val="24"/>
          <w:szCs w:val="24"/>
        </w:rPr>
        <w:t>N = z²pq / e²</w:t>
      </w:r>
      <w:r w:rsidRPr="005F5B23">
        <w:rPr>
          <w:rFonts w:ascii="Arial" w:eastAsia="Times New Roman" w:hAnsi="Arial" w:cs="Arial"/>
          <w:sz w:val="24"/>
          <w:szCs w:val="24"/>
        </w:rPr>
        <w:t xml:space="preserve">, where </w:t>
      </w:r>
      <w:r w:rsidRPr="005F5B23">
        <w:rPr>
          <w:rFonts w:ascii="Arial" w:eastAsia="Times New Roman" w:hAnsi="Arial" w:cs="Arial"/>
          <w:i/>
          <w:iCs/>
          <w:sz w:val="24"/>
          <w:szCs w:val="24"/>
        </w:rPr>
        <w:t>z</w:t>
      </w:r>
      <w:r w:rsidRPr="005F5B23">
        <w:rPr>
          <w:rFonts w:ascii="Arial" w:eastAsia="Times New Roman" w:hAnsi="Arial" w:cs="Arial"/>
          <w:sz w:val="24"/>
          <w:szCs w:val="24"/>
        </w:rPr>
        <w:t xml:space="preserve"> is the confidence level (1.96 for 95% confidence), </w:t>
      </w:r>
      <w:r w:rsidRPr="005F5B23">
        <w:rPr>
          <w:rFonts w:ascii="Arial" w:eastAsia="Times New Roman" w:hAnsi="Arial" w:cs="Arial"/>
          <w:i/>
          <w:iCs/>
          <w:sz w:val="24"/>
          <w:szCs w:val="24"/>
        </w:rPr>
        <w:t>p</w:t>
      </w:r>
      <w:r w:rsidRPr="005F5B23">
        <w:rPr>
          <w:rFonts w:ascii="Arial" w:eastAsia="Times New Roman" w:hAnsi="Arial" w:cs="Arial"/>
          <w:sz w:val="24"/>
          <w:szCs w:val="24"/>
        </w:rPr>
        <w:t xml:space="preserve"> is the estimated population proportion from previous studies (0.17), </w:t>
      </w:r>
      <w:r w:rsidRPr="005F5B23">
        <w:rPr>
          <w:rFonts w:ascii="Arial" w:eastAsia="Times New Roman" w:hAnsi="Arial" w:cs="Arial"/>
          <w:i/>
          <w:iCs/>
          <w:sz w:val="24"/>
          <w:szCs w:val="24"/>
        </w:rPr>
        <w:t>q = 1 – p</w:t>
      </w:r>
      <w:r w:rsidRPr="005F5B23">
        <w:rPr>
          <w:rFonts w:ascii="Arial" w:eastAsia="Times New Roman" w:hAnsi="Arial" w:cs="Arial"/>
          <w:sz w:val="24"/>
          <w:szCs w:val="24"/>
        </w:rPr>
        <w:t xml:space="preserve">, and </w:t>
      </w:r>
      <w:r w:rsidRPr="005F5B23">
        <w:rPr>
          <w:rFonts w:ascii="Arial" w:eastAsia="Times New Roman" w:hAnsi="Arial" w:cs="Arial"/>
          <w:i/>
          <w:iCs/>
          <w:sz w:val="24"/>
          <w:szCs w:val="24"/>
        </w:rPr>
        <w:t>e</w:t>
      </w:r>
      <w:r w:rsidRPr="005F5B23">
        <w:rPr>
          <w:rFonts w:ascii="Arial" w:eastAsia="Times New Roman" w:hAnsi="Arial" w:cs="Arial"/>
          <w:sz w:val="24"/>
          <w:szCs w:val="24"/>
        </w:rPr>
        <w:t xml:space="preserve"> is the margin of error (5%). Based on this formula, the required sample size was 180 participants. A purposive sampling technique was used to recruit patients who met the inclusion criteria, focusing specifically on individuals with confirmed SCD who had been on </w:t>
      </w:r>
      <w:proofErr w:type="spellStart"/>
      <w:r w:rsidRPr="005F5B23">
        <w:rPr>
          <w:rFonts w:ascii="Arial" w:eastAsia="Times New Roman" w:hAnsi="Arial" w:cs="Arial"/>
          <w:sz w:val="24"/>
          <w:szCs w:val="24"/>
        </w:rPr>
        <w:t>hydroxyurea</w:t>
      </w:r>
      <w:proofErr w:type="spellEnd"/>
      <w:r w:rsidRPr="005F5B23">
        <w:rPr>
          <w:rFonts w:ascii="Arial" w:eastAsia="Times New Roman" w:hAnsi="Arial" w:cs="Arial"/>
          <w:sz w:val="24"/>
          <w:szCs w:val="24"/>
        </w:rPr>
        <w:t xml:space="preserve"> therapy for at least one year.</w:t>
      </w:r>
    </w:p>
    <w:bookmarkEnd w:id="2"/>
    <w:p w:rsidR="00765883" w:rsidRPr="005F5B23" w:rsidRDefault="00765883" w:rsidP="00765883">
      <w:pPr>
        <w:spacing w:after="0" w:line="360" w:lineRule="auto"/>
        <w:jc w:val="both"/>
        <w:rPr>
          <w:rFonts w:ascii="Arial" w:eastAsia="Times New Roman" w:hAnsi="Arial" w:cs="Arial"/>
          <w:sz w:val="24"/>
          <w:szCs w:val="24"/>
        </w:rPr>
      </w:pPr>
    </w:p>
    <w:p w:rsidR="00765883" w:rsidRPr="005F5B23" w:rsidRDefault="00765883" w:rsidP="00765883">
      <w:pPr>
        <w:spacing w:before="100" w:beforeAutospacing="1" w:after="100" w:afterAutospacing="1" w:line="360" w:lineRule="auto"/>
        <w:jc w:val="both"/>
        <w:rPr>
          <w:rFonts w:ascii="Arial" w:eastAsia="Times New Roman" w:hAnsi="Arial" w:cs="Arial"/>
          <w:sz w:val="24"/>
          <w:szCs w:val="24"/>
        </w:rPr>
      </w:pPr>
      <w:r w:rsidRPr="005F5B23">
        <w:rPr>
          <w:rFonts w:ascii="Arial" w:eastAsia="Times New Roman" w:hAnsi="Arial" w:cs="Arial"/>
          <w:b/>
          <w:bCs/>
          <w:sz w:val="24"/>
          <w:szCs w:val="24"/>
        </w:rPr>
        <w:t>Variables, Data Collection, and Ethical Considerations</w:t>
      </w:r>
    </w:p>
    <w:p w:rsidR="00765883" w:rsidRPr="005F5B23" w:rsidRDefault="00765883" w:rsidP="00765883">
      <w:pPr>
        <w:spacing w:before="100" w:beforeAutospacing="1" w:after="100" w:afterAutospacing="1" w:line="360" w:lineRule="auto"/>
        <w:jc w:val="both"/>
        <w:rPr>
          <w:rFonts w:ascii="Arial" w:eastAsia="Times New Roman" w:hAnsi="Arial" w:cs="Arial"/>
          <w:sz w:val="24"/>
          <w:szCs w:val="24"/>
        </w:rPr>
      </w:pPr>
      <w:r w:rsidRPr="005F5B23">
        <w:rPr>
          <w:rFonts w:ascii="Arial" w:eastAsia="Times New Roman" w:hAnsi="Arial" w:cs="Arial"/>
          <w:sz w:val="24"/>
          <w:szCs w:val="24"/>
        </w:rPr>
        <w:t xml:space="preserve">The </w:t>
      </w:r>
      <w:r w:rsidRPr="00C83839">
        <w:rPr>
          <w:rFonts w:ascii="Arial" w:eastAsia="Times New Roman" w:hAnsi="Arial" w:cs="Arial"/>
          <w:b/>
          <w:sz w:val="24"/>
          <w:szCs w:val="24"/>
        </w:rPr>
        <w:t xml:space="preserve">dependent </w:t>
      </w:r>
      <w:r w:rsidRPr="005F5B23">
        <w:rPr>
          <w:rFonts w:ascii="Arial" w:eastAsia="Times New Roman" w:hAnsi="Arial" w:cs="Arial"/>
          <w:sz w:val="24"/>
          <w:szCs w:val="24"/>
        </w:rPr>
        <w:t xml:space="preserve">variables in this study included: </w:t>
      </w:r>
      <w:proofErr w:type="spellStart"/>
      <w:r w:rsidRPr="005F5B23">
        <w:rPr>
          <w:rFonts w:ascii="Arial" w:eastAsia="Times New Roman" w:hAnsi="Arial" w:cs="Arial"/>
          <w:sz w:val="24"/>
          <w:szCs w:val="24"/>
        </w:rPr>
        <w:t>hydroxyurea</w:t>
      </w:r>
      <w:proofErr w:type="spellEnd"/>
      <w:r w:rsidRPr="005F5B23">
        <w:rPr>
          <w:rFonts w:ascii="Arial" w:eastAsia="Times New Roman" w:hAnsi="Arial" w:cs="Arial"/>
          <w:sz w:val="24"/>
          <w:szCs w:val="24"/>
        </w:rPr>
        <w:t xml:space="preserve"> therapy, number of </w:t>
      </w:r>
      <w:r w:rsidR="00B0158B">
        <w:rPr>
          <w:rFonts w:ascii="Arial" w:eastAsia="Times New Roman" w:hAnsi="Arial" w:cs="Arial"/>
          <w:sz w:val="24"/>
          <w:szCs w:val="24"/>
        </w:rPr>
        <w:t>hospitaliz</w:t>
      </w:r>
      <w:r>
        <w:rPr>
          <w:rFonts w:ascii="Arial" w:eastAsia="Times New Roman" w:hAnsi="Arial" w:cs="Arial"/>
          <w:sz w:val="24"/>
          <w:szCs w:val="24"/>
        </w:rPr>
        <w:t xml:space="preserve">ations, </w:t>
      </w:r>
      <w:proofErr w:type="spellStart"/>
      <w:r>
        <w:rPr>
          <w:rFonts w:ascii="Arial" w:eastAsia="Times New Roman" w:hAnsi="Arial" w:cs="Arial"/>
          <w:sz w:val="24"/>
          <w:szCs w:val="24"/>
        </w:rPr>
        <w:t>haemoglobin</w:t>
      </w:r>
      <w:proofErr w:type="spellEnd"/>
      <w:r w:rsidRPr="005F5B23">
        <w:rPr>
          <w:rFonts w:ascii="Arial" w:eastAsia="Times New Roman" w:hAnsi="Arial" w:cs="Arial"/>
          <w:sz w:val="24"/>
          <w:szCs w:val="24"/>
        </w:rPr>
        <w:t xml:space="preserve"> levels, number of blood transfusions, frequency of pain episodes, number of admissions, feelings of well-being, side effects, and adherence to therapy. Medication adherence was assessed using a validated self-report scale developed by </w:t>
      </w:r>
      <w:proofErr w:type="spellStart"/>
      <w:r w:rsidRPr="005F5B23">
        <w:rPr>
          <w:rFonts w:ascii="Arial" w:eastAsia="Times New Roman" w:hAnsi="Arial" w:cs="Arial"/>
          <w:sz w:val="24"/>
          <w:szCs w:val="24"/>
        </w:rPr>
        <w:t>Gehi</w:t>
      </w:r>
      <w:proofErr w:type="spellEnd"/>
      <w:r w:rsidRPr="005F5B23">
        <w:rPr>
          <w:rFonts w:ascii="Arial" w:eastAsia="Times New Roman" w:hAnsi="Arial" w:cs="Arial"/>
          <w:sz w:val="24"/>
          <w:szCs w:val="24"/>
        </w:rPr>
        <w:t xml:space="preserve"> et al., where participants rated their adherence as: "all of the time (100%)," "nearly all of the time (90%)," "most of the time (75%)," "about half of the time (50%)," or "less than half of the time (&lt;50%)." Respondents who selected "all of the time" or "nearly all of the time" were categorized as adherent, while all other responses were considered non-adherent. </w:t>
      </w:r>
    </w:p>
    <w:p w:rsidR="00765883" w:rsidRPr="005F5B23" w:rsidRDefault="00765883" w:rsidP="00765883">
      <w:pPr>
        <w:spacing w:before="100" w:beforeAutospacing="1" w:after="100" w:afterAutospacing="1" w:line="360" w:lineRule="auto"/>
        <w:jc w:val="both"/>
        <w:rPr>
          <w:rFonts w:ascii="Arial" w:eastAsia="Times New Roman" w:hAnsi="Arial" w:cs="Arial"/>
          <w:sz w:val="24"/>
          <w:szCs w:val="24"/>
        </w:rPr>
      </w:pPr>
      <w:r w:rsidRPr="00C83839">
        <w:rPr>
          <w:rFonts w:ascii="Arial" w:eastAsia="Times New Roman" w:hAnsi="Arial" w:cs="Arial"/>
          <w:b/>
          <w:sz w:val="24"/>
          <w:szCs w:val="24"/>
        </w:rPr>
        <w:lastRenderedPageBreak/>
        <w:t>Independent variables</w:t>
      </w:r>
      <w:r w:rsidRPr="005F5B23">
        <w:rPr>
          <w:rFonts w:ascii="Arial" w:eastAsia="Times New Roman" w:hAnsi="Arial" w:cs="Arial"/>
          <w:sz w:val="24"/>
          <w:szCs w:val="24"/>
        </w:rPr>
        <w:t xml:space="preserve"> included age, sex, level of education, residence, and occupational status. Data collection was </w:t>
      </w:r>
      <w:r>
        <w:rPr>
          <w:rFonts w:ascii="Arial" w:eastAsia="Times New Roman" w:hAnsi="Arial" w:cs="Arial"/>
          <w:sz w:val="24"/>
          <w:szCs w:val="24"/>
        </w:rPr>
        <w:t xml:space="preserve">conducted at the </w:t>
      </w:r>
      <w:proofErr w:type="spellStart"/>
      <w:r>
        <w:rPr>
          <w:rFonts w:ascii="Arial" w:eastAsia="Times New Roman" w:hAnsi="Arial" w:cs="Arial"/>
          <w:sz w:val="24"/>
          <w:szCs w:val="24"/>
        </w:rPr>
        <w:t>haematology</w:t>
      </w:r>
      <w:proofErr w:type="spellEnd"/>
      <w:r w:rsidRPr="005F5B23">
        <w:rPr>
          <w:rFonts w:ascii="Arial" w:eastAsia="Times New Roman" w:hAnsi="Arial" w:cs="Arial"/>
          <w:sz w:val="24"/>
          <w:szCs w:val="24"/>
        </w:rPr>
        <w:t xml:space="preserve"> clinic of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District Hospital. Upon arrival, patients with confirmed sickle cell disease were informed about the study and its potential benefits. Data were gathered using a structured questionnaire, and laboratory values were retrieved from clinic records. Primary data were collected through face-to-face interviews using an open-ended questionnaire, while secondary data were obtained from updated patient files and laboratory reports. Before full implementation, the questionnaire was pretested on a sample of 10 patients who met the inclusion criteria but were not included in the final study, ensuring clarity, relevance, and reliability of the instrument. The collected data were organized by variable, tabulated, and analyzed using SPSS version 23. Descriptive statistics such as frequencies and percentages were applied, and comparisons were made using Student’s t-test where appropriate. </w:t>
      </w:r>
    </w:p>
    <w:p w:rsidR="00765883" w:rsidRPr="005F5B23" w:rsidRDefault="00765883" w:rsidP="00765883">
      <w:pPr>
        <w:spacing w:before="100" w:beforeAutospacing="1" w:after="100" w:afterAutospacing="1" w:line="360" w:lineRule="auto"/>
        <w:jc w:val="both"/>
        <w:rPr>
          <w:rFonts w:ascii="Arial" w:eastAsia="Times New Roman" w:hAnsi="Arial" w:cs="Arial"/>
          <w:sz w:val="24"/>
          <w:szCs w:val="24"/>
        </w:rPr>
      </w:pPr>
      <w:r w:rsidRPr="005F5B23">
        <w:rPr>
          <w:rFonts w:ascii="Arial" w:eastAsia="Times New Roman" w:hAnsi="Arial" w:cs="Arial"/>
          <w:sz w:val="24"/>
          <w:szCs w:val="24"/>
        </w:rPr>
        <w:t>The study adhered to ethical standards set forth by the State University of Zanzibar (SUZA) and received approval from the Zanzibar Health Research Ethics Committee (ZAHREC). All participants provided informed consent after being fully briefed on the study’s purpose, procedures, and potential risks and benefits. Participation was entirely voluntary, and patients were assured they could withdraw at any time without repercussions. Confidentiality and privacy were strictly maintained, with personal identifiers omitted and all data securely stored for research purposes only. This study conformed to the ethical principles of the Declaration of Helsinki and applicable local regulations regarding research involving human subjects.</w:t>
      </w:r>
    </w:p>
    <w:p w:rsidR="00765883" w:rsidRPr="005F5B23" w:rsidRDefault="00765883" w:rsidP="00765883">
      <w:pPr>
        <w:pStyle w:val="Heading1"/>
        <w:spacing w:line="360" w:lineRule="auto"/>
        <w:jc w:val="both"/>
        <w:rPr>
          <w:rFonts w:ascii="Arial" w:hAnsi="Arial" w:cs="Arial"/>
          <w:b/>
          <w:sz w:val="24"/>
          <w:szCs w:val="24"/>
        </w:rPr>
      </w:pPr>
    </w:p>
    <w:p w:rsidR="00765883" w:rsidRPr="005F5B23" w:rsidRDefault="00765883" w:rsidP="00765883">
      <w:pPr>
        <w:spacing w:line="360" w:lineRule="auto"/>
        <w:jc w:val="both"/>
        <w:rPr>
          <w:rFonts w:ascii="Arial" w:hAnsi="Arial" w:cs="Arial"/>
          <w:b/>
          <w:sz w:val="24"/>
          <w:szCs w:val="24"/>
        </w:rPr>
      </w:pPr>
      <w:r w:rsidRPr="005F5B23">
        <w:rPr>
          <w:rFonts w:ascii="Arial" w:hAnsi="Arial" w:cs="Arial"/>
          <w:b/>
          <w:sz w:val="24"/>
          <w:szCs w:val="24"/>
        </w:rPr>
        <w:t>Results</w:t>
      </w:r>
    </w:p>
    <w:p w:rsidR="00765883" w:rsidRPr="005F5B23" w:rsidRDefault="00765883" w:rsidP="00765883">
      <w:pPr>
        <w:pStyle w:val="Heading2"/>
        <w:spacing w:line="360" w:lineRule="auto"/>
        <w:jc w:val="both"/>
        <w:rPr>
          <w:rFonts w:ascii="Arial" w:hAnsi="Arial" w:cs="Arial"/>
          <w:b/>
          <w:color w:val="000000" w:themeColor="text1"/>
          <w:sz w:val="24"/>
          <w:szCs w:val="24"/>
          <w:lang w:val="en-GB"/>
        </w:rPr>
      </w:pPr>
      <w:bookmarkStart w:id="3" w:name="_Toc202934398"/>
      <w:r w:rsidRPr="005F5B23">
        <w:rPr>
          <w:rFonts w:ascii="Arial" w:hAnsi="Arial" w:cs="Arial"/>
          <w:b/>
          <w:color w:val="000000" w:themeColor="text1"/>
          <w:sz w:val="24"/>
          <w:szCs w:val="24"/>
          <w:lang w:val="en-GB"/>
        </w:rPr>
        <w:t>Sociodemographic characteristics of the respondents</w:t>
      </w:r>
      <w:bookmarkEnd w:id="3"/>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About 180 respondents were enrolled in this study, of whom more than half </w:t>
      </w:r>
      <w:r>
        <w:rPr>
          <w:rFonts w:ascii="Arial" w:hAnsi="Arial" w:cs="Arial"/>
          <w:sz w:val="24"/>
          <w:szCs w:val="24"/>
        </w:rPr>
        <w:t xml:space="preserve">(107, 57.2%) were female and 73 (42.8%) were male, which could indicate gender-related differences in healthcare-seeking </w:t>
      </w:r>
      <w:proofErr w:type="spellStart"/>
      <w:r>
        <w:rPr>
          <w:rFonts w:ascii="Arial" w:hAnsi="Arial" w:cs="Arial"/>
          <w:sz w:val="24"/>
          <w:szCs w:val="24"/>
        </w:rPr>
        <w:t>behaviour</w:t>
      </w:r>
      <w:proofErr w:type="spellEnd"/>
      <w:r w:rsidRPr="005F5B23">
        <w:rPr>
          <w:rFonts w:ascii="Arial" w:hAnsi="Arial" w:cs="Arial"/>
          <w:sz w:val="24"/>
          <w:szCs w:val="24"/>
        </w:rPr>
        <w:t>, disease presentation, or social factors influencing diagnosis and treatment.</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lastRenderedPageBreak/>
        <w:t>More than half of the respondents, 107 (59.4%)</w:t>
      </w:r>
      <w:r w:rsidR="00B0158B">
        <w:rPr>
          <w:rFonts w:ascii="Arial" w:hAnsi="Arial" w:cs="Arial"/>
          <w:sz w:val="24"/>
          <w:szCs w:val="24"/>
        </w:rPr>
        <w:t>,</w:t>
      </w:r>
      <w:r w:rsidRPr="005F5B23">
        <w:rPr>
          <w:rFonts w:ascii="Arial" w:hAnsi="Arial" w:cs="Arial"/>
          <w:sz w:val="24"/>
          <w:szCs w:val="24"/>
        </w:rPr>
        <w:t xml:space="preserve"> </w:t>
      </w:r>
      <w:r w:rsidRPr="005F5B23">
        <w:rPr>
          <w:rFonts w:ascii="Arial" w:hAnsi="Arial" w:cs="Arial"/>
          <w:bCs/>
          <w:sz w:val="24"/>
          <w:szCs w:val="24"/>
        </w:rPr>
        <w:t>were pediatric population aged 1</w:t>
      </w:r>
      <w:r w:rsidRPr="005F5B23">
        <w:rPr>
          <w:rFonts w:ascii="Arial" w:hAnsi="Arial" w:cs="Arial"/>
          <w:b/>
          <w:bCs/>
          <w:sz w:val="24"/>
          <w:szCs w:val="24"/>
        </w:rPr>
        <w:t>-</w:t>
      </w:r>
      <w:r w:rsidRPr="005F5B23">
        <w:rPr>
          <w:rFonts w:ascii="Arial" w:hAnsi="Arial" w:cs="Arial"/>
          <w:bCs/>
          <w:sz w:val="24"/>
          <w:szCs w:val="24"/>
        </w:rPr>
        <w:t>12 years</w:t>
      </w:r>
      <w:r w:rsidRPr="005F5B23">
        <w:rPr>
          <w:rFonts w:ascii="Arial" w:hAnsi="Arial" w:cs="Arial"/>
          <w:sz w:val="24"/>
          <w:szCs w:val="24"/>
        </w:rPr>
        <w:t xml:space="preserve">, suggesting early detection of SCD and frequent pediatric consultations. </w:t>
      </w:r>
      <w:r>
        <w:rPr>
          <w:rFonts w:ascii="Arial" w:hAnsi="Arial" w:cs="Arial"/>
          <w:sz w:val="24"/>
          <w:szCs w:val="24"/>
        </w:rPr>
        <w:t>Nearly half of the respondents, 73 (40.6%), were aged more than 13 years and</w:t>
      </w:r>
      <w:r w:rsidRPr="005F5B23">
        <w:rPr>
          <w:rFonts w:ascii="Arial" w:hAnsi="Arial" w:cs="Arial"/>
          <w:sz w:val="24"/>
          <w:szCs w:val="24"/>
        </w:rPr>
        <w:t xml:space="preserve"> are still present in significant numbers, reinforcing the need for </w:t>
      </w:r>
      <w:r w:rsidRPr="005F5B23">
        <w:rPr>
          <w:rFonts w:ascii="Arial" w:hAnsi="Arial" w:cs="Arial"/>
          <w:bCs/>
          <w:sz w:val="24"/>
          <w:szCs w:val="24"/>
        </w:rPr>
        <w:t>ongoing adolescent and adult SCD care</w:t>
      </w:r>
      <w:r w:rsidRPr="005F5B23">
        <w:rPr>
          <w:rFonts w:ascii="Arial" w:hAnsi="Arial" w:cs="Arial"/>
          <w:sz w:val="24"/>
          <w:szCs w:val="24"/>
        </w:rPr>
        <w:t>.</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More than half of the respondents were students 125, 69.5%), highlighting the young age of the population. </w:t>
      </w:r>
      <w:r>
        <w:rPr>
          <w:rFonts w:ascii="Arial" w:hAnsi="Arial" w:cs="Arial"/>
          <w:sz w:val="24"/>
          <w:szCs w:val="24"/>
        </w:rPr>
        <w:t>Employment was</w:t>
      </w:r>
      <w:r w:rsidRPr="005F5B23">
        <w:rPr>
          <w:rFonts w:ascii="Arial" w:hAnsi="Arial" w:cs="Arial"/>
          <w:sz w:val="24"/>
          <w:szCs w:val="24"/>
        </w:rPr>
        <w:t xml:space="preserve"> low</w:t>
      </w:r>
      <w:r>
        <w:rPr>
          <w:rFonts w:ascii="Arial" w:hAnsi="Arial" w:cs="Arial"/>
          <w:sz w:val="24"/>
          <w:szCs w:val="24"/>
        </w:rPr>
        <w:t>, 13 (7.2%), and nearly a quarter of respondents, 42 (23.3%), reported</w:t>
      </w:r>
      <w:r w:rsidRPr="005F5B23">
        <w:rPr>
          <w:rFonts w:ascii="Arial" w:hAnsi="Arial" w:cs="Arial"/>
          <w:sz w:val="24"/>
          <w:szCs w:val="24"/>
        </w:rPr>
        <w:t xml:space="preserve"> no formal employment.</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Nearly half of the respondents had only primary education 84, 46.7%), while 50 (21.8%) have no formal education, which may impact health literacy, treatment adherence, and disease management strategies. Only 3.8% had </w:t>
      </w:r>
      <w:r>
        <w:rPr>
          <w:rFonts w:ascii="Arial" w:hAnsi="Arial" w:cs="Arial"/>
          <w:sz w:val="24"/>
          <w:szCs w:val="24"/>
        </w:rPr>
        <w:t xml:space="preserve">a </w:t>
      </w:r>
      <w:r w:rsidRPr="005F5B23">
        <w:rPr>
          <w:rFonts w:ascii="Arial" w:hAnsi="Arial" w:cs="Arial"/>
          <w:b/>
          <w:sz w:val="24"/>
          <w:szCs w:val="24"/>
        </w:rPr>
        <w:t>tertiary</w:t>
      </w:r>
      <w:r w:rsidRPr="005F5B23">
        <w:rPr>
          <w:rFonts w:ascii="Arial" w:hAnsi="Arial" w:cs="Arial"/>
          <w:sz w:val="24"/>
          <w:szCs w:val="24"/>
        </w:rPr>
        <w:t xml:space="preserve"> education, with the majority of respondents</w:t>
      </w:r>
      <w:r>
        <w:rPr>
          <w:rFonts w:ascii="Arial" w:hAnsi="Arial" w:cs="Arial"/>
          <w:sz w:val="24"/>
          <w:szCs w:val="24"/>
        </w:rPr>
        <w:t xml:space="preserve"> in this group being at the</w:t>
      </w:r>
      <w:r w:rsidRPr="005F5B23">
        <w:rPr>
          <w:rFonts w:ascii="Arial" w:hAnsi="Arial" w:cs="Arial"/>
          <w:sz w:val="24"/>
          <w:szCs w:val="24"/>
        </w:rPr>
        <w:t xml:space="preserve"> university.</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The highest patient representation comes from MWERA and MAGOGONI 11 (6.1% each), indicating potential geographical concentration of SCD cases.</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Table 1: </w:t>
      </w:r>
      <w:r w:rsidRPr="005F5B23">
        <w:rPr>
          <w:rFonts w:ascii="Arial" w:hAnsi="Arial" w:cs="Arial"/>
          <w:b/>
          <w:sz w:val="24"/>
          <w:szCs w:val="24"/>
        </w:rPr>
        <w:t xml:space="preserve">Socio-demographic characteristics of the sickle cell patients attending </w:t>
      </w:r>
      <w:proofErr w:type="spellStart"/>
      <w:r w:rsidRPr="005F5B23">
        <w:rPr>
          <w:rFonts w:ascii="Arial" w:hAnsi="Arial" w:cs="Arial"/>
          <w:b/>
          <w:sz w:val="24"/>
          <w:szCs w:val="24"/>
        </w:rPr>
        <w:t>hydroxyurea</w:t>
      </w:r>
      <w:proofErr w:type="spellEnd"/>
      <w:r w:rsidRPr="005F5B23">
        <w:rPr>
          <w:rFonts w:ascii="Arial" w:hAnsi="Arial" w:cs="Arial"/>
          <w:b/>
          <w:sz w:val="24"/>
          <w:szCs w:val="24"/>
        </w:rPr>
        <w:t xml:space="preserve"> treatment at </w:t>
      </w:r>
      <w:proofErr w:type="spellStart"/>
      <w:r w:rsidRPr="005F5B23">
        <w:rPr>
          <w:rFonts w:ascii="Arial" w:hAnsi="Arial" w:cs="Arial"/>
          <w:b/>
          <w:sz w:val="24"/>
          <w:szCs w:val="24"/>
        </w:rPr>
        <w:t>Jitimai</w:t>
      </w:r>
      <w:proofErr w:type="spellEnd"/>
      <w:r w:rsidRPr="005F5B23">
        <w:rPr>
          <w:rFonts w:ascii="Arial" w:hAnsi="Arial" w:cs="Arial"/>
          <w:b/>
          <w:sz w:val="24"/>
          <w:szCs w:val="24"/>
        </w:rPr>
        <w:t xml:space="preserve"> Hospital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5"/>
        <w:gridCol w:w="1620"/>
        <w:gridCol w:w="1530"/>
        <w:gridCol w:w="1440"/>
      </w:tblGrid>
      <w:tr w:rsidR="00765883" w:rsidRPr="005F5B23" w:rsidTr="00B7333C">
        <w:trPr>
          <w:tblHeader/>
          <w:tblCellSpacing w:w="15" w:type="dxa"/>
        </w:trPr>
        <w:tc>
          <w:tcPr>
            <w:tcW w:w="2650" w:type="dxa"/>
            <w:vAlign w:val="center"/>
            <w:hideMark/>
          </w:tcPr>
          <w:p w:rsidR="00765883" w:rsidRPr="005F5B23" w:rsidRDefault="00765883" w:rsidP="00B7333C">
            <w:pPr>
              <w:spacing w:line="360" w:lineRule="auto"/>
              <w:jc w:val="both"/>
              <w:rPr>
                <w:rFonts w:ascii="Arial" w:hAnsi="Arial" w:cs="Arial"/>
                <w:b/>
                <w:bCs/>
                <w:sz w:val="24"/>
                <w:szCs w:val="24"/>
              </w:rPr>
            </w:pPr>
            <w:r w:rsidRPr="005F5B23">
              <w:rPr>
                <w:rStyle w:val="Strong"/>
                <w:rFonts w:ascii="Arial" w:hAnsi="Arial" w:cs="Arial"/>
                <w:sz w:val="24"/>
                <w:szCs w:val="24"/>
              </w:rPr>
              <w:t>Item</w:t>
            </w:r>
          </w:p>
        </w:tc>
        <w:tc>
          <w:tcPr>
            <w:tcW w:w="1590" w:type="dxa"/>
            <w:vAlign w:val="center"/>
            <w:hideMark/>
          </w:tcPr>
          <w:p w:rsidR="00765883" w:rsidRPr="005F5B23" w:rsidRDefault="00765883" w:rsidP="00B7333C">
            <w:pPr>
              <w:spacing w:line="360" w:lineRule="auto"/>
              <w:jc w:val="both"/>
              <w:rPr>
                <w:rFonts w:ascii="Arial" w:hAnsi="Arial" w:cs="Arial"/>
                <w:b/>
                <w:bCs/>
                <w:sz w:val="24"/>
                <w:szCs w:val="24"/>
              </w:rPr>
            </w:pPr>
            <w:r w:rsidRPr="005F5B23">
              <w:rPr>
                <w:rStyle w:val="Strong"/>
                <w:rFonts w:ascii="Arial" w:hAnsi="Arial" w:cs="Arial"/>
                <w:sz w:val="24"/>
                <w:szCs w:val="24"/>
              </w:rPr>
              <w:t>Category</w:t>
            </w:r>
          </w:p>
        </w:tc>
        <w:tc>
          <w:tcPr>
            <w:tcW w:w="1500" w:type="dxa"/>
            <w:vAlign w:val="center"/>
            <w:hideMark/>
          </w:tcPr>
          <w:p w:rsidR="00765883" w:rsidRPr="005F5B23" w:rsidRDefault="00765883" w:rsidP="00B7333C">
            <w:pPr>
              <w:spacing w:line="360" w:lineRule="auto"/>
              <w:jc w:val="both"/>
              <w:rPr>
                <w:rFonts w:ascii="Arial" w:hAnsi="Arial" w:cs="Arial"/>
                <w:b/>
                <w:bCs/>
                <w:sz w:val="24"/>
                <w:szCs w:val="24"/>
              </w:rPr>
            </w:pPr>
            <w:r w:rsidRPr="005F5B23">
              <w:rPr>
                <w:rStyle w:val="Strong"/>
                <w:rFonts w:ascii="Arial" w:hAnsi="Arial" w:cs="Arial"/>
                <w:sz w:val="24"/>
                <w:szCs w:val="24"/>
              </w:rPr>
              <w:t>Frequency (n)</w:t>
            </w:r>
          </w:p>
        </w:tc>
        <w:tc>
          <w:tcPr>
            <w:tcW w:w="1395" w:type="dxa"/>
            <w:vAlign w:val="center"/>
            <w:hideMark/>
          </w:tcPr>
          <w:p w:rsidR="00765883" w:rsidRPr="005F5B23" w:rsidRDefault="00765883" w:rsidP="00B7333C">
            <w:pPr>
              <w:spacing w:line="360" w:lineRule="auto"/>
              <w:jc w:val="both"/>
              <w:rPr>
                <w:rFonts w:ascii="Arial" w:hAnsi="Arial" w:cs="Arial"/>
                <w:b/>
                <w:bCs/>
                <w:sz w:val="24"/>
                <w:szCs w:val="24"/>
              </w:rPr>
            </w:pPr>
            <w:r w:rsidRPr="005F5B23">
              <w:rPr>
                <w:rStyle w:val="Strong"/>
                <w:rFonts w:ascii="Arial" w:hAnsi="Arial" w:cs="Arial"/>
                <w:sz w:val="24"/>
                <w:szCs w:val="24"/>
              </w:rPr>
              <w:t>Percentage (%)</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r w:rsidRPr="005F5B23">
              <w:rPr>
                <w:rStyle w:val="Strong"/>
                <w:rFonts w:ascii="Arial" w:hAnsi="Arial" w:cs="Arial"/>
                <w:sz w:val="24"/>
                <w:szCs w:val="24"/>
              </w:rPr>
              <w:t>Gender</w:t>
            </w: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Female</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103</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57.2</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Male</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77</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42.8</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r w:rsidRPr="005F5B23">
              <w:rPr>
                <w:rStyle w:val="Strong"/>
                <w:rFonts w:ascii="Arial" w:hAnsi="Arial" w:cs="Arial"/>
                <w:sz w:val="24"/>
                <w:szCs w:val="24"/>
              </w:rPr>
              <w:t>Education Level</w:t>
            </w: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Primary</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84</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46.7</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Secondary</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50</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27.7</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Tertiary</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3.8</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 Education</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39</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21.8</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r w:rsidRPr="005F5B23">
              <w:rPr>
                <w:rStyle w:val="Strong"/>
                <w:rFonts w:ascii="Arial" w:hAnsi="Arial" w:cs="Arial"/>
                <w:sz w:val="24"/>
                <w:szCs w:val="24"/>
              </w:rPr>
              <w:t>Age Group</w:t>
            </w: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1–12</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107</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59.4</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&gt;12</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73</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40.6</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r w:rsidRPr="005F5B23">
              <w:rPr>
                <w:rStyle w:val="Strong"/>
                <w:rFonts w:ascii="Arial" w:hAnsi="Arial" w:cs="Arial"/>
                <w:sz w:val="24"/>
                <w:szCs w:val="24"/>
              </w:rPr>
              <w:t>Employment Status</w:t>
            </w: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Student</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125</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69.5</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Employed</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13</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7.2</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Not Employed</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42</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23.3</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r w:rsidRPr="005F5B23">
              <w:rPr>
                <w:rStyle w:val="Strong"/>
                <w:rFonts w:ascii="Arial" w:hAnsi="Arial" w:cs="Arial"/>
                <w:sz w:val="24"/>
                <w:szCs w:val="24"/>
              </w:rPr>
              <w:t>Residence</w:t>
            </w:r>
          </w:p>
        </w:tc>
        <w:tc>
          <w:tcPr>
            <w:tcW w:w="1590" w:type="dxa"/>
            <w:vAlign w:val="center"/>
            <w:hideMark/>
          </w:tcPr>
          <w:p w:rsidR="00765883" w:rsidRPr="005F5B23" w:rsidRDefault="00765883" w:rsidP="00B7333C">
            <w:pPr>
              <w:spacing w:line="360" w:lineRule="auto"/>
              <w:jc w:val="both"/>
              <w:rPr>
                <w:rFonts w:ascii="Arial" w:hAnsi="Arial" w:cs="Arial"/>
                <w:sz w:val="24"/>
                <w:szCs w:val="24"/>
              </w:rPr>
            </w:pPr>
            <w:proofErr w:type="spellStart"/>
            <w:r w:rsidRPr="005F5B23">
              <w:rPr>
                <w:rFonts w:ascii="Arial" w:hAnsi="Arial" w:cs="Arial"/>
                <w:sz w:val="24"/>
                <w:szCs w:val="24"/>
              </w:rPr>
              <w:t>Mwera</w:t>
            </w:r>
            <w:proofErr w:type="spellEnd"/>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11</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6.1</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proofErr w:type="spellStart"/>
            <w:r w:rsidRPr="005F5B23">
              <w:rPr>
                <w:rFonts w:ascii="Arial" w:hAnsi="Arial" w:cs="Arial"/>
                <w:sz w:val="24"/>
                <w:szCs w:val="24"/>
              </w:rPr>
              <w:t>Magogoni</w:t>
            </w:r>
            <w:proofErr w:type="spellEnd"/>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11</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6.1</w:t>
            </w:r>
          </w:p>
        </w:tc>
      </w:tr>
    </w:tbl>
    <w:p w:rsidR="00765883" w:rsidRPr="005F5B23" w:rsidRDefault="00765883" w:rsidP="00765883">
      <w:pPr>
        <w:spacing w:line="360" w:lineRule="auto"/>
        <w:jc w:val="both"/>
        <w:rPr>
          <w:rFonts w:ascii="Arial" w:hAnsi="Arial" w:cs="Arial"/>
          <w:sz w:val="24"/>
          <w:szCs w:val="24"/>
          <w:lang w:val="en-GB"/>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pStyle w:val="Heading2"/>
        <w:spacing w:line="360" w:lineRule="auto"/>
        <w:jc w:val="both"/>
        <w:rPr>
          <w:rFonts w:ascii="Arial" w:hAnsi="Arial" w:cs="Arial"/>
          <w:b/>
          <w:color w:val="000000" w:themeColor="text1"/>
          <w:sz w:val="24"/>
          <w:szCs w:val="24"/>
        </w:rPr>
      </w:pPr>
      <w:bookmarkStart w:id="4" w:name="_Toc202934399"/>
      <w:r w:rsidRPr="005F5B23">
        <w:rPr>
          <w:rFonts w:ascii="Arial" w:hAnsi="Arial" w:cs="Arial"/>
          <w:b/>
          <w:color w:val="000000" w:themeColor="text1"/>
          <w:sz w:val="24"/>
          <w:szCs w:val="24"/>
        </w:rPr>
        <w:t>Table 2</w:t>
      </w:r>
      <w:r>
        <w:rPr>
          <w:rFonts w:ascii="Arial" w:hAnsi="Arial" w:cs="Arial"/>
          <w:b/>
          <w:color w:val="000000" w:themeColor="text1"/>
          <w:sz w:val="24"/>
          <w:szCs w:val="24"/>
        </w:rPr>
        <w:t>:</w:t>
      </w:r>
      <w:r w:rsidRPr="005F5B23">
        <w:rPr>
          <w:rFonts w:ascii="Arial" w:hAnsi="Arial" w:cs="Arial"/>
          <w:b/>
          <w:color w:val="000000" w:themeColor="text1"/>
          <w:sz w:val="24"/>
          <w:szCs w:val="24"/>
        </w:rPr>
        <w:t xml:space="preserve"> Clinical response of </w:t>
      </w:r>
      <w:proofErr w:type="spellStart"/>
      <w:r w:rsidRPr="005F5B23">
        <w:rPr>
          <w:rFonts w:ascii="Arial" w:hAnsi="Arial" w:cs="Arial"/>
          <w:b/>
          <w:color w:val="000000" w:themeColor="text1"/>
          <w:sz w:val="24"/>
          <w:szCs w:val="24"/>
        </w:rPr>
        <w:t>Hydroxyurea</w:t>
      </w:r>
      <w:proofErr w:type="spellEnd"/>
      <w:r w:rsidRPr="005F5B23">
        <w:rPr>
          <w:rFonts w:ascii="Arial" w:hAnsi="Arial" w:cs="Arial"/>
          <w:b/>
          <w:color w:val="000000" w:themeColor="text1"/>
          <w:sz w:val="24"/>
          <w:szCs w:val="24"/>
        </w:rPr>
        <w:t xml:space="preserve"> treatment in SCD </w:t>
      </w:r>
      <w:r>
        <w:rPr>
          <w:rFonts w:ascii="Arial" w:hAnsi="Arial" w:cs="Arial"/>
          <w:b/>
          <w:color w:val="000000" w:themeColor="text1"/>
          <w:sz w:val="24"/>
          <w:szCs w:val="24"/>
        </w:rPr>
        <w:t>patients</w:t>
      </w:r>
      <w:r w:rsidRPr="005F5B23">
        <w:rPr>
          <w:rFonts w:ascii="Arial" w:hAnsi="Arial" w:cs="Arial"/>
          <w:b/>
          <w:color w:val="000000" w:themeColor="text1"/>
          <w:sz w:val="24"/>
          <w:szCs w:val="24"/>
        </w:rPr>
        <w:t xml:space="preserve"> attending </w:t>
      </w:r>
      <w:r>
        <w:rPr>
          <w:rFonts w:ascii="Arial" w:hAnsi="Arial" w:cs="Arial"/>
          <w:b/>
          <w:color w:val="000000" w:themeColor="text1"/>
          <w:sz w:val="24"/>
          <w:szCs w:val="24"/>
        </w:rPr>
        <w:t xml:space="preserve">the </w:t>
      </w:r>
      <w:proofErr w:type="spellStart"/>
      <w:r>
        <w:rPr>
          <w:rFonts w:ascii="Arial" w:hAnsi="Arial" w:cs="Arial"/>
          <w:b/>
          <w:color w:val="000000" w:themeColor="text1"/>
          <w:sz w:val="24"/>
          <w:szCs w:val="24"/>
        </w:rPr>
        <w:t>haematology</w:t>
      </w:r>
      <w:proofErr w:type="spellEnd"/>
      <w:r w:rsidRPr="005F5B23">
        <w:rPr>
          <w:rFonts w:ascii="Arial" w:hAnsi="Arial" w:cs="Arial"/>
          <w:b/>
          <w:color w:val="000000" w:themeColor="text1"/>
          <w:sz w:val="24"/>
          <w:szCs w:val="24"/>
        </w:rPr>
        <w:t xml:space="preserve"> clinic at </w:t>
      </w:r>
      <w:proofErr w:type="spellStart"/>
      <w:r w:rsidRPr="005F5B23">
        <w:rPr>
          <w:rFonts w:ascii="Arial" w:hAnsi="Arial" w:cs="Arial"/>
          <w:b/>
          <w:color w:val="000000" w:themeColor="text1"/>
          <w:sz w:val="24"/>
          <w:szCs w:val="24"/>
        </w:rPr>
        <w:t>Jitimai</w:t>
      </w:r>
      <w:proofErr w:type="spellEnd"/>
      <w:r w:rsidRPr="005F5B23">
        <w:rPr>
          <w:rFonts w:ascii="Arial" w:hAnsi="Arial" w:cs="Arial"/>
          <w:b/>
          <w:color w:val="000000" w:themeColor="text1"/>
          <w:sz w:val="24"/>
          <w:szCs w:val="24"/>
        </w:rPr>
        <w:t xml:space="preserve"> District Hospital</w:t>
      </w:r>
      <w:bookmarkEnd w:id="4"/>
      <w:r w:rsidRPr="005F5B23">
        <w:rPr>
          <w:rFonts w:ascii="Arial" w:hAnsi="Arial" w:cs="Arial"/>
          <w:b/>
          <w:color w:val="000000" w:themeColor="text1"/>
          <w:sz w:val="24"/>
          <w:szCs w:val="24"/>
        </w:rPr>
        <w:t xml:space="preserve"> </w:t>
      </w:r>
    </w:p>
    <w:p w:rsidR="00765883" w:rsidRPr="005F5B23" w:rsidRDefault="00765883" w:rsidP="00765883">
      <w:pPr>
        <w:tabs>
          <w:tab w:val="left" w:pos="960"/>
        </w:tabs>
        <w:spacing w:line="360" w:lineRule="auto"/>
        <w:jc w:val="both"/>
        <w:rPr>
          <w:rFonts w:ascii="Arial" w:hAnsi="Arial" w:cs="Arial"/>
          <w:sz w:val="24"/>
          <w:szCs w:val="24"/>
        </w:rPr>
      </w:pPr>
      <w:r w:rsidRPr="005F5B23">
        <w:rPr>
          <w:rFonts w:ascii="Arial" w:hAnsi="Arial" w:cs="Arial"/>
          <w:sz w:val="24"/>
          <w:szCs w:val="24"/>
        </w:rPr>
        <w:tab/>
      </w:r>
    </w:p>
    <w:tbl>
      <w:tblPr>
        <w:tblStyle w:val="TableGridLight1"/>
        <w:tblW w:w="1107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1440"/>
        <w:gridCol w:w="1350"/>
        <w:gridCol w:w="90"/>
        <w:gridCol w:w="1710"/>
        <w:gridCol w:w="1350"/>
        <w:gridCol w:w="900"/>
        <w:gridCol w:w="1260"/>
      </w:tblGrid>
      <w:tr w:rsidR="00765883" w:rsidRPr="005F5B23" w:rsidTr="00B7333C">
        <w:trPr>
          <w:trHeight w:val="1700"/>
        </w:trPr>
        <w:tc>
          <w:tcPr>
            <w:tcW w:w="2970" w:type="dxa"/>
            <w:gridSpan w:val="2"/>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PARAMETER</w:t>
            </w:r>
          </w:p>
        </w:tc>
        <w:tc>
          <w:tcPr>
            <w:tcW w:w="144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Frequency</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(Percentage) before treatment</w:t>
            </w:r>
          </w:p>
        </w:tc>
        <w:tc>
          <w:tcPr>
            <w:tcW w:w="135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Pre-treatment(Mean ± SD)</w:t>
            </w:r>
          </w:p>
        </w:tc>
        <w:tc>
          <w:tcPr>
            <w:tcW w:w="1800" w:type="dxa"/>
            <w:gridSpan w:val="2"/>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Frequency</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(Percentage)</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after treatment</w:t>
            </w:r>
          </w:p>
        </w:tc>
        <w:tc>
          <w:tcPr>
            <w:tcW w:w="135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Post-treatment(Mean ± SD)</w:t>
            </w:r>
          </w:p>
        </w:tc>
        <w:tc>
          <w:tcPr>
            <w:tcW w:w="90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t-test</w:t>
            </w:r>
          </w:p>
        </w:tc>
        <w:tc>
          <w:tcPr>
            <w:tcW w:w="126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p-value</w:t>
            </w:r>
          </w:p>
        </w:tc>
      </w:tr>
      <w:tr w:rsidR="00765883" w:rsidRPr="005F5B23" w:rsidTr="00B7333C">
        <w:trPr>
          <w:trHeight w:val="1070"/>
        </w:trPr>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lastRenderedPageBreak/>
              <w:t>Painful crises in a year</w:t>
            </w:r>
          </w:p>
          <w:p w:rsidR="00765883" w:rsidRPr="005F5B23" w:rsidRDefault="00765883" w:rsidP="00B7333C">
            <w:pPr>
              <w:spacing w:line="360" w:lineRule="auto"/>
              <w:jc w:val="both"/>
              <w:rPr>
                <w:rFonts w:ascii="Arial" w:hAnsi="Arial" w:cs="Arial"/>
                <w:sz w:val="24"/>
                <w:szCs w:val="24"/>
              </w:rPr>
            </w:pPr>
          </w:p>
        </w:tc>
        <w:tc>
          <w:tcPr>
            <w:tcW w:w="162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More than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 to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 to 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w:t>
            </w: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155 (86.1%)</w:t>
            </w:r>
          </w:p>
          <w:p w:rsidR="00765883" w:rsidRPr="005F5B23" w:rsidRDefault="00765883" w:rsidP="00B7333C">
            <w:pPr>
              <w:spacing w:line="360" w:lineRule="auto"/>
              <w:jc w:val="both"/>
              <w:rPr>
                <w:rFonts w:ascii="Arial" w:hAnsi="Arial" w:cs="Arial"/>
                <w:sz w:val="24"/>
                <w:szCs w:val="24"/>
              </w:rPr>
            </w:pPr>
            <w:proofErr w:type="gramStart"/>
            <w:r w:rsidRPr="005F5B23">
              <w:rPr>
                <w:rFonts w:ascii="Arial" w:hAnsi="Arial" w:cs="Arial"/>
                <w:sz w:val="24"/>
                <w:szCs w:val="24"/>
              </w:rPr>
              <w:t>22  (</w:t>
            </w:r>
            <w:proofErr w:type="gramEnd"/>
            <w:r w:rsidRPr="005F5B23">
              <w:rPr>
                <w:rFonts w:ascii="Arial" w:hAnsi="Arial" w:cs="Arial"/>
                <w:sz w:val="24"/>
                <w:szCs w:val="24"/>
              </w:rPr>
              <w:t>12.2%)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3   </w:t>
            </w:r>
            <w:proofErr w:type="gramStart"/>
            <w:r w:rsidRPr="005F5B23">
              <w:rPr>
                <w:rFonts w:ascii="Arial" w:hAnsi="Arial" w:cs="Arial"/>
                <w:sz w:val="24"/>
                <w:szCs w:val="24"/>
              </w:rPr>
              <w:t xml:space="preserve">   (</w:t>
            </w:r>
            <w:proofErr w:type="gramEnd"/>
            <w:r w:rsidRPr="005F5B23">
              <w:rPr>
                <w:rFonts w:ascii="Arial" w:hAnsi="Arial" w:cs="Arial"/>
                <w:sz w:val="24"/>
                <w:szCs w:val="24"/>
              </w:rPr>
              <w:t>1.7%)</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    </w:t>
            </w: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3.83 ± 0.8</w:t>
            </w:r>
          </w:p>
        </w:tc>
        <w:tc>
          <w:tcPr>
            <w:tcW w:w="1800" w:type="dxa"/>
            <w:gridSpan w:val="2"/>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12 (6.7%)</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15 (8.8%)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78 (43.3%)</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75 (41.7%)</w:t>
            </w: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1.80 ± 0.9</w:t>
            </w:r>
          </w:p>
        </w:tc>
        <w:tc>
          <w:tcPr>
            <w:tcW w:w="90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28.25</w:t>
            </w:r>
          </w:p>
        </w:tc>
        <w:tc>
          <w:tcPr>
            <w:tcW w:w="126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&lt;0.001</w:t>
            </w:r>
          </w:p>
        </w:tc>
      </w:tr>
      <w:tr w:rsidR="00765883" w:rsidRPr="005F5B23" w:rsidTr="00B7333C">
        <w:trPr>
          <w:trHeight w:val="1142"/>
        </w:trPr>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Hospitalization in a year</w:t>
            </w:r>
          </w:p>
        </w:tc>
        <w:tc>
          <w:tcPr>
            <w:tcW w:w="162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More than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 to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 to 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w:t>
            </w:r>
          </w:p>
          <w:p w:rsidR="00765883" w:rsidRPr="005F5B23" w:rsidRDefault="00765883" w:rsidP="00B7333C">
            <w:pPr>
              <w:spacing w:line="360" w:lineRule="auto"/>
              <w:jc w:val="both"/>
              <w:rPr>
                <w:rFonts w:ascii="Arial" w:hAnsi="Arial" w:cs="Arial"/>
                <w:sz w:val="24"/>
                <w:szCs w:val="24"/>
              </w:rPr>
            </w:pP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67 (37.2%)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68(37.8%)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41 (22.8%)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   (2.2%)</w:t>
            </w:r>
          </w:p>
        </w:tc>
        <w:tc>
          <w:tcPr>
            <w:tcW w:w="1440" w:type="dxa"/>
            <w:gridSpan w:val="2"/>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3.09 ± 0.5</w:t>
            </w:r>
          </w:p>
        </w:tc>
        <w:tc>
          <w:tcPr>
            <w:tcW w:w="171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3   </w:t>
            </w:r>
            <w:proofErr w:type="gramStart"/>
            <w:r w:rsidRPr="005F5B23">
              <w:rPr>
                <w:rFonts w:ascii="Arial" w:hAnsi="Arial" w:cs="Arial"/>
                <w:sz w:val="24"/>
                <w:szCs w:val="24"/>
              </w:rPr>
              <w:t xml:space="preserve">   (</w:t>
            </w:r>
            <w:proofErr w:type="gramEnd"/>
            <w:r w:rsidRPr="005F5B23">
              <w:rPr>
                <w:rFonts w:ascii="Arial" w:hAnsi="Arial" w:cs="Arial"/>
                <w:sz w:val="24"/>
                <w:szCs w:val="24"/>
              </w:rPr>
              <w:t>1.7%)</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4    </w:t>
            </w:r>
            <w:proofErr w:type="gramStart"/>
            <w:r w:rsidRPr="005F5B23">
              <w:rPr>
                <w:rFonts w:ascii="Arial" w:hAnsi="Arial" w:cs="Arial"/>
                <w:sz w:val="24"/>
                <w:szCs w:val="24"/>
              </w:rPr>
              <w:t xml:space="preserve">   (</w:t>
            </w:r>
            <w:proofErr w:type="gramEnd"/>
            <w:r w:rsidRPr="005F5B23">
              <w:rPr>
                <w:rFonts w:ascii="Arial" w:hAnsi="Arial" w:cs="Arial"/>
                <w:sz w:val="24"/>
                <w:szCs w:val="24"/>
              </w:rPr>
              <w:t>2.2%)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28</w:t>
            </w:r>
            <w:proofErr w:type="gramStart"/>
            <w:r w:rsidRPr="005F5B23">
              <w:rPr>
                <w:rFonts w:ascii="Arial" w:hAnsi="Arial" w:cs="Arial"/>
                <w:sz w:val="24"/>
                <w:szCs w:val="24"/>
              </w:rPr>
              <w:t xml:space="preserve">   (</w:t>
            </w:r>
            <w:proofErr w:type="gramEnd"/>
            <w:r w:rsidRPr="005F5B23">
              <w:rPr>
                <w:rFonts w:ascii="Arial" w:hAnsi="Arial" w:cs="Arial"/>
                <w:sz w:val="24"/>
                <w:szCs w:val="24"/>
              </w:rPr>
              <w:t>15.5%)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145 (80.3%)</w:t>
            </w: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1.20 ± 0.5</w:t>
            </w:r>
          </w:p>
        </w:tc>
        <w:tc>
          <w:tcPr>
            <w:tcW w:w="90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35.07</w:t>
            </w:r>
          </w:p>
        </w:tc>
        <w:tc>
          <w:tcPr>
            <w:tcW w:w="126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&lt;0.001</w:t>
            </w:r>
          </w:p>
        </w:tc>
      </w:tr>
      <w:tr w:rsidR="00765883" w:rsidRPr="005F5B23" w:rsidTr="00B7333C">
        <w:trPr>
          <w:trHeight w:val="1142"/>
        </w:trPr>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Blood transfusion in a year</w:t>
            </w:r>
          </w:p>
        </w:tc>
        <w:tc>
          <w:tcPr>
            <w:tcW w:w="162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More than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 to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 to 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w:t>
            </w: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26 (14.4%)</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60 (33.3%)</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70 (39%)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24 (13.3%)</w:t>
            </w:r>
          </w:p>
          <w:p w:rsidR="00765883" w:rsidRPr="005F5B23" w:rsidRDefault="00765883" w:rsidP="00B7333C">
            <w:pPr>
              <w:spacing w:line="360" w:lineRule="auto"/>
              <w:jc w:val="both"/>
              <w:rPr>
                <w:rFonts w:ascii="Arial" w:hAnsi="Arial" w:cs="Arial"/>
                <w:sz w:val="24"/>
                <w:szCs w:val="24"/>
              </w:rPr>
            </w:pPr>
          </w:p>
        </w:tc>
        <w:tc>
          <w:tcPr>
            <w:tcW w:w="1440" w:type="dxa"/>
            <w:gridSpan w:val="2"/>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2.49 ± 0.9</w:t>
            </w:r>
          </w:p>
        </w:tc>
        <w:tc>
          <w:tcPr>
            <w:tcW w:w="171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 (1.1%)</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 (0.6%)</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18 (10%)</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159 (88.3%)</w:t>
            </w:r>
          </w:p>
          <w:p w:rsidR="00765883" w:rsidRPr="005F5B23" w:rsidRDefault="00765883" w:rsidP="00B7333C">
            <w:pPr>
              <w:spacing w:line="360" w:lineRule="auto"/>
              <w:jc w:val="both"/>
              <w:rPr>
                <w:rFonts w:ascii="Arial" w:hAnsi="Arial" w:cs="Arial"/>
                <w:sz w:val="24"/>
                <w:szCs w:val="24"/>
              </w:rPr>
            </w:pPr>
          </w:p>
          <w:p w:rsidR="00765883" w:rsidRPr="005F5B23" w:rsidRDefault="00765883" w:rsidP="00B7333C">
            <w:pPr>
              <w:spacing w:line="360" w:lineRule="auto"/>
              <w:jc w:val="both"/>
              <w:rPr>
                <w:rFonts w:ascii="Arial" w:hAnsi="Arial" w:cs="Arial"/>
                <w:sz w:val="24"/>
                <w:szCs w:val="24"/>
              </w:rPr>
            </w:pP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1.11 ± 0.3</w:t>
            </w:r>
          </w:p>
        </w:tc>
        <w:tc>
          <w:tcPr>
            <w:tcW w:w="90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44.4</w:t>
            </w:r>
          </w:p>
        </w:tc>
        <w:tc>
          <w:tcPr>
            <w:tcW w:w="126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&lt;0.001</w:t>
            </w:r>
          </w:p>
        </w:tc>
      </w:tr>
      <w:tr w:rsidR="00765883" w:rsidRPr="005F5B23" w:rsidTr="00B7333C">
        <w:trPr>
          <w:trHeight w:val="1745"/>
        </w:trPr>
        <w:tc>
          <w:tcPr>
            <w:tcW w:w="1350" w:type="dxa"/>
          </w:tcPr>
          <w:p w:rsidR="00765883" w:rsidRPr="005F5B23" w:rsidRDefault="00765883" w:rsidP="00B7333C">
            <w:pPr>
              <w:spacing w:line="360" w:lineRule="auto"/>
              <w:jc w:val="both"/>
              <w:rPr>
                <w:rFonts w:ascii="Arial" w:hAnsi="Arial" w:cs="Arial"/>
                <w:sz w:val="24"/>
                <w:szCs w:val="24"/>
              </w:rPr>
            </w:pPr>
            <w:r>
              <w:rPr>
                <w:rFonts w:ascii="Arial" w:hAnsi="Arial" w:cs="Arial"/>
                <w:sz w:val="24"/>
                <w:szCs w:val="24"/>
              </w:rPr>
              <w:t xml:space="preserve">Well-being sensation </w:t>
            </w:r>
            <w:r w:rsidRPr="005F5B23">
              <w:rPr>
                <w:rFonts w:ascii="Arial" w:hAnsi="Arial" w:cs="Arial"/>
                <w:sz w:val="24"/>
                <w:szCs w:val="24"/>
              </w:rPr>
              <w:t xml:space="preserve"> </w:t>
            </w:r>
          </w:p>
        </w:tc>
        <w:tc>
          <w:tcPr>
            <w:tcW w:w="162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Much better</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Better</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 change</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Bad</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Worse</w:t>
            </w:r>
          </w:p>
          <w:p w:rsidR="00765883" w:rsidRPr="005F5B23" w:rsidRDefault="00765883" w:rsidP="00B7333C">
            <w:pPr>
              <w:spacing w:line="360" w:lineRule="auto"/>
              <w:jc w:val="both"/>
              <w:rPr>
                <w:rFonts w:ascii="Arial" w:hAnsi="Arial" w:cs="Arial"/>
                <w:sz w:val="24"/>
                <w:szCs w:val="24"/>
              </w:rPr>
            </w:pP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15(8.5%)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45 (24.9%)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68 (37.9%)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42 (23.3%)</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9 (5%)</w:t>
            </w:r>
          </w:p>
          <w:p w:rsidR="00765883" w:rsidRPr="005F5B23" w:rsidRDefault="00765883" w:rsidP="00B7333C">
            <w:pPr>
              <w:spacing w:line="360" w:lineRule="auto"/>
              <w:jc w:val="both"/>
              <w:rPr>
                <w:rFonts w:ascii="Arial" w:hAnsi="Arial" w:cs="Arial"/>
                <w:sz w:val="24"/>
                <w:szCs w:val="24"/>
              </w:rPr>
            </w:pPr>
          </w:p>
          <w:p w:rsidR="00765883" w:rsidRPr="005F5B23" w:rsidRDefault="00765883" w:rsidP="00B7333C">
            <w:pPr>
              <w:spacing w:line="360" w:lineRule="auto"/>
              <w:jc w:val="both"/>
              <w:rPr>
                <w:rFonts w:ascii="Arial" w:hAnsi="Arial" w:cs="Arial"/>
                <w:sz w:val="24"/>
                <w:szCs w:val="24"/>
              </w:rPr>
            </w:pPr>
          </w:p>
        </w:tc>
        <w:tc>
          <w:tcPr>
            <w:tcW w:w="1440" w:type="dxa"/>
            <w:gridSpan w:val="2"/>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3.1 ± 1</w:t>
            </w:r>
          </w:p>
        </w:tc>
        <w:tc>
          <w:tcPr>
            <w:tcW w:w="171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106 (58.6%)</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54 </w:t>
            </w:r>
            <w:proofErr w:type="gramStart"/>
            <w:r w:rsidRPr="005F5B23">
              <w:rPr>
                <w:rFonts w:ascii="Arial" w:hAnsi="Arial" w:cs="Arial"/>
                <w:sz w:val="24"/>
                <w:szCs w:val="24"/>
              </w:rPr>
              <w:t xml:space="preserve">   (</w:t>
            </w:r>
            <w:proofErr w:type="gramEnd"/>
            <w:r w:rsidRPr="005F5B23">
              <w:rPr>
                <w:rFonts w:ascii="Arial" w:hAnsi="Arial" w:cs="Arial"/>
                <w:sz w:val="24"/>
                <w:szCs w:val="24"/>
              </w:rPr>
              <w:t>29.8%)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14 </w:t>
            </w:r>
            <w:proofErr w:type="gramStart"/>
            <w:r w:rsidRPr="005F5B23">
              <w:rPr>
                <w:rFonts w:ascii="Arial" w:hAnsi="Arial" w:cs="Arial"/>
                <w:sz w:val="24"/>
                <w:szCs w:val="24"/>
              </w:rPr>
              <w:t xml:space="preserve">   (</w:t>
            </w:r>
            <w:proofErr w:type="gramEnd"/>
            <w:r w:rsidRPr="005F5B23">
              <w:rPr>
                <w:rFonts w:ascii="Arial" w:hAnsi="Arial" w:cs="Arial"/>
                <w:sz w:val="24"/>
                <w:szCs w:val="24"/>
              </w:rPr>
              <w:t>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2    </w:t>
            </w:r>
            <w:proofErr w:type="gramStart"/>
            <w:r w:rsidRPr="005F5B23">
              <w:rPr>
                <w:rFonts w:ascii="Arial" w:hAnsi="Arial" w:cs="Arial"/>
                <w:sz w:val="24"/>
                <w:szCs w:val="24"/>
              </w:rPr>
              <w:t xml:space="preserve">   (</w:t>
            </w:r>
            <w:proofErr w:type="gramEnd"/>
            <w:r w:rsidRPr="005F5B23">
              <w:rPr>
                <w:rFonts w:ascii="Arial" w:hAnsi="Arial" w:cs="Arial"/>
                <w:sz w:val="24"/>
                <w:szCs w:val="24"/>
              </w:rPr>
              <w:t>1.1%)</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       (2.4%)</w:t>
            </w: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4.4 ±0.8</w:t>
            </w:r>
          </w:p>
        </w:tc>
        <w:tc>
          <w:tcPr>
            <w:tcW w:w="90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69.1</w:t>
            </w:r>
          </w:p>
        </w:tc>
        <w:tc>
          <w:tcPr>
            <w:tcW w:w="126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&lt;0.001</w:t>
            </w:r>
          </w:p>
        </w:tc>
      </w:tr>
    </w:tbl>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P-value &lt;0.05 (statistically significant)</w:t>
      </w:r>
    </w:p>
    <w:p w:rsidR="00765883" w:rsidRPr="003A5D20" w:rsidRDefault="00765883" w:rsidP="00765883">
      <w:pPr>
        <w:spacing w:before="100" w:beforeAutospacing="1" w:after="100" w:afterAutospacing="1" w:line="360" w:lineRule="auto"/>
        <w:ind w:left="432"/>
        <w:jc w:val="both"/>
        <w:rPr>
          <w:rFonts w:ascii="Arial" w:eastAsia="Times New Roman" w:hAnsi="Arial" w:cs="Arial"/>
          <w:sz w:val="24"/>
          <w:szCs w:val="24"/>
        </w:rPr>
      </w:pPr>
      <w:r w:rsidRPr="000B5AEF">
        <w:rPr>
          <w:rFonts w:ascii="Arial" w:eastAsia="Times New Roman" w:hAnsi="Arial" w:cs="Arial"/>
          <w:bCs/>
          <w:sz w:val="24"/>
          <w:szCs w:val="24"/>
        </w:rPr>
        <w:t>Painful Crises:</w:t>
      </w:r>
      <w:r w:rsidRPr="000B5AEF">
        <w:rPr>
          <w:rFonts w:ascii="Arial" w:eastAsia="Times New Roman" w:hAnsi="Arial" w:cs="Arial"/>
          <w:sz w:val="24"/>
          <w:szCs w:val="24"/>
        </w:rPr>
        <w:t xml:space="preserve"> </w:t>
      </w:r>
      <w:r>
        <w:rPr>
          <w:rFonts w:ascii="Arial" w:eastAsia="Times New Roman" w:hAnsi="Arial" w:cs="Arial"/>
          <w:sz w:val="24"/>
          <w:szCs w:val="24"/>
        </w:rPr>
        <w:t>Before</w:t>
      </w:r>
      <w:r w:rsidRPr="003A5D20">
        <w:rPr>
          <w:rFonts w:ascii="Arial" w:eastAsia="Times New Roman" w:hAnsi="Arial" w:cs="Arial"/>
          <w:sz w:val="24"/>
          <w:szCs w:val="24"/>
        </w:rPr>
        <w:t xml:space="preserve"> treatment, the majority of patients (86.1%) experienced </w:t>
      </w:r>
      <w:r w:rsidRPr="000B5AEF">
        <w:rPr>
          <w:rFonts w:ascii="Arial" w:eastAsia="Times New Roman" w:hAnsi="Arial" w:cs="Arial"/>
          <w:bCs/>
          <w:sz w:val="24"/>
          <w:szCs w:val="24"/>
        </w:rPr>
        <w:t>more than five painful crises per year</w:t>
      </w:r>
      <w:r w:rsidRPr="003A5D20">
        <w:rPr>
          <w:rFonts w:ascii="Arial" w:eastAsia="Times New Roman" w:hAnsi="Arial" w:cs="Arial"/>
          <w:sz w:val="24"/>
          <w:szCs w:val="24"/>
        </w:rPr>
        <w:t xml:space="preserve">, with a high mean frequency (3.83 ± 0.8). Following </w:t>
      </w:r>
      <w:proofErr w:type="spellStart"/>
      <w:r w:rsidRPr="003A5D20">
        <w:rPr>
          <w:rFonts w:ascii="Arial" w:eastAsia="Times New Roman" w:hAnsi="Arial" w:cs="Arial"/>
          <w:sz w:val="24"/>
          <w:szCs w:val="24"/>
        </w:rPr>
        <w:t>hydroxyurea</w:t>
      </w:r>
      <w:proofErr w:type="spellEnd"/>
      <w:r w:rsidRPr="003A5D20">
        <w:rPr>
          <w:rFonts w:ascii="Arial" w:eastAsia="Times New Roman" w:hAnsi="Arial" w:cs="Arial"/>
          <w:sz w:val="24"/>
          <w:szCs w:val="24"/>
        </w:rPr>
        <w:t xml:space="preserve"> therapy, only 6.7% continued to experience &gt;5 crises, and the majority (85%) reported ≤2 crises or none at all. The mean number of crises was reduced to </w:t>
      </w:r>
      <w:r w:rsidRPr="000B5AEF">
        <w:rPr>
          <w:rFonts w:ascii="Arial" w:eastAsia="Times New Roman" w:hAnsi="Arial" w:cs="Arial"/>
          <w:bCs/>
          <w:sz w:val="24"/>
          <w:szCs w:val="24"/>
        </w:rPr>
        <w:t>1.80 ± 0.9</w:t>
      </w:r>
      <w:r w:rsidRPr="003A5D20">
        <w:rPr>
          <w:rFonts w:ascii="Arial" w:eastAsia="Times New Roman" w:hAnsi="Arial" w:cs="Arial"/>
          <w:sz w:val="24"/>
          <w:szCs w:val="24"/>
        </w:rPr>
        <w:t xml:space="preserve">, a statistically and clinically significant change (t = 28.25, p &lt; 0.001). This </w:t>
      </w:r>
      <w:r w:rsidRPr="003A5D20">
        <w:rPr>
          <w:rFonts w:ascii="Arial" w:eastAsia="Times New Roman" w:hAnsi="Arial" w:cs="Arial"/>
          <w:sz w:val="24"/>
          <w:szCs w:val="24"/>
        </w:rPr>
        <w:lastRenderedPageBreak/>
        <w:t xml:space="preserve">strongly supports </w:t>
      </w:r>
      <w:proofErr w:type="spellStart"/>
      <w:r w:rsidRPr="003A5D20">
        <w:rPr>
          <w:rFonts w:ascii="Arial" w:eastAsia="Times New Roman" w:hAnsi="Arial" w:cs="Arial"/>
          <w:sz w:val="24"/>
          <w:szCs w:val="24"/>
        </w:rPr>
        <w:t>hydroxyurea’s</w:t>
      </w:r>
      <w:proofErr w:type="spellEnd"/>
      <w:r w:rsidRPr="003A5D20">
        <w:rPr>
          <w:rFonts w:ascii="Arial" w:eastAsia="Times New Roman" w:hAnsi="Arial" w:cs="Arial"/>
          <w:sz w:val="24"/>
          <w:szCs w:val="24"/>
        </w:rPr>
        <w:t xml:space="preserve"> well-documented role in reducing </w:t>
      </w:r>
      <w:proofErr w:type="spellStart"/>
      <w:r w:rsidRPr="003A5D20">
        <w:rPr>
          <w:rFonts w:ascii="Arial" w:eastAsia="Times New Roman" w:hAnsi="Arial" w:cs="Arial"/>
          <w:sz w:val="24"/>
          <w:szCs w:val="24"/>
        </w:rPr>
        <w:t>vaso</w:t>
      </w:r>
      <w:proofErr w:type="spellEnd"/>
      <w:r w:rsidRPr="003A5D20">
        <w:rPr>
          <w:rFonts w:ascii="Arial" w:eastAsia="Times New Roman" w:hAnsi="Arial" w:cs="Arial"/>
          <w:sz w:val="24"/>
          <w:szCs w:val="24"/>
        </w:rPr>
        <w:t>-occlusive episodes.</w:t>
      </w:r>
    </w:p>
    <w:p w:rsidR="00765883" w:rsidRPr="003A5D20" w:rsidRDefault="00765883" w:rsidP="00765883">
      <w:pPr>
        <w:spacing w:before="100" w:beforeAutospacing="1" w:after="100" w:afterAutospacing="1" w:line="360" w:lineRule="auto"/>
        <w:ind w:left="432"/>
        <w:jc w:val="both"/>
        <w:rPr>
          <w:rFonts w:ascii="Arial" w:eastAsia="Times New Roman" w:hAnsi="Arial" w:cs="Arial"/>
          <w:sz w:val="24"/>
          <w:szCs w:val="24"/>
        </w:rPr>
      </w:pPr>
      <w:r w:rsidRPr="000B5AEF">
        <w:rPr>
          <w:rFonts w:ascii="Arial" w:eastAsia="Times New Roman" w:hAnsi="Arial" w:cs="Arial"/>
          <w:bCs/>
          <w:sz w:val="24"/>
          <w:szCs w:val="24"/>
        </w:rPr>
        <w:t xml:space="preserve">Hospitalizations: </w:t>
      </w:r>
      <w:r w:rsidRPr="003A5D20">
        <w:rPr>
          <w:rFonts w:ascii="Arial" w:eastAsia="Times New Roman" w:hAnsi="Arial" w:cs="Arial"/>
          <w:sz w:val="24"/>
          <w:szCs w:val="24"/>
        </w:rPr>
        <w:t xml:space="preserve">There was a dramatic reduction in hospitalization rates. Before treatment, 75% of patients required at least three hospital admissions annually. After treatment, </w:t>
      </w:r>
      <w:r w:rsidRPr="000B5AEF">
        <w:rPr>
          <w:rFonts w:ascii="Arial" w:eastAsia="Times New Roman" w:hAnsi="Arial" w:cs="Arial"/>
          <w:bCs/>
          <w:sz w:val="24"/>
          <w:szCs w:val="24"/>
        </w:rPr>
        <w:t>80.3% of patients had no hospitalizations</w:t>
      </w:r>
      <w:r w:rsidRPr="003A5D20">
        <w:rPr>
          <w:rFonts w:ascii="Arial" w:eastAsia="Times New Roman" w:hAnsi="Arial" w:cs="Arial"/>
          <w:sz w:val="24"/>
          <w:szCs w:val="24"/>
        </w:rPr>
        <w:t xml:space="preserve">, with the mean frequency falling from 3.09 to </w:t>
      </w:r>
      <w:r w:rsidRPr="000B5AEF">
        <w:rPr>
          <w:rFonts w:ascii="Arial" w:eastAsia="Times New Roman" w:hAnsi="Arial" w:cs="Arial"/>
          <w:bCs/>
          <w:sz w:val="24"/>
          <w:szCs w:val="24"/>
        </w:rPr>
        <w:t>1.20 ± 0.5</w:t>
      </w:r>
      <w:r w:rsidRPr="003A5D20">
        <w:rPr>
          <w:rFonts w:ascii="Arial" w:eastAsia="Times New Roman" w:hAnsi="Arial" w:cs="Arial"/>
          <w:sz w:val="24"/>
          <w:szCs w:val="24"/>
        </w:rPr>
        <w:t>. This not only highlights the therapeutic efficacy but also suggests a substantial reduction in healthcare utilization and burden on the health system (t = 35.07, p &lt; 0.001).</w:t>
      </w:r>
    </w:p>
    <w:p w:rsidR="00765883" w:rsidRPr="000B5AEF" w:rsidRDefault="00765883" w:rsidP="00765883">
      <w:pPr>
        <w:spacing w:before="100" w:beforeAutospacing="1" w:after="100" w:afterAutospacing="1" w:line="360" w:lineRule="auto"/>
        <w:ind w:left="432"/>
        <w:jc w:val="both"/>
        <w:rPr>
          <w:rFonts w:ascii="Arial" w:eastAsia="Times New Roman" w:hAnsi="Arial" w:cs="Arial"/>
          <w:sz w:val="24"/>
          <w:szCs w:val="24"/>
        </w:rPr>
      </w:pPr>
      <w:r w:rsidRPr="000B5AEF">
        <w:rPr>
          <w:rFonts w:ascii="Arial" w:eastAsia="Times New Roman" w:hAnsi="Arial" w:cs="Arial"/>
          <w:bCs/>
          <w:sz w:val="24"/>
          <w:szCs w:val="24"/>
        </w:rPr>
        <w:t xml:space="preserve">Blood Transfusions: </w:t>
      </w:r>
      <w:r w:rsidRPr="003A5D20">
        <w:rPr>
          <w:rFonts w:ascii="Arial" w:eastAsia="Times New Roman" w:hAnsi="Arial" w:cs="Arial"/>
          <w:sz w:val="24"/>
          <w:szCs w:val="24"/>
        </w:rPr>
        <w:t xml:space="preserve">Transfusion dependency, a common issue in SCD management, was significantly mitigated. Pre-treatment data show that </w:t>
      </w:r>
      <w:r w:rsidRPr="000B5AEF">
        <w:rPr>
          <w:rFonts w:ascii="Arial" w:eastAsia="Times New Roman" w:hAnsi="Arial" w:cs="Arial"/>
          <w:bCs/>
          <w:sz w:val="24"/>
          <w:szCs w:val="24"/>
        </w:rPr>
        <w:t>46% of patients required ≥3 transfusions per year</w:t>
      </w:r>
      <w:r w:rsidRPr="003A5D20">
        <w:rPr>
          <w:rFonts w:ascii="Arial" w:eastAsia="Times New Roman" w:hAnsi="Arial" w:cs="Arial"/>
          <w:sz w:val="24"/>
          <w:szCs w:val="24"/>
        </w:rPr>
        <w:t xml:space="preserve">, compared to only </w:t>
      </w:r>
      <w:r w:rsidRPr="000B5AEF">
        <w:rPr>
          <w:rFonts w:ascii="Arial" w:eastAsia="Times New Roman" w:hAnsi="Arial" w:cs="Arial"/>
          <w:bCs/>
          <w:sz w:val="24"/>
          <w:szCs w:val="24"/>
        </w:rPr>
        <w:t>1.7% post-treatment</w:t>
      </w:r>
      <w:r w:rsidRPr="003A5D20">
        <w:rPr>
          <w:rFonts w:ascii="Arial" w:eastAsia="Times New Roman" w:hAnsi="Arial" w:cs="Arial"/>
          <w:sz w:val="24"/>
          <w:szCs w:val="24"/>
        </w:rPr>
        <w:t xml:space="preserve">. Notably, </w:t>
      </w:r>
      <w:r w:rsidRPr="000B5AEF">
        <w:rPr>
          <w:rFonts w:ascii="Arial" w:eastAsia="Times New Roman" w:hAnsi="Arial" w:cs="Arial"/>
          <w:bCs/>
          <w:sz w:val="24"/>
          <w:szCs w:val="24"/>
        </w:rPr>
        <w:t>88.3% required no transfusions</w:t>
      </w:r>
      <w:r w:rsidRPr="003A5D20">
        <w:rPr>
          <w:rFonts w:ascii="Arial" w:eastAsia="Times New Roman" w:hAnsi="Arial" w:cs="Arial"/>
          <w:sz w:val="24"/>
          <w:szCs w:val="24"/>
        </w:rPr>
        <w:t xml:space="preserve"> after treatment, and the mean number dropped from 2.49 ± 0.9 to 1.11 ± 0.3 (t = 44.4, p &lt; 0.001). This is important not only </w:t>
      </w:r>
      <w:r>
        <w:rPr>
          <w:rFonts w:ascii="Arial" w:eastAsia="Times New Roman" w:hAnsi="Arial" w:cs="Arial"/>
          <w:sz w:val="24"/>
          <w:szCs w:val="24"/>
        </w:rPr>
        <w:t xml:space="preserve">for reducing the risk of iron overload but also for minimizing complications of </w:t>
      </w:r>
      <w:proofErr w:type="spellStart"/>
      <w:r>
        <w:rPr>
          <w:rFonts w:ascii="Arial" w:eastAsia="Times New Roman" w:hAnsi="Arial" w:cs="Arial"/>
          <w:sz w:val="24"/>
          <w:szCs w:val="24"/>
        </w:rPr>
        <w:t>alloimmunization</w:t>
      </w:r>
      <w:proofErr w:type="spellEnd"/>
      <w:r w:rsidRPr="003A5D20">
        <w:rPr>
          <w:rFonts w:ascii="Arial" w:eastAsia="Times New Roman" w:hAnsi="Arial" w:cs="Arial"/>
          <w:sz w:val="24"/>
          <w:szCs w:val="24"/>
        </w:rPr>
        <w:t>.</w:t>
      </w:r>
    </w:p>
    <w:p w:rsidR="00765883" w:rsidRDefault="00765883" w:rsidP="00765883">
      <w:pPr>
        <w:spacing w:before="100" w:beforeAutospacing="1" w:after="100" w:afterAutospacing="1" w:line="360" w:lineRule="auto"/>
        <w:ind w:left="432"/>
        <w:jc w:val="both"/>
        <w:rPr>
          <w:rFonts w:ascii="Arial" w:hAnsi="Arial" w:cs="Arial"/>
          <w:sz w:val="24"/>
          <w:szCs w:val="24"/>
        </w:rPr>
      </w:pPr>
      <w:r w:rsidRPr="000B5AEF">
        <w:rPr>
          <w:rFonts w:ascii="Arial" w:eastAsia="Times New Roman" w:hAnsi="Arial" w:cs="Arial"/>
          <w:bCs/>
          <w:sz w:val="24"/>
          <w:szCs w:val="24"/>
        </w:rPr>
        <w:t xml:space="preserve">Subjective Well-being: </w:t>
      </w:r>
      <w:r w:rsidRPr="003A5D20">
        <w:rPr>
          <w:rFonts w:ascii="Arial" w:eastAsia="Times New Roman" w:hAnsi="Arial" w:cs="Arial"/>
          <w:sz w:val="24"/>
          <w:szCs w:val="24"/>
        </w:rPr>
        <w:t xml:space="preserve">Patient-reported outcomes also improved markedly. Before </w:t>
      </w:r>
      <w:proofErr w:type="spellStart"/>
      <w:r w:rsidRPr="003A5D20">
        <w:rPr>
          <w:rFonts w:ascii="Arial" w:eastAsia="Times New Roman" w:hAnsi="Arial" w:cs="Arial"/>
          <w:sz w:val="24"/>
          <w:szCs w:val="24"/>
        </w:rPr>
        <w:t>hydroxyurea</w:t>
      </w:r>
      <w:proofErr w:type="spellEnd"/>
      <w:r w:rsidRPr="003A5D20">
        <w:rPr>
          <w:rFonts w:ascii="Arial" w:eastAsia="Times New Roman" w:hAnsi="Arial" w:cs="Arial"/>
          <w:sz w:val="24"/>
          <w:szCs w:val="24"/>
        </w:rPr>
        <w:t xml:space="preserve">, nearly two-thirds of patients reported </w:t>
      </w:r>
      <w:r w:rsidRPr="000B5AEF">
        <w:rPr>
          <w:rFonts w:ascii="Arial" w:eastAsia="Times New Roman" w:hAnsi="Arial" w:cs="Arial"/>
          <w:bCs/>
          <w:sz w:val="24"/>
          <w:szCs w:val="24"/>
        </w:rPr>
        <w:t>no improvement or worsening in well-being</w:t>
      </w:r>
      <w:r w:rsidRPr="003A5D20">
        <w:rPr>
          <w:rFonts w:ascii="Arial" w:eastAsia="Times New Roman" w:hAnsi="Arial" w:cs="Arial"/>
          <w:sz w:val="24"/>
          <w:szCs w:val="24"/>
        </w:rPr>
        <w:t xml:space="preserve">. Post-treatment, </w:t>
      </w:r>
      <w:r w:rsidRPr="000B5AEF">
        <w:rPr>
          <w:rFonts w:ascii="Arial" w:eastAsia="Times New Roman" w:hAnsi="Arial" w:cs="Arial"/>
          <w:bCs/>
          <w:sz w:val="24"/>
          <w:szCs w:val="24"/>
        </w:rPr>
        <w:t>88.4% reported feeling “better” or “much better”</w:t>
      </w:r>
      <w:r w:rsidRPr="003A5D20">
        <w:rPr>
          <w:rFonts w:ascii="Arial" w:eastAsia="Times New Roman" w:hAnsi="Arial" w:cs="Arial"/>
          <w:sz w:val="24"/>
          <w:szCs w:val="24"/>
        </w:rPr>
        <w:t xml:space="preserve">, with the well-being score improving from 3.1 to </w:t>
      </w:r>
      <w:r w:rsidRPr="000B5AEF">
        <w:rPr>
          <w:rFonts w:ascii="Arial" w:eastAsia="Times New Roman" w:hAnsi="Arial" w:cs="Arial"/>
          <w:bCs/>
          <w:sz w:val="24"/>
          <w:szCs w:val="24"/>
        </w:rPr>
        <w:t>4.4 ± 0.8</w:t>
      </w:r>
      <w:r w:rsidRPr="003A5D20">
        <w:rPr>
          <w:rFonts w:ascii="Arial" w:eastAsia="Times New Roman" w:hAnsi="Arial" w:cs="Arial"/>
          <w:sz w:val="24"/>
          <w:szCs w:val="24"/>
        </w:rPr>
        <w:t xml:space="preserve"> (t = 69.1, p &lt; 0.001). This underscores the quality-of-life benefits of </w:t>
      </w:r>
      <w:proofErr w:type="spellStart"/>
      <w:r w:rsidRPr="003A5D20">
        <w:rPr>
          <w:rFonts w:ascii="Arial" w:eastAsia="Times New Roman" w:hAnsi="Arial" w:cs="Arial"/>
          <w:sz w:val="24"/>
          <w:szCs w:val="24"/>
        </w:rPr>
        <w:t>hydroxyurea</w:t>
      </w:r>
      <w:proofErr w:type="spellEnd"/>
      <w:r w:rsidRPr="003A5D20">
        <w:rPr>
          <w:rFonts w:ascii="Arial" w:eastAsia="Times New Roman" w:hAnsi="Arial" w:cs="Arial"/>
          <w:sz w:val="24"/>
          <w:szCs w:val="24"/>
        </w:rPr>
        <w:t xml:space="preserve"> and suggests positive psychosocial impacts beyond hematologic stabilization.</w:t>
      </w:r>
      <w:r w:rsidRPr="000B5AEF">
        <w:rPr>
          <w:rFonts w:ascii="Arial" w:hAnsi="Arial" w:cs="Arial"/>
          <w:sz w:val="24"/>
          <w:szCs w:val="24"/>
        </w:rPr>
        <w:t xml:space="preserve"> </w:t>
      </w:r>
    </w:p>
    <w:p w:rsidR="00765883" w:rsidRPr="005F5B23" w:rsidRDefault="00765883" w:rsidP="00765883">
      <w:pPr>
        <w:spacing w:line="360" w:lineRule="auto"/>
        <w:jc w:val="both"/>
        <w:rPr>
          <w:rFonts w:ascii="Arial" w:hAnsi="Arial" w:cs="Arial"/>
          <w:sz w:val="24"/>
          <w:szCs w:val="24"/>
        </w:rPr>
      </w:pPr>
      <w:proofErr w:type="spellStart"/>
      <w:r w:rsidRPr="005F5B23">
        <w:rPr>
          <w:rFonts w:ascii="Arial" w:hAnsi="Arial" w:cs="Arial"/>
          <w:sz w:val="24"/>
          <w:szCs w:val="24"/>
        </w:rPr>
        <w:t>Hydroxyurea</w:t>
      </w:r>
      <w:proofErr w:type="spellEnd"/>
      <w:r w:rsidRPr="005F5B23">
        <w:rPr>
          <w:rFonts w:ascii="Arial" w:hAnsi="Arial" w:cs="Arial"/>
          <w:sz w:val="24"/>
          <w:szCs w:val="24"/>
        </w:rPr>
        <w:t xml:space="preserve"> therapy significantly enhanced patients’ perceived quality of life, likely due to reduced pain, fewer hospital visits, and improved overall well-being.</w:t>
      </w:r>
    </w:p>
    <w:p w:rsidR="00765883" w:rsidRPr="000B5AEF" w:rsidRDefault="00765883" w:rsidP="00765883">
      <w:pPr>
        <w:spacing w:before="100" w:beforeAutospacing="1" w:after="100" w:afterAutospacing="1" w:line="360" w:lineRule="auto"/>
        <w:ind w:left="432"/>
        <w:jc w:val="both"/>
        <w:rPr>
          <w:rFonts w:ascii="Arial" w:eastAsia="Times New Roman" w:hAnsi="Arial" w:cs="Arial"/>
          <w:sz w:val="24"/>
          <w:szCs w:val="24"/>
        </w:rPr>
      </w:pPr>
    </w:p>
    <w:p w:rsidR="00765883" w:rsidRPr="000B5AEF" w:rsidRDefault="00765883" w:rsidP="00765883">
      <w:pPr>
        <w:pStyle w:val="NormalWeb"/>
        <w:spacing w:line="360" w:lineRule="auto"/>
        <w:jc w:val="both"/>
        <w:rPr>
          <w:rFonts w:ascii="Arial" w:hAnsi="Arial" w:cs="Arial"/>
        </w:rPr>
      </w:pPr>
      <w:r w:rsidRPr="000B5AEF">
        <w:rPr>
          <w:rFonts w:ascii="Arial" w:hAnsi="Arial" w:cs="Arial"/>
        </w:rPr>
        <w:t xml:space="preserve">  </w:t>
      </w:r>
    </w:p>
    <w:p w:rsidR="00765883" w:rsidRPr="005F5B23" w:rsidRDefault="00765883" w:rsidP="00765883">
      <w:pPr>
        <w:pStyle w:val="Heading2"/>
        <w:spacing w:line="360" w:lineRule="auto"/>
        <w:jc w:val="both"/>
        <w:rPr>
          <w:rFonts w:ascii="Arial" w:hAnsi="Arial" w:cs="Arial"/>
          <w:b/>
          <w:color w:val="000000" w:themeColor="text1"/>
          <w:sz w:val="24"/>
          <w:szCs w:val="24"/>
        </w:rPr>
      </w:pPr>
      <w:r w:rsidRPr="005F5B23">
        <w:rPr>
          <w:rFonts w:ascii="Arial" w:hAnsi="Arial" w:cs="Arial"/>
          <w:b/>
          <w:color w:val="000000" w:themeColor="text1"/>
          <w:sz w:val="24"/>
          <w:szCs w:val="24"/>
        </w:rPr>
        <w:lastRenderedPageBreak/>
        <w:t xml:space="preserve">  Table 3</w:t>
      </w:r>
      <w:bookmarkStart w:id="5" w:name="_Toc202934400"/>
      <w:r>
        <w:rPr>
          <w:rFonts w:ascii="Arial" w:hAnsi="Arial" w:cs="Arial"/>
          <w:b/>
          <w:color w:val="000000" w:themeColor="text1"/>
          <w:sz w:val="24"/>
          <w:szCs w:val="24"/>
        </w:rPr>
        <w:t>:</w:t>
      </w:r>
      <w:r w:rsidRPr="005F5B23">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Haematological</w:t>
      </w:r>
      <w:proofErr w:type="spellEnd"/>
      <w:r w:rsidRPr="005F5B23">
        <w:rPr>
          <w:rFonts w:ascii="Arial" w:hAnsi="Arial" w:cs="Arial"/>
          <w:b/>
          <w:color w:val="000000" w:themeColor="text1"/>
          <w:sz w:val="24"/>
          <w:szCs w:val="24"/>
        </w:rPr>
        <w:t xml:space="preserve"> response of </w:t>
      </w:r>
      <w:proofErr w:type="spellStart"/>
      <w:r w:rsidRPr="005F5B23">
        <w:rPr>
          <w:rFonts w:ascii="Arial" w:hAnsi="Arial" w:cs="Arial"/>
          <w:b/>
          <w:color w:val="000000" w:themeColor="text1"/>
          <w:sz w:val="24"/>
          <w:szCs w:val="24"/>
        </w:rPr>
        <w:t>Hydroxyurea</w:t>
      </w:r>
      <w:proofErr w:type="spellEnd"/>
      <w:r w:rsidRPr="005F5B23">
        <w:rPr>
          <w:rFonts w:ascii="Arial" w:hAnsi="Arial" w:cs="Arial"/>
          <w:b/>
          <w:color w:val="000000" w:themeColor="text1"/>
          <w:sz w:val="24"/>
          <w:szCs w:val="24"/>
        </w:rPr>
        <w:t xml:space="preserve"> treatment in SCD </w:t>
      </w:r>
      <w:r>
        <w:rPr>
          <w:rFonts w:ascii="Arial" w:hAnsi="Arial" w:cs="Arial"/>
          <w:b/>
          <w:color w:val="000000" w:themeColor="text1"/>
          <w:sz w:val="24"/>
          <w:szCs w:val="24"/>
        </w:rPr>
        <w:t>patients</w:t>
      </w:r>
      <w:r w:rsidRPr="005F5B23">
        <w:rPr>
          <w:rFonts w:ascii="Arial" w:hAnsi="Arial" w:cs="Arial"/>
          <w:b/>
          <w:color w:val="000000" w:themeColor="text1"/>
          <w:sz w:val="24"/>
          <w:szCs w:val="24"/>
        </w:rPr>
        <w:t xml:space="preserve"> attending </w:t>
      </w:r>
      <w:r>
        <w:rPr>
          <w:rFonts w:ascii="Arial" w:hAnsi="Arial" w:cs="Arial"/>
          <w:b/>
          <w:color w:val="000000" w:themeColor="text1"/>
          <w:sz w:val="24"/>
          <w:szCs w:val="24"/>
        </w:rPr>
        <w:t xml:space="preserve">the </w:t>
      </w:r>
      <w:proofErr w:type="spellStart"/>
      <w:r>
        <w:rPr>
          <w:rFonts w:ascii="Arial" w:hAnsi="Arial" w:cs="Arial"/>
          <w:b/>
          <w:color w:val="000000" w:themeColor="text1"/>
          <w:sz w:val="24"/>
          <w:szCs w:val="24"/>
        </w:rPr>
        <w:t>Haematology</w:t>
      </w:r>
      <w:proofErr w:type="spellEnd"/>
      <w:r w:rsidRPr="005F5B23">
        <w:rPr>
          <w:rFonts w:ascii="Arial" w:hAnsi="Arial" w:cs="Arial"/>
          <w:b/>
          <w:color w:val="000000" w:themeColor="text1"/>
          <w:sz w:val="24"/>
          <w:szCs w:val="24"/>
        </w:rPr>
        <w:t xml:space="preserve"> clinic at </w:t>
      </w:r>
      <w:proofErr w:type="spellStart"/>
      <w:r w:rsidRPr="005F5B23">
        <w:rPr>
          <w:rFonts w:ascii="Arial" w:hAnsi="Arial" w:cs="Arial"/>
          <w:b/>
          <w:color w:val="000000" w:themeColor="text1"/>
          <w:sz w:val="24"/>
          <w:szCs w:val="24"/>
        </w:rPr>
        <w:t>Jitimai</w:t>
      </w:r>
      <w:proofErr w:type="spellEnd"/>
      <w:r w:rsidRPr="005F5B23">
        <w:rPr>
          <w:rFonts w:ascii="Arial" w:hAnsi="Arial" w:cs="Arial"/>
          <w:b/>
          <w:color w:val="000000" w:themeColor="text1"/>
          <w:sz w:val="24"/>
          <w:szCs w:val="24"/>
        </w:rPr>
        <w:t xml:space="preserve"> District Hospital</w:t>
      </w:r>
      <w:bookmarkEnd w:id="5"/>
    </w:p>
    <w:tbl>
      <w:tblPr>
        <w:tblStyle w:val="TableGridLight1"/>
        <w:tblW w:w="1008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350"/>
        <w:gridCol w:w="1170"/>
        <w:gridCol w:w="1440"/>
        <w:gridCol w:w="1170"/>
        <w:gridCol w:w="1170"/>
        <w:gridCol w:w="900"/>
      </w:tblGrid>
      <w:tr w:rsidR="00765883" w:rsidRPr="005F5B23" w:rsidTr="00B7333C">
        <w:trPr>
          <w:trHeight w:val="1700"/>
        </w:trPr>
        <w:tc>
          <w:tcPr>
            <w:tcW w:w="2880" w:type="dxa"/>
            <w:gridSpan w:val="2"/>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PARAMETER</w:t>
            </w:r>
          </w:p>
        </w:tc>
        <w:tc>
          <w:tcPr>
            <w:tcW w:w="135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Frequency</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(Percentage) before treatment</w:t>
            </w:r>
          </w:p>
        </w:tc>
        <w:tc>
          <w:tcPr>
            <w:tcW w:w="117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Pre-treatment(Mean ± SD)</w:t>
            </w:r>
          </w:p>
        </w:tc>
        <w:tc>
          <w:tcPr>
            <w:tcW w:w="144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Frequency</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(Percentage)</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after treatment</w:t>
            </w:r>
          </w:p>
        </w:tc>
        <w:tc>
          <w:tcPr>
            <w:tcW w:w="117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Post-treatment(Mean ± SD)</w:t>
            </w:r>
          </w:p>
        </w:tc>
        <w:tc>
          <w:tcPr>
            <w:tcW w:w="117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t-test</w:t>
            </w:r>
          </w:p>
        </w:tc>
        <w:tc>
          <w:tcPr>
            <w:tcW w:w="90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p-value</w:t>
            </w:r>
          </w:p>
        </w:tc>
      </w:tr>
      <w:tr w:rsidR="00765883" w:rsidRPr="005F5B23" w:rsidTr="00B7333C">
        <w:trPr>
          <w:trHeight w:val="1700"/>
        </w:trPr>
        <w:tc>
          <w:tcPr>
            <w:tcW w:w="1440" w:type="dxa"/>
          </w:tcPr>
          <w:p w:rsidR="00765883" w:rsidRPr="005F5B23" w:rsidRDefault="00765883" w:rsidP="00B7333C">
            <w:pPr>
              <w:spacing w:line="360" w:lineRule="auto"/>
              <w:jc w:val="both"/>
              <w:rPr>
                <w:rFonts w:ascii="Arial" w:hAnsi="Arial" w:cs="Arial"/>
                <w:sz w:val="24"/>
                <w:szCs w:val="24"/>
              </w:rPr>
            </w:pPr>
            <w:proofErr w:type="spellStart"/>
            <w:r w:rsidRPr="005F5B23">
              <w:rPr>
                <w:rFonts w:ascii="Arial" w:hAnsi="Arial" w:cs="Arial"/>
                <w:sz w:val="24"/>
                <w:szCs w:val="24"/>
              </w:rPr>
              <w:t>Hb</w:t>
            </w:r>
            <w:proofErr w:type="spellEnd"/>
            <w:r w:rsidRPr="005F5B23">
              <w:rPr>
                <w:rFonts w:ascii="Arial" w:hAnsi="Arial" w:cs="Arial"/>
                <w:sz w:val="24"/>
                <w:szCs w:val="24"/>
              </w:rPr>
              <w:t xml:space="preserve"> level (g/dl)</w:t>
            </w: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3-3.9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4-4.9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5-5.9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6-6.9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7-7.9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8-8.0</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9-9.9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10-10.9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11-11.9</w:t>
            </w:r>
          </w:p>
          <w:p w:rsidR="00765883" w:rsidRPr="005F5B23" w:rsidRDefault="00765883" w:rsidP="00B7333C">
            <w:pPr>
              <w:spacing w:line="360" w:lineRule="auto"/>
              <w:jc w:val="both"/>
              <w:rPr>
                <w:rFonts w:ascii="Arial" w:hAnsi="Arial" w:cs="Arial"/>
                <w:sz w:val="24"/>
                <w:szCs w:val="24"/>
              </w:rPr>
            </w:pP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 (2.2%)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17 (9.4%)</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33 (18.3%)</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67 (37.2%)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44 (24.5%)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13 (7.2%)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2 </w:t>
            </w:r>
            <w:proofErr w:type="gramStart"/>
            <w:r w:rsidRPr="005F5B23">
              <w:rPr>
                <w:rFonts w:ascii="Arial" w:hAnsi="Arial" w:cs="Arial"/>
                <w:sz w:val="24"/>
                <w:szCs w:val="24"/>
              </w:rPr>
              <w:t xml:space="preserve">   (</w:t>
            </w:r>
            <w:proofErr w:type="gramEnd"/>
            <w:r w:rsidRPr="005F5B23">
              <w:rPr>
                <w:rFonts w:ascii="Arial" w:hAnsi="Arial" w:cs="Arial"/>
                <w:sz w:val="24"/>
                <w:szCs w:val="24"/>
              </w:rPr>
              <w:t>1.2%)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       -----</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sz w:val="24"/>
                <w:szCs w:val="24"/>
              </w:rPr>
              <w:t xml:space="preserve">       -----</w:t>
            </w:r>
          </w:p>
          <w:p w:rsidR="00765883" w:rsidRPr="005F5B23" w:rsidRDefault="00765883" w:rsidP="00B7333C">
            <w:pPr>
              <w:spacing w:line="360" w:lineRule="auto"/>
              <w:jc w:val="both"/>
              <w:rPr>
                <w:rFonts w:ascii="Arial" w:hAnsi="Arial" w:cs="Arial"/>
                <w:sz w:val="24"/>
                <w:szCs w:val="24"/>
              </w:rPr>
            </w:pPr>
          </w:p>
        </w:tc>
        <w:tc>
          <w:tcPr>
            <w:tcW w:w="117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5.49 ± 1.2</w:t>
            </w:r>
          </w:p>
          <w:p w:rsidR="00765883" w:rsidRPr="005F5B23" w:rsidRDefault="00765883" w:rsidP="00B7333C">
            <w:pPr>
              <w:spacing w:line="360" w:lineRule="auto"/>
              <w:jc w:val="both"/>
              <w:rPr>
                <w:rFonts w:ascii="Arial" w:hAnsi="Arial" w:cs="Arial"/>
                <w:sz w:val="24"/>
                <w:szCs w:val="24"/>
              </w:rPr>
            </w:pP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       ----</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       ----</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w:t>
            </w:r>
            <w:proofErr w:type="gramStart"/>
            <w:r w:rsidRPr="005F5B23">
              <w:rPr>
                <w:rFonts w:ascii="Arial" w:hAnsi="Arial" w:cs="Arial"/>
                <w:sz w:val="24"/>
                <w:szCs w:val="24"/>
              </w:rPr>
              <w:t xml:space="preserve">   (</w:t>
            </w:r>
            <w:proofErr w:type="gramEnd"/>
            <w:r w:rsidRPr="005F5B23">
              <w:rPr>
                <w:rFonts w:ascii="Arial" w:hAnsi="Arial" w:cs="Arial"/>
                <w:sz w:val="24"/>
                <w:szCs w:val="24"/>
              </w:rPr>
              <w:t>0.6%)</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16</w:t>
            </w:r>
            <w:proofErr w:type="gramStart"/>
            <w:r w:rsidRPr="005F5B23">
              <w:rPr>
                <w:rFonts w:ascii="Arial" w:hAnsi="Arial" w:cs="Arial"/>
                <w:sz w:val="24"/>
                <w:szCs w:val="24"/>
              </w:rPr>
              <w:t xml:space="preserve">   (</w:t>
            </w:r>
            <w:proofErr w:type="gramEnd"/>
            <w:r w:rsidRPr="005F5B23">
              <w:rPr>
                <w:rFonts w:ascii="Arial" w:hAnsi="Arial" w:cs="Arial"/>
                <w:sz w:val="24"/>
                <w:szCs w:val="24"/>
              </w:rPr>
              <w:t>8.9%)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47 (26.2%)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76 (42.1%)</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32 (17.8%)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w:t>
            </w:r>
            <w:proofErr w:type="gramStart"/>
            <w:r w:rsidRPr="005F5B23">
              <w:rPr>
                <w:rFonts w:ascii="Arial" w:hAnsi="Arial" w:cs="Arial"/>
                <w:sz w:val="24"/>
                <w:szCs w:val="24"/>
              </w:rPr>
              <w:t xml:space="preserve">   (</w:t>
            </w:r>
            <w:proofErr w:type="gramEnd"/>
            <w:r w:rsidRPr="005F5B23">
              <w:rPr>
                <w:rFonts w:ascii="Arial" w:hAnsi="Arial" w:cs="Arial"/>
                <w:sz w:val="24"/>
                <w:szCs w:val="24"/>
              </w:rPr>
              <w:t>3.8%)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w:t>
            </w:r>
            <w:proofErr w:type="gramStart"/>
            <w:r w:rsidRPr="005F5B23">
              <w:rPr>
                <w:rFonts w:ascii="Arial" w:hAnsi="Arial" w:cs="Arial"/>
                <w:sz w:val="24"/>
                <w:szCs w:val="24"/>
              </w:rPr>
              <w:t xml:space="preserve">   (</w:t>
            </w:r>
            <w:proofErr w:type="gramEnd"/>
            <w:r w:rsidRPr="005F5B23">
              <w:rPr>
                <w:rFonts w:ascii="Arial" w:hAnsi="Arial" w:cs="Arial"/>
                <w:sz w:val="24"/>
                <w:szCs w:val="24"/>
              </w:rPr>
              <w:t>0.6%)</w:t>
            </w:r>
          </w:p>
          <w:p w:rsidR="00765883" w:rsidRPr="005F5B23" w:rsidRDefault="00765883" w:rsidP="00B7333C">
            <w:pPr>
              <w:spacing w:line="360" w:lineRule="auto"/>
              <w:jc w:val="both"/>
              <w:rPr>
                <w:rFonts w:ascii="Arial" w:hAnsi="Arial" w:cs="Arial"/>
                <w:sz w:val="24"/>
                <w:szCs w:val="24"/>
              </w:rPr>
            </w:pPr>
          </w:p>
        </w:tc>
        <w:tc>
          <w:tcPr>
            <w:tcW w:w="117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7.82 ± 1.0</w:t>
            </w:r>
          </w:p>
          <w:p w:rsidR="00765883" w:rsidRPr="005F5B23" w:rsidRDefault="00765883" w:rsidP="00B7333C">
            <w:pPr>
              <w:spacing w:line="360" w:lineRule="auto"/>
              <w:jc w:val="both"/>
              <w:rPr>
                <w:rFonts w:ascii="Arial" w:hAnsi="Arial" w:cs="Arial"/>
                <w:sz w:val="24"/>
                <w:szCs w:val="24"/>
              </w:rPr>
            </w:pPr>
          </w:p>
        </w:tc>
        <w:tc>
          <w:tcPr>
            <w:tcW w:w="117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101.8</w:t>
            </w:r>
          </w:p>
        </w:tc>
        <w:tc>
          <w:tcPr>
            <w:tcW w:w="90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 xml:space="preserve">&lt;0.001 </w:t>
            </w:r>
          </w:p>
          <w:p w:rsidR="00765883" w:rsidRPr="005F5B23" w:rsidRDefault="00765883" w:rsidP="00B7333C">
            <w:pPr>
              <w:spacing w:line="360" w:lineRule="auto"/>
              <w:jc w:val="both"/>
              <w:rPr>
                <w:rFonts w:ascii="Arial" w:hAnsi="Arial" w:cs="Arial"/>
                <w:sz w:val="24"/>
                <w:szCs w:val="24"/>
              </w:rPr>
            </w:pPr>
          </w:p>
        </w:tc>
      </w:tr>
    </w:tbl>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P-value &lt;0.05 (</w:t>
      </w:r>
      <w:r>
        <w:rPr>
          <w:rFonts w:ascii="Arial" w:hAnsi="Arial" w:cs="Arial"/>
          <w:sz w:val="24"/>
          <w:szCs w:val="24"/>
        </w:rPr>
        <w:t>Statistically</w:t>
      </w:r>
      <w:r w:rsidRPr="005F5B23">
        <w:rPr>
          <w:rFonts w:ascii="Arial" w:hAnsi="Arial" w:cs="Arial"/>
          <w:sz w:val="24"/>
          <w:szCs w:val="24"/>
        </w:rPr>
        <w:t xml:space="preserve"> significant)</w:t>
      </w:r>
    </w:p>
    <w:p w:rsidR="00765883" w:rsidRPr="005F5B23" w:rsidRDefault="00765883" w:rsidP="00765883">
      <w:pPr>
        <w:spacing w:line="360" w:lineRule="auto"/>
        <w:jc w:val="both"/>
        <w:rPr>
          <w:rFonts w:ascii="Arial" w:hAnsi="Arial" w:cs="Arial"/>
          <w:sz w:val="24"/>
          <w:szCs w:val="24"/>
        </w:rPr>
      </w:pPr>
      <w:r w:rsidRPr="005F5B23">
        <w:rPr>
          <w:rFonts w:ascii="Arial" w:hAnsi="Arial" w:cs="Arial"/>
          <w:bCs/>
          <w:sz w:val="24"/>
          <w:szCs w:val="24"/>
        </w:rPr>
        <w:t xml:space="preserve">Before treatment, </w:t>
      </w:r>
      <w:r>
        <w:rPr>
          <w:rFonts w:ascii="Arial" w:hAnsi="Arial" w:cs="Arial"/>
          <w:sz w:val="24"/>
          <w:szCs w:val="24"/>
        </w:rPr>
        <w:t xml:space="preserve">a large proportion of patients had dangerously low </w:t>
      </w:r>
      <w:proofErr w:type="spellStart"/>
      <w:r>
        <w:rPr>
          <w:rFonts w:ascii="Arial" w:hAnsi="Arial" w:cs="Arial"/>
          <w:sz w:val="24"/>
          <w:szCs w:val="24"/>
        </w:rPr>
        <w:t>Hb</w:t>
      </w:r>
      <w:proofErr w:type="spellEnd"/>
      <w:r>
        <w:rPr>
          <w:rFonts w:ascii="Arial" w:hAnsi="Arial" w:cs="Arial"/>
          <w:sz w:val="24"/>
          <w:szCs w:val="24"/>
        </w:rPr>
        <w:t xml:space="preserve"> levels. </w:t>
      </w:r>
      <w:r>
        <w:rPr>
          <w:rFonts w:ascii="Arial" w:hAnsi="Arial" w:cs="Arial"/>
          <w:bCs/>
          <w:sz w:val="24"/>
          <w:szCs w:val="24"/>
        </w:rPr>
        <w:t>3.7</w:t>
      </w:r>
      <w:r w:rsidRPr="005F5B23">
        <w:rPr>
          <w:rFonts w:ascii="Arial" w:hAnsi="Arial" w:cs="Arial"/>
          <w:bCs/>
          <w:sz w:val="24"/>
          <w:szCs w:val="24"/>
        </w:rPr>
        <w:t>2%</w:t>
      </w:r>
      <w:r w:rsidRPr="005F5B23">
        <w:rPr>
          <w:rFonts w:ascii="Arial" w:hAnsi="Arial" w:cs="Arial"/>
          <w:sz w:val="24"/>
          <w:szCs w:val="24"/>
        </w:rPr>
        <w:t xml:space="preserve"> had </w:t>
      </w:r>
      <w:proofErr w:type="spellStart"/>
      <w:r w:rsidRPr="005F5B23">
        <w:rPr>
          <w:rFonts w:ascii="Arial" w:hAnsi="Arial" w:cs="Arial"/>
          <w:sz w:val="24"/>
          <w:szCs w:val="24"/>
        </w:rPr>
        <w:t>Hb</w:t>
      </w:r>
      <w:proofErr w:type="spellEnd"/>
      <w:r w:rsidRPr="005F5B23">
        <w:rPr>
          <w:rFonts w:ascii="Arial" w:hAnsi="Arial" w:cs="Arial"/>
          <w:sz w:val="24"/>
          <w:szCs w:val="24"/>
        </w:rPr>
        <w:t xml:space="preserve"> between </w:t>
      </w:r>
      <w:r w:rsidRPr="005F5B23">
        <w:rPr>
          <w:rFonts w:ascii="Arial" w:hAnsi="Arial" w:cs="Arial"/>
          <w:bCs/>
          <w:sz w:val="24"/>
          <w:szCs w:val="24"/>
        </w:rPr>
        <w:t>6–6.9 g/dL</w:t>
      </w:r>
      <w:r w:rsidRPr="005F5B23">
        <w:rPr>
          <w:rFonts w:ascii="Arial" w:hAnsi="Arial" w:cs="Arial"/>
          <w:sz w:val="24"/>
          <w:szCs w:val="24"/>
        </w:rPr>
        <w:t>.</w:t>
      </w:r>
      <w:r w:rsidRPr="005F5B23">
        <w:rPr>
          <w:rFonts w:ascii="Arial" w:hAnsi="Arial" w:cs="Arial"/>
          <w:bCs/>
          <w:sz w:val="24"/>
          <w:szCs w:val="24"/>
        </w:rPr>
        <w:t>18.3%</w:t>
      </w:r>
      <w:r w:rsidRPr="005F5B23">
        <w:rPr>
          <w:rFonts w:ascii="Arial" w:hAnsi="Arial" w:cs="Arial"/>
          <w:sz w:val="24"/>
          <w:szCs w:val="24"/>
        </w:rPr>
        <w:t xml:space="preserve"> were even lower at </w:t>
      </w:r>
      <w:r w:rsidRPr="005F5B23">
        <w:rPr>
          <w:rFonts w:ascii="Arial" w:hAnsi="Arial" w:cs="Arial"/>
          <w:bCs/>
          <w:sz w:val="24"/>
          <w:szCs w:val="24"/>
        </w:rPr>
        <w:t>5–5.9 g/</w:t>
      </w:r>
      <w:proofErr w:type="spellStart"/>
      <w:r w:rsidRPr="005F5B23">
        <w:rPr>
          <w:rFonts w:ascii="Arial" w:hAnsi="Arial" w:cs="Arial"/>
          <w:bCs/>
          <w:sz w:val="24"/>
          <w:szCs w:val="24"/>
        </w:rPr>
        <w:t>dL</w:t>
      </w:r>
      <w:proofErr w:type="spellEnd"/>
      <w:r w:rsidRPr="005F5B23">
        <w:rPr>
          <w:rFonts w:ascii="Arial" w:hAnsi="Arial" w:cs="Arial"/>
          <w:sz w:val="24"/>
          <w:szCs w:val="24"/>
        </w:rPr>
        <w:t xml:space="preserve">. Smaller but concerning groups had </w:t>
      </w:r>
      <w:proofErr w:type="spellStart"/>
      <w:r w:rsidRPr="005F5B23">
        <w:rPr>
          <w:rFonts w:ascii="Arial" w:hAnsi="Arial" w:cs="Arial"/>
          <w:sz w:val="24"/>
          <w:szCs w:val="24"/>
        </w:rPr>
        <w:t>Hb</w:t>
      </w:r>
      <w:proofErr w:type="spellEnd"/>
      <w:r w:rsidRPr="005F5B23">
        <w:rPr>
          <w:rFonts w:ascii="Arial" w:hAnsi="Arial" w:cs="Arial"/>
          <w:sz w:val="24"/>
          <w:szCs w:val="24"/>
        </w:rPr>
        <w:t xml:space="preserve"> below 5 g/</w:t>
      </w:r>
      <w:proofErr w:type="spellStart"/>
      <w:r w:rsidRPr="005F5B23">
        <w:rPr>
          <w:rFonts w:ascii="Arial" w:hAnsi="Arial" w:cs="Arial"/>
          <w:sz w:val="24"/>
          <w:szCs w:val="24"/>
        </w:rPr>
        <w:t>dL</w:t>
      </w:r>
      <w:proofErr w:type="spellEnd"/>
      <w:r>
        <w:rPr>
          <w:rFonts w:ascii="Arial" w:hAnsi="Arial" w:cs="Arial"/>
          <w:sz w:val="24"/>
          <w:szCs w:val="24"/>
        </w:rPr>
        <w:t>,</w:t>
      </w:r>
      <w:r w:rsidRPr="005F5B23">
        <w:rPr>
          <w:rFonts w:ascii="Arial" w:hAnsi="Arial" w:cs="Arial"/>
          <w:sz w:val="24"/>
          <w:szCs w:val="24"/>
        </w:rPr>
        <w:t xml:space="preserve"> with </w:t>
      </w:r>
      <w:r w:rsidRPr="005F5B23">
        <w:rPr>
          <w:rFonts w:ascii="Arial" w:hAnsi="Arial" w:cs="Arial"/>
          <w:bCs/>
          <w:sz w:val="24"/>
          <w:szCs w:val="24"/>
        </w:rPr>
        <w:t>2.2%</w:t>
      </w:r>
      <w:r w:rsidRPr="005F5B23">
        <w:rPr>
          <w:rFonts w:ascii="Arial" w:hAnsi="Arial" w:cs="Arial"/>
          <w:sz w:val="24"/>
          <w:szCs w:val="24"/>
        </w:rPr>
        <w:t xml:space="preserve"> as low as </w:t>
      </w:r>
      <w:r w:rsidRPr="005F5B23">
        <w:rPr>
          <w:rFonts w:ascii="Arial" w:hAnsi="Arial" w:cs="Arial"/>
          <w:bCs/>
          <w:sz w:val="24"/>
          <w:szCs w:val="24"/>
        </w:rPr>
        <w:t>3–3.9 g/</w:t>
      </w:r>
      <w:proofErr w:type="spellStart"/>
      <w:r w:rsidRPr="005F5B23">
        <w:rPr>
          <w:rFonts w:ascii="Arial" w:hAnsi="Arial" w:cs="Arial"/>
          <w:bCs/>
          <w:sz w:val="24"/>
          <w:szCs w:val="24"/>
        </w:rPr>
        <w:t>dL</w:t>
      </w:r>
      <w:proofErr w:type="spellEnd"/>
      <w:r w:rsidRPr="005F5B23">
        <w:rPr>
          <w:rFonts w:ascii="Arial" w:hAnsi="Arial" w:cs="Arial"/>
          <w:bCs/>
          <w:sz w:val="24"/>
          <w:szCs w:val="24"/>
        </w:rPr>
        <w:t xml:space="preserve">. </w:t>
      </w:r>
      <w:r w:rsidRPr="005F5B23">
        <w:rPr>
          <w:rFonts w:ascii="Arial" w:hAnsi="Arial" w:cs="Arial"/>
          <w:sz w:val="24"/>
          <w:szCs w:val="24"/>
        </w:rPr>
        <w:t xml:space="preserve">Only </w:t>
      </w:r>
      <w:r w:rsidRPr="005F5B23">
        <w:rPr>
          <w:rFonts w:ascii="Arial" w:hAnsi="Arial" w:cs="Arial"/>
          <w:bCs/>
          <w:sz w:val="24"/>
          <w:szCs w:val="24"/>
        </w:rPr>
        <w:t>1.2%</w:t>
      </w:r>
      <w:r w:rsidRPr="005F5B23">
        <w:rPr>
          <w:rFonts w:ascii="Arial" w:hAnsi="Arial" w:cs="Arial"/>
          <w:sz w:val="24"/>
          <w:szCs w:val="24"/>
        </w:rPr>
        <w:t xml:space="preserve"> had </w:t>
      </w:r>
      <w:proofErr w:type="spellStart"/>
      <w:r w:rsidRPr="005F5B23">
        <w:rPr>
          <w:rFonts w:ascii="Arial" w:hAnsi="Arial" w:cs="Arial"/>
          <w:sz w:val="24"/>
          <w:szCs w:val="24"/>
        </w:rPr>
        <w:t>Hb</w:t>
      </w:r>
      <w:proofErr w:type="spellEnd"/>
      <w:r w:rsidRPr="005F5B23">
        <w:rPr>
          <w:rFonts w:ascii="Arial" w:hAnsi="Arial" w:cs="Arial"/>
          <w:sz w:val="24"/>
          <w:szCs w:val="24"/>
        </w:rPr>
        <w:t xml:space="preserve"> in the </w:t>
      </w:r>
      <w:r w:rsidRPr="005F5B23">
        <w:rPr>
          <w:rFonts w:ascii="Arial" w:hAnsi="Arial" w:cs="Arial"/>
          <w:bCs/>
          <w:sz w:val="24"/>
          <w:szCs w:val="24"/>
        </w:rPr>
        <w:t>9–9.9 g/</w:t>
      </w:r>
      <w:proofErr w:type="spellStart"/>
      <w:r w:rsidRPr="005F5B23">
        <w:rPr>
          <w:rFonts w:ascii="Arial" w:hAnsi="Arial" w:cs="Arial"/>
          <w:bCs/>
          <w:sz w:val="24"/>
          <w:szCs w:val="24"/>
        </w:rPr>
        <w:t>dL</w:t>
      </w:r>
      <w:proofErr w:type="spellEnd"/>
      <w:r w:rsidRPr="005F5B23">
        <w:rPr>
          <w:rFonts w:ascii="Arial" w:hAnsi="Arial" w:cs="Arial"/>
          <w:sz w:val="24"/>
          <w:szCs w:val="24"/>
        </w:rPr>
        <w:t xml:space="preserve"> range, with no patients recorded above 10 g/</w:t>
      </w:r>
      <w:proofErr w:type="spellStart"/>
      <w:r w:rsidRPr="005F5B23">
        <w:rPr>
          <w:rFonts w:ascii="Arial" w:hAnsi="Arial" w:cs="Arial"/>
          <w:sz w:val="24"/>
          <w:szCs w:val="24"/>
        </w:rPr>
        <w:t>dL</w:t>
      </w:r>
      <w:proofErr w:type="spellEnd"/>
      <w:r w:rsidRPr="005F5B23">
        <w:rPr>
          <w:rFonts w:ascii="Arial" w:hAnsi="Arial" w:cs="Arial"/>
          <w:sz w:val="24"/>
          <w:szCs w:val="24"/>
        </w:rPr>
        <w:t xml:space="preserve">. This result accounts for the mean </w:t>
      </w:r>
      <w:proofErr w:type="spellStart"/>
      <w:r w:rsidRPr="005F5B23">
        <w:rPr>
          <w:rFonts w:ascii="Arial" w:hAnsi="Arial" w:cs="Arial"/>
          <w:sz w:val="24"/>
          <w:szCs w:val="24"/>
        </w:rPr>
        <w:t>Hb</w:t>
      </w:r>
      <w:proofErr w:type="spellEnd"/>
      <w:r w:rsidRPr="005F5B23">
        <w:rPr>
          <w:rFonts w:ascii="Arial" w:hAnsi="Arial" w:cs="Arial"/>
          <w:sz w:val="24"/>
          <w:szCs w:val="24"/>
        </w:rPr>
        <w:t xml:space="preserve"> level of</w:t>
      </w:r>
      <w:r w:rsidRPr="005F5B23">
        <w:rPr>
          <w:rFonts w:ascii="Arial" w:hAnsi="Arial" w:cs="Arial"/>
          <w:bCs/>
          <w:sz w:val="24"/>
          <w:szCs w:val="24"/>
        </w:rPr>
        <w:t xml:space="preserve"> (5.49 ± 1.2 g/</w:t>
      </w:r>
      <w:proofErr w:type="spellStart"/>
      <w:r w:rsidRPr="005F5B23">
        <w:rPr>
          <w:rFonts w:ascii="Arial" w:hAnsi="Arial" w:cs="Arial"/>
          <w:bCs/>
          <w:sz w:val="24"/>
          <w:szCs w:val="24"/>
        </w:rPr>
        <w:t>dL</w:t>
      </w:r>
      <w:proofErr w:type="spellEnd"/>
      <w:r w:rsidRPr="005F5B23">
        <w:rPr>
          <w:rFonts w:ascii="Arial" w:hAnsi="Arial" w:cs="Arial"/>
          <w:bCs/>
          <w:sz w:val="24"/>
          <w:szCs w:val="24"/>
        </w:rPr>
        <w:t>)</w:t>
      </w:r>
    </w:p>
    <w:p w:rsidR="00765883" w:rsidRPr="005F5B23" w:rsidRDefault="00765883" w:rsidP="00765883">
      <w:pPr>
        <w:spacing w:line="360" w:lineRule="auto"/>
        <w:jc w:val="both"/>
        <w:rPr>
          <w:rFonts w:ascii="Arial" w:hAnsi="Arial" w:cs="Arial"/>
          <w:sz w:val="24"/>
          <w:szCs w:val="24"/>
        </w:rPr>
      </w:pPr>
      <w:r w:rsidRPr="005F5B23">
        <w:rPr>
          <w:rFonts w:ascii="Arial" w:hAnsi="Arial" w:cs="Arial"/>
          <w:bCs/>
          <w:sz w:val="24"/>
          <w:szCs w:val="24"/>
        </w:rPr>
        <w:t xml:space="preserve">After treatment, </w:t>
      </w:r>
      <w:r w:rsidRPr="005F5B23">
        <w:rPr>
          <w:rFonts w:ascii="Arial" w:hAnsi="Arial" w:cs="Arial"/>
          <w:sz w:val="24"/>
          <w:szCs w:val="24"/>
        </w:rPr>
        <w:t>a striking improvement was observed</w:t>
      </w:r>
      <w:r>
        <w:rPr>
          <w:rFonts w:ascii="Arial" w:hAnsi="Arial" w:cs="Arial"/>
          <w:sz w:val="24"/>
          <w:szCs w:val="24"/>
        </w:rPr>
        <w:t>;</w:t>
      </w:r>
      <w:r w:rsidRPr="005F5B23">
        <w:rPr>
          <w:rFonts w:ascii="Arial" w:hAnsi="Arial" w:cs="Arial"/>
          <w:sz w:val="24"/>
          <w:szCs w:val="24"/>
        </w:rPr>
        <w:t xml:space="preserve"> </w:t>
      </w:r>
      <w:r w:rsidRPr="005F5B23">
        <w:rPr>
          <w:rFonts w:ascii="Arial" w:hAnsi="Arial" w:cs="Arial"/>
          <w:bCs/>
          <w:sz w:val="24"/>
          <w:szCs w:val="24"/>
        </w:rPr>
        <w:t>42.1%</w:t>
      </w:r>
      <w:r w:rsidRPr="005F5B23">
        <w:rPr>
          <w:rFonts w:ascii="Arial" w:hAnsi="Arial" w:cs="Arial"/>
          <w:sz w:val="24"/>
          <w:szCs w:val="24"/>
        </w:rPr>
        <w:t xml:space="preserve"> had </w:t>
      </w:r>
      <w:proofErr w:type="spellStart"/>
      <w:r w:rsidRPr="005F5B23">
        <w:rPr>
          <w:rFonts w:ascii="Arial" w:hAnsi="Arial" w:cs="Arial"/>
          <w:sz w:val="24"/>
          <w:szCs w:val="24"/>
        </w:rPr>
        <w:t>Hb</w:t>
      </w:r>
      <w:proofErr w:type="spellEnd"/>
      <w:r w:rsidRPr="005F5B23">
        <w:rPr>
          <w:rFonts w:ascii="Arial" w:hAnsi="Arial" w:cs="Arial"/>
          <w:sz w:val="24"/>
          <w:szCs w:val="24"/>
        </w:rPr>
        <w:t xml:space="preserve"> in the </w:t>
      </w:r>
      <w:r w:rsidRPr="005F5B23">
        <w:rPr>
          <w:rFonts w:ascii="Arial" w:hAnsi="Arial" w:cs="Arial"/>
          <w:bCs/>
          <w:sz w:val="24"/>
          <w:szCs w:val="24"/>
        </w:rPr>
        <w:t>8–8.9 g/</w:t>
      </w:r>
      <w:proofErr w:type="spellStart"/>
      <w:r w:rsidRPr="005F5B23">
        <w:rPr>
          <w:rFonts w:ascii="Arial" w:hAnsi="Arial" w:cs="Arial"/>
          <w:bCs/>
          <w:sz w:val="24"/>
          <w:szCs w:val="24"/>
        </w:rPr>
        <w:t>dL</w:t>
      </w:r>
      <w:proofErr w:type="spellEnd"/>
      <w:r w:rsidRPr="005F5B23">
        <w:rPr>
          <w:rFonts w:ascii="Arial" w:hAnsi="Arial" w:cs="Arial"/>
          <w:sz w:val="24"/>
          <w:szCs w:val="24"/>
        </w:rPr>
        <w:t xml:space="preserve"> range.</w:t>
      </w:r>
      <w:r w:rsidRPr="005F5B23">
        <w:rPr>
          <w:rFonts w:ascii="Arial" w:hAnsi="Arial" w:cs="Arial"/>
          <w:bCs/>
          <w:sz w:val="24"/>
          <w:szCs w:val="24"/>
        </w:rPr>
        <w:t>26.2%</w:t>
      </w:r>
      <w:r w:rsidRPr="005F5B23">
        <w:rPr>
          <w:rFonts w:ascii="Arial" w:hAnsi="Arial" w:cs="Arial"/>
          <w:sz w:val="24"/>
          <w:szCs w:val="24"/>
        </w:rPr>
        <w:t xml:space="preserve"> improved to </w:t>
      </w:r>
      <w:r w:rsidRPr="005F5B23">
        <w:rPr>
          <w:rFonts w:ascii="Arial" w:hAnsi="Arial" w:cs="Arial"/>
          <w:bCs/>
          <w:sz w:val="24"/>
          <w:szCs w:val="24"/>
        </w:rPr>
        <w:t>7–7.9 g/</w:t>
      </w:r>
      <w:proofErr w:type="spellStart"/>
      <w:r w:rsidRPr="005F5B23">
        <w:rPr>
          <w:rFonts w:ascii="Arial" w:hAnsi="Arial" w:cs="Arial"/>
          <w:bCs/>
          <w:sz w:val="24"/>
          <w:szCs w:val="24"/>
        </w:rPr>
        <w:t>dL</w:t>
      </w:r>
      <w:proofErr w:type="spellEnd"/>
      <w:r w:rsidRPr="005F5B23">
        <w:rPr>
          <w:rFonts w:ascii="Arial" w:hAnsi="Arial" w:cs="Arial"/>
          <w:bCs/>
          <w:sz w:val="24"/>
          <w:szCs w:val="24"/>
        </w:rPr>
        <w:t xml:space="preserve">. </w:t>
      </w:r>
      <w:r w:rsidRPr="005F5B23">
        <w:rPr>
          <w:rFonts w:ascii="Arial" w:hAnsi="Arial" w:cs="Arial"/>
          <w:sz w:val="24"/>
          <w:szCs w:val="24"/>
        </w:rPr>
        <w:t>A small number (</w:t>
      </w:r>
      <w:r w:rsidRPr="005F5B23">
        <w:rPr>
          <w:rFonts w:ascii="Arial" w:hAnsi="Arial" w:cs="Arial"/>
          <w:bCs/>
          <w:sz w:val="24"/>
          <w:szCs w:val="24"/>
        </w:rPr>
        <w:t>0.6%</w:t>
      </w:r>
      <w:r w:rsidRPr="005F5B23">
        <w:rPr>
          <w:rFonts w:ascii="Arial" w:hAnsi="Arial" w:cs="Arial"/>
          <w:sz w:val="24"/>
          <w:szCs w:val="24"/>
        </w:rPr>
        <w:t xml:space="preserve">) reached </w:t>
      </w:r>
      <w:r w:rsidRPr="005F5B23">
        <w:rPr>
          <w:rFonts w:ascii="Arial" w:hAnsi="Arial" w:cs="Arial"/>
          <w:bCs/>
          <w:sz w:val="24"/>
          <w:szCs w:val="24"/>
        </w:rPr>
        <w:t>11–11.9 g/</w:t>
      </w:r>
      <w:proofErr w:type="spellStart"/>
      <w:r w:rsidRPr="005F5B23">
        <w:rPr>
          <w:rFonts w:ascii="Arial" w:hAnsi="Arial" w:cs="Arial"/>
          <w:bCs/>
          <w:sz w:val="24"/>
          <w:szCs w:val="24"/>
        </w:rPr>
        <w:t>dL</w:t>
      </w:r>
      <w:proofErr w:type="spellEnd"/>
      <w:r w:rsidRPr="005F5B23">
        <w:rPr>
          <w:rFonts w:ascii="Arial" w:hAnsi="Arial" w:cs="Arial"/>
          <w:sz w:val="24"/>
          <w:szCs w:val="24"/>
        </w:rPr>
        <w:t xml:space="preserve">, a level previously unseen before treatment. Those with critically low </w:t>
      </w:r>
      <w:proofErr w:type="spellStart"/>
      <w:r w:rsidRPr="005F5B23">
        <w:rPr>
          <w:rFonts w:ascii="Arial" w:hAnsi="Arial" w:cs="Arial"/>
          <w:sz w:val="24"/>
          <w:szCs w:val="24"/>
        </w:rPr>
        <w:t>Hb</w:t>
      </w:r>
      <w:proofErr w:type="spellEnd"/>
      <w:r w:rsidRPr="005F5B23">
        <w:rPr>
          <w:rFonts w:ascii="Arial" w:hAnsi="Arial" w:cs="Arial"/>
          <w:sz w:val="24"/>
          <w:szCs w:val="24"/>
        </w:rPr>
        <w:t xml:space="preserve"> (below 6 g/</w:t>
      </w:r>
      <w:proofErr w:type="spellStart"/>
      <w:r w:rsidRPr="005F5B23">
        <w:rPr>
          <w:rFonts w:ascii="Arial" w:hAnsi="Arial" w:cs="Arial"/>
          <w:sz w:val="24"/>
          <w:szCs w:val="24"/>
        </w:rPr>
        <w:t>dL</w:t>
      </w:r>
      <w:proofErr w:type="spellEnd"/>
      <w:r w:rsidRPr="005F5B23">
        <w:rPr>
          <w:rFonts w:ascii="Arial" w:hAnsi="Arial" w:cs="Arial"/>
          <w:sz w:val="24"/>
          <w:szCs w:val="24"/>
        </w:rPr>
        <w:t xml:space="preserve">) </w:t>
      </w:r>
      <w:r w:rsidRPr="005F5B23">
        <w:rPr>
          <w:rFonts w:ascii="Arial" w:hAnsi="Arial" w:cs="Arial"/>
          <w:sz w:val="24"/>
          <w:szCs w:val="24"/>
        </w:rPr>
        <w:lastRenderedPageBreak/>
        <w:t xml:space="preserve">drastically decreased. Combined, only </w:t>
      </w:r>
      <w:r w:rsidRPr="005F5B23">
        <w:rPr>
          <w:rFonts w:ascii="Arial" w:hAnsi="Arial" w:cs="Arial"/>
          <w:bCs/>
          <w:sz w:val="24"/>
          <w:szCs w:val="24"/>
        </w:rPr>
        <w:t>9.5%</w:t>
      </w:r>
      <w:r w:rsidRPr="005F5B23">
        <w:rPr>
          <w:rFonts w:ascii="Arial" w:hAnsi="Arial" w:cs="Arial"/>
          <w:sz w:val="24"/>
          <w:szCs w:val="24"/>
        </w:rPr>
        <w:t xml:space="preserve"> remained under this threshold, compared to </w:t>
      </w:r>
      <w:r w:rsidRPr="005F5B23">
        <w:rPr>
          <w:rFonts w:ascii="Arial" w:hAnsi="Arial" w:cs="Arial"/>
          <w:bCs/>
          <w:sz w:val="24"/>
          <w:szCs w:val="24"/>
        </w:rPr>
        <w:t>29.9%</w:t>
      </w:r>
      <w:r w:rsidRPr="005F5B23">
        <w:rPr>
          <w:rFonts w:ascii="Arial" w:hAnsi="Arial" w:cs="Arial"/>
          <w:sz w:val="24"/>
          <w:szCs w:val="24"/>
        </w:rPr>
        <w:t xml:space="preserve"> before treatment.</w:t>
      </w:r>
      <w:r w:rsidRPr="005F5B23">
        <w:rPr>
          <w:rFonts w:ascii="Arial" w:hAnsi="Arial" w:cs="Arial"/>
          <w:bCs/>
          <w:sz w:val="24"/>
          <w:szCs w:val="24"/>
        </w:rPr>
        <w:t xml:space="preserve"> This </w:t>
      </w:r>
      <w:r>
        <w:rPr>
          <w:rFonts w:ascii="Arial" w:hAnsi="Arial" w:cs="Arial"/>
          <w:bCs/>
          <w:sz w:val="24"/>
          <w:szCs w:val="24"/>
        </w:rPr>
        <w:t>accounts</w:t>
      </w:r>
      <w:r w:rsidRPr="005F5B23">
        <w:rPr>
          <w:rFonts w:ascii="Arial" w:hAnsi="Arial" w:cs="Arial"/>
          <w:bCs/>
          <w:sz w:val="24"/>
          <w:szCs w:val="24"/>
        </w:rPr>
        <w:t xml:space="preserve"> for </w:t>
      </w:r>
      <w:r>
        <w:rPr>
          <w:rFonts w:ascii="Arial" w:hAnsi="Arial" w:cs="Arial"/>
          <w:bCs/>
          <w:sz w:val="24"/>
          <w:szCs w:val="24"/>
        </w:rPr>
        <w:t xml:space="preserve">the </w:t>
      </w:r>
      <w:r w:rsidRPr="005F5B23">
        <w:rPr>
          <w:rFonts w:ascii="Arial" w:hAnsi="Arial" w:cs="Arial"/>
          <w:bCs/>
          <w:sz w:val="24"/>
          <w:szCs w:val="24"/>
        </w:rPr>
        <w:t xml:space="preserve">mean </w:t>
      </w:r>
      <w:proofErr w:type="spellStart"/>
      <w:r w:rsidRPr="005F5B23">
        <w:rPr>
          <w:rFonts w:ascii="Arial" w:hAnsi="Arial" w:cs="Arial"/>
          <w:bCs/>
          <w:sz w:val="24"/>
          <w:szCs w:val="24"/>
        </w:rPr>
        <w:t>Hb</w:t>
      </w:r>
      <w:proofErr w:type="spellEnd"/>
      <w:r w:rsidRPr="005F5B23">
        <w:rPr>
          <w:rFonts w:ascii="Arial" w:hAnsi="Arial" w:cs="Arial"/>
          <w:bCs/>
          <w:sz w:val="24"/>
          <w:szCs w:val="24"/>
        </w:rPr>
        <w:t xml:space="preserve"> of (7.82 ± 1.0 g/</w:t>
      </w:r>
      <w:proofErr w:type="spellStart"/>
      <w:r w:rsidRPr="005F5B23">
        <w:rPr>
          <w:rFonts w:ascii="Arial" w:hAnsi="Arial" w:cs="Arial"/>
          <w:bCs/>
          <w:sz w:val="24"/>
          <w:szCs w:val="24"/>
        </w:rPr>
        <w:t>dL</w:t>
      </w:r>
      <w:proofErr w:type="spellEnd"/>
      <w:r w:rsidRPr="005F5B23">
        <w:rPr>
          <w:rFonts w:ascii="Arial" w:hAnsi="Arial" w:cs="Arial"/>
          <w:bCs/>
          <w:sz w:val="24"/>
          <w:szCs w:val="24"/>
        </w:rPr>
        <w:t>)</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The </w:t>
      </w:r>
      <w:r w:rsidRPr="005F5B23">
        <w:rPr>
          <w:rFonts w:ascii="Arial" w:hAnsi="Arial" w:cs="Arial"/>
          <w:bCs/>
          <w:sz w:val="24"/>
          <w:szCs w:val="24"/>
        </w:rPr>
        <w:t xml:space="preserve">mean </w:t>
      </w:r>
      <w:proofErr w:type="spellStart"/>
      <w:r w:rsidRPr="005F5B23">
        <w:rPr>
          <w:rFonts w:ascii="Arial" w:hAnsi="Arial" w:cs="Arial"/>
          <w:bCs/>
          <w:sz w:val="24"/>
          <w:szCs w:val="24"/>
        </w:rPr>
        <w:t>Hb</w:t>
      </w:r>
      <w:proofErr w:type="spellEnd"/>
      <w:r w:rsidRPr="005F5B23">
        <w:rPr>
          <w:rFonts w:ascii="Arial" w:hAnsi="Arial" w:cs="Arial"/>
          <w:bCs/>
          <w:sz w:val="24"/>
          <w:szCs w:val="24"/>
        </w:rPr>
        <w:t xml:space="preserve"> level increased significantly</w:t>
      </w:r>
      <w:r w:rsidRPr="005F5B23">
        <w:rPr>
          <w:rFonts w:ascii="Arial" w:hAnsi="Arial" w:cs="Arial"/>
          <w:sz w:val="24"/>
          <w:szCs w:val="24"/>
        </w:rPr>
        <w:t xml:space="preserve"> by over 2 g/</w:t>
      </w:r>
      <w:proofErr w:type="spellStart"/>
      <w:r w:rsidRPr="005F5B23">
        <w:rPr>
          <w:rFonts w:ascii="Arial" w:hAnsi="Arial" w:cs="Arial"/>
          <w:sz w:val="24"/>
          <w:szCs w:val="24"/>
        </w:rPr>
        <w:t>dL</w:t>
      </w:r>
      <w:proofErr w:type="spellEnd"/>
      <w:r w:rsidRPr="005F5B23">
        <w:rPr>
          <w:rFonts w:ascii="Arial" w:hAnsi="Arial" w:cs="Arial"/>
          <w:sz w:val="24"/>
          <w:szCs w:val="24"/>
        </w:rPr>
        <w:t xml:space="preserve"> after treatment. With a </w:t>
      </w:r>
      <w:r w:rsidRPr="005F5B23">
        <w:rPr>
          <w:rFonts w:ascii="Arial" w:hAnsi="Arial" w:cs="Arial"/>
          <w:bCs/>
          <w:sz w:val="24"/>
          <w:szCs w:val="24"/>
        </w:rPr>
        <w:t>t-test value of 101.8</w:t>
      </w:r>
      <w:r w:rsidRPr="005F5B23">
        <w:rPr>
          <w:rFonts w:ascii="Arial" w:hAnsi="Arial" w:cs="Arial"/>
          <w:sz w:val="24"/>
          <w:szCs w:val="24"/>
        </w:rPr>
        <w:t xml:space="preserve"> and a </w:t>
      </w:r>
      <w:r w:rsidRPr="005F5B23">
        <w:rPr>
          <w:rFonts w:ascii="Arial" w:hAnsi="Arial" w:cs="Arial"/>
          <w:bCs/>
          <w:sz w:val="24"/>
          <w:szCs w:val="24"/>
        </w:rPr>
        <w:t>p-value of &lt; 0.001</w:t>
      </w:r>
      <w:r w:rsidRPr="005F5B23">
        <w:rPr>
          <w:rFonts w:ascii="Arial" w:hAnsi="Arial" w:cs="Arial"/>
          <w:sz w:val="24"/>
          <w:szCs w:val="24"/>
        </w:rPr>
        <w:t xml:space="preserve">, the difference is </w:t>
      </w:r>
      <w:r w:rsidRPr="005F5B23">
        <w:rPr>
          <w:rFonts w:ascii="Arial" w:hAnsi="Arial" w:cs="Arial"/>
          <w:bCs/>
          <w:sz w:val="24"/>
          <w:szCs w:val="24"/>
        </w:rPr>
        <w:t>highly statistically significant</w:t>
      </w:r>
      <w:r>
        <w:rPr>
          <w:rFonts w:ascii="Arial" w:hAnsi="Arial" w:cs="Arial"/>
          <w:sz w:val="24"/>
          <w:szCs w:val="24"/>
        </w:rPr>
        <w:t xml:space="preserve">. This underscores </w:t>
      </w:r>
      <w:proofErr w:type="spellStart"/>
      <w:r>
        <w:rPr>
          <w:rFonts w:ascii="Arial" w:hAnsi="Arial" w:cs="Arial"/>
          <w:sz w:val="24"/>
          <w:szCs w:val="24"/>
        </w:rPr>
        <w:t>Hydroxyurea’s</w:t>
      </w:r>
      <w:proofErr w:type="spellEnd"/>
      <w:r>
        <w:rPr>
          <w:rFonts w:ascii="Arial" w:hAnsi="Arial" w:cs="Arial"/>
          <w:sz w:val="24"/>
          <w:szCs w:val="24"/>
        </w:rPr>
        <w:t xml:space="preserve"> strong role in improving </w:t>
      </w:r>
      <w:proofErr w:type="spellStart"/>
      <w:r>
        <w:rPr>
          <w:rFonts w:ascii="Arial" w:hAnsi="Arial" w:cs="Arial"/>
          <w:sz w:val="24"/>
          <w:szCs w:val="24"/>
        </w:rPr>
        <w:t>haemoglobin</w:t>
      </w:r>
      <w:proofErr w:type="spellEnd"/>
      <w:r w:rsidRPr="005F5B23">
        <w:rPr>
          <w:rFonts w:ascii="Arial" w:hAnsi="Arial" w:cs="Arial"/>
          <w:sz w:val="24"/>
          <w:szCs w:val="24"/>
        </w:rPr>
        <w:t xml:space="preserve"> synthesis in SCD patients.</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A total of 86.7% of patients required at least one blood transfusion annually before treatment, with a mean of 2.49 ± 0.9. Post-treatment, 88.3% of patients </w:t>
      </w:r>
      <w:r>
        <w:rPr>
          <w:rFonts w:ascii="Arial" w:hAnsi="Arial" w:cs="Arial"/>
          <w:sz w:val="24"/>
          <w:szCs w:val="24"/>
        </w:rPr>
        <w:t>needed</w:t>
      </w:r>
      <w:r w:rsidRPr="005F5B23">
        <w:rPr>
          <w:rFonts w:ascii="Arial" w:hAnsi="Arial" w:cs="Arial"/>
          <w:sz w:val="24"/>
          <w:szCs w:val="24"/>
        </w:rPr>
        <w:t xml:space="preserve"> no transfusions, and the mean decreased to 1.11 ± 0.3 (t = 44.4, p &lt; 0.001).</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 The marked reduction in transfusion needs reflects improved hematologic stability and reduced </w:t>
      </w:r>
      <w:proofErr w:type="spellStart"/>
      <w:r>
        <w:rPr>
          <w:rFonts w:ascii="Arial" w:hAnsi="Arial" w:cs="Arial"/>
          <w:sz w:val="24"/>
          <w:szCs w:val="24"/>
        </w:rPr>
        <w:t>anaemia</w:t>
      </w:r>
      <w:proofErr w:type="spellEnd"/>
      <w:r>
        <w:rPr>
          <w:rFonts w:ascii="Arial" w:hAnsi="Arial" w:cs="Arial"/>
          <w:sz w:val="24"/>
          <w:szCs w:val="24"/>
        </w:rPr>
        <w:t>-related</w:t>
      </w:r>
      <w:r w:rsidRPr="005F5B23">
        <w:rPr>
          <w:rFonts w:ascii="Arial" w:hAnsi="Arial" w:cs="Arial"/>
          <w:sz w:val="24"/>
          <w:szCs w:val="24"/>
        </w:rPr>
        <w:t xml:space="preserve"> complications due to </w:t>
      </w:r>
      <w:proofErr w:type="spellStart"/>
      <w:r w:rsidRPr="005F5B23">
        <w:rPr>
          <w:rFonts w:ascii="Arial" w:hAnsi="Arial" w:cs="Arial"/>
          <w:sz w:val="24"/>
          <w:szCs w:val="24"/>
        </w:rPr>
        <w:t>Hydroxyurea</w:t>
      </w:r>
      <w:proofErr w:type="spellEnd"/>
      <w:r w:rsidRPr="005F5B23">
        <w:rPr>
          <w:rFonts w:ascii="Arial" w:hAnsi="Arial" w:cs="Arial"/>
          <w:sz w:val="24"/>
          <w:szCs w:val="24"/>
        </w:rPr>
        <w:t xml:space="preserve"> therapy.</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pStyle w:val="Heading2"/>
        <w:spacing w:line="360" w:lineRule="auto"/>
        <w:jc w:val="both"/>
        <w:rPr>
          <w:rFonts w:ascii="Arial" w:hAnsi="Arial" w:cs="Arial"/>
          <w:b/>
          <w:color w:val="000000" w:themeColor="text1"/>
          <w:sz w:val="24"/>
          <w:szCs w:val="24"/>
        </w:rPr>
      </w:pPr>
      <w:bookmarkStart w:id="6" w:name="_Toc202934401"/>
      <w:r w:rsidRPr="005F5B23">
        <w:rPr>
          <w:rFonts w:ascii="Arial" w:hAnsi="Arial" w:cs="Arial"/>
          <w:b/>
          <w:color w:val="000000" w:themeColor="text1"/>
          <w:sz w:val="24"/>
          <w:szCs w:val="24"/>
        </w:rPr>
        <w:t xml:space="preserve">    </w:t>
      </w:r>
      <w:r>
        <w:rPr>
          <w:rFonts w:ascii="Arial" w:hAnsi="Arial" w:cs="Arial"/>
          <w:b/>
          <w:color w:val="000000" w:themeColor="text1"/>
          <w:sz w:val="24"/>
          <w:szCs w:val="24"/>
        </w:rPr>
        <w:t xml:space="preserve">Fig. 1 Patient adherence to </w:t>
      </w:r>
      <w:proofErr w:type="spellStart"/>
      <w:r>
        <w:rPr>
          <w:rFonts w:ascii="Arial" w:hAnsi="Arial" w:cs="Arial"/>
          <w:b/>
          <w:color w:val="000000" w:themeColor="text1"/>
          <w:sz w:val="24"/>
          <w:szCs w:val="24"/>
        </w:rPr>
        <w:t>Hydroxyurea</w:t>
      </w:r>
      <w:proofErr w:type="spellEnd"/>
      <w:r>
        <w:rPr>
          <w:rFonts w:ascii="Arial" w:hAnsi="Arial" w:cs="Arial"/>
          <w:b/>
          <w:color w:val="000000" w:themeColor="text1"/>
          <w:sz w:val="24"/>
          <w:szCs w:val="24"/>
        </w:rPr>
        <w:t xml:space="preserve"> treatment attending the </w:t>
      </w:r>
      <w:proofErr w:type="spellStart"/>
      <w:r>
        <w:rPr>
          <w:rFonts w:ascii="Arial" w:hAnsi="Arial" w:cs="Arial"/>
          <w:b/>
          <w:color w:val="000000" w:themeColor="text1"/>
          <w:sz w:val="24"/>
          <w:szCs w:val="24"/>
        </w:rPr>
        <w:t>Haematological</w:t>
      </w:r>
      <w:proofErr w:type="spellEnd"/>
      <w:r w:rsidRPr="005F5B23">
        <w:rPr>
          <w:rFonts w:ascii="Arial" w:hAnsi="Arial" w:cs="Arial"/>
          <w:b/>
          <w:color w:val="000000" w:themeColor="text1"/>
          <w:sz w:val="24"/>
          <w:szCs w:val="24"/>
        </w:rPr>
        <w:t xml:space="preserve"> clinic at </w:t>
      </w:r>
      <w:proofErr w:type="spellStart"/>
      <w:r w:rsidRPr="005F5B23">
        <w:rPr>
          <w:rFonts w:ascii="Arial" w:hAnsi="Arial" w:cs="Arial"/>
          <w:b/>
          <w:color w:val="000000" w:themeColor="text1"/>
          <w:sz w:val="24"/>
          <w:szCs w:val="24"/>
        </w:rPr>
        <w:t>Jitimai</w:t>
      </w:r>
      <w:proofErr w:type="spellEnd"/>
      <w:r w:rsidRPr="005F5B23">
        <w:rPr>
          <w:rFonts w:ascii="Arial" w:hAnsi="Arial" w:cs="Arial"/>
          <w:b/>
          <w:color w:val="000000" w:themeColor="text1"/>
          <w:sz w:val="24"/>
          <w:szCs w:val="24"/>
        </w:rPr>
        <w:t xml:space="preserve"> District Hospital, Zanzibar.</w:t>
      </w:r>
      <w:bookmarkEnd w:id="6"/>
    </w:p>
    <w:p w:rsidR="00765883" w:rsidRPr="005F5B23" w:rsidRDefault="00765883" w:rsidP="00765883">
      <w:pPr>
        <w:spacing w:line="360" w:lineRule="auto"/>
        <w:jc w:val="both"/>
        <w:rPr>
          <w:rFonts w:ascii="Arial" w:hAnsi="Arial" w:cs="Arial"/>
          <w:sz w:val="24"/>
          <w:szCs w:val="24"/>
        </w:rPr>
      </w:pPr>
      <w:r w:rsidRPr="005F5B23">
        <w:rPr>
          <w:rFonts w:ascii="Arial" w:hAnsi="Arial" w:cs="Arial"/>
          <w:noProof/>
          <w:sz w:val="24"/>
          <w:szCs w:val="24"/>
        </w:rPr>
        <w:drawing>
          <wp:inline distT="0" distB="0" distL="0" distR="0" wp14:anchorId="71CC81C6" wp14:editId="4D9B81DD">
            <wp:extent cx="4567238" cy="2747962"/>
            <wp:effectExtent l="0" t="0" r="508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Among 180 SCD patients attending the </w:t>
      </w:r>
      <w:proofErr w:type="spellStart"/>
      <w:r>
        <w:rPr>
          <w:rFonts w:ascii="Arial" w:hAnsi="Arial" w:cs="Arial"/>
          <w:sz w:val="24"/>
          <w:szCs w:val="24"/>
        </w:rPr>
        <w:t>Haematology</w:t>
      </w:r>
      <w:proofErr w:type="spellEnd"/>
      <w:r w:rsidRPr="005F5B23">
        <w:rPr>
          <w:rFonts w:ascii="Arial" w:hAnsi="Arial" w:cs="Arial"/>
          <w:sz w:val="24"/>
          <w:szCs w:val="24"/>
        </w:rPr>
        <w:t xml:space="preserve"> Clinic at </w:t>
      </w:r>
      <w:proofErr w:type="spellStart"/>
      <w:r w:rsidRPr="005F5B23">
        <w:rPr>
          <w:rFonts w:ascii="Arial" w:hAnsi="Arial" w:cs="Arial"/>
          <w:sz w:val="24"/>
          <w:szCs w:val="24"/>
        </w:rPr>
        <w:t>Jitimai</w:t>
      </w:r>
      <w:proofErr w:type="spellEnd"/>
      <w:r w:rsidRPr="005F5B23">
        <w:rPr>
          <w:rFonts w:ascii="Arial" w:hAnsi="Arial" w:cs="Arial"/>
          <w:sz w:val="24"/>
          <w:szCs w:val="24"/>
        </w:rPr>
        <w:t xml:space="preserve"> District Hospital, 91.1</w:t>
      </w:r>
      <w:r w:rsidRPr="005F5B23">
        <w:rPr>
          <w:rFonts w:ascii="Arial" w:hAnsi="Arial" w:cs="Arial"/>
          <w:bCs/>
          <w:sz w:val="24"/>
          <w:szCs w:val="24"/>
        </w:rPr>
        <w:t>% (164 patients)</w:t>
      </w:r>
      <w:r w:rsidRPr="005F5B23">
        <w:rPr>
          <w:rFonts w:ascii="Arial" w:hAnsi="Arial" w:cs="Arial"/>
          <w:sz w:val="24"/>
          <w:szCs w:val="24"/>
        </w:rPr>
        <w:t xml:space="preserve"> demonstrated </w:t>
      </w:r>
      <w:r w:rsidRPr="005F5B23">
        <w:rPr>
          <w:rFonts w:ascii="Arial" w:hAnsi="Arial" w:cs="Arial"/>
          <w:bCs/>
          <w:sz w:val="24"/>
          <w:szCs w:val="24"/>
        </w:rPr>
        <w:t>good adherence</w:t>
      </w:r>
      <w:r w:rsidRPr="005F5B23">
        <w:rPr>
          <w:rFonts w:ascii="Arial" w:hAnsi="Arial" w:cs="Arial"/>
          <w:sz w:val="24"/>
          <w:szCs w:val="24"/>
        </w:rPr>
        <w:t xml:space="preserve"> to </w:t>
      </w:r>
      <w:proofErr w:type="spellStart"/>
      <w:r w:rsidRPr="005F5B23">
        <w:rPr>
          <w:rFonts w:ascii="Arial" w:hAnsi="Arial" w:cs="Arial"/>
          <w:sz w:val="24"/>
          <w:szCs w:val="24"/>
        </w:rPr>
        <w:t>Hydroxyurea</w:t>
      </w:r>
      <w:proofErr w:type="spellEnd"/>
      <w:r w:rsidRPr="005F5B23">
        <w:rPr>
          <w:rFonts w:ascii="Arial" w:hAnsi="Arial" w:cs="Arial"/>
          <w:sz w:val="24"/>
          <w:szCs w:val="24"/>
        </w:rPr>
        <w:t xml:space="preserve"> therapy. This </w:t>
      </w:r>
      <w:r w:rsidRPr="005F5B23">
        <w:rPr>
          <w:rFonts w:ascii="Arial" w:hAnsi="Arial" w:cs="Arial"/>
          <w:sz w:val="24"/>
          <w:szCs w:val="24"/>
        </w:rPr>
        <w:lastRenderedPageBreak/>
        <w:t>indicates a high level of treatment commitment, likely influenced by positive therapeutic outcomes, patient education, regular follow-up, and accessible healthcare support.</w:t>
      </w:r>
    </w:p>
    <w:p w:rsidR="00765883" w:rsidRPr="005F5B23" w:rsidRDefault="00765883" w:rsidP="00765883">
      <w:pPr>
        <w:spacing w:line="360" w:lineRule="auto"/>
        <w:jc w:val="both"/>
        <w:rPr>
          <w:rFonts w:ascii="Arial" w:hAnsi="Arial" w:cs="Arial"/>
          <w:sz w:val="24"/>
          <w:szCs w:val="24"/>
        </w:rPr>
      </w:pPr>
      <w:r w:rsidRPr="005F5B23">
        <w:rPr>
          <w:rFonts w:ascii="Arial" w:hAnsi="Arial" w:cs="Arial"/>
          <w:bCs/>
          <w:sz w:val="24"/>
          <w:szCs w:val="24"/>
        </w:rPr>
        <w:t>8.9% (16 patients)</w:t>
      </w:r>
      <w:r w:rsidRPr="005F5B23">
        <w:rPr>
          <w:rFonts w:ascii="Arial" w:hAnsi="Arial" w:cs="Arial"/>
          <w:sz w:val="24"/>
          <w:szCs w:val="24"/>
        </w:rPr>
        <w:t xml:space="preserve"> exhibited </w:t>
      </w:r>
      <w:r w:rsidRPr="005F5B23">
        <w:rPr>
          <w:rFonts w:ascii="Arial" w:hAnsi="Arial" w:cs="Arial"/>
          <w:bCs/>
          <w:sz w:val="24"/>
          <w:szCs w:val="24"/>
        </w:rPr>
        <w:t>moderate to poor adherence</w:t>
      </w:r>
      <w:r w:rsidRPr="005F5B23">
        <w:rPr>
          <w:rFonts w:ascii="Arial" w:hAnsi="Arial" w:cs="Arial"/>
          <w:sz w:val="24"/>
          <w:szCs w:val="24"/>
        </w:rPr>
        <w:t xml:space="preserve">. Factors contributing to this may include forgetfulness, side effects, lack of understanding of the therapy's benefits, financial or logistical barriers, or fear of long-term medication use. </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pStyle w:val="Heading2"/>
        <w:spacing w:line="360" w:lineRule="auto"/>
        <w:jc w:val="both"/>
        <w:rPr>
          <w:rFonts w:ascii="Arial" w:hAnsi="Arial" w:cs="Arial"/>
          <w:sz w:val="24"/>
          <w:szCs w:val="24"/>
        </w:rPr>
      </w:pPr>
    </w:p>
    <w:p w:rsidR="00765883" w:rsidRPr="005F5B23" w:rsidRDefault="00765883" w:rsidP="00765883">
      <w:pPr>
        <w:pStyle w:val="Heading2"/>
        <w:spacing w:line="360" w:lineRule="auto"/>
        <w:jc w:val="both"/>
        <w:rPr>
          <w:rFonts w:ascii="Arial" w:hAnsi="Arial" w:cs="Arial"/>
          <w:b/>
          <w:color w:val="000000" w:themeColor="text1"/>
          <w:sz w:val="24"/>
          <w:szCs w:val="24"/>
        </w:rPr>
      </w:pPr>
      <w:bookmarkStart w:id="7" w:name="_Toc202934402"/>
      <w:r w:rsidRPr="005F5B23">
        <w:rPr>
          <w:rFonts w:ascii="Arial" w:hAnsi="Arial" w:cs="Arial"/>
          <w:b/>
          <w:color w:val="000000" w:themeColor="text1"/>
          <w:sz w:val="24"/>
          <w:szCs w:val="24"/>
        </w:rPr>
        <w:t>Figure 2</w:t>
      </w:r>
      <w:r>
        <w:rPr>
          <w:rFonts w:ascii="Arial" w:hAnsi="Arial" w:cs="Arial"/>
          <w:b/>
          <w:color w:val="000000" w:themeColor="text1"/>
          <w:sz w:val="24"/>
          <w:szCs w:val="24"/>
        </w:rPr>
        <w:t xml:space="preserve">: Side effects of </w:t>
      </w:r>
      <w:proofErr w:type="spellStart"/>
      <w:r>
        <w:rPr>
          <w:rFonts w:ascii="Arial" w:hAnsi="Arial" w:cs="Arial"/>
          <w:b/>
          <w:color w:val="000000" w:themeColor="text1"/>
          <w:sz w:val="24"/>
          <w:szCs w:val="24"/>
        </w:rPr>
        <w:t>Hydroxyurea</w:t>
      </w:r>
      <w:proofErr w:type="spellEnd"/>
      <w:r>
        <w:rPr>
          <w:rFonts w:ascii="Arial" w:hAnsi="Arial" w:cs="Arial"/>
          <w:b/>
          <w:color w:val="000000" w:themeColor="text1"/>
          <w:sz w:val="24"/>
          <w:szCs w:val="24"/>
        </w:rPr>
        <w:t xml:space="preserve"> treatment on the SCD patient attending the </w:t>
      </w:r>
      <w:proofErr w:type="spellStart"/>
      <w:r>
        <w:rPr>
          <w:rFonts w:ascii="Arial" w:hAnsi="Arial" w:cs="Arial"/>
          <w:b/>
          <w:color w:val="000000" w:themeColor="text1"/>
          <w:sz w:val="24"/>
          <w:szCs w:val="24"/>
        </w:rPr>
        <w:t>Haematology</w:t>
      </w:r>
      <w:proofErr w:type="spellEnd"/>
      <w:r w:rsidRPr="005F5B23">
        <w:rPr>
          <w:rFonts w:ascii="Arial" w:hAnsi="Arial" w:cs="Arial"/>
          <w:b/>
          <w:color w:val="000000" w:themeColor="text1"/>
          <w:sz w:val="24"/>
          <w:szCs w:val="24"/>
        </w:rPr>
        <w:t xml:space="preserve"> clinic at </w:t>
      </w:r>
      <w:proofErr w:type="spellStart"/>
      <w:r w:rsidRPr="005F5B23">
        <w:rPr>
          <w:rFonts w:ascii="Arial" w:hAnsi="Arial" w:cs="Arial"/>
          <w:b/>
          <w:color w:val="000000" w:themeColor="text1"/>
          <w:sz w:val="24"/>
          <w:szCs w:val="24"/>
        </w:rPr>
        <w:t>Jitimai</w:t>
      </w:r>
      <w:proofErr w:type="spellEnd"/>
      <w:r w:rsidRPr="005F5B23">
        <w:rPr>
          <w:rFonts w:ascii="Arial" w:hAnsi="Arial" w:cs="Arial"/>
          <w:b/>
          <w:color w:val="000000" w:themeColor="text1"/>
          <w:sz w:val="24"/>
          <w:szCs w:val="24"/>
        </w:rPr>
        <w:t xml:space="preserve"> District Hospital.</w:t>
      </w:r>
      <w:bookmarkEnd w:id="7"/>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ab/>
      </w:r>
    </w:p>
    <w:p w:rsidR="00765883" w:rsidRPr="005F5B23" w:rsidRDefault="00765883" w:rsidP="00765883">
      <w:pPr>
        <w:pStyle w:val="BodyText"/>
        <w:spacing w:line="360" w:lineRule="auto"/>
        <w:jc w:val="both"/>
        <w:rPr>
          <w:rFonts w:ascii="Arial" w:hAnsi="Arial" w:cs="Arial"/>
        </w:rPr>
      </w:pPr>
      <w:r w:rsidRPr="005F5B23">
        <w:rPr>
          <w:rFonts w:ascii="Arial" w:hAnsi="Arial" w:cs="Arial"/>
          <w:noProof/>
        </w:rPr>
        <w:drawing>
          <wp:inline distT="0" distB="0" distL="0" distR="0" wp14:anchorId="61D1DBB7" wp14:editId="4AE6F2EA">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65883" w:rsidRPr="005F5B23" w:rsidRDefault="00765883" w:rsidP="00765883">
      <w:pPr>
        <w:pStyle w:val="NormalWeb"/>
        <w:spacing w:line="360" w:lineRule="auto"/>
        <w:jc w:val="both"/>
        <w:rPr>
          <w:rFonts w:ascii="Arial" w:hAnsi="Arial" w:cs="Arial"/>
        </w:rPr>
      </w:pPr>
      <w:r>
        <w:rPr>
          <w:rFonts w:ascii="Arial" w:hAnsi="Arial" w:cs="Arial"/>
        </w:rPr>
        <w:t>Considering the side effects</w:t>
      </w:r>
      <w:r w:rsidRPr="005F5B23">
        <w:rPr>
          <w:rFonts w:ascii="Arial" w:hAnsi="Arial" w:cs="Arial"/>
        </w:rPr>
        <w:t xml:space="preserve">, </w:t>
      </w:r>
      <w:r w:rsidRPr="005F5B23">
        <w:rPr>
          <w:rStyle w:val="Strong"/>
          <w:rFonts w:ascii="Arial" w:hAnsi="Arial" w:cs="Arial"/>
        </w:rPr>
        <w:t>87.8% reported no side effects</w:t>
      </w:r>
      <w:r w:rsidRPr="005F5B23">
        <w:rPr>
          <w:rFonts w:ascii="Arial" w:hAnsi="Arial" w:cs="Arial"/>
          <w:b/>
        </w:rPr>
        <w:t xml:space="preserve">, </w:t>
      </w:r>
      <w:r w:rsidRPr="005F5B23">
        <w:rPr>
          <w:rFonts w:ascii="Arial" w:hAnsi="Arial" w:cs="Arial"/>
        </w:rPr>
        <w:t xml:space="preserve">indicating strong tolerability. The most common adverse effects were </w:t>
      </w:r>
      <w:r w:rsidRPr="005F5B23">
        <w:rPr>
          <w:rStyle w:val="Strong"/>
          <w:rFonts w:ascii="Arial" w:hAnsi="Arial" w:cs="Arial"/>
        </w:rPr>
        <w:t>nausea and vomiting (6.7%)</w:t>
      </w:r>
      <w:r w:rsidRPr="005F5B23">
        <w:rPr>
          <w:rFonts w:ascii="Arial" w:hAnsi="Arial" w:cs="Arial"/>
          <w:b/>
        </w:rPr>
        <w:t>,</w:t>
      </w:r>
      <w:r w:rsidRPr="005F5B23">
        <w:rPr>
          <w:rFonts w:ascii="Arial" w:hAnsi="Arial" w:cs="Arial"/>
        </w:rPr>
        <w:t xml:space="preserve"> followed by </w:t>
      </w:r>
      <w:r w:rsidRPr="005F5B23">
        <w:rPr>
          <w:rStyle w:val="Strong"/>
          <w:rFonts w:ascii="Arial" w:hAnsi="Arial" w:cs="Arial"/>
        </w:rPr>
        <w:t>fatigue (3.3%)</w:t>
      </w:r>
      <w:r w:rsidRPr="005F5B23">
        <w:rPr>
          <w:rFonts w:ascii="Arial" w:hAnsi="Arial" w:cs="Arial"/>
          <w:b/>
        </w:rPr>
        <w:t xml:space="preserve">, </w:t>
      </w:r>
      <w:r w:rsidRPr="005F5B23">
        <w:rPr>
          <w:rStyle w:val="Strong"/>
          <w:rFonts w:ascii="Arial" w:hAnsi="Arial" w:cs="Arial"/>
        </w:rPr>
        <w:t>hair loss (1.1%)</w:t>
      </w:r>
      <w:r w:rsidRPr="005F5B23">
        <w:rPr>
          <w:rFonts w:ascii="Arial" w:hAnsi="Arial" w:cs="Arial"/>
          <w:b/>
        </w:rPr>
        <w:t xml:space="preserve">, </w:t>
      </w:r>
      <w:r w:rsidRPr="005F5B23">
        <w:rPr>
          <w:rFonts w:ascii="Arial" w:hAnsi="Arial" w:cs="Arial"/>
        </w:rPr>
        <w:t>and</w:t>
      </w:r>
      <w:r w:rsidRPr="005F5B23">
        <w:rPr>
          <w:rFonts w:ascii="Arial" w:hAnsi="Arial" w:cs="Arial"/>
          <w:b/>
        </w:rPr>
        <w:t xml:space="preserve"> </w:t>
      </w:r>
      <w:r w:rsidRPr="005F5B23">
        <w:rPr>
          <w:rStyle w:val="Strong"/>
          <w:rFonts w:ascii="Arial" w:hAnsi="Arial" w:cs="Arial"/>
        </w:rPr>
        <w:t>mouth ulcers (1.1%)</w:t>
      </w:r>
      <w:r w:rsidRPr="005F5B23">
        <w:rPr>
          <w:rFonts w:ascii="Arial" w:hAnsi="Arial" w:cs="Arial"/>
          <w:b/>
        </w:rPr>
        <w:t>.</w:t>
      </w:r>
      <w:r w:rsidRPr="005F5B23">
        <w:rPr>
          <w:rFonts w:ascii="Arial" w:hAnsi="Arial" w:cs="Arial"/>
        </w:rPr>
        <w:t xml:space="preserve"> All reported side effects were mild and manageable, reinforcing </w:t>
      </w:r>
      <w:proofErr w:type="spellStart"/>
      <w:r w:rsidRPr="005F5B23">
        <w:rPr>
          <w:rFonts w:ascii="Arial" w:hAnsi="Arial" w:cs="Arial"/>
        </w:rPr>
        <w:t>Hydroxyurea's</w:t>
      </w:r>
      <w:proofErr w:type="spellEnd"/>
      <w:r w:rsidRPr="005F5B23">
        <w:rPr>
          <w:rFonts w:ascii="Arial" w:hAnsi="Arial" w:cs="Arial"/>
        </w:rPr>
        <w:t xml:space="preserve"> </w:t>
      </w:r>
      <w:proofErr w:type="spellStart"/>
      <w:r>
        <w:rPr>
          <w:rFonts w:ascii="Arial" w:hAnsi="Arial" w:cs="Arial"/>
        </w:rPr>
        <w:t>favourable</w:t>
      </w:r>
      <w:proofErr w:type="spellEnd"/>
      <w:r w:rsidRPr="005F5B23">
        <w:rPr>
          <w:rFonts w:ascii="Arial" w:hAnsi="Arial" w:cs="Arial"/>
        </w:rPr>
        <w:t xml:space="preserve"> safety profile in this setting.</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pStyle w:val="Heading1"/>
        <w:spacing w:line="360" w:lineRule="auto"/>
        <w:jc w:val="both"/>
        <w:rPr>
          <w:rFonts w:ascii="Arial" w:hAnsi="Arial" w:cs="Arial"/>
          <w:b/>
          <w:color w:val="000000" w:themeColor="text1"/>
          <w:sz w:val="24"/>
          <w:szCs w:val="24"/>
        </w:rPr>
      </w:pPr>
      <w:bookmarkStart w:id="8" w:name="_Toc202934404"/>
      <w:r w:rsidRPr="005F5B23">
        <w:rPr>
          <w:rFonts w:ascii="Arial" w:hAnsi="Arial" w:cs="Arial"/>
          <w:b/>
          <w:color w:val="000000" w:themeColor="text1"/>
          <w:sz w:val="24"/>
          <w:szCs w:val="24"/>
        </w:rPr>
        <w:lastRenderedPageBreak/>
        <w:t>DISCUSSION</w:t>
      </w:r>
      <w:bookmarkEnd w:id="8"/>
    </w:p>
    <w:p w:rsidR="00765883" w:rsidRPr="005F5B23" w:rsidRDefault="00765883" w:rsidP="00765883">
      <w:pPr>
        <w:pStyle w:val="BodyText"/>
        <w:spacing w:line="360" w:lineRule="auto"/>
        <w:jc w:val="both"/>
        <w:rPr>
          <w:rFonts w:ascii="Arial" w:hAnsi="Arial" w:cs="Arial"/>
        </w:rPr>
      </w:pPr>
    </w:p>
    <w:p w:rsidR="00765883" w:rsidRPr="00E23860" w:rsidRDefault="00765883" w:rsidP="00765883">
      <w:pPr>
        <w:spacing w:before="100" w:beforeAutospacing="1" w:after="100" w:afterAutospacing="1" w:line="360" w:lineRule="auto"/>
        <w:jc w:val="both"/>
        <w:rPr>
          <w:rFonts w:ascii="Arial" w:eastAsia="Times New Roman" w:hAnsi="Arial" w:cs="Arial"/>
          <w:sz w:val="24"/>
          <w:szCs w:val="24"/>
        </w:rPr>
      </w:pPr>
      <w:r w:rsidRPr="00621B64">
        <w:rPr>
          <w:rFonts w:ascii="Arial" w:eastAsia="Times New Roman" w:hAnsi="Arial" w:cs="Arial"/>
          <w:sz w:val="24"/>
          <w:szCs w:val="24"/>
        </w:rPr>
        <w:t xml:space="preserve">This study enrolled 180 respondents, with a higher proportion of females (57.2%) compared to males (42.8%). This gender distribution may reflect differences in health-seeking </w:t>
      </w:r>
      <w:proofErr w:type="spellStart"/>
      <w:r>
        <w:rPr>
          <w:rFonts w:ascii="Arial" w:eastAsia="Times New Roman" w:hAnsi="Arial" w:cs="Arial"/>
          <w:sz w:val="24"/>
          <w:szCs w:val="24"/>
        </w:rPr>
        <w:t>behaviour</w:t>
      </w:r>
      <w:proofErr w:type="spellEnd"/>
      <w:r w:rsidRPr="00621B64">
        <w:rPr>
          <w:rFonts w:ascii="Arial" w:eastAsia="Times New Roman" w:hAnsi="Arial" w:cs="Arial"/>
          <w:sz w:val="24"/>
          <w:szCs w:val="24"/>
        </w:rPr>
        <w:t>, disease perception, or care access, particularly among caregivers of pediatric patients. Similar gender disparities have been reported in studies from</w:t>
      </w:r>
      <w:r w:rsidRPr="00E23860">
        <w:rPr>
          <w:rFonts w:ascii="Arial" w:eastAsia="Times New Roman" w:hAnsi="Arial" w:cs="Arial"/>
          <w:sz w:val="24"/>
          <w:szCs w:val="24"/>
        </w:rPr>
        <w:t xml:space="preserve"> Nigeria and Ghana, where male</w:t>
      </w:r>
      <w:r w:rsidRPr="00621B64">
        <w:rPr>
          <w:rFonts w:ascii="Arial" w:eastAsia="Times New Roman" w:hAnsi="Arial" w:cs="Arial"/>
          <w:sz w:val="24"/>
          <w:szCs w:val="24"/>
        </w:rPr>
        <w:t xml:space="preserve"> predominance among clinic attendees was attributed to higher caregiver involvement by mothers or differing disease severity perceptions between genders</w:t>
      </w:r>
      <w:r w:rsidRPr="00E23860">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{"citationItems":[{"id":"ITEM-1","itemData":{"DOI":"10.3389/fmolb.2019.00140","ISSN":"2296889X","abstract":"Sickle cell disease (SCD) is one of the most common monogenic disease worldwide. The incidence of SCD is not strictly gender-related as it is transmitted as an autosomal recessive disorder. In particular, the gender-related differences in pediatric SCD are not well-characterized. To address this matter, we retrospectively analyzed the clinical records of 39 pediatric patients with a diagnosis of SCD (hemoglobin SS genotype) focusing on gender differences analyzing various aspects of the disease and comprising both acute symptoms and late complications. We found various gender-related differences in our pediatric population. In particular, pain crisis frequency per year was significantly increased in the male population with a mean number of crisis per year of 1.6 vs. 0.6 in the female population (p = 0.04). Also, severe complications (both infectious and cardiovascular) were mostly found in the male population. SCD-related late cardiac complications were observed mainly in the male population (p = 0.04). Our data support the hypothesis that gender could play a role in determining the clinical course of SCD, even though further studies are needed to assess the exact weight of its influence over the course of the disease. The higher morbidity in males is a well-known feature of SCD in adults and these findings have been only partially studied in the pediatric population. These differences have, in adults, been attributed to hormonal variations found in the two sexes after puberty. In a pediatric population, other factors must be responsible for these discrepancies. These findings suggest that gender could be a valuable factor in the risk stratification of these patients at diagnosis, and possibly guide therapeutic decisions, with the final aim of personalizing the therapy.","author":[{"dropping-particle":"","family":"Ceglie","given":"Giulia","non-dropping-particle":"","parse-names":false,"suffix":""},{"dropping-particle":"","family":"Mauro","given":"Margherita","non-dropping-particle":"Di","parse-names":false,"suffix":""},{"dropping-particle":"","family":"Tarissi De Jacobis","given":"Isabella","non-dropping-particle":"","parse-names":false,"suffix":""},{"dropping-particle":"","family":"Gennaro","given":"Francesca","non-dropping-particle":"de","parse-names":false,"suffix":""},{"dropping-particle":"","family":"Quaranta","given":"Martina","non-dropping-particle":"","parse-names":false,"suffix":""},{"dropping-particle":"","family":"Baronci","given":"Carlo","non-dropping-particle":"","parse-names":false,"suffix":""},{"dropping-particle":"","family":"Villani","given":"Alberto","non-dropping-particle":"","parse-names":false,"suffix":""},{"dropping-particle":"","family":"Palumbo","given":"Giuseppe","non-dropping-particle":"","parse-names":false,"suffix":""}],"container-title":"Frontiers in Molecular Biosciences","id":"ITEM-1","issue":"December","issued":{"date-parts":[["2019"]]},"page":"1-5","title":"Gender-Related Differences in Sickle Cell Disease in a Pediatric Cohort: A Single-Center Retrospective Study","type":"article-journal","volume":"6"},"uris":["http://www.mendeley.com/documents/?uuid=cf5ca97b-e492-406d-bb54-93e2cacb7d6f","http://www.mendeley.com/documents/?uuid=63116296-2849-43e3-8ea3-767116cacb8a"]}],"mendeley":{"formattedCitation":"[12]","plainTextFormattedCitation":"[12]","previouslyFormattedCitation":"(Ceglie et al., 2019)"},"properties":{"noteIndex":0},"schema":"https://github.com/citation-style-language/schema/raw/master/csl-citation.json"}</w:instrText>
      </w:r>
      <w:r w:rsidRPr="00E23860">
        <w:rPr>
          <w:rFonts w:ascii="Arial" w:eastAsia="Times New Roman" w:hAnsi="Arial" w:cs="Arial"/>
          <w:sz w:val="24"/>
          <w:szCs w:val="24"/>
        </w:rPr>
        <w:fldChar w:fldCharType="separate"/>
      </w:r>
      <w:r w:rsidRPr="00765883">
        <w:rPr>
          <w:rFonts w:ascii="Arial" w:eastAsia="Times New Roman" w:hAnsi="Arial" w:cs="Arial"/>
          <w:noProof/>
          <w:sz w:val="24"/>
          <w:szCs w:val="24"/>
        </w:rPr>
        <w:t>[12]</w:t>
      </w:r>
      <w:r w:rsidRPr="00E23860">
        <w:rPr>
          <w:rFonts w:ascii="Arial" w:eastAsia="Times New Roman" w:hAnsi="Arial" w:cs="Arial"/>
          <w:sz w:val="24"/>
          <w:szCs w:val="24"/>
        </w:rPr>
        <w:fldChar w:fldCharType="end"/>
      </w:r>
      <w:r w:rsidRPr="00E23860">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{"citationItems":[{"id":"ITEM-1","itemData":{"DOI":"10.2147/JBM.S294952","ISBN":"2348038617","ISSN":"11792736","abstract":"Background: Due to the chronic nature of sickle cell disease (SCD), affected individuals may seek help from diverse places thus raising the need to understand their health-seeking behavior (HSB) in order to design an appropriate management policy for them. Aim: The aim of this study was to evaluate the HSB among pediatric SCD patients relative to their non-SCD counterparts attending a tertiary facility in Southwest Nigeria and identified predictors of poor HSB among SCD patients. Methods: A total of 110 children with SCD were recruited and studied for their HSPs which were compared with 110 non-SCD patients with other chronic medical conditions. Questionnaires were used to obtain self-reported information on participants’ socio- demographic data and HSB. Logistic regression was used to determine the predictors of poor HSB among the SCD cohort. Results: More SCD patients received treatments at private hospitals, patent medicine stores and faith-based centers compared to their non-SCD counterparts (p=0.0052; 0.006; and 0.007), respectively. No difference was observed in the patronage of traditional care centres 10 (9.1%) vs 6 (5.5%). More SCD patients 61 (55.5%) vs 35 (31.8%) exhibited poor HSB (p=0.0004). SCD patients who were not enrolled on health insurance scheme were 18 times more likely to have poor HSB (OR=18.38, 95% CI (4.41-76.57), p value= &lt;0.0001) while absence of VOC within the preceding year reduces the risk of poor HSB by 91.5% (OR=0.085, 95% CI (0.028-0.258), p value= &lt;0.0001). Conclusion: SCD patients in the study locality had poor HSB. This raises the need for their education on proper HSB. More enrollment into health insurance scheme and the prevention of VOC will lessen the burden of poor HSB. The high patronage of non-hospital care facilities in this study raises the need for stakeholders to monitor activities and train the operators at these informal care centres.","author":[{"dropping-particle":"","family":"Olatunya","given":"Oladele Simeon","non-dropping-particle":"","parse-names":false,"suffix":""},{"dropping-particle":"","family":"Babatola","given":"Adefunke Olarinre","non-dropping-particle":"","parse-names":false,"suffix":""},{"dropping-particle":"","family":"Adeniyi","given":"Adewuyi Temidayo","non-dropping-particle":"","parse-names":false,"suffix":""},{"dropping-particle":"","family":"Lawal","given":"Olubunmi Adeola","non-dropping-particle":"","parse-names":false,"suffix":""},{"dropping-particle":"","family":"Daramola","given":"Alaba Olanrewaju","non-dropping-particle":"","parse-names":false,"suffix":""},{"dropping-particle":"","family":"Agbesanwa","given":"Tosin Anthony","non-dropping-particle":"","parse-names":false,"suffix":""},{"dropping-particle":"","family":"Ojo","given":"Temitope Olumuyiwa","non-dropping-particle":"","parse-names":false,"suffix":""},{"dropping-particle":"","family":"Ajayi","given":"Paul Oladapo","non-dropping-particle":"","parse-names":false,"suffix":""},{"dropping-particle":"","family":"Ibijola","given":"Adeleke Ajayi","non-dropping-particle":"","parse-names":false,"suffix":""},{"dropping-particle":"","family":"Komolafe","given":"Akinwumi Kolawole","non-dropping-particle":"","parse-names":false,"suffix":""},{"dropping-particle":"","family":"Adekile","given":"Adekunle","non-dropping-particle":"","parse-names":false,"suffix":""}],"container-title":"Journal of Blood Medicine","id":"ITEM-1","issued":{"date-parts":[["2021"]]},"page":"123-132","title":"Determinants of care-seeking practices for children with sickle cell disease in Ekiti, Southwest Nigeria","type":"article-journal","volume":"12"},"uris":["http://www.mendeley.com/documents/?uuid=84b76daf-8158-453d-968a-9a11858996fc","http://www.mendeley.com/documents/?uuid=4ca4e626-f589-4f41-86cd-327cd50eec08"]}],"mendeley":{"formattedCitation":"[13]","plainTextFormattedCitation":"[13]","previouslyFormattedCitation":"(Olatunya et al., 2021)"},"properties":{"noteIndex":0},"schema":"https://github.com/citation-style-language/schema/raw/master/csl-citation.json"}</w:instrText>
      </w:r>
      <w:r w:rsidRPr="00E23860">
        <w:rPr>
          <w:rFonts w:ascii="Arial" w:eastAsia="Times New Roman" w:hAnsi="Arial" w:cs="Arial"/>
          <w:sz w:val="24"/>
          <w:szCs w:val="24"/>
        </w:rPr>
        <w:fldChar w:fldCharType="separate"/>
      </w:r>
      <w:r w:rsidRPr="00765883">
        <w:rPr>
          <w:rFonts w:ascii="Arial" w:eastAsia="Times New Roman" w:hAnsi="Arial" w:cs="Arial"/>
          <w:noProof/>
          <w:sz w:val="24"/>
          <w:szCs w:val="24"/>
        </w:rPr>
        <w:t>[13]</w:t>
      </w:r>
      <w:r w:rsidRPr="00E23860">
        <w:rPr>
          <w:rFonts w:ascii="Arial" w:eastAsia="Times New Roman" w:hAnsi="Arial" w:cs="Arial"/>
          <w:sz w:val="24"/>
          <w:szCs w:val="24"/>
        </w:rPr>
        <w:fldChar w:fldCharType="end"/>
      </w:r>
      <w:r w:rsidRPr="00621B64">
        <w:rPr>
          <w:rFonts w:ascii="Arial" w:eastAsia="Times New Roman" w:hAnsi="Arial" w:cs="Arial"/>
          <w:sz w:val="24"/>
          <w:szCs w:val="24"/>
        </w:rPr>
        <w:t>. The majority of participants (59.4%) were children aged 1–12 years, suggesting early diagnosis and regular pediatric follow-up of sickle cell disease (SCD). This alig</w:t>
      </w:r>
      <w:r w:rsidRPr="00E23860">
        <w:rPr>
          <w:rFonts w:ascii="Arial" w:eastAsia="Times New Roman" w:hAnsi="Arial" w:cs="Arial"/>
          <w:sz w:val="24"/>
          <w:szCs w:val="24"/>
        </w:rPr>
        <w:t xml:space="preserve">ns with findings by </w:t>
      </w:r>
      <w:proofErr w:type="spellStart"/>
      <w:r w:rsidRPr="00E23860">
        <w:rPr>
          <w:rFonts w:ascii="Arial" w:hAnsi="Arial" w:cs="Arial"/>
          <w:sz w:val="24"/>
          <w:szCs w:val="24"/>
        </w:rPr>
        <w:t>Kilungu</w:t>
      </w:r>
      <w:proofErr w:type="spellEnd"/>
      <w:r w:rsidRPr="00621B64">
        <w:rPr>
          <w:rFonts w:ascii="Arial" w:eastAsia="Times New Roman" w:hAnsi="Arial" w:cs="Arial"/>
          <w:sz w:val="24"/>
          <w:szCs w:val="24"/>
        </w:rPr>
        <w:t xml:space="preserve"> in Tanzania</w:t>
      </w:r>
      <w:r w:rsidRPr="00E23860">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author":[{"dropping-particle":"","family":"Kilungu","given":"Adamu","non-dropping-particle":"","parse-names":false,"suffix":""},{"dropping-particle":"","family":"Winchislaus","given":"Ernest","non-dropping-particle":"","parse-names":false,"suffix":""},{"dropping-particle":"","family":"Alberto","given":"Gaudence","non-dropping-particle":"","parse-names":false,"suffix":""},{"dropping-particle":"","family":"Wapalila","given":"Abednego","non-dropping-particle":"","parse-names":false,"suffix":""},{"dropping-particle":"","family":"Kayombo","given":"Victor","non-dropping-particle":"","parse-names":false,"suffix":""},{"dropping-particle":"","family":"Sonda","given":"Tolbert","non-dropping-particle":"","parse-names":false,"suffix":""}],"container-title":"medRxiv","id":"ITEM-1","issued":{"date-parts":[["2025"]]},"page":"2003-2025","title":"Outcomes and Complications of Sickle Cell Disease among Hospitalized Paediatric Patients; A Retrospective Study in a Tertiary Hospital, Tanzania","type":"article-journal"},"uris":["http://www.mendeley.com/documents/?uuid=1aadf6ed-5ae9-49c1-bfc8-f19136141582","http://www.mendeley.com/documents/?uuid=7d653fb5-02b5-46f3-b328-d184dafa5f9d"]}],"mendeley":{"formattedCitation":"[14]","plainTextFormattedCitation":"[14]","previouslyFormattedCitation":"(Kilungu et al., 2025)"},"properties":{"noteIndex":0},"schema":"https://github.com/citation-style-language/schema/raw/master/csl-citation.json"}</w:instrText>
      </w:r>
      <w:r w:rsidRPr="00E23860">
        <w:rPr>
          <w:rFonts w:ascii="Arial" w:eastAsia="Times New Roman" w:hAnsi="Arial" w:cs="Arial"/>
          <w:sz w:val="24"/>
          <w:szCs w:val="24"/>
        </w:rPr>
        <w:fldChar w:fldCharType="separate"/>
      </w:r>
      <w:r w:rsidRPr="00765883">
        <w:rPr>
          <w:rFonts w:ascii="Arial" w:eastAsia="Times New Roman" w:hAnsi="Arial" w:cs="Arial"/>
          <w:noProof/>
          <w:sz w:val="24"/>
          <w:szCs w:val="24"/>
        </w:rPr>
        <w:t>[14]</w:t>
      </w:r>
      <w:r w:rsidRPr="00E23860">
        <w:rPr>
          <w:rFonts w:ascii="Arial" w:eastAsia="Times New Roman" w:hAnsi="Arial" w:cs="Arial"/>
          <w:sz w:val="24"/>
          <w:szCs w:val="24"/>
        </w:rPr>
        <w:fldChar w:fldCharType="end"/>
      </w:r>
      <w:r w:rsidRPr="00621B64">
        <w:rPr>
          <w:rFonts w:ascii="Arial" w:eastAsia="Times New Roman" w:hAnsi="Arial" w:cs="Arial"/>
          <w:sz w:val="24"/>
          <w:szCs w:val="24"/>
        </w:rPr>
        <w:t xml:space="preserve">, who </w:t>
      </w:r>
      <w:proofErr w:type="spellStart"/>
      <w:r>
        <w:rPr>
          <w:rFonts w:ascii="Arial" w:eastAsia="Times New Roman" w:hAnsi="Arial" w:cs="Arial"/>
          <w:sz w:val="24"/>
          <w:szCs w:val="24"/>
        </w:rPr>
        <w:t>emphasised</w:t>
      </w:r>
      <w:proofErr w:type="spellEnd"/>
      <w:r w:rsidRPr="00621B64">
        <w:rPr>
          <w:rFonts w:ascii="Arial" w:eastAsia="Times New Roman" w:hAnsi="Arial" w:cs="Arial"/>
          <w:sz w:val="24"/>
          <w:szCs w:val="24"/>
        </w:rPr>
        <w:t xml:space="preserve"> the importance of early SCD detection through newborn screening programs. However, the presence of a significant proportion of adolescents and adults (40.6%) underlines the necessity of continuity of care beyond childhood, a challenge echoed </w:t>
      </w:r>
      <w:r w:rsidRPr="00E23860">
        <w:rPr>
          <w:rFonts w:ascii="Arial" w:eastAsia="Times New Roman" w:hAnsi="Arial" w:cs="Arial"/>
          <w:sz w:val="24"/>
          <w:szCs w:val="24"/>
        </w:rPr>
        <w:t>by studies in Uganda</w:t>
      </w:r>
      <w:r w:rsidRPr="00621B64">
        <w:rPr>
          <w:rFonts w:ascii="Arial" w:eastAsia="Times New Roman" w:hAnsi="Arial" w:cs="Arial"/>
          <w:sz w:val="24"/>
          <w:szCs w:val="24"/>
        </w:rPr>
        <w:t xml:space="preserve"> due to limited adult-focused </w:t>
      </w:r>
      <w:r w:rsidRPr="00E23860">
        <w:rPr>
          <w:rFonts w:ascii="Arial" w:eastAsia="Times New Roman" w:hAnsi="Arial" w:cs="Arial"/>
          <w:sz w:val="24"/>
          <w:szCs w:val="24"/>
        </w:rPr>
        <w:t>SCD services</w:t>
      </w:r>
      <w:r w:rsidRPr="00E23860">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{"citationItems":[{"id":"ITEM-1","itemData":{"abstract":"&lt;p&gt; &lt;bold&gt;Background&lt;/bold&gt; Outcome of patients with sickle cell disease (SCD) has improved greatly over the past 60 years with several studies showing improved survival into adulthood due to advancement in medical care. A successful transition is critical for optimal health outcomes. However, health care delivery systems that support the optimal transfer from pediatric to adult care have not kept pace with the growing adult population. Mulago pediatric sickle cell clinic has faced multiple challenges with transition to adult care that are not well documented. The objective of this study was to describe the clinical characteristics of adolescents and adults with sickle cell disease and barriers to adult care at Mulago hospital. &lt;bold&gt;Methods&lt;/bold&gt; This was a mixed methods cross sectional study with both qualitative and quantitative data collection methods conducted among patients attending the pediatric sickle cell clinic at Mulago hospital, their caregivers and health care workers. A registry and medical records review was done to obtain data for the quantitative arm. The qualitative component consisted of 30 in-depth-interviews involving patients and care givers and 10 key informant interviews with healthcare workers. Quantitative data was coded and entered into Epidata version 4.6 and then exported to STATA 14 for analysis. Qualitative data was analyzed using the content thematic approach. &lt;bold&gt;RESULTS&lt;/bold&gt; The proportion of patients aged 14 years and above still attending the pediatric clinic was 21.6%. Barriers to transition of care as expressed by care givers and patients were limited knowledge on transition, attachment to their pediatric careers and negative experiences in the adult clinics. Health care system barriers included poorly organized adult clinics with few working days compared to the paediatric clinic that operates daily. This was compounded by lack of policies and guidelines on transition, inadequate human resource and limited access to the essential drugs in the adult clinics. &lt;bold&gt;Conclusions and recommendations&lt;/bold&gt; There is still a large proportion of adults and young adults (AYAs) still attending the pediatric sickle cell clinic and barriers to transition were not only sociodemographic but also psychosocial and health system related. There is need for better planning and preparation with better patient centered interventions in order to improve transition. &lt;/p&gt;","author":[{"dropping-particle":"","family":"Owomuhangi","given":"Racheal","non-dropping-particle":"","parse-names":false,"suffix":""},{"dropping-particle":"","family":"Karamagi","given":"Charles","non-dropping-particle":"","parse-names":false,"suffix":""},{"dropping-particle":"","family":"Ndeezi","given":"Grace","non-dropping-particle":"","parse-names":false,"suffix":""},{"dropping-particle":"","family":"Kwiringira","given":"Japheth","non-dropping-particle":"","parse-names":false,"suffix":""},{"dropping-particle":"","family":"Munube","given":"Deogratias","non-dropping-particle":"","parse-names":false,"suffix":""},{"dropping-particle":"","family":"Kiguli","given":"Sarah","non-dropping-particle":"","parse-names":false,"suffix":""},{"dropping-particle":"","family":"Opoka","given":"Robert Opika","non-dropping-particle":"","parse-names":false,"suffix":""},{"dropping-particle":"","family":"Namazzi","given":"Ruth","non-dropping-particle":"","parse-names":false,"suffix":""}],"id":"ITEM-1","issued":{"date-parts":[["2025"]]},"page":"1-19","title":"Clinical characteristics of adolescents and adults with Sickle Cell Disease and barriers to transition to adult care at Mulago Hospital, Uganda: A mixed methods study","type":"article-journal"},"uris":["http://www.mendeley.com/documents/?uuid=87d16c07-5206-458c-bbf6-1824e342c530","http://www.mendeley.com/documents/?uuid=64252c4f-a1f5-4c5d-9283-4d45b3344340"]}],"mendeley":{"formattedCitation":"[15]","plainTextFormattedCitation":"[15]","previouslyFormattedCitation":"(Owomuhangi et al., 2025)"},"properties":{"noteIndex":0},"schema":"https://github.com/citation-style-language/schema/raw/master/csl-citation.json"}</w:instrText>
      </w:r>
      <w:r w:rsidRPr="00E23860">
        <w:rPr>
          <w:rFonts w:ascii="Arial" w:eastAsia="Times New Roman" w:hAnsi="Arial" w:cs="Arial"/>
          <w:sz w:val="24"/>
          <w:szCs w:val="24"/>
        </w:rPr>
        <w:fldChar w:fldCharType="separate"/>
      </w:r>
      <w:r w:rsidRPr="00765883">
        <w:rPr>
          <w:rFonts w:ascii="Arial" w:eastAsia="Times New Roman" w:hAnsi="Arial" w:cs="Arial"/>
          <w:noProof/>
          <w:sz w:val="24"/>
          <w:szCs w:val="24"/>
        </w:rPr>
        <w:t>[15]</w:t>
      </w:r>
      <w:r w:rsidRPr="00E23860">
        <w:rPr>
          <w:rFonts w:ascii="Arial" w:eastAsia="Times New Roman" w:hAnsi="Arial" w:cs="Arial"/>
          <w:sz w:val="24"/>
          <w:szCs w:val="24"/>
        </w:rPr>
        <w:fldChar w:fldCharType="end"/>
      </w:r>
      <w:r w:rsidRPr="00E23860">
        <w:rPr>
          <w:rFonts w:ascii="Arial" w:eastAsia="Times New Roman" w:hAnsi="Arial" w:cs="Arial"/>
          <w:sz w:val="24"/>
          <w:szCs w:val="24"/>
        </w:rPr>
        <w:t xml:space="preserve"> </w:t>
      </w:r>
    </w:p>
    <w:p w:rsidR="00765883" w:rsidRPr="00586642" w:rsidRDefault="00765883" w:rsidP="00765883">
      <w:pPr>
        <w:spacing w:before="100" w:beforeAutospacing="1" w:after="100" w:afterAutospacing="1" w:line="360" w:lineRule="auto"/>
        <w:jc w:val="both"/>
        <w:rPr>
          <w:rFonts w:ascii="Arial" w:eastAsia="Times New Roman" w:hAnsi="Arial" w:cs="Arial"/>
          <w:sz w:val="24"/>
          <w:szCs w:val="24"/>
        </w:rPr>
      </w:pPr>
      <w:r w:rsidRPr="00621B64">
        <w:rPr>
          <w:rFonts w:ascii="Arial" w:eastAsia="Times New Roman" w:hAnsi="Arial" w:cs="Arial"/>
          <w:sz w:val="24"/>
          <w:szCs w:val="24"/>
        </w:rPr>
        <w:t>In terms of occupation, the majority of respondents were students (69.5%), highlighting the young age distribution of the cohort. Employment among participants was low (7.2%), and 23.3% reported being unemployed. These findings are consistent with studies in similar contexts, where chronic illness often disrupts education and employment opportunities. Educational levels were also concerning, with nearly half of the respondents having only primary education (46.7%) and 21.8% reporting no formal education at all. Limited educational attainment can adversely affect health literacy, treatment adherence, and long-term disease management, as shown</w:t>
      </w:r>
      <w:r w:rsidRPr="00E23860">
        <w:rPr>
          <w:rFonts w:ascii="Arial" w:eastAsia="Times New Roman" w:hAnsi="Arial" w:cs="Arial"/>
          <w:sz w:val="24"/>
          <w:szCs w:val="24"/>
        </w:rPr>
        <w:t xml:space="preserve"> in studies by Amour in Zanzibar</w:t>
      </w:r>
      <w:r w:rsidRPr="00E23860">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{"citationItems":[{"id":"ITEM-1","itemData":{"DOI":"10.3390/genes16010047","ISSN":"20734425","PMID":"39858594","abstract":"Background: This study aimed to describe Sickle Cell Disease (SCD) phenotypes, sociodemographic characteristics, healthcare, and clinical outcomes of patients with SCD attending Mnazi Mmoja Hospital (MMH) in Zanzibar. Methods: Individuals who visited MMH between September 2021 and December 2022 and were known or suspected to have SCD were enrolled in the clinic. Sociodemographic characteristics and clinical features were documented, and laboratory tests were performed. A two-sample test of proportions was used to ascertain the significance of differences in the distribution of clinical outcomes between the follow-up visits. Results: A total of 724 patients with SCD were enrolled: 367 (50.7%) were male, and 357 (49.3%) were female. Most patients—713 (98.5%) in total—were homozygous (Hb SS), 9 (1.2%) had the Hb SC phenotype, and 2 (0.3%) had HbS β+ thalassemia. The majority of patients were aged 13 years and below—520 (71.8%) in total—and most did not have health insurance—582 (80.4%) in total. While all patients received folic acid, only a quarter received pneumococcal prophylaxis and hydroxyurea. Attendance at the third visit was associated with a reduced frequency of self-reported episodes of pain (24 patients [4.3%] vs. 11 patients [1.9%]). Conclusion: The population of patients with SCD in Zanzibar mostly comprised children who were Hb SS. Basic care services are still suboptimal, although they are associated with better outcomes when present. Thorough evaluation of SCD prevalence in Zanzibar through newborn screening programs is warranted.","author":[{"dropping-particle":"","family":"Amour","given":"Ahlam","non-dropping-particle":"","parse-names":false,"suffix":""},{"dropping-particle":"","family":"Hashim","given":"Fadya","non-dropping-particle":"","parse-names":false,"suffix":""},{"dropping-particle":"","family":"Said","given":"Fat Hiya","non-dropping-particle":"","parse-names":false,"suffix":""},{"dropping-particle":"","family":"Joshua","given":"Daniel","non-dropping-particle":"","parse-names":false,"suffix":""},{"dropping-particle":"","family":"Kandonga","given":"Daniel","non-dropping-particle":"","parse-names":false,"suffix":""},{"dropping-particle":"","family":"Msangawale","given":"Michael","non-dropping-particle":"","parse-names":false,"suffix":""},{"dropping-particle":"","family":"Jonathan","given":"Agnes","non-dropping-particle":"","parse-names":false,"suffix":""},{"dropping-particle":"","family":"Kidenya","given":"Benson","non-dropping-particle":"","parse-names":false,"suffix":""},{"dropping-particle":"","family":"Ruggajo","given":"Paschal","non-dropping-particle":"","parse-names":false,"suffix":""},{"dropping-particle":"","family":"Msafiri","given":"Marijani","non-dropping-particle":"","parse-names":false,"suffix":""},{"dropping-particle":"","family":"Balandya","given":"Emmanuel","non-dropping-particle":"","parse-names":false,"suffix":""},{"dropping-particle":"","family":"Mahmoud","given":"Muhiddin","non-dropping-particle":"","parse-names":false,"suffix":""}],"container-title":"Genes","id":"ITEM-1","issue":"1","issued":{"date-parts":[["2025"]]},"page":"1-11","title":"Sickle Cell Disease in the Islands of Zanzibar: Patients’ Characteristics, Management, and Clinical Outcomes","type":"article-journal","volume":"16"},"uris":["http://www.mendeley.com/documents/?uuid=caa2a364-ae5c-4fd7-87f4-c8e5d3ad318c","http://www.mendeley.com/documents/?uuid=80be5957-2b09-4f2c-a4d0-f86b8d425745"]}],"mendeley":{"formattedCitation":"[16]","plainTextFormattedCitation":"[16]","previouslyFormattedCitation":"(Amour et al., 2025)"},"properties":{"noteIndex":0},"schema":"https://github.com/citation-style-language/schema/raw/master/csl-citation.json"}</w:instrText>
      </w:r>
      <w:r w:rsidRPr="00E23860">
        <w:rPr>
          <w:rFonts w:ascii="Arial" w:eastAsia="Times New Roman" w:hAnsi="Arial" w:cs="Arial"/>
          <w:sz w:val="24"/>
          <w:szCs w:val="24"/>
        </w:rPr>
        <w:fldChar w:fldCharType="separate"/>
      </w:r>
      <w:r w:rsidRPr="00765883">
        <w:rPr>
          <w:rFonts w:ascii="Arial" w:eastAsia="Times New Roman" w:hAnsi="Arial" w:cs="Arial"/>
          <w:noProof/>
          <w:sz w:val="24"/>
          <w:szCs w:val="24"/>
        </w:rPr>
        <w:t>[16]</w:t>
      </w:r>
      <w:r w:rsidRPr="00E23860">
        <w:rPr>
          <w:rFonts w:ascii="Arial" w:eastAsia="Times New Roman" w:hAnsi="Arial" w:cs="Arial"/>
          <w:sz w:val="24"/>
          <w:szCs w:val="24"/>
        </w:rPr>
        <w:fldChar w:fldCharType="end"/>
      </w:r>
      <w:r w:rsidRPr="00E23860">
        <w:rPr>
          <w:rFonts w:ascii="Arial" w:eastAsia="Times New Roman" w:hAnsi="Arial" w:cs="Arial"/>
          <w:sz w:val="24"/>
          <w:szCs w:val="24"/>
        </w:rPr>
        <w:t xml:space="preserve">. </w:t>
      </w:r>
      <w:r>
        <w:rPr>
          <w:rFonts w:ascii="Arial" w:eastAsia="Times New Roman" w:hAnsi="Arial" w:cs="Arial"/>
          <w:sz w:val="24"/>
          <w:szCs w:val="24"/>
        </w:rPr>
        <w:t>T</w:t>
      </w:r>
      <w:r w:rsidRPr="00621B64">
        <w:rPr>
          <w:rFonts w:ascii="Arial" w:eastAsia="Times New Roman" w:hAnsi="Arial" w:cs="Arial"/>
          <w:sz w:val="24"/>
          <w:szCs w:val="24"/>
        </w:rPr>
        <w:t xml:space="preserve">he highest geographic representation came from </w:t>
      </w:r>
      <w:proofErr w:type="spellStart"/>
      <w:r w:rsidRPr="00621B64">
        <w:rPr>
          <w:rFonts w:ascii="Arial" w:eastAsia="Times New Roman" w:hAnsi="Arial" w:cs="Arial"/>
          <w:sz w:val="24"/>
          <w:szCs w:val="24"/>
        </w:rPr>
        <w:t>Mwera</w:t>
      </w:r>
      <w:proofErr w:type="spellEnd"/>
      <w:r w:rsidRPr="00621B64">
        <w:rPr>
          <w:rFonts w:ascii="Arial" w:eastAsia="Times New Roman" w:hAnsi="Arial" w:cs="Arial"/>
          <w:sz w:val="24"/>
          <w:szCs w:val="24"/>
        </w:rPr>
        <w:t xml:space="preserve"> and </w:t>
      </w:r>
      <w:proofErr w:type="spellStart"/>
      <w:r w:rsidRPr="00621B64">
        <w:rPr>
          <w:rFonts w:ascii="Arial" w:eastAsia="Times New Roman" w:hAnsi="Arial" w:cs="Arial"/>
          <w:sz w:val="24"/>
          <w:szCs w:val="24"/>
        </w:rPr>
        <w:t>Magogoni</w:t>
      </w:r>
      <w:proofErr w:type="spellEnd"/>
      <w:r w:rsidRPr="00621B64">
        <w:rPr>
          <w:rFonts w:ascii="Arial" w:eastAsia="Times New Roman" w:hAnsi="Arial" w:cs="Arial"/>
          <w:sz w:val="24"/>
          <w:szCs w:val="24"/>
        </w:rPr>
        <w:t xml:space="preserve"> wards (6.1% each), suggesting possible clustering of cases or referral patterns from these areas</w:t>
      </w:r>
      <w:r>
        <w:rPr>
          <w:rFonts w:ascii="Arial" w:eastAsia="Times New Roman" w:hAnsi="Arial" w:cs="Arial"/>
          <w:sz w:val="24"/>
          <w:szCs w:val="24"/>
        </w:rPr>
        <w:t>.</w:t>
      </w:r>
    </w:p>
    <w:p w:rsidR="00765883" w:rsidRPr="00586642" w:rsidRDefault="00765883" w:rsidP="00765883">
      <w:pPr>
        <w:pStyle w:val="Heading3"/>
        <w:shd w:val="clear" w:color="auto" w:fill="FFFFFF"/>
        <w:spacing w:before="225" w:line="450" w:lineRule="atLeast"/>
        <w:jc w:val="both"/>
        <w:rPr>
          <w:rFonts w:ascii="Arial" w:hAnsi="Arial" w:cs="Arial"/>
          <w:color w:val="333333"/>
        </w:rPr>
      </w:pPr>
      <w:r w:rsidRPr="00AE35E8">
        <w:rPr>
          <w:rFonts w:ascii="Arial" w:hAnsi="Arial" w:cs="Arial"/>
          <w:color w:val="auto"/>
        </w:rPr>
        <w:lastRenderedPageBreak/>
        <w:t xml:space="preserve">There </w:t>
      </w:r>
      <w:r w:rsidR="00B0158B" w:rsidRPr="00AE35E8">
        <w:rPr>
          <w:rFonts w:ascii="Arial" w:hAnsi="Arial" w:cs="Arial"/>
          <w:color w:val="auto"/>
        </w:rPr>
        <w:t>were</w:t>
      </w:r>
      <w:r w:rsidRPr="00AE35E8">
        <w:rPr>
          <w:rFonts w:ascii="Arial" w:hAnsi="Arial" w:cs="Arial"/>
          <w:color w:val="auto"/>
        </w:rPr>
        <w:t xml:space="preserve"> significant clinical benefits associated with </w:t>
      </w:r>
      <w:proofErr w:type="spellStart"/>
      <w:r w:rsidRPr="00AE35E8">
        <w:rPr>
          <w:rFonts w:ascii="Arial" w:hAnsi="Arial" w:cs="Arial"/>
          <w:color w:val="auto"/>
        </w:rPr>
        <w:t>hydroxyurea</w:t>
      </w:r>
      <w:proofErr w:type="spellEnd"/>
      <w:r w:rsidRPr="00AE35E8">
        <w:rPr>
          <w:rFonts w:ascii="Arial" w:hAnsi="Arial" w:cs="Arial"/>
          <w:color w:val="auto"/>
        </w:rPr>
        <w:t xml:space="preserve"> therapy. Notably, there was a marked reduction in the frequency of painful crises. This substantial decline suggests improved disease management and a considerable enhancement in patients’ quality of life, aligning with </w:t>
      </w:r>
      <w:r w:rsidRPr="00586642">
        <w:rPr>
          <w:rStyle w:val="name"/>
          <w:rFonts w:ascii="Arial" w:hAnsi="Arial" w:cs="Arial"/>
          <w:bCs/>
          <w:color w:val="333333"/>
        </w:rPr>
        <w:t xml:space="preserve">Rankine-Mullings in a systematic review, who described that </w:t>
      </w:r>
      <w:proofErr w:type="spellStart"/>
      <w:r w:rsidRPr="00586642">
        <w:rPr>
          <w:rFonts w:ascii="Arial" w:hAnsi="Arial" w:cs="Arial"/>
          <w:color w:val="212121"/>
          <w:shd w:val="clear" w:color="auto" w:fill="FFFFFF"/>
        </w:rPr>
        <w:t>Hydroxyurea</w:t>
      </w:r>
      <w:proofErr w:type="spellEnd"/>
      <w:r w:rsidRPr="00586642">
        <w:rPr>
          <w:rFonts w:ascii="Arial" w:hAnsi="Arial" w:cs="Arial"/>
          <w:color w:val="212121"/>
          <w:shd w:val="clear" w:color="auto" w:fill="FFFFFF"/>
        </w:rPr>
        <w:t xml:space="preserve"> probably improves pain alteration (using measures such as pain crisis frequency, duration, intensity, hospital admissions, and opioid use</w:t>
      </w:r>
      <w:r>
        <w:rPr>
          <w:rFonts w:ascii="Arial" w:hAnsi="Arial" w:cs="Arial"/>
          <w:color w:val="212121"/>
          <w:shd w:val="clear" w:color="auto" w:fill="FFFFFF"/>
        </w:rPr>
        <w:t>.</w:t>
      </w:r>
      <w:r>
        <w:rPr>
          <w:rFonts w:ascii="Arial" w:hAnsi="Arial" w:cs="Arial"/>
          <w:color w:val="212121"/>
          <w:shd w:val="clear" w:color="auto" w:fill="FFFFFF"/>
        </w:rPr>
        <w:fldChar w:fldCharType="begin" w:fldLock="1"/>
      </w:r>
      <w:r>
        <w:rPr>
          <w:rFonts w:ascii="Arial" w:hAnsi="Arial" w:cs="Arial"/>
          <w:color w:val="212121"/>
          <w:shd w:val="clear" w:color="auto" w:fill="FFFFFF"/>
        </w:rPr>
        <w:instrText>ADDIN CSL_CITATION {"citationItems":[{"id":"ITEM-1","itemData":{"DOI":"10.1002/14651858.CD002202.pub3","ISSN":"1469-493X 1361-6137","abstract":"BACKGROUND: Sickle cell disease (SCD) is one of the most common inherited diseases worldwide. It is associated with lifelong morbidity and a reduced life  expectancy. Hydroxyurea (hydroxycarbamide), an oral chemotherapeutic drug,  ameliorates some of the clinical problems of SCD, in particular that of pain, by  raising foetal haemoglobin (HbF). This is an update of a previously published  Cochrane Review. OBJECTIVES: The aims of this review are to determine through a  review of randomised or quasi-randomised studies whether the use of hydroxyurea  in people with SCD alters the pattern of acute events, including pain; prevents,  delays or reverses organ dysfunction; alters mortality and quality of life; or is  associated with adverse effects. In addition, we hoped to assess whether the  response to hydroxyurea in SCD varies with the type of SCD, age of the  individual, duration and dose of treatment, and healthcare setting. SEARCH  METHODS: We searched the Cochrane Cystic Fibrosis and Genetic Disorders  Haemoglobinopathies Register, comprising references identified from comprehensive  electronic database searches and handsearches of relevant journals and abstract  books of conference proceedings. We also searched online trial registries. The  date of the most recent search was 17 February 2022. SELECTION CRITERIA:  Randomised and quasi-randomised controlled trials (RCTs and quasi-RCTs), of one  month or longer, comparing hydroxyurea with placebo or standard therapy in people  with SCD. DATA COLLECTION AND ANALYSIS: Authors independently assessed studies  for inclusion, carried out data extraction, assessed the risk of bias and  assessed the quality of the evidence using GRADE. MAIN RESULTS: We included nine  RCTs recruiting 1104 adults and children with SCD (haemoglobin SS (HbSS),  haemoglobin SC (HbSC) or haemoglobin Sβºthalassaemia (HbSβºthal) genotypes).  Studies lasted from six to 30 months. We judged the quality of the evidence for  the first two comparisons below as moderate to low as the studies contributing to  these comparisons were mostly large and well-designed (and at low risk of bias);  however, the evidence was limited and imprecise for some outcomes such as quality  of life, deaths during the studies and adverse events, and the results are  applicable only to individuals with HbSS and HbSβºthal genotypes. We judged the  quality of the evidence for the third and fourth comparisons to be very low due  to the limited number of participants, t…","author":[{"dropping-particle":"","family":"Rankine-Mullings","given":"Angela E","non-dropping-particle":"","parse-names":false,"suffix":""},{"dropping-particle":"","family":"Nevitt","given":"Sarah J","non-dropping-particle":"","parse-names":false,"suffix":""}],"container-title":"The Cochrane database of systematic reviews","id":"ITEM-1","issue":"9","issued":{"date-parts":[["2022"]]},"language":"eng","page":"CD002202","title":"Hydroxyurea (hydroxycarbamide) for sickle cell disease.","type":"article-journal","volume":"9"},"uris":["http://www.mendeley.com/documents/?uuid=79275f21-2d9b-4e11-870b-32b08f6999ea","http://www.mendeley.com/documents/?uuid=46401218-79c6-4b6d-8869-56dbec581a14"]}],"mendeley":{"formattedCitation":"[17]","plainTextFormattedCitation":"[17]","previouslyFormattedCitation":"(Rankine-Mullings &amp; Nevitt, 2022)"},"properties":{"noteIndex":0},"schema":"https://github.com/citation-style-language/schema/raw/master/csl-citation.json"}</w:instrText>
      </w:r>
      <w:r>
        <w:rPr>
          <w:rFonts w:ascii="Arial" w:hAnsi="Arial" w:cs="Arial"/>
          <w:color w:val="212121"/>
          <w:shd w:val="clear" w:color="auto" w:fill="FFFFFF"/>
        </w:rPr>
        <w:fldChar w:fldCharType="separate"/>
      </w:r>
      <w:r w:rsidRPr="00765883">
        <w:rPr>
          <w:rFonts w:ascii="Arial" w:hAnsi="Arial" w:cs="Arial"/>
          <w:noProof/>
          <w:color w:val="212121"/>
          <w:shd w:val="clear" w:color="auto" w:fill="FFFFFF"/>
        </w:rPr>
        <w:t>[17]</w:t>
      </w:r>
      <w:r>
        <w:rPr>
          <w:rFonts w:ascii="Arial" w:hAnsi="Arial" w:cs="Arial"/>
          <w:color w:val="212121"/>
          <w:shd w:val="clear" w:color="auto" w:fill="FFFFFF"/>
        </w:rPr>
        <w:fldChar w:fldCharType="end"/>
      </w:r>
      <w:r w:rsidRPr="00586642">
        <w:rPr>
          <w:rFonts w:ascii="Arial" w:hAnsi="Arial" w:cs="Arial"/>
          <w:color w:val="333333"/>
        </w:rPr>
        <w:t xml:space="preserve"> </w:t>
      </w:r>
    </w:p>
    <w:p w:rsidR="00765883" w:rsidRPr="00586642" w:rsidRDefault="00765883" w:rsidP="00765883">
      <w:pPr>
        <w:pStyle w:val="BodyText"/>
        <w:spacing w:line="360" w:lineRule="auto"/>
        <w:jc w:val="both"/>
        <w:rPr>
          <w:rFonts w:ascii="Arial" w:hAnsi="Arial" w:cs="Arial"/>
        </w:rPr>
      </w:pPr>
    </w:p>
    <w:p w:rsidR="00765883" w:rsidRPr="00586642" w:rsidRDefault="00765883" w:rsidP="00765883">
      <w:pPr>
        <w:spacing w:line="360" w:lineRule="auto"/>
        <w:jc w:val="both"/>
        <w:rPr>
          <w:rFonts w:ascii="Arial" w:hAnsi="Arial" w:cs="Arial"/>
          <w:sz w:val="24"/>
          <w:szCs w:val="24"/>
        </w:rPr>
      </w:pPr>
      <w:r>
        <w:rPr>
          <w:rFonts w:ascii="Arial" w:hAnsi="Arial" w:cs="Arial"/>
          <w:sz w:val="24"/>
          <w:szCs w:val="24"/>
        </w:rPr>
        <w:t>Hospitalization</w:t>
      </w:r>
      <w:r w:rsidRPr="00586642">
        <w:rPr>
          <w:rFonts w:ascii="Arial" w:hAnsi="Arial" w:cs="Arial"/>
          <w:sz w:val="24"/>
          <w:szCs w:val="24"/>
        </w:rPr>
        <w:t xml:space="preserve"> rates also decreased dramatically, falling from 3.09 ± 0.5 to 1.20 ± 0.5, which may reflect a reduction in severe disease-related complications and a corresponding decrease in the burden on healthcare resources. The mean number of blood transfusions per patient dropped from 2.49 ± 0.9 to 1.11 ± 0.3 this reduction is clinically meaningful, as frequent transfusions pose risks such as iron overload, </w:t>
      </w:r>
      <w:proofErr w:type="spellStart"/>
      <w:r w:rsidRPr="00586642">
        <w:rPr>
          <w:rFonts w:ascii="Arial" w:hAnsi="Arial" w:cs="Arial"/>
          <w:sz w:val="24"/>
          <w:szCs w:val="24"/>
        </w:rPr>
        <w:t>alloimmunization</w:t>
      </w:r>
      <w:proofErr w:type="spellEnd"/>
      <w:r w:rsidRPr="00586642">
        <w:rPr>
          <w:rFonts w:ascii="Arial" w:hAnsi="Arial" w:cs="Arial"/>
          <w:sz w:val="24"/>
          <w:szCs w:val="24"/>
        </w:rPr>
        <w:t xml:space="preserve"> and infections</w:t>
      </w:r>
      <w:r w:rsidRPr="00586642">
        <w:rPr>
          <w:rFonts w:ascii="Arial" w:eastAsiaTheme="minorEastAsia" w:hAnsi="Arial" w:cs="Arial"/>
          <w:color w:val="000000" w:themeColor="text1"/>
          <w:kern w:val="24"/>
          <w:sz w:val="24"/>
          <w:szCs w:val="24"/>
        </w:rPr>
        <w:t xml:space="preserve"> </w:t>
      </w:r>
      <w:r w:rsidRPr="00586642">
        <w:rPr>
          <w:rFonts w:ascii="Arial" w:hAnsi="Arial" w:cs="Arial"/>
          <w:sz w:val="24"/>
          <w:szCs w:val="24"/>
        </w:rPr>
        <w:t>perhaps most notably,</w:t>
      </w:r>
      <w:r>
        <w:rPr>
          <w:rFonts w:ascii="Arial" w:hAnsi="Arial" w:cs="Arial"/>
          <w:sz w:val="24"/>
          <w:szCs w:val="24"/>
        </w:rPr>
        <w:t xml:space="preserve"> </w:t>
      </w:r>
      <w:r w:rsidRPr="00586642">
        <w:rPr>
          <w:rFonts w:ascii="Arial" w:hAnsi="Arial" w:cs="Arial"/>
          <w:sz w:val="24"/>
          <w:szCs w:val="24"/>
        </w:rPr>
        <w:t xml:space="preserve">similar </w:t>
      </w:r>
      <w:proofErr w:type="spellStart"/>
      <w:r w:rsidRPr="00586642">
        <w:rPr>
          <w:rFonts w:ascii="Arial" w:hAnsi="Arial" w:cs="Arial"/>
          <w:color w:val="1F1F1F"/>
          <w:sz w:val="24"/>
          <w:szCs w:val="24"/>
          <w:shd w:val="clear" w:color="auto" w:fill="FFFFFF"/>
        </w:rPr>
        <w:t>Abdullahi</w:t>
      </w:r>
      <w:proofErr w:type="spellEnd"/>
      <w:r w:rsidRPr="00586642">
        <w:rPr>
          <w:rFonts w:ascii="Arial" w:hAnsi="Arial" w:cs="Arial"/>
          <w:sz w:val="24"/>
          <w:szCs w:val="24"/>
        </w:rPr>
        <w:t xml:space="preserve"> in Nigeria, in a multicenter double blind study reported </w:t>
      </w:r>
      <w:r w:rsidRPr="00586642">
        <w:rPr>
          <w:rFonts w:ascii="Arial" w:hAnsi="Arial" w:cs="Arial"/>
          <w:color w:val="1F1F1F"/>
          <w:sz w:val="24"/>
          <w:szCs w:val="24"/>
        </w:rPr>
        <w:t xml:space="preserve">that the moderate-dose of </w:t>
      </w:r>
      <w:proofErr w:type="spellStart"/>
      <w:r w:rsidRPr="00586642">
        <w:rPr>
          <w:rFonts w:ascii="Arial" w:hAnsi="Arial" w:cs="Arial"/>
          <w:color w:val="1F1F1F"/>
          <w:sz w:val="24"/>
          <w:szCs w:val="24"/>
        </w:rPr>
        <w:t>hydroxyurea</w:t>
      </w:r>
      <w:proofErr w:type="spellEnd"/>
      <w:r w:rsidRPr="00586642">
        <w:rPr>
          <w:rFonts w:ascii="Arial" w:hAnsi="Arial" w:cs="Arial"/>
          <w:color w:val="1F1F1F"/>
          <w:sz w:val="24"/>
          <w:szCs w:val="24"/>
        </w:rPr>
        <w:t xml:space="preserve"> group could lower incidence rates for all-cause hospitalizations</w:t>
      </w:r>
      <w:r w:rsidRPr="00586642">
        <w:rPr>
          <w:rFonts w:ascii="Arial" w:hAnsi="Arial" w:cs="Arial"/>
          <w:color w:val="1F1F1F"/>
          <w:sz w:val="24"/>
          <w:szCs w:val="24"/>
        </w:rPr>
        <w:fldChar w:fldCharType="begin" w:fldLock="1"/>
      </w:r>
      <w:r>
        <w:rPr>
          <w:rFonts w:ascii="Arial" w:hAnsi="Arial" w:cs="Arial"/>
          <w:color w:val="1F1F1F"/>
          <w:sz w:val="24"/>
          <w:szCs w:val="24"/>
        </w:rPr>
        <w:instrText>ADDIN CSL_CITATION {"citationItems":[{"id":"ITEM-1","itemData":{"DOI":"10.1016/S2352-3026(21)00368-9","ISSN":"2352-3026","abstract":"BACKGROUND: In high-income countries, standard care for primary stroke prevention in children with sickle cell anaemia and abnormal transcranial Doppler velocities  results in a 92% relative risk reduction of strokes but mandates initial monthly  blood transfusion. In Africa, where regular blood transfusion is not feasible for  most children, we tested the hypothesis that initial moderate-dose compared with  low-dose hydroxyurea decreases the incidence of strokes for children with  abnormal transcranial Doppler velocities. METHODS: SPRING is a double-blind,  parallel-group, randomised, controlled, phase 3 trial of children aged 5-12 years  with sickle cell anaemia with abnormal transcranial Doppler velocities conducted  at three teaching hospitals in Nigeria. For randomisation, we used a permuted  block allocation scheme with block sizes of four, stratified by sex and site.  Allocation was concealed from all but the pharmacists and statisticians.  Participants were assigned in a 1:1 ratio to low-dose (10 mg/kg per day) or  moderate-dose (20 mg/kg per day) oral hydroxyurea taken once daily with monthly  clinical evaluation and laboratory monitoring. The primary outcome was initial  stroke or transient ischaemic attack, centrally adjudicated. The secondary  outcome was all-cause hospitalisation. We used the intention-to-treat population  for data analysis. The trial was stopped early for futility after a planned  minimum follow-up of 3·0 years to follow-up for participants. This trial was  registered with ClinicalTrials.gov, number NCT02560935. FINDINGS: Between Aug 2,  2016, and June 14, 2018, 220 participants (median age 7·2 years [IQR 5·5-8·9];  114 [52%] female) were randomly allocated and followed for a median of 2·4 years  (IQR 2·0-2·8). All participants were Nigerian and were from the following ethnic  groups: 179 (82%) people were Hausa, 25 (11%) were Fulani, and 16 (7%) identified  as another ethnicity. In the low-dose hydroxyurea group, three (3%) of 109  participants had strokes, with an incidence rate of 1·19 per 100 person-years and  in the moderate-dose hydroxyurea group five (5%) of 111 had strokes with an  incidence rate of 1·92 per 100 person-years (incidence rate ratio 0·62 [95% CI  0·10-3·20], p=0·77). The incidence rate ratio of hospitalisation for any reason  was 1·71 (95% CI 1·15-2·57, p=0·0071), with higher incidence rates per 100  person-years in the low-dose group versus the moderate-dose group (27·43 vs  16·08). No participant ha…","author":[{"dropping-particle":"","family":"Abdullahi","given":"Shehu U","non-dropping-particle":"","parse-names":false,"suffix":""},{"dropping-particle":"","family":"Jibir","given":"Binta W","non-dropping-particle":"","parse-names":false,"suffix":""},{"dropping-particle":"","family":"Bello-Manga","given":"Halima","non-dropping-particle":"","parse-names":false,"suffix":""},{"dropping-particle":"","family":"Gambo","given":"Safiya","non-dropping-particle":"","parse-names":false,"suffix":""},{"dropping-particle":"","family":"Inuwa","given":"Hauwa","non-dropping-particle":"","parse-names":false,"suffix":""},{"dropping-particle":"","family":"Tijjani","given":"Aliyu G","non-dropping-particle":"","parse-names":false,"suffix":""},{"dropping-particle":"","family":"Idris","given":"Nura","non-dropping-particle":"","parse-names":false,"suffix":""},{"dropping-particle":"","family":"Galadanci","given":"Aisha","non-dropping-particle":"","parse-names":false,"suffix":""},{"dropping-particle":"","family":"Hikima","given":"Mustapha S","non-dropping-particle":"","parse-names":false,"suffix":""},{"dropping-particle":"","family":"Galadanci","given":"Najibah","non-dropping-particle":"","parse-names":false,"suffix":""},{"dropping-particle":"","family":"Borodo","given":"Awwal","non-dropping-particle":"","parse-names":false,"suffix":""},{"dropping-particle":"","family":"Tabari","given":"Abdulkadir M","non-dropping-particle":"","parse-names":false,"suffix":""},{"dropping-particle":"","family":"Haliru","given":"Lawal","non-dropping-particle":"","parse-names":false,"suffix":""},{"dropping-particle":"","family":"Suleiman","given":"Aisha","non-dropping-particle":"","parse-names":false,"suffix":""},{"dropping-particle":"","family":"Ibrahim","given":"Jamila","non-dropping-particle":"","parse-names":false,"suffix":""},{"dropping-particle":"","family":"Greene","given":"Brittany C","non-dropping-particle":"","parse-names":false,"suffix":""},{"dropping-particle":"","family":"Ghafuri","given":"Djamila L","non-dropping-particle":"","parse-names":false,"suffix":""},{"dropping-particle":"","family":"Rodeghier","given":"Mark","non-dropping-particle":"","parse-names":false,"suffix":""},{"dropping-particle":"","family":"Slaughter","given":"James C","non-dropping-particle":"","parse-names":false,"suffix":""},{"dropping-particle":"","family":"Kirkham","given":"Fenella J","non-dropping-particle":"","parse-names":false,"suffix":""},{"dropping-particle":"","family":"Neville","given":"Kathleen","non-dropping-particle":"","parse-names":false,"suffix":""},{"dropping-particle":"","family":"Kassim","given":"Adetola","non-dropping-particle":"","parse-names":false,"suffix":""},{"dropping-particle":"","family":"Trevathan","given":"Edwin","non-dropping-particle":"","parse-names":false,"suffix":""},{"dropping-particle":"","family":"Jordan","given":"Lori C","non-dropping-particle":"","parse-names":false,"suffix":""},{"dropping-particle":"","family":"Aliyu","given":"Muktar H","non-dropping-particle":"","parse-names":false,"suffix":""},{"dropping-particle":"","family":"DeBaun","given":"Michael R","non-dropping-particle":"","parse-names":false,"suffix":""}],"container-title":"The Lancet. Haematology","id":"ITEM-1","issue":"1","issued":{"date-parts":[["2022"]]},"language":"eng","page":"e26-e37","title":"Hydroxyurea for primary stroke prevention in children with sickle cell anaemia in Nigeria (SPRING): a double-blind, multicentre, randomised, phase 3 trial.","type":"article-journal","volume":"9"},"uris":["http://www.mendeley.com/documents/?uuid=ed05264b-7e38-4cc7-b492-65f28c8f6670","http://www.mendeley.com/documents/?uuid=33b39e86-33c5-4f42-9250-ed85638492ab"]}],"mendeley":{"formattedCitation":"[18]","plainTextFormattedCitation":"[18]","previouslyFormattedCitation":"(Abdullahi et al., 2022)"},"properties":{"noteIndex":0},"schema":"https://github.com/citation-style-language/schema/raw/master/csl-citation.json"}</w:instrText>
      </w:r>
      <w:r w:rsidRPr="00586642">
        <w:rPr>
          <w:rFonts w:ascii="Arial" w:hAnsi="Arial" w:cs="Arial"/>
          <w:color w:val="1F1F1F"/>
          <w:sz w:val="24"/>
          <w:szCs w:val="24"/>
        </w:rPr>
        <w:fldChar w:fldCharType="separate"/>
      </w:r>
      <w:r w:rsidRPr="00765883">
        <w:rPr>
          <w:rFonts w:ascii="Arial" w:hAnsi="Arial" w:cs="Arial"/>
          <w:noProof/>
          <w:color w:val="1F1F1F"/>
          <w:sz w:val="24"/>
          <w:szCs w:val="24"/>
        </w:rPr>
        <w:t>[18]</w:t>
      </w:r>
      <w:r w:rsidRPr="00586642">
        <w:rPr>
          <w:rFonts w:ascii="Arial" w:hAnsi="Arial" w:cs="Arial"/>
          <w:color w:val="1F1F1F"/>
          <w:sz w:val="24"/>
          <w:szCs w:val="24"/>
        </w:rPr>
        <w:fldChar w:fldCharType="end"/>
      </w:r>
      <w:r w:rsidRPr="00586642">
        <w:rPr>
          <w:rFonts w:ascii="Arial" w:hAnsi="Arial" w:cs="Arial"/>
          <w:color w:val="1F1F1F"/>
          <w:sz w:val="24"/>
          <w:szCs w:val="24"/>
        </w:rPr>
        <w:fldChar w:fldCharType="begin" w:fldLock="1"/>
      </w:r>
      <w:r>
        <w:rPr>
          <w:rFonts w:ascii="Arial" w:hAnsi="Arial" w:cs="Arial"/>
          <w:color w:val="1F1F1F"/>
          <w:sz w:val="24"/>
          <w:szCs w:val="24"/>
        </w:rPr>
        <w:instrText>ADDIN CSL_CITATION {"citationItems":[{"id":"ITEM-1","itemData":{"DOI":"10.18203/2349-3291.ijcp20223416","ISSN":"2349-3283","abstract":"Background: Hydroxyurea therapy is a known effective and safe therapy for the treatment of sickle cell anemia (SCA). Although it is used worldwide in our Indian based setup, it is underutilized not only due to economic reasons but also due to unaware practitioners about its use.Methods: An ambispective observational study was performed at our tertiary care center over a period of 1 year 8 months. One hundred and ninety patients were enrolled after taking a complete history, then started on Hydroxyurea and followed up every 2 months till 1 year. On follow-up, frequency of vaso-occlucive crisis, blood transfusion and hospitalization were noted along with routine investigations and for any side effects.Results: Of 190 total recruited patients, 84 were studied at the end because of loss to follow-up due to various reasons. Significant decrease in the frequency of vaso-occlusive crisis (VOC), blood transfusion and hospitalisation were observed within 1 year of starting hydroxyurea (p&lt;0.05).Conclusions: The use of hydroxyurea in our native population at our setup can decrease the frequency of vasooccluisve crisis, blood transfusion and hospitalisation in sickle cell patients.","author":[{"dropping-particle":"","family":"Gupta","given":"Shikha","non-dropping-particle":"","parse-names":false,"suffix":""},{"dropping-particle":"","family":"Choudhary","given":"Prachi","non-dropping-particle":"","parse-names":false,"suffix":""},{"dropping-particle":"","family":"Singh","given":"Devraj","non-dropping-particle":"","parse-names":false,"suffix":""},{"dropping-particle":"","family":"Malpani","given":"Preeti","non-dropping-particle":"","parse-names":false,"suffix":""}],"container-title":"International Journal of Contemporary Pediatrics","id":"ITEM-1","issue":"1","issued":{"date-parts":[["2022"]]},"page":"29","title":"An evaluation of effect of hydroxyurea on frequency of blood transfusion, vaso-occlusive crisis and hospitalisation in children of sickle cell anemia","type":"article-journal","volume":"10"},"uris":["http://www.mendeley.com/documents/?uuid=41210a28-8494-475b-ac4b-d1126ae88e03","http://www.mendeley.com/documents/?uuid=af437410-d1d5-4a2b-9b57-d95d07b67072"]}],"mendeley":{"formattedCitation":"[19]","plainTextFormattedCitation":"[19]","previouslyFormattedCitation":"(Gupta et al., 2022)"},"properties":{"noteIndex":0},"schema":"https://github.com/citation-style-language/schema/raw/master/csl-citation.json"}</w:instrText>
      </w:r>
      <w:r w:rsidRPr="00586642">
        <w:rPr>
          <w:rFonts w:ascii="Arial" w:hAnsi="Arial" w:cs="Arial"/>
          <w:color w:val="1F1F1F"/>
          <w:sz w:val="24"/>
          <w:szCs w:val="24"/>
        </w:rPr>
        <w:fldChar w:fldCharType="separate"/>
      </w:r>
      <w:r w:rsidRPr="00765883">
        <w:rPr>
          <w:rFonts w:ascii="Arial" w:hAnsi="Arial" w:cs="Arial"/>
          <w:noProof/>
          <w:color w:val="1F1F1F"/>
          <w:sz w:val="24"/>
          <w:szCs w:val="24"/>
        </w:rPr>
        <w:t>[19]</w:t>
      </w:r>
      <w:r w:rsidRPr="00586642">
        <w:rPr>
          <w:rFonts w:ascii="Arial" w:hAnsi="Arial" w:cs="Arial"/>
          <w:color w:val="1F1F1F"/>
          <w:sz w:val="24"/>
          <w:szCs w:val="24"/>
        </w:rPr>
        <w:fldChar w:fldCharType="end"/>
      </w:r>
      <w:r w:rsidRPr="00586642">
        <w:rPr>
          <w:rFonts w:ascii="Arial" w:hAnsi="Arial" w:cs="Arial"/>
          <w:color w:val="1F1F1F"/>
          <w:sz w:val="24"/>
          <w:szCs w:val="24"/>
        </w:rPr>
        <w:t xml:space="preserve"> </w:t>
      </w:r>
      <w:r w:rsidRPr="00586642">
        <w:rPr>
          <w:rFonts w:ascii="Arial" w:hAnsi="Arial" w:cs="Arial"/>
          <w:sz w:val="24"/>
          <w:szCs w:val="24"/>
        </w:rPr>
        <w:t xml:space="preserve">There was a considerable </w:t>
      </w:r>
      <w:r w:rsidRPr="00586642">
        <w:rPr>
          <w:rFonts w:ascii="Arial" w:hAnsi="Arial" w:cs="Arial"/>
          <w:bCs/>
          <w:sz w:val="24"/>
          <w:szCs w:val="24"/>
        </w:rPr>
        <w:t>increase in hemoglobin (</w:t>
      </w:r>
      <w:proofErr w:type="spellStart"/>
      <w:r w:rsidRPr="00586642">
        <w:rPr>
          <w:rFonts w:ascii="Arial" w:hAnsi="Arial" w:cs="Arial"/>
          <w:bCs/>
          <w:sz w:val="24"/>
          <w:szCs w:val="24"/>
        </w:rPr>
        <w:t>Hb</w:t>
      </w:r>
      <w:proofErr w:type="spellEnd"/>
      <w:r w:rsidRPr="00586642">
        <w:rPr>
          <w:rFonts w:ascii="Arial" w:hAnsi="Arial" w:cs="Arial"/>
          <w:bCs/>
          <w:sz w:val="24"/>
          <w:szCs w:val="24"/>
        </w:rPr>
        <w:t xml:space="preserve">) </w:t>
      </w:r>
      <w:r w:rsidRPr="00586642">
        <w:rPr>
          <w:rFonts w:ascii="Arial" w:hAnsi="Arial" w:cs="Arial"/>
          <w:sz w:val="24"/>
          <w:szCs w:val="24"/>
        </w:rPr>
        <w:t xml:space="preserve">levels, rising from </w:t>
      </w:r>
      <w:r w:rsidRPr="00586642">
        <w:rPr>
          <w:rFonts w:ascii="Arial" w:hAnsi="Arial" w:cs="Arial"/>
          <w:bCs/>
          <w:sz w:val="24"/>
          <w:szCs w:val="24"/>
        </w:rPr>
        <w:t>5.49 ± 1.2 g/</w:t>
      </w:r>
      <w:proofErr w:type="spellStart"/>
      <w:r w:rsidRPr="00586642">
        <w:rPr>
          <w:rFonts w:ascii="Arial" w:hAnsi="Arial" w:cs="Arial"/>
          <w:bCs/>
          <w:sz w:val="24"/>
          <w:szCs w:val="24"/>
        </w:rPr>
        <w:t>dL</w:t>
      </w:r>
      <w:proofErr w:type="spellEnd"/>
      <w:r w:rsidRPr="00586642">
        <w:rPr>
          <w:rFonts w:ascii="Arial" w:hAnsi="Arial" w:cs="Arial"/>
          <w:sz w:val="24"/>
          <w:szCs w:val="24"/>
        </w:rPr>
        <w:t xml:space="preserve"> to </w:t>
      </w:r>
      <w:r w:rsidRPr="00586642">
        <w:rPr>
          <w:rFonts w:ascii="Arial" w:hAnsi="Arial" w:cs="Arial"/>
          <w:bCs/>
          <w:sz w:val="24"/>
          <w:szCs w:val="24"/>
        </w:rPr>
        <w:t>7.82 ± 1.0 g/</w:t>
      </w:r>
      <w:proofErr w:type="spellStart"/>
      <w:r w:rsidRPr="00586642">
        <w:rPr>
          <w:rFonts w:ascii="Arial" w:hAnsi="Arial" w:cs="Arial"/>
          <w:bCs/>
          <w:sz w:val="24"/>
          <w:szCs w:val="24"/>
        </w:rPr>
        <w:t>dL</w:t>
      </w:r>
      <w:proofErr w:type="spellEnd"/>
      <w:r w:rsidRPr="00586642">
        <w:rPr>
          <w:rFonts w:ascii="Arial" w:hAnsi="Arial" w:cs="Arial"/>
          <w:sz w:val="24"/>
          <w:szCs w:val="24"/>
        </w:rPr>
        <w:t xml:space="preserve">. A similar study by Kumar and other researchers shows that </w:t>
      </w:r>
      <w:proofErr w:type="spellStart"/>
      <w:r w:rsidRPr="00586642">
        <w:rPr>
          <w:rFonts w:ascii="Arial" w:hAnsi="Arial" w:cs="Arial"/>
          <w:sz w:val="24"/>
          <w:szCs w:val="24"/>
        </w:rPr>
        <w:t>Haemoglobin</w:t>
      </w:r>
      <w:proofErr w:type="spellEnd"/>
      <w:r w:rsidRPr="00586642">
        <w:rPr>
          <w:rFonts w:ascii="Arial" w:hAnsi="Arial" w:cs="Arial"/>
          <w:sz w:val="24"/>
          <w:szCs w:val="24"/>
        </w:rPr>
        <w:t xml:space="preserve"> (g/</w:t>
      </w:r>
      <w:proofErr w:type="spellStart"/>
      <w:r w:rsidRPr="00586642">
        <w:rPr>
          <w:rFonts w:ascii="Arial" w:hAnsi="Arial" w:cs="Arial"/>
          <w:sz w:val="24"/>
          <w:szCs w:val="24"/>
        </w:rPr>
        <w:t>dL</w:t>
      </w:r>
      <w:proofErr w:type="spellEnd"/>
      <w:r w:rsidRPr="00586642">
        <w:rPr>
          <w:rFonts w:ascii="Arial" w:hAnsi="Arial" w:cs="Arial"/>
          <w:sz w:val="24"/>
          <w:szCs w:val="24"/>
        </w:rPr>
        <w:t xml:space="preserve">) – Before treatment, patients had a low mean </w:t>
      </w:r>
      <w:proofErr w:type="spellStart"/>
      <w:r w:rsidRPr="00586642">
        <w:rPr>
          <w:rFonts w:ascii="Arial" w:hAnsi="Arial" w:cs="Arial"/>
          <w:sz w:val="24"/>
          <w:szCs w:val="24"/>
        </w:rPr>
        <w:t>haemoglobin</w:t>
      </w:r>
      <w:proofErr w:type="spellEnd"/>
      <w:r w:rsidRPr="00586642">
        <w:rPr>
          <w:rFonts w:ascii="Arial" w:hAnsi="Arial" w:cs="Arial"/>
          <w:sz w:val="24"/>
          <w:szCs w:val="24"/>
        </w:rPr>
        <w:t xml:space="preserve"> level of 7.5 g/</w:t>
      </w:r>
      <w:proofErr w:type="spellStart"/>
      <w:r w:rsidRPr="00586642">
        <w:rPr>
          <w:rFonts w:ascii="Arial" w:hAnsi="Arial" w:cs="Arial"/>
          <w:sz w:val="24"/>
          <w:szCs w:val="24"/>
        </w:rPr>
        <w:t>dL</w:t>
      </w:r>
      <w:proofErr w:type="spellEnd"/>
      <w:r w:rsidRPr="00586642">
        <w:rPr>
          <w:rFonts w:ascii="Arial" w:hAnsi="Arial" w:cs="Arial"/>
          <w:sz w:val="24"/>
          <w:szCs w:val="24"/>
        </w:rPr>
        <w:t xml:space="preserve">. After treatment, </w:t>
      </w:r>
      <w:proofErr w:type="spellStart"/>
      <w:r w:rsidRPr="00586642">
        <w:rPr>
          <w:rFonts w:ascii="Arial" w:hAnsi="Arial" w:cs="Arial"/>
          <w:sz w:val="24"/>
          <w:szCs w:val="24"/>
        </w:rPr>
        <w:t>haemoglobin</w:t>
      </w:r>
      <w:proofErr w:type="spellEnd"/>
      <w:r w:rsidRPr="00586642">
        <w:rPr>
          <w:rFonts w:ascii="Arial" w:hAnsi="Arial" w:cs="Arial"/>
          <w:sz w:val="24"/>
          <w:szCs w:val="24"/>
        </w:rPr>
        <w:t xml:space="preserve"> levels significantly increased to 9.3 g/</w:t>
      </w:r>
      <w:proofErr w:type="spellStart"/>
      <w:r w:rsidRPr="00586642">
        <w:rPr>
          <w:rFonts w:ascii="Arial" w:hAnsi="Arial" w:cs="Arial"/>
          <w:sz w:val="24"/>
          <w:szCs w:val="24"/>
        </w:rPr>
        <w:t>dL</w:t>
      </w:r>
      <w:proofErr w:type="spellEnd"/>
      <w:r w:rsidRPr="00586642">
        <w:rPr>
          <w:rFonts w:ascii="Arial" w:hAnsi="Arial" w:cs="Arial"/>
          <w:sz w:val="24"/>
          <w:szCs w:val="24"/>
        </w:rPr>
        <w:fldChar w:fldCharType="begin" w:fldLock="1"/>
      </w:r>
      <w:r>
        <w:rPr>
          <w:rFonts w:ascii="Arial" w:hAnsi="Arial" w:cs="Arial"/>
          <w:sz w:val="24"/>
          <w:szCs w:val="24"/>
        </w:rPr>
        <w:instrText>ADDIN CSL_CITATION {"citationItems":[{"id":"ITEM-1","itemData":{"author":[{"dropping-particle":"","family":"Kumar","given":"Vivek","non-dropping-particle":"","parse-names":false,"suffix":""},{"dropping-particle":"","family":"Shah","given":"Sapna Ratan","non-dropping-particle":"","parse-names":false,"suffix":""}],"id":"ITEM-1","issued":{"date-parts":[["2025"]]},"title":"Research in Engineering Management and Science ( Ijprems ) Assessing the Clinical Outcomes of Hydroxyurea Treatment in Patients With Sickle Cell Disease","type":"article-journal"},"uris":["http://www.mendeley.com/documents/?uuid=a68382af-4876-4000-b126-0f21c1a0769f","http://www.mendeley.com/documents/?uuid=3d52adf4-bc08-4aff-883a-d68c09cbb0da"]}],"mendeley":{"formattedCitation":"[20]","plainTextFormattedCitation":"[20]","previouslyFormattedCitation":"(Kumar &amp; Shah, 2025)"},"properties":{"noteIndex":0},"schema":"https://github.com/citation-style-language/schema/raw/master/csl-citation.json"}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[20]</w:t>
      </w:r>
      <w:r w:rsidRPr="00586642">
        <w:rPr>
          <w:rFonts w:ascii="Arial" w:hAnsi="Arial" w:cs="Arial"/>
          <w:sz w:val="24"/>
          <w:szCs w:val="24"/>
        </w:rPr>
        <w:fldChar w:fldCharType="end"/>
      </w:r>
      <w:r w:rsidRPr="00586642">
        <w:rPr>
          <w:rFonts w:ascii="Arial" w:hAnsi="Arial" w:cs="Arial"/>
          <w:sz w:val="24"/>
          <w:szCs w:val="24"/>
        </w:rPr>
        <w:fldChar w:fldCharType="begin" w:fldLock="1"/>
      </w:r>
      <w:r>
        <w:rPr>
          <w:rFonts w:ascii="Arial" w:hAnsi="Arial" w:cs="Arial"/>
          <w:sz w:val="24"/>
          <w:szCs w:val="24"/>
        </w:rPr>
        <w:instrText>ADDIN CSL_CITATION {"citationItems":[{"id":"ITEM-1","itemData":{"DOI":"10.1371/journal.pone.0072077","ISSN":"19326203","PMID":"23967276","abstract":"Background:A decline in hospitalizations and pain episodes among those with sickle cell disease (SCD) who take hydroxyurea (HU) has been shown when compared to pre-HU patterns but paradoxically, when compared to those who have never been treated, HU recipients often have more frequent hospitalizations. This analysis evaluates the impact of increasing usage of HU on trends in hospitalizations and blood transfusions within a large SCD treatment program.Methods:Eligibility was restricted to patients with Hb SS or Hb Sβ0-thalassemia who were 2-18 years old between 2006-2010 and received care at St. Jude Children's Research Hospital (N = 508). Hospitalizations and blood transfusions were calculated for each of the years under study for those exposed and never exposed to HU. Differences in number of hospitalizations before and after HU initiation were compared.Results:The proportion of patients receiving HU increased by 4% per year on average. In the HU exposed group, a modest decline in mean per-patient hospitalizations and per-patient hospital days occurred, while those never exposed to HU trended toward a slight increase over time. Rates of blood transfusions declined among those on HU but not in patients never exposed to HU. Patients on HU had a median of one fewer hospital admission in the year after initiation of HU, compared to the year prior. Two deaths occurred in the patient population, both of whom were not exposed to HU.Conclusions:Increasing usage of HU was concurrent with decreased hospitalization rates and blood transfusions. Our results support the utility of HU on decreasing hospitalizations and transfusions for patients with SCD outside of the clinical trial setting. © 2013 Nottage et al.","author":[{"dropping-particle":"","family":"Nottage","given":"Kerri A.","non-dropping-particle":"","parse-names":false,"suffix":""},{"dropping-particle":"","family":"Hankins","given":"Jane S.","non-dropping-particle":"","parse-names":false,"suffix":""},{"dropping-particle":"","family":"Smeltzer","given":"Matthew","non-dropping-particle":"","parse-names":false,"suffix":""},{"dropping-particle":"","family":"Mzayek","given":"Fawaz","non-dropping-particle":"","parse-names":false,"suffix":""},{"dropping-particle":"","family":"Wang","given":"Winfred C.","non-dropping-particle":"","parse-names":false,"suffix":""},{"dropping-particle":"","family":"Aygun","given":"Banu","non-dropping-particle":"","parse-names":false,"suffix":""},{"dropping-particle":"","family":"Gurney","given":"James G.","non-dropping-particle":"","parse-names":false,"suffix":""}],"container-title":"PLoS ONE","id":"ITEM-1","issue":"8","issued":{"date-parts":[["2013"]]},"page":"1-5","title":"Hydroxyurea Use and Hospitalization Trends in a Comprehensive Pediatric Sickle Cell Program","type":"article-journal","volume":"8"},"uris":["http://www.mendeley.com/documents/?uuid=6e474751-aafd-460a-9d6a-799dad2be05f","http://www.mendeley.com/documents/?uuid=9b282b75-4139-44c7-8676-3e9afb503ea1"]}],"mendeley":{"formattedCitation":"[21]","plainTextFormattedCitation":"[21]","previouslyFormattedCitation":"(Nottage et al., 2013)"},"properties":{"noteIndex":0},"schema":"https://github.com/citation-style-language/schema/raw/master/csl-citation.json"}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[21]</w:t>
      </w:r>
      <w:r w:rsidRPr="00586642">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Albohassan</w:t>
      </w:r>
      <w:proofErr w:type="spellEnd"/>
      <w:r>
        <w:rPr>
          <w:rFonts w:ascii="Arial" w:hAnsi="Arial" w:cs="Arial"/>
          <w:sz w:val="24"/>
          <w:szCs w:val="24"/>
        </w:rPr>
        <w:t xml:space="preserve"> in the Eater Region of Saudi Arabia also reported the reduction of the number of </w:t>
      </w:r>
      <w:proofErr w:type="spellStart"/>
      <w:r>
        <w:rPr>
          <w:rFonts w:ascii="Arial" w:hAnsi="Arial" w:cs="Arial"/>
          <w:sz w:val="24"/>
          <w:szCs w:val="24"/>
        </w:rPr>
        <w:t>vaso</w:t>
      </w:r>
      <w:proofErr w:type="spellEnd"/>
      <w:r>
        <w:rPr>
          <w:rFonts w:ascii="Arial" w:hAnsi="Arial" w:cs="Arial"/>
          <w:sz w:val="24"/>
          <w:szCs w:val="24"/>
        </w:rPr>
        <w:t xml:space="preserve">-occlusive crisis (VOC) episodes (per year) from 3.8 to 1.2 per year and the hospitalizations </w:t>
      </w:r>
      <w:r w:rsidRPr="00586642">
        <w:rPr>
          <w:rFonts w:ascii="Arial" w:hAnsi="Arial" w:cs="Arial"/>
          <w:sz w:val="24"/>
          <w:szCs w:val="24"/>
        </w:rPr>
        <w:t>per year</w:t>
      </w:r>
      <w:r w:rsidRPr="00586642">
        <w:rPr>
          <w:rFonts w:ascii="Arial" w:hAnsi="Arial" w:cs="Arial"/>
          <w:sz w:val="24"/>
          <w:szCs w:val="24"/>
        </w:rPr>
        <w:fldChar w:fldCharType="begin" w:fldLock="1"/>
      </w:r>
      <w:r>
        <w:rPr>
          <w:rFonts w:ascii="Arial" w:hAnsi="Arial" w:cs="Arial"/>
          <w:sz w:val="24"/>
          <w:szCs w:val="24"/>
        </w:rPr>
        <w:instrText>ADDIN CSL_CITATION {"citationItems":[{"id":"ITEM-1","itemData":{"DOI":"10.7759/cureus.31527","ISSN":"2168-8184","abstract":"Background In Saudi Arabia, sickle cell disease (SCD) is a major public health issue, especially in the eastern region. Sickle cell patients have major  health-related issues, resulting in a poor quality of life and increased  morbidity. Abnormal hemoglobin production in SCD causes various complications,  such as vaso-occlusive crises, hemolytic episodes, and acute chest syndrome.  These disease manifestations increase the need for hospital admission and  long-term care. Most therapies for SCD are supportive and include episodic red  blood cell transfusions, narcotics, antibiotics, and intravenous fluids.  Hydroxyurea is a disease-modifying therapy. This study aimed to assess the  effectiveness of hydroxyurea therapy on reducing pain crises, hospital  admissions, and length of stay for SCD patients and discern reasons that would  prevent SCD patients from using hydroxyurea as a treatment option. Methodology We  conducted a descriptive cross-sectional study on SCD patients from the eastern  Saudi Arabian province. The study included 202 SCD patients from hematology  clinics and medical wards. We used a validated questionnaire tested for  reliability after a pilot study of 15 randomly selected patients. We surveyed  participants on demographic data, use of hydroxyurea, compliance with the  regimen, hospitalization rates, durations, and complications. The study used IBM  SPSS Statistics for Windows, Version 22.0. (IBM Corp., Armonk, NY) to analyze the  data. All statistical analysis was done using two-tailed tests. P-values &lt; 0.05  were considered statistically significant. Results The study included 202  participants who agreed to participate and completed the study questionnaire. The  respondents comprised 150 SCD patients (74.3%) and 52 caregivers of SCD patients  (25.7%). Patient ages ranged from one year to older than 36 years (mean age: 26.8  ± 12.3 years). The most common reason for not using hydroxyurea was that it was  never offered to patients as a treatment option (40.9% of respondents), followed  by respondents who had never heard of it (34.4%), think that they do not need it  (24.7%), and fears of long-term consequences (23.7%). More hydroxyurea users  (35.1%) suffered no acute painful crises during the last year than nonusers  (32%), and more nonusers suffered more than four crises (20%) than hydroxyurea  users (9.1%; p=.046). As for hospitalization due to SCD-related complications,  66.2% of hydroxyurea users were never hospitalized, while 5…","author":[{"dropping-particle":"","family":"Albohassan","given":"Hassan","non-dropping-particle":"","parse-names":false,"suffix":""},{"dropping-particle":"","family":"Ammen","given":"Muhammed","non-dropping-particle":"","parse-names":false,"suffix":""},{"dropping-particle":"","family":"Alomran","given":"Ali A","non-dropping-particle":"","parse-names":false,"suffix":""},{"dropping-particle":"","family":"Bu Shehab","given":"Hussain","non-dropping-particle":"","parse-names":false,"suffix":""},{"dropping-particle":"","family":"Sakkak","given":"Hussain","non-dropping-particle":"Al","parse-names":false,"suffix":""},{"dropping-particle":"","family":"Bohassan","given":"Afnan","non-dropping-particle":"Al","parse-names":false,"suffix":""}],"container-title":"Cureus","id":"ITEM-1","issue":"11","issued":{"date-parts":[["2022"]]},"language":"eng","page":"e31527","title":"Impact of Hydroxyurea Therapy in Reducing Pain Crises, Hospital Admissions, and Length of Stay Among Sickle Cell Patients in the Eastern Region of Saudi Arabia.","type":"article-journal","volume":"14"},"uris":["http://www.mendeley.com/documents/?uuid=dd6594d1-ee27-4b8b-8da1-83f13b0588a0","http://www.mendeley.com/documents/?uuid=d1e37d63-6bac-468f-b17e-457f0bc4e9e3"]}],"mendeley":{"formattedCitation":"[22]","plainTextFormattedCitation":"[22]","previouslyFormattedCitation":"(Albohassan et al., 2022)"},"properties":{"noteIndex":0},"schema":"https://github.com/citation-style-language/schema/raw/master/csl-citation.json"}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[22]</w:t>
      </w:r>
      <w:r w:rsidRPr="00586642">
        <w:rPr>
          <w:rFonts w:ascii="Arial" w:hAnsi="Arial" w:cs="Arial"/>
          <w:sz w:val="24"/>
          <w:szCs w:val="24"/>
        </w:rPr>
        <w:fldChar w:fldCharType="end"/>
      </w:r>
      <w:r w:rsidRPr="00586642">
        <w:rPr>
          <w:rFonts w:ascii="Arial" w:hAnsi="Arial" w:cs="Arial"/>
          <w:sz w:val="24"/>
          <w:szCs w:val="24"/>
        </w:rPr>
        <w:t xml:space="preserve"> .. In our study, the patients significantly improved their sense of well-being after treatment. </w:t>
      </w:r>
      <w:proofErr w:type="spellStart"/>
      <w:r>
        <w:rPr>
          <w:rFonts w:ascii="Arial" w:hAnsi="Arial" w:cs="Arial"/>
          <w:sz w:val="24"/>
          <w:szCs w:val="24"/>
        </w:rPr>
        <w:t>Mbiya-Mukinay</w:t>
      </w:r>
      <w:proofErr w:type="spellEnd"/>
      <w:r>
        <w:rPr>
          <w:rFonts w:ascii="Arial" w:hAnsi="Arial" w:cs="Arial"/>
          <w:sz w:val="24"/>
          <w:szCs w:val="24"/>
        </w:rPr>
        <w:t xml:space="preserve">, assessing the quality of life using the SF-36 questionnaire, found an Improvement in pain management and a reduction in misperception of role limitations related to emotional issues after </w:t>
      </w:r>
      <w:r w:rsidRPr="00586642">
        <w:rPr>
          <w:rFonts w:ascii="Arial" w:hAnsi="Arial" w:cs="Arial"/>
          <w:sz w:val="24"/>
          <w:szCs w:val="24"/>
        </w:rPr>
        <w:t xml:space="preserve">treatment with </w:t>
      </w:r>
      <w:proofErr w:type="spellStart"/>
      <w:r w:rsidRPr="00586642">
        <w:rPr>
          <w:rFonts w:ascii="Arial" w:hAnsi="Arial" w:cs="Arial"/>
          <w:sz w:val="24"/>
          <w:szCs w:val="24"/>
        </w:rPr>
        <w:t>hydroxyurea</w:t>
      </w:r>
      <w:proofErr w:type="spellEnd"/>
      <w:r w:rsidRPr="00586642">
        <w:rPr>
          <w:rFonts w:ascii="Arial" w:hAnsi="Arial" w:cs="Arial"/>
          <w:sz w:val="24"/>
          <w:szCs w:val="24"/>
        </w:rPr>
        <w:t>.  Pain was the main factor affecting quality of life. It is significantly associated with physical functioning</w:t>
      </w:r>
      <w:r>
        <w:rPr>
          <w:rFonts w:ascii="Arial" w:hAnsi="Arial" w:cs="Arial"/>
          <w:sz w:val="24"/>
          <w:szCs w:val="24"/>
        </w:rPr>
        <w:t>,</w:t>
      </w:r>
      <w:r w:rsidRPr="00586642">
        <w:rPr>
          <w:rFonts w:ascii="Arial" w:hAnsi="Arial" w:cs="Arial"/>
          <w:sz w:val="24"/>
          <w:szCs w:val="24"/>
        </w:rPr>
        <w:t xml:space="preserve"> energy/ fatigue, functional and emotional well-being</w:t>
      </w:r>
      <w:r w:rsidRPr="00586642">
        <w:rPr>
          <w:rFonts w:ascii="Arial" w:hAnsi="Arial" w:cs="Arial"/>
          <w:sz w:val="24"/>
          <w:szCs w:val="24"/>
        </w:rPr>
        <w:fldChar w:fldCharType="begin" w:fldLock="1"/>
      </w:r>
      <w:r>
        <w:rPr>
          <w:rFonts w:ascii="Arial" w:hAnsi="Arial" w:cs="Arial"/>
          <w:sz w:val="24"/>
          <w:szCs w:val="24"/>
        </w:rPr>
        <w:instrText>ADDIN CSL_CITATION {"citationItems":[{"id":"ITEM-1","itemData":{"DOI":"10.1007/s44155-025-00216-2","ISBN":"0123456789","ISSN":"27310469","abstract":"Background: Sickle cell disease is the most common genetic disease in the world, affecting mainly populations in sub-Saharan Africa. It causes high morbidity and mortality rates and is a real public health problem in the Democratic Republic of the Congo. Regular medical follow-up improves the quality of life of patients, especially adolescents, and raises the issue of their transition to adult medicine. This study aims to assess the quality of life and transition of sickle-cell adolescents, identifying key factors influencing their well-being. Method: This was a cross-sectional descriptive and observational study conducted in the form of interviews with 106 sickle cell adolescents in Mbujimayi. The SF-36 short questionnaire was used to assess quality of life. A closed questionnaire (dichotomous or nominal) was used to assess the transition period. Results: The results revealed an overall optimal quality of life, with an average SF-36 score of 60.6 ± 8. Improvement in pain management (75.21 ± 23.49) and misperception of role limitations related to emotional issues (47.79 ± 27.53). Pain is the main factor affecting quality of life. It is significantly associated with physical functioning (p-value 0.014), energy/fatigue p-value 0.014), functional/physical role (p 0.001), emotional well-being (p-value 0.000), social functioning (p-value 0.000) and pain itself (p-value 0.000). The majority, 92% of the adolescents, were unaware of the transition, and 68% did not feel ready to move from pediatric care to adult care. Conclusion: These findings highlight the importance of considering the quality of life of sickle cell adolescents and their transition to adult medicine in Mbujimayi, highlighting the challenges they face and the factors that affect their well-being in general. The most significant factors impacting quality of life were pain and fatigue. While many interviewees recognized the transition to adult care, they felt unprepared and lacked sufficient financial resources.","author":[{"dropping-particle":"","family":"Mbiya-Mukinayi","given":"Benoît","non-dropping-particle":"","parse-names":false,"suffix":""},{"dropping-particle":"","family":"Kalala-Mushinta","given":"Corneille","non-dropping-particle":"","parse-names":false,"suffix":""},{"dropping-particle":"","family":"Kalombo-Munganga","given":"Schadrac","non-dropping-particle":"","parse-names":false,"suffix":""},{"dropping-particle":"","family":"Kalala-Mwanza","given":"Alexandre","non-dropping-particle":"","parse-names":false,"suffix":""},{"dropping-particle":"","family":"Kasongo-Tshiala","given":"Steve","non-dropping-particle":"","parse-names":false,"suffix":""},{"dropping-particle":"","family":"Mpoyi-Kalenda","given":"John","non-dropping-particle":"","parse-names":false,"suffix":""},{"dropping-particle":"","family":"Gulbis","given":"Béatrice","non-dropping-particle":"","parse-names":false,"suffix":""}],"container-title":"Discover Social Science and Health","id":"ITEM-1","issue":"1","issued":{"date-parts":[["2025"]]},"publisher":"Springer International Publishing","title":"Assessing the quality of life of adolescents with sickle cell disease and their transition to adult medicine: experience in a remote area of the Democratic Republic of Congo","type":"article-journal","volume":"5"},"uris":["http://www.mendeley.com/documents/?uuid=e5f1f41f-0150-4f41-825a-7306f766f3e4","http://www.mendeley.com/documents/?uuid=a1ceafae-f42b-4b89-9694-088718511958"]}],"mendeley":{"formattedCitation":"[23]","plainTextFormattedCitation":"[23]","previouslyFormattedCitation":"(Mbiya-Mukinayi et al., 2025)"},"properties":{"noteIndex":0},"schema":"https://github.com/citation-style-language/schema/raw/master/csl-citation.json"}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[23]</w:t>
      </w:r>
      <w:r w:rsidRPr="00586642">
        <w:rPr>
          <w:rFonts w:ascii="Arial" w:hAnsi="Arial" w:cs="Arial"/>
          <w:sz w:val="24"/>
          <w:szCs w:val="24"/>
        </w:rPr>
        <w:fldChar w:fldCharType="end"/>
      </w:r>
      <w:r w:rsidRPr="00586642">
        <w:rPr>
          <w:rFonts w:ascii="Arial" w:hAnsi="Arial" w:cs="Arial"/>
          <w:sz w:val="24"/>
          <w:szCs w:val="24"/>
        </w:rPr>
        <w:t xml:space="preserve">.  </w:t>
      </w:r>
      <w:r w:rsidRPr="00586642">
        <w:rPr>
          <w:rFonts w:ascii="Arial" w:eastAsia="Times New Roman" w:hAnsi="Arial" w:cs="Arial"/>
          <w:sz w:val="24"/>
          <w:szCs w:val="24"/>
        </w:rPr>
        <w:t xml:space="preserve">Another study </w:t>
      </w:r>
      <w:r w:rsidRPr="00743957">
        <w:rPr>
          <w:rFonts w:ascii="Arial" w:eastAsia="Times New Roman" w:hAnsi="Arial" w:cs="Arial"/>
          <w:sz w:val="24"/>
          <w:szCs w:val="24"/>
        </w:rPr>
        <w:t xml:space="preserve">conducted at King Saud Medical City in Riyadh, Saudi Arabia, demonstrated that </w:t>
      </w:r>
      <w:proofErr w:type="spellStart"/>
      <w:r w:rsidRPr="00743957">
        <w:rPr>
          <w:rFonts w:ascii="Arial" w:eastAsia="Times New Roman" w:hAnsi="Arial" w:cs="Arial"/>
          <w:sz w:val="24"/>
          <w:szCs w:val="24"/>
        </w:rPr>
        <w:t>hydroxyurea</w:t>
      </w:r>
      <w:proofErr w:type="spellEnd"/>
      <w:r w:rsidRPr="00743957">
        <w:rPr>
          <w:rFonts w:ascii="Arial" w:eastAsia="Times New Roman" w:hAnsi="Arial" w:cs="Arial"/>
          <w:sz w:val="24"/>
          <w:szCs w:val="24"/>
        </w:rPr>
        <w:t xml:space="preserve"> leads to significant improvements in both clinical and </w:t>
      </w:r>
      <w:proofErr w:type="spellStart"/>
      <w:r>
        <w:rPr>
          <w:rFonts w:ascii="Arial" w:eastAsia="Times New Roman" w:hAnsi="Arial" w:cs="Arial"/>
          <w:sz w:val="24"/>
          <w:szCs w:val="24"/>
        </w:rPr>
        <w:t>haematological</w:t>
      </w:r>
      <w:proofErr w:type="spellEnd"/>
      <w:r w:rsidRPr="00743957">
        <w:rPr>
          <w:rFonts w:ascii="Arial" w:eastAsia="Times New Roman" w:hAnsi="Arial" w:cs="Arial"/>
          <w:sz w:val="24"/>
          <w:szCs w:val="24"/>
        </w:rPr>
        <w:t xml:space="preserve"> responses in patients with sickle cell disease</w:t>
      </w:r>
      <w:r w:rsidRPr="00586642">
        <w:rPr>
          <w:rFonts w:ascii="Arial" w:hAnsi="Arial" w:cs="Arial"/>
          <w:sz w:val="24"/>
          <w:szCs w:val="24"/>
        </w:rPr>
        <w:t xml:space="preserve">  </w:t>
      </w:r>
      <w:r w:rsidRPr="00586642">
        <w:rPr>
          <w:rFonts w:ascii="Arial" w:hAnsi="Arial" w:cs="Arial"/>
          <w:sz w:val="24"/>
          <w:szCs w:val="24"/>
        </w:rPr>
        <w:fldChar w:fldCharType="begin" w:fldLock="1"/>
      </w:r>
      <w:r>
        <w:rPr>
          <w:rFonts w:ascii="Arial" w:hAnsi="Arial" w:cs="Arial"/>
          <w:sz w:val="24"/>
          <w:szCs w:val="24"/>
        </w:rPr>
        <w:instrText>ADDIN CSL_CITATION {"citationItems":[{"id":"ITEM-1","itemData":{"DOI":"10.15537/smj.2020.1.24698","ISSN":"1658-3175 0379-5284","abstract":"To measure the incidence of vaso-occlusive crises (VOC) and the role of hydroxyurea (HU) in reducing VOC in sickle cell anemia  patients being treated at  a large tertiary care setting in Kingdom of Saudi Arabia (KSA). The secondary  objective of this study is to observe the gradual improvement in laboratory data  (white blood cell [WBC], platelets, mean corpuscular volume [MCV], hemoglobin  [Hgb], HgbF) following regular use of HU. Methods: Clinical effectiveness of HU  was evaluated in a large pediatric population using a retrospective cohort,  non-interventional, pre-post treatment study designed to control disease severity  selection bias. The cohort included children with SCA (sickle cell (SS),  sickle-beta thalassemia) at King Saud Medical City, Riyadh, KSA, who initiated HU  between January 2012 and June 2017. For each patient healthcare utilization,  laboratory values, and clinical outcomes were observed for an equal duration of  time pre and post hydroxyurea. Results: Out of 416 SCD patients, 128 children  with SCD who initiated HU, of them 82 met the eligibility criteria. After  initiation of HU, there was significant reduction in both VOC (80%) and length of  stay (LOS) (73%). Significant increase in Hgb (13%), MCV (10%), and HgbF (28%)  and significant decrease in WBC (28%) was observed. Only the mean platelet count  decreased by 3% with a p greater than 0.05. Conclusion: Hydroxyurea treatment  significantly decreased episodes of VOC and LOS, it also led to reductions in  hospitalizations and significant improvement in complete blood count indices.","author":[{"dropping-particle":"","family":"Azmet","given":"Fauzia R","non-dropping-particle":"","parse-names":false,"suffix":""},{"dropping-particle":"","family":"Al-Kasim","given":"Fawaz","non-dropping-particle":"","parse-names":false,"suffix":""},{"dropping-particle":"","family":"Alashram","given":"Walid M","non-dropping-particle":"","parse-names":false,"suffix":""},{"dropping-particle":"","family":"Siddique","given":"Khawar","non-dropping-particle":"","parse-names":false,"suffix":""}],"container-title":"Saudi medical journal","id":"ITEM-1","issue":"1","issued":{"date-parts":[["2020"]]},"language":"eng","page":"46-52","title":"The role of hydroxyurea in decreasing the occurrence of vasso-occulusive crisis in pediatric patients with sickle cell disease at King Saud Medical City in  Riyadh, Saudi Arabia.","type":"article-journal","volume":"41"},"uris":["http://www.mendeley.com/documents/?uuid=7894245a-f74b-4990-bff9-8617d8b55e6e","http://www.mendeley.com/documents/?uuid=a09674a4-ea64-461a-a9a2-69c96f5a9999"]}],"mendeley":{"formattedCitation":"[24]","plainTextFormattedCitation":"[24]","previouslyFormattedCitation":"(Azmet et al., 2020a)"},"properties":{"noteIndex":0},"schema":"https://github.com/citation-style-language/schema/raw/master/csl-citation.json"}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[24]</w:t>
      </w:r>
      <w:r w:rsidRPr="00586642">
        <w:rPr>
          <w:rFonts w:ascii="Arial" w:hAnsi="Arial" w:cs="Arial"/>
          <w:sz w:val="24"/>
          <w:szCs w:val="24"/>
        </w:rPr>
        <w:fldChar w:fldCharType="end"/>
      </w:r>
      <w:r w:rsidRPr="00586642">
        <w:rPr>
          <w:rFonts w:ascii="Arial" w:hAnsi="Arial" w:cs="Arial"/>
          <w:sz w:val="24"/>
          <w:szCs w:val="24"/>
        </w:rPr>
        <w:fldChar w:fldCharType="begin" w:fldLock="1"/>
      </w:r>
      <w:r>
        <w:rPr>
          <w:rFonts w:ascii="Arial" w:hAnsi="Arial" w:cs="Arial"/>
          <w:sz w:val="24"/>
          <w:szCs w:val="24"/>
        </w:rPr>
        <w:instrText>ADDIN CSL_CITATION {"citationItems":[{"id":"ITEM-1","itemData":{"DOI":"10.1111/ejh.14138","ISSN":"0902-4441","abstract":"Hydroxyurea reduces the frequency of vaso-occlusive complications, increases hemoglobin, and decreases mortality in sickle cell disease (SCD). Although current guidelines recommend escalation to maximum tolerated dose (MTD), the use of fixed low-dose hydroxyurea is common in low-resource countries. We conducted a systematic review and meta-analysis to evaluate the efficacy of escalated doses versus fixed low-dose of hydroxyurea in adults with SCD. Nine studies were included in the quantitative synthesis, four evaluating fixed low-dose and five evaluating escalated doses of hydroxyurea. Average daily doses of hydroxyurea in the fixed low-dose and escalated dose studies were ~10 mg/kg and 22 mg/kg, respectively. There was no difference in the estimate of vaso-occlusive crisis rate between escalated and fixed low-dose studies (p=0.73). The mean difference in hemoglobin from baseline to follow-up was greater for fixed low-dose than escalated dose studies (1.07 g/dL vs. 0.54 g/dL, p=0.01). No difference was seen in the mean estimate of fetal hemoglobin. Despite limited eligible studies and substantial heterogeneity of effect between the studies for several outcomes, there appears to be clinical equipoise regarding the most appropriate hydroxyurea dosing regimen in adults with SCD. Controlled studies of hydroxyurea at MTD versus fixed low-dose in adults with SCD are required.","author":[{"dropping-particle":"","family":"Ogu","given":"Ugochi O","non-dropping-particle":"","parse-names":false,"suffix":""},{"dropping-particle":"","family":"Mukhopadhyay","given":"Ayesha","non-dropping-particle":"","parse-names":false,"suffix":""},{"dropping-particle":"","family":"Patel","given":"Kruti","non-dropping-particle":"","parse-names":false,"suffix":""},{"dropping-particle":"","family":"Nelson","given":"Marquita N","non-dropping-particle":"","parse-names":false,"suffix":""},{"dropping-particle":"","family":"Strahan","given":"KayLee S","non-dropping-particle":"","parse-names":false,"suffix":""},{"dropping-particle":"","family":"Wu","given":"Lin","non-dropping-particle":"","parse-names":false,"suffix":""},{"dropping-particle":"","family":"Smeltzer","given":"Matthew P","non-dropping-particle":"","parse-names":false,"suffix":""},{"dropping-particle":"","family":"Ataga","given":"Kenneth I","non-dropping-particle":"","parse-names":false,"suffix":""}],"container-title":"European journal of haematology","id":"ITEM-1","issue":"3","issued":{"date-parts":[["2024","7"]]},"page":"466-474","title":"Hydroxyurea at Escalated Dose versus Fixed Low-Dose Hydroxyurea in Adults with Sickle Cell Disease","type":"article-journal","volume":"112"},"uris":["http://www.mendeley.com/documents/?uuid=a1ff616f-0680-4bd7-8d7c-eb493f19d0f9","http://www.mendeley.com/documents/?uuid=91fec501-26c3-48d5-b90a-31f511b2a74b"]}],"mendeley":{"formattedCitation":"[25]","plainTextFormattedCitation":"[25]","previouslyFormattedCitation":"(Ogu et al., 2024)"},"properties":{"noteIndex":0},"schema":"https://github.com/citation-style-language/schema/raw/master/csl-citation.json"}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[25]</w:t>
      </w:r>
      <w:r w:rsidRPr="00586642">
        <w:rPr>
          <w:rFonts w:ascii="Arial" w:hAnsi="Arial" w:cs="Arial"/>
          <w:sz w:val="24"/>
          <w:szCs w:val="24"/>
        </w:rPr>
        <w:fldChar w:fldCharType="end"/>
      </w:r>
      <w:r w:rsidRPr="00586642">
        <w:rPr>
          <w:rFonts w:ascii="Arial" w:hAnsi="Arial" w:cs="Arial"/>
          <w:sz w:val="24"/>
          <w:szCs w:val="24"/>
        </w:rPr>
        <w:t xml:space="preserve"> </w:t>
      </w:r>
      <w:r w:rsidRPr="00586642">
        <w:rPr>
          <w:rFonts w:ascii="Arial" w:hAnsi="Arial" w:cs="Arial"/>
          <w:sz w:val="24"/>
          <w:szCs w:val="24"/>
        </w:rPr>
        <w:fldChar w:fldCharType="begin" w:fldLock="1"/>
      </w:r>
      <w:r>
        <w:rPr>
          <w:rFonts w:ascii="Arial" w:hAnsi="Arial" w:cs="Arial"/>
          <w:sz w:val="24"/>
          <w:szCs w:val="24"/>
        </w:rPr>
        <w:instrText>ADDIN CSL_CITATION {"citationItems":[{"id":"ITEM-1","itemData":{"DOI":"10.15537/smj.2020.1.24698","ISSN":"16583175","PMID":"31915794","abstract":"Objectives: To measure the incidence of vaso-occlusive crises)VOC(and the role of hydroxyurea)HU(in reducing VOC in sickle cell anemia patients being treated at a large tertiary care setting in Kingdom of Saudi Arabia)KSA(. The secondary objective of this study is to observe the gradual improvement in laboratory data)white blood cell ]WBC[, platelets, mean corpuscular volume ]MCV[, hemoglobin ]Hgb[, HgbF(following regular use of HU. Methods: Clinical effectiveness of HU was evaluated in a large pediatric population using a retrospective cohort, non-interventional, pre-post treatment study designed to control disease severity selection bias. The cohort included children with SCA)sickle cell)SS(, sickle-beta thalassemia(at King Saud Medical City, Riyadh, KSA, who initiated HU between January 2012 and June 2017. For each patient healthcare utilization, laboratory values, and clinical outcomes were observed for an equal duration of time pre and post hydroxyurea. Results: Out of 416 SCD patients, 128 children with SCD who initiated HU, of them 82 met the eligibility criteria. After initiation of HU, there was significant reduction in both VOC)80%(and length of stay)LOS()73%(. Significant increase in Hgb)13%(, MCV)10%(, and HgbF)28%(and significant decrease in WBC)28%(was observed. Only the mean platelet count decreased by 3% with a p&gt;0.05. Conclusion: Hydroxyurea treatment significantly decreased episodes of VOC and LOS, it also led to reductions in hospitalizations and significant improvement in complete blood count indices.","author":[{"dropping-particle":"","family":"Azmet","given":"Fauzia R.","non-dropping-particle":"","parse-names":false,"suffix":""},{"dropping-particle":"","family":"Al-Kasim","given":"Fawaz","non-dropping-particle":"","parse-names":false,"suffix":""},{"dropping-particle":"","family":"Alashram","given":"Walid M.","non-dropping-particle":"","parse-names":false,"suffix":""},{"dropping-particle":"","family":"Siddique","given":"Khawar","non-dropping-particle":"","parse-names":false,"suffix":""}],"container-title":"Saudi Medical Journal","id":"ITEM-1","issue":"1","issued":{"date-parts":[["2020"]]},"page":"46-52","title":"The role of hydroxyurea in decreasing the occurrence of vasso-occulusive crisis in pediatric patients with sickle cell disease at King Saud Medical City in Riyadh, Saudi Arabia","type":"article-journal","volume":"41"},"uris":["http://www.mendeley.com/documents/?uuid=64fb708e-5b30-4681-a6dc-bf89433048e3","http://www.mendeley.com/documents/?uuid=b1955257-63c1-4489-a8e0-7f774b5f8340"]}],"mendeley":{"formattedCitation":"[26]","plainTextFormattedCitation":"[26]","previouslyFormattedCitation":"(Azmet et al., 2020b)"},"properties":{"noteIndex":0},"schema":"https://github.com/citation-style-language/schema/raw/master/csl-citation.json"}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[26]</w:t>
      </w:r>
      <w:r w:rsidRPr="00586642">
        <w:rPr>
          <w:rFonts w:ascii="Arial" w:hAnsi="Arial" w:cs="Arial"/>
          <w:sz w:val="24"/>
          <w:szCs w:val="24"/>
        </w:rPr>
        <w:fldChar w:fldCharType="end"/>
      </w:r>
    </w:p>
    <w:p w:rsidR="00765883" w:rsidRPr="00061965" w:rsidRDefault="00765883" w:rsidP="00765883">
      <w:pPr>
        <w:spacing w:before="100" w:beforeAutospacing="1" w:after="100" w:afterAutospacing="1" w:line="360" w:lineRule="auto"/>
        <w:jc w:val="both"/>
        <w:rPr>
          <w:rFonts w:ascii="Arial" w:eastAsia="Times New Roman" w:hAnsi="Arial" w:cs="Arial"/>
          <w:sz w:val="24"/>
          <w:szCs w:val="24"/>
        </w:rPr>
      </w:pPr>
      <w:r w:rsidRPr="00586642">
        <w:rPr>
          <w:rFonts w:ascii="Arial" w:hAnsi="Arial" w:cs="Arial"/>
          <w:sz w:val="24"/>
          <w:szCs w:val="24"/>
        </w:rPr>
        <w:lastRenderedPageBreak/>
        <w:t xml:space="preserve">Regarding adherence to </w:t>
      </w:r>
      <w:proofErr w:type="spellStart"/>
      <w:r w:rsidRPr="00586642">
        <w:rPr>
          <w:rFonts w:ascii="Arial" w:hAnsi="Arial" w:cs="Arial"/>
          <w:sz w:val="24"/>
          <w:szCs w:val="24"/>
        </w:rPr>
        <w:t>Hydroxyurea</w:t>
      </w:r>
      <w:proofErr w:type="spellEnd"/>
      <w:r w:rsidRPr="00586642">
        <w:rPr>
          <w:rFonts w:ascii="Arial" w:hAnsi="Arial" w:cs="Arial"/>
          <w:sz w:val="24"/>
          <w:szCs w:val="24"/>
        </w:rPr>
        <w:t xml:space="preserve"> treatment,</w:t>
      </w:r>
      <w:r w:rsidRPr="00586642">
        <w:rPr>
          <w:rFonts w:ascii="Arial" w:hAnsi="Arial" w:cs="Arial"/>
          <w:bCs/>
          <w:sz w:val="24"/>
          <w:szCs w:val="24"/>
        </w:rPr>
        <w:t xml:space="preserve"> 164</w:t>
      </w:r>
      <w:r w:rsidRPr="00586642">
        <w:rPr>
          <w:rFonts w:ascii="Arial" w:hAnsi="Arial" w:cs="Arial"/>
          <w:sz w:val="24"/>
          <w:szCs w:val="24"/>
        </w:rPr>
        <w:t xml:space="preserve"> (</w:t>
      </w:r>
      <w:r w:rsidRPr="00586642">
        <w:rPr>
          <w:rFonts w:ascii="Arial" w:hAnsi="Arial" w:cs="Arial"/>
          <w:bCs/>
          <w:sz w:val="24"/>
          <w:szCs w:val="24"/>
        </w:rPr>
        <w:t xml:space="preserve">91.1%) of respondents </w:t>
      </w:r>
      <w:r w:rsidRPr="00586642">
        <w:rPr>
          <w:rFonts w:ascii="Arial" w:hAnsi="Arial" w:cs="Arial"/>
          <w:sz w:val="24"/>
          <w:szCs w:val="24"/>
        </w:rPr>
        <w:t xml:space="preserve">demonstrated </w:t>
      </w:r>
      <w:r w:rsidRPr="00586642">
        <w:rPr>
          <w:rFonts w:ascii="Arial" w:hAnsi="Arial" w:cs="Arial"/>
          <w:bCs/>
          <w:sz w:val="24"/>
          <w:szCs w:val="24"/>
        </w:rPr>
        <w:t>good adherence</w:t>
      </w:r>
      <w:r w:rsidRPr="00586642">
        <w:rPr>
          <w:rFonts w:ascii="Arial" w:hAnsi="Arial" w:cs="Arial"/>
          <w:sz w:val="24"/>
          <w:szCs w:val="24"/>
        </w:rPr>
        <w:t xml:space="preserve"> to </w:t>
      </w:r>
      <w:proofErr w:type="spellStart"/>
      <w:r w:rsidRPr="00586642">
        <w:rPr>
          <w:rFonts w:ascii="Arial" w:hAnsi="Arial" w:cs="Arial"/>
          <w:sz w:val="24"/>
          <w:szCs w:val="24"/>
        </w:rPr>
        <w:t>Hydroxyurea</w:t>
      </w:r>
      <w:proofErr w:type="spellEnd"/>
      <w:r w:rsidRPr="00586642">
        <w:rPr>
          <w:rFonts w:ascii="Arial" w:hAnsi="Arial" w:cs="Arial"/>
          <w:sz w:val="24"/>
          <w:szCs w:val="24"/>
        </w:rPr>
        <w:t xml:space="preserve"> therapy. This indicates a high level of treatment commitment, likely influenced by positive therapeutic outcomes, patient education, regular follow-up, and accessible healthcare support.</w:t>
      </w:r>
      <w:r w:rsidRPr="00586642">
        <w:rPr>
          <w:rFonts w:ascii="Arial" w:hAnsi="Arial" w:cs="Arial"/>
          <w:bCs/>
          <w:sz w:val="24"/>
          <w:szCs w:val="24"/>
        </w:rPr>
        <w:t>8.9% (16 patients)</w:t>
      </w:r>
      <w:r w:rsidRPr="00586642">
        <w:rPr>
          <w:rFonts w:ascii="Arial" w:hAnsi="Arial" w:cs="Arial"/>
          <w:sz w:val="24"/>
          <w:szCs w:val="24"/>
        </w:rPr>
        <w:t xml:space="preserve"> exhibited </w:t>
      </w:r>
      <w:r w:rsidRPr="00586642">
        <w:rPr>
          <w:rFonts w:ascii="Arial" w:hAnsi="Arial" w:cs="Arial"/>
          <w:bCs/>
          <w:sz w:val="24"/>
          <w:szCs w:val="24"/>
        </w:rPr>
        <w:t>moderate to poor adherence</w:t>
      </w:r>
      <w:r w:rsidRPr="00586642">
        <w:rPr>
          <w:rFonts w:ascii="Arial" w:hAnsi="Arial" w:cs="Arial"/>
          <w:sz w:val="24"/>
          <w:szCs w:val="24"/>
        </w:rPr>
        <w:t>.</w:t>
      </w:r>
      <w:r w:rsidRPr="000E33D7">
        <w:t xml:space="preserve"> </w:t>
      </w:r>
      <w:r w:rsidRPr="00C83839">
        <w:rPr>
          <w:rFonts w:ascii="Arial" w:hAnsi="Arial" w:cs="Arial"/>
          <w:sz w:val="24"/>
          <w:szCs w:val="24"/>
        </w:rPr>
        <w:t>In the present study</w:t>
      </w:r>
      <w:r>
        <w:rPr>
          <w:rFonts w:ascii="Arial" w:hAnsi="Arial" w:cs="Arial"/>
          <w:sz w:val="24"/>
          <w:szCs w:val="24"/>
        </w:rPr>
        <w:t>, patients</w:t>
      </w:r>
      <w:r w:rsidRPr="00C83839">
        <w:rPr>
          <w:rFonts w:ascii="Arial" w:hAnsi="Arial" w:cs="Arial"/>
          <w:sz w:val="24"/>
          <w:szCs w:val="24"/>
        </w:rPr>
        <w:t xml:space="preserve"> demonstrated good adherence to </w:t>
      </w:r>
      <w:proofErr w:type="spellStart"/>
      <w:r w:rsidRPr="00C83839">
        <w:rPr>
          <w:rFonts w:ascii="Arial" w:hAnsi="Arial" w:cs="Arial"/>
          <w:sz w:val="24"/>
          <w:szCs w:val="24"/>
        </w:rPr>
        <w:t>hydroxyurea</w:t>
      </w:r>
      <w:proofErr w:type="spellEnd"/>
      <w:r w:rsidRPr="00C83839">
        <w:rPr>
          <w:rFonts w:ascii="Arial" w:hAnsi="Arial" w:cs="Arial"/>
          <w:sz w:val="24"/>
          <w:szCs w:val="24"/>
        </w:rPr>
        <w:t xml:space="preserve"> therapy. This adherence rate is notably higher than that reported in Oman, where 82.5% of patients adhered to treatment</w:t>
      </w:r>
      <w:r>
        <w:rPr>
          <w:rFonts w:ascii="Arial" w:hAnsi="Arial" w:cs="Arial"/>
          <w:sz w:val="24"/>
          <w:szCs w:val="24"/>
        </w:rPr>
        <w:t>. Another study conducted at King Abdul Aziz, Saudi Arabia, involving adolescents and young adults aged 15–24, found a similar adherence rate of 82.5%</w:t>
      </w:r>
      <w:r w:rsidRPr="00C83839">
        <w:rPr>
          <w:rFonts w:ascii="Arial" w:hAnsi="Arial" w:cs="Arial"/>
          <w:sz w:val="24"/>
          <w:szCs w:val="24"/>
        </w:rPr>
        <w:t xml:space="preserve"> to </w:t>
      </w:r>
      <w:proofErr w:type="spellStart"/>
      <w:r w:rsidRPr="00C83839">
        <w:rPr>
          <w:rFonts w:ascii="Arial" w:hAnsi="Arial" w:cs="Arial"/>
          <w:sz w:val="24"/>
          <w:szCs w:val="24"/>
        </w:rPr>
        <w:t>hydroxyurea</w:t>
      </w:r>
      <w:proofErr w:type="spellEnd"/>
      <w:r w:rsidRPr="00C83839">
        <w:rPr>
          <w:rFonts w:ascii="Arial" w:hAnsi="Arial" w:cs="Arial"/>
          <w:sz w:val="24"/>
          <w:szCs w:val="24"/>
        </w:rPr>
        <w:t xml:space="preserve">. </w:t>
      </w:r>
      <w:r w:rsidRPr="00C83839">
        <w:rPr>
          <w:rFonts w:ascii="Arial" w:hAnsi="Arial" w:cs="Arial"/>
          <w:sz w:val="24"/>
          <w:szCs w:val="24"/>
        </w:rPr>
        <w:fldChar w:fldCharType="begin" w:fldLock="1"/>
      </w:r>
      <w:r>
        <w:rPr>
          <w:rFonts w:ascii="Arial" w:hAnsi="Arial" w:cs="Arial"/>
          <w:sz w:val="24"/>
          <w:szCs w:val="24"/>
        </w:rPr>
        <w:instrText>ADDIN CSL_CITATION {"citationItems":[{"id":"ITEM-1","itemData":{"DOI":"10.7759/cureus.13453","ISSN":"2168-8184","abstract":"Background Sickle cell disease (SCD) is an autosomal recessive hemoglobinopathy that is very common and causes a great burden in Saudi Arabia and worldwide. This  study aims to determine the frequency and benefits of using hydroxyurea in  treating children with SCD in King Abdulaziz University Hospital (KAUH) in Saudi  Arabia. Method This retrospective observational study included all SCD patients,  males and females, who were following up in KAUH and were less than 18 years old.  Patients on chronic transfusion therapy or who had previous stem cell  transplantation were excluded from the study. The study was approved by the unit  of biomedical ethics in KAUH, Jeddah. Result The study included 102 SCD patients;  the median age of the sample was 7.5±4.2, with the majority being female (58  patients; 56.9%). Hydroxyurea users among participants in the study were 62  patients (60.8%). Thirty-seven (37) of the patients using hydroxyurea had an  increase in the mean corpuscular volume (MCV). There was a decrease in the level  of white blood cells (WBCs) and neutrophil count from 15.81±10.24 and  48.31±23.23% to 12.48±5.48 and 40.81±15.78%, respectively. Platelet count showed  an increase from 345.4±2.1096 to 359.162±199.87 after starting hydroxyurea. The  incidence of vaso-occlusive crisis (VOC) increased after hydroxyurea initiation  from 4.555±4.08 to 6.288±9.80. Moreover, the frequency of blood transfusion in  patients using hydroxyurea was statistically significant as p-value = 0.048.  Conclusion In conclusion, our results showed significant clinical and laboratory  benefits of hydroxyurea in children with SCD. Hydroxyurea has been shown to  reduce the frequency of VOC and blood transfusion in patients with SCD.","author":[{"dropping-particle":"","family":"Alzahrani","given":"Fatma","non-dropping-particle":"","parse-names":false,"suffix":""},{"dropping-particle":"","family":"Albaz","given":"Ghaidaa F","non-dropping-particle":"","parse-names":false,"suffix":""},{"dropping-particle":"","family":"AlSinan","given":"Fatima","non-dropping-particle":"","parse-names":false,"suffix":""},{"dropping-particle":"","family":"Alzuhayri","given":"Jumana","non-dropping-particle":"","parse-names":false,"suffix":""},{"dropping-particle":"","family":"Barnawi","given":"Zahra M","non-dropping-particle":"","parse-names":false,"suffix":""},{"dropping-particle":"","family":"Melebari","given":"Nouf","non-dropping-particle":"","parse-names":false,"suffix":""},{"dropping-particle":"","family":"Twairgi","given":"Tethkar M 2nd","non-dropping-particle":"Al","parse-names":false,"suffix":""}],"container-title":"Cureus","id":"ITEM-1","issue":"2","issued":{"date-parts":[["2021"]]},"language":"eng","page":"e13453","title":"Hydroxyurea Use Among Children With Sickle Cell Disease at King Abdulaziz University Hospital in Jeddah City.","type":"article-journal","volume":"13"},"uris":["http://www.mendeley.com/documents/?uuid=53d6477b-b3e1-4397-950a-1f2dd8048cf9","http://www.mendeley.com/documents/?uuid=c2a8a3e1-eaa8-4abb-9547-374f4dc22c26"]}],"mendeley":{"formattedCitation":"[27]","plainTextFormattedCitation":"[27]","previouslyFormattedCitation":"(Alzahrani et al., 2021)"},"properties":{"noteIndex":0},"schema":"https://github.com/citation-style-language/schema/raw/master/csl-citation.json"}</w:instrText>
      </w:r>
      <w:r w:rsidRPr="00C83839">
        <w:rPr>
          <w:rFonts w:ascii="Arial" w:hAnsi="Arial" w:cs="Arial"/>
          <w:sz w:val="24"/>
          <w:szCs w:val="24"/>
        </w:rPr>
        <w:fldChar w:fldCharType="separate"/>
      </w:r>
      <w:r w:rsidRPr="00765883">
        <w:rPr>
          <w:rFonts w:ascii="Arial" w:hAnsi="Arial" w:cs="Arial"/>
          <w:noProof/>
          <w:sz w:val="24"/>
          <w:szCs w:val="24"/>
        </w:rPr>
        <w:t>[27]</w:t>
      </w:r>
      <w:r w:rsidRPr="00C83839">
        <w:rPr>
          <w:rFonts w:ascii="Arial" w:hAnsi="Arial" w:cs="Arial"/>
          <w:sz w:val="24"/>
          <w:szCs w:val="24"/>
        </w:rPr>
        <w:fldChar w:fldCharType="end"/>
      </w:r>
      <w:r w:rsidRPr="00C83839">
        <w:rPr>
          <w:rFonts w:ascii="Arial" w:hAnsi="Arial" w:cs="Arial"/>
          <w:sz w:val="24"/>
          <w:szCs w:val="24"/>
        </w:rPr>
        <w:fldChar w:fldCharType="begin" w:fldLock="1"/>
      </w:r>
      <w:r>
        <w:rPr>
          <w:rFonts w:ascii="Arial" w:hAnsi="Arial" w:cs="Arial"/>
          <w:sz w:val="24"/>
          <w:szCs w:val="24"/>
        </w:rPr>
        <w:instrText>ADDIN CSL_CITATION {"citationItems":[{"id":"ITEM-1","itemData":{"DOI":"10.3390/medicina60010124","ISSN":"1648-9144 1010-660X","abstract":"Background and Objectives: Hydroxyurea is a crucial treatment for sickle cell disease (SCD), but some patients' adherence to it remains suboptimal.  Understanding patients' perspectives on SCD and HU is essential for improving  adherence. This study aimed to assess hydroxyurea adherence and patients'  perceptions of SCD and hydroxyurea among SCD patients in the Jazan region of  Saudi Arabia. Materials and Methods: This cross-sectional study collected data  from 217 SCD patients using self-administered questionnaires from August 2022 to  January 2023. The survey covered patient demographics, SCD consequences, and  other clinical data. We used the Brief Illness Perception Questionnaire (B-IPQ)  to measure patients' disease perception and the 8-item Morisky Medication  Adherence Scale (MMAS-8) to evaluate patients' adherence to HU. Data were  analysed using descriptive, t-test, and chi-square tests, and the p-value was set  at &lt;0.05 for significance. Results: More than half of the patients were male,  with a mean age of 28.09 ± 8.40 years. About 57.6% of the patients were currently  using HU. About 81.6% of HU users reported low adherence. The adherence was lower  among individuals with infections/recurrent infections and in patients who  received repeated blood transfusions. ICU admission, blood transfusion, and  certain SCD complications were associated with HU use. Male patients had a higher  perception of SCD consequences, concern, and understanding. ICU-admitted and  recurrent hospitalized patients had a higher perception of the SCD-related  consequences, symptoms, concerns, and emotional responses. Conclusions: HU seems  a well-established and efficacious disease-modifying agent, but its  underutilization for SCD patients remains challenging. To overcome the adherence  challenges, healthcare providers must educate SCD patients about the role of  hydroxyurea in lowering disease severity and addressing side effects to obtain  maximum benefits. Healthcare providers may consider tailored educational  interventions to improve adherence, particularly for patients with infections,  recurrent hospitalizations, or repeated blood transfusions. Further research is  needed to identify strategies for improving hydroxyurea adherence and patient  education among SCD patients.","author":[{"dropping-particle":"","family":"Madkhali","given":"Mohammed Ali","non-dropping-particle":"","parse-names":false,"suffix":""},{"dropping-particle":"","family":"Abusageah","given":"Faisal","non-dropping-particle":"","parse-names":false,"suffix":""},{"dropping-particle":"","family":"Hakami","given":"Faisal","non-dropping-particle":"","parse-names":false,"suffix":""},{"dropping-particle":"","family":"Zogel","given":"Basem","non-dropping-particle":"","parse-names":false,"suffix":""},{"dropping-particle":"","family":"Hakami","given":"Khalid M","non-dropping-particle":"","parse-names":false,"suffix":""},{"dropping-particle":"","family":"Alfaifi","given":"Samar","non-dropping-particle":"","parse-names":false,"suffix":""},{"dropping-particle":"","family":"Alhazmi","given":"Essam","non-dropping-particle":"","parse-names":false,"suffix":""},{"dropping-particle":"","family":"Zaalah","given":"Shaden","non-dropping-particle":"","parse-names":false,"suffix":""},{"dropping-particle":"","family":"Trabi","given":"Shadi","non-dropping-particle":"","parse-names":false,"suffix":""},{"dropping-particle":"","family":"Alhazmi","given":"Abdulaziz H","non-dropping-particle":"","parse-names":false,"suffix":""},{"dropping-particle":"","family":"Mohrag","given":"Mostafa","non-dropping-particle":"","parse-names":false,"suffix":""},{"dropping-particle":"","family":"Malhan","given":"Hafiz","non-dropping-particle":"","parse-names":false,"suffix":""}],"container-title":"Medicina (Kaunas, Lithuania)","id":"ITEM-1","issue":"1","issued":{"date-parts":[["2024"]]},"language":"eng","title":"Adherence to Hydroxyurea and Patients' Perceptions of Sickle Cell Disease and Hydroxyurea: A Cross-Sectional Study.","type":"article-journal","volume":"60"},"uris":["http://www.mendeley.com/documents/?uuid=863b2397-b093-42b7-a40e-45108425e0ca","http://www.mendeley.com/documents/?uuid=eeeaba57-0826-41e3-9e16-d050178ab3f3"]}],"mendeley":{"formattedCitation":"[28]","plainTextFormattedCitation":"[28]","previouslyFormattedCitation":"(Madkhali et al., 2024)"},"properties":{"noteIndex":0},"schema":"https://github.com/citation-style-language/schema/raw/master/csl-citation.json"}</w:instrText>
      </w:r>
      <w:r w:rsidRPr="00C83839">
        <w:rPr>
          <w:rFonts w:ascii="Arial" w:hAnsi="Arial" w:cs="Arial"/>
          <w:sz w:val="24"/>
          <w:szCs w:val="24"/>
        </w:rPr>
        <w:fldChar w:fldCharType="separate"/>
      </w:r>
      <w:r w:rsidRPr="00765883">
        <w:rPr>
          <w:rFonts w:ascii="Arial" w:hAnsi="Arial" w:cs="Arial"/>
          <w:noProof/>
          <w:sz w:val="24"/>
          <w:szCs w:val="24"/>
        </w:rPr>
        <w:t>[28]</w:t>
      </w:r>
      <w:r w:rsidRPr="00C83839">
        <w:rPr>
          <w:rFonts w:ascii="Arial" w:hAnsi="Arial" w:cs="Arial"/>
          <w:sz w:val="24"/>
          <w:szCs w:val="24"/>
        </w:rPr>
        <w:fldChar w:fldCharType="end"/>
      </w:r>
      <w:r w:rsidRPr="00C83839">
        <w:rPr>
          <w:rFonts w:ascii="Arial" w:hAnsi="Arial" w:cs="Arial"/>
          <w:sz w:val="24"/>
          <w:szCs w:val="24"/>
        </w:rPr>
        <w:t xml:space="preserve">. One study </w:t>
      </w:r>
      <w:r w:rsidRPr="00061965">
        <w:rPr>
          <w:rFonts w:ascii="Arial" w:eastAsia="Times New Roman" w:hAnsi="Arial" w:cs="Arial"/>
          <w:sz w:val="24"/>
          <w:szCs w:val="24"/>
        </w:rPr>
        <w:t xml:space="preserve">conducted in Oman </w:t>
      </w:r>
      <w:r w:rsidRPr="00C83839">
        <w:rPr>
          <w:rFonts w:ascii="Arial" w:hAnsi="Arial" w:cs="Arial"/>
          <w:sz w:val="24"/>
          <w:szCs w:val="24"/>
        </w:rPr>
        <w:fldChar w:fldCharType="begin" w:fldLock="1"/>
      </w:r>
      <w:r>
        <w:rPr>
          <w:rFonts w:ascii="Arial" w:hAnsi="Arial" w:cs="Arial"/>
          <w:sz w:val="24"/>
          <w:szCs w:val="24"/>
        </w:rPr>
        <w:instrText>ADDIN CSL_CITATION {"citationItems":[{"id":"ITEM-1","itemData":{"DOI":"10.5001/omj.2019.64","ISSN":"1999768X, 20705204","author":[{"dropping-particle":"","family":"Jose","given":"Jimmy","non-dropping-particle":"","parse-names":false,"suffix":""},{"dropping-particle":"","family":"Elsadek","given":"Refaat Abdullah","non-dropping-particle":"","parse-names":false,"suffix":""},{"dropping-particle":"","family":"Jimmy","given":"Beena","non-dropping-particle":"","parse-names":false,"suffix":""},{"dropping-particle":"","family":"George","given":"Prasad","non-dropping-particle":"","parse-names":false,"suffix":""}],"container-title":"Oman Medical Journal","id":"ITEM-1","issue":"4","issued":{"date-parts":[["2019","12"]]},"page":"327-335","title":"Hydroxyurea: Pattern of Use, Patient Adherence, and Safety Profile in Patients with Sickle Cell Disease in Oman","type":"article-journal","volume":"34"},"uris":["http://www.mendeley.com/documents/?uuid=e31dba9e-ecbf-48dc-bcea-3efb220cc1cf","http://www.mendeley.com/documents/?uuid=7cfd8754-66c5-44dd-8380-6af2e8aa74f6"]}],"mendeley":{"formattedCitation":"[29]","plainTextFormattedCitation":"[29]","previouslyFormattedCitation":"(Jose et al., 2019)"},"properties":{"noteIndex":0},"schema":"https://github.com/citation-style-language/schema/raw/master/csl-citation.json"}</w:instrText>
      </w:r>
      <w:r w:rsidRPr="00C83839">
        <w:rPr>
          <w:rFonts w:ascii="Arial" w:hAnsi="Arial" w:cs="Arial"/>
          <w:sz w:val="24"/>
          <w:szCs w:val="24"/>
        </w:rPr>
        <w:fldChar w:fldCharType="separate"/>
      </w:r>
      <w:r w:rsidRPr="00765883">
        <w:rPr>
          <w:rFonts w:ascii="Arial" w:hAnsi="Arial" w:cs="Arial"/>
          <w:noProof/>
          <w:sz w:val="24"/>
          <w:szCs w:val="24"/>
        </w:rPr>
        <w:t>[29]</w:t>
      </w:r>
      <w:r w:rsidRPr="00C83839">
        <w:rPr>
          <w:rFonts w:ascii="Arial" w:hAnsi="Arial" w:cs="Arial"/>
          <w:sz w:val="24"/>
          <w:szCs w:val="24"/>
        </w:rPr>
        <w:fldChar w:fldCharType="end"/>
      </w:r>
      <w:r w:rsidRPr="00C83839">
        <w:rPr>
          <w:rFonts w:ascii="Arial" w:hAnsi="Arial" w:cs="Arial"/>
          <w:sz w:val="24"/>
          <w:szCs w:val="24"/>
        </w:rPr>
        <w:t xml:space="preserve"> </w:t>
      </w:r>
      <w:r w:rsidRPr="00061965">
        <w:rPr>
          <w:rFonts w:ascii="Arial" w:eastAsia="Times New Roman" w:hAnsi="Arial" w:cs="Arial"/>
          <w:sz w:val="24"/>
          <w:szCs w:val="24"/>
        </w:rPr>
        <w:t xml:space="preserve">reported that among 80 patients with sickle cell disease receiving </w:t>
      </w:r>
      <w:proofErr w:type="spellStart"/>
      <w:r w:rsidRPr="00061965">
        <w:rPr>
          <w:rFonts w:ascii="Arial" w:eastAsia="Times New Roman" w:hAnsi="Arial" w:cs="Arial"/>
          <w:sz w:val="24"/>
          <w:szCs w:val="24"/>
        </w:rPr>
        <w:t>hydroxyurea</w:t>
      </w:r>
      <w:proofErr w:type="spellEnd"/>
      <w:r w:rsidRPr="00061965">
        <w:rPr>
          <w:rFonts w:ascii="Arial" w:eastAsia="Times New Roman" w:hAnsi="Arial" w:cs="Arial"/>
          <w:sz w:val="24"/>
          <w:szCs w:val="24"/>
        </w:rPr>
        <w:t xml:space="preserve"> therapy, 66 (82.5%) were adherent to the treatment, while only 14 (17.5%) were non-adherent. Similarly, a high level of adherence was also observed at </w:t>
      </w:r>
      <w:proofErr w:type="spellStart"/>
      <w:r w:rsidRPr="00061965">
        <w:rPr>
          <w:rFonts w:ascii="Arial" w:eastAsia="Times New Roman" w:hAnsi="Arial" w:cs="Arial"/>
          <w:sz w:val="24"/>
          <w:szCs w:val="24"/>
        </w:rPr>
        <w:t>Bugando</w:t>
      </w:r>
      <w:proofErr w:type="spellEnd"/>
      <w:r w:rsidRPr="00061965">
        <w:rPr>
          <w:rFonts w:ascii="Arial" w:eastAsia="Times New Roman" w:hAnsi="Arial" w:cs="Arial"/>
          <w:sz w:val="24"/>
          <w:szCs w:val="24"/>
        </w:rPr>
        <w:t xml:space="preserve"> Medical Centre in Tanzania</w:t>
      </w:r>
      <w:r w:rsidRPr="00586642">
        <w:rPr>
          <w:rFonts w:ascii="Arial" w:hAnsi="Arial" w:cs="Arial"/>
          <w:sz w:val="24"/>
          <w:szCs w:val="24"/>
        </w:rPr>
        <w:fldChar w:fldCharType="begin" w:fldLock="1"/>
      </w:r>
      <w:r>
        <w:rPr>
          <w:rFonts w:ascii="Arial" w:hAnsi="Arial" w:cs="Arial"/>
          <w:sz w:val="24"/>
          <w:szCs w:val="24"/>
        </w:rPr>
        <w:instrText>ADDIN CSL_CITATION {"citationItems":[{"id":"ITEM-1","itemData":{"DOI":"10.3390/ijerph22040616","ISSN":"16604601","PMID":"40283840","abstract":"Hydroxyurea is effective in reducing the severity of Sickle cell anemia (SCA) symptoms, yet adherence remains challenging, particularly in resource-limited settings. Bugando Medical Centre, a major healthcare provider, faces undocumented adherence issues among its pediatric SCA patients. This study aims to evaluate the adherence rate to hydroxyurea therapy among caregivers of children with SCA at Bugando Medical Centre and identify factors contributing to non-adherence. This analytical cross-sectional study involved 172 participants. Data were analyzed using Stata version 15 and modified Poisson regression determined the association between exposures and adherence to hydroxyurea treatment. More than half (68.6%) of the children were aged between 1 and 10 years, with a median age of 8 years (IQR: 5–12). Good adherence to hydroxyurea was observed in 23.8% of participants, while 76.2% showed moderate to poor adherence. Children aged 1–10 years were twice as likely to have good adherence compared to those aged 11–17 years (aPR = 2.98, 95% CI = 1.18, 7.47). Children of caregivers with secondary education had a 41% higher chance of good adherence (aPR = 1.41, 95% CI = 1.19, 2.87) compared to those with primary education. Additionally, children of caregivers with college/university education had a 92% higher chance of good adherence (aPR = 1.92, 95% CI = 1.09, 4.63) compared to those with primary education. Participants with good knowledge of hydroxyurea had a 55% higher chance of good adherence (aPR = 1.55, 95% CI = 1.10, 4.78) compared to those with poor knowledge. Factors such as the child’s age and caregiver’s educational level are associated with good adherence to hydroxyurea treatment. Despite these associations, overall adherence rates are low, highlighting the need for targeted interventions to enhance knowledge and awareness about the importance of adherence to hydroxyurea treatment.","author":[{"dropping-particle":"","family":"Subira","given":"Maria Inviolata","non-dropping-particle":"","parse-names":false,"suffix":""},{"dropping-particle":"","family":"Ambrose","given":"Emmanuela E.","non-dropping-particle":"","parse-names":false,"suffix":""},{"dropping-particle":"","family":"Konje","given":"Eveline","non-dropping-particle":"","parse-names":false,"suffix":""}],"container-title":"International Journal of Environmental Research and Public Health","id":"ITEM-1","issue":"4","issued":{"date-parts":[["2025"]]},"page":"1-11","title":"Adherence to Hydroxyurea Therapy for Pediatric Sickle Cell Anemia in Tanzania: Evidence from Bugando Medical Centre","type":"article-journal","volume":"22"},"uris":["http://www.mendeley.com/documents/?uuid=e0d01e43-2730-48e6-9b77-13449fff502b","http://www.mendeley.com/documents/?uuid=e15b9e7a-1456-4ed3-83ea-1183979c5ed4"]}],"mendeley":{"formattedCitation":"[30]","plainTextFormattedCitation":"[30]","previouslyFormattedCitation":"(Subira et al., 2025)"},"properties":{"noteIndex":0},"schema":"https://github.com/citation-style-language/schema/raw/master/csl-citation.json"}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[30]</w:t>
      </w:r>
      <w:r w:rsidRPr="00586642">
        <w:rPr>
          <w:rFonts w:ascii="Arial" w:hAnsi="Arial" w:cs="Arial"/>
          <w:sz w:val="24"/>
          <w:szCs w:val="24"/>
        </w:rPr>
        <w:fldChar w:fldCharType="end"/>
      </w:r>
      <w:r w:rsidRPr="00586642">
        <w:rPr>
          <w:rFonts w:ascii="Arial" w:hAnsi="Arial" w:cs="Arial"/>
          <w:sz w:val="24"/>
          <w:szCs w:val="24"/>
        </w:rPr>
        <w:t xml:space="preserve">. </w:t>
      </w:r>
      <w:r w:rsidRPr="00061965">
        <w:rPr>
          <w:rFonts w:ascii="Arial" w:eastAsia="Times New Roman" w:hAnsi="Arial" w:cs="Arial"/>
          <w:sz w:val="24"/>
          <w:szCs w:val="24"/>
        </w:rPr>
        <w:t xml:space="preserve">These findings highlight the importance of treatment adherence in achieving </w:t>
      </w:r>
      <w:proofErr w:type="spellStart"/>
      <w:r>
        <w:rPr>
          <w:rFonts w:ascii="Arial" w:eastAsia="Times New Roman" w:hAnsi="Arial" w:cs="Arial"/>
          <w:sz w:val="24"/>
          <w:szCs w:val="24"/>
        </w:rPr>
        <w:t>favourable</w:t>
      </w:r>
      <w:proofErr w:type="spellEnd"/>
      <w:r w:rsidRPr="00061965">
        <w:rPr>
          <w:rFonts w:ascii="Arial" w:eastAsia="Times New Roman" w:hAnsi="Arial" w:cs="Arial"/>
          <w:sz w:val="24"/>
          <w:szCs w:val="24"/>
        </w:rPr>
        <w:t xml:space="preserve"> outcomes for patients with sickle cell disease undergoing </w:t>
      </w:r>
      <w:proofErr w:type="spellStart"/>
      <w:r w:rsidRPr="00061965">
        <w:rPr>
          <w:rFonts w:ascii="Arial" w:eastAsia="Times New Roman" w:hAnsi="Arial" w:cs="Arial"/>
          <w:sz w:val="24"/>
          <w:szCs w:val="24"/>
        </w:rPr>
        <w:t>hydroxyurea</w:t>
      </w:r>
      <w:proofErr w:type="spellEnd"/>
      <w:r w:rsidRPr="00061965">
        <w:rPr>
          <w:rFonts w:ascii="Arial" w:eastAsia="Times New Roman" w:hAnsi="Arial" w:cs="Arial"/>
          <w:sz w:val="24"/>
          <w:szCs w:val="24"/>
        </w:rPr>
        <w:t xml:space="preserve"> therapy.</w:t>
      </w:r>
      <w:r>
        <w:rPr>
          <w:rFonts w:ascii="Arial" w:eastAsia="Times New Roman" w:hAnsi="Arial" w:cs="Arial"/>
          <w:sz w:val="24"/>
          <w:szCs w:val="24"/>
        </w:rPr>
        <w:t xml:space="preserve"> </w:t>
      </w:r>
    </w:p>
    <w:p w:rsidR="00765883" w:rsidRPr="000A370D" w:rsidRDefault="00765883" w:rsidP="00765883">
      <w:pPr>
        <w:spacing w:before="100" w:beforeAutospacing="1" w:after="100" w:afterAutospacing="1" w:line="360" w:lineRule="auto"/>
        <w:jc w:val="both"/>
        <w:rPr>
          <w:rFonts w:ascii="Arial" w:eastAsia="Times New Roman" w:hAnsi="Arial" w:cs="Arial"/>
          <w:sz w:val="24"/>
          <w:szCs w:val="24"/>
        </w:rPr>
      </w:pPr>
      <w:r w:rsidRPr="000A370D">
        <w:rPr>
          <w:rFonts w:ascii="Arial" w:eastAsia="Times New Roman" w:hAnsi="Arial" w:cs="Arial"/>
          <w:sz w:val="24"/>
          <w:szCs w:val="24"/>
        </w:rPr>
        <w:t xml:space="preserve">The results of this study suggest that </w:t>
      </w:r>
      <w:proofErr w:type="spellStart"/>
      <w:r w:rsidRPr="000A370D">
        <w:rPr>
          <w:rFonts w:ascii="Arial" w:eastAsia="Times New Roman" w:hAnsi="Arial" w:cs="Arial"/>
          <w:sz w:val="24"/>
          <w:szCs w:val="24"/>
        </w:rPr>
        <w:t>hydroxyurea</w:t>
      </w:r>
      <w:proofErr w:type="spellEnd"/>
      <w:r w:rsidRPr="000A370D">
        <w:rPr>
          <w:rFonts w:ascii="Arial" w:eastAsia="Times New Roman" w:hAnsi="Arial" w:cs="Arial"/>
          <w:sz w:val="24"/>
          <w:szCs w:val="24"/>
        </w:rPr>
        <w:t xml:space="preserve"> is generally well tolerated among the participants. A substantial majority (87.8%) of patients reported no side effects, underscoring the </w:t>
      </w:r>
      <w:proofErr w:type="spellStart"/>
      <w:r>
        <w:rPr>
          <w:rFonts w:ascii="Arial" w:eastAsia="Times New Roman" w:hAnsi="Arial" w:cs="Arial"/>
          <w:sz w:val="24"/>
          <w:szCs w:val="24"/>
        </w:rPr>
        <w:t>favourable</w:t>
      </w:r>
      <w:proofErr w:type="spellEnd"/>
      <w:r w:rsidRPr="000A370D">
        <w:rPr>
          <w:rFonts w:ascii="Arial" w:eastAsia="Times New Roman" w:hAnsi="Arial" w:cs="Arial"/>
          <w:sz w:val="24"/>
          <w:szCs w:val="24"/>
        </w:rPr>
        <w:t xml:space="preserve"> safety profile of </w:t>
      </w:r>
      <w:proofErr w:type="spellStart"/>
      <w:r w:rsidRPr="000A370D">
        <w:rPr>
          <w:rFonts w:ascii="Arial" w:eastAsia="Times New Roman" w:hAnsi="Arial" w:cs="Arial"/>
          <w:sz w:val="24"/>
          <w:szCs w:val="24"/>
        </w:rPr>
        <w:t>hydroxyurea</w:t>
      </w:r>
      <w:proofErr w:type="spellEnd"/>
      <w:r w:rsidRPr="000A370D">
        <w:rPr>
          <w:rFonts w:ascii="Arial" w:eastAsia="Times New Roman" w:hAnsi="Arial" w:cs="Arial"/>
          <w:sz w:val="24"/>
          <w:szCs w:val="24"/>
        </w:rPr>
        <w:t xml:space="preserve"> in this population. </w:t>
      </w:r>
      <w:r>
        <w:rPr>
          <w:rFonts w:ascii="Arial" w:eastAsia="Times New Roman" w:hAnsi="Arial" w:cs="Arial"/>
          <w:sz w:val="24"/>
          <w:szCs w:val="24"/>
        </w:rPr>
        <w:t xml:space="preserve">Notably less tolerance was described </w:t>
      </w:r>
      <w:r w:rsidRPr="000A370D">
        <w:rPr>
          <w:rFonts w:ascii="Arial" w:eastAsia="Times New Roman" w:hAnsi="Arial" w:cs="Arial"/>
          <w:sz w:val="24"/>
          <w:szCs w:val="24"/>
        </w:rPr>
        <w:t xml:space="preserve">by </w:t>
      </w:r>
      <w:proofErr w:type="spellStart"/>
      <w:r w:rsidRPr="000A370D">
        <w:rPr>
          <w:rFonts w:ascii="Arial" w:eastAsia="Times New Roman" w:hAnsi="Arial" w:cs="Arial"/>
          <w:sz w:val="24"/>
          <w:szCs w:val="24"/>
        </w:rPr>
        <w:t>Ch</w:t>
      </w:r>
      <w:r>
        <w:rPr>
          <w:rFonts w:ascii="Arial" w:eastAsia="Times New Roman" w:hAnsi="Arial" w:cs="Arial"/>
          <w:sz w:val="24"/>
          <w:szCs w:val="24"/>
        </w:rPr>
        <w:t>ianumba</w:t>
      </w:r>
      <w:proofErr w:type="spellEnd"/>
      <w:r>
        <w:rPr>
          <w:rFonts w:ascii="Arial" w:eastAsia="Times New Roman" w:hAnsi="Arial" w:cs="Arial"/>
          <w:sz w:val="24"/>
          <w:szCs w:val="24"/>
        </w:rPr>
        <w:t xml:space="preserve"> et al. in Nigeria</w:t>
      </w:r>
      <w:r w:rsidR="00B7333C">
        <w:rPr>
          <w:rFonts w:ascii="Arial" w:eastAsia="Times New Roman" w:hAnsi="Arial" w:cs="Arial"/>
          <w:sz w:val="24"/>
          <w:szCs w:val="24"/>
        </w:rPr>
        <w:t>,</w:t>
      </w:r>
      <w:r>
        <w:rPr>
          <w:rFonts w:ascii="Arial" w:eastAsia="Times New Roman" w:hAnsi="Arial" w:cs="Arial"/>
          <w:sz w:val="24"/>
          <w:szCs w:val="24"/>
        </w:rPr>
        <w:t xml:space="preserve"> who </w:t>
      </w:r>
      <w:r w:rsidRPr="000A370D">
        <w:rPr>
          <w:rFonts w:ascii="Arial" w:eastAsia="Times New Roman" w:hAnsi="Arial" w:cs="Arial"/>
          <w:sz w:val="24"/>
          <w:szCs w:val="24"/>
        </w:rPr>
        <w:t>found that among 378 patients with sickle cell disease, 51.3% reported none to minimal side effects</w:t>
      </w:r>
      <w:r>
        <w:rPr>
          <w:rFonts w:ascii="Arial" w:eastAsia="Times New Roman" w:hAnsi="Arial" w:cs="Arial"/>
          <w:sz w:val="24"/>
          <w:szCs w:val="24"/>
        </w:rPr>
        <w:t>. In contrast,</w:t>
      </w:r>
      <w:r w:rsidRPr="000A370D">
        <w:rPr>
          <w:rFonts w:ascii="Arial" w:eastAsia="Times New Roman" w:hAnsi="Arial" w:cs="Arial"/>
          <w:sz w:val="24"/>
          <w:szCs w:val="24"/>
        </w:rPr>
        <w:t xml:space="preserve"> 89.7% continued with therapy, indicating strong tolerability</w:t>
      </w:r>
      <w:r>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{"citationItems":[{"id":"ITEM-1","itemData":{"DOI":"10.3389/fgene.2022.826132","ISSN":"1664-8021","abstract":"Introduction: Hydroxyurea (HU) has been shown to be beneficial in the management of sickle cell disease (SCD) as it improves treatment outcomes. However, despite  the benefits of HU, its uptake among SCD patients in Nigeria remains low.  Objective: This study aimed to assess the perception and experience of patients  with SCD in Nigeria who are using or had used HU, thereby informing and promoting  its use. Methodology: A multi-centre, cross-sectional study was conducted among  378 SCD patients aged 1-53 years who have enrolled on Sickle Pan African Research  Consortium (SPARCO) registry as HU users. The SPARCO project was funded by the  National Institutes of Health (NIH) to establish a sickle cell disease (SCD)  registry, strengthen skills and plan research in three African countries. The  Nigerian SPARCO registry had 6453 SCD patients at the time of this report with  &lt;15% of this population on HU. Data on sociodemographics, perception and  experience about HU use were obtained and analysed using descriptive statistics.  Findings: Out of the 378 participants, 339 (89.7%) were using HU while 39 (10.3%)  had stopped using HU at the time of the study. 281 (74.3%) found HU expensive,  while 194 (51.3%) reported none to minimal side effects while using HU. Among  patients that stopped HU, cost (59%) and availability (51.3%) were the commonest  reasons for discontinuing the drug. Furthermore, 347 (92.5%) had fewer pain  crises, 173 (84.8%) had a fewer need for blood transfusion, 145 (86.3%) had  improved PCV and 318 (84.6%) had fewer hospital admissions. Finally, the study  also showed that 322 (85.2%) respondents would recommend the drug to other  patients, whereas 14 respondents (3.7%) would not. Mean corpuscular volume (MCV)  and fetal hemoglobin (HbF) levels were not collected in this study and may have  improved findings. Conclusion: This study showed that the majority of the SCD  patients had good perception and experience with the use of HU while a few had to  stop the medication mostly on account of cost and availability. Patients' based  advocacy could be leveraged to improve HU uptake while more efforts are needed to  ensure that it is readily available and affordable.","author":[{"dropping-particle":"","family":"Chianumba","given":"Reuben Ikechukwu","non-dropping-particle":"","parse-names":false,"suffix":""},{"dropping-particle":"","family":"Ofakunrin","given":"Akinyemi O D","non-dropping-particle":"","parse-names":false,"suffix":""},{"dropping-particle":"","family":"Morrice","given":"Jack","non-dropping-particle":"","parse-names":false,"suffix":""},{"dropping-particle":"","family":"Olanrewaju","given":"Olaniyi","non-dropping-particle":"","parse-names":false,"suffix":""},{"dropping-particle":"","family":"Oniyangi","given":"Oluseyi","non-dropping-particle":"","parse-names":false,"suffix":""},{"dropping-particle":"","family":"Kuliya-Gwarzo","given":"Aisha","non-dropping-particle":"","parse-names":false,"suffix":""},{"dropping-particle":"","family":"Nnebe-Agumadu","given":"Uche","non-dropping-particle":"","parse-names":false,"suffix":""},{"dropping-particle":"","family":"Isa","given":"Hezekiah Alkali","non-dropping-particle":"","parse-names":false,"suffix":""},{"dropping-particle":"","family":"Nnodu","given":"Obiageli Eunice","non-dropping-particle":"","parse-names":false,"suffix":""}],"container-title":"Frontiers in genetics","id":"ITEM-1","issued":{"date-parts":[["2022"]]},"language":"eng","page":"826132","title":"Outcome of Hydroxyurea Use in SCD and Evaluation of Patients' Perception and Experience in Nigeria.","type":"article-journal","volume":"13"},"uris":["http://www.mendeley.com/documents/?uuid=674d44b4-4513-44aa-8006-35ee62c01d51","http://www.mendeley.com/documents/?uuid=1982c9ee-2af2-4ff9-a9c3-529a63a97f42"]}],"mendeley":{"formattedCitation":"[31]","plainTextFormattedCitation":"[31]","previouslyFormattedCitation":"(Chianumba et al., 2022)"},"properties":{"noteIndex":0},"schema":"https://github.com/citation-style-language/schema/raw/master/csl-citation.json"}</w:instrText>
      </w:r>
      <w:r>
        <w:rPr>
          <w:rFonts w:ascii="Arial" w:eastAsia="Times New Roman" w:hAnsi="Arial" w:cs="Arial"/>
          <w:sz w:val="24"/>
          <w:szCs w:val="24"/>
        </w:rPr>
        <w:fldChar w:fldCharType="separate"/>
      </w:r>
      <w:r w:rsidRPr="00765883">
        <w:rPr>
          <w:rFonts w:ascii="Arial" w:eastAsia="Times New Roman" w:hAnsi="Arial" w:cs="Arial"/>
          <w:noProof/>
          <w:sz w:val="24"/>
          <w:szCs w:val="24"/>
        </w:rPr>
        <w:t>[31]</w:t>
      </w:r>
      <w:r>
        <w:rPr>
          <w:rFonts w:ascii="Arial" w:eastAsia="Times New Roman" w:hAnsi="Arial" w:cs="Arial"/>
          <w:sz w:val="24"/>
          <w:szCs w:val="24"/>
        </w:rPr>
        <w:fldChar w:fldCharType="end"/>
      </w:r>
      <w:r w:rsidR="00B0158B">
        <w:rPr>
          <w:rFonts w:ascii="Arial" w:eastAsia="Times New Roman" w:hAnsi="Arial" w:cs="Arial"/>
          <w:sz w:val="24"/>
          <w:szCs w:val="24"/>
        </w:rPr>
        <w:t>. Many</w:t>
      </w:r>
      <w:r>
        <w:rPr>
          <w:rFonts w:ascii="Arial" w:eastAsia="Times New Roman" w:hAnsi="Arial" w:cs="Arial"/>
          <w:sz w:val="24"/>
          <w:szCs w:val="24"/>
        </w:rPr>
        <w:t xml:space="preserve"> </w:t>
      </w:r>
      <w:r w:rsidRPr="000A370D">
        <w:rPr>
          <w:rFonts w:ascii="Arial" w:eastAsia="Times New Roman" w:hAnsi="Arial" w:cs="Arial"/>
          <w:sz w:val="24"/>
          <w:szCs w:val="24"/>
        </w:rPr>
        <w:t>reported</w:t>
      </w:r>
      <w:r>
        <w:rPr>
          <w:rFonts w:ascii="Arial" w:eastAsia="Times New Roman" w:hAnsi="Arial" w:cs="Arial"/>
          <w:sz w:val="24"/>
          <w:szCs w:val="24"/>
        </w:rPr>
        <w:t xml:space="preserve"> that </w:t>
      </w:r>
      <w:proofErr w:type="spellStart"/>
      <w:r>
        <w:rPr>
          <w:rFonts w:ascii="Arial" w:eastAsia="Times New Roman" w:hAnsi="Arial" w:cs="Arial"/>
          <w:sz w:val="24"/>
          <w:szCs w:val="24"/>
        </w:rPr>
        <w:t>hydroxyurea</w:t>
      </w:r>
      <w:proofErr w:type="spellEnd"/>
      <w:r>
        <w:rPr>
          <w:rFonts w:ascii="Arial" w:eastAsia="Times New Roman" w:hAnsi="Arial" w:cs="Arial"/>
          <w:sz w:val="24"/>
          <w:szCs w:val="24"/>
        </w:rPr>
        <w:t xml:space="preserve"> is</w:t>
      </w:r>
      <w:r w:rsidRPr="000A370D">
        <w:rPr>
          <w:rFonts w:ascii="Arial" w:eastAsia="Times New Roman" w:hAnsi="Arial" w:cs="Arial"/>
          <w:sz w:val="24"/>
          <w:szCs w:val="24"/>
        </w:rPr>
        <w:t xml:space="preserve"> well tolerated among sickle cell disease patients, with only a few experiencing mild side effects</w:t>
      </w:r>
      <w:r w:rsidR="00B0158B">
        <w:rPr>
          <w:rFonts w:ascii="Arial" w:eastAsia="Times New Roman" w:hAnsi="Arial" w:cs="Arial"/>
          <w:sz w:val="24"/>
          <w:szCs w:val="24"/>
        </w:rPr>
        <w:t xml:space="preserve">. However, a systematic review noted that there is </w:t>
      </w:r>
      <w:r>
        <w:rPr>
          <w:rFonts w:ascii="Arial" w:hAnsi="Arial" w:cs="Arial"/>
          <w:sz w:val="24"/>
          <w:szCs w:val="24"/>
        </w:rPr>
        <w:t>insuf</w:t>
      </w:r>
      <w:r w:rsidRPr="00A06ABE">
        <w:rPr>
          <w:rFonts w:ascii="Arial" w:hAnsi="Arial" w:cs="Arial"/>
          <w:sz w:val="24"/>
          <w:szCs w:val="24"/>
        </w:rPr>
        <w:t xml:space="preserve">ficient evidence about the long-term risks of </w:t>
      </w:r>
      <w:proofErr w:type="spellStart"/>
      <w:r w:rsidRPr="00A06ABE">
        <w:rPr>
          <w:rFonts w:ascii="Arial" w:hAnsi="Arial" w:cs="Arial"/>
          <w:sz w:val="24"/>
          <w:szCs w:val="24"/>
        </w:rPr>
        <w:t>hy</w:t>
      </w:r>
      <w:r>
        <w:rPr>
          <w:rFonts w:ascii="Arial" w:hAnsi="Arial" w:cs="Arial"/>
          <w:sz w:val="24"/>
          <w:szCs w:val="24"/>
        </w:rPr>
        <w:t>droxyurea</w:t>
      </w:r>
      <w:proofErr w:type="spellEnd"/>
      <w:r>
        <w:rPr>
          <w:rFonts w:ascii="Arial" w:hAnsi="Arial" w:cs="Arial"/>
          <w:sz w:val="24"/>
          <w:szCs w:val="24"/>
        </w:rPr>
        <w:t>, including its impact</w:t>
      </w:r>
      <w:r w:rsidRPr="00A06ABE">
        <w:rPr>
          <w:rFonts w:ascii="Arial" w:hAnsi="Arial" w:cs="Arial"/>
          <w:sz w:val="24"/>
          <w:szCs w:val="24"/>
        </w:rPr>
        <w:t xml:space="preserve"> on fertility and reproduction. Evidence is also limited on the </w:t>
      </w:r>
      <w:r>
        <w:rPr>
          <w:rFonts w:ascii="Arial" w:hAnsi="Arial" w:cs="Arial"/>
          <w:sz w:val="24"/>
          <w:szCs w:val="24"/>
        </w:rPr>
        <w:t>effects</w:t>
      </w:r>
      <w:r w:rsidRPr="00A06ABE">
        <w:rPr>
          <w:rFonts w:ascii="Arial" w:hAnsi="Arial" w:cs="Arial"/>
          <w:sz w:val="24"/>
          <w:szCs w:val="24"/>
        </w:rPr>
        <w:t xml:space="preserve"> of </w:t>
      </w:r>
      <w:proofErr w:type="spellStart"/>
      <w:r w:rsidRPr="00A06ABE">
        <w:rPr>
          <w:rFonts w:ascii="Arial" w:hAnsi="Arial" w:cs="Arial"/>
          <w:sz w:val="24"/>
          <w:szCs w:val="24"/>
        </w:rPr>
        <w:t>hydroxyurea</w:t>
      </w:r>
      <w:proofErr w:type="spellEnd"/>
      <w:r w:rsidRPr="00A06ABE">
        <w:rPr>
          <w:rFonts w:ascii="Arial" w:hAnsi="Arial" w:cs="Arial"/>
          <w:sz w:val="24"/>
          <w:szCs w:val="24"/>
        </w:rPr>
        <w:t xml:space="preserve"> on individuals with the </w:t>
      </w:r>
      <w:proofErr w:type="spellStart"/>
      <w:r w:rsidRPr="00A06ABE">
        <w:rPr>
          <w:rFonts w:ascii="Arial" w:hAnsi="Arial" w:cs="Arial"/>
          <w:sz w:val="24"/>
          <w:szCs w:val="24"/>
        </w:rPr>
        <w:t>HbSC</w:t>
      </w:r>
      <w:proofErr w:type="spellEnd"/>
      <w:r w:rsidRPr="00A06ABE">
        <w:rPr>
          <w:rFonts w:ascii="Arial" w:hAnsi="Arial" w:cs="Arial"/>
          <w:sz w:val="24"/>
          <w:szCs w:val="24"/>
        </w:rPr>
        <w:t xml:space="preserve"> genotype</w:t>
      </w:r>
      <w:r>
        <w:fldChar w:fldCharType="begin" w:fldLock="1"/>
      </w:r>
      <w:r>
        <w:instrText>ADDIN CSL_CITATION {"citationItems":[{"id":"ITEM-1","itemData":{"DOI":"10.1002/14651858.CD002202.pub3.www.cochranelibrary.com","author":[{"dropping-particle":"","family":"Ae","given":"Rankine-mullings","non-dropping-particle":"","parse-names":false,"suffix":""},{"dropping-particle":"","family":"Sj","given":"Nevitt","non-dropping-particle":"","parse-names":false,"suffix":""}],"id":"ITEM-1","issued":{"date-parts":[["2022"]]},"title":"Hydroxyurea (hydroxycarbamide) for sickle cell disease (Review)","type":"article-journal"},"uris":["http://www.mendeley.com/documents/?uuid=d7022486-028a-4d40-9d08-39b8c922afcf","http://www.mendeley.com/documents/?uuid=8aef16d2-a1b1-4ba6-b169-e28fd10ea438"]}],"mendeley":{"formattedCitation":"[32]","plainTextFormattedCitation":"[32]","previouslyFormattedCitation":"(Ae &amp; Sj, 2022)"},"properties":{"noteIndex":0},"schema":"https://github.com/citation-style-language/schema/raw/master/csl-citation.json"}</w:instrText>
      </w:r>
      <w:r>
        <w:fldChar w:fldCharType="separate"/>
      </w:r>
      <w:r w:rsidRPr="00765883">
        <w:rPr>
          <w:noProof/>
        </w:rPr>
        <w:t>[32]</w:t>
      </w:r>
      <w:r>
        <w:fldChar w:fldCharType="end"/>
      </w:r>
      <w:r>
        <w:t>.</w:t>
      </w:r>
      <w:r>
        <w:rPr>
          <w:rFonts w:ascii="Arial" w:eastAsia="Times New Roman" w:hAnsi="Arial" w:cs="Arial"/>
          <w:sz w:val="24"/>
          <w:szCs w:val="24"/>
        </w:rPr>
        <w:t xml:space="preserve"> The</w:t>
      </w:r>
      <w:r w:rsidRPr="000A370D">
        <w:rPr>
          <w:rFonts w:ascii="Arial" w:eastAsia="Times New Roman" w:hAnsi="Arial" w:cs="Arial"/>
          <w:sz w:val="24"/>
          <w:szCs w:val="24"/>
        </w:rPr>
        <w:t xml:space="preserve"> findings collectively support the notion that </w:t>
      </w:r>
      <w:proofErr w:type="spellStart"/>
      <w:r w:rsidRPr="000A370D">
        <w:rPr>
          <w:rFonts w:ascii="Arial" w:eastAsia="Times New Roman" w:hAnsi="Arial" w:cs="Arial"/>
          <w:sz w:val="24"/>
          <w:szCs w:val="24"/>
        </w:rPr>
        <w:t>hydroxyurea</w:t>
      </w:r>
      <w:proofErr w:type="spellEnd"/>
      <w:r w:rsidRPr="000A370D">
        <w:rPr>
          <w:rFonts w:ascii="Arial" w:eastAsia="Times New Roman" w:hAnsi="Arial" w:cs="Arial"/>
          <w:sz w:val="24"/>
          <w:szCs w:val="24"/>
        </w:rPr>
        <w:t xml:space="preserve"> remains a safe and effective treatment option, with minimal adverse effects in most patients</w:t>
      </w:r>
      <w:r>
        <w:rPr>
          <w:rFonts w:ascii="Arial" w:eastAsia="Times New Roman" w:hAnsi="Arial" w:cs="Arial"/>
          <w:sz w:val="24"/>
          <w:szCs w:val="24"/>
        </w:rPr>
        <w:t xml:space="preserve"> and a low incidence of malignancies secondary to the treatment [29]</w:t>
      </w:r>
      <w:r w:rsidRPr="000A370D">
        <w:rPr>
          <w:rFonts w:ascii="Arial" w:eastAsia="Times New Roman" w:hAnsi="Arial" w:cs="Arial"/>
          <w:sz w:val="24"/>
          <w:szCs w:val="24"/>
        </w:rPr>
        <w:t xml:space="preserve"> </w:t>
      </w:r>
    </w:p>
    <w:p w:rsidR="00765883" w:rsidRPr="005F5B23" w:rsidRDefault="00765883" w:rsidP="00765883">
      <w:pPr>
        <w:pStyle w:val="BodyText"/>
        <w:spacing w:line="360" w:lineRule="auto"/>
        <w:jc w:val="both"/>
        <w:rPr>
          <w:rFonts w:ascii="Arial" w:hAnsi="Arial" w:cs="Arial"/>
        </w:rPr>
      </w:pPr>
    </w:p>
    <w:p w:rsidR="00765883" w:rsidRPr="005F5B23" w:rsidRDefault="00765883" w:rsidP="00765883">
      <w:pPr>
        <w:pStyle w:val="BodyText"/>
        <w:spacing w:line="360" w:lineRule="auto"/>
        <w:jc w:val="both"/>
        <w:rPr>
          <w:rFonts w:ascii="Arial" w:hAnsi="Arial" w:cs="Arial"/>
        </w:rPr>
      </w:pPr>
      <w:r w:rsidRPr="005F5B23">
        <w:rPr>
          <w:rFonts w:ascii="Arial" w:hAnsi="Arial" w:cs="Arial"/>
        </w:rPr>
        <w:t xml:space="preserve"> </w:t>
      </w:r>
      <w:bookmarkStart w:id="9" w:name="_Toc202934407"/>
      <w:r w:rsidRPr="005F5B23">
        <w:rPr>
          <w:rFonts w:ascii="Arial" w:hAnsi="Arial" w:cs="Arial"/>
          <w:b/>
          <w:color w:val="000000" w:themeColor="text1"/>
        </w:rPr>
        <w:t>Conclusion</w:t>
      </w:r>
      <w:bookmarkEnd w:id="9"/>
    </w:p>
    <w:p w:rsidR="00765883" w:rsidRPr="00766A28" w:rsidRDefault="00765883" w:rsidP="00765883">
      <w:pPr>
        <w:spacing w:after="0" w:line="240" w:lineRule="auto"/>
        <w:rPr>
          <w:rFonts w:ascii="Times New Roman" w:eastAsia="Times New Roman" w:hAnsi="Times New Roman" w:cs="Times New Roman"/>
          <w:sz w:val="24"/>
          <w:szCs w:val="24"/>
        </w:rPr>
      </w:pPr>
    </w:p>
    <w:p w:rsidR="00765883" w:rsidRPr="00766A28" w:rsidRDefault="00765883" w:rsidP="00765883">
      <w:pPr>
        <w:spacing w:before="100" w:beforeAutospacing="1" w:after="100" w:afterAutospacing="1" w:line="360" w:lineRule="auto"/>
        <w:jc w:val="both"/>
        <w:rPr>
          <w:rFonts w:ascii="Arial" w:eastAsia="Times New Roman" w:hAnsi="Arial" w:cs="Arial"/>
          <w:sz w:val="24"/>
          <w:szCs w:val="24"/>
        </w:rPr>
      </w:pPr>
      <w:r w:rsidRPr="00766A28">
        <w:rPr>
          <w:rFonts w:ascii="Arial" w:eastAsia="Times New Roman" w:hAnsi="Arial" w:cs="Arial"/>
          <w:sz w:val="24"/>
          <w:szCs w:val="24"/>
        </w:rPr>
        <w:t>The study revealed that more than half of the respondents were pediatric pati</w:t>
      </w:r>
      <w:r>
        <w:rPr>
          <w:rFonts w:ascii="Arial" w:eastAsia="Times New Roman" w:hAnsi="Arial" w:cs="Arial"/>
          <w:sz w:val="24"/>
          <w:szCs w:val="24"/>
        </w:rPr>
        <w:t xml:space="preserve">ents aged 1–12 years, with </w:t>
      </w:r>
      <w:r w:rsidRPr="00766A28">
        <w:rPr>
          <w:rFonts w:ascii="Arial" w:eastAsia="Times New Roman" w:hAnsi="Arial" w:cs="Arial"/>
          <w:sz w:val="24"/>
          <w:szCs w:val="24"/>
        </w:rPr>
        <w:t xml:space="preserve">early detection of sickle cell disease (SCD) and frequent engagement with pediatric healthcare services. The findings demonstrate that </w:t>
      </w:r>
      <w:proofErr w:type="spellStart"/>
      <w:r w:rsidRPr="00766A28">
        <w:rPr>
          <w:rFonts w:ascii="Arial" w:eastAsia="Times New Roman" w:hAnsi="Arial" w:cs="Arial"/>
          <w:sz w:val="24"/>
          <w:szCs w:val="24"/>
        </w:rPr>
        <w:t>hydroxyurea</w:t>
      </w:r>
      <w:proofErr w:type="spellEnd"/>
      <w:r w:rsidRPr="00766A28">
        <w:rPr>
          <w:rFonts w:ascii="Arial" w:eastAsia="Times New Roman" w:hAnsi="Arial" w:cs="Arial"/>
          <w:sz w:val="24"/>
          <w:szCs w:val="24"/>
        </w:rPr>
        <w:t xml:space="preserve"> therapy offers significant clinical benefits, including a reduction in </w:t>
      </w:r>
      <w:proofErr w:type="spellStart"/>
      <w:r w:rsidRPr="00766A28">
        <w:rPr>
          <w:rFonts w:ascii="Arial" w:eastAsia="Times New Roman" w:hAnsi="Arial" w:cs="Arial"/>
          <w:sz w:val="24"/>
          <w:szCs w:val="24"/>
        </w:rPr>
        <w:t>vaso</w:t>
      </w:r>
      <w:proofErr w:type="spellEnd"/>
      <w:r w:rsidRPr="00766A28">
        <w:rPr>
          <w:rFonts w:ascii="Arial" w:eastAsia="Times New Roman" w:hAnsi="Arial" w:cs="Arial"/>
          <w:sz w:val="24"/>
          <w:szCs w:val="24"/>
        </w:rPr>
        <w:t xml:space="preserve">-occlusive crises, hospitalizations, and the need for blood transfusions. It also provides notable </w:t>
      </w:r>
      <w:proofErr w:type="spellStart"/>
      <w:r>
        <w:rPr>
          <w:rFonts w:ascii="Arial" w:eastAsia="Times New Roman" w:hAnsi="Arial" w:cs="Arial"/>
          <w:sz w:val="24"/>
          <w:szCs w:val="24"/>
        </w:rPr>
        <w:t>haematological</w:t>
      </w:r>
      <w:proofErr w:type="spellEnd"/>
      <w:r w:rsidRPr="00766A28">
        <w:rPr>
          <w:rFonts w:ascii="Arial" w:eastAsia="Times New Roman" w:hAnsi="Arial" w:cs="Arial"/>
          <w:sz w:val="24"/>
          <w:szCs w:val="24"/>
        </w:rPr>
        <w:t xml:space="preserve"> improvements and enhances patients’ overall sense of well-being. With a </w:t>
      </w:r>
      <w:proofErr w:type="spellStart"/>
      <w:r>
        <w:rPr>
          <w:rFonts w:ascii="Arial" w:eastAsia="Times New Roman" w:hAnsi="Arial" w:cs="Arial"/>
          <w:sz w:val="24"/>
          <w:szCs w:val="24"/>
        </w:rPr>
        <w:t>favourable</w:t>
      </w:r>
      <w:proofErr w:type="spellEnd"/>
      <w:r>
        <w:rPr>
          <w:rFonts w:ascii="Arial" w:eastAsia="Times New Roman" w:hAnsi="Arial" w:cs="Arial"/>
          <w:sz w:val="24"/>
          <w:szCs w:val="24"/>
        </w:rPr>
        <w:t xml:space="preserve"> safety profile,</w:t>
      </w:r>
      <w:r w:rsidRPr="00766A28">
        <w:rPr>
          <w:rFonts w:ascii="Arial" w:eastAsia="Times New Roman" w:hAnsi="Arial" w:cs="Arial"/>
          <w:sz w:val="24"/>
          <w:szCs w:val="24"/>
        </w:rPr>
        <w:t xml:space="preserve"> high adherence rates, </w:t>
      </w:r>
      <w:r>
        <w:rPr>
          <w:rFonts w:ascii="Arial" w:eastAsia="Times New Roman" w:hAnsi="Arial" w:cs="Arial"/>
          <w:sz w:val="24"/>
          <w:szCs w:val="24"/>
        </w:rPr>
        <w:t xml:space="preserve">and few side effects, </w:t>
      </w:r>
      <w:proofErr w:type="spellStart"/>
      <w:r w:rsidRPr="00766A28">
        <w:rPr>
          <w:rFonts w:ascii="Arial" w:eastAsia="Times New Roman" w:hAnsi="Arial" w:cs="Arial"/>
          <w:sz w:val="24"/>
          <w:szCs w:val="24"/>
        </w:rPr>
        <w:t>hydroxyurea</w:t>
      </w:r>
      <w:proofErr w:type="spellEnd"/>
      <w:r w:rsidRPr="00766A28">
        <w:rPr>
          <w:rFonts w:ascii="Arial" w:eastAsia="Times New Roman" w:hAnsi="Arial" w:cs="Arial"/>
          <w:sz w:val="24"/>
          <w:szCs w:val="24"/>
        </w:rPr>
        <w:t xml:space="preserve"> proves to be a highly effective treatment in this population. These results strongly support the continued and expanded use of </w:t>
      </w:r>
      <w:proofErr w:type="spellStart"/>
      <w:r w:rsidRPr="00766A28">
        <w:rPr>
          <w:rFonts w:ascii="Arial" w:eastAsia="Times New Roman" w:hAnsi="Arial" w:cs="Arial"/>
          <w:sz w:val="24"/>
          <w:szCs w:val="24"/>
        </w:rPr>
        <w:t>hydroxyurea</w:t>
      </w:r>
      <w:proofErr w:type="spellEnd"/>
      <w:r w:rsidRPr="00766A28">
        <w:rPr>
          <w:rFonts w:ascii="Arial" w:eastAsia="Times New Roman" w:hAnsi="Arial" w:cs="Arial"/>
          <w:sz w:val="24"/>
          <w:szCs w:val="24"/>
        </w:rPr>
        <w:t xml:space="preserve"> as a standard component of SCD management in this setting. Strategic efforts in patient education, regular monitoring, and robust support systems will be essential to sustain and further enhance these positive outcomes.</w:t>
      </w:r>
    </w:p>
    <w:p w:rsidR="00765883" w:rsidRPr="00766A28" w:rsidRDefault="00765883" w:rsidP="00765883">
      <w:pPr>
        <w:spacing w:after="0" w:line="240" w:lineRule="auto"/>
        <w:rPr>
          <w:rFonts w:ascii="Times New Roman" w:eastAsia="Times New Roman" w:hAnsi="Times New Roman" w:cs="Times New Roman"/>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pStyle w:val="Heading2"/>
        <w:spacing w:line="360" w:lineRule="auto"/>
        <w:jc w:val="both"/>
        <w:rPr>
          <w:rFonts w:ascii="Arial" w:hAnsi="Arial" w:cs="Arial"/>
          <w:b/>
          <w:color w:val="000000" w:themeColor="text1"/>
          <w:sz w:val="24"/>
          <w:szCs w:val="24"/>
        </w:rPr>
      </w:pPr>
      <w:bookmarkStart w:id="10" w:name="_Toc202934408"/>
      <w:r w:rsidRPr="005F5B23">
        <w:rPr>
          <w:rFonts w:ascii="Arial" w:hAnsi="Arial" w:cs="Arial"/>
          <w:b/>
          <w:color w:val="000000" w:themeColor="text1"/>
          <w:sz w:val="24"/>
          <w:szCs w:val="24"/>
        </w:rPr>
        <w:t>6.2 Recommendations</w:t>
      </w:r>
      <w:bookmarkEnd w:id="10"/>
    </w:p>
    <w:p w:rsidR="00765883" w:rsidRPr="00F10AFE" w:rsidRDefault="00765883" w:rsidP="00765883">
      <w:pPr>
        <w:spacing w:before="100" w:beforeAutospacing="1" w:after="100" w:afterAutospacing="1" w:line="360" w:lineRule="auto"/>
        <w:jc w:val="both"/>
        <w:rPr>
          <w:rFonts w:ascii="Arial" w:eastAsia="Times New Roman" w:hAnsi="Arial" w:cs="Arial"/>
          <w:sz w:val="24"/>
          <w:szCs w:val="24"/>
          <w:highlight w:val="yellow"/>
        </w:rPr>
      </w:pPr>
      <w:r w:rsidRPr="00F10AFE">
        <w:rPr>
          <w:rFonts w:ascii="Arial" w:eastAsia="Times New Roman" w:hAnsi="Arial" w:cs="Arial"/>
          <w:sz w:val="24"/>
          <w:szCs w:val="24"/>
          <w:highlight w:val="yellow"/>
        </w:rPr>
        <w:t xml:space="preserve">-To sustain and maximize the benefits of </w:t>
      </w:r>
      <w:proofErr w:type="spellStart"/>
      <w:r w:rsidRPr="00F10AFE">
        <w:rPr>
          <w:rFonts w:ascii="Arial" w:eastAsia="Times New Roman" w:hAnsi="Arial" w:cs="Arial"/>
          <w:sz w:val="24"/>
          <w:szCs w:val="24"/>
          <w:highlight w:val="yellow"/>
        </w:rPr>
        <w:t>hydroxyurea</w:t>
      </w:r>
      <w:proofErr w:type="spellEnd"/>
      <w:r w:rsidRPr="00F10AFE">
        <w:rPr>
          <w:rFonts w:ascii="Arial" w:eastAsia="Times New Roman" w:hAnsi="Arial" w:cs="Arial"/>
          <w:sz w:val="24"/>
          <w:szCs w:val="24"/>
          <w:highlight w:val="yellow"/>
        </w:rPr>
        <w:t xml:space="preserve"> therapy in sickle cell disease (SCD) management, efforts should focus on expanding its availability to other health facilities, given its proven effectiveness and tolerability. </w:t>
      </w:r>
    </w:p>
    <w:p w:rsidR="00765883" w:rsidRPr="00F10AFE" w:rsidRDefault="00765883" w:rsidP="00765883">
      <w:pPr>
        <w:spacing w:before="100" w:beforeAutospacing="1" w:after="100" w:afterAutospacing="1" w:line="360" w:lineRule="auto"/>
        <w:jc w:val="both"/>
        <w:rPr>
          <w:rFonts w:ascii="Arial" w:eastAsia="Times New Roman" w:hAnsi="Arial" w:cs="Arial"/>
          <w:sz w:val="24"/>
          <w:szCs w:val="24"/>
          <w:highlight w:val="yellow"/>
        </w:rPr>
      </w:pPr>
      <w:r w:rsidRPr="00F10AFE">
        <w:rPr>
          <w:rFonts w:ascii="Arial" w:eastAsia="Times New Roman" w:hAnsi="Arial" w:cs="Arial"/>
          <w:sz w:val="24"/>
          <w:szCs w:val="24"/>
          <w:highlight w:val="yellow"/>
        </w:rPr>
        <w:t xml:space="preserve">- To </w:t>
      </w:r>
      <w:r w:rsidR="00B0158B">
        <w:rPr>
          <w:rFonts w:ascii="Arial" w:eastAsia="Times New Roman" w:hAnsi="Arial" w:cs="Arial"/>
          <w:sz w:val="24"/>
          <w:szCs w:val="24"/>
          <w:highlight w:val="yellow"/>
        </w:rPr>
        <w:t>strengthen</w:t>
      </w:r>
      <w:r w:rsidRPr="00F10AFE">
        <w:rPr>
          <w:rFonts w:ascii="Arial" w:eastAsia="Times New Roman" w:hAnsi="Arial" w:cs="Arial"/>
          <w:sz w:val="24"/>
          <w:szCs w:val="24"/>
          <w:highlight w:val="yellow"/>
        </w:rPr>
        <w:t xml:space="preserve"> patient and caregiver education on adherence, benefits, and side effect monitoring is crucial. </w:t>
      </w:r>
    </w:p>
    <w:p w:rsidR="00765883" w:rsidRPr="00F10AFE" w:rsidRDefault="00765883" w:rsidP="00765883">
      <w:pPr>
        <w:spacing w:before="100" w:beforeAutospacing="1" w:after="100" w:afterAutospacing="1" w:line="360" w:lineRule="auto"/>
        <w:jc w:val="both"/>
        <w:rPr>
          <w:rFonts w:ascii="Arial" w:eastAsia="Times New Roman" w:hAnsi="Arial" w:cs="Arial"/>
          <w:sz w:val="24"/>
          <w:szCs w:val="24"/>
          <w:highlight w:val="yellow"/>
        </w:rPr>
      </w:pPr>
      <w:r w:rsidRPr="00F10AFE">
        <w:rPr>
          <w:rFonts w:ascii="Arial" w:eastAsia="Times New Roman" w:hAnsi="Arial" w:cs="Arial"/>
          <w:sz w:val="24"/>
          <w:szCs w:val="24"/>
          <w:highlight w:val="yellow"/>
        </w:rPr>
        <w:t>-</w:t>
      </w:r>
      <w:r w:rsidR="00B0158B">
        <w:rPr>
          <w:rFonts w:ascii="Arial" w:eastAsia="Times New Roman" w:hAnsi="Arial" w:cs="Arial"/>
          <w:sz w:val="24"/>
          <w:szCs w:val="24"/>
          <w:highlight w:val="yellow"/>
        </w:rPr>
        <w:t>Establishing standardized follow-up protocols, including hematologic monitoring and safety surveillance, will help optimize</w:t>
      </w:r>
      <w:r w:rsidRPr="00F10AFE">
        <w:rPr>
          <w:rFonts w:ascii="Arial" w:eastAsia="Times New Roman" w:hAnsi="Arial" w:cs="Arial"/>
          <w:sz w:val="24"/>
          <w:szCs w:val="24"/>
          <w:highlight w:val="yellow"/>
        </w:rPr>
        <w:t xml:space="preserve"> treatment outcomes. </w:t>
      </w:r>
    </w:p>
    <w:p w:rsidR="00765883" w:rsidRPr="00F10AFE" w:rsidRDefault="00765883" w:rsidP="00765883">
      <w:pPr>
        <w:spacing w:before="100" w:beforeAutospacing="1" w:after="100" w:afterAutospacing="1" w:line="360" w:lineRule="auto"/>
        <w:jc w:val="both"/>
        <w:rPr>
          <w:rFonts w:ascii="Arial" w:eastAsia="Times New Roman" w:hAnsi="Arial" w:cs="Arial"/>
          <w:sz w:val="24"/>
          <w:szCs w:val="24"/>
          <w:highlight w:val="yellow"/>
        </w:rPr>
      </w:pPr>
      <w:r w:rsidRPr="00F10AFE">
        <w:rPr>
          <w:rFonts w:ascii="Arial" w:eastAsia="Times New Roman" w:hAnsi="Arial" w:cs="Arial"/>
          <w:sz w:val="24"/>
          <w:szCs w:val="24"/>
          <w:highlight w:val="yellow"/>
        </w:rPr>
        <w:t xml:space="preserve">- To integrate psychosocial support and school health programs is essential, particularly for the predominantly school-aged population.  </w:t>
      </w:r>
    </w:p>
    <w:p w:rsidR="00765883" w:rsidRPr="002A1D44" w:rsidRDefault="00765883" w:rsidP="00765883">
      <w:pPr>
        <w:spacing w:before="100" w:beforeAutospacing="1" w:after="100" w:afterAutospacing="1" w:line="360" w:lineRule="auto"/>
        <w:jc w:val="both"/>
        <w:rPr>
          <w:rFonts w:ascii="Arial" w:eastAsia="Times New Roman" w:hAnsi="Arial" w:cs="Arial"/>
          <w:sz w:val="24"/>
          <w:szCs w:val="24"/>
        </w:rPr>
      </w:pPr>
      <w:r w:rsidRPr="00F10AFE">
        <w:rPr>
          <w:rFonts w:ascii="Arial" w:eastAsia="Times New Roman" w:hAnsi="Arial" w:cs="Arial"/>
          <w:sz w:val="24"/>
          <w:szCs w:val="24"/>
          <w:highlight w:val="yellow"/>
        </w:rPr>
        <w:t xml:space="preserve">-Further longitudinal research is needed to evaluate </w:t>
      </w:r>
      <w:proofErr w:type="spellStart"/>
      <w:r w:rsidRPr="00F10AFE">
        <w:rPr>
          <w:rFonts w:ascii="Arial" w:eastAsia="Times New Roman" w:hAnsi="Arial" w:cs="Arial"/>
          <w:sz w:val="24"/>
          <w:szCs w:val="24"/>
          <w:highlight w:val="yellow"/>
        </w:rPr>
        <w:t>hydroxyurea’s</w:t>
      </w:r>
      <w:proofErr w:type="spellEnd"/>
      <w:r w:rsidRPr="00F10AFE">
        <w:rPr>
          <w:rFonts w:ascii="Arial" w:eastAsia="Times New Roman" w:hAnsi="Arial" w:cs="Arial"/>
          <w:sz w:val="24"/>
          <w:szCs w:val="24"/>
          <w:highlight w:val="yellow"/>
        </w:rPr>
        <w:t xml:space="preserve"> long-term effects on organ protection, growth, development, fertility, and overall survival.</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lastRenderedPageBreak/>
        <w:t>.</w:t>
      </w:r>
    </w:p>
    <w:p w:rsidR="00765883" w:rsidRPr="005F5B23" w:rsidRDefault="00765883" w:rsidP="00765883">
      <w:pPr>
        <w:pStyle w:val="Heading2"/>
        <w:spacing w:line="360" w:lineRule="auto"/>
        <w:jc w:val="both"/>
        <w:rPr>
          <w:rFonts w:ascii="Arial" w:hAnsi="Arial" w:cs="Arial"/>
          <w:b/>
          <w:color w:val="000000" w:themeColor="text1"/>
          <w:sz w:val="24"/>
          <w:szCs w:val="24"/>
        </w:rPr>
      </w:pPr>
      <w:bookmarkStart w:id="11" w:name="_Toc202934409"/>
      <w:r w:rsidRPr="005F5B23">
        <w:rPr>
          <w:rFonts w:ascii="Arial" w:hAnsi="Arial" w:cs="Arial"/>
          <w:b/>
          <w:color w:val="000000" w:themeColor="text1"/>
          <w:sz w:val="24"/>
          <w:szCs w:val="24"/>
        </w:rPr>
        <w:t>6.3 Limitations of the study</w:t>
      </w:r>
      <w:bookmarkEnd w:id="11"/>
    </w:p>
    <w:p w:rsidR="00765883" w:rsidRPr="005F5B23" w:rsidRDefault="00765883" w:rsidP="00765883">
      <w:pPr>
        <w:spacing w:line="360" w:lineRule="auto"/>
        <w:jc w:val="both"/>
        <w:rPr>
          <w:rFonts w:ascii="Arial" w:hAnsi="Arial" w:cs="Arial"/>
          <w:sz w:val="24"/>
          <w:szCs w:val="24"/>
        </w:rPr>
      </w:pPr>
      <w:r>
        <w:rPr>
          <w:rFonts w:ascii="Arial" w:eastAsia="Times New Roman" w:hAnsi="Arial" w:cs="Arial"/>
          <w:sz w:val="24"/>
          <w:szCs w:val="24"/>
        </w:rPr>
        <w:t xml:space="preserve">This study has </w:t>
      </w:r>
      <w:r w:rsidRPr="002A1D44">
        <w:rPr>
          <w:rFonts w:ascii="Arial" w:eastAsia="Times New Roman" w:hAnsi="Arial" w:cs="Arial"/>
          <w:sz w:val="24"/>
          <w:szCs w:val="24"/>
        </w:rPr>
        <w:t xml:space="preserve">limitations that may affect the interpretation and generalizability of its findings. The absence of a control group limits the ability to attribute observed improvements solely to </w:t>
      </w:r>
      <w:proofErr w:type="spellStart"/>
      <w:r w:rsidRPr="002A1D44">
        <w:rPr>
          <w:rFonts w:ascii="Arial" w:eastAsia="Times New Roman" w:hAnsi="Arial" w:cs="Arial"/>
          <w:sz w:val="24"/>
          <w:szCs w:val="24"/>
        </w:rPr>
        <w:t>hydroxyurea</w:t>
      </w:r>
      <w:proofErr w:type="spellEnd"/>
      <w:r w:rsidRPr="002A1D44">
        <w:rPr>
          <w:rFonts w:ascii="Arial" w:eastAsia="Times New Roman" w:hAnsi="Arial" w:cs="Arial"/>
          <w:sz w:val="24"/>
          <w:szCs w:val="24"/>
        </w:rPr>
        <w:t xml:space="preserve"> therapy. Additionally, the small sample size and short follow-up period restrict the strength of the conclusions, particularly regarding long-term outcomes. As a </w:t>
      </w:r>
      <w:r>
        <w:rPr>
          <w:rFonts w:ascii="Arial" w:eastAsia="Times New Roman" w:hAnsi="Arial" w:cs="Arial"/>
          <w:sz w:val="24"/>
          <w:szCs w:val="24"/>
        </w:rPr>
        <w:t>single-</w:t>
      </w:r>
      <w:proofErr w:type="spellStart"/>
      <w:r>
        <w:rPr>
          <w:rFonts w:ascii="Arial" w:eastAsia="Times New Roman" w:hAnsi="Arial" w:cs="Arial"/>
          <w:sz w:val="24"/>
          <w:szCs w:val="24"/>
        </w:rPr>
        <w:t>centre</w:t>
      </w:r>
      <w:proofErr w:type="spellEnd"/>
      <w:r>
        <w:rPr>
          <w:rFonts w:ascii="Arial" w:eastAsia="Times New Roman" w:hAnsi="Arial" w:cs="Arial"/>
          <w:sz w:val="24"/>
          <w:szCs w:val="24"/>
        </w:rPr>
        <w:t xml:space="preserve"> study conducted at </w:t>
      </w:r>
      <w:proofErr w:type="spellStart"/>
      <w:r>
        <w:rPr>
          <w:rFonts w:ascii="Arial" w:eastAsia="Times New Roman" w:hAnsi="Arial" w:cs="Arial"/>
          <w:sz w:val="24"/>
          <w:szCs w:val="24"/>
        </w:rPr>
        <w:t>J</w:t>
      </w:r>
      <w:r w:rsidRPr="002A1D44">
        <w:rPr>
          <w:rFonts w:ascii="Arial" w:eastAsia="Times New Roman" w:hAnsi="Arial" w:cs="Arial"/>
          <w:sz w:val="24"/>
          <w:szCs w:val="24"/>
        </w:rPr>
        <w:t>itimai</w:t>
      </w:r>
      <w:proofErr w:type="spellEnd"/>
      <w:r w:rsidRPr="002A1D44">
        <w:rPr>
          <w:rFonts w:ascii="Arial" w:eastAsia="Times New Roman" w:hAnsi="Arial" w:cs="Arial"/>
          <w:sz w:val="24"/>
          <w:szCs w:val="24"/>
        </w:rPr>
        <w:t xml:space="preserve"> District Hospital, the results may not be representative of broader patient populations or healthcare settings. Furthermore, the lack of randomization may introduce selection bias, potentially influencing the accuracy and validity of the observed treatment effects</w:t>
      </w:r>
      <w:r>
        <w:rPr>
          <w:rFonts w:ascii="Arial" w:hAnsi="Arial" w:cs="Arial"/>
          <w:sz w:val="24"/>
          <w:szCs w:val="24"/>
        </w:rPr>
        <w:t>.</w:t>
      </w:r>
      <w:r w:rsidRPr="004D067C">
        <w:rPr>
          <w:rFonts w:ascii="Arial" w:hAnsi="Arial" w:cs="Arial"/>
          <w:sz w:val="24"/>
          <w:szCs w:val="24"/>
        </w:rPr>
        <w:t xml:space="preserve"> Lack of randomization: Patients were not randomly assigned to treatment, which may introduce bias and affect the accuracy of the results</w:t>
      </w:r>
      <w:r w:rsidRPr="005F5B23">
        <w:rPr>
          <w:rFonts w:ascii="Arial" w:hAnsi="Arial" w:cs="Arial"/>
          <w:sz w:val="24"/>
          <w:szCs w:val="24"/>
        </w:rPr>
        <w:t>.</w:t>
      </w:r>
    </w:p>
    <w:p w:rsidR="00765883" w:rsidRPr="005F5B23" w:rsidRDefault="00765883" w:rsidP="00765883">
      <w:pPr>
        <w:spacing w:line="360" w:lineRule="auto"/>
        <w:jc w:val="both"/>
        <w:rPr>
          <w:rFonts w:ascii="Arial" w:hAnsi="Arial" w:cs="Arial"/>
          <w:sz w:val="24"/>
          <w:szCs w:val="24"/>
        </w:rPr>
      </w:pPr>
    </w:p>
    <w:p w:rsidR="00765883" w:rsidRDefault="00765883" w:rsidP="00765883">
      <w:pPr>
        <w:spacing w:line="360" w:lineRule="auto"/>
        <w:jc w:val="both"/>
        <w:rPr>
          <w:rFonts w:ascii="Arial" w:hAnsi="Arial" w:cs="Arial"/>
          <w:sz w:val="24"/>
          <w:szCs w:val="24"/>
        </w:rPr>
      </w:pPr>
      <w:r>
        <w:rPr>
          <w:rFonts w:ascii="Arial" w:hAnsi="Arial" w:cs="Arial"/>
          <w:sz w:val="24"/>
          <w:szCs w:val="24"/>
        </w:rPr>
        <w:t>Ethical Approval and Consent</w:t>
      </w:r>
    </w:p>
    <w:p w:rsidR="00765883" w:rsidRPr="00221383" w:rsidRDefault="00765883" w:rsidP="00765883">
      <w:pPr>
        <w:spacing w:before="100" w:beforeAutospacing="1" w:after="100" w:afterAutospacing="1" w:line="360" w:lineRule="auto"/>
        <w:jc w:val="both"/>
        <w:rPr>
          <w:rFonts w:ascii="Times New Roman" w:eastAsia="Times New Roman" w:hAnsi="Times New Roman" w:cs="Times New Roman"/>
          <w:color w:val="000000"/>
          <w:sz w:val="24"/>
          <w:szCs w:val="24"/>
        </w:rPr>
      </w:pPr>
      <w:r w:rsidRPr="00221383">
        <w:rPr>
          <w:rFonts w:ascii="Times New Roman" w:eastAsia="Times New Roman" w:hAnsi="Times New Roman" w:cs="Times New Roman"/>
          <w:color w:val="000000"/>
          <w:sz w:val="24"/>
          <w:szCs w:val="24"/>
        </w:rPr>
        <w:t>Ethical considerations were observed by obtaining permission from the School of Health and Medical Sciences at SUZA and ethical approval from the Zanzibar Health Research</w:t>
      </w:r>
      <w:r>
        <w:rPr>
          <w:rFonts w:ascii="Times New Roman" w:eastAsia="Times New Roman" w:hAnsi="Times New Roman" w:cs="Times New Roman"/>
          <w:color w:val="000000"/>
          <w:sz w:val="24"/>
          <w:szCs w:val="24"/>
        </w:rPr>
        <w:t xml:space="preserve"> Ethics Committee (ZAHREC) with</w:t>
      </w:r>
      <w:r w:rsidRPr="00221383">
        <w:rPr>
          <w:rFonts w:ascii="Times New Roman" w:eastAsia="Times New Roman" w:hAnsi="Times New Roman" w:cs="Times New Roman"/>
          <w:color w:val="000000"/>
          <w:sz w:val="24"/>
          <w:szCs w:val="24"/>
        </w:rPr>
        <w:t xml:space="preserve"> reference </w:t>
      </w:r>
      <w:r>
        <w:rPr>
          <w:rFonts w:ascii="Times New Roman" w:eastAsia="Times New Roman" w:hAnsi="Times New Roman" w:cs="Times New Roman"/>
          <w:color w:val="000000"/>
          <w:sz w:val="24"/>
          <w:szCs w:val="24"/>
        </w:rPr>
        <w:t>number ZAHREC/02/ST/MAR/2025/215. Participants, including their guides in the case of children, were provided with</w:t>
      </w:r>
      <w:r w:rsidRPr="00221383">
        <w:rPr>
          <w:rFonts w:ascii="Times New Roman" w:eastAsia="Times New Roman" w:hAnsi="Times New Roman" w:cs="Times New Roman"/>
          <w:color w:val="000000"/>
          <w:sz w:val="24"/>
          <w:szCs w:val="24"/>
        </w:rPr>
        <w:t xml:space="preserve"> detailed information about the study and gave informed consent </w:t>
      </w:r>
      <w:r>
        <w:rPr>
          <w:rFonts w:ascii="Times New Roman" w:eastAsia="Times New Roman" w:hAnsi="Times New Roman" w:cs="Times New Roman"/>
          <w:color w:val="000000"/>
          <w:sz w:val="24"/>
          <w:szCs w:val="24"/>
        </w:rPr>
        <w:t>before</w:t>
      </w:r>
      <w:r w:rsidRPr="00221383">
        <w:rPr>
          <w:rFonts w:ascii="Times New Roman" w:eastAsia="Times New Roman" w:hAnsi="Times New Roman" w:cs="Times New Roman"/>
          <w:color w:val="000000"/>
          <w:sz w:val="24"/>
          <w:szCs w:val="24"/>
        </w:rPr>
        <w:t xml:space="preserve"> participation. Con</w:t>
      </w:r>
      <w:r>
        <w:rPr>
          <w:rFonts w:ascii="Times New Roman" w:eastAsia="Times New Roman" w:hAnsi="Times New Roman" w:cs="Times New Roman"/>
          <w:color w:val="000000"/>
          <w:sz w:val="24"/>
          <w:szCs w:val="24"/>
        </w:rPr>
        <w:t>fidentiality was assured, and the</w:t>
      </w:r>
      <w:r w:rsidRPr="00221383">
        <w:rPr>
          <w:rFonts w:ascii="Times New Roman" w:eastAsia="Times New Roman" w:hAnsi="Times New Roman" w:cs="Times New Roman"/>
          <w:color w:val="000000"/>
          <w:sz w:val="24"/>
          <w:szCs w:val="24"/>
        </w:rPr>
        <w:t xml:space="preserve"> data</w:t>
      </w:r>
      <w:r>
        <w:rPr>
          <w:rFonts w:ascii="Times New Roman" w:eastAsia="Times New Roman" w:hAnsi="Times New Roman" w:cs="Times New Roman"/>
          <w:color w:val="000000"/>
          <w:sz w:val="24"/>
          <w:szCs w:val="24"/>
        </w:rPr>
        <w:t xml:space="preserve"> were</w:t>
      </w:r>
      <w:r w:rsidRPr="00221383">
        <w:rPr>
          <w:rFonts w:ascii="Times New Roman" w:eastAsia="Times New Roman" w:hAnsi="Times New Roman" w:cs="Times New Roman"/>
          <w:color w:val="000000"/>
          <w:sz w:val="24"/>
          <w:szCs w:val="24"/>
        </w:rPr>
        <w:t xml:space="preserve"> used solely for research purposes. Participants were </w:t>
      </w:r>
      <w:r>
        <w:rPr>
          <w:rFonts w:ascii="Times New Roman" w:eastAsia="Times New Roman" w:hAnsi="Times New Roman" w:cs="Times New Roman"/>
          <w:color w:val="000000"/>
          <w:sz w:val="24"/>
          <w:szCs w:val="24"/>
        </w:rPr>
        <w:t xml:space="preserve">also </w:t>
      </w:r>
      <w:r w:rsidRPr="00221383">
        <w:rPr>
          <w:rFonts w:ascii="Times New Roman" w:eastAsia="Times New Roman" w:hAnsi="Times New Roman" w:cs="Times New Roman"/>
          <w:color w:val="000000"/>
          <w:sz w:val="24"/>
          <w:szCs w:val="24"/>
        </w:rPr>
        <w:t>informed of their right to decline participation or withdraw at any time without any consequences.</w:t>
      </w:r>
    </w:p>
    <w:p w:rsidR="00765883" w:rsidRDefault="00765883" w:rsidP="00765883">
      <w:pPr>
        <w:spacing w:line="360" w:lineRule="auto"/>
        <w:jc w:val="both"/>
        <w:rPr>
          <w:rFonts w:ascii="Arial" w:hAnsi="Arial" w:cs="Arial"/>
          <w:sz w:val="24"/>
          <w:szCs w:val="24"/>
        </w:rPr>
      </w:pPr>
    </w:p>
    <w:p w:rsidR="00765883" w:rsidRPr="00270720" w:rsidRDefault="00765883" w:rsidP="00765883">
      <w:pPr>
        <w:rPr>
          <w:highlight w:val="yellow"/>
        </w:rPr>
      </w:pPr>
      <w:r w:rsidRPr="00270720">
        <w:rPr>
          <w:highlight w:val="yellow"/>
        </w:rPr>
        <w:t>Disclaimer (Artificial intelligence)</w:t>
      </w:r>
    </w:p>
    <w:p w:rsidR="00765883" w:rsidRPr="00270720" w:rsidRDefault="00765883" w:rsidP="00765883">
      <w:pPr>
        <w:rPr>
          <w:highlight w:val="yellow"/>
        </w:rPr>
      </w:pPr>
      <w:r>
        <w:rPr>
          <w:highlight w:val="yellow"/>
        </w:rPr>
        <w:t xml:space="preserve"> </w:t>
      </w:r>
    </w:p>
    <w:p w:rsidR="00765883" w:rsidRPr="00270720" w:rsidRDefault="00765883" w:rsidP="00765883">
      <w:pPr>
        <w:rPr>
          <w:highlight w:val="yellow"/>
        </w:rPr>
      </w:pPr>
    </w:p>
    <w:p w:rsidR="00765883" w:rsidRPr="00270720" w:rsidRDefault="00765883" w:rsidP="00765883">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765883" w:rsidRPr="00270720" w:rsidRDefault="00765883" w:rsidP="00765883">
      <w:pPr>
        <w:rPr>
          <w:highlight w:val="yellow"/>
        </w:rPr>
      </w:pPr>
    </w:p>
    <w:p w:rsidR="00765883" w:rsidRPr="006A3D77" w:rsidRDefault="00765883" w:rsidP="00765883">
      <w:pPr>
        <w:rPr>
          <w:highlight w:val="yellow"/>
        </w:rPr>
      </w:pPr>
      <w:r>
        <w:rPr>
          <w:highlight w:val="yellow"/>
        </w:rPr>
        <w:lastRenderedPageBreak/>
        <w:t xml:space="preserve"> </w:t>
      </w:r>
    </w:p>
    <w:p w:rsidR="00765883" w:rsidRDefault="00765883" w:rsidP="00765883">
      <w:pPr>
        <w:spacing w:line="360" w:lineRule="auto"/>
        <w:jc w:val="both"/>
        <w:rPr>
          <w:rFonts w:ascii="Arial" w:hAnsi="Arial" w:cs="Arial"/>
          <w:sz w:val="24"/>
          <w:szCs w:val="24"/>
        </w:rPr>
      </w:pPr>
      <w:r>
        <w:rPr>
          <w:rFonts w:ascii="Arial" w:hAnsi="Arial" w:cs="Arial"/>
          <w:sz w:val="24"/>
          <w:szCs w:val="24"/>
        </w:rPr>
        <w:t>References</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Pr="00765883">
        <w:rPr>
          <w:rFonts w:ascii="Arial" w:hAnsi="Arial" w:cs="Arial"/>
          <w:noProof/>
          <w:sz w:val="24"/>
          <w:szCs w:val="24"/>
        </w:rPr>
        <w:t>[1]</w:t>
      </w:r>
      <w:r w:rsidRPr="00765883">
        <w:rPr>
          <w:rFonts w:ascii="Arial" w:hAnsi="Arial" w:cs="Arial"/>
          <w:noProof/>
          <w:sz w:val="24"/>
          <w:szCs w:val="24"/>
        </w:rPr>
        <w:tab/>
        <w:t xml:space="preserve">U. O. Ogu, N. U. Badamosi, P. E. Camacho, A. X. Freire, and P. Adams-Graves, “Management of Sickle Cell Disease Complications Beyond Acute Chest Syndrome.,” </w:t>
      </w:r>
      <w:r w:rsidRPr="00765883">
        <w:rPr>
          <w:rFonts w:ascii="Arial" w:hAnsi="Arial" w:cs="Arial"/>
          <w:i/>
          <w:iCs/>
          <w:noProof/>
          <w:sz w:val="24"/>
          <w:szCs w:val="24"/>
        </w:rPr>
        <w:t>J. Blood Med.</w:t>
      </w:r>
      <w:r w:rsidRPr="00765883">
        <w:rPr>
          <w:rFonts w:ascii="Arial" w:hAnsi="Arial" w:cs="Arial"/>
          <w:noProof/>
          <w:sz w:val="24"/>
          <w:szCs w:val="24"/>
        </w:rPr>
        <w:t>, vol. 12, pp. 101–114, 2021, doi: 10.2147/JBM.S291394.</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w:t>
      </w:r>
      <w:r w:rsidRPr="00765883">
        <w:rPr>
          <w:rFonts w:ascii="Arial" w:hAnsi="Arial" w:cs="Arial"/>
          <w:noProof/>
          <w:sz w:val="24"/>
          <w:szCs w:val="24"/>
        </w:rPr>
        <w:tab/>
        <w:t xml:space="preserve">“Global, regional, and national prevalence and mortality burden of sickle cell  disease, 2000-2021: a systematic analysis from the Global Burden of Disease Study 2021.,” </w:t>
      </w:r>
      <w:r w:rsidRPr="00765883">
        <w:rPr>
          <w:rFonts w:ascii="Arial" w:hAnsi="Arial" w:cs="Arial"/>
          <w:i/>
          <w:iCs/>
          <w:noProof/>
          <w:sz w:val="24"/>
          <w:szCs w:val="24"/>
        </w:rPr>
        <w:t>Lancet. Haematol.</w:t>
      </w:r>
      <w:r w:rsidRPr="00765883">
        <w:rPr>
          <w:rFonts w:ascii="Arial" w:hAnsi="Arial" w:cs="Arial"/>
          <w:noProof/>
          <w:sz w:val="24"/>
          <w:szCs w:val="24"/>
        </w:rPr>
        <w:t>, vol. 10, no. 8, pp. e585–e599, Aug. 2023, doi: 10.1016/S2352-3026(23)00118-7.</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[3]</w:t>
      </w:r>
      <w:r w:rsidRPr="00765883">
        <w:rPr>
          <w:rFonts w:ascii="Arial" w:hAnsi="Arial" w:cs="Arial"/>
          <w:noProof/>
          <w:sz w:val="24"/>
          <w:szCs w:val="24"/>
        </w:rPr>
        <w:tab/>
        <w:t>R. B. Birudu, I. Anil, S. L. Bala Krishna, and P. Sridevi, “Global Sickle Cell Disease and Impact on School Education in Children; A Focus on Interventions for Improving Academic Performance,” pp. 0–11, 2025, doi: 10.20944/preprints202505.2130.v1.</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[4]</w:t>
      </w:r>
      <w:r w:rsidRPr="00765883">
        <w:rPr>
          <w:rFonts w:ascii="Arial" w:hAnsi="Arial" w:cs="Arial"/>
          <w:noProof/>
          <w:sz w:val="24"/>
          <w:szCs w:val="24"/>
        </w:rPr>
        <w:tab/>
        <w:t xml:space="preserve">O. E. Nnodu, A. P. Oron, A. Sopekan, G. O. Akaba, F. B. Piel, and D. L. Chao, “Child mortality from sickle cell disease in Nigeria: a model-estimated,  population-level analysis of data from the 2018 Demographic and Health Survey.,” </w:t>
      </w:r>
      <w:r w:rsidRPr="00765883">
        <w:rPr>
          <w:rFonts w:ascii="Arial" w:hAnsi="Arial" w:cs="Arial"/>
          <w:i/>
          <w:iCs/>
          <w:noProof/>
          <w:sz w:val="24"/>
          <w:szCs w:val="24"/>
        </w:rPr>
        <w:t>Lancet. Haematol.</w:t>
      </w:r>
      <w:r w:rsidRPr="00765883">
        <w:rPr>
          <w:rFonts w:ascii="Arial" w:hAnsi="Arial" w:cs="Arial"/>
          <w:noProof/>
          <w:sz w:val="24"/>
          <w:szCs w:val="24"/>
        </w:rPr>
        <w:t>, vol. 8, no. 10, pp. e723–e731, Oct. 2021, doi: 10.1016/S2352-3026(21)00216-7.</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[5]</w:t>
      </w:r>
      <w:r w:rsidRPr="00765883">
        <w:rPr>
          <w:rFonts w:ascii="Arial" w:hAnsi="Arial" w:cs="Arial"/>
          <w:noProof/>
          <w:sz w:val="24"/>
          <w:szCs w:val="24"/>
        </w:rPr>
        <w:tab/>
        <w:t>M. J. Telen, P. Malik, and G. M. Vercellotti, “Therapeutic strategies for sickle cell disease: towards a multi-agent approach.</w:t>
      </w:r>
      <w:bookmarkStart w:id="12" w:name="_GoBack"/>
      <w:bookmarkEnd w:id="12"/>
      <w:r w:rsidRPr="00765883">
        <w:rPr>
          <w:rFonts w:ascii="Arial" w:hAnsi="Arial" w:cs="Arial"/>
          <w:noProof/>
          <w:sz w:val="24"/>
          <w:szCs w:val="24"/>
        </w:rPr>
        <w:t xml:space="preserve">” </w:t>
      </w:r>
      <w:r w:rsidRPr="00765883">
        <w:rPr>
          <w:rFonts w:ascii="Arial" w:hAnsi="Arial" w:cs="Arial"/>
          <w:i/>
          <w:iCs/>
          <w:noProof/>
          <w:sz w:val="24"/>
          <w:szCs w:val="24"/>
        </w:rPr>
        <w:t>Nat. Rev. Drug Discov.</w:t>
      </w:r>
      <w:r w:rsidRPr="00765883">
        <w:rPr>
          <w:rFonts w:ascii="Arial" w:hAnsi="Arial" w:cs="Arial"/>
          <w:noProof/>
          <w:sz w:val="24"/>
          <w:szCs w:val="24"/>
        </w:rPr>
        <w:t>, vol. 18, no. 2, pp. 139–158, Feb. 2019, doi: 10.1038/s41573-018-0003-2.</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[6]</w:t>
      </w:r>
      <w:r w:rsidRPr="00765883">
        <w:rPr>
          <w:rFonts w:ascii="Arial" w:hAnsi="Arial" w:cs="Arial"/>
          <w:noProof/>
          <w:sz w:val="24"/>
          <w:szCs w:val="24"/>
        </w:rPr>
        <w:tab/>
        <w:t xml:space="preserve">“Annual Sickle Cell &amp; Thalassaemia Conference (ASCAT) - October 2024,” </w:t>
      </w:r>
      <w:r w:rsidRPr="00765883">
        <w:rPr>
          <w:rFonts w:ascii="Arial" w:hAnsi="Arial" w:cs="Arial"/>
          <w:i/>
          <w:iCs/>
          <w:noProof/>
          <w:sz w:val="24"/>
          <w:szCs w:val="24"/>
        </w:rPr>
        <w:t>HemaSphere</w:t>
      </w:r>
      <w:r w:rsidRPr="00765883">
        <w:rPr>
          <w:rFonts w:ascii="Arial" w:hAnsi="Arial" w:cs="Arial"/>
          <w:noProof/>
          <w:sz w:val="24"/>
          <w:szCs w:val="24"/>
        </w:rPr>
        <w:t>, vol. 8, no. S4, p. e70009, Dec. 2024, doi: https://doi.org/10.1002/hem3.70009.</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[7]</w:t>
      </w:r>
      <w:r w:rsidRPr="00765883">
        <w:rPr>
          <w:rFonts w:ascii="Arial" w:hAnsi="Arial" w:cs="Arial"/>
          <w:noProof/>
          <w:sz w:val="24"/>
          <w:szCs w:val="24"/>
        </w:rPr>
        <w:tab/>
        <w:t xml:space="preserve">F. B. Piel </w:t>
      </w:r>
      <w:r w:rsidRPr="00765883">
        <w:rPr>
          <w:rFonts w:ascii="Arial" w:hAnsi="Arial" w:cs="Arial"/>
          <w:i/>
          <w:iCs/>
          <w:noProof/>
          <w:sz w:val="24"/>
          <w:szCs w:val="24"/>
        </w:rPr>
        <w:t>et al.</w:t>
      </w:r>
      <w:r w:rsidRPr="00765883">
        <w:rPr>
          <w:rFonts w:ascii="Arial" w:hAnsi="Arial" w:cs="Arial"/>
          <w:noProof/>
          <w:sz w:val="24"/>
          <w:szCs w:val="24"/>
        </w:rPr>
        <w:t xml:space="preserve">, “Defining global strategies to improve outcomes in sickle cell disease: a Lancet  Haematology Commission,” </w:t>
      </w:r>
      <w:r w:rsidRPr="00765883">
        <w:rPr>
          <w:rFonts w:ascii="Arial" w:hAnsi="Arial" w:cs="Arial"/>
          <w:i/>
          <w:iCs/>
          <w:noProof/>
          <w:sz w:val="24"/>
          <w:szCs w:val="24"/>
        </w:rPr>
        <w:t>Lancet. Haematol.</w:t>
      </w:r>
      <w:r w:rsidRPr="00765883">
        <w:rPr>
          <w:rFonts w:ascii="Arial" w:hAnsi="Arial" w:cs="Arial"/>
          <w:noProof/>
          <w:sz w:val="24"/>
          <w:szCs w:val="24"/>
        </w:rPr>
        <w:t>, vol. 10, no. 8, pp. e633–e686, Aug. 2023, doi: 10.1016/S2352-3026(23)00096-0.</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lastRenderedPageBreak/>
        <w:t>[8]</w:t>
      </w:r>
      <w:r w:rsidRPr="00765883">
        <w:rPr>
          <w:rFonts w:ascii="Arial" w:hAnsi="Arial" w:cs="Arial"/>
          <w:noProof/>
          <w:sz w:val="24"/>
          <w:szCs w:val="24"/>
        </w:rPr>
        <w:tab/>
        <w:t xml:space="preserve">S. J. Nevitt, A. P. Jones, and J. Howard, “Hydroxyurea (hydroxycarbamide) for sickle cell disease.,” </w:t>
      </w:r>
      <w:r w:rsidRPr="00765883">
        <w:rPr>
          <w:rFonts w:ascii="Arial" w:hAnsi="Arial" w:cs="Arial"/>
          <w:i/>
          <w:iCs/>
          <w:noProof/>
          <w:sz w:val="24"/>
          <w:szCs w:val="24"/>
        </w:rPr>
        <w:t>Cochrane database Syst. Rev.</w:t>
      </w:r>
      <w:r w:rsidRPr="00765883">
        <w:rPr>
          <w:rFonts w:ascii="Arial" w:hAnsi="Arial" w:cs="Arial"/>
          <w:noProof/>
          <w:sz w:val="24"/>
          <w:szCs w:val="24"/>
        </w:rPr>
        <w:t>, vol. 4, no. 4, p. CD002202, Apr. 2017, doi: 10.1002/14651858.CD002202.pub2.</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[9]</w:t>
      </w:r>
      <w:r w:rsidRPr="00765883">
        <w:rPr>
          <w:rFonts w:ascii="Arial" w:hAnsi="Arial" w:cs="Arial"/>
          <w:noProof/>
          <w:sz w:val="24"/>
          <w:szCs w:val="24"/>
        </w:rPr>
        <w:tab/>
        <w:t xml:space="preserve">V. Bell, T. Varzakas, T. Psaltopoulou, and T. Fernandes, “Sickle Cell Disease Update: New Treatments and Challenging Nutritional  Interventions,” </w:t>
      </w:r>
      <w:r w:rsidRPr="00765883">
        <w:rPr>
          <w:rFonts w:ascii="Arial" w:hAnsi="Arial" w:cs="Arial"/>
          <w:i/>
          <w:iCs/>
          <w:noProof/>
          <w:sz w:val="24"/>
          <w:szCs w:val="24"/>
        </w:rPr>
        <w:t>Nutrients</w:t>
      </w:r>
      <w:r w:rsidRPr="00765883">
        <w:rPr>
          <w:rFonts w:ascii="Arial" w:hAnsi="Arial" w:cs="Arial"/>
          <w:noProof/>
          <w:sz w:val="24"/>
          <w:szCs w:val="24"/>
        </w:rPr>
        <w:t>, vol. 16, no. 2, Jan. 2024, doi: 10.3390/nu16020258.</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[10]</w:t>
      </w:r>
      <w:r w:rsidRPr="00765883">
        <w:rPr>
          <w:rFonts w:ascii="Arial" w:hAnsi="Arial" w:cs="Arial"/>
          <w:noProof/>
          <w:sz w:val="24"/>
          <w:szCs w:val="24"/>
        </w:rPr>
        <w:tab/>
        <w:t xml:space="preserve">N. Khargekar </w:t>
      </w:r>
      <w:r w:rsidRPr="00765883">
        <w:rPr>
          <w:rFonts w:ascii="Arial" w:hAnsi="Arial" w:cs="Arial"/>
          <w:i/>
          <w:iCs/>
          <w:noProof/>
          <w:sz w:val="24"/>
          <w:szCs w:val="24"/>
        </w:rPr>
        <w:t>et al.</w:t>
      </w:r>
      <w:r w:rsidRPr="00765883">
        <w:rPr>
          <w:rFonts w:ascii="Arial" w:hAnsi="Arial" w:cs="Arial"/>
          <w:noProof/>
          <w:sz w:val="24"/>
          <w:szCs w:val="24"/>
        </w:rPr>
        <w:t xml:space="preserve">, “Role of hydroxyurea therapy in the prevention of organ damage in sickle cell disease: a systematic review and meta-analysis.,” </w:t>
      </w:r>
      <w:r w:rsidRPr="00765883">
        <w:rPr>
          <w:rFonts w:ascii="Arial" w:hAnsi="Arial" w:cs="Arial"/>
          <w:i/>
          <w:iCs/>
          <w:noProof/>
          <w:sz w:val="24"/>
          <w:szCs w:val="24"/>
        </w:rPr>
        <w:t>Syst. Rev.</w:t>
      </w:r>
      <w:r w:rsidRPr="00765883">
        <w:rPr>
          <w:rFonts w:ascii="Arial" w:hAnsi="Arial" w:cs="Arial"/>
          <w:noProof/>
          <w:sz w:val="24"/>
          <w:szCs w:val="24"/>
        </w:rPr>
        <w:t>, vol. 13, no. 1, p. 60, 2024, doi: 10.1186/s13643-024-02461-z.</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[11]</w:t>
      </w:r>
      <w:r w:rsidRPr="00765883">
        <w:rPr>
          <w:rFonts w:ascii="Arial" w:hAnsi="Arial" w:cs="Arial"/>
          <w:noProof/>
          <w:sz w:val="24"/>
          <w:szCs w:val="24"/>
        </w:rPr>
        <w:tab/>
        <w:t xml:space="preserve">C. T. Quinn and R. E. Ware, “The modern use of hydroxyurea for children with sickle cell anemia.,” </w:t>
      </w:r>
      <w:r w:rsidRPr="00765883">
        <w:rPr>
          <w:rFonts w:ascii="Arial" w:hAnsi="Arial" w:cs="Arial"/>
          <w:i/>
          <w:iCs/>
          <w:noProof/>
          <w:sz w:val="24"/>
          <w:szCs w:val="24"/>
        </w:rPr>
        <w:t>Haematologica</w:t>
      </w:r>
      <w:r w:rsidRPr="00765883">
        <w:rPr>
          <w:rFonts w:ascii="Arial" w:hAnsi="Arial" w:cs="Arial"/>
          <w:noProof/>
          <w:sz w:val="24"/>
          <w:szCs w:val="24"/>
        </w:rPr>
        <w:t>, vol. 110, no. 5, pp. 1061–1073, May 2025, doi: 10.3324/haematol.2023.284633.</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[12]</w:t>
      </w:r>
      <w:r w:rsidRPr="00765883">
        <w:rPr>
          <w:rFonts w:ascii="Arial" w:hAnsi="Arial" w:cs="Arial"/>
          <w:noProof/>
          <w:sz w:val="24"/>
          <w:szCs w:val="24"/>
        </w:rPr>
        <w:tab/>
        <w:t xml:space="preserve">G. Ceglie </w:t>
      </w:r>
      <w:r w:rsidRPr="00765883">
        <w:rPr>
          <w:rFonts w:ascii="Arial" w:hAnsi="Arial" w:cs="Arial"/>
          <w:i/>
          <w:iCs/>
          <w:noProof/>
          <w:sz w:val="24"/>
          <w:szCs w:val="24"/>
        </w:rPr>
        <w:t>et al.</w:t>
      </w:r>
      <w:r w:rsidRPr="00765883">
        <w:rPr>
          <w:rFonts w:ascii="Arial" w:hAnsi="Arial" w:cs="Arial"/>
          <w:noProof/>
          <w:sz w:val="24"/>
          <w:szCs w:val="24"/>
        </w:rPr>
        <w:t xml:space="preserve">, “Gender-Related Differences in Sickle Cell Disease in a Pediatric Cohort: A Single-Center Retrospective Study,” </w:t>
      </w:r>
      <w:r w:rsidRPr="00765883">
        <w:rPr>
          <w:rFonts w:ascii="Arial" w:hAnsi="Arial" w:cs="Arial"/>
          <w:i/>
          <w:iCs/>
          <w:noProof/>
          <w:sz w:val="24"/>
          <w:szCs w:val="24"/>
        </w:rPr>
        <w:t>Front. Mol. Biosci.</w:t>
      </w:r>
      <w:r w:rsidRPr="00765883">
        <w:rPr>
          <w:rFonts w:ascii="Arial" w:hAnsi="Arial" w:cs="Arial"/>
          <w:noProof/>
          <w:sz w:val="24"/>
          <w:szCs w:val="24"/>
        </w:rPr>
        <w:t>, vol. 6, no. December, pp. 1–5, 2019, doi: 10.3389/</w:t>
      </w:r>
      <w:r w:rsidR="00B7333C">
        <w:rPr>
          <w:rFonts w:ascii="Arial" w:hAnsi="Arial" w:cs="Arial"/>
          <w:noProof/>
          <w:sz w:val="24"/>
          <w:szCs w:val="24"/>
        </w:rPr>
        <w:t xml:space="preserve">fmolb. </w:t>
      </w:r>
      <w:r w:rsidRPr="00765883">
        <w:rPr>
          <w:rFonts w:ascii="Arial" w:hAnsi="Arial" w:cs="Arial"/>
          <w:noProof/>
          <w:sz w:val="24"/>
          <w:szCs w:val="24"/>
        </w:rPr>
        <w:t>2019.00140.</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[13]</w:t>
      </w:r>
      <w:r w:rsidRPr="00765883">
        <w:rPr>
          <w:rFonts w:ascii="Arial" w:hAnsi="Arial" w:cs="Arial"/>
          <w:noProof/>
          <w:sz w:val="24"/>
          <w:szCs w:val="24"/>
        </w:rPr>
        <w:tab/>
        <w:t xml:space="preserve">O. S. Olatunya </w:t>
      </w:r>
      <w:r w:rsidRPr="00765883">
        <w:rPr>
          <w:rFonts w:ascii="Arial" w:hAnsi="Arial" w:cs="Arial"/>
          <w:i/>
          <w:iCs/>
          <w:noProof/>
          <w:sz w:val="24"/>
          <w:szCs w:val="24"/>
        </w:rPr>
        <w:t>et al.</w:t>
      </w:r>
      <w:r w:rsidRPr="00765883">
        <w:rPr>
          <w:rFonts w:ascii="Arial" w:hAnsi="Arial" w:cs="Arial"/>
          <w:noProof/>
          <w:sz w:val="24"/>
          <w:szCs w:val="24"/>
        </w:rPr>
        <w:t xml:space="preserve">, “Determinants of care-seeking practices for children with sickle cell disease in Ekiti, Southwest Nigeria,” </w:t>
      </w:r>
      <w:r w:rsidRPr="00765883">
        <w:rPr>
          <w:rFonts w:ascii="Arial" w:hAnsi="Arial" w:cs="Arial"/>
          <w:i/>
          <w:iCs/>
          <w:noProof/>
          <w:sz w:val="24"/>
          <w:szCs w:val="24"/>
        </w:rPr>
        <w:t>J. Blood Med.</w:t>
      </w:r>
      <w:r w:rsidRPr="00765883">
        <w:rPr>
          <w:rFonts w:ascii="Arial" w:hAnsi="Arial" w:cs="Arial"/>
          <w:noProof/>
          <w:sz w:val="24"/>
          <w:szCs w:val="24"/>
        </w:rPr>
        <w:t>, vol. 12, pp. 123–132, 2021, doi: 10.2147/JBM.S294952.</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[14]</w:t>
      </w:r>
      <w:r w:rsidRPr="00765883">
        <w:rPr>
          <w:rFonts w:ascii="Arial" w:hAnsi="Arial" w:cs="Arial"/>
          <w:noProof/>
          <w:sz w:val="24"/>
          <w:szCs w:val="24"/>
        </w:rPr>
        <w:tab/>
        <w:t xml:space="preserve">A. Kilungu, E. Winchislaus, G. Alberto, A. Wapalila, V. Kayombo, and T. Sonda, “Outcomes and Complications of Sickle Cell Disease among Hospitalized Paediatric Patients; A Retrospective Study in a Tertiary Hospital, Tanzania,” </w:t>
      </w:r>
      <w:r w:rsidRPr="00765883">
        <w:rPr>
          <w:rFonts w:ascii="Arial" w:hAnsi="Arial" w:cs="Arial"/>
          <w:i/>
          <w:iCs/>
          <w:noProof/>
          <w:sz w:val="24"/>
          <w:szCs w:val="24"/>
        </w:rPr>
        <w:t>medRxiv</w:t>
      </w:r>
      <w:r w:rsidRPr="00765883">
        <w:rPr>
          <w:rFonts w:ascii="Arial" w:hAnsi="Arial" w:cs="Arial"/>
          <w:noProof/>
          <w:sz w:val="24"/>
          <w:szCs w:val="24"/>
        </w:rPr>
        <w:t>, pp. 2003–2025, 2025.</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[15]</w:t>
      </w:r>
      <w:r w:rsidRPr="00765883">
        <w:rPr>
          <w:rFonts w:ascii="Arial" w:hAnsi="Arial" w:cs="Arial"/>
          <w:noProof/>
          <w:sz w:val="24"/>
          <w:szCs w:val="24"/>
        </w:rPr>
        <w:tab/>
        <w:t xml:space="preserve">R. Owomuhangi </w:t>
      </w:r>
      <w:r w:rsidRPr="00765883">
        <w:rPr>
          <w:rFonts w:ascii="Arial" w:hAnsi="Arial" w:cs="Arial"/>
          <w:i/>
          <w:iCs/>
          <w:noProof/>
          <w:sz w:val="24"/>
          <w:szCs w:val="24"/>
        </w:rPr>
        <w:t>et al.</w:t>
      </w:r>
      <w:r w:rsidRPr="00765883">
        <w:rPr>
          <w:rFonts w:ascii="Arial" w:hAnsi="Arial" w:cs="Arial"/>
          <w:noProof/>
          <w:sz w:val="24"/>
          <w:szCs w:val="24"/>
        </w:rPr>
        <w:t>, “Clinical characteristics of adolescents and adults with Sickle Cell Disease and barriers to transition to adult care at Mulago Hospital, Uganda: A mixed methods study,” pp. 1–19, 2025.</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[16]</w:t>
      </w:r>
      <w:r w:rsidRPr="00765883">
        <w:rPr>
          <w:rFonts w:ascii="Arial" w:hAnsi="Arial" w:cs="Arial"/>
          <w:noProof/>
          <w:sz w:val="24"/>
          <w:szCs w:val="24"/>
        </w:rPr>
        <w:tab/>
        <w:t xml:space="preserve">A. Amour </w:t>
      </w:r>
      <w:r w:rsidRPr="00765883">
        <w:rPr>
          <w:rFonts w:ascii="Arial" w:hAnsi="Arial" w:cs="Arial"/>
          <w:i/>
          <w:iCs/>
          <w:noProof/>
          <w:sz w:val="24"/>
          <w:szCs w:val="24"/>
        </w:rPr>
        <w:t>et al.</w:t>
      </w:r>
      <w:r w:rsidRPr="00765883">
        <w:rPr>
          <w:rFonts w:ascii="Arial" w:hAnsi="Arial" w:cs="Arial"/>
          <w:noProof/>
          <w:sz w:val="24"/>
          <w:szCs w:val="24"/>
        </w:rPr>
        <w:t xml:space="preserve">, “Sickle Cell Disease in the Islands of Zanzibar: Patients’ Characteristics, Management, and Clinical Outcomes,” </w:t>
      </w:r>
      <w:r w:rsidRPr="00765883">
        <w:rPr>
          <w:rFonts w:ascii="Arial" w:hAnsi="Arial" w:cs="Arial"/>
          <w:i/>
          <w:iCs/>
          <w:noProof/>
          <w:sz w:val="24"/>
          <w:szCs w:val="24"/>
        </w:rPr>
        <w:t>Genes (Basel).</w:t>
      </w:r>
      <w:r w:rsidRPr="00765883">
        <w:rPr>
          <w:rFonts w:ascii="Arial" w:hAnsi="Arial" w:cs="Arial"/>
          <w:noProof/>
          <w:sz w:val="24"/>
          <w:szCs w:val="24"/>
        </w:rPr>
        <w:t>, vol. 16, no. 1, pp. 1–11, 2025, doi: 10.3390/genes16010047.</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lastRenderedPageBreak/>
        <w:t>[17]</w:t>
      </w:r>
      <w:r w:rsidRPr="00765883">
        <w:rPr>
          <w:rFonts w:ascii="Arial" w:hAnsi="Arial" w:cs="Arial"/>
          <w:noProof/>
          <w:sz w:val="24"/>
          <w:szCs w:val="24"/>
        </w:rPr>
        <w:tab/>
        <w:t xml:space="preserve">A. E. Rankine-Mullings and S. J. Nevitt, “Hydroxyurea (hydroxycarbamide) for sickle cell disease.,” </w:t>
      </w:r>
      <w:r w:rsidRPr="00765883">
        <w:rPr>
          <w:rFonts w:ascii="Arial" w:hAnsi="Arial" w:cs="Arial"/>
          <w:i/>
          <w:iCs/>
          <w:noProof/>
          <w:sz w:val="24"/>
          <w:szCs w:val="24"/>
        </w:rPr>
        <w:t>Cochrane database Syst. Rev.</w:t>
      </w:r>
      <w:r w:rsidRPr="00765883">
        <w:rPr>
          <w:rFonts w:ascii="Arial" w:hAnsi="Arial" w:cs="Arial"/>
          <w:noProof/>
          <w:sz w:val="24"/>
          <w:szCs w:val="24"/>
        </w:rPr>
        <w:t>, vol. 9, no. 9, p. CD002202, 2022, doi: 10.1002/14651858.CD002202.pub3.</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[18]</w:t>
      </w:r>
      <w:r w:rsidRPr="00765883">
        <w:rPr>
          <w:rFonts w:ascii="Arial" w:hAnsi="Arial" w:cs="Arial"/>
          <w:noProof/>
          <w:sz w:val="24"/>
          <w:szCs w:val="24"/>
        </w:rPr>
        <w:tab/>
        <w:t xml:space="preserve">S. U. Abdullahi </w:t>
      </w:r>
      <w:r w:rsidRPr="00765883">
        <w:rPr>
          <w:rFonts w:ascii="Arial" w:hAnsi="Arial" w:cs="Arial"/>
          <w:i/>
          <w:iCs/>
          <w:noProof/>
          <w:sz w:val="24"/>
          <w:szCs w:val="24"/>
        </w:rPr>
        <w:t>et al.</w:t>
      </w:r>
      <w:r w:rsidRPr="00765883">
        <w:rPr>
          <w:rFonts w:ascii="Arial" w:hAnsi="Arial" w:cs="Arial"/>
          <w:noProof/>
          <w:sz w:val="24"/>
          <w:szCs w:val="24"/>
        </w:rPr>
        <w:t xml:space="preserve">, “Hydroxyurea for primary stroke prevention in children with sickle cell anaemia in Nigeria (SPRING): a double-blind, multicentre, randomised, phase 3 trial.,” </w:t>
      </w:r>
      <w:r w:rsidRPr="00765883">
        <w:rPr>
          <w:rFonts w:ascii="Arial" w:hAnsi="Arial" w:cs="Arial"/>
          <w:i/>
          <w:iCs/>
          <w:noProof/>
          <w:sz w:val="24"/>
          <w:szCs w:val="24"/>
        </w:rPr>
        <w:t>Lancet. Haematol.</w:t>
      </w:r>
      <w:r w:rsidRPr="00765883">
        <w:rPr>
          <w:rFonts w:ascii="Arial" w:hAnsi="Arial" w:cs="Arial"/>
          <w:noProof/>
          <w:sz w:val="24"/>
          <w:szCs w:val="24"/>
        </w:rPr>
        <w:t>, vol. 9, no. 1, pp. e26–e37, 2022, doi: 10.1016/S2352-3026(21)00368-9.</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[19]</w:t>
      </w:r>
      <w:r w:rsidRPr="00765883">
        <w:rPr>
          <w:rFonts w:ascii="Arial" w:hAnsi="Arial" w:cs="Arial"/>
          <w:noProof/>
          <w:sz w:val="24"/>
          <w:szCs w:val="24"/>
        </w:rPr>
        <w:tab/>
        <w:t xml:space="preserve">S. Gupta, P. Choudhary, D. Singh, and P. Malpani, “An evaluation of effect of hydroxyurea on frequency of blood transfusion, vaso-occlusive crisis and hospitalisation in children of sickle cell anemia,” </w:t>
      </w:r>
      <w:r w:rsidRPr="00765883">
        <w:rPr>
          <w:rFonts w:ascii="Arial" w:hAnsi="Arial" w:cs="Arial"/>
          <w:i/>
          <w:iCs/>
          <w:noProof/>
          <w:sz w:val="24"/>
          <w:szCs w:val="24"/>
        </w:rPr>
        <w:t>Int. J. Contemp. Pediatr.</w:t>
      </w:r>
      <w:r w:rsidRPr="00765883">
        <w:rPr>
          <w:rFonts w:ascii="Arial" w:hAnsi="Arial" w:cs="Arial"/>
          <w:noProof/>
          <w:sz w:val="24"/>
          <w:szCs w:val="24"/>
        </w:rPr>
        <w:t>, vol. 10, no. 1, p. 29, 2022, doi: 10.18203/2349-3291.ijcp20223416.</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[20]</w:t>
      </w:r>
      <w:r w:rsidRPr="00765883">
        <w:rPr>
          <w:rFonts w:ascii="Arial" w:hAnsi="Arial" w:cs="Arial"/>
          <w:noProof/>
          <w:sz w:val="24"/>
          <w:szCs w:val="24"/>
        </w:rPr>
        <w:tab/>
        <w:t>V. Kumar and S. R. Shah, “Research in Engineering Management and Science ( Ijprems ) Assessing the Clinical Outcomes of Hydroxyurea Treatment in Patients With Sickle Cell Disease,” 2025.</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[21]</w:t>
      </w:r>
      <w:r w:rsidRPr="00765883">
        <w:rPr>
          <w:rFonts w:ascii="Arial" w:hAnsi="Arial" w:cs="Arial"/>
          <w:noProof/>
          <w:sz w:val="24"/>
          <w:szCs w:val="24"/>
        </w:rPr>
        <w:tab/>
        <w:t xml:space="preserve">K. A. Nottage </w:t>
      </w:r>
      <w:r w:rsidRPr="00765883">
        <w:rPr>
          <w:rFonts w:ascii="Arial" w:hAnsi="Arial" w:cs="Arial"/>
          <w:i/>
          <w:iCs/>
          <w:noProof/>
          <w:sz w:val="24"/>
          <w:szCs w:val="24"/>
        </w:rPr>
        <w:t>et al.</w:t>
      </w:r>
      <w:r w:rsidRPr="00765883">
        <w:rPr>
          <w:rFonts w:ascii="Arial" w:hAnsi="Arial" w:cs="Arial"/>
          <w:noProof/>
          <w:sz w:val="24"/>
          <w:szCs w:val="24"/>
        </w:rPr>
        <w:t xml:space="preserve">, “Hydroxyurea Use and Hospitalization Trends in a Comprehensive Pediatric Sickle Cell Program,” </w:t>
      </w:r>
      <w:r w:rsidRPr="00765883">
        <w:rPr>
          <w:rFonts w:ascii="Arial" w:hAnsi="Arial" w:cs="Arial"/>
          <w:i/>
          <w:iCs/>
          <w:noProof/>
          <w:sz w:val="24"/>
          <w:szCs w:val="24"/>
        </w:rPr>
        <w:t>PLoS One</w:t>
      </w:r>
      <w:r w:rsidRPr="00765883">
        <w:rPr>
          <w:rFonts w:ascii="Arial" w:hAnsi="Arial" w:cs="Arial"/>
          <w:noProof/>
          <w:sz w:val="24"/>
          <w:szCs w:val="24"/>
        </w:rPr>
        <w:t>, vol. 8, no. 8, pp. 1–5, 2013, doi: 10.1371/journal.pone.0072077.</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[22]</w:t>
      </w:r>
      <w:r w:rsidRPr="00765883">
        <w:rPr>
          <w:rFonts w:ascii="Arial" w:hAnsi="Arial" w:cs="Arial"/>
          <w:noProof/>
          <w:sz w:val="24"/>
          <w:szCs w:val="24"/>
        </w:rPr>
        <w:tab/>
        <w:t xml:space="preserve">H. Albohassan, M. Ammen, A. A. Alomran, H. Bu Shehab, H. Al Sakkak, and A. Al Bohassan, “Impact of Hydroxyurea Therapy in Reducing Pain Crises, Hospital Admissions, and Length of Stay Among Sickle Cell Patients in the Eastern Region of Saudi Arabia.,” </w:t>
      </w:r>
      <w:r w:rsidRPr="00765883">
        <w:rPr>
          <w:rFonts w:ascii="Arial" w:hAnsi="Arial" w:cs="Arial"/>
          <w:i/>
          <w:iCs/>
          <w:noProof/>
          <w:sz w:val="24"/>
          <w:szCs w:val="24"/>
        </w:rPr>
        <w:t>Cureus</w:t>
      </w:r>
      <w:r w:rsidRPr="00765883">
        <w:rPr>
          <w:rFonts w:ascii="Arial" w:hAnsi="Arial" w:cs="Arial"/>
          <w:noProof/>
          <w:sz w:val="24"/>
          <w:szCs w:val="24"/>
        </w:rPr>
        <w:t>, vol. 14, no. 11, p. e31527, 2022, doi: 10.7759/cureus.31527.</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[23]</w:t>
      </w:r>
      <w:r w:rsidRPr="00765883">
        <w:rPr>
          <w:rFonts w:ascii="Arial" w:hAnsi="Arial" w:cs="Arial"/>
          <w:noProof/>
          <w:sz w:val="24"/>
          <w:szCs w:val="24"/>
        </w:rPr>
        <w:tab/>
        <w:t xml:space="preserve">B. Mbiya-Mukinayi </w:t>
      </w:r>
      <w:r w:rsidRPr="00765883">
        <w:rPr>
          <w:rFonts w:ascii="Arial" w:hAnsi="Arial" w:cs="Arial"/>
          <w:i/>
          <w:iCs/>
          <w:noProof/>
          <w:sz w:val="24"/>
          <w:szCs w:val="24"/>
        </w:rPr>
        <w:t>et al.</w:t>
      </w:r>
      <w:r w:rsidRPr="00765883">
        <w:rPr>
          <w:rFonts w:ascii="Arial" w:hAnsi="Arial" w:cs="Arial"/>
          <w:noProof/>
          <w:sz w:val="24"/>
          <w:szCs w:val="24"/>
        </w:rPr>
        <w:t xml:space="preserve">, “Assessing the quality of life of adolescents with sickle cell disease and their transition to adult medicine: experience in a remote area of the Democratic Republic of Congo,” </w:t>
      </w:r>
      <w:r w:rsidRPr="00765883">
        <w:rPr>
          <w:rFonts w:ascii="Arial" w:hAnsi="Arial" w:cs="Arial"/>
          <w:i/>
          <w:iCs/>
          <w:noProof/>
          <w:sz w:val="24"/>
          <w:szCs w:val="24"/>
        </w:rPr>
        <w:t>Discov. Soc. Sci. Heal.</w:t>
      </w:r>
      <w:r w:rsidRPr="00765883">
        <w:rPr>
          <w:rFonts w:ascii="Arial" w:hAnsi="Arial" w:cs="Arial"/>
          <w:noProof/>
          <w:sz w:val="24"/>
          <w:szCs w:val="24"/>
        </w:rPr>
        <w:t>, vol. 5, no. 1, 2025, doi: 10.1007/s44155-025-00216-2.</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[24]</w:t>
      </w:r>
      <w:r w:rsidRPr="00765883">
        <w:rPr>
          <w:rFonts w:ascii="Arial" w:hAnsi="Arial" w:cs="Arial"/>
          <w:noProof/>
          <w:sz w:val="24"/>
          <w:szCs w:val="24"/>
        </w:rPr>
        <w:tab/>
        <w:t xml:space="preserve">F. R. Azmet, F. Al-Kasim, W. M. Alashram, and K. Siddique, “The role of hydroxyurea in decreasing the occurrence of </w:t>
      </w:r>
      <w:r w:rsidR="00B7333C">
        <w:rPr>
          <w:rFonts w:ascii="Arial" w:hAnsi="Arial" w:cs="Arial"/>
          <w:noProof/>
          <w:sz w:val="24"/>
          <w:szCs w:val="24"/>
        </w:rPr>
        <w:t>vaso-occlusive</w:t>
      </w:r>
      <w:r w:rsidRPr="00765883">
        <w:rPr>
          <w:rFonts w:ascii="Arial" w:hAnsi="Arial" w:cs="Arial"/>
          <w:noProof/>
          <w:sz w:val="24"/>
          <w:szCs w:val="24"/>
        </w:rPr>
        <w:t xml:space="preserve"> crisis in pediatric </w:t>
      </w:r>
      <w:r w:rsidRPr="00765883">
        <w:rPr>
          <w:rFonts w:ascii="Arial" w:hAnsi="Arial" w:cs="Arial"/>
          <w:noProof/>
          <w:sz w:val="24"/>
          <w:szCs w:val="24"/>
        </w:rPr>
        <w:lastRenderedPageBreak/>
        <w:t xml:space="preserve">patients with sickle cell disease at King Saud Medical City in  Riyadh, Saudi Arabia.,” </w:t>
      </w:r>
      <w:r w:rsidRPr="00765883">
        <w:rPr>
          <w:rFonts w:ascii="Arial" w:hAnsi="Arial" w:cs="Arial"/>
          <w:i/>
          <w:iCs/>
          <w:noProof/>
          <w:sz w:val="24"/>
          <w:szCs w:val="24"/>
        </w:rPr>
        <w:t>Saudi Med. J.</w:t>
      </w:r>
      <w:r w:rsidRPr="00765883">
        <w:rPr>
          <w:rFonts w:ascii="Arial" w:hAnsi="Arial" w:cs="Arial"/>
          <w:noProof/>
          <w:sz w:val="24"/>
          <w:szCs w:val="24"/>
        </w:rPr>
        <w:t>, vol. 41, no. 1, pp. 46–52, 2020, doi: 10.15537/</w:t>
      </w:r>
      <w:r w:rsidR="00B7333C">
        <w:rPr>
          <w:rFonts w:ascii="Arial" w:hAnsi="Arial" w:cs="Arial"/>
          <w:noProof/>
          <w:sz w:val="24"/>
          <w:szCs w:val="24"/>
        </w:rPr>
        <w:t xml:space="preserve">smj . </w:t>
      </w:r>
      <w:r w:rsidRPr="00765883">
        <w:rPr>
          <w:rFonts w:ascii="Arial" w:hAnsi="Arial" w:cs="Arial"/>
          <w:noProof/>
          <w:sz w:val="24"/>
          <w:szCs w:val="24"/>
        </w:rPr>
        <w:t>2020.1.24698.</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[25]</w:t>
      </w:r>
      <w:r w:rsidRPr="00765883">
        <w:rPr>
          <w:rFonts w:ascii="Arial" w:hAnsi="Arial" w:cs="Arial"/>
          <w:noProof/>
          <w:sz w:val="24"/>
          <w:szCs w:val="24"/>
        </w:rPr>
        <w:tab/>
        <w:t xml:space="preserve">U. O. Ogu </w:t>
      </w:r>
      <w:r w:rsidRPr="00765883">
        <w:rPr>
          <w:rFonts w:ascii="Arial" w:hAnsi="Arial" w:cs="Arial"/>
          <w:i/>
          <w:iCs/>
          <w:noProof/>
          <w:sz w:val="24"/>
          <w:szCs w:val="24"/>
        </w:rPr>
        <w:t>et al.</w:t>
      </w:r>
      <w:r w:rsidRPr="00765883">
        <w:rPr>
          <w:rFonts w:ascii="Arial" w:hAnsi="Arial" w:cs="Arial"/>
          <w:noProof/>
          <w:sz w:val="24"/>
          <w:szCs w:val="24"/>
        </w:rPr>
        <w:t xml:space="preserve">, “Hydroxyurea at Escalated Dose versus Fixed Low-Dose Hydroxyurea in Adults with Sickle Cell Disease,” </w:t>
      </w:r>
      <w:r w:rsidRPr="00765883">
        <w:rPr>
          <w:rFonts w:ascii="Arial" w:hAnsi="Arial" w:cs="Arial"/>
          <w:i/>
          <w:iCs/>
          <w:noProof/>
          <w:sz w:val="24"/>
          <w:szCs w:val="24"/>
        </w:rPr>
        <w:t>Eur. J. Haematol.</w:t>
      </w:r>
      <w:r w:rsidRPr="00765883">
        <w:rPr>
          <w:rFonts w:ascii="Arial" w:hAnsi="Arial" w:cs="Arial"/>
          <w:noProof/>
          <w:sz w:val="24"/>
          <w:szCs w:val="24"/>
        </w:rPr>
        <w:t>, vol. 112, no. 3, pp. 466–474, Jul. 2024, doi: 10.1111/ejh.14138.</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[26]</w:t>
      </w:r>
      <w:r w:rsidRPr="00765883">
        <w:rPr>
          <w:rFonts w:ascii="Arial" w:hAnsi="Arial" w:cs="Arial"/>
          <w:noProof/>
          <w:sz w:val="24"/>
          <w:szCs w:val="24"/>
        </w:rPr>
        <w:tab/>
        <w:t xml:space="preserve">F. R. Azmet, F. Al-Kasim, W. M. Alashram, and K. Siddique, “The role of hydroxyurea in decreasing the occurrence of </w:t>
      </w:r>
      <w:r w:rsidR="00B7333C">
        <w:rPr>
          <w:rFonts w:ascii="Arial" w:hAnsi="Arial" w:cs="Arial"/>
          <w:noProof/>
          <w:sz w:val="24"/>
          <w:szCs w:val="24"/>
        </w:rPr>
        <w:t>vaso-occlusive</w:t>
      </w:r>
      <w:r w:rsidRPr="00765883">
        <w:rPr>
          <w:rFonts w:ascii="Arial" w:hAnsi="Arial" w:cs="Arial"/>
          <w:noProof/>
          <w:sz w:val="24"/>
          <w:szCs w:val="24"/>
        </w:rPr>
        <w:t xml:space="preserve"> crisis in pediatric patients with sickle cell disease at King Saud Medical City in Riyadh, Saudi Arabia,” </w:t>
      </w:r>
      <w:r w:rsidRPr="00765883">
        <w:rPr>
          <w:rFonts w:ascii="Arial" w:hAnsi="Arial" w:cs="Arial"/>
          <w:i/>
          <w:iCs/>
          <w:noProof/>
          <w:sz w:val="24"/>
          <w:szCs w:val="24"/>
        </w:rPr>
        <w:t>Saudi Med. J.</w:t>
      </w:r>
      <w:r w:rsidRPr="00765883">
        <w:rPr>
          <w:rFonts w:ascii="Arial" w:hAnsi="Arial" w:cs="Arial"/>
          <w:noProof/>
          <w:sz w:val="24"/>
          <w:szCs w:val="24"/>
        </w:rPr>
        <w:t>, vol. 41, no. 1, pp. 46–52, 2020, doi: 10.15537/</w:t>
      </w:r>
      <w:r w:rsidR="00B7333C">
        <w:rPr>
          <w:rFonts w:ascii="Arial" w:hAnsi="Arial" w:cs="Arial"/>
          <w:noProof/>
          <w:sz w:val="24"/>
          <w:szCs w:val="24"/>
        </w:rPr>
        <w:t xml:space="preserve">smj. </w:t>
      </w:r>
      <w:r w:rsidRPr="00765883">
        <w:rPr>
          <w:rFonts w:ascii="Arial" w:hAnsi="Arial" w:cs="Arial"/>
          <w:noProof/>
          <w:sz w:val="24"/>
          <w:szCs w:val="24"/>
        </w:rPr>
        <w:t>2020.1.24698.</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[27]</w:t>
      </w:r>
      <w:r w:rsidRPr="00765883">
        <w:rPr>
          <w:rFonts w:ascii="Arial" w:hAnsi="Arial" w:cs="Arial"/>
          <w:noProof/>
          <w:sz w:val="24"/>
          <w:szCs w:val="24"/>
        </w:rPr>
        <w:tab/>
        <w:t xml:space="preserve">F. Alzahrani </w:t>
      </w:r>
      <w:r w:rsidRPr="00765883">
        <w:rPr>
          <w:rFonts w:ascii="Arial" w:hAnsi="Arial" w:cs="Arial"/>
          <w:i/>
          <w:iCs/>
          <w:noProof/>
          <w:sz w:val="24"/>
          <w:szCs w:val="24"/>
        </w:rPr>
        <w:t>et al.</w:t>
      </w:r>
      <w:r w:rsidRPr="00765883">
        <w:rPr>
          <w:rFonts w:ascii="Arial" w:hAnsi="Arial" w:cs="Arial"/>
          <w:noProof/>
          <w:sz w:val="24"/>
          <w:szCs w:val="24"/>
        </w:rPr>
        <w:t xml:space="preserve">, “Hydroxyurea Use Among Children With Sickle Cell Disease at King Abdulaziz University Hospital in Jeddah City.,” </w:t>
      </w:r>
      <w:r w:rsidRPr="00765883">
        <w:rPr>
          <w:rFonts w:ascii="Arial" w:hAnsi="Arial" w:cs="Arial"/>
          <w:i/>
          <w:iCs/>
          <w:noProof/>
          <w:sz w:val="24"/>
          <w:szCs w:val="24"/>
        </w:rPr>
        <w:t>Cureus</w:t>
      </w:r>
      <w:r w:rsidRPr="00765883">
        <w:rPr>
          <w:rFonts w:ascii="Arial" w:hAnsi="Arial" w:cs="Arial"/>
          <w:noProof/>
          <w:sz w:val="24"/>
          <w:szCs w:val="24"/>
        </w:rPr>
        <w:t>, vol. 13, no. 2, p. e13453, 2021, doi: 10.7759/cureus.13453.</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[28]</w:t>
      </w:r>
      <w:r w:rsidRPr="00765883">
        <w:rPr>
          <w:rFonts w:ascii="Arial" w:hAnsi="Arial" w:cs="Arial"/>
          <w:noProof/>
          <w:sz w:val="24"/>
          <w:szCs w:val="24"/>
        </w:rPr>
        <w:tab/>
        <w:t xml:space="preserve">M. A. Madkhali </w:t>
      </w:r>
      <w:r w:rsidRPr="00765883">
        <w:rPr>
          <w:rFonts w:ascii="Arial" w:hAnsi="Arial" w:cs="Arial"/>
          <w:i/>
          <w:iCs/>
          <w:noProof/>
          <w:sz w:val="24"/>
          <w:szCs w:val="24"/>
        </w:rPr>
        <w:t>et al.</w:t>
      </w:r>
      <w:r w:rsidRPr="00765883">
        <w:rPr>
          <w:rFonts w:ascii="Arial" w:hAnsi="Arial" w:cs="Arial"/>
          <w:noProof/>
          <w:sz w:val="24"/>
          <w:szCs w:val="24"/>
        </w:rPr>
        <w:t>, “Adherence to Hydroxyurea and Patients’ Perceptions of Sickle Cell Disease and Hydroxyurea: A Cross-Sectional Study</w:t>
      </w:r>
      <w:r w:rsidR="00B7333C">
        <w:rPr>
          <w:rFonts w:ascii="Arial" w:hAnsi="Arial" w:cs="Arial"/>
          <w:noProof/>
          <w:sz w:val="24"/>
          <w:szCs w:val="24"/>
        </w:rPr>
        <w:t>,” Medicina (Kaunas)</w:t>
      </w:r>
      <w:r w:rsidRPr="00765883">
        <w:rPr>
          <w:rFonts w:ascii="Arial" w:hAnsi="Arial" w:cs="Arial"/>
          <w:noProof/>
          <w:sz w:val="24"/>
          <w:szCs w:val="24"/>
        </w:rPr>
        <w:t>, vol. 60, no. 1, 2024, doi: 10.3390/medicina60010124.</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[29]</w:t>
      </w:r>
      <w:r w:rsidRPr="00765883">
        <w:rPr>
          <w:rFonts w:ascii="Arial" w:hAnsi="Arial" w:cs="Arial"/>
          <w:noProof/>
          <w:sz w:val="24"/>
          <w:szCs w:val="24"/>
        </w:rPr>
        <w:tab/>
        <w:t xml:space="preserve">J. Jose, R. A. Elsadek, B. Jimmy, and P. George, “Hydroxyurea: Pattern of Use, Patient Adherence, and Safety Profile in Patients with Sickle Cell Disease in Oman,” </w:t>
      </w:r>
      <w:r w:rsidRPr="00765883">
        <w:rPr>
          <w:rFonts w:ascii="Arial" w:hAnsi="Arial" w:cs="Arial"/>
          <w:i/>
          <w:iCs/>
          <w:noProof/>
          <w:sz w:val="24"/>
          <w:szCs w:val="24"/>
        </w:rPr>
        <w:t>Oman Med. J.</w:t>
      </w:r>
      <w:r w:rsidRPr="00765883">
        <w:rPr>
          <w:rFonts w:ascii="Arial" w:hAnsi="Arial" w:cs="Arial"/>
          <w:noProof/>
          <w:sz w:val="24"/>
          <w:szCs w:val="24"/>
        </w:rPr>
        <w:t>, vol. 34, no. 4, pp. 327–335, Dec. 2019, doi: 10.5001/omj.2019.64.</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[30]</w:t>
      </w:r>
      <w:r w:rsidRPr="00765883">
        <w:rPr>
          <w:rFonts w:ascii="Arial" w:hAnsi="Arial" w:cs="Arial"/>
          <w:noProof/>
          <w:sz w:val="24"/>
          <w:szCs w:val="24"/>
        </w:rPr>
        <w:tab/>
        <w:t xml:space="preserve">M. I. Subira, E. E. Ambrose, and E. Konje, “Adherence to Hydroxyurea Therapy for Pediatric Sickle Cell Anemia in Tanzania: Evidence from Bugando Medical Centre,” </w:t>
      </w:r>
      <w:r w:rsidRPr="00765883">
        <w:rPr>
          <w:rFonts w:ascii="Arial" w:hAnsi="Arial" w:cs="Arial"/>
          <w:i/>
          <w:iCs/>
          <w:noProof/>
          <w:sz w:val="24"/>
          <w:szCs w:val="24"/>
        </w:rPr>
        <w:t>Int. J. Environ. Res. Public Health</w:t>
      </w:r>
      <w:r w:rsidRPr="00765883">
        <w:rPr>
          <w:rFonts w:ascii="Arial" w:hAnsi="Arial" w:cs="Arial"/>
          <w:noProof/>
          <w:sz w:val="24"/>
          <w:szCs w:val="24"/>
        </w:rPr>
        <w:t>, vol. 22, no. 4, pp. 1–11, 2025, doi: 10.3390/ijerph22040616.</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[31]</w:t>
      </w:r>
      <w:r w:rsidRPr="00765883">
        <w:rPr>
          <w:rFonts w:ascii="Arial" w:hAnsi="Arial" w:cs="Arial"/>
          <w:noProof/>
          <w:sz w:val="24"/>
          <w:szCs w:val="24"/>
        </w:rPr>
        <w:tab/>
        <w:t xml:space="preserve">R. I. Chianumba </w:t>
      </w:r>
      <w:r w:rsidRPr="00765883">
        <w:rPr>
          <w:rFonts w:ascii="Arial" w:hAnsi="Arial" w:cs="Arial"/>
          <w:i/>
          <w:iCs/>
          <w:noProof/>
          <w:sz w:val="24"/>
          <w:szCs w:val="24"/>
        </w:rPr>
        <w:t>et al.</w:t>
      </w:r>
      <w:r w:rsidRPr="00765883">
        <w:rPr>
          <w:rFonts w:ascii="Arial" w:hAnsi="Arial" w:cs="Arial"/>
          <w:noProof/>
          <w:sz w:val="24"/>
          <w:szCs w:val="24"/>
        </w:rPr>
        <w:t xml:space="preserve">, “Outcome of Hydroxyurea Use in SCD and Evaluation of Patients’ Perception and Experience in Nigeria.,” </w:t>
      </w:r>
      <w:r w:rsidRPr="00765883">
        <w:rPr>
          <w:rFonts w:ascii="Arial" w:hAnsi="Arial" w:cs="Arial"/>
          <w:i/>
          <w:iCs/>
          <w:noProof/>
          <w:sz w:val="24"/>
          <w:szCs w:val="24"/>
        </w:rPr>
        <w:t>Front. Genet.</w:t>
      </w:r>
      <w:r w:rsidRPr="00765883">
        <w:rPr>
          <w:rFonts w:ascii="Arial" w:hAnsi="Arial" w:cs="Arial"/>
          <w:noProof/>
          <w:sz w:val="24"/>
          <w:szCs w:val="24"/>
        </w:rPr>
        <w:t>, vol. 13, p. 826132, 2022, doi: 10.3389/</w:t>
      </w:r>
      <w:r w:rsidR="00B7333C">
        <w:rPr>
          <w:rFonts w:ascii="Arial" w:hAnsi="Arial" w:cs="Arial"/>
          <w:noProof/>
          <w:sz w:val="24"/>
          <w:szCs w:val="24"/>
        </w:rPr>
        <w:t xml:space="preserve">fgene. </w:t>
      </w:r>
      <w:r w:rsidRPr="00765883">
        <w:rPr>
          <w:rFonts w:ascii="Arial" w:hAnsi="Arial" w:cs="Arial"/>
          <w:noProof/>
          <w:sz w:val="24"/>
          <w:szCs w:val="24"/>
        </w:rPr>
        <w:t>2022.826132.</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rPr>
      </w:pPr>
      <w:r w:rsidRPr="00765883">
        <w:rPr>
          <w:rFonts w:ascii="Arial" w:hAnsi="Arial" w:cs="Arial"/>
          <w:noProof/>
          <w:sz w:val="24"/>
          <w:szCs w:val="24"/>
        </w:rPr>
        <w:lastRenderedPageBreak/>
        <w:t>[32]</w:t>
      </w:r>
      <w:r w:rsidRPr="00765883">
        <w:rPr>
          <w:rFonts w:ascii="Arial" w:hAnsi="Arial" w:cs="Arial"/>
          <w:noProof/>
          <w:sz w:val="24"/>
          <w:szCs w:val="24"/>
        </w:rPr>
        <w:tab/>
        <w:t>R. Ae and N. Sj, “Hydroxyurea (hydroxycarbamide) for sickle cell disease (Review),” 2022, doi: 10.1002/14651858.CD002202.pub3.www.cochranelibrary.com.</w:t>
      </w:r>
    </w:p>
    <w:p w:rsidR="00765883" w:rsidRPr="005F5B23" w:rsidRDefault="00765883" w:rsidP="00765883">
      <w:pPr>
        <w:spacing w:line="360" w:lineRule="auto"/>
        <w:jc w:val="both"/>
        <w:rPr>
          <w:rFonts w:ascii="Arial" w:hAnsi="Arial" w:cs="Arial"/>
          <w:sz w:val="24"/>
          <w:szCs w:val="24"/>
        </w:rPr>
      </w:pPr>
      <w:r>
        <w:rPr>
          <w:rFonts w:ascii="Arial" w:hAnsi="Arial" w:cs="Arial"/>
          <w:sz w:val="24"/>
          <w:szCs w:val="24"/>
        </w:rPr>
        <w:fldChar w:fldCharType="end"/>
      </w:r>
    </w:p>
    <w:p w:rsidR="00765883" w:rsidRDefault="00765883" w:rsidP="00765883">
      <w:pPr>
        <w:spacing w:line="360" w:lineRule="auto"/>
        <w:jc w:val="both"/>
        <w:rPr>
          <w:rFonts w:ascii="Arial" w:hAnsi="Arial" w:cs="Arial"/>
          <w:sz w:val="24"/>
          <w:szCs w:val="24"/>
        </w:rPr>
      </w:pPr>
    </w:p>
    <w:p w:rsidR="00765883" w:rsidRDefault="00765883" w:rsidP="00765883">
      <w:pPr>
        <w:spacing w:line="360" w:lineRule="auto"/>
        <w:jc w:val="both"/>
        <w:rPr>
          <w:rFonts w:ascii="Arial" w:hAnsi="Arial" w:cs="Arial"/>
          <w:sz w:val="24"/>
          <w:szCs w:val="24"/>
        </w:rPr>
      </w:pPr>
    </w:p>
    <w:p w:rsidR="00765883" w:rsidRDefault="00765883" w:rsidP="00765883">
      <w:pPr>
        <w:spacing w:line="360" w:lineRule="auto"/>
        <w:jc w:val="both"/>
        <w:rPr>
          <w:rFonts w:ascii="Arial" w:hAnsi="Arial" w:cs="Arial"/>
          <w:sz w:val="24"/>
          <w:szCs w:val="24"/>
        </w:rPr>
      </w:pPr>
    </w:p>
    <w:p w:rsidR="0076588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Default="00765883" w:rsidP="00765883"/>
    <w:p w:rsidR="002E009E" w:rsidRDefault="002E009E"/>
    <w:sectPr w:rsidR="002E009E">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33C" w:rsidRDefault="00B733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75797" o:spid="_x0000_s2050"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33C" w:rsidRDefault="00B733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75798" o:spid="_x0000_s2051"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33C" w:rsidRDefault="00B733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75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83"/>
    <w:rsid w:val="002E009E"/>
    <w:rsid w:val="003D3CC4"/>
    <w:rsid w:val="00436EF3"/>
    <w:rsid w:val="00765883"/>
    <w:rsid w:val="00B0158B"/>
    <w:rsid w:val="00B7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92B1B7"/>
  <w15:chartTrackingRefBased/>
  <w15:docId w15:val="{C3B473B6-4B05-4971-9A91-496D9CBA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883"/>
  </w:style>
  <w:style w:type="paragraph" w:styleId="Heading1">
    <w:name w:val="heading 1"/>
    <w:basedOn w:val="Normal"/>
    <w:next w:val="Normal"/>
    <w:link w:val="Heading1Char"/>
    <w:uiPriority w:val="9"/>
    <w:qFormat/>
    <w:rsid w:val="00765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5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658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8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58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65883"/>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unhideWhenUsed/>
    <w:rsid w:val="00765883"/>
    <w:pPr>
      <w:spacing w:line="240" w:lineRule="auto"/>
    </w:pPr>
    <w:rPr>
      <w:sz w:val="20"/>
      <w:szCs w:val="20"/>
    </w:rPr>
  </w:style>
  <w:style w:type="character" w:customStyle="1" w:styleId="CommentTextChar">
    <w:name w:val="Comment Text Char"/>
    <w:basedOn w:val="DefaultParagraphFont"/>
    <w:link w:val="CommentText"/>
    <w:uiPriority w:val="99"/>
    <w:rsid w:val="00765883"/>
    <w:rPr>
      <w:sz w:val="20"/>
      <w:szCs w:val="20"/>
    </w:rPr>
  </w:style>
  <w:style w:type="paragraph" w:styleId="BodyText">
    <w:name w:val="Body Text"/>
    <w:basedOn w:val="Normal"/>
    <w:link w:val="BodyTextChar"/>
    <w:uiPriority w:val="1"/>
    <w:qFormat/>
    <w:rsid w:val="0076588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65883"/>
    <w:rPr>
      <w:rFonts w:ascii="Times New Roman" w:eastAsia="Times New Roman" w:hAnsi="Times New Roman" w:cs="Times New Roman"/>
      <w:sz w:val="24"/>
      <w:szCs w:val="24"/>
    </w:rPr>
  </w:style>
  <w:style w:type="paragraph" w:styleId="NormalWeb">
    <w:name w:val="Normal (Web)"/>
    <w:basedOn w:val="Normal"/>
    <w:uiPriority w:val="99"/>
    <w:unhideWhenUsed/>
    <w:rsid w:val="007658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Light1">
    <w:name w:val="Table Grid Light1"/>
    <w:basedOn w:val="TableNormal"/>
    <w:next w:val="TableGridLight"/>
    <w:uiPriority w:val="40"/>
    <w:rsid w:val="0076588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765883"/>
    <w:rPr>
      <w:b/>
      <w:bCs/>
    </w:rPr>
  </w:style>
  <w:style w:type="character" w:customStyle="1" w:styleId="name">
    <w:name w:val="name"/>
    <w:basedOn w:val="DefaultParagraphFont"/>
    <w:rsid w:val="00765883"/>
  </w:style>
  <w:style w:type="paragraph" w:styleId="Header">
    <w:name w:val="header"/>
    <w:basedOn w:val="Normal"/>
    <w:link w:val="HeaderChar"/>
    <w:uiPriority w:val="99"/>
    <w:unhideWhenUsed/>
    <w:rsid w:val="00765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883"/>
  </w:style>
  <w:style w:type="table" w:styleId="TableGridLight">
    <w:name w:val="Grid Table Light"/>
    <w:basedOn w:val="TableNormal"/>
    <w:uiPriority w:val="40"/>
    <w:rsid w:val="007658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Adherence to hydroxyurea treatment in patients with sicklecell disease at Hematology clinic at Jitimai Hospital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Sheet1!$C$7</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D94-42DD-8431-E3FAC3EE6E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D94-42DD-8431-E3FAC3EE6EA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Sheet1!$B$8:$B$9</c:f>
              <c:strCache>
                <c:ptCount val="2"/>
                <c:pt idx="0">
                  <c:v>GOOD</c:v>
                </c:pt>
                <c:pt idx="1">
                  <c:v>MODERATE TO POOR</c:v>
                </c:pt>
              </c:strCache>
            </c:strRef>
          </c:cat>
          <c:val>
            <c:numRef>
              <c:f>Sheet1!$C$8:$C$9</c:f>
              <c:numCache>
                <c:formatCode>0.00%</c:formatCode>
                <c:ptCount val="2"/>
                <c:pt idx="0">
                  <c:v>0.91100000000000003</c:v>
                </c:pt>
                <c:pt idx="1">
                  <c:v>8.8999999999999996E-2</c:v>
                </c:pt>
              </c:numCache>
            </c:numRef>
          </c:val>
          <c:extLst>
            <c:ext xmlns:c16="http://schemas.microsoft.com/office/drawing/2014/chart" uri="{C3380CC4-5D6E-409C-BE32-E72D297353CC}">
              <c16:uniqueId val="{00000004-DD94-42DD-8431-E3FAC3EE6EA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Side effect of Hydroxyurea treatment to the SCD patient attending Hematology clinic at Jitimai District Hospital</a:t>
            </a:r>
            <a:endParaRPr lang="en-US"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Sheet2!$C$7</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Sheet2!$B$8:$B$12</c:f>
              <c:strCache>
                <c:ptCount val="5"/>
                <c:pt idx="0">
                  <c:v>No side effect</c:v>
                </c:pt>
                <c:pt idx="1">
                  <c:v>Nausea and vomiting </c:v>
                </c:pt>
                <c:pt idx="2">
                  <c:v>Fatigue</c:v>
                </c:pt>
                <c:pt idx="3">
                  <c:v>Hair loss</c:v>
                </c:pt>
                <c:pt idx="4">
                  <c:v> Mouth ulcers </c:v>
                </c:pt>
              </c:strCache>
            </c:strRef>
          </c:cat>
          <c:val>
            <c:numRef>
              <c:f>Sheet2!$C$8:$C$12</c:f>
              <c:numCache>
                <c:formatCode>0.00%</c:formatCode>
                <c:ptCount val="5"/>
                <c:pt idx="0">
                  <c:v>0.878</c:v>
                </c:pt>
                <c:pt idx="1">
                  <c:v>6.7000000000000004E-2</c:v>
                </c:pt>
                <c:pt idx="2">
                  <c:v>3.3000000000000002E-2</c:v>
                </c:pt>
                <c:pt idx="3">
                  <c:v>1.0999999999999999E-2</c:v>
                </c:pt>
                <c:pt idx="4">
                  <c:v>1.0999999999999999E-2</c:v>
                </c:pt>
              </c:numCache>
            </c:numRef>
          </c:val>
          <c:extLst>
            <c:ext xmlns:c16="http://schemas.microsoft.com/office/drawing/2014/chart" uri="{C3380CC4-5D6E-409C-BE32-E72D297353CC}">
              <c16:uniqueId val="{00000000-0500-4163-AB7C-34C730B97A21}"/>
            </c:ext>
          </c:extLst>
        </c:ser>
        <c:dLbls>
          <c:showLegendKey val="0"/>
          <c:showVal val="0"/>
          <c:showCatName val="0"/>
          <c:showSerName val="0"/>
          <c:showPercent val="0"/>
          <c:showBubbleSize val="0"/>
        </c:dLbls>
        <c:gapWidth val="182"/>
        <c:axId val="1220932208"/>
        <c:axId val="1220922960"/>
      </c:barChart>
      <c:catAx>
        <c:axId val="1220932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0922960"/>
        <c:crosses val="autoZero"/>
        <c:auto val="1"/>
        <c:lblAlgn val="ctr"/>
        <c:lblOffset val="100"/>
        <c:noMultiLvlLbl val="0"/>
      </c:catAx>
      <c:valAx>
        <c:axId val="122092296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0932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06527-19B8-40D2-9F9F-F6504EA9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5272</Words>
  <Characters>30796</Characters>
  <Application>Microsoft Office Word</Application>
  <DocSecurity>0</DocSecurity>
  <Lines>744</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CHUKWUMA OKAFOR</dc:creator>
  <cp:keywords/>
  <dc:description/>
  <cp:lastModifiedBy>DR CHUKWUMA OKAFOR</cp:lastModifiedBy>
  <cp:revision>2</cp:revision>
  <dcterms:created xsi:type="dcterms:W3CDTF">2025-08-17T17:00:00Z</dcterms:created>
  <dcterms:modified xsi:type="dcterms:W3CDTF">2025-08-17T18:23:00Z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c0a9d296-6c9f-4d7f-8be3-8ed8bd52f12b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cccce271-7dd1-3059-84fe-b8fbeaa9ff09</vt:lpwstr>
  </property>
</Properties>
</file>