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ACB79" w14:textId="571205A6" w:rsidR="00581A0A" w:rsidRPr="002F48F9" w:rsidRDefault="00DC564E" w:rsidP="00A76A2E">
      <w:pPr>
        <w:spacing w:line="360" w:lineRule="auto"/>
        <w:rPr>
          <w:rFonts w:ascii="Times New Roman" w:hAnsi="Times New Roman" w:cs="Times New Roman"/>
          <w:sz w:val="24"/>
          <w:szCs w:val="24"/>
        </w:rPr>
      </w:pPr>
      <w:r w:rsidRPr="00DC564E">
        <w:rPr>
          <w:rFonts w:ascii="Times New Roman" w:hAnsi="Times New Roman" w:cs="Times New Roman"/>
          <w:b/>
          <w:sz w:val="24"/>
          <w:szCs w:val="36"/>
          <w:lang w:val="en-GB"/>
        </w:rPr>
        <w:t>SOCIO-CULTURAL DETERMINANTS OF ANAEMIA IN PREGNANCY AMONGST ANTE-NATAL CLINIC WOMEN AT TAMALE TECHNICAL UNIVERSITY HOSPITAL, GHANA</w:t>
      </w:r>
    </w:p>
    <w:p w14:paraId="019548A1" w14:textId="77777777" w:rsidR="00576A80" w:rsidRPr="002F48F9" w:rsidRDefault="00576A80" w:rsidP="00D86685">
      <w:pPr>
        <w:spacing w:line="360" w:lineRule="auto"/>
        <w:jc w:val="both"/>
        <w:rPr>
          <w:rFonts w:ascii="Times New Roman" w:hAnsi="Times New Roman" w:cs="Times New Roman"/>
          <w:sz w:val="24"/>
          <w:szCs w:val="24"/>
        </w:rPr>
      </w:pPr>
    </w:p>
    <w:p w14:paraId="3E8461FF" w14:textId="77777777" w:rsidR="009F1A57" w:rsidRPr="002F48F9" w:rsidRDefault="009F1A57" w:rsidP="00D86685">
      <w:pPr>
        <w:spacing w:line="360" w:lineRule="auto"/>
        <w:jc w:val="both"/>
        <w:rPr>
          <w:rFonts w:ascii="Times New Roman" w:hAnsi="Times New Roman" w:cs="Times New Roman"/>
          <w:b/>
          <w:bCs/>
          <w:sz w:val="24"/>
          <w:szCs w:val="24"/>
        </w:rPr>
      </w:pPr>
      <w:r w:rsidRPr="002F48F9">
        <w:rPr>
          <w:rFonts w:ascii="Times New Roman" w:hAnsi="Times New Roman" w:cs="Times New Roman"/>
          <w:b/>
          <w:bCs/>
          <w:sz w:val="24"/>
          <w:szCs w:val="24"/>
        </w:rPr>
        <w:t>ABSTRACT</w:t>
      </w:r>
    </w:p>
    <w:p w14:paraId="597C16B1" w14:textId="111DA08D"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Background:</w:t>
      </w:r>
      <w:r w:rsidRPr="002F48F9">
        <w:rPr>
          <w:rFonts w:ascii="Times New Roman" w:hAnsi="Times New Roman" w:cs="Times New Roman"/>
          <w:sz w:val="24"/>
          <w:szCs w:val="24"/>
        </w:rPr>
        <w:t xml:space="preserve"> </w:t>
      </w:r>
      <w:r w:rsidR="00233507" w:rsidRPr="002F48F9">
        <w:rPr>
          <w:rFonts w:ascii="Times New Roman" w:hAnsi="Times New Roman" w:cs="Times New Roman"/>
          <w:sz w:val="24"/>
          <w:szCs w:val="24"/>
        </w:rPr>
        <w:t xml:space="preserve">Anaemia during pregnancy continues to be a notable global public health issue, especially in underdeveloped areas. Anaemia is frequently linked to negative consequences for both pregnant mothers and their babies, such as higher chances of giving birth prematurely, having low birth weight, and maternal </w:t>
      </w:r>
      <w:r w:rsidR="00CB72FC">
        <w:rPr>
          <w:rFonts w:ascii="Times New Roman" w:hAnsi="Times New Roman" w:cs="Times New Roman"/>
          <w:sz w:val="24"/>
          <w:szCs w:val="24"/>
        </w:rPr>
        <w:t xml:space="preserve">and fetal </w:t>
      </w:r>
      <w:r w:rsidR="00233507" w:rsidRPr="002F48F9">
        <w:rPr>
          <w:rFonts w:ascii="Times New Roman" w:hAnsi="Times New Roman" w:cs="Times New Roman"/>
          <w:sz w:val="24"/>
          <w:szCs w:val="24"/>
        </w:rPr>
        <w:t xml:space="preserve">death. </w:t>
      </w:r>
      <w:r w:rsidR="00124BD3">
        <w:rPr>
          <w:rFonts w:ascii="Times New Roman" w:hAnsi="Times New Roman" w:cs="Times New Roman"/>
          <w:sz w:val="24"/>
          <w:szCs w:val="24"/>
        </w:rPr>
        <w:t>Despite the</w:t>
      </w:r>
      <w:r w:rsidR="00233507" w:rsidRPr="002F48F9">
        <w:rPr>
          <w:rFonts w:ascii="Times New Roman" w:hAnsi="Times New Roman" w:cs="Times New Roman"/>
          <w:sz w:val="24"/>
          <w:szCs w:val="24"/>
        </w:rPr>
        <w:t xml:space="preserve"> continuous </w:t>
      </w:r>
      <w:r w:rsidR="00442EC6">
        <w:rPr>
          <w:rFonts w:ascii="Times New Roman" w:hAnsi="Times New Roman" w:cs="Times New Roman"/>
          <w:sz w:val="24"/>
          <w:szCs w:val="24"/>
        </w:rPr>
        <w:t>effort</w:t>
      </w:r>
      <w:r w:rsidR="00233507" w:rsidRPr="002F48F9">
        <w:rPr>
          <w:rFonts w:ascii="Times New Roman" w:hAnsi="Times New Roman" w:cs="Times New Roman"/>
          <w:sz w:val="24"/>
          <w:szCs w:val="24"/>
        </w:rPr>
        <w:t xml:space="preserve"> to tackle this problem by enhancing healthcare facilities and implementing nutritional programmes, the incidence of anaemia during pregnancy persists at a concerning level in numerous regions. </w:t>
      </w:r>
    </w:p>
    <w:p w14:paraId="3DED4421" w14:textId="70A57D32"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Methods:</w:t>
      </w:r>
      <w:r w:rsidRPr="002F48F9">
        <w:rPr>
          <w:rFonts w:ascii="Times New Roman" w:hAnsi="Times New Roman" w:cs="Times New Roman"/>
          <w:sz w:val="24"/>
          <w:szCs w:val="24"/>
        </w:rPr>
        <w:t xml:space="preserve"> </w:t>
      </w:r>
      <w:r w:rsidR="005775EE" w:rsidRPr="002F48F9">
        <w:rPr>
          <w:rFonts w:ascii="Times New Roman" w:hAnsi="Times New Roman" w:cs="Times New Roman"/>
          <w:sz w:val="24"/>
          <w:szCs w:val="24"/>
        </w:rPr>
        <w:t>The study design used in this research was a quantitative cross-sectional study among pregnant women who attended antenatal care at Tamale Technical University Hospital</w:t>
      </w:r>
      <w:r w:rsidR="00EF4ACB">
        <w:rPr>
          <w:rFonts w:ascii="Times New Roman" w:hAnsi="Times New Roman" w:cs="Times New Roman"/>
          <w:sz w:val="24"/>
          <w:szCs w:val="24"/>
        </w:rPr>
        <w:t xml:space="preserve"> from </w:t>
      </w:r>
      <w:r w:rsidR="00104E27">
        <w:rPr>
          <w:rFonts w:ascii="Times New Roman" w:hAnsi="Times New Roman" w:cs="Times New Roman"/>
          <w:sz w:val="24"/>
          <w:szCs w:val="24"/>
        </w:rPr>
        <w:t>December 2023 to March 2024</w:t>
      </w:r>
      <w:r w:rsidR="005775EE" w:rsidRPr="002F48F9">
        <w:rPr>
          <w:rFonts w:ascii="Times New Roman" w:hAnsi="Times New Roman" w:cs="Times New Roman"/>
          <w:sz w:val="24"/>
          <w:szCs w:val="24"/>
        </w:rPr>
        <w:t xml:space="preserve">. A total of 183 consenting participants were sampled, with questionnaires and antenatal records books used as major instruments for data collection. </w:t>
      </w:r>
    </w:p>
    <w:p w14:paraId="4C19CC24" w14:textId="36E9445C"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Results:</w:t>
      </w:r>
      <w:r w:rsidRPr="002F48F9">
        <w:rPr>
          <w:rFonts w:ascii="Times New Roman" w:hAnsi="Times New Roman" w:cs="Times New Roman"/>
          <w:sz w:val="24"/>
          <w:szCs w:val="24"/>
        </w:rPr>
        <w:t xml:space="preserve"> </w:t>
      </w:r>
      <w:r w:rsidR="00636CC2" w:rsidRPr="002F48F9">
        <w:rPr>
          <w:rFonts w:ascii="Times New Roman" w:hAnsi="Times New Roman" w:cs="Times New Roman"/>
          <w:sz w:val="24"/>
          <w:szCs w:val="24"/>
        </w:rPr>
        <w:t>T</w:t>
      </w:r>
      <w:r w:rsidR="007F2FC4" w:rsidRPr="002F48F9">
        <w:rPr>
          <w:rFonts w:ascii="Times New Roman" w:hAnsi="Times New Roman" w:cs="Times New Roman"/>
          <w:sz w:val="24"/>
          <w:szCs w:val="24"/>
        </w:rPr>
        <w:t xml:space="preserve">he prevalence of anemia among </w:t>
      </w:r>
      <w:r w:rsidR="005F70EF">
        <w:rPr>
          <w:rFonts w:ascii="Times New Roman" w:hAnsi="Times New Roman" w:cs="Times New Roman"/>
          <w:sz w:val="24"/>
          <w:szCs w:val="24"/>
        </w:rPr>
        <w:t>study participants</w:t>
      </w:r>
      <w:r w:rsidR="007F2FC4" w:rsidRPr="002F48F9">
        <w:rPr>
          <w:rFonts w:ascii="Times New Roman" w:hAnsi="Times New Roman" w:cs="Times New Roman"/>
          <w:sz w:val="24"/>
          <w:szCs w:val="24"/>
        </w:rPr>
        <w:t xml:space="preserve"> was 59%.</w:t>
      </w:r>
      <w:r w:rsidR="00BC1626" w:rsidRPr="002F48F9">
        <w:rPr>
          <w:rFonts w:ascii="Times New Roman" w:hAnsi="Times New Roman" w:cs="Times New Roman"/>
          <w:sz w:val="24"/>
          <w:szCs w:val="24"/>
        </w:rPr>
        <w:t xml:space="preserve"> </w:t>
      </w:r>
      <w:r w:rsidR="007F2FC4" w:rsidRPr="002F48F9">
        <w:rPr>
          <w:rFonts w:ascii="Times New Roman" w:hAnsi="Times New Roman" w:cs="Times New Roman"/>
          <w:sz w:val="24"/>
          <w:szCs w:val="24"/>
        </w:rPr>
        <w:t xml:space="preserve">A Chi-square analysis revealed a strong correlation of clinical significance between the current hemoglobin level and the educational level (P = 0.029), parity (P = 0.032), gestational age (P = 0.029), number of meals eaten per day (P = 0.013), and sleeping under a long-lasting insecticide net (P = 0.041). </w:t>
      </w:r>
    </w:p>
    <w:p w14:paraId="0C8B9970" w14:textId="3878165C" w:rsidR="00C906BF"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Conclusion:</w:t>
      </w:r>
      <w:r w:rsidRPr="002F48F9">
        <w:rPr>
          <w:rFonts w:ascii="Times New Roman" w:hAnsi="Times New Roman" w:cs="Times New Roman"/>
          <w:sz w:val="24"/>
          <w:szCs w:val="24"/>
        </w:rPr>
        <w:t xml:space="preserve"> </w:t>
      </w:r>
      <w:r w:rsidR="00C906BF" w:rsidRPr="002F48F9">
        <w:rPr>
          <w:rFonts w:ascii="Times New Roman" w:hAnsi="Times New Roman" w:cs="Times New Roman"/>
          <w:sz w:val="24"/>
          <w:szCs w:val="24"/>
        </w:rPr>
        <w:t xml:space="preserve">Anaemia prevalence </w:t>
      </w:r>
      <w:r w:rsidR="00FD6D3E">
        <w:rPr>
          <w:rFonts w:ascii="Times New Roman" w:hAnsi="Times New Roman" w:cs="Times New Roman"/>
          <w:sz w:val="24"/>
          <w:szCs w:val="24"/>
        </w:rPr>
        <w:t>in</w:t>
      </w:r>
      <w:r w:rsidR="00C906BF" w:rsidRPr="002F48F9">
        <w:rPr>
          <w:rFonts w:ascii="Times New Roman" w:hAnsi="Times New Roman" w:cs="Times New Roman"/>
          <w:sz w:val="24"/>
          <w:szCs w:val="24"/>
        </w:rPr>
        <w:t xml:space="preserve"> pregnancy </w:t>
      </w:r>
      <w:r w:rsidR="006662FE">
        <w:rPr>
          <w:rFonts w:ascii="Times New Roman" w:hAnsi="Times New Roman" w:cs="Times New Roman"/>
          <w:sz w:val="24"/>
          <w:szCs w:val="24"/>
        </w:rPr>
        <w:t>was</w:t>
      </w:r>
      <w:r w:rsidR="00C906BF" w:rsidRPr="002F48F9">
        <w:rPr>
          <w:rFonts w:ascii="Times New Roman" w:hAnsi="Times New Roman" w:cs="Times New Roman"/>
          <w:sz w:val="24"/>
          <w:szCs w:val="24"/>
        </w:rPr>
        <w:t xml:space="preserve"> affected by socio-cultural factors that determine women's health-seeking behaviours, dietary habits, and access to healthcare resources. Critical socio-cultural factors, including educational attainment, social status, traditional beliefs, and familial structure, significantly influence women's susceptibility to anaemia during pregnancy.</w:t>
      </w:r>
      <w:r w:rsidR="00576A80" w:rsidRPr="002F48F9">
        <w:rPr>
          <w:rFonts w:ascii="Times New Roman" w:hAnsi="Times New Roman" w:cs="Times New Roman"/>
          <w:sz w:val="24"/>
          <w:szCs w:val="24"/>
        </w:rPr>
        <w:t xml:space="preserve"> </w:t>
      </w:r>
      <w:r w:rsidR="00C906BF" w:rsidRPr="002F48F9">
        <w:rPr>
          <w:rFonts w:ascii="Times New Roman" w:hAnsi="Times New Roman" w:cs="Times New Roman"/>
          <w:sz w:val="24"/>
          <w:szCs w:val="24"/>
        </w:rPr>
        <w:t xml:space="preserve">Moreover, socio-economic obstacles, such as poverty, can restrict access to adequate nutrition and healthcare measures, hence intensifying the incidence of anaemia. Conventional behaviours, such as a </w:t>
      </w:r>
      <w:r w:rsidR="00EF5AFB" w:rsidRPr="002F48F9">
        <w:rPr>
          <w:rFonts w:ascii="Times New Roman" w:hAnsi="Times New Roman" w:cs="Times New Roman"/>
          <w:sz w:val="24"/>
          <w:szCs w:val="24"/>
        </w:rPr>
        <w:t>pre</w:t>
      </w:r>
      <w:r w:rsidR="00EF5AFB">
        <w:rPr>
          <w:rFonts w:ascii="Times New Roman" w:hAnsi="Times New Roman" w:cs="Times New Roman"/>
          <w:sz w:val="24"/>
          <w:szCs w:val="24"/>
        </w:rPr>
        <w:t>ference</w:t>
      </w:r>
      <w:r w:rsidR="00C906BF" w:rsidRPr="002F48F9">
        <w:rPr>
          <w:rFonts w:ascii="Times New Roman" w:hAnsi="Times New Roman" w:cs="Times New Roman"/>
          <w:sz w:val="24"/>
          <w:szCs w:val="24"/>
        </w:rPr>
        <w:t xml:space="preserve"> for herbal </w:t>
      </w:r>
      <w:r w:rsidR="008F7AB4">
        <w:rPr>
          <w:rFonts w:ascii="Times New Roman" w:hAnsi="Times New Roman" w:cs="Times New Roman"/>
          <w:sz w:val="24"/>
          <w:szCs w:val="24"/>
        </w:rPr>
        <w:t>medications</w:t>
      </w:r>
      <w:r w:rsidR="00C906BF" w:rsidRPr="002F48F9">
        <w:rPr>
          <w:rFonts w:ascii="Times New Roman" w:hAnsi="Times New Roman" w:cs="Times New Roman"/>
          <w:sz w:val="24"/>
          <w:szCs w:val="24"/>
        </w:rPr>
        <w:t xml:space="preserve"> </w:t>
      </w:r>
      <w:r w:rsidR="00CD3E71">
        <w:rPr>
          <w:rFonts w:ascii="Times New Roman" w:hAnsi="Times New Roman" w:cs="Times New Roman"/>
          <w:sz w:val="24"/>
          <w:szCs w:val="24"/>
        </w:rPr>
        <w:t xml:space="preserve">thus </w:t>
      </w:r>
      <w:r w:rsidR="00514B63">
        <w:rPr>
          <w:rFonts w:ascii="Times New Roman" w:hAnsi="Times New Roman" w:cs="Times New Roman"/>
          <w:sz w:val="24"/>
          <w:szCs w:val="24"/>
        </w:rPr>
        <w:t>exercebate</w:t>
      </w:r>
      <w:r w:rsidR="00C906BF" w:rsidRPr="002F48F9">
        <w:rPr>
          <w:rFonts w:ascii="Times New Roman" w:hAnsi="Times New Roman" w:cs="Times New Roman"/>
          <w:sz w:val="24"/>
          <w:szCs w:val="24"/>
        </w:rPr>
        <w:t xml:space="preserve"> anaemia prevalence.</w:t>
      </w:r>
      <w:r w:rsidR="00EF4ACB">
        <w:rPr>
          <w:rFonts w:ascii="Times New Roman" w:hAnsi="Times New Roman" w:cs="Times New Roman"/>
          <w:sz w:val="24"/>
          <w:szCs w:val="24"/>
        </w:rPr>
        <w:t xml:space="preserve"> </w:t>
      </w:r>
    </w:p>
    <w:p w14:paraId="14B96436" w14:textId="628A1BCD" w:rsidR="009F1A57" w:rsidRPr="002F48F9" w:rsidRDefault="009F1A57" w:rsidP="00691D73">
      <w:pPr>
        <w:spacing w:line="240" w:lineRule="auto"/>
        <w:jc w:val="both"/>
        <w:rPr>
          <w:rFonts w:ascii="Times New Roman" w:hAnsi="Times New Roman" w:cs="Times New Roman"/>
          <w:sz w:val="24"/>
          <w:szCs w:val="24"/>
        </w:rPr>
      </w:pPr>
    </w:p>
    <w:p w14:paraId="49ECB8D4" w14:textId="77777777" w:rsidR="009F1A57" w:rsidRPr="002F48F9" w:rsidRDefault="009F1A57" w:rsidP="00691D73">
      <w:pPr>
        <w:spacing w:line="240" w:lineRule="auto"/>
        <w:jc w:val="both"/>
        <w:rPr>
          <w:rFonts w:ascii="Times New Roman" w:hAnsi="Times New Roman" w:cs="Times New Roman"/>
          <w:sz w:val="24"/>
          <w:szCs w:val="24"/>
        </w:rPr>
      </w:pPr>
    </w:p>
    <w:p w14:paraId="197B7356" w14:textId="6EE6FFA5" w:rsidR="009F1A57" w:rsidRPr="002F48F9" w:rsidRDefault="009F1A57" w:rsidP="00D86685">
      <w:pPr>
        <w:spacing w:after="0" w:line="360" w:lineRule="auto"/>
        <w:jc w:val="both"/>
        <w:rPr>
          <w:rFonts w:ascii="Times New Roman" w:hAnsi="Times New Roman" w:cs="Times New Roman"/>
          <w:b/>
          <w:bCs/>
          <w:sz w:val="24"/>
          <w:szCs w:val="24"/>
        </w:rPr>
      </w:pPr>
      <w:r w:rsidRPr="002F48F9">
        <w:rPr>
          <w:rFonts w:ascii="Times New Roman" w:hAnsi="Times New Roman" w:cs="Times New Roman"/>
          <w:b/>
          <w:bCs/>
          <w:sz w:val="24"/>
          <w:szCs w:val="24"/>
        </w:rPr>
        <w:t>Key Words:</w:t>
      </w:r>
      <w:r w:rsidRPr="002F48F9">
        <w:rPr>
          <w:rFonts w:ascii="Times New Roman" w:hAnsi="Times New Roman" w:cs="Times New Roman"/>
          <w:i/>
          <w:iCs/>
          <w:sz w:val="24"/>
          <w:szCs w:val="24"/>
        </w:rPr>
        <w:t xml:space="preserve"> </w:t>
      </w:r>
      <w:r w:rsidR="00EB1C87" w:rsidRPr="002F48F9">
        <w:rPr>
          <w:rFonts w:ascii="Times New Roman" w:hAnsi="Times New Roman" w:cs="Times New Roman"/>
          <w:b/>
          <w:bCs/>
          <w:i/>
          <w:iCs/>
          <w:sz w:val="24"/>
          <w:szCs w:val="24"/>
        </w:rPr>
        <w:t xml:space="preserve">Anaemia, Socio-cultural factors, Pregnancy, </w:t>
      </w:r>
      <w:r w:rsidR="004A2207" w:rsidRPr="002F48F9">
        <w:rPr>
          <w:rFonts w:ascii="Times New Roman" w:hAnsi="Times New Roman" w:cs="Times New Roman"/>
          <w:b/>
          <w:bCs/>
          <w:i/>
          <w:iCs/>
          <w:sz w:val="24"/>
          <w:szCs w:val="24"/>
        </w:rPr>
        <w:t>Antenatal</w:t>
      </w:r>
      <w:r w:rsidR="0089603A" w:rsidRPr="002F48F9">
        <w:rPr>
          <w:rFonts w:ascii="Times New Roman" w:hAnsi="Times New Roman" w:cs="Times New Roman"/>
          <w:b/>
          <w:bCs/>
          <w:i/>
          <w:iCs/>
          <w:sz w:val="24"/>
          <w:szCs w:val="24"/>
        </w:rPr>
        <w:t>, Prevalence</w:t>
      </w:r>
      <w:r w:rsidR="00262AFA" w:rsidRPr="002F48F9">
        <w:rPr>
          <w:rFonts w:ascii="Times New Roman" w:hAnsi="Times New Roman" w:cs="Times New Roman"/>
          <w:b/>
          <w:bCs/>
          <w:i/>
          <w:iCs/>
          <w:sz w:val="24"/>
          <w:szCs w:val="24"/>
        </w:rPr>
        <w:t xml:space="preserve"> </w:t>
      </w:r>
    </w:p>
    <w:p w14:paraId="3004674F" w14:textId="77777777" w:rsidR="009F1A57" w:rsidRPr="002F48F9" w:rsidRDefault="009F1A57" w:rsidP="00D86685">
      <w:pPr>
        <w:spacing w:after="0" w:line="360" w:lineRule="auto"/>
        <w:jc w:val="both"/>
        <w:rPr>
          <w:rFonts w:ascii="Times New Roman" w:hAnsi="Times New Roman" w:cs="Times New Roman"/>
          <w:i/>
          <w:iCs/>
          <w:sz w:val="24"/>
          <w:szCs w:val="24"/>
        </w:rPr>
      </w:pPr>
    </w:p>
    <w:p w14:paraId="33FC1CF7" w14:textId="77777777" w:rsidR="009F1A57" w:rsidRPr="002F48F9" w:rsidRDefault="009F1A57" w:rsidP="00D86685">
      <w:pPr>
        <w:spacing w:line="360" w:lineRule="auto"/>
        <w:jc w:val="both"/>
        <w:rPr>
          <w:rFonts w:ascii="Times New Roman" w:hAnsi="Times New Roman" w:cs="Times New Roman"/>
          <w:sz w:val="24"/>
          <w:szCs w:val="24"/>
        </w:rPr>
      </w:pPr>
    </w:p>
    <w:p w14:paraId="69EFEC58" w14:textId="77777777" w:rsidR="009F1A57" w:rsidRPr="002F48F9" w:rsidRDefault="009F1A57" w:rsidP="00D86685">
      <w:pPr>
        <w:spacing w:line="360" w:lineRule="auto"/>
        <w:jc w:val="both"/>
        <w:rPr>
          <w:rFonts w:ascii="Times New Roman" w:hAnsi="Times New Roman" w:cs="Times New Roman"/>
          <w:sz w:val="24"/>
          <w:szCs w:val="24"/>
        </w:rPr>
      </w:pPr>
    </w:p>
    <w:p w14:paraId="344AEA26" w14:textId="77777777" w:rsidR="009F1A57" w:rsidRPr="002F48F9" w:rsidRDefault="009F1A57" w:rsidP="00D86685">
      <w:pPr>
        <w:spacing w:line="360" w:lineRule="auto"/>
        <w:jc w:val="both"/>
        <w:rPr>
          <w:rFonts w:ascii="Times New Roman" w:hAnsi="Times New Roman" w:cs="Times New Roman"/>
          <w:sz w:val="24"/>
          <w:szCs w:val="24"/>
        </w:rPr>
      </w:pPr>
    </w:p>
    <w:p w14:paraId="39058926" w14:textId="77777777" w:rsidR="009F1A57" w:rsidRPr="002F48F9" w:rsidRDefault="009F1A57" w:rsidP="00D86685">
      <w:pPr>
        <w:spacing w:line="360" w:lineRule="auto"/>
        <w:jc w:val="both"/>
        <w:rPr>
          <w:rFonts w:ascii="Times New Roman" w:hAnsi="Times New Roman" w:cs="Times New Roman"/>
          <w:sz w:val="24"/>
          <w:szCs w:val="24"/>
        </w:rPr>
      </w:pPr>
    </w:p>
    <w:p w14:paraId="246B4C60" w14:textId="77777777" w:rsidR="009F1A57" w:rsidRDefault="009F1A57" w:rsidP="00D86685">
      <w:pPr>
        <w:spacing w:line="360" w:lineRule="auto"/>
        <w:jc w:val="both"/>
        <w:rPr>
          <w:rFonts w:ascii="Times New Roman" w:hAnsi="Times New Roman" w:cs="Times New Roman"/>
          <w:sz w:val="24"/>
          <w:szCs w:val="24"/>
        </w:rPr>
      </w:pPr>
    </w:p>
    <w:p w14:paraId="04424607" w14:textId="77777777" w:rsidR="00700C44" w:rsidRDefault="00700C44" w:rsidP="00D86685">
      <w:pPr>
        <w:spacing w:line="360" w:lineRule="auto"/>
        <w:jc w:val="both"/>
        <w:rPr>
          <w:rFonts w:ascii="Times New Roman" w:hAnsi="Times New Roman" w:cs="Times New Roman"/>
          <w:sz w:val="24"/>
          <w:szCs w:val="24"/>
        </w:rPr>
      </w:pPr>
    </w:p>
    <w:p w14:paraId="32607AED" w14:textId="77777777" w:rsidR="00C61D87" w:rsidRPr="002F48F9" w:rsidRDefault="00C61D87" w:rsidP="00D86685">
      <w:pPr>
        <w:spacing w:line="360" w:lineRule="auto"/>
        <w:jc w:val="both"/>
        <w:rPr>
          <w:rFonts w:ascii="Times New Roman" w:hAnsi="Times New Roman" w:cs="Times New Roman"/>
          <w:sz w:val="24"/>
          <w:szCs w:val="24"/>
        </w:rPr>
      </w:pPr>
    </w:p>
    <w:p w14:paraId="7A52C3F5" w14:textId="77777777" w:rsidR="009F1A57" w:rsidRPr="002F48F9" w:rsidRDefault="009F1A57" w:rsidP="009F1A57">
      <w:pPr>
        <w:rPr>
          <w:rFonts w:ascii="Times New Roman" w:hAnsi="Times New Roman" w:cs="Times New Roman"/>
          <w:b/>
          <w:bCs/>
          <w:sz w:val="24"/>
          <w:szCs w:val="24"/>
        </w:rPr>
      </w:pPr>
      <w:r w:rsidRPr="002F48F9">
        <w:rPr>
          <w:rFonts w:ascii="Times New Roman" w:hAnsi="Times New Roman" w:cs="Times New Roman"/>
          <w:b/>
          <w:bCs/>
          <w:sz w:val="24"/>
          <w:szCs w:val="24"/>
        </w:rPr>
        <w:t xml:space="preserve">INTRODUCTION </w:t>
      </w:r>
    </w:p>
    <w:p w14:paraId="5D3640EC" w14:textId="1D008C64" w:rsidR="00FC76D1" w:rsidRPr="002F48F9" w:rsidRDefault="00FC76D1" w:rsidP="00FC76D1">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Anaemia describes a situation in which there is a reduction of haemoglobin concentration in the blood of pregnant women to a level below 11g/dl. Anaemia is one of the most common nutritional deficiency diseases observed globally and affects more than a quarter of the world’s population </w:t>
      </w:r>
      <w:r w:rsidR="003E4A9D"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{"citationItems":[{"id":"ITEM-1","itemData":{"DOI":"10.2147/JBM.S231262","ISSN":"11792736","abstract":"Aims/Objectives: This study sought to determine the prevalence, morphological characterization and associated socio-demographic factors of anemia among pregnant women attending Kisugu Health Centre IV, Makindye Division, Kampala, in Uganda. Methods: This was a cross-sectional study that employed laboratory analysis of blood samples to determine hemoglobin concentration, and a structured questionnaire to obtain socio-demographic factors associated with anemia during pregnancy. Results: We enrolled 345 pregnant women aged 15 to 43 years. The median, interquartile range, and mean Hb levels were 8.1g/dL, 6.4 ± 2.1g/dL and 7.9g/dL, respectively. There were 89 participants whose Hb levels were indicative of anemia, giving anemia prevalence of 25.8% (95% confidence interval: 21.6–29.8). Of these, 25 (28.1%) had mild anemia, 46 (51.7%) had moderate anemia, while 18 (20.2%) had severe anemia. Thin blood film examination showed normocytic-hypochromic (75.3%), then microcytic-hypochromic (21.6%), and macrocytic-hypochromic red blood cells (3.4%). The socio-demographic factors of gestational age, parity, and mother’s occupation were significantly associated with the risk of anemia (p&lt; 0.05). Conclusion: We report a high prevalence of anemia among pregnant women; with a majority of hypochromic-microcytic anemia. This may necessitate more anemia awareness and it requires institution of nutritional interventions to avert fetal-maternal complications.","author":[{"dropping-particle":"","family":"Mahamoud","given":"Naimo Khalif","non-dropping-particle":"","parse-names":false,"suffix":""},{"dropping-particle":"","family":"Mwambi","given":"Bashir","non-dropping-particle":"","parse-names":false,"suffix":""},{"dropping-particle":"","family":"Oyet","given":"Caesar","non-dropping-particle":"","parse-names":false,"suffix":""},{"dropping-particle":"","family":"Segujja","given":"Farouk","non-dropping-particle":"","parse-names":false,"suffix":""},{"dropping-particle":"","family":"Webbo","given":"Fred","non-dropping-particle":"","parse-names":false,"suffix":""},{"dropping-particle":"","family":"Okiria","given":"John Charles","non-dropping-particle":"","parse-names":false,"suffix":""},{"dropping-particle":"","family":"Taremwa","given":"Ivan Mugisha","non-dropping-particle":"","parse-names":false,"suffix":""}],"container-title":"Journal of Blood Medicine","id":"ITEM-1","issued":{"date-parts":[["2020"]]},"page":"13-18","title":"Prevalence of anemia and its associated socio-demographic factors among pregnant women attending an antenatal care clinic at kisugu health center IV, makindye division, Kampala, Uganda","type":"article-journal","volume":"11"},"uris":["http://www.mendeley.com/documents/?uuid=328da4c1-1536-446b-8168-73b694b28990"]},{"id":"ITEM-2","itemData":{"DOI":"https://doi.org/10.1016/j.medcle.2022.02.006","ISSN":"2387-0206","abstract":"Introduction Gestational anaemia, which has specific haemoglobin (Hb) reference values in each trimester of gestation, increases the risk of maternal mortality and complications both in pregnancy and in the first months of the newborn’s life. The objective of this study is to evaluate haemoglobin levels in pregnant women in our population, to determine the prevalence of gestational anaemia and to propose reference values specific to them. Material and methods Retrospective study of all blood counts requested in pregnancy and postpartum controls during 2019. Results 9995 gestation haemograms corresponding to 5507 pregnant women were reviewed. Of these, 1134 patients underwent complete follow-up in 2019. The prevalence data for anaemia were 1.8%, 11.8% and 13.2% in each trimester respectively, and the global prevalence in pregnancy was 22.6%. Regarding postpartum anaemia, its prevalence with respect to all pregnant women was 2.99%, increasing to 38.2% in those patients with complications during delivery. Conclusions The prevalence of gestational anaemia in our population is somewhat higher than in countries like ours. Therefore, there is room for improvement in our current clinical protocols. It is important to assess updating analytical controls with other more adequate parameters to determine iron reserves, as this is the main cause of anaemia. Resumen Introducción La anemia gestacional, que tiene unos valores de referencia de hemoglobina específicos en cada trimestre de gestación, aumenta el riesgo de mortalidad materna y de complicaciones fetales y neonatales. El objetivo de este estudio es evaluar los niveles de hemoglobina en las gestantes de nuestra población y conocer la prevalencia de anemia gestacional. Material y métodos Estudio retrospectivo de los hemogramas solicitados en los controles de gestación durante el año 2019. Resultados Se revisaron 9.995 hemogramas de gestación correspondientes a 5.507 embarazadas, 1134 pacientes tuvieron el control evolutivo completo en 2019. Los datos de prevalencia de anemia fueron de un 1,8%, 11,8% y 13,2% en cada trimestre respectivamente. La prevalencia global fue de un 22,6%. Conclusiones La prevalencia de anemia gestacional en nuestra población es algo superior a la consultada en la bibliografía y varía en función del cálculo del límite inferior de normalidad (hemoglobina media poblacional y criterios de normalidad clásico y de Beutler&amp;Waalen). Esto nos pone en alerta sobre la existencia de un margen de me…","author":[{"dropping-particle":"","family":"Otamendi Goicoechea","given":"Isabel","non-dropping-particle":"","parse-names":false,"suffix":""},{"dropping-particle":"","family":"Zalba Marcos","given":"Saioa","non-dropping-particle":"","parse-names":false,"suffix":""},{"dropping-particle":"","family":"Zabalegui Goicoechea","given":"M Ascensión","non-dropping-particle":"","parse-names":false,"suffix":""},{"dropping-particle":"","family":"Galbete","given":"Arkaitz","non-dropping-particle":"","parse-names":false,"suffix":""},{"dropping-particle":"","family":"Osinaga Alcaraz","given":"Maite","non-dropping-particle":"","parse-names":false,"suffix":""},{"dropping-particle":"","family":"García Erce","given":"José Antonio","non-dropping-particle":"","parse-names":false,"suffix":""}],"container-title":"Medicina Clínica (English Edition)","id":"ITEM-2","issue":"6","issued":{"date-parts":[["2022"]]},"page":"270-273","title":"Anaemia prevalence in pregnant population","type":"article-journal","volume":"158"},"uris":["http://www.mendeley.com/documents/?uuid=cb4609ef-80ea-48e4-ad0f-85e5a3c853f5"]}],"mendeley":{"formattedCitation":"(Mahamoud et al., 2020; Otamendi Goicoechea et al., 2022)","plainTextFormattedCitation":"(Mahamoud et al., 2020; Otamendi Goicoechea et al., 2022)","previouslyFormattedCitation":"&lt;sup&gt;1,2&lt;/sup&gt;"},"properties":{"noteIndex":0},"schema":"https://github.com/citation-style-language/schema/raw/master/csl-citation.json"}</w:instrText>
      </w:r>
      <w:r w:rsidR="003E4A9D"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(Mahamoud et al., 2020; Otamendi Goicoechea et al., 2022)</w:t>
      </w:r>
      <w:r w:rsidR="003E4A9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Globally, anaemia affects 1.62 billion people (25%), among which 56 million are pregnant women </w:t>
      </w:r>
      <w:r w:rsidR="003E4A9D"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{"citationItems":[{"id":"ITEM-1","itemData":{"DOI":"10.1016/S0140-6736(10)62304-5","ISSN":"1474-547X (Electronic)","PMID":"21813172","abstract":"Anaemia affects a quarter of the global population, including 293 million (47%)  children younger than 5 years and 468 million (30%) non-pregnant women. In addition to anaemia's adverse health consequences, the economic effect of anaemia on human capital results in the loss of billions of dollars annually. In this paper, we review the epidemiology, clinical assessment, pathophysiology, and consequences of anaemia in low-income and middle-income countries. Our analysis shows that anaemia is disproportionately concentrated in low socioeconomic groups, and that maternal anaemia is strongly associated with child anaemia. Anaemia has multifactorial causes involving complex interaction between nutrition, infectious diseases, and other factors, and this complexity presents a challenge to effectively address the population determinants of anaemia. Reduction of knowledge gaps in research and policy and improvement of the implementation of effective population-level strategies will help to alleviate the anaemia burden in low-resource settings.","author":[{"dropping-particle":"","family":"Balarajan","given":"Yarlini","non-dropping-particle":"","parse-names":false,"suffix":""},{"dropping-particle":"","family":"Ramakrishnan","given":"Usha","non-dropping-particle":"","parse-names":false,"suffix":""},{"dropping-particle":"","family":"Ozaltin","given":"Emre","non-dropping-particle":"","parse-names":false,"suffix":""},{"dropping-particle":"","family":"Shankar","given":"Anuraj H","non-dropping-particle":"","parse-names":false,"suffix":""},{"dropping-particle":"V","family":"Subramanian","given":"S","non-dropping-particle":"","parse-names":false,"suffix":""}],"container-title":"Lancet (London, England)","id":"ITEM-1","issue":"9809","issued":{"date-parts":[["2011","12"]]},"language":"eng","page":"2123-2135","publisher-place":"England","title":"Anaemia in low-income and middle-income countries.","type":"article-journal","volume":"378"},"uris":["http://www.mendeley.com/documents/?uuid=65563727-d34c-460d-a907-89e1ebd4c565"]},{"id":"ITEM-2","itemData":{"abstract":"Objective To investigate the association between maternal anemia and low/insufficient birth weight.   Design A prospective cohort study of pregnant women who underwent prenatal care at the healthcare units in a municipality of northeast Brazil together with their newborn infants was carried out. The pregnant women were classified as having anemia when the hemoglobin level was below 11 g/dl. Infants who were born full term weighing less than 2500 grams were classified as low birth weight, and those weighing between 2500 and 2999 grams were classified as insufficient weight. The occurrence of maternal anemia and its association with birth weight was verified using crude and adjusted Relative Risk (RR) estimates with their corresponding 95% confidence intervals (95%CIs).   Results The final sample was comprised of 622 women. Maternal anemia was considered a risk factor for low/insufficient birth weight, after adjusting the effect measurement for maternal age, family income, urinary infection, parity, alcoholic beverage consumption during pregnancy and gestational body mass index: RRadjusted = 1.38 [95% CI: 1.07 to 1.77].   Conclusions Maternal anemia was associated with low/insufficient birth weight, representing a risk factor for the gestational outcomes studied.","author":[{"dropping-particle":"","family":"Figueiredo","given":"Ana Claudia Morais Godoy","non-dropping-particle":"","parse-names":false,"suffix":""},{"dropping-particle":"","family":"Gomes-Filho","given":"Isaac Suzart","non-dropping-particle":"","parse-names":false,"suffix":""},{"dropping-particle":"","family":"Batista","given":"Josicélia Estrela Tuy","non-dropping-particle":"","parse-names":false,"suffix":""},{"dropping-particle":"","family":"Orrico","given":"Géssica Santana","non-dropping-particle":"","parse-names":false,"suffix":""},{"dropping-particle":"","family":"Porto","given":"Edla Carvalho Lima","non-dropping-particle":"","parse-names":false,"suffix":""},{"dropping-particle":"","family":"Cruz Pimenta","given":"Rodolfo Macedo","non-dropping-particle":"","parse-names":false,"suffix":""},{"dropping-particle":"","family":"Santos Conceição","given":"Sarah","non-dropping-particle":"dos","parse-names":false,"suffix":""},{"dropping-particle":"","family":"Brito","given":"Sheila Monteiro","non-dropping-particle":"","parse-names":false,"suffix":""},{"dropping-particle":"","family":"Ramos","given":"Michelle de Santana Xavier","non-dropping-particle":"","parse-names":false,"suffix":""},{"dropping-particle":"","family":"Sena","given":"Maria Cristina Ferreira","non-dropping-particle":"","parse-names":false,"suffix":""},{"dropping-particle":"","family":"Vilasboas","given":"Saulo Wesley Silva Lessa","non-dropping-particle":"","parse-names":false,"suffix":""},{"dropping-particle":"","family":"Seixas da Cruz","given":"Simone","non-dropping-particle":"","parse-names":false,"suffix":""},{"dropping-particle":"","family":"Pereira","given":"Mauricio Gomes","non-dropping-particle":"","parse-names":false,"suffix":""}],"container-title":"PLOS ONE","id":"ITEM-2","issue":"3","issued":{"date-parts":[["2019","3","18"]]},"page":"e0212817","publisher":"Public Library of Science","title":"Maternal anemia and birth weight: A prospective cohort study","type":"article-journal","volume":"14"},"uris":["http://www.mendeley.com/documents/?uuid=0106ea2f-01b7-4296-837a-889d2a5f881f"]}],"mendeley":{"formattedCitation":"(Balarajan et al., 2011; Figueiredo et al., 2019)","plainTextFormattedCitation":"(Balarajan et al., 2011; Figueiredo et al., 2019)","previouslyFormattedCitation":"&lt;sup&gt;3,4&lt;/sup&gt;"},"properties":{"noteIndex":0},"schema":"https://github.com/citation-style-language/schema/raw/master/csl-citation.json"}</w:instrText>
      </w:r>
      <w:r w:rsidR="003E4A9D"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(Balarajan et al., 2011; Figueiredo et al., 2019)</w:t>
      </w:r>
      <w:r w:rsidR="003E4A9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It is estimated that 41.8% of pregnant women worldwide are anaemic. At least half of this anaemia burden is assumed to be due to iron deficiency. </w:t>
      </w:r>
    </w:p>
    <w:p w14:paraId="0AF44EB7" w14:textId="6E5DD491"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In the Ghanaian enclave, anemia endangers almost half of the older population, and its highest prevalence over the previous 1</w:t>
      </w:r>
      <w:r w:rsidR="001155D6" w:rsidRPr="002F48F9">
        <w:rPr>
          <w:rFonts w:ascii="Times New Roman" w:hAnsi="Times New Roman" w:cs="Times New Roman"/>
          <w:sz w:val="24"/>
          <w:szCs w:val="24"/>
        </w:rPr>
        <w:t>3</w:t>
      </w:r>
      <w:r w:rsidRPr="002F48F9">
        <w:rPr>
          <w:rFonts w:ascii="Times New Roman" w:hAnsi="Times New Roman" w:cs="Times New Roman"/>
          <w:sz w:val="24"/>
          <w:szCs w:val="24"/>
        </w:rPr>
        <w:t xml:space="preserve"> years was 56% in 2011, with the lowest record of 49.20% in 1999 </w:t>
      </w:r>
      <w:r w:rsidR="00C64159"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{"citationItems":[{"id":"ITEM-1","itemData":{"ISSN":"2249-9571","abstract":"Background: Anemia troubles about half of Ghanaian grown-up population and its highest value over the past 16 years was 56.40% in 2011, while its lowest value was 49.20% in 1999. Objective: To determine the prevalence of anaemia among pregnant women attending antennal clinic of a selected private hospital in Accra, Ghana. Methodology: Using across-sectional design, 200 consenting participants were selected for the study. Hemoglobin levels were assessed. Maternal age, gestational age, parity and number of antennal visits were collected from the antenatal record booklet. Data were analyzed using the SPSS programme IBM version 20. Chi-square was used to investigate the association between independent variables and prevalence of anemia. The data were further analyzed using binary logistic regression methods to evaluate possible risk factors associated with anemia. Odd ratio was reported to establish the risk of anemia and 95% confidence interval were estimated. A p&lt;0.05 was considered as statistically significance. Results: The findings revealed that, the mean with ± standard deviation of hemoglobin value was 10.9±1.3 (95% [confidence interval] =10.7-11.1), and the overall prevalence of anemia from a total of 200 study subjects was 102 (51.0%). The severities of all diagnosed anemia cases were mild (60.8%) to moderate (39.2%). Severe anemia was not found in any of the participants. Conclusion: The study established that the prevalence of anemia was high and it is associated with parity. Preventive efforts targeting preconception nutrition and promotion of regular antenatal care visit throughout the normal pregnancy is urgently required.","author":[{"dropping-particle":"","family":"Acheampong","given":"Kwabena","non-dropping-particle":"","parse-names":false,"suffix":""},{"dropping-particle":"","family":"Appiah","given":"Stella","non-dropping-particle":"","parse-names":false,"suffix":""},{"dropping-particle":"","family":"Baffour-Awuah","given":"Dorothy","non-dropping-particle":"","parse-names":false,"suffix":""},{"dropping-particle":"","family":"Saka Arhin","given":"Yeboah","non-dropping-particle":"","parse-names":false,"suffix":""},{"dropping-particle":"","family":"Author","given":"Corresponding","non-dropping-particle":"","parse-names":false,"suffix":""}],"container-title":"International Journal of Health Sciences &amp; Research (www.ijhsr.org)","id":"ITEM-1","issue":"January","issued":{"date-parts":[["2018"]]},"page":"186","title":"Prevalence of Anemia among Pregnant Women Attending Antenatal Clinic of a Selected Hospital in Accra, Ghana","type":"article-journal","volume":"8"},"uris":["http://www.mendeley.com/documents/?uuid=b33b68f3-8240-4eca-ab57-e185752499e2"]}],"mendeley":{"formattedCitation":"(Acheampong et al., 2018)","plainTextFormattedCitation":"(Acheampong et al., 2018)","previouslyFormattedCitation":"&lt;sup&gt;5&lt;/sup&gt;"},"properties":{"noteIndex":0},"schema":"https://github.com/citation-style-language/schema/raw/master/csl-citation.json"}</w:instrText>
      </w:r>
      <w:r w:rsidR="00C64159"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(Acheampong et al., 2018)</w:t>
      </w:r>
      <w:r w:rsidR="00C64159"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As earlier mentioned, global prevalence is around 1.62 billion people </w:t>
      </w:r>
      <w:r w:rsidR="000B53A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{"citationItems":[{"id":"ITEM-1","itemData":{"DOI":"10.1186/s12878-017-0090-z","ISSN":"2052-1839 (Print)","PMID":"29075500","abstract":"BACKGROUND: Anemia during pregnancy is one of the most common indirect obstetric  cause of maternal mortality in developing countries. It is responsible for poor maternal and fetal outcomes. A limited number of studies were conducted on anemia during pregnancy in Ethiopia, and they present inconsistent findings. Therefore, this review was undertaken to summarize the findings conducted in several parts of the country and present the national level of anemia among pregnant women in Ethiopia. METHODS: Preferred Reporting Items for Systematic Reviews and Meta-Analyses (PRISMA) guideline was followed for this systematic review and meta-analysis. The databases used were; PUBMED, Cochrane Library, Google Scholar, CINAHL, and African Journals Online. Search terms used were; anemia, pregnancy related anemia and Ethiopia. Joanna Briggs Institute Meta-Analysis of Statistics Assessment and Review Instrument (JBI-MAStARI) was used for critical appraisal of studies. The meta-analysis was conducted using STATA 14 software. The pooled Meta logistic regression was computed to present the pooled prevalence and relative risks (RRs) of the determinate factors with 95% confidence interval (CI). RESULTS: Twenty studies were included in the meta-analysis with a total of 10, 281 pregnant women. The pooled prevalence of anemia among pregnant women in Ethiopia was 31.66% (95% CI (26.20, 37.11)). Based on the pooled prevalence of the subgroup analysis result, the lowest prevalence of anemia among pregnant women was observed in Amhara region, 15.89% (95% CI (8.82, 22.96)) and the highest prevalence was in Somali region, 56.80% (95% CI (52.76, 60.84)). Primigravid (RR: 0.61 (95% CI: 0.53, 0.71)) and urban women (RR: 0.73 (95% CI: 0.60, 0.88)) were less likely to develop anemia. On the other hand, mothers with short pregnancy interval (RR: 2.14 (95% CI: 1.67, 2.74)) and malaria infection during pregnancy (RR: 1.94 (95% CI: 1.33, 2.82)) had higher risk to develop anemia. CONCLUSIONS: Almost one-third of pregnant women in Ethiopia were anemic. Statistically significant association was observed between anemia during pregnancy and residence, gravidity, pregnancy interval, and malaria infection during pregnancy. Regions with higher anemia prevalence among pregnant women should be given due emphasis. The concerned body should intervene on the identified factors to reduce the high prevalence of anemia among pregnant women.","author":[{"dropping-particle":"","family":"Kassa","given":"Getachew Mullu","non-dropping-particle":"","parse-names":false,"suffix":""},{"dropping-particle":"","family":"Muche","given":"Achenef Asmamaw","non-dropping-particle":"","parse-names":false,"suffix":""},{"dropping-particle":"","family":"Berhe","given":"Abadi Kidanemariam","non-dropping-particle":"","parse-names":false,"suffix":""},{"dropping-particle":"","family":"Fekadu","given":"Gedefaw Abeje","non-dropping-particle":"","parse-names":false,"suffix":""}],"container-title":"BMC hematology","id":"ITEM-1","issued":{"date-parts":[["2017"]]},"language":"eng","page":"17","publisher-place":"England","title":"Prevalence and determinants of anemia among pregnant women in Ethiopia; a  systematic review and meta-analysis.","type":"article-journal","volume":"17"},"uris":["http://www.mendeley.com/documents/?uuid=b2029823-10ac-40e8-9d9b-d29db8899acc"]}],"mendeley":{"formattedCitation":"(Kassa et al., 2017)","plainTextFormattedCitation":"(Kassa et al., 2017)","previouslyFormattedCitation":"&lt;sup&gt;6&lt;/sup&gt;"},"properties":{"noteIndex":0},"schema":"https://github.com/citation-style-language/schema/raw/master/csl-citation.json"}</w:instrText>
      </w:r>
      <w:r w:rsidR="000B53A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(Kassa et al., 2017)</w:t>
      </w:r>
      <w:r w:rsidR="000B53A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and iron deficiency, the most common nutrient shortage in the world, is frequently the cause of anemia in pregnancy </w:t>
      </w:r>
      <w:r w:rsidR="000B53A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{"citationItems":[{"id":"ITEM-1","itemData":{"DOI":"10.1017/S146342362100061X","ISSN":"1477-1128 (Electronic)","PMID":"34727999","abstract":"BACKGROUND: Anemia has created attention worldwide because of its adverse effects  on the mother and the fetus during pregnancy. A large body of evidence has shown that pregnant women are the most vulnerable group to anemia. OBJECTIVES: This study aims to determine the prevalence of anemia, and associated risk factors, among pregnant women attending antenatal care (ANC) at government and private hospitals in Bangladesh. METHODS: This cross-sectional study included 424 pregnant women, who visited hospitals for ANC from January to July 2019. We used a simple random sampling technique to select study subjects. Data were collected using a structured questionnaire and participant's current medical record cards. SPSS software was used for analyzing data. RESULTS: The prevalence of anemia was 62.5% and significantly (P &lt; 0.001) higher in the subjects attending ANC in government hospitals (68.7%) than in private (55.0%) hospitals. The prevalence of the severity of anemia was 28.3% mild, 36.9% moderate, and 3.40% severe in government hospitals while in private hospitals was 14.7% mild, 39.8% moderate, and 0.5% severe anemia. Anemia was significantly associated with maternal age 20-25 years [adjusted odds ratio (AOR) = 1.9] and 26-30 years (AOR = 2.37), monthly family income (300-500) US$ (AOR = 2.76), and ANC in government hospitals (AOR = 2.02), the parity [multiparous (AOR = 1.92)], gravidity [multigravid (AOR = 1.63)], contraception [no contraception (AOR = 2.50), and iron supplement [no iron supplement (AOR = 0.64). CONCLUSIONS: The result suggests that pregnant women should receive routine ANC and recognize iron supplementation during pregnancy. Finally, the results of this study are particularly relevant for pregnant women who are receiving ANC.","author":[{"dropping-particle":"","family":"Sabina Azhar","given":"Bably","non-dropping-particle":"","parse-names":false,"suffix":""},{"dropping-particle":"","family":"Islam","given":"Md Shofikul","non-dropping-particle":"","parse-names":false,"suffix":""},{"dropping-particle":"","family":"Karim","given":"Md Rezaul","non-dropping-particle":"","parse-names":false,"suffix":""}],"container-title":"Primary health care research &amp; development","id":"ITEM-1","issued":{"date-parts":[["2021","11"]]},"language":"eng","page":"e61","publisher-place":"England","title":"Prevalence of anemia and associated risk factors among pregnant women attending  antenatal care in Bangladesh: a cross-sectional study.","type":"article-journal","volume":"22"},"uris":["http://www.mendeley.com/documents/?uuid=09e65845-482d-4b63-88d5-8c21582dadbe"]}],"mendeley":{"formattedCitation":"(Sabina Azhar et al., 2021)","plainTextFormattedCitation":"(Sabina Azhar et al., 2021)","previouslyFormattedCitation":"&lt;sup&gt;7&lt;/sup&gt;"},"properties":{"noteIndex":0},"schema":"https://github.com/citation-style-language/schema/raw/master/csl-citation.json"}</w:instrText>
      </w:r>
      <w:r w:rsidR="000B53A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(Sabina Azhar et al., 2021)</w:t>
      </w:r>
      <w:r w:rsidR="000B53A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Generally, many factors predispose pregnant women to anemia, varying from community features to individual behaviours. Some responsible risk factors include nutrition, cultural and socioeconomic, Human Immune Deficiency Virus (HIV) infection and parasitic diseases such as malaria and hookworm </w:t>
      </w:r>
      <w:r w:rsidR="0096604E"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{"citationItems":[{"id":"ITEM-1","itemData":{"DOI":"10.1371/journal.pone.0202734","ISSN":"1932-6203 (Electronic)","PMID":"30133527","abstract":"BACKGROUND: Globally, anemia in pregnancy increases maternal, fetal and neonatal  mortality and morbidity. According to 2011 Ethiopian Demographic and Health Survey, 22% of pregnant women in Ethiopia were reported to be anemic. However, since the Ethiopian population is diverse with regard to culture, religion and other characteristics, this evidence may not represent the condition in our study area. So, we aimed to determine the prevalence of anemia and its associated factors among women receiving Antenatal Care (ANC) in Debre Berhan Town Hospitals and Clinics. METHODS: We conducted an institution based cross sectional study among women receiving ANC at hospitals and clinics in Debre Berhan Town, Ethiopia from September to November, 2013. Antenatal care providers in the respective health facilities collected the data by interview and observation using closed and open-ended questions. We computed frequencies and percentages to describe the data. We performed bivariate and multivariable binary logistic regression analyses to identify factors associated with anemia in pregnancy. STATA version 12 was used to carry out the analyses. RESULTS: A total of 295 participants completed the study, with a response rate of 89%. This study demonstrated a 10% prevalence of anemia out of which 64.3%, 32% and 4% of the respondents were with mild, moderate and severe anemia respectively. Anemia was statistically significantly associated with education and occupation. CONCLUSION: The prevalence of anemia in our study area is lower than previous studies' findings. Literacy and job status of the women were predictors of anemia in pregnancy. Since this study was conducted on women who had an opportunity to visit health facilities, it is more valuable to conduct community based research to better understand the problem in the study area and thus propose future deliverable.","author":[{"dropping-particle":"","family":"Mekonnen","given":"Fantahun Ayenew","non-dropping-particle":"","parse-names":false,"suffix":""},{"dropping-particle":"","family":"Ambaw","given":"Yohannes Abere","non-dropping-particle":"","parse-names":false,"suffix":""},{"dropping-particle":"","family":"Neri","given":"Genanew Timerga","non-dropping-particle":"","parse-names":false,"suffix":""}],"container-title":"PloS one","id":"ITEM-1","issue":"8","issued":{"date-parts":[["2018"]]},"language":"eng","page":"e0202734","publisher-place":"United States","title":"Socio-economic determinants of anemia in pregnancy in North Shoa Zone, Ethiopia.","type":"article-journal","volume":"13"},"uris":["http://www.mendeley.com/documents/?uuid=59a42c42-72d0-46f0-a69b-5889c1f0a82b"]}],"mendeley":{"formattedCitation":"(Mekonnen et al., 2018)","plainTextFormattedCitation":"(Mekonnen et al., 2018)","previouslyFormattedCitation":"&lt;sup&gt;8&lt;/sup&gt;"},"properties":{"noteIndex":0},"schema":"https://github.com/citation-style-language/schema/raw/master/csl-citation.json"}</w:instrText>
      </w:r>
      <w:r w:rsidR="0096604E"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(Mekonnen et al., 2018)</w:t>
      </w:r>
      <w:r w:rsidR="0096604E" w:rsidRPr="002F48F9">
        <w:rPr>
          <w:rFonts w:ascii="Times New Roman" w:hAnsi="Times New Roman" w:cs="Times New Roman"/>
          <w:sz w:val="24"/>
          <w:szCs w:val="24"/>
        </w:rPr>
        <w:fldChar w:fldCharType="end"/>
      </w:r>
      <w:r w:rsidRPr="002F48F9">
        <w:rPr>
          <w:rFonts w:ascii="Times New Roman" w:hAnsi="Times New Roman" w:cs="Times New Roman"/>
          <w:sz w:val="24"/>
          <w:szCs w:val="24"/>
        </w:rPr>
        <w:t>, which are endemic in sub-Saharan Africa, of which Ghana is included and the northern regions are not excluded.</w:t>
      </w:r>
    </w:p>
    <w:p w14:paraId="597C8491" w14:textId="66D7DE90"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Nutritional and non-nutritional factors both contribute to the pathogenesis of anemia. The most prevalent cause of anemia during pregnancy is iron deficiency, and other micronutrient deficiencies responsible are folate, vitamins A, C, and B12. Some of these micronutrients contribute to hemoglobin synthesis directly, while others, such as vitamin C, contribute to absorption and mobilization of iron, and so their short supply will lead to anemia </w:t>
      </w:r>
      <w:r w:rsidR="0028450C"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{"citationItems":[{"id":"ITEM-1","itemData":{"DOI":"10.1371/journal.pone.0241975","ISSN":"1932-6203 (Electronic)","PMID":"33206682","abstract":"BACKGROUND: Even though anemia was highly targeted in different global  strategies, many pregnant and/or lactating women and children were suffering from it and its complications. Besides this, prior trend analysis has not been conducted among pregnant and/or lactating women in Ethiopia. Therefore, this study aimed to assess the trend and determinants of anemia change among pregnant and/or lactating women in Ethiopia. METHODS: The study utilized two consecutive Ethiopia Demographic and Health Survey (EDHS) datasets. A total of 6,106 and 5,641 pregnant and/or lactating women in 2011 and 2016 survey respectively were included in the analysis. The data were analyzed by using Stata version 14.0. Logit based decomposition analysis was done to identify contributing factors for anemia change and statistical significance was determined by using P-value. RESULTS: The trend of anemia was increased from 19% in 2011 to 29% in 2016 EDHS. The analysis revealed that, 8% of the overall change in anemia was because of the change in women's composition. Changes in the composition of pregnant and/or lactating women according to region, economic status and tobacco and/or cigarette use were the major sources of the change. Greater than 90% of the increase in anemia was due to differences in the coefficient. Mostly, the change in behaviors of the Amhara population, those who had a history of terminated pregnancy and use tobacco and/or cigarette were the sources of the change. CONCLUSIONS: Anemia among pregnant and/or lactating women was increased against government interventions over the last half-decade in Ethiopia. Programmatic interventions targeting Somali and Dire Dawa regions are still needed to decrease anemia.","author":[{"dropping-particle":"","family":"Yalew","given":"Melaku","non-dropping-particle":"","parse-names":false,"suffix":""},{"dropping-particle":"","family":"Adane","given":"Bezawit","non-dropping-particle":"","parse-names":false,"suffix":""},{"dropping-particle":"","family":"Damtie","given":"Yitayish","non-dropping-particle":"","parse-names":false,"suffix":""},{"dropping-particle":"","family":"Kefale","given":"Bereket","non-dropping-particle":"","parse-names":false,"suffix":""},{"dropping-particle":"","family":"Arefaynie","given":"Mastewal","non-dropping-particle":"","parse-names":false,"suffix":""},{"dropping-particle":"","family":"Yasin","given":"Toyeb","non-dropping-particle":"","parse-names":false,"suffix":""}],"container-title":"PloS one","id":"ITEM-1","issue":"11","issued":{"date-parts":[["2020"]]},"language":"eng","page":"e0241975","publisher-place":"United States","title":"Trend and determinants of anemia change among pregnant and/or lactating women in  Ethiopia: A multivariate decomposition analysis.","type":"article-journal","volume":"15"},"uris":["http://www.mendeley.com/documents/?uuid=2d0c921a-0ab2-4fa3-a418-befdaf31d9d0"]}],"mendeley":{"formattedCitation":"(Yalew et al., 2020)","plainTextFormattedCitation":"(Yalew et al., 2020)","previouslyFormattedCitation":"&lt;sup&gt;9&lt;/sup&gt;"},"properties":{"noteIndex":0},"schema":"https://github.com/citation-style-language/schema/raw/master/csl-citation.json"}</w:instrText>
      </w:r>
      <w:r w:rsidR="0028450C"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(Yalew et al., 2020)</w:t>
      </w:r>
      <w:r w:rsidR="0028450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In developed countries, women of reproductive age who are anticipating conception are started on folate, multivitamin, and iron supplements before pregnancy sets in. This practice aids in increasing iron stores and further erythropoiesis for the woman and the yet to be conceived </w:t>
      </w:r>
      <w:r w:rsidRPr="002F48F9">
        <w:rPr>
          <w:rFonts w:ascii="Times New Roman" w:hAnsi="Times New Roman" w:cs="Times New Roman"/>
          <w:sz w:val="24"/>
          <w:szCs w:val="24"/>
        </w:rPr>
        <w:lastRenderedPageBreak/>
        <w:t xml:space="preserve">foetus. During pregnancy, even normal daily iron intake through diet cannot satisfy the demands of both baby and mother, and hence supplementation is required </w:t>
      </w:r>
      <w:r w:rsidR="0028450C"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{"citationItems":[{"id":"ITEM-1","itemData":{"abstract":"Anemia is the commonest hematological disorder that occurs in pregnancy. According to the recent standard laid down by ‘WHO’, anemia is present when the Hemoglobin (Hb) concentration in the peripheral blood is 11 gm/dl or less. The most common cause of anemia in pregnancy is lack of iron. Less often, it is caused by folic acid deficiency. In some populations, 80% of pregnant women are anemic. Those most at risk are women from low socio-economic groups and teenagers. Anemia is diagnosed by estimating the hemoglobin concentration and examining a peripheral blood smear for the characteristic red blood cell changes. Iron and folate supplementation is indicated during pregnancy to prevent the complications. Even in normal pregnancy, the hemoglobin concentration becomes diluted according to the increase in the volume of circulating blood. Since iron and folic acid in amounts necessary for the fetus are preferentially transported to the fetus, the mother is likely to develop iron deficiency anemia and folic acid deficiency anemia. An adult woman has about 2 g of iron in her body. When a woman becomes pregnant, the demand for iron increases, necessitating an additional 1 g.","author":[{"dropping-particle":"","family":"Sabina","given":"Shaikh","non-dropping-particle":"","parse-names":false,"suffix":""},{"dropping-particle":"","family":"Iftequar","given":"Syed","non-dropping-particle":"","parse-names":false,"suffix":""},{"dropping-particle":"","family":"Zaheer","given":"Zahid","non-dropping-particle":"","parse-names":false,"suffix":""},{"dropping-particle":"","family":"Khan","given":"Mohd Mukhtar","non-dropping-particle":"","parse-names":false,"suffix":""},{"dropping-particle":"","family":"Khan","given":"Sarfraz","non-dropping-particle":"","parse-names":false,"suffix":""}],"container-title":"Journal of Innovations in Pharmaceuticals and Biological Sciences","id":"ITEM-1","issue":"2","issued":{"date-parts":[["2015"]]},"page":"144-151","title":"An Overwiew of Anemia In Pregnancy","type":"article-journal","volume":"2"},"uris":["http://www.mendeley.com/documents/?uuid=d826168a-b96b-4c8f-9482-3548664b8801"]}],"mendeley":{"formattedCitation":"(Sabina et al., 2015)","plainTextFormattedCitation":"(Sabina et al., 2015)","previouslyFormattedCitation":"&lt;sup&gt;10&lt;/sup&gt;"},"properties":{"noteIndex":0},"schema":"https://github.com/citation-style-language/schema/raw/master/csl-citation.json"}</w:instrText>
      </w:r>
      <w:r w:rsidR="0028450C"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(Sabina et al., 2015)</w:t>
      </w:r>
      <w:r w:rsidR="0028450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Folic acid and other vitamins have other advantages, such as preventing neural tube defects in the fetus and strengthening the immunity of the mother. Unfortunately, in most parts of Africa, including Ghana, there is a lack of economic will to provide these supplements individually in most homes. Even the diet, which is supposed to contain iron-rich foods such as fish, poultry, green vegetables, and red meat, is in low supply for women in most rural communities in Ghana, where anemia in pregnancy is very prevalent. </w:t>
      </w:r>
    </w:p>
    <w:p w14:paraId="18F69076" w14:textId="1B658045"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The prevalence of anemia in pregnancy varies in this region due to cultural and socioeconomic factors such as gravidity, lifestyle, and health-seeking behaviours </w:t>
      </w:r>
      <w:r w:rsidR="0053444F"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{"citationItems":[{"id":"ITEM-1","itemData":{"DOI":"10.1186/s12905-015-0234-x","ISSN":"1472-6874","abstract":"Maternal anaemia is a common problem in pregnancy, particularly in developing countries. The study was aimed at determining the factors associated with anaemia among a group of pregnant mothers who attended an antenatal clinic in Dhaka city.","author":[{"dropping-particle":"","family":"Chowdhury","given":"Hasina Akhter","non-dropping-particle":"","parse-names":false,"suffix":""},{"dropping-particle":"","family":"Ahmed","given":"Kazi Rumana","non-dropping-particle":"","parse-names":false,"suffix":""},{"dropping-particle":"","family":"Jebunessa","given":"Fatema","non-dropping-particle":"","parse-names":false,"suffix":""},{"dropping-particle":"","family":"Akter","given":"Jesmin","non-dropping-particle":"","parse-names":false,"suffix":""},{"dropping-particle":"","family":"Hossain","given":"Sharmin","non-dropping-particle":"","parse-names":false,"suffix":""},{"dropping-particle":"","family":"Shahjahan","given":"Md.","non-dropping-particle":"","parse-names":false,"suffix":""}],"container-title":"BMC Women's Health","id":"ITEM-1","issue":"1","issued":{"date-parts":[["2015"]]},"page":"77","title":"Factors associated with maternal anaemia among pregnant women in Dhaka city","type":"article-journal","volume":"15"},"uris":["http://www.mendeley.com/documents/?uuid=192c6063-38b6-4287-abcc-852750d418ce"]}],"mendeley":{"formattedCitation":"(Chowdhury et al., 2015)","plainTextFormattedCitation":"(Chowdhury et al., 2015)","previouslyFormattedCitation":"&lt;sup&gt;11&lt;/sup&gt;"},"properties":{"noteIndex":0},"schema":"https://github.com/citation-style-language/schema/raw/master/csl-citation.json"}</w:instrText>
      </w:r>
      <w:r w:rsidR="0053444F"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(Chowdhury et al., 2015)</w:t>
      </w:r>
      <w:r w:rsidR="0053444F" w:rsidRPr="002F48F9">
        <w:rPr>
          <w:rFonts w:ascii="Times New Roman" w:hAnsi="Times New Roman" w:cs="Times New Roman"/>
          <w:sz w:val="24"/>
          <w:szCs w:val="24"/>
        </w:rPr>
        <w:fldChar w:fldCharType="end"/>
      </w:r>
      <w:r w:rsidRPr="002F48F9">
        <w:rPr>
          <w:rFonts w:ascii="Times New Roman" w:hAnsi="Times New Roman" w:cs="Times New Roman"/>
          <w:sz w:val="24"/>
          <w:szCs w:val="24"/>
        </w:rPr>
        <w:t>.</w:t>
      </w:r>
      <w:r w:rsidR="0053444F" w:rsidRPr="002F48F9">
        <w:rPr>
          <w:rFonts w:ascii="Times New Roman" w:hAnsi="Times New Roman" w:cs="Times New Roman"/>
          <w:sz w:val="24"/>
          <w:szCs w:val="24"/>
        </w:rPr>
        <w:t xml:space="preserve"> </w:t>
      </w:r>
      <w:r w:rsidRPr="002F48F9">
        <w:rPr>
          <w:rFonts w:ascii="Times New Roman" w:hAnsi="Times New Roman" w:cs="Times New Roman"/>
          <w:sz w:val="24"/>
          <w:szCs w:val="24"/>
        </w:rPr>
        <w:t>Women in rural parts of Ghana in general have low socio-economic status due to low educational level and poverty. Hence, they are incapable of providing for their nutritional needs. Most of them rely on their husbands. Also, pregnant women are so busy engaged in tedious house chores such as preparing food for a whole extended family throughout the day, making their health less of a priority. This also affects their health-seeking behaviours.</w:t>
      </w:r>
    </w:p>
    <w:p w14:paraId="4610B3EB" w14:textId="4D980D2D"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In tropical and subtropical enclaves of sub-Saharan Africa, approximately 24 million pregnant women are infected by malaria annually, making malaria a priority among public health problems </w:t>
      </w:r>
      <w:r w:rsidR="0053444F"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{"citationItems":[{"id":"ITEM-1","itemData":{"ISSN":"1022-9272","abstract":"Introduction: Anemia is one of the most common nutritional deficiency diseases observed globally. It affects more than a quarter of the world’s population. Globally, 41.8% of pregnant women and close to one third of non-pregnant women (30.2%) are anemic. The paper describes factors associated with anemia in pregnant women at Mbagathi County Hospital which admits many patients coming from Kibera. A low income slum in Nairobi. Kenya.Objective: The objective was to determine the prevalence of anemia and its associated factors among pregnant women attending antenatal care at Mbagathi County Hospital in Nairobi, Kenya.Methodology: A Hospital based cross-sectional study was conducted from September 01 to October 30, 2016 employing a systematic random sampling method to select participants.Analysis was done using SPSS version 17.0 to obtain descriptive statistics such as Frequency, Percentage, Mean and Standard deviation. This was used to describe selected variables. Chisquare test and odds ratio (OR) with corresponding 95% confidence intervals (CI) was computed to determine the association between INDEPENDENT and DEPENDENT variables. Logistic regression analysis was done to determine factors significantly and independently predicting anemia during pregnancy.Results: The results revealed the prevalence of anemia among pregnant women to be 40.7% with a significant association of Helminthic infestation and anemia (p =0.003). Education showed statistically significant relationship with anemia (p =0.001). There was a strong association between prevalence of anemia and the dietary practices (p =0.003). Anemia among pregnant women is found to be a severe public health problem, based on the World Health Organization classification of anemia.Conclusion: Thus, this study concluded that routine iron supplementation in pregnancy and early initiation of antenatal clinic attendance could reduce the prevalence of anemia in pregnancy.Hence, daily intake of foods rich in iron is recommended for women to reduce prevalence of iron deficiency (anemia) during pregnancy. In fact, girl child education can be used to further mitigate anemia in communities.Moreover, stringent measures should be taken to control parasitic infestations and other risk factors of anemia amongst women by disseminating Information to the public.","author":[{"dropping-particle":"","family":"Ndegwa","given":"Stephen Kanegeni","non-dropping-particle":"","parse-names":false,"suffix":""}],"container-title":"African Journal of Health Sciences","id":"ITEM-1","issue":"1","issued":{"date-parts":[["2019"]]},"page":"59-73","title":"Anemia &amp; Its Associated Factors Among Pregnant Women Attending Antenatal Clinic at Mbagathi County Hospital, Nairobi County, Kenya","type":"article-journal","volume":"32"},"uris":["http://www.mendeley.com/documents/?uuid=33c8bf52-05dc-49c8-9a60-e61d0d3edb28"]}],"mendeley":{"formattedCitation":"(Ndegwa, 2019)","plainTextFormattedCitation":"(Ndegwa, 2019)","previouslyFormattedCitation":"&lt;sup&gt;12&lt;/sup&gt;"},"properties":{"noteIndex":0},"schema":"https://github.com/citation-style-language/schema/raw/master/csl-citation.json"}</w:instrText>
      </w:r>
      <w:r w:rsidR="0053444F"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(Ndegwa, 2019)</w:t>
      </w:r>
      <w:r w:rsidR="0053444F"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morbidity and risk of infection are much higher in adolescents, those co-infected with Human Immunodeficiency Virus (HIV), and primiparous women, and the annual maternal mortality rate due to malaria is estimated to be over 25% in these endemic areas </w:t>
      </w:r>
      <w:r w:rsidR="008172B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{"citationItems":[{"id":"ITEM-1","itemData":{"DOI":"10.4103/jfmpc.jfmpc_33_17","ISSN":"2249-4863 (Print)","PMID":"29564255","abstract":"BACKGROUND: Anemia is one of the most common nutritional deficiency disorders  affecting the pregnant women in the developing countries. Anemia during pregnancy is commonly associated with poor pregnancy outcome and can result in complications that threaten the life of both mother and fetus. OBJECTIVE: The objective of the study was to estimate the prevalence of anemia among pregnant women and to determine its association with maternal and fetal outcomes. SETTINGS AND DESIGN: This study design was a prospective, observational, community-based study. SUBJECTS AND METHODS: Four hundred and forty-six pregnant women were included in the study from three primary health centers in Kolar district by multistage sampling technique and were followed up till 1 week after delivery. STATISTICAL ANALYSIS: The data were analyzed using SPSS version 22; correlation coefficient, Chi-square test, and logistic regression were used. RESULTS: There was a significant overall improvement in the hemoglobin levels of pregnant during the follow-up (10.3-10.72 gm%). About 35.6% of the women had maternal or fetal morbidity. Anemia was one of the main pregnancy-related complications (62.3%), other complications include difficult labor (3%), postpartum hemorrhage, and preeclampsia 1.6% each abortions/stillbirths (3.5%). The fetal complications include low birth weight (25.5%) followed by premature delivery (0.2%) and birth asphyxia (0.5%). CONCLUSIONS: A high prevalence of anemia in pregnant women apparently increases the maternal and fetal risks. To improve maternal and fetal outcome, it is recommended that the primary health care has to be strengthened, prevention, early diagnosis, and treatment of anemia in pregnancy to be given priority.","author":[{"dropping-particle":"","family":"Suryanarayana","given":"Ravishankar","non-dropping-particle":"","parse-names":false,"suffix":""},{"dropping-particle":"","family":"Chandrappa","given":"Muninarayana","non-dropping-particle":"","parse-names":false,"suffix":""},{"dropping-particle":"","family":"Santhuram","given":"Anil Navale","non-dropping-particle":"","parse-names":false,"suffix":""},{"dropping-particle":"","family":"Prathima","given":"S","non-dropping-particle":"","parse-names":false,"suffix":""},{"dropping-particle":"","family":"Sheela","given":"S R","non-dropping-particle":"","parse-names":false,"suffix":""}],"container-title":"Journal of family medicine and primary care","id":"ITEM-1","issue":"4","issued":{"date-parts":[["2017"]]},"language":"eng","page":"739-743","publisher-place":"India","title":"Prospective study on prevalence of anemia of pregnant women and its outcome: A  community based study.","type":"article-journal","volume":"6"},"uris":["http://www.mendeley.com/documents/?uuid=a267c6b4-834a-4657-abea-9bd8ce844803"]},{"id":"ITEM-2","itemData":{"ISSN":"1941-2797 (Print)","PMID":"19826576","abstract":"Malaria, a parasitic infection transmitted by mosquitoes, is one of the most  devastating infectious diseases, killing more than 1 million people annually. Pregnant women, children, and immunocompromised individuals have the highest morbidity and mortality, and Africa bears the heaviest burden. The World Health Organization defines malaria as a disease of poverty caused by poverty. Pregnant women infected with malaria usually have more severe symptoms and outcomes, with higher rates of miscarriage, intrauterine demise, premature delivery, low-birth-weight neonates, and neonatal death. They are also at a higher risk for severe anemia and maternal death. Malaria can be prevented with appropriate drugs, bed nets treated with insecticide, and effective educational outreach programs.","author":[{"dropping-particle":"","family":"Schantz-Dunn","given":"Julianna","non-dropping-particle":"","parse-names":false,"suffix":""},{"dropping-particle":"","family":"Nour","given":"Nawal M","non-dropping-particle":"","parse-names":false,"suffix":""}],"container-title":"Reviews in obstetrics &amp; gynecology","id":"ITEM-2","issue":"3","issued":{"date-parts":[["2009"]]},"language":"eng","page":"186-192","publisher-place":"United States","title":"Malaria and pregnancy: a global health perspective.","type":"article-journal","volume":"2"},"uris":["http://www.mendeley.com/documents/?uuid=2fd74eae-8f07-418a-b508-dc47dc476e00"]}],"mendeley":{"formattedCitation":"(Schantz-Dunn &amp; Nour, 2009; Suryanarayana et al., 2017)","plainTextFormattedCitation":"(Schantz-Dunn &amp; Nour, 2009; Suryanarayana et al., 2017)","previouslyFormattedCitation":"&lt;sup&gt;13,14&lt;/sup&gt;"},"properties":{"noteIndex":0},"schema":"https://github.com/citation-style-language/schema/raw/master/csl-citation.json"}</w:instrText>
      </w:r>
      <w:r w:rsidR="008172B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(Schantz-Dunn &amp; Nour, 2009; Suryanarayana et al., 2017)</w:t>
      </w:r>
      <w:r w:rsidR="008172B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 critical complication of malaria in pregnancy, among others, is maternal anemia. In malaria endemic areas in Africa, an estimated 50% of pregnant women are anemic </w:t>
      </w:r>
      <w:r w:rsidR="005843DD"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{"citationItems":[{"id":"ITEM-1","itemData":{"DOI":"10.1017/S1368980008002401","ISSN":"13689800","PMID":"18498676","abstract":"Objective: To provide current global and regional estimates of anaemia prevalence and number of persons affected in the total population and by population subgroup. Setting and design: We used anaemia prevalence data from the WHO Vitamin and Mineral Nutrition Information System for 1993-2005 to generate anaemia prevalence estimates for countries with data representative at the national level or at the first administrative level that is below the national level. For countries without eligible data, we employed regression-based estimates, which used the UN Human Development Index (HDI) and other health indicators. We combined country estimates, weighted by their population, to estimate anaemia prevalence at the global level, by UN Regions and by category of human development. Results: Survey data covered 48.8 % of the global population, 76.1 % of preschool-aged children, 69.0 % of pregnant women and 73.5 % of non-pregnant women. The estimated global anaemia prevalence is 24.8 % (95 % CI 22.9, 26.7 %), affecting 1.62 billion people (95 % CI 1.50, 1.74 billion). Estimated anaemia prevalence is 47.4 % (95 % CI 45.7, 49.1 %) in preschool-aged children, 41.8 % (95 % CI 39.9, 43.8 %) in pregnant women and 30.2 % (95 % CI 28.7, 31.6 %) in non-pregnant women. In numbers, 293 million (95 % CI 282, 303 million) preschool-aged children, 56 million (95 % CI 54, 59 million) pregnant women and 468 million (95 % CI 446, 491 million) non-pregnant women are affected. Conclusion: Anaemia affects one-quarter of the world's population and is concentrated in preschool-aged children and women, making it a global public health problem. Data on relative contributions of causal factors are lacking, however, which makes it difficult to effectively address the problem. © The Authors 2008.","author":[{"dropping-particle":"","family":"McLean","given":"Erin","non-dropping-particle":"","parse-names":false,"suffix":""},{"dropping-particle":"","family":"Cogswell","given":"Mary","non-dropping-particle":"","parse-names":false,"suffix":""},{"dropping-particle":"","family":"Egli","given":"Ines","non-dropping-particle":"","parse-names":false,"suffix":""},{"dropping-particle":"","family":"Wojdyla","given":"Daniel","non-dropping-particle":"","parse-names":false,"suffix":""},{"dropping-particle":"","family":"Benoist","given":"Bruno","non-dropping-particle":"De","parse-names":false,"suffix":""}],"container-title":"Public Health Nutrition","id":"ITEM-1","issue":"4","issued":{"date-parts":[["2009"]]},"page":"444-454","title":"Worldwide prevalence of anaemia, WHO Vitamin and Mineral Nutrition Information System, 1993-2005","type":"article-journal","volume":"12"},"uris":["http://www.mendeley.com/documents/?uuid=e424ddbd-b475-46e3-b984-e77e3c1e8e90"]}],"mendeley":{"formattedCitation":"(McLean et al., 2009)","plainTextFormattedCitation":"(McLean et al., 2009)","previouslyFormattedCitation":"&lt;sup&gt;15&lt;/sup&gt;"},"properties":{"noteIndex":0},"schema":"https://github.com/citation-style-language/schema/raw/master/csl-citation.json"}</w:instrText>
      </w:r>
      <w:r w:rsidR="005843DD"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(McLean et al., 2009)</w:t>
      </w:r>
      <w:r w:rsidR="005843D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latter is because of the role malaria plays in the destruction of red blood cells (parasitized and non-parasitized) and bone marrow dysfunction leading to impairment of erythropoiesis </w:t>
      </w:r>
      <w:r w:rsidR="00B45DE3"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{"citationItems":[{"id":"ITEM-1","itemData":{"DOI":"https://doi.org/10.1111/j.1600-0609.1997.tb01690.x","ISSN":"0902-4441","abstract":"Abstract:? One of the most serious manifestations of Plasmodium falciparum malaria is anaemia. Its established causes are increased red cell destruction and ineffective erythropoiesis. Since proinflammatory cytokines have been shown to suppress the in vitro synthesis of erythropoietin (Epo), we measured serum immunoreactive Epo in 90 Sudanese patients suffering from malaria. Even in severe cases of anaemia (blood haemoglobin &lt;80 g/l), serum Epo levels rarely exceeded 300 U/l. For comparison, serum Epo was increased up to 12,000 U/l in a reference group of Caucasian patients with anaemia not associated with infection. Moreover, the slope of the log Epo/haemoglobin regression line was less steep in malarial anaemia. Thus, as documented for other chronic inflammatory disorders, there is a relative lack of Epo in malaria-associated anaemia. Treatment with the antimalarial drug chloroquine may aggravate the defect in Epo production, because chloroquine inhibited Epo synthesis when tested in cell culture.","author":[{"dropping-particle":"El","family":"Hassan","given":"A M A","non-dropping-particle":"","parse-names":false,"suffix":""},{"dropping-particle":"","family":"Saeed","given":"A M","non-dropping-particle":"","parse-names":false,"suffix":""},{"dropping-particle":"","family":"Fandrey","given":"J","non-dropping-particle":"","parse-names":false,"suffix":""},{"dropping-particle":"","family":"Jelkmann","given":"W","non-dropping-particle":"","parse-names":false,"suffix":""}],"container-title":"European Journal of Haematology","id":"ITEM-1","issue":"5","issued":{"date-parts":[["1997","11","1"]]},"page":"299-304","publisher":"John Wiley &amp; Sons, Ltd","title":"Decreased erythropoietin response in Plasmodium falciparum malaria-associated anaemia","type":"article-journal","volume":"59"},"uris":["http://www.mendeley.com/documents/?uuid=44497578-7ca4-417b-bae7-13de92feecae"]},{"id":"ITEM-2","itemData":{"ISSN":"1554-7914 (Print)","PMID":"27099596","abstract":"Anemia affects one-fourth of the world's population, and iron deficiency is the  predominant cause. Anemia is associated with chronic fatigue, impaired cognitive function, and diminished well-being. Patients with iron deficiency anemia of unknown etiology are frequently referred to a gastroenterologist because in the majority of cases the condition has a gastrointestinal origin. Proper management improves quality of life, alleviates the symptoms of iron deficiency, and reduces the need for blood transfusions. Treatment options include oral and intravenous iron therapy; however, the efficacy of oral iron is limited in certain gastrointestinal conditions, such as inflammatory bowel disease, celiac disease, and autoimmune gastritis. This article provides a critical summary of the diagnosis and treatment of iron deficiency anemia. In addition, it includes a management algorithm that can help the clinician determine which patients are in need of further gastrointestinal evaluation. This facilitates the identification and treatment of the underlying condition and avoids the unnecessary use of invasive methods and their associated risks.","author":[{"dropping-particle":"","family":"Jimenez","given":"Kristine","non-dropping-particle":"","parse-names":false,"suffix":""},{"dropping-particle":"","family":"Kulnigg-Dabsch","given":"Stefanie","non-dropping-particle":"","parse-names":false,"suffix":""},{"dropping-particle":"","family":"Gasche","given":"Christoph","non-dropping-particle":"","parse-names":false,"suffix":""}],"container-title":"Gastroenterology &amp; hepatology","id":"ITEM-2","issue":"4","issued":{"date-parts":[["2015","4"]]},"language":"eng","page":"241-250","publisher-place":"United States","title":"Management of Iron Deficiency Anemia.","type":"article-journal","volume":"11"},"uris":["http://www.mendeley.com/documents/?uuid=c284131e-e681-43c1-8c01-44427cbac1dd"]},{"id":"ITEM-3","itemData":{"ISBN":"9789241564960","abstract":"This document describes estimates of the prevalence of anaemia for the year 2011 in preschool-age children (6–59 months) and women of reproductive age (15–49 years), by pregnancy status, and by regions of the United Nations and World Health Organization (WHO), as well as by country. This report is based on analyses previously published (1) to estimate trends (from 1995 to 2011) in the distribution of blood haemoglobin concentrations and the prevalence of anaemia in these same population groups. This document may serve as a resource for estimating the baseline prevalence of anaemia in women of reproductive age, in working towards achieving the second global nutrition target 2025, a 50% reduction of anaemia in women of reproductive age (2), as outlined in the Comprehensive implementation plan on maternal, infant and young child nutrition and endorsed by the Sixty-fifth World Health Assembly, in resolution WHA65.6(3) .","author":[{"dropping-particle":"","family":"Elysium","given":"","non-dropping-particle":"","parse-names":false,"suffix":""}],"container-title":"Who","id":"ITEM-3","issued":{"date-parts":[["2011"]]},"page":"1-48","title":"The global prevalence of anaemia in 2011","type":"article-journal"},"uris":["http://www.mendeley.com/documents/?uuid=52b661e5-a6e9-43d0-a96c-68effb5dd12a"]},{"id":"ITEM-4","itemData":{"DOI":"10.1155/2019/5398732","ISSN":"1537744X","PMID":"30894794","abstract":"Introduction. The pathophysiology of malaria-related anaemia is not fully understood although increased destruction of parasitized and nonparasitized erythrocytes, as well as inadequate erythropoiesis, has been proposed. Circulating antierythropoietin (anti-EPO) antibodies have also been implicated in malaria and malaria-related anaemia in mice. However, studies on this association have not been investigated in humans. This study therefore determined the prevalence of anti-EPO antibody production and assessed its association with malaria and malaria-related anaemia in humans. Methods. A total of 86 children aged 1-10 years (57 children with malaria serving as the case group and 29 healthy children serving as control), all residents of Duayaw Nkwanta, Ghana, were recruited for this case-control study. Venous blood was collected for thick and thin films for malaria microscopy, full blood count by automated haematology analyzer, and antierythropoietin antibody and erythropoietin estimation by sandwich ELISA method. Results. Out of the 86 participants recruited, only 3 (3.5%) were positive for anti-EPO antibody; 2.3% of the case group; and 1.2% of the control group. There was no association between the cases and the controls in the production of anti-EPO antibodies. Erythropoietin concentration was significantly higher in malaria-related anaemic subjects (p=0.032). Conclusion. Antierythropoietin antibodies are not associated with malaria infection and malaria-related anaemia in humans. Erythropoietin concentration is associated with malaria-related anaemia.","author":[{"dropping-particle":"","family":"Addai-Mensah","given":"Otchere","non-dropping-particle":"","parse-names":false,"suffix":""},{"dropping-particle":"","family":"Gyamfi","given":"Daniel","non-dropping-particle":"","parse-names":false,"suffix":""},{"dropping-particle":"","family":"Amponsah","given":"Francis Agyei","non-dropping-particle":"","parse-names":false,"suffix":""},{"dropping-particle":"","family":"Annani-Akollor","given":"Max Efui","non-dropping-particle":"","parse-names":false,"suffix":""},{"dropping-particle":"","family":"Danquah","given":"Kwabena Owusu","non-dropping-particle":"","parse-names":false,"suffix":""},{"dropping-particle":"","family":"Boateng","given":"Lillian","non-dropping-particle":"","parse-names":false,"suffix":""},{"dropping-particle":"","family":"Owiredu","given":"Eddie Williams","non-dropping-particle":"","parse-names":false,"suffix":""},{"dropping-particle":"","family":"Afriyie","given":"Edward Y.","non-dropping-particle":"","parse-names":false,"suffix":""},{"dropping-particle":"","family":"Duneeh","given":"Richard Vikpebah","non-dropping-particle":"","parse-names":false,"suffix":""},{"dropping-particle":"","family":"Asare","given":"Renate","non-dropping-particle":"","parse-names":false,"suffix":""},{"dropping-particle":"","family":"Ofosu Ntiamoah","given":"David","non-dropping-particle":"","parse-names":false,"suffix":""},{"dropping-particle":"","family":"Boateng","given":"Richard","non-dropping-particle":"","parse-names":false,"suffix":""}],"container-title":"Scientific World Journal","id":"ITEM-4","issued":{"date-parts":[["2019"]]},"title":"Antierythropoietin Antibody Production Is Not Associated with Malaria and Malaria-Related Anaemia in Humans","type":"article-journal","volume":"2019"},"uris":["http://www.mendeley.com/documents/?uuid=48aa3934-1e27-43f8-a05c-c08884734c50"]}],"mendeley":{"formattedCitation":"(Addai-Mensah et al., 2019; Elysium, 2011; Hassan et al., 1997; Jimenez et al., 2015)","plainTextFormattedCitation":"(Addai-Mensah et al., 2019; Elysium, 2011; Hassan et al., 1997; Jimenez et al., 2015)","previouslyFormattedCitation":"&lt;sup&gt;16–19&lt;/sup&gt;"},"properties":{"noteIndex":0},"schema":"https://github.com/citation-style-language/schema/raw/master/csl-citation.json"}</w:instrText>
      </w:r>
      <w:r w:rsidR="00B45DE3"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(Addai-Mensah et al., 2019; Elysium, 2011; Hassan et al., 1997; Jimenez et al., 2015)</w:t>
      </w:r>
      <w:r w:rsidR="00B45DE3"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Schistosomiasis and hookworm are other major parasitic infestations that can lead to anemia in pregnancy </w:t>
      </w:r>
      <w:r w:rsidR="00CC07BE"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{"citationItems":[{"id":"ITEM-1","itemData":{"ISSN":"0002-9637 (Print)","PMID":"17620629","abstract":"The highest prevalence of anemia exists in the developing world where its causes  are multi-factorial. Anemia is responsible for significant morbidity and mortality, particularly in less developed countries (LDCs). Understanding causes of anemia and potential mechanisms are crucial to our ability to intervene to reduce this burden. In the past decade, our understanding of the etiology and mechanisms of anemia in LDCs has advanced significantly. This review will focus on recent advances in our understanding of the burden of anemia in specific sub-groups, the causes and mechanisms of anemia, and consequences of anemia for the human host.","author":[{"dropping-particle":"","family":"Tolentino","given":"Karine","non-dropping-particle":"","parse-names":false,"suffix":""},{"dropping-particle":"","family":"Friedman","given":"Jennifer F","non-dropping-particle":"","parse-names":false,"suffix":""}],"container-title":"The American journal of tropical medicine and hygiene","id":"ITEM-1","issue":"1","issued":{"date-parts":[["2007","7"]]},"language":"eng","page":"44-51","publisher-place":"United States","title":"An update on anemia in less developed countries.","type":"article-journal","volume":"77"},"uris":["http://www.mendeley.com/documents/?uuid=cb5e8d7b-2e7d-460f-a2df-3c072d79266a"]}],"mendeley":{"formattedCitation":"(Tolentino &amp; Friedman, 2007)","plainTextFormattedCitation":"(Tolentino &amp; Friedman, 2007)","previouslyFormattedCitation":"&lt;sup&gt;20&lt;/sup&gt;"},"properties":{"noteIndex":0},"schema":"https://github.com/citation-style-language/schema/raw/master/csl-citation.json"}</w:instrText>
      </w:r>
      <w:r w:rsidR="00CC07BE"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(Tolentino &amp; Friedman, 2007)</w:t>
      </w:r>
      <w:r w:rsidR="00CC07BE"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They cause occult loss of blood through the gastrointestinal tract, which in turn leads to anemia. It is recommended by the WHO that every pregnant woman in an endemic area sleep inside an insecticide treated net (ITN) to lower exposure to mosquito bites and that pregnant </w:t>
      </w:r>
      <w:r w:rsidRPr="002F48F9">
        <w:rPr>
          <w:rFonts w:ascii="Times New Roman" w:hAnsi="Times New Roman" w:cs="Times New Roman"/>
          <w:sz w:val="24"/>
          <w:szCs w:val="24"/>
        </w:rPr>
        <w:lastRenderedPageBreak/>
        <w:t xml:space="preserve">women attending the ANC after the first trimester should be given sulphadoxine-pyrimethamine (SP) as an intermittent preventive treatment (IPTp) on each visit </w:t>
      </w:r>
      <w:r w:rsidR="00B320CF"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{"citationItems":[{"id":"ITEM-1","itemData":{"ISBN":"9789241564960","abstract":"This document describes estimates of the prevalence of anaemia for the year 2011 in preschool-age children (6–59 months) and women of reproductive age (15–49 years), by pregnancy status, and by regions of the United Nations and World Health Organization (WHO), as well as by country. This report is based on analyses previously published (1) to estimate trends (from 1995 to 2011) in the distribution of blood haemoglobin concentrations and the prevalence of anaemia in these same population groups. This document may serve as a resource for estimating the baseline prevalence of anaemia in women of reproductive age, in working towards achieving the second global nutrition target 2025, a 50% reduction of anaemia in women of reproductive age (2), as outlined in the Comprehensive implementation plan on maternal, infant and young child nutrition and endorsed by the Sixty-fifth World Health Assembly, in resolution WHA65.6(3) .","author":[{"dropping-particle":"","family":"Elysium","given":"","non-dropping-particle":"","parse-names":false,"suffix":""}],"container-title":"Who","id":"ITEM-1","issued":{"date-parts":[["2011"]]},"page":"1-48","title":"The global prevalence of anaemia in 2011","type":"article-journal"},"uris":["http://www.mendeley.com/documents/?uuid=52b661e5-a6e9-43d0-a96c-68effb5dd12a"]}],"mendeley":{"formattedCitation":"(Elysium, 2011)","plainTextFormattedCitation":"(Elysium, 2011)","previouslyFormattedCitation":"&lt;sup&gt;18&lt;/sup&gt;"},"properties":{"noteIndex":0},"schema":"https://github.com/citation-style-language/schema/raw/master/csl-citation.json"}</w:instrText>
      </w:r>
      <w:r w:rsidR="00B320CF"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(Elysium, 2011)</w:t>
      </w:r>
      <w:r w:rsidR="00B320CF"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t>
      </w:r>
    </w:p>
    <w:p w14:paraId="09D308EE" w14:textId="77777777"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Finally, there are so many minor etiologies of anemia in pregnancy, including other disease conditions that predispose pregnant women. Some of these are hemoglobinopathies (sickle cell disease and beta thalassemia), diabetes, renal diseases, HIV infection, bleeding hemorrhages, et cetera. All these conditions should be assessed and managed appropriately during each ANC visit so that pregnancy is safe for both mother and baby.</w:t>
      </w:r>
    </w:p>
    <w:p w14:paraId="1F92735A" w14:textId="77777777" w:rsidR="009F1A57" w:rsidRPr="002F48F9" w:rsidRDefault="009F1A57" w:rsidP="009F1A57">
      <w:pPr>
        <w:rPr>
          <w:rFonts w:ascii="Times New Roman" w:hAnsi="Times New Roman" w:cs="Times New Roman"/>
          <w:sz w:val="24"/>
          <w:szCs w:val="24"/>
        </w:rPr>
      </w:pPr>
    </w:p>
    <w:p w14:paraId="505FF6B9" w14:textId="77777777" w:rsidR="009F1A57" w:rsidRPr="00653BD6" w:rsidRDefault="009F1A57" w:rsidP="009F1A57">
      <w:pPr>
        <w:spacing w:before="240" w:line="360" w:lineRule="auto"/>
        <w:rPr>
          <w:rFonts w:ascii="Times New Roman" w:hAnsi="Times New Roman" w:cs="Times New Roman"/>
          <w:b/>
          <w:bCs/>
          <w:sz w:val="24"/>
          <w:szCs w:val="24"/>
        </w:rPr>
      </w:pPr>
      <w:bookmarkStart w:id="0" w:name="_Hlk57403337"/>
      <w:r w:rsidRPr="00653BD6">
        <w:rPr>
          <w:rFonts w:ascii="Times New Roman" w:hAnsi="Times New Roman" w:cs="Times New Roman"/>
          <w:b/>
          <w:bCs/>
          <w:sz w:val="24"/>
          <w:szCs w:val="24"/>
        </w:rPr>
        <w:t>METHODS</w:t>
      </w:r>
    </w:p>
    <w:p w14:paraId="0C88E570" w14:textId="3C3BD873" w:rsidR="009F1A57" w:rsidRPr="002F48F9" w:rsidRDefault="009F1A57" w:rsidP="001E691E">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Study design: </w:t>
      </w:r>
      <w:r w:rsidR="001E691E" w:rsidRPr="002F48F9">
        <w:rPr>
          <w:rFonts w:ascii="Times New Roman" w:hAnsi="Times New Roman" w:cs="Times New Roman"/>
          <w:sz w:val="24"/>
          <w:szCs w:val="24"/>
        </w:rPr>
        <w:t>The study design was a cross-sectional study restricted to pregnant women attending antenatal clinic at the hospital.</w:t>
      </w:r>
      <w:r w:rsidR="00130FA6" w:rsidRPr="002F48F9">
        <w:rPr>
          <w:rFonts w:ascii="Times New Roman" w:hAnsi="Times New Roman" w:cs="Times New Roman"/>
          <w:sz w:val="24"/>
          <w:szCs w:val="24"/>
        </w:rPr>
        <w:t xml:space="preserve"> </w:t>
      </w:r>
    </w:p>
    <w:p w14:paraId="3940470B" w14:textId="7DAE0761" w:rsidR="009F1A57" w:rsidRPr="002F48F9" w:rsidRDefault="009F1A57" w:rsidP="009F1A57">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Setting: </w:t>
      </w:r>
      <w:r w:rsidR="00AA49ED" w:rsidRPr="002F48F9">
        <w:rPr>
          <w:rFonts w:ascii="Times New Roman" w:hAnsi="Times New Roman" w:cs="Times New Roman"/>
          <w:sz w:val="24"/>
          <w:szCs w:val="24"/>
        </w:rPr>
        <w:t>The study was conducted at Tamale Te</w:t>
      </w:r>
      <w:r w:rsidR="00B76FD7">
        <w:rPr>
          <w:rFonts w:ascii="Times New Roman" w:hAnsi="Times New Roman" w:cs="Times New Roman"/>
          <w:sz w:val="24"/>
          <w:szCs w:val="24"/>
        </w:rPr>
        <w:t>chnical University</w:t>
      </w:r>
      <w:r w:rsidR="00AA49ED" w:rsidRPr="002F48F9">
        <w:rPr>
          <w:rFonts w:ascii="Times New Roman" w:hAnsi="Times New Roman" w:cs="Times New Roman"/>
          <w:sz w:val="24"/>
          <w:szCs w:val="24"/>
        </w:rPr>
        <w:t xml:space="preserve"> Hospital</w:t>
      </w:r>
      <w:r w:rsidR="00B76FD7">
        <w:rPr>
          <w:rFonts w:ascii="Times New Roman" w:hAnsi="Times New Roman" w:cs="Times New Roman"/>
          <w:sz w:val="24"/>
          <w:szCs w:val="24"/>
        </w:rPr>
        <w:t>, Ghana</w:t>
      </w:r>
      <w:r w:rsidR="00AA49ED" w:rsidRPr="002F48F9">
        <w:rPr>
          <w:rFonts w:ascii="Times New Roman" w:hAnsi="Times New Roman" w:cs="Times New Roman"/>
          <w:sz w:val="24"/>
          <w:szCs w:val="24"/>
        </w:rPr>
        <w:t xml:space="preserve">. </w:t>
      </w:r>
    </w:p>
    <w:p w14:paraId="75509AE1" w14:textId="5A36B0E8" w:rsidR="009F1A57" w:rsidRPr="002F48F9" w:rsidRDefault="009F1A57" w:rsidP="009F1A57">
      <w:pPr>
        <w:spacing w:before="240" w:line="360" w:lineRule="auto"/>
        <w:rPr>
          <w:rFonts w:ascii="Times New Roman" w:hAnsi="Times New Roman" w:cs="Times New Roman"/>
          <w:sz w:val="24"/>
          <w:szCs w:val="24"/>
        </w:rPr>
      </w:pPr>
      <w:bookmarkStart w:id="1" w:name="_Toc19014829"/>
      <w:r w:rsidRPr="002F48F9">
        <w:rPr>
          <w:rFonts w:ascii="Times New Roman" w:hAnsi="Times New Roman" w:cs="Times New Roman"/>
          <w:sz w:val="24"/>
          <w:szCs w:val="24"/>
        </w:rPr>
        <w:t>Target Population</w:t>
      </w:r>
      <w:bookmarkEnd w:id="1"/>
      <w:r w:rsidRPr="002F48F9">
        <w:rPr>
          <w:rFonts w:ascii="Times New Roman" w:hAnsi="Times New Roman" w:cs="Times New Roman"/>
          <w:sz w:val="24"/>
          <w:szCs w:val="24"/>
        </w:rPr>
        <w:t xml:space="preserve">: </w:t>
      </w:r>
      <w:r w:rsidR="001E691E" w:rsidRPr="002F48F9">
        <w:rPr>
          <w:rFonts w:ascii="Times New Roman" w:hAnsi="Times New Roman" w:cs="Times New Roman"/>
          <w:sz w:val="24"/>
          <w:szCs w:val="24"/>
        </w:rPr>
        <w:t xml:space="preserve">The study population was pregnant mothers attending antenatal clinic (ANC). </w:t>
      </w:r>
    </w:p>
    <w:p w14:paraId="70AE59DF" w14:textId="77777777" w:rsidR="005D12CD" w:rsidRPr="002F48F9" w:rsidRDefault="005D12CD" w:rsidP="005D12C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Inclusion Criteria: Pregnant women in the second and third trimester of pregnancy attending ANC.  Pregnant women who consent to participate in the study. </w:t>
      </w:r>
    </w:p>
    <w:p w14:paraId="6BBAC203" w14:textId="1E03E062" w:rsidR="005D12CD" w:rsidRPr="002F48F9" w:rsidRDefault="005D12CD" w:rsidP="005D12C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Exclusion Criteria: Pregnant women in the first trimester of pregnancy. Pregnant women in the second and third trimester of pregnancy who fail to consent to participate in the study. </w:t>
      </w:r>
    </w:p>
    <w:p w14:paraId="1C3B0B97" w14:textId="77777777" w:rsidR="00195EAD"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Sampling Technique and Size: The study participants were chosen using the convenience sampling approach. Pregnant women who came for routine ANC visits or who came for booking visits within the period of study were included in the study. The sample size was 183. </w:t>
      </w:r>
    </w:p>
    <w:p w14:paraId="20385655" w14:textId="77777777" w:rsidR="00195EAD"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Data Collection tools and Procedures: A face-to-face interview using a pre-tested semi-structured questionnaire was conducted to obtain data about participant’s demographic and socio-economic characteristics and evaluate the prevalence of anemia in pregnancy among the clients of TaTU hospital; their hemoglobin levels (both booking values and current values) were recorded and asked respondents if they had been educated on anemia during the ANC visit. </w:t>
      </w:r>
    </w:p>
    <w:p w14:paraId="5FEBE506" w14:textId="76D87031" w:rsidR="009F1A57"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b/>
          <w:bCs/>
          <w:sz w:val="24"/>
          <w:szCs w:val="24"/>
        </w:rPr>
        <w:lastRenderedPageBreak/>
        <w:t xml:space="preserve">Data Analysis: </w:t>
      </w:r>
      <w:r w:rsidRPr="002F48F9">
        <w:rPr>
          <w:rFonts w:ascii="Times New Roman" w:hAnsi="Times New Roman" w:cs="Times New Roman"/>
          <w:sz w:val="24"/>
          <w:szCs w:val="24"/>
        </w:rPr>
        <w:t>Quantitative data were analysed utilising SPSS version 20. Descriptive statistics were calculated for all pertinent variables. Descriptive analysis was conducted utilising means, proportions, and frequencies. Pearson’s chi-square test and odds ratio (OR) with associated 95% confidence intervals (CI) were calculated to determine the association between the independent and dependent variable (anaemia). A P-value of 0.05 was deemed statistically significant. Multivariate analysis was used to identify the independent factors contributing to anaemia during pregnancy.</w:t>
      </w:r>
      <w:r w:rsidR="0073576E" w:rsidRPr="002F48F9">
        <w:rPr>
          <w:rFonts w:ascii="Times New Roman" w:hAnsi="Times New Roman" w:cs="Times New Roman"/>
          <w:sz w:val="24"/>
          <w:szCs w:val="24"/>
        </w:rPr>
        <w:t xml:space="preserve"> </w:t>
      </w:r>
    </w:p>
    <w:bookmarkEnd w:id="0"/>
    <w:p w14:paraId="2D0216CB" w14:textId="77777777" w:rsidR="009F1A57" w:rsidRPr="002F48F9" w:rsidRDefault="009F1A57" w:rsidP="009F1A57">
      <w:pPr>
        <w:spacing w:before="240" w:line="360" w:lineRule="auto"/>
        <w:rPr>
          <w:rFonts w:ascii="Times New Roman" w:hAnsi="Times New Roman" w:cs="Times New Roman"/>
          <w:sz w:val="24"/>
          <w:szCs w:val="24"/>
        </w:rPr>
      </w:pPr>
    </w:p>
    <w:p w14:paraId="4C52172E" w14:textId="77777777" w:rsidR="00854F8A" w:rsidRPr="002F48F9" w:rsidRDefault="00854F8A" w:rsidP="009F1A57">
      <w:pPr>
        <w:spacing w:before="240" w:line="360" w:lineRule="auto"/>
        <w:rPr>
          <w:rFonts w:ascii="Times New Roman" w:hAnsi="Times New Roman" w:cs="Times New Roman"/>
          <w:sz w:val="24"/>
          <w:szCs w:val="24"/>
        </w:rPr>
      </w:pPr>
    </w:p>
    <w:p w14:paraId="0EAF1662" w14:textId="77777777" w:rsidR="00854F8A" w:rsidRPr="002F48F9" w:rsidRDefault="00854F8A" w:rsidP="009F1A57">
      <w:pPr>
        <w:spacing w:before="240" w:line="360" w:lineRule="auto"/>
        <w:rPr>
          <w:rFonts w:ascii="Times New Roman" w:hAnsi="Times New Roman" w:cs="Times New Roman"/>
          <w:sz w:val="24"/>
          <w:szCs w:val="24"/>
        </w:rPr>
      </w:pPr>
    </w:p>
    <w:p w14:paraId="44313007" w14:textId="7AF795C8" w:rsidR="009F1A57" w:rsidRPr="002F48F9" w:rsidRDefault="00491048" w:rsidP="009F1A57">
      <w:pPr>
        <w:rPr>
          <w:rFonts w:ascii="Times New Roman" w:hAnsi="Times New Roman" w:cs="Times New Roman"/>
          <w:b/>
          <w:bCs/>
          <w:sz w:val="24"/>
          <w:szCs w:val="24"/>
        </w:rPr>
      </w:pPr>
      <w:r w:rsidRPr="002F48F9">
        <w:rPr>
          <w:rFonts w:ascii="Times New Roman" w:hAnsi="Times New Roman" w:cs="Times New Roman"/>
          <w:b/>
          <w:bCs/>
          <w:sz w:val="24"/>
          <w:szCs w:val="24"/>
        </w:rPr>
        <w:t xml:space="preserve">RESULTS </w:t>
      </w:r>
    </w:p>
    <w:p w14:paraId="5C70EF2A" w14:textId="77777777" w:rsidR="00BE3F5C" w:rsidRPr="002F48F9" w:rsidRDefault="00BE3F5C" w:rsidP="00BE3F5C">
      <w:pPr>
        <w:pStyle w:val="Heading2"/>
        <w:ind w:left="10"/>
        <w:rPr>
          <w:szCs w:val="24"/>
        </w:rPr>
      </w:pPr>
      <w:r w:rsidRPr="002F48F9">
        <w:rPr>
          <w:szCs w:val="24"/>
        </w:rPr>
        <w:t xml:space="preserve">SOCIO-CULTURAL CHARACTERISTICS OF STUDY PARTICIPANTS </w:t>
      </w:r>
    </w:p>
    <w:p w14:paraId="7393F446" w14:textId="77777777" w:rsidR="00BE3F5C" w:rsidRPr="002F48F9" w:rsidRDefault="00BE3F5C" w:rsidP="00BE3F5C">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1 summarises the background results of the respondents. A total of one hundred and eighty-three (183) women between the ages of 16 and 46 years who attended ANC at the Tamale Technical University Hospital participated in the research study. The women interviewed were on average 27 years old. Concerning the educational level of these women, 13.7% have had no formal education, 3.8% have been through primary school, 12% have been through junior high, 19.1% have been through senior high school, and 51.4% have been through tertiary education. Out of the 183 women, 20 were unemployed, representing 10.9%, 47 were students, representing 25.7%, 20.8% were government workers, and 41% were self-employed. 91.8% of the women were married, 7.7% were single, and the remaining 0.5% were divorced. With regard to religion, 79.2% are Muslims and 20.8% are Christians. </w:t>
      </w:r>
    </w:p>
    <w:p w14:paraId="0E0F0F5A" w14:textId="130B505E" w:rsidR="00BE3F5C" w:rsidRPr="002F48F9" w:rsidRDefault="00BE3F5C" w:rsidP="00BE3F5C">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2 summarises the background characteristics and their respective anemia statuses and percentages. Among anaemic pregnant women, 64.8% were between the ages of 21 and 30 (Table 1). 24.1% were between 31 and 40 years of age. 10.9% and 0.9% were between the ages of 11–20 and 41–50%, respectively. The association between the age group and anaemic status was not significant. With respect to the level of education, 45.8% had no formal education. Both senior high and tertiary levels made up of 19.5% each of the anaemic population, and those who </w:t>
      </w:r>
      <w:r w:rsidRPr="002F48F9">
        <w:rPr>
          <w:rFonts w:ascii="Times New Roman" w:hAnsi="Times New Roman" w:cs="Times New Roman"/>
          <w:sz w:val="24"/>
          <w:szCs w:val="24"/>
        </w:rPr>
        <w:lastRenderedPageBreak/>
        <w:t xml:space="preserve">stopped at primary and JHS school level were made up of 23.6% and 11.1%, respectively. There was a considerable link between educational attainment and anemia status. The p value was 0.029. With respect to occupation, 46% of the anemic pregnant women were self-employed. 3.4% were unemployed. 22% were government workers. 27.1% and 1.7% were students and others, respectively. There was no strong association between occupation and anemia status with a p value of 0.306. However, </w:t>
      </w:r>
      <w:r w:rsidR="006811D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{"citationItems":[{"id":"ITEM-1","itemData":{"DOI":"10.1182/blood-2013-06-508325","ISSN":"1528-0020 (Electronic)","PMID":"24297872","abstract":"Previous studies of anemia epidemiology have been geographically limited with  little detail about severity or etiology. Using publicly available data, we estimated mild, moderate, and severe anemia from 1990 to 2010 for 187 countries, both sexes, and 20 age groups. We then performed cause-specific attribution to 17 conditions using data from the Global Burden of Diseases, Injuries and Risk Factors (GBD) 2010 Study. Global anemia prevalence in 2010 was 32.9%, causing 68.36 (95% uncertainty interval [UI], 40.98 to 107.54) million years lived with disability (8.8% of total for all conditions [95% UI, 6.3% to 11.7%]). Prevalence dropped for both sexes from 1990 to 2010, although more for males. Prevalence in females was higher in most regions and age groups. South Asia and Central, West, and East sub-Saharan Africa had the highest burden, while East, Southeast, and South Asia saw the greatest reductions. Iron-deficiency anemia was the top cause globally, although 10 different conditions were among the top 3 in regional rankings. Malaria, schistosomiasis, and chronic kidney disease-related anemia were the only conditions to increase in prevalence. Hemoglobinopathies made significant contributions in most populations. Burden was highest in children under age 5, the only age groups with negative trends from 1990 to 2010.","author":[{"dropping-particle":"","family":"Kassebaum","given":"Nicholas J","non-dropping-particle":"","parse-names":false,"suffix":""},{"dropping-particle":"","family":"Jasrasaria","given":"Rashmi","non-dropping-particle":"","parse-names":false,"suffix":""},{"dropping-particle":"","family":"Naghavi","given":"Mohsen","non-dropping-particle":"","parse-names":false,"suffix":""},{"dropping-particle":"","family":"Wulf","given":"Sarah K","non-dropping-particle":"","parse-names":false,"suffix":""},{"dropping-particle":"","family":"Johns","given":"Nicole","non-dropping-particle":"","parse-names":false,"suffix":""},{"dropping-particle":"","family":"Lozano","given":"Rafael","non-dropping-particle":"","parse-names":false,"suffix":""},{"dropping-particle":"","family":"Regan","given":"Mathilda","non-dropping-particle":"","parse-names":false,"suffix":""},{"dropping-particle":"","family":"Weatherall","given":"David","non-dropping-particle":"","parse-names":false,"suffix":""},{"dropping-particle":"","family":"Chou","given":"David P","non-dropping-particle":"","parse-names":false,"suffix":""},{"dropping-particle":"","family":"Eisele","given":"Thomas P","non-dropping-particle":"","parse-names":false,"suffix":""},{"dropping-particle":"","family":"Flaxman","given":"Seth R","non-dropping-particle":"","parse-names":false,"suffix":""},{"dropping-particle":"","family":"Pullan","given":"Rachel L","non-dropping-particle":"","parse-names":false,"suffix":""},{"dropping-particle":"","family":"Brooker","given":"Simon J","non-dropping-particle":"","parse-names":false,"suffix":""},{"dropping-particle":"","family":"Murray","given":"Christopher J L","non-dropping-particle":"","parse-names":false,"suffix":""}],"container-title":"Blood","id":"ITEM-1","issue":"5","issued":{"date-parts":[["2014","1"]]},"language":"eng","page":"615-624","publisher-place":"United States","title":"A systematic analysis of global anemia burden from 1990 to 2010.","type":"article-journal","volume":"123"},"uris":["http://www.mendeley.com/documents/?uuid=b0e33bed-e3ea-4d72-ad9e-09c61fb8e5be"]}],"mendeley":{"formattedCitation":"(Kassebaum et al., 2014)","plainTextFormattedCitation":"(Kassebaum et al., 2014)","previouslyFormattedCitation":"&lt;sup&gt;21&lt;/sup&gt;"},"properties":{"noteIndex":0},"schema":"https://github.com/citation-style-language/schema/raw/master/csl-citation.json"}</w:instrText>
      </w:r>
      <w:r w:rsidR="006811D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(Kassebaum et al., 2014)</w:t>
      </w:r>
      <w:r w:rsidR="006811D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have observed that anemia is a major contributor to the global burden of disease in low-income and middle-income countries.  </w:t>
      </w:r>
    </w:p>
    <w:p w14:paraId="7389058D" w14:textId="5036B981" w:rsidR="00807BBA" w:rsidRPr="002F48F9" w:rsidRDefault="00BE3F5C" w:rsidP="00BE3F5C">
      <w:pPr>
        <w:rPr>
          <w:rFonts w:ascii="Times New Roman" w:hAnsi="Times New Roman" w:cs="Times New Roman"/>
          <w:b/>
          <w:bCs/>
          <w:sz w:val="24"/>
          <w:szCs w:val="24"/>
          <w:lang w:val="en-GB"/>
        </w:rPr>
      </w:pPr>
      <w:r w:rsidRPr="002F48F9">
        <w:rPr>
          <w:rFonts w:ascii="Times New Roman" w:hAnsi="Times New Roman" w:cs="Times New Roman"/>
          <w:sz w:val="24"/>
          <w:szCs w:val="24"/>
        </w:rPr>
        <w:t xml:space="preserve">49.1% of anemic pregnant women had spouses who were self-employed. Their spouses were identified as government workers. 42.6% of the time, 7.4% of the time are students, and 0.9% are unemployed. In addition, the association between the occupation of the spouse and anemia status was insignificant. 44.4% of anaemic pregnant women’s mothers had no formal education. 6.5%, 10.2%, 11.1%, and 27.8% of pregnant women who were anaemic had mothers whose levels of education were primary, junior high, senior high, and tertiary, respectively. Moreover, there was no association between the anemia status of pregnant women and their mothers’ level of education, with a p value of 0.08. There was no association between the spouse’s level of education and anemia status with a p value of 0.210. 3.7% of anaemic pregnant women's husbands had no formal education; 53.7%, 21.3%, 0.9%, and 20.4% had spouses with tertiary, senior high, junior high, and primary school education, respectively. The amount of education of the father had a weak correlation with anemic status. Moreover, 17.6% of anaemic pregnant women’s fathers had no formal education, 41.7% had been to tertiary level, 3.7% stopped at JHS, 16.7% of the fathers stopped at primary and 20.3% were found to have stopped at SHS. With a p value of 0.439, there was no significant link between religion and anemia. 78% of anaemic women were Muslims. The rest were Christians. Religion of spouse and anemia status also had no strong association of p value of 0.439. 78% of the anaemic pregnant women spouses were Muslims. Nulliparous women made up 48.1% of the anaemic population. Generally, the percentage of anaemic pregnant women reduces with the increasing number of children. However, there was an association between the number of children and anemia status. Also, this applied to the number of wives their spouses had with a poor association as well. </w:t>
      </w:r>
      <w:r w:rsidR="00AD360D"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{"citationItems":[{"id":"ITEM-1","itemData":{"DOI":"10.1371/journal.pone.0202734","ISSN":"1932-6203 (Electronic)","PMID":"30133527","abstract":"BACKGROUND: Globally, anemia in pregnancy increases maternal, fetal and neonatal  mortality and morbidity. According to 2011 Ethiopian Demographic and Health Survey, 22% of pregnant women in Ethiopia were reported to be anemic. However, since the Ethiopian population is diverse with regard to culture, religion and other characteristics, this evidence may not represent the condition in our study area. So, we aimed to determine the prevalence of anemia and its associated factors among women receiving Antenatal Care (ANC) in Debre Berhan Town Hospitals and Clinics. METHODS: We conducted an institution based cross sectional study among women receiving ANC at hospitals and clinics in Debre Berhan Town, Ethiopia from September to November, 2013. Antenatal care providers in the respective health facilities collected the data by interview and observation using closed and open-ended questions. We computed frequencies and percentages to describe the data. We performed bivariate and multivariable binary logistic regression analyses to identify factors associated with anemia in pregnancy. STATA version 12 was used to carry out the analyses. RESULTS: A total of 295 participants completed the study, with a response rate of 89%. This study demonstrated a 10% prevalence of anemia out of which 64.3%, 32% and 4% of the respondents were with mild, moderate and severe anemia respectively. Anemia was statistically significantly associated with education and occupation. CONCLUSION: The prevalence of anemia in our study area is lower than previous studies' findings. Literacy and job status of the women were predictors of anemia in pregnancy. Since this study was conducted on women who had an opportunity to visit health facilities, it is more valuable to conduct community based research to better understand the problem in the study area and thus propose future deliverable.","author":[{"dropping-particle":"","family":"Mekonnen","given":"Fantahun Ayenew","non-dropping-particle":"","parse-names":false,"suffix":""},{"dropping-particle":"","family":"Ambaw","given":"Yohannes Abere","non-dropping-particle":"","parse-names":false,"suffix":""},{"dropping-particle":"","family":"Neri","given":"Genanew Timerga","non-dropping-particle":"","parse-names":false,"suffix":""}],"container-title":"PloS one","id":"ITEM-1","issue":"8","issued":{"date-parts":[["2018"]]},"language":"eng","page":"e0202734","publisher-place":"United States","title":"Socio-economic determinants of anemia in pregnancy in North Shoa Zone, Ethiopia.","type":"article-journal","volume":"13"},"uris":["http://www.mendeley.com/documents/?uuid=59a42c42-72d0-46f0-a69b-5889c1f0a82b"]}],"mendeley":{"formattedCitation":"(Mekonnen et al., 2018)","plainTextFormattedCitation":"(Mekonnen et al., 2018)","previouslyFormattedCitation":"&lt;sup&gt;8&lt;/sup&gt;"},"properties":{"noteIndex":0},"schema":"https://github.com/citation-style-language/schema/raw/master/csl-citation.json"}</w:instrText>
      </w:r>
      <w:r w:rsidR="00AD360D"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(Mekonnen et al., 2018)</w:t>
      </w:r>
      <w:r w:rsidR="00AD360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have reported that cultural and socioeconomic factors contribute to anemia in pregnancy. </w:t>
      </w:r>
    </w:p>
    <w:p w14:paraId="7C774606" w14:textId="77777777" w:rsidR="00165D80" w:rsidRPr="002F48F9" w:rsidRDefault="00165D80" w:rsidP="009F1A57">
      <w:pPr>
        <w:rPr>
          <w:rFonts w:ascii="Times New Roman" w:hAnsi="Times New Roman" w:cs="Times New Roman"/>
          <w:b/>
          <w:bCs/>
          <w:sz w:val="24"/>
          <w:szCs w:val="24"/>
          <w:lang w:val="en-GB"/>
        </w:rPr>
      </w:pPr>
    </w:p>
    <w:p w14:paraId="246A64C8" w14:textId="77777777" w:rsidR="00807BBA" w:rsidRPr="002F48F9" w:rsidRDefault="00807BBA" w:rsidP="00807BBA">
      <w:pPr>
        <w:pStyle w:val="Heading2"/>
        <w:ind w:left="10"/>
        <w:rPr>
          <w:szCs w:val="24"/>
        </w:rPr>
      </w:pPr>
      <w:r w:rsidRPr="002F48F9">
        <w:rPr>
          <w:szCs w:val="24"/>
        </w:rPr>
        <w:t xml:space="preserve">ASSESSING RISK FACTORS OF ANEMIA </w:t>
      </w:r>
    </w:p>
    <w:p w14:paraId="20A908C0" w14:textId="2C5FE305"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The study found out that 25 out of the 183 women complained they had diarrhoea in the past four weeks prior to the interview. This made up 13.7% of the total sample. Out of these 25, no pregnant woman complained of having had diarrhoea. Out of the 13.7% who had diarrhoea, 8.2% were anaemic and 5.5% were non-anaemic. This is summarised in table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below.</w:t>
      </w:r>
    </w:p>
    <w:p w14:paraId="0FC17B27" w14:textId="3987CCA5" w:rsidR="00807BBA" w:rsidRPr="002F48F9" w:rsidRDefault="00807BBA" w:rsidP="00807BBA">
      <w:pPr>
        <w:spacing w:after="125"/>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DIARRHEAL ILLNESS AND ANEMIA-STATUS AND PERCENTAGE </w:t>
      </w:r>
    </w:p>
    <w:tbl>
      <w:tblPr>
        <w:tblStyle w:val="TableGrid"/>
        <w:tblW w:w="9540" w:type="dxa"/>
        <w:tblInd w:w="5" w:type="dxa"/>
        <w:tblCellMar>
          <w:left w:w="108" w:type="dxa"/>
          <w:right w:w="48" w:type="dxa"/>
        </w:tblCellMar>
        <w:tblLook w:val="04A0" w:firstRow="1" w:lastRow="0" w:firstColumn="1" w:lastColumn="0" w:noHBand="0" w:noVBand="1"/>
      </w:tblPr>
      <w:tblGrid>
        <w:gridCol w:w="3122"/>
        <w:gridCol w:w="590"/>
        <w:gridCol w:w="1666"/>
        <w:gridCol w:w="1529"/>
        <w:gridCol w:w="1678"/>
        <w:gridCol w:w="955"/>
      </w:tblGrid>
      <w:tr w:rsidR="00807BBA" w:rsidRPr="002F48F9" w14:paraId="5A228344" w14:textId="77777777" w:rsidTr="00FC2C53">
        <w:trPr>
          <w:trHeight w:val="310"/>
        </w:trPr>
        <w:tc>
          <w:tcPr>
            <w:tcW w:w="3122" w:type="dxa"/>
            <w:vMerge w:val="restart"/>
            <w:tcBorders>
              <w:top w:val="single" w:sz="4" w:space="0" w:color="000000"/>
              <w:left w:val="single" w:sz="4" w:space="0" w:color="000000"/>
              <w:right w:val="single" w:sz="4" w:space="0" w:color="000000"/>
            </w:tcBorders>
          </w:tcPr>
          <w:p w14:paraId="0C9E530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lastRenderedPageBreak/>
              <w:t xml:space="preserve"> </w:t>
            </w:r>
          </w:p>
          <w:p w14:paraId="30E2D395" w14:textId="77777777" w:rsidR="00807BBA" w:rsidRPr="002F48F9" w:rsidRDefault="00807BBA" w:rsidP="00FC2C53">
            <w:pPr>
              <w:spacing w:line="259" w:lineRule="auto"/>
              <w:jc w:val="center"/>
              <w:rPr>
                <w:rFonts w:ascii="Times New Roman" w:hAnsi="Times New Roman" w:cs="Times New Roman"/>
                <w:sz w:val="24"/>
                <w:szCs w:val="24"/>
              </w:rPr>
            </w:pPr>
          </w:p>
          <w:p w14:paraId="08DBD7E5" w14:textId="77777777" w:rsidR="00807BBA" w:rsidRPr="002F48F9" w:rsidRDefault="00807BBA" w:rsidP="00FC2C53">
            <w:pPr>
              <w:spacing w:line="259" w:lineRule="auto"/>
              <w:jc w:val="center"/>
              <w:rPr>
                <w:rFonts w:ascii="Times New Roman" w:hAnsi="Times New Roman" w:cs="Times New Roman"/>
                <w:sz w:val="24"/>
                <w:szCs w:val="24"/>
              </w:rPr>
            </w:pPr>
          </w:p>
          <w:p w14:paraId="74F61AB8" w14:textId="77777777" w:rsidR="00807BBA" w:rsidRPr="002F48F9" w:rsidRDefault="00807BBA" w:rsidP="00FC2C53">
            <w:pPr>
              <w:spacing w:line="259" w:lineRule="auto"/>
              <w:jc w:val="center"/>
              <w:rPr>
                <w:rFonts w:ascii="Times New Roman" w:hAnsi="Times New Roman" w:cs="Times New Roman"/>
                <w:sz w:val="24"/>
                <w:szCs w:val="24"/>
              </w:rPr>
            </w:pPr>
          </w:p>
          <w:p w14:paraId="206BFD55" w14:textId="77777777" w:rsidR="00807BBA" w:rsidRPr="002F48F9" w:rsidRDefault="00807BBA" w:rsidP="00FC2C53">
            <w:pPr>
              <w:spacing w:line="259" w:lineRule="auto"/>
              <w:jc w:val="center"/>
              <w:rPr>
                <w:rFonts w:ascii="Times New Roman" w:hAnsi="Times New Roman" w:cs="Times New Roman"/>
                <w:sz w:val="24"/>
                <w:szCs w:val="24"/>
              </w:rPr>
            </w:pPr>
          </w:p>
          <w:p w14:paraId="69E25C59"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Diarrhoeal illness in the past four weeks?</w:t>
            </w:r>
          </w:p>
          <w:p w14:paraId="2BFDC4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416A6FF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2B559A7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2256" w:type="dxa"/>
            <w:gridSpan w:val="2"/>
            <w:vMerge w:val="restart"/>
            <w:tcBorders>
              <w:top w:val="single" w:sz="4" w:space="0" w:color="000000"/>
              <w:left w:val="single" w:sz="4" w:space="0" w:color="000000"/>
              <w:right w:val="single" w:sz="4" w:space="0" w:color="000000"/>
            </w:tcBorders>
          </w:tcPr>
          <w:p w14:paraId="0E1485C1"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445BF68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170CB85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5E079BC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3207" w:type="dxa"/>
            <w:gridSpan w:val="2"/>
            <w:tcBorders>
              <w:top w:val="single" w:sz="4" w:space="0" w:color="000000"/>
              <w:left w:val="single" w:sz="4" w:space="0" w:color="000000"/>
              <w:bottom w:val="single" w:sz="4" w:space="0" w:color="000000"/>
              <w:right w:val="single" w:sz="4" w:space="0" w:color="000000"/>
            </w:tcBorders>
          </w:tcPr>
          <w:p w14:paraId="64F0A691" w14:textId="77777777" w:rsidR="00807BBA" w:rsidRPr="002F48F9" w:rsidRDefault="00807BBA" w:rsidP="00FC2C53">
            <w:pPr>
              <w:spacing w:line="259" w:lineRule="auto"/>
              <w:jc w:val="center"/>
              <w:rPr>
                <w:rFonts w:ascii="Times New Roman" w:hAnsi="Times New Roman" w:cs="Times New Roman"/>
                <w:b/>
                <w:sz w:val="24"/>
                <w:szCs w:val="24"/>
              </w:rPr>
            </w:pPr>
            <w:r w:rsidRPr="002F48F9">
              <w:rPr>
                <w:rFonts w:ascii="Times New Roman" w:hAnsi="Times New Roman" w:cs="Times New Roman"/>
                <w:b/>
                <w:sz w:val="24"/>
                <w:szCs w:val="24"/>
              </w:rPr>
              <w:t>Status</w:t>
            </w:r>
          </w:p>
          <w:p w14:paraId="7F32F11F" w14:textId="77777777" w:rsidR="00807BBA" w:rsidRPr="002F48F9" w:rsidRDefault="00807BBA" w:rsidP="00FC2C53">
            <w:pPr>
              <w:spacing w:line="259" w:lineRule="auto"/>
              <w:jc w:val="center"/>
              <w:rPr>
                <w:rFonts w:ascii="Times New Roman" w:hAnsi="Times New Roman" w:cs="Times New Roman"/>
                <w:sz w:val="24"/>
                <w:szCs w:val="24"/>
                <w:highlight w:val="yellow"/>
              </w:rPr>
            </w:pPr>
          </w:p>
        </w:tc>
        <w:tc>
          <w:tcPr>
            <w:tcW w:w="955" w:type="dxa"/>
            <w:tcBorders>
              <w:top w:val="single" w:sz="4" w:space="0" w:color="000000"/>
              <w:left w:val="single" w:sz="4" w:space="0" w:color="000000"/>
              <w:bottom w:val="single" w:sz="4" w:space="0" w:color="000000"/>
              <w:right w:val="single" w:sz="4" w:space="0" w:color="000000"/>
            </w:tcBorders>
          </w:tcPr>
          <w:p w14:paraId="60593A68"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 xml:space="preserve">Total </w:t>
            </w:r>
          </w:p>
        </w:tc>
      </w:tr>
      <w:tr w:rsidR="00807BBA" w:rsidRPr="002F48F9" w14:paraId="46A0E309" w14:textId="77777777" w:rsidTr="00FC2C53">
        <w:trPr>
          <w:trHeight w:val="540"/>
        </w:trPr>
        <w:tc>
          <w:tcPr>
            <w:tcW w:w="3122" w:type="dxa"/>
            <w:vMerge/>
            <w:tcBorders>
              <w:left w:val="single" w:sz="4" w:space="0" w:color="000000"/>
              <w:right w:val="single" w:sz="4" w:space="0" w:color="000000"/>
            </w:tcBorders>
          </w:tcPr>
          <w:p w14:paraId="7912BF96"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2256" w:type="dxa"/>
            <w:gridSpan w:val="2"/>
            <w:vMerge/>
            <w:tcBorders>
              <w:left w:val="single" w:sz="4" w:space="0" w:color="000000"/>
              <w:bottom w:val="single" w:sz="4" w:space="0" w:color="000000"/>
              <w:right w:val="single" w:sz="4" w:space="0" w:color="000000"/>
            </w:tcBorders>
          </w:tcPr>
          <w:p w14:paraId="5F4CCF4F" w14:textId="77777777" w:rsidR="00807BBA" w:rsidRPr="002F48F9" w:rsidRDefault="00807BBA" w:rsidP="00FC2C53">
            <w:pPr>
              <w:spacing w:line="259"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20B9E03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Anaemic </w:t>
            </w:r>
          </w:p>
        </w:tc>
        <w:tc>
          <w:tcPr>
            <w:tcW w:w="2633" w:type="dxa"/>
            <w:gridSpan w:val="2"/>
            <w:tcBorders>
              <w:top w:val="single" w:sz="4" w:space="0" w:color="000000"/>
              <w:left w:val="single" w:sz="4" w:space="0" w:color="000000"/>
              <w:bottom w:val="single" w:sz="4" w:space="0" w:color="000000"/>
              <w:right w:val="single" w:sz="4" w:space="0" w:color="000000"/>
            </w:tcBorders>
          </w:tcPr>
          <w:p w14:paraId="15DC7C7F" w14:textId="0E081C78" w:rsidR="00807BBA" w:rsidRPr="002F48F9" w:rsidRDefault="00000000" w:rsidP="00FC2C53">
            <w:pPr>
              <w:spacing w:line="259" w:lineRule="auto"/>
              <w:rPr>
                <w:rFonts w:ascii="Times New Roman" w:hAnsi="Times New Roman" w:cs="Times New Roman"/>
                <w:sz w:val="24"/>
                <w:szCs w:val="24"/>
                <w:highlight w:val="yellow"/>
              </w:rPr>
            </w:pPr>
            <w:r>
              <w:rPr>
                <w:rFonts w:ascii="Times New Roman" w:hAnsi="Times New Roman" w:cs="Times New Roman"/>
                <w:noProof/>
                <w:sz w:val="24"/>
                <w:szCs w:val="24"/>
              </w:rPr>
              <w:pict w14:anchorId="2512AE86">
                <v:line id="Straight Connector 1035" o:spid="_x0000_s1028" style="position:absolute;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7.1pt,-.55pt" to="77.1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" strokeweight=".5pt">
                  <v:stroke joinstyle="miter"/>
                  <o:lock v:ext="edit" shapetype="f"/>
                </v:line>
              </w:pict>
            </w:r>
            <w:r w:rsidR="00807BBA" w:rsidRPr="002F48F9">
              <w:rPr>
                <w:rFonts w:ascii="Times New Roman" w:hAnsi="Times New Roman" w:cs="Times New Roman"/>
                <w:sz w:val="24"/>
                <w:szCs w:val="24"/>
              </w:rPr>
              <w:t xml:space="preserve">Nonanemic </w:t>
            </w:r>
          </w:p>
        </w:tc>
      </w:tr>
      <w:tr w:rsidR="00807BBA" w:rsidRPr="002F48F9" w14:paraId="308D0A43" w14:textId="77777777" w:rsidTr="00FC2C53">
        <w:trPr>
          <w:trHeight w:val="562"/>
        </w:trPr>
        <w:tc>
          <w:tcPr>
            <w:tcW w:w="3122" w:type="dxa"/>
            <w:vMerge/>
            <w:tcBorders>
              <w:left w:val="single" w:sz="4" w:space="0" w:color="000000"/>
              <w:right w:val="single" w:sz="4" w:space="0" w:color="000000"/>
            </w:tcBorders>
          </w:tcPr>
          <w:p w14:paraId="2532B460"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253E942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 </w:t>
            </w:r>
          </w:p>
        </w:tc>
        <w:tc>
          <w:tcPr>
            <w:tcW w:w="1666" w:type="dxa"/>
            <w:tcBorders>
              <w:top w:val="single" w:sz="4" w:space="0" w:color="000000"/>
              <w:left w:val="single" w:sz="4" w:space="0" w:color="000000"/>
              <w:bottom w:val="single" w:sz="4" w:space="0" w:color="000000"/>
              <w:right w:val="single" w:sz="4" w:space="0" w:color="000000"/>
            </w:tcBorders>
          </w:tcPr>
          <w:p w14:paraId="6CC573E0" w14:textId="77777777" w:rsidR="00807BBA" w:rsidRPr="002F48F9" w:rsidRDefault="00807BBA" w:rsidP="00FC2C53">
            <w:pPr>
              <w:tabs>
                <w:tab w:val="right" w:pos="1510"/>
              </w:tabs>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r w:rsidRPr="002F48F9">
              <w:rPr>
                <w:rFonts w:ascii="Times New Roman" w:hAnsi="Times New Roman" w:cs="Times New Roman"/>
                <w:sz w:val="24"/>
                <w:szCs w:val="24"/>
              </w:rPr>
              <w:tab/>
              <w:t xml:space="preserve">within </w:t>
            </w:r>
          </w:p>
          <w:p w14:paraId="6DFB59E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Status </w:t>
            </w:r>
          </w:p>
        </w:tc>
        <w:tc>
          <w:tcPr>
            <w:tcW w:w="1529" w:type="dxa"/>
            <w:tcBorders>
              <w:top w:val="single" w:sz="4" w:space="0" w:color="000000"/>
              <w:left w:val="single" w:sz="4" w:space="0" w:color="000000"/>
              <w:bottom w:val="single" w:sz="4" w:space="0" w:color="000000"/>
              <w:right w:val="single" w:sz="4" w:space="0" w:color="000000"/>
            </w:tcBorders>
          </w:tcPr>
          <w:p w14:paraId="5EB5B52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86.00% </w:t>
            </w:r>
          </w:p>
        </w:tc>
        <w:tc>
          <w:tcPr>
            <w:tcW w:w="1678" w:type="dxa"/>
            <w:tcBorders>
              <w:top w:val="single" w:sz="4" w:space="0" w:color="000000"/>
              <w:left w:val="single" w:sz="4" w:space="0" w:color="000000"/>
              <w:bottom w:val="single" w:sz="4" w:space="0" w:color="000000"/>
              <w:right w:val="single" w:sz="4" w:space="0" w:color="000000"/>
            </w:tcBorders>
          </w:tcPr>
          <w:p w14:paraId="7BF4AF0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98.20% </w:t>
            </w:r>
          </w:p>
        </w:tc>
        <w:tc>
          <w:tcPr>
            <w:tcW w:w="955" w:type="dxa"/>
            <w:tcBorders>
              <w:top w:val="single" w:sz="4" w:space="0" w:color="000000"/>
              <w:left w:val="single" w:sz="4" w:space="0" w:color="000000"/>
              <w:bottom w:val="single" w:sz="4" w:space="0" w:color="000000"/>
              <w:right w:val="single" w:sz="4" w:space="0" w:color="000000"/>
            </w:tcBorders>
          </w:tcPr>
          <w:p w14:paraId="74EC83E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86.30% </w:t>
            </w:r>
          </w:p>
        </w:tc>
      </w:tr>
      <w:tr w:rsidR="00807BBA" w:rsidRPr="002F48F9" w14:paraId="33787A17" w14:textId="77777777" w:rsidTr="00FC2C53">
        <w:trPr>
          <w:trHeight w:val="310"/>
        </w:trPr>
        <w:tc>
          <w:tcPr>
            <w:tcW w:w="3122" w:type="dxa"/>
            <w:vMerge/>
            <w:tcBorders>
              <w:left w:val="single" w:sz="4" w:space="0" w:color="000000"/>
              <w:right w:val="single" w:sz="4" w:space="0" w:color="000000"/>
            </w:tcBorders>
          </w:tcPr>
          <w:p w14:paraId="2DCF81FC"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0CBA6BA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6BFB31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of Total </w:t>
            </w:r>
          </w:p>
        </w:tc>
        <w:tc>
          <w:tcPr>
            <w:tcW w:w="1529" w:type="dxa"/>
            <w:tcBorders>
              <w:top w:val="single" w:sz="4" w:space="0" w:color="000000"/>
              <w:left w:val="single" w:sz="4" w:space="0" w:color="000000"/>
              <w:bottom w:val="single" w:sz="4" w:space="0" w:color="000000"/>
              <w:right w:val="single" w:sz="4" w:space="0" w:color="000000"/>
            </w:tcBorders>
          </w:tcPr>
          <w:p w14:paraId="63473F2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51.00% </w:t>
            </w:r>
          </w:p>
        </w:tc>
        <w:tc>
          <w:tcPr>
            <w:tcW w:w="1678" w:type="dxa"/>
            <w:tcBorders>
              <w:top w:val="single" w:sz="4" w:space="0" w:color="000000"/>
              <w:left w:val="single" w:sz="4" w:space="0" w:color="000000"/>
              <w:bottom w:val="single" w:sz="4" w:space="0" w:color="000000"/>
              <w:right w:val="single" w:sz="4" w:space="0" w:color="000000"/>
            </w:tcBorders>
          </w:tcPr>
          <w:p w14:paraId="3F4E3F9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45.20% </w:t>
            </w:r>
          </w:p>
        </w:tc>
        <w:tc>
          <w:tcPr>
            <w:tcW w:w="955" w:type="dxa"/>
            <w:tcBorders>
              <w:top w:val="single" w:sz="4" w:space="0" w:color="000000"/>
              <w:left w:val="single" w:sz="4" w:space="0" w:color="000000"/>
              <w:bottom w:val="single" w:sz="4" w:space="0" w:color="000000"/>
              <w:right w:val="single" w:sz="4" w:space="0" w:color="000000"/>
            </w:tcBorders>
          </w:tcPr>
          <w:p w14:paraId="37EA52D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86.30% </w:t>
            </w:r>
          </w:p>
        </w:tc>
      </w:tr>
      <w:tr w:rsidR="00807BBA" w:rsidRPr="002F48F9" w14:paraId="41D6F3A8" w14:textId="77777777" w:rsidTr="00FC2C53">
        <w:trPr>
          <w:trHeight w:val="562"/>
        </w:trPr>
        <w:tc>
          <w:tcPr>
            <w:tcW w:w="3122" w:type="dxa"/>
            <w:vMerge/>
            <w:tcBorders>
              <w:left w:val="single" w:sz="4" w:space="0" w:color="000000"/>
              <w:right w:val="single" w:sz="4" w:space="0" w:color="000000"/>
            </w:tcBorders>
          </w:tcPr>
          <w:p w14:paraId="2FF08D7D"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3A70B2A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Yes </w:t>
            </w:r>
          </w:p>
        </w:tc>
        <w:tc>
          <w:tcPr>
            <w:tcW w:w="1666" w:type="dxa"/>
            <w:tcBorders>
              <w:top w:val="single" w:sz="4" w:space="0" w:color="000000"/>
              <w:left w:val="single" w:sz="4" w:space="0" w:color="000000"/>
              <w:bottom w:val="single" w:sz="4" w:space="0" w:color="000000"/>
              <w:right w:val="single" w:sz="4" w:space="0" w:color="000000"/>
            </w:tcBorders>
          </w:tcPr>
          <w:p w14:paraId="10836E84" w14:textId="77777777" w:rsidR="00807BBA" w:rsidRPr="002F48F9" w:rsidRDefault="00807BBA" w:rsidP="00FC2C53">
            <w:pPr>
              <w:tabs>
                <w:tab w:val="right" w:pos="1510"/>
              </w:tabs>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r w:rsidRPr="002F48F9">
              <w:rPr>
                <w:rFonts w:ascii="Times New Roman" w:hAnsi="Times New Roman" w:cs="Times New Roman"/>
                <w:sz w:val="24"/>
                <w:szCs w:val="24"/>
              </w:rPr>
              <w:tab/>
              <w:t xml:space="preserve">within </w:t>
            </w:r>
          </w:p>
          <w:p w14:paraId="1D33855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Status </w:t>
            </w:r>
          </w:p>
        </w:tc>
        <w:tc>
          <w:tcPr>
            <w:tcW w:w="1529" w:type="dxa"/>
            <w:tcBorders>
              <w:top w:val="single" w:sz="4" w:space="0" w:color="000000"/>
              <w:left w:val="single" w:sz="4" w:space="0" w:color="000000"/>
              <w:bottom w:val="single" w:sz="4" w:space="0" w:color="000000"/>
              <w:right w:val="single" w:sz="4" w:space="0" w:color="000000"/>
            </w:tcBorders>
          </w:tcPr>
          <w:p w14:paraId="5C8FF83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13.9% </w:t>
            </w:r>
          </w:p>
        </w:tc>
        <w:tc>
          <w:tcPr>
            <w:tcW w:w="1678" w:type="dxa"/>
            <w:tcBorders>
              <w:top w:val="single" w:sz="4" w:space="0" w:color="000000"/>
              <w:left w:val="single" w:sz="4" w:space="0" w:color="000000"/>
              <w:bottom w:val="single" w:sz="4" w:space="0" w:color="000000"/>
              <w:right w:val="single" w:sz="4" w:space="0" w:color="000000"/>
            </w:tcBorders>
          </w:tcPr>
          <w:p w14:paraId="1A32D9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13.30% </w:t>
            </w:r>
          </w:p>
        </w:tc>
        <w:tc>
          <w:tcPr>
            <w:tcW w:w="955" w:type="dxa"/>
            <w:tcBorders>
              <w:top w:val="single" w:sz="4" w:space="0" w:color="000000"/>
              <w:left w:val="single" w:sz="4" w:space="0" w:color="000000"/>
              <w:bottom w:val="single" w:sz="4" w:space="0" w:color="000000"/>
              <w:right w:val="single" w:sz="4" w:space="0" w:color="000000"/>
            </w:tcBorders>
          </w:tcPr>
          <w:p w14:paraId="2BC1B8B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13.70% </w:t>
            </w:r>
          </w:p>
        </w:tc>
      </w:tr>
      <w:tr w:rsidR="00807BBA" w:rsidRPr="002F48F9" w14:paraId="66212BCA" w14:textId="77777777" w:rsidTr="00FC2C53">
        <w:trPr>
          <w:trHeight w:val="310"/>
        </w:trPr>
        <w:tc>
          <w:tcPr>
            <w:tcW w:w="3122" w:type="dxa"/>
            <w:vMerge/>
            <w:tcBorders>
              <w:left w:val="single" w:sz="4" w:space="0" w:color="000000"/>
              <w:bottom w:val="single" w:sz="4" w:space="0" w:color="000000"/>
              <w:right w:val="single" w:sz="4" w:space="0" w:color="000000"/>
            </w:tcBorders>
          </w:tcPr>
          <w:p w14:paraId="6E4E44F4"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590" w:type="dxa"/>
            <w:tcBorders>
              <w:top w:val="single" w:sz="4" w:space="0" w:color="000000"/>
              <w:left w:val="single" w:sz="4" w:space="0" w:color="000000"/>
              <w:bottom w:val="single" w:sz="4" w:space="0" w:color="000000"/>
              <w:right w:val="single" w:sz="4" w:space="0" w:color="000000"/>
            </w:tcBorders>
          </w:tcPr>
          <w:p w14:paraId="4BB82513"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2731B0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of Total </w:t>
            </w:r>
          </w:p>
        </w:tc>
        <w:tc>
          <w:tcPr>
            <w:tcW w:w="1529" w:type="dxa"/>
            <w:tcBorders>
              <w:top w:val="single" w:sz="4" w:space="0" w:color="000000"/>
              <w:left w:val="single" w:sz="4" w:space="0" w:color="000000"/>
              <w:bottom w:val="single" w:sz="4" w:space="0" w:color="000000"/>
              <w:right w:val="single" w:sz="4" w:space="0" w:color="000000"/>
            </w:tcBorders>
          </w:tcPr>
          <w:p w14:paraId="44E190B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c>
          <w:tcPr>
            <w:tcW w:w="1678" w:type="dxa"/>
            <w:tcBorders>
              <w:top w:val="single" w:sz="4" w:space="0" w:color="000000"/>
              <w:left w:val="single" w:sz="4" w:space="0" w:color="000000"/>
              <w:bottom w:val="single" w:sz="4" w:space="0" w:color="000000"/>
              <w:right w:val="single" w:sz="4" w:space="0" w:color="000000"/>
            </w:tcBorders>
          </w:tcPr>
          <w:p w14:paraId="1C78E7E4"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5.50% </w:t>
            </w:r>
          </w:p>
        </w:tc>
        <w:tc>
          <w:tcPr>
            <w:tcW w:w="955" w:type="dxa"/>
            <w:tcBorders>
              <w:top w:val="single" w:sz="4" w:space="0" w:color="000000"/>
              <w:left w:val="single" w:sz="4" w:space="0" w:color="000000"/>
              <w:bottom w:val="single" w:sz="4" w:space="0" w:color="000000"/>
              <w:right w:val="single" w:sz="4" w:space="0" w:color="000000"/>
            </w:tcBorders>
          </w:tcPr>
          <w:p w14:paraId="6564C6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13.70% </w:t>
            </w:r>
          </w:p>
        </w:tc>
      </w:tr>
    </w:tbl>
    <w:p w14:paraId="2199E32A" w14:textId="77777777" w:rsidR="00807BBA" w:rsidRPr="002F48F9" w:rsidRDefault="00807BBA" w:rsidP="00807BBA">
      <w:pPr>
        <w:spacing w:after="0"/>
        <w:rPr>
          <w:rFonts w:ascii="Times New Roman" w:hAnsi="Times New Roman" w:cs="Times New Roman"/>
          <w:sz w:val="24"/>
          <w:szCs w:val="24"/>
        </w:rPr>
      </w:pPr>
      <w:r w:rsidRPr="002F48F9">
        <w:rPr>
          <w:rFonts w:ascii="Times New Roman" w:hAnsi="Times New Roman" w:cs="Times New Roman"/>
          <w:sz w:val="24"/>
          <w:szCs w:val="24"/>
        </w:rPr>
        <w:t xml:space="preserve"> </w:t>
      </w:r>
    </w:p>
    <w:p w14:paraId="27AC829F" w14:textId="77777777" w:rsidR="00807BBA" w:rsidRPr="002F48F9" w:rsidRDefault="00807BBA" w:rsidP="00807BBA">
      <w:pPr>
        <w:ind w:left="-5" w:right="49"/>
        <w:rPr>
          <w:rFonts w:ascii="Times New Roman" w:hAnsi="Times New Roman" w:cs="Times New Roman"/>
          <w:sz w:val="24"/>
          <w:szCs w:val="24"/>
        </w:rPr>
      </w:pPr>
    </w:p>
    <w:p w14:paraId="201BE8BA" w14:textId="77777777"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From Table 6, 90 women, representing 49%, slept under a long-lasting insecticide net during their current pregnancy. In assessing other forms of vector control adopted by the pregnant women, it was found that 18.0% use only an insecticide coil, 26.2% use only an insecticide spray, 18.6% use both an insecticide spray and an insecticide coil, 3.3% use insecticide coil, insecticide spray and insecticide repellent, 1.6% use both insecticide spray and insecticide repellent, and 31.1% do not use any.  </w:t>
      </w:r>
    </w:p>
    <w:p w14:paraId="69BBEEAD"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addition, sleeping under a long-lasting insecticide net and anemia status have an association with a p-value of 0.041. 51.90% of pregnant women who were anaemic did not sleep under the insecticide net. However, 48.10% of those who slept under insecticide nets were anemic. Moreover, 49% of anemic respondents did not use any other method of vector control. 51% of anemic respondents used insecticide spray, mosquito repellent coils, or combined two vector control methods, respectively. Moreover, the association between vector control method and anemia status was not significant with a p-value of 0.027. </w:t>
      </w:r>
    </w:p>
    <w:p w14:paraId="69C04B25" w14:textId="77777777" w:rsidR="00807BBA" w:rsidRPr="002F48F9" w:rsidRDefault="00807BBA" w:rsidP="00807BBA">
      <w:pPr>
        <w:rPr>
          <w:rFonts w:ascii="Times New Roman" w:hAnsi="Times New Roman" w:cs="Times New Roman"/>
          <w:sz w:val="24"/>
          <w:szCs w:val="24"/>
        </w:rPr>
      </w:pPr>
      <w:r w:rsidRPr="002F48F9">
        <w:rPr>
          <w:rFonts w:ascii="Times New Roman" w:hAnsi="Times New Roman" w:cs="Times New Roman"/>
          <w:sz w:val="24"/>
          <w:szCs w:val="24"/>
        </w:rPr>
        <w:br w:type="page"/>
      </w:r>
    </w:p>
    <w:p w14:paraId="110FC4A7" w14:textId="77777777" w:rsidR="00807BBA" w:rsidRPr="002F48F9" w:rsidRDefault="00807BBA" w:rsidP="00807BBA">
      <w:pPr>
        <w:spacing w:after="446"/>
        <w:ind w:right="49"/>
        <w:rPr>
          <w:rFonts w:ascii="Times New Roman" w:hAnsi="Times New Roman" w:cs="Times New Roman"/>
          <w:sz w:val="24"/>
          <w:szCs w:val="24"/>
        </w:rPr>
      </w:pPr>
      <w:r w:rsidRPr="002F48F9">
        <w:rPr>
          <w:rFonts w:ascii="Times New Roman" w:hAnsi="Times New Roman" w:cs="Times New Roman"/>
          <w:noProof/>
          <w:sz w:val="24"/>
          <w:szCs w:val="24"/>
        </w:rPr>
        <w:lastRenderedPageBreak/>
        <w:drawing>
          <wp:anchor distT="0" distB="0" distL="114300" distR="114300" simplePos="0" relativeHeight="251655168" behindDoc="0" locked="0" layoutInCell="1" allowOverlap="1" wp14:anchorId="00EB76D1" wp14:editId="6439D7B6">
            <wp:simplePos x="0" y="0"/>
            <wp:positionH relativeFrom="column">
              <wp:posOffset>0</wp:posOffset>
            </wp:positionH>
            <wp:positionV relativeFrom="paragraph">
              <wp:posOffset>475614</wp:posOffset>
            </wp:positionV>
            <wp:extent cx="5486400" cy="3200400"/>
            <wp:effectExtent l="0" t="0" r="0" b="0"/>
            <wp:wrapSquare wrapText="bothSides"/>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24F7F7F6" w14:textId="77777777" w:rsidR="00807BBA" w:rsidRPr="002F48F9" w:rsidRDefault="00807BBA" w:rsidP="00807BBA">
      <w:pPr>
        <w:spacing w:after="446"/>
        <w:ind w:left="-5" w:right="49"/>
        <w:rPr>
          <w:rFonts w:ascii="Times New Roman" w:hAnsi="Times New Roman" w:cs="Times New Roman"/>
          <w:sz w:val="24"/>
          <w:szCs w:val="24"/>
        </w:rPr>
      </w:pPr>
    </w:p>
    <w:p w14:paraId="57F0622C" w14:textId="77777777" w:rsidR="00807BBA" w:rsidRPr="002F48F9" w:rsidRDefault="00807BBA" w:rsidP="00807BBA">
      <w:pPr>
        <w:spacing w:after="446"/>
        <w:ind w:left="-5" w:right="49"/>
        <w:rPr>
          <w:rFonts w:ascii="Times New Roman" w:hAnsi="Times New Roman" w:cs="Times New Roman"/>
          <w:sz w:val="24"/>
          <w:szCs w:val="24"/>
        </w:rPr>
      </w:pPr>
    </w:p>
    <w:p w14:paraId="3BF3089A" w14:textId="77777777" w:rsidR="00807BBA" w:rsidRPr="002F48F9" w:rsidRDefault="00807BBA" w:rsidP="00807BBA">
      <w:pPr>
        <w:spacing w:after="446"/>
        <w:ind w:left="-5" w:right="49"/>
        <w:rPr>
          <w:rFonts w:ascii="Times New Roman" w:hAnsi="Times New Roman" w:cs="Times New Roman"/>
          <w:sz w:val="24"/>
          <w:szCs w:val="24"/>
        </w:rPr>
      </w:pPr>
    </w:p>
    <w:p w14:paraId="759DD4E2" w14:textId="77777777" w:rsidR="00807BBA" w:rsidRPr="002F48F9" w:rsidRDefault="00807BBA" w:rsidP="00807BBA">
      <w:pPr>
        <w:spacing w:after="446"/>
        <w:ind w:left="-5" w:right="49"/>
        <w:rPr>
          <w:rFonts w:ascii="Times New Roman" w:hAnsi="Times New Roman" w:cs="Times New Roman"/>
          <w:sz w:val="24"/>
          <w:szCs w:val="24"/>
        </w:rPr>
      </w:pPr>
    </w:p>
    <w:p w14:paraId="42FCD33E" w14:textId="77777777" w:rsidR="00807BBA" w:rsidRPr="002F48F9" w:rsidRDefault="00807BBA" w:rsidP="00807BBA">
      <w:pPr>
        <w:spacing w:after="446"/>
        <w:ind w:left="-5" w:right="49"/>
        <w:rPr>
          <w:rFonts w:ascii="Times New Roman" w:hAnsi="Times New Roman" w:cs="Times New Roman"/>
          <w:sz w:val="24"/>
          <w:szCs w:val="24"/>
        </w:rPr>
      </w:pPr>
    </w:p>
    <w:p w14:paraId="7840D626" w14:textId="77777777" w:rsidR="00807BBA" w:rsidRPr="002F48F9" w:rsidRDefault="00807BBA" w:rsidP="00807BBA">
      <w:pPr>
        <w:spacing w:after="446"/>
        <w:ind w:left="-5" w:right="49"/>
        <w:rPr>
          <w:rFonts w:ascii="Times New Roman" w:hAnsi="Times New Roman" w:cs="Times New Roman"/>
          <w:sz w:val="24"/>
          <w:szCs w:val="24"/>
        </w:rPr>
      </w:pPr>
    </w:p>
    <w:p w14:paraId="6A646DD5" w14:textId="77777777" w:rsidR="00807BBA" w:rsidRPr="002F48F9" w:rsidRDefault="00807BBA" w:rsidP="00807BBA">
      <w:pPr>
        <w:spacing w:after="446"/>
        <w:ind w:left="-5" w:right="49"/>
        <w:rPr>
          <w:rFonts w:ascii="Times New Roman" w:hAnsi="Times New Roman" w:cs="Times New Roman"/>
          <w:sz w:val="24"/>
          <w:szCs w:val="24"/>
        </w:rPr>
      </w:pPr>
    </w:p>
    <w:p w14:paraId="29D6724D" w14:textId="500C115A" w:rsidR="00807BBA" w:rsidRPr="002F48F9" w:rsidRDefault="00807BBA" w:rsidP="00807BBA">
      <w:pPr>
        <w:spacing w:after="446"/>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VECTOR CONTROL AND FREQUENCY </w:t>
      </w:r>
    </w:p>
    <w:p w14:paraId="22EBB95C" w14:textId="77777777" w:rsidR="00807BBA" w:rsidRPr="002F48F9" w:rsidRDefault="00807BBA" w:rsidP="00807BBA">
      <w:pPr>
        <w:spacing w:after="98"/>
        <w:rPr>
          <w:rFonts w:ascii="Times New Roman" w:hAnsi="Times New Roman" w:cs="Times New Roman"/>
          <w:sz w:val="24"/>
          <w:szCs w:val="24"/>
        </w:rPr>
      </w:pPr>
      <w:r w:rsidRPr="002F48F9">
        <w:rPr>
          <w:rFonts w:ascii="Times New Roman" w:hAnsi="Times New Roman" w:cs="Times New Roman"/>
          <w:sz w:val="24"/>
          <w:szCs w:val="24"/>
        </w:rPr>
        <w:t xml:space="preserve"> </w:t>
      </w:r>
    </w:p>
    <w:p w14:paraId="4832B98A" w14:textId="71092195" w:rsidR="00807BBA" w:rsidRPr="002F48F9" w:rsidRDefault="00807BBA" w:rsidP="00807BBA">
      <w:pPr>
        <w:spacing w:after="252"/>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854F8A" w:rsidRPr="002F48F9">
        <w:rPr>
          <w:rFonts w:ascii="Times New Roman" w:hAnsi="Times New Roman" w:cs="Times New Roman"/>
          <w:sz w:val="24"/>
          <w:szCs w:val="24"/>
        </w:rPr>
        <w:t>2</w:t>
      </w:r>
      <w:r w:rsidRPr="002F48F9">
        <w:rPr>
          <w:rFonts w:ascii="Times New Roman" w:hAnsi="Times New Roman" w:cs="Times New Roman"/>
          <w:sz w:val="24"/>
          <w:szCs w:val="24"/>
        </w:rPr>
        <w:t xml:space="preserve">: METHOD OF VECTOR CONTROL AND THEIR RESPECTIVE ANEMIA-STATUS </w:t>
      </w:r>
    </w:p>
    <w:p w14:paraId="5D04C909" w14:textId="77777777" w:rsidR="00807BBA" w:rsidRPr="002F48F9" w:rsidRDefault="00807BBA" w:rsidP="00807BBA">
      <w:pPr>
        <w:spacing w:after="128"/>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AND PERCENTAGE  </w:t>
      </w:r>
    </w:p>
    <w:tbl>
      <w:tblPr>
        <w:tblStyle w:val="TableGrid"/>
        <w:tblW w:w="9694" w:type="dxa"/>
        <w:tblInd w:w="5" w:type="dxa"/>
        <w:tblCellMar>
          <w:left w:w="108" w:type="dxa"/>
          <w:right w:w="48" w:type="dxa"/>
        </w:tblCellMar>
        <w:tblLook w:val="04A0" w:firstRow="1" w:lastRow="0" w:firstColumn="1" w:lastColumn="0" w:noHBand="0" w:noVBand="1"/>
      </w:tblPr>
      <w:tblGrid>
        <w:gridCol w:w="3882"/>
        <w:gridCol w:w="2006"/>
        <w:gridCol w:w="1085"/>
        <w:gridCol w:w="955"/>
        <w:gridCol w:w="955"/>
        <w:gridCol w:w="811"/>
      </w:tblGrid>
      <w:tr w:rsidR="00807BBA" w:rsidRPr="002F48F9" w14:paraId="19753A7A" w14:textId="77777777" w:rsidTr="00FC2C53">
        <w:trPr>
          <w:trHeight w:val="562"/>
        </w:trPr>
        <w:tc>
          <w:tcPr>
            <w:tcW w:w="3882" w:type="dxa"/>
            <w:vMerge w:val="restart"/>
            <w:tcBorders>
              <w:top w:val="single" w:sz="4" w:space="0" w:color="000000"/>
              <w:left w:val="single" w:sz="4" w:space="0" w:color="000000"/>
              <w:right w:val="single" w:sz="4" w:space="0" w:color="000000"/>
            </w:tcBorders>
          </w:tcPr>
          <w:p w14:paraId="1BA1394F"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highlight w:val="yellow"/>
              </w:rPr>
              <w:t xml:space="preserve"> </w:t>
            </w:r>
          </w:p>
          <w:p w14:paraId="132059C7"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 xml:space="preserve"> Method of vector control </w:t>
            </w:r>
          </w:p>
        </w:tc>
        <w:tc>
          <w:tcPr>
            <w:tcW w:w="2006" w:type="dxa"/>
            <w:vMerge w:val="restart"/>
            <w:tcBorders>
              <w:top w:val="single" w:sz="4" w:space="0" w:color="000000"/>
              <w:left w:val="single" w:sz="4" w:space="0" w:color="000000"/>
              <w:right w:val="single" w:sz="4" w:space="0" w:color="000000"/>
            </w:tcBorders>
          </w:tcPr>
          <w:p w14:paraId="5B20E51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8023765"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Status </w:t>
            </w:r>
          </w:p>
        </w:tc>
        <w:tc>
          <w:tcPr>
            <w:tcW w:w="955" w:type="dxa"/>
            <w:tcBorders>
              <w:top w:val="single" w:sz="4" w:space="0" w:color="000000"/>
              <w:left w:val="single" w:sz="4" w:space="0" w:color="000000"/>
              <w:bottom w:val="single" w:sz="4" w:space="0" w:color="000000"/>
              <w:right w:val="single" w:sz="4" w:space="0" w:color="000000"/>
            </w:tcBorders>
          </w:tcPr>
          <w:p w14:paraId="2813D777"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1C3DA56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Total </w:t>
            </w:r>
          </w:p>
        </w:tc>
        <w:tc>
          <w:tcPr>
            <w:tcW w:w="811" w:type="dxa"/>
            <w:tcBorders>
              <w:top w:val="single" w:sz="4" w:space="0" w:color="000000"/>
              <w:left w:val="single" w:sz="4" w:space="0" w:color="000000"/>
              <w:bottom w:val="single" w:sz="4" w:space="0" w:color="000000"/>
              <w:right w:val="single" w:sz="4" w:space="0" w:color="000000"/>
            </w:tcBorders>
          </w:tcPr>
          <w:p w14:paraId="0400457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p value </w:t>
            </w:r>
          </w:p>
        </w:tc>
      </w:tr>
      <w:tr w:rsidR="00807BBA" w:rsidRPr="002F48F9" w14:paraId="38352D9C" w14:textId="77777777" w:rsidTr="00FC2C53">
        <w:trPr>
          <w:trHeight w:val="310"/>
        </w:trPr>
        <w:tc>
          <w:tcPr>
            <w:tcW w:w="3882" w:type="dxa"/>
            <w:vMerge/>
            <w:tcBorders>
              <w:left w:val="single" w:sz="4" w:space="0" w:color="000000"/>
              <w:bottom w:val="single" w:sz="4" w:space="0" w:color="000000"/>
              <w:right w:val="single" w:sz="4" w:space="0" w:color="000000"/>
            </w:tcBorders>
          </w:tcPr>
          <w:p w14:paraId="41510ACD" w14:textId="77777777" w:rsidR="00807BBA" w:rsidRPr="002F48F9" w:rsidRDefault="00807BBA" w:rsidP="00FC2C53">
            <w:pPr>
              <w:spacing w:line="259" w:lineRule="auto"/>
              <w:rPr>
                <w:rFonts w:ascii="Times New Roman" w:hAnsi="Times New Roman" w:cs="Times New Roman"/>
                <w:sz w:val="24"/>
                <w:szCs w:val="24"/>
              </w:rPr>
            </w:pPr>
          </w:p>
        </w:tc>
        <w:tc>
          <w:tcPr>
            <w:tcW w:w="2006" w:type="dxa"/>
            <w:vMerge/>
            <w:tcBorders>
              <w:left w:val="single" w:sz="4" w:space="0" w:color="000000"/>
              <w:bottom w:val="single" w:sz="4" w:space="0" w:color="000000"/>
              <w:right w:val="single" w:sz="4" w:space="0" w:color="000000"/>
            </w:tcBorders>
          </w:tcPr>
          <w:p w14:paraId="5D1821F4" w14:textId="77777777" w:rsidR="00807BBA" w:rsidRPr="002F48F9" w:rsidRDefault="00807BBA" w:rsidP="00FC2C53">
            <w:pPr>
              <w:spacing w:line="259" w:lineRule="auto"/>
              <w:rPr>
                <w:rFonts w:ascii="Times New Roman"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tcPr>
          <w:p w14:paraId="01DB726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Anaemic </w:t>
            </w:r>
          </w:p>
        </w:tc>
        <w:tc>
          <w:tcPr>
            <w:tcW w:w="2721" w:type="dxa"/>
            <w:gridSpan w:val="3"/>
            <w:tcBorders>
              <w:top w:val="single" w:sz="4" w:space="0" w:color="000000"/>
              <w:left w:val="single" w:sz="4" w:space="0" w:color="000000"/>
              <w:bottom w:val="single" w:sz="4" w:space="0" w:color="000000"/>
              <w:right w:val="single" w:sz="4" w:space="0" w:color="000000"/>
            </w:tcBorders>
          </w:tcPr>
          <w:p w14:paraId="5AC15879" w14:textId="4C7CD625" w:rsidR="00807BBA" w:rsidRPr="002F48F9" w:rsidRDefault="00000000" w:rsidP="00FC2C53">
            <w:pPr>
              <w:spacing w:line="259" w:lineRule="auto"/>
              <w:rPr>
                <w:rFonts w:ascii="Times New Roman" w:hAnsi="Times New Roman" w:cs="Times New Roman"/>
                <w:sz w:val="24"/>
                <w:szCs w:val="24"/>
              </w:rPr>
            </w:pPr>
            <w:r>
              <w:rPr>
                <w:rFonts w:ascii="Times New Roman" w:hAnsi="Times New Roman" w:cs="Times New Roman"/>
                <w:noProof/>
                <w:sz w:val="24"/>
                <w:szCs w:val="24"/>
              </w:rPr>
              <w:pict w14:anchorId="0796E09C">
                <v:line id="Straight Connector 1037" o:spid="_x0000_s1027" style="position:absolute;z-index:251660288;visibility:visible;mso-wrap-style:square;mso-wrap-distance-left:0;mso-wrap-distance-top:0;mso-wrap-distance-right:0;mso-wrap-distance-bottom:0;mso-position-horizontal:absolute;mso-position-horizontal-relative:text;mso-position-vertical:absolute;mso-position-vertical-relative:text" from="89.1pt,-.75pt" to="89.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" strokeweight=".5pt">
                  <v:stroke joinstyle="miter"/>
                  <o:lock v:ext="edit" shapetype="f"/>
                </v:line>
              </w:pict>
            </w:r>
            <w:r>
              <w:rPr>
                <w:rFonts w:ascii="Times New Roman" w:hAnsi="Times New Roman" w:cs="Times New Roman"/>
                <w:noProof/>
                <w:sz w:val="24"/>
                <w:szCs w:val="24"/>
              </w:rPr>
              <w:pict w14:anchorId="3DDF07CB">
                <v:line id="Straight Connector 1036"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41.85pt,-.75pt" to="4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" strokeweight=".5pt">
                  <v:stroke joinstyle="miter"/>
                  <o:lock v:ext="edit" shapetype="f"/>
                </v:line>
              </w:pict>
            </w:r>
            <w:r w:rsidR="00807BBA" w:rsidRPr="002F48F9">
              <w:rPr>
                <w:rFonts w:ascii="Times New Roman" w:hAnsi="Times New Roman" w:cs="Times New Roman"/>
                <w:sz w:val="24"/>
                <w:szCs w:val="24"/>
              </w:rPr>
              <w:t xml:space="preserve">Non </w:t>
            </w:r>
          </w:p>
          <w:p w14:paraId="466BFF7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Anaemic </w:t>
            </w:r>
          </w:p>
        </w:tc>
      </w:tr>
      <w:tr w:rsidR="00807BBA" w:rsidRPr="002F48F9" w14:paraId="269876F2" w14:textId="77777777" w:rsidTr="00FC2C53">
        <w:trPr>
          <w:trHeight w:val="562"/>
        </w:trPr>
        <w:tc>
          <w:tcPr>
            <w:tcW w:w="3882" w:type="dxa"/>
            <w:tcBorders>
              <w:top w:val="single" w:sz="4" w:space="0" w:color="000000"/>
              <w:left w:val="single" w:sz="4" w:space="0" w:color="000000"/>
              <w:bottom w:val="single" w:sz="4" w:space="0" w:color="000000"/>
              <w:right w:val="single" w:sz="4" w:space="0" w:color="000000"/>
            </w:tcBorders>
          </w:tcPr>
          <w:p w14:paraId="6B23934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Do you currently sleep in ITN? </w:t>
            </w:r>
          </w:p>
        </w:tc>
        <w:tc>
          <w:tcPr>
            <w:tcW w:w="2006" w:type="dxa"/>
            <w:tcBorders>
              <w:top w:val="single" w:sz="4" w:space="0" w:color="000000"/>
              <w:left w:val="single" w:sz="4" w:space="0" w:color="000000"/>
              <w:bottom w:val="single" w:sz="4" w:space="0" w:color="000000"/>
              <w:right w:val="single" w:sz="4" w:space="0" w:color="000000"/>
            </w:tcBorders>
          </w:tcPr>
          <w:p w14:paraId="4ED63AA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 </w:t>
            </w:r>
          </w:p>
        </w:tc>
        <w:tc>
          <w:tcPr>
            <w:tcW w:w="1085" w:type="dxa"/>
            <w:tcBorders>
              <w:top w:val="single" w:sz="4" w:space="0" w:color="000000"/>
              <w:left w:val="single" w:sz="4" w:space="0" w:color="000000"/>
              <w:bottom w:val="single" w:sz="4" w:space="0" w:color="000000"/>
              <w:right w:val="single" w:sz="4" w:space="0" w:color="000000"/>
            </w:tcBorders>
          </w:tcPr>
          <w:p w14:paraId="0B94D82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51.90% </w:t>
            </w:r>
          </w:p>
        </w:tc>
        <w:tc>
          <w:tcPr>
            <w:tcW w:w="955" w:type="dxa"/>
            <w:tcBorders>
              <w:top w:val="single" w:sz="4" w:space="0" w:color="000000"/>
              <w:left w:val="single" w:sz="4" w:space="0" w:color="000000"/>
              <w:bottom w:val="single" w:sz="4" w:space="0" w:color="000000"/>
              <w:right w:val="single" w:sz="4" w:space="0" w:color="000000"/>
            </w:tcBorders>
          </w:tcPr>
          <w:p w14:paraId="6834646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45.33% </w:t>
            </w:r>
          </w:p>
        </w:tc>
        <w:tc>
          <w:tcPr>
            <w:tcW w:w="955" w:type="dxa"/>
            <w:tcBorders>
              <w:top w:val="single" w:sz="4" w:space="0" w:color="000000"/>
              <w:left w:val="single" w:sz="4" w:space="0" w:color="000000"/>
              <w:bottom w:val="single" w:sz="4" w:space="0" w:color="000000"/>
              <w:right w:val="single" w:sz="4" w:space="0" w:color="000000"/>
            </w:tcBorders>
          </w:tcPr>
          <w:p w14:paraId="3CFD556E"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47.00% </w:t>
            </w:r>
          </w:p>
        </w:tc>
        <w:tc>
          <w:tcPr>
            <w:tcW w:w="811" w:type="dxa"/>
            <w:tcBorders>
              <w:top w:val="single" w:sz="4" w:space="0" w:color="000000"/>
              <w:left w:val="single" w:sz="4" w:space="0" w:color="000000"/>
              <w:bottom w:val="single" w:sz="4" w:space="0" w:color="000000"/>
              <w:right w:val="single" w:sz="4" w:space="0" w:color="000000"/>
            </w:tcBorders>
          </w:tcPr>
          <w:p w14:paraId="5DC340C4"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 0.041</w:t>
            </w:r>
          </w:p>
        </w:tc>
      </w:tr>
      <w:tr w:rsidR="00807BBA" w:rsidRPr="002F48F9" w14:paraId="249B5634"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4217F04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2B6A209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Yes </w:t>
            </w:r>
          </w:p>
        </w:tc>
        <w:tc>
          <w:tcPr>
            <w:tcW w:w="1085" w:type="dxa"/>
            <w:tcBorders>
              <w:top w:val="single" w:sz="4" w:space="0" w:color="000000"/>
              <w:left w:val="single" w:sz="4" w:space="0" w:color="000000"/>
              <w:bottom w:val="single" w:sz="4" w:space="0" w:color="000000"/>
              <w:right w:val="single" w:sz="4" w:space="0" w:color="000000"/>
            </w:tcBorders>
          </w:tcPr>
          <w:p w14:paraId="21706B2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48.10% </w:t>
            </w:r>
          </w:p>
        </w:tc>
        <w:tc>
          <w:tcPr>
            <w:tcW w:w="955" w:type="dxa"/>
            <w:tcBorders>
              <w:top w:val="single" w:sz="4" w:space="0" w:color="000000"/>
              <w:left w:val="single" w:sz="4" w:space="0" w:color="000000"/>
              <w:bottom w:val="single" w:sz="4" w:space="0" w:color="000000"/>
              <w:right w:val="single" w:sz="4" w:space="0" w:color="000000"/>
            </w:tcBorders>
          </w:tcPr>
          <w:p w14:paraId="70CAFF5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54.67% </w:t>
            </w:r>
          </w:p>
        </w:tc>
        <w:tc>
          <w:tcPr>
            <w:tcW w:w="955" w:type="dxa"/>
            <w:tcBorders>
              <w:top w:val="single" w:sz="4" w:space="0" w:color="000000"/>
              <w:left w:val="single" w:sz="4" w:space="0" w:color="000000"/>
              <w:bottom w:val="single" w:sz="4" w:space="0" w:color="000000"/>
              <w:right w:val="single" w:sz="4" w:space="0" w:color="000000"/>
            </w:tcBorders>
          </w:tcPr>
          <w:p w14:paraId="36B2C6C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53.00% </w:t>
            </w:r>
          </w:p>
        </w:tc>
        <w:tc>
          <w:tcPr>
            <w:tcW w:w="811" w:type="dxa"/>
            <w:tcBorders>
              <w:top w:val="single" w:sz="4" w:space="0" w:color="000000"/>
              <w:left w:val="single" w:sz="4" w:space="0" w:color="000000"/>
              <w:bottom w:val="single" w:sz="4" w:space="0" w:color="000000"/>
              <w:right w:val="single" w:sz="4" w:space="0" w:color="000000"/>
            </w:tcBorders>
          </w:tcPr>
          <w:p w14:paraId="0381C626"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41516618"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7646DDC8" w14:textId="77777777" w:rsidR="00807BBA" w:rsidRPr="002F48F9" w:rsidRDefault="00807BBA" w:rsidP="00FC2C53">
            <w:pPr>
              <w:spacing w:line="259" w:lineRule="auto"/>
              <w:rPr>
                <w:rFonts w:ascii="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tcPr>
          <w:p w14:paraId="17B73A2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Total</w:t>
            </w:r>
          </w:p>
        </w:tc>
        <w:tc>
          <w:tcPr>
            <w:tcW w:w="1085" w:type="dxa"/>
            <w:tcBorders>
              <w:top w:val="single" w:sz="4" w:space="0" w:color="000000"/>
              <w:left w:val="single" w:sz="4" w:space="0" w:color="000000"/>
              <w:bottom w:val="single" w:sz="4" w:space="0" w:color="000000"/>
              <w:right w:val="single" w:sz="4" w:space="0" w:color="000000"/>
            </w:tcBorders>
          </w:tcPr>
          <w:p w14:paraId="6B3E53E9" w14:textId="77777777" w:rsidR="00807BBA" w:rsidRPr="002F48F9" w:rsidRDefault="00807BBA" w:rsidP="00FC2C53">
            <w:pPr>
              <w:spacing w:line="259" w:lineRule="auto"/>
              <w:rPr>
                <w:rFonts w:ascii="Times New Roman"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512613DF" w14:textId="77777777" w:rsidR="00807BBA" w:rsidRPr="002F48F9" w:rsidRDefault="00807BBA" w:rsidP="00FC2C53">
            <w:pPr>
              <w:spacing w:line="259" w:lineRule="auto"/>
              <w:rPr>
                <w:rFonts w:ascii="Times New Roman"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3CD5202A" w14:textId="77777777" w:rsidR="00807BBA" w:rsidRPr="002F48F9" w:rsidRDefault="00807BBA" w:rsidP="00FC2C53">
            <w:pPr>
              <w:spacing w:line="259" w:lineRule="auto"/>
              <w:rPr>
                <w:rFonts w:ascii="Times New Roman" w:hAnsi="Times New Roman" w:cs="Times New Roman"/>
                <w:sz w:val="24"/>
                <w:szCs w:val="24"/>
              </w:rPr>
            </w:pPr>
          </w:p>
        </w:tc>
        <w:tc>
          <w:tcPr>
            <w:tcW w:w="811" w:type="dxa"/>
            <w:tcBorders>
              <w:top w:val="single" w:sz="4" w:space="0" w:color="000000"/>
              <w:left w:val="single" w:sz="4" w:space="0" w:color="000000"/>
              <w:bottom w:val="single" w:sz="4" w:space="0" w:color="000000"/>
              <w:right w:val="single" w:sz="4" w:space="0" w:color="000000"/>
            </w:tcBorders>
          </w:tcPr>
          <w:p w14:paraId="573FB00A" w14:textId="77777777" w:rsidR="00807BBA" w:rsidRPr="002F48F9" w:rsidRDefault="00807BBA" w:rsidP="00FC2C53">
            <w:pPr>
              <w:spacing w:line="259" w:lineRule="auto"/>
              <w:rPr>
                <w:rFonts w:ascii="Times New Roman" w:hAnsi="Times New Roman" w:cs="Times New Roman"/>
                <w:sz w:val="24"/>
                <w:szCs w:val="24"/>
                <w:highlight w:val="yellow"/>
              </w:rPr>
            </w:pPr>
          </w:p>
        </w:tc>
      </w:tr>
      <w:tr w:rsidR="00807BBA" w:rsidRPr="002F48F9" w14:paraId="70CC6B53" w14:textId="77777777" w:rsidTr="00FC2C53">
        <w:trPr>
          <w:trHeight w:val="562"/>
        </w:trPr>
        <w:tc>
          <w:tcPr>
            <w:tcW w:w="3882" w:type="dxa"/>
            <w:tcBorders>
              <w:top w:val="single" w:sz="4" w:space="0" w:color="000000"/>
              <w:left w:val="single" w:sz="4" w:space="0" w:color="000000"/>
              <w:bottom w:val="single" w:sz="4" w:space="0" w:color="000000"/>
              <w:right w:val="single" w:sz="4" w:space="0" w:color="000000"/>
            </w:tcBorders>
          </w:tcPr>
          <w:p w14:paraId="6AC687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Other methods of vector control? Specify </w:t>
            </w:r>
          </w:p>
        </w:tc>
        <w:tc>
          <w:tcPr>
            <w:tcW w:w="2006" w:type="dxa"/>
            <w:tcBorders>
              <w:top w:val="single" w:sz="4" w:space="0" w:color="000000"/>
              <w:left w:val="single" w:sz="4" w:space="0" w:color="000000"/>
              <w:bottom w:val="single" w:sz="4" w:space="0" w:color="000000"/>
              <w:right w:val="single" w:sz="4" w:space="0" w:color="000000"/>
            </w:tcBorders>
          </w:tcPr>
          <w:p w14:paraId="5D3E941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w:t>
            </w:r>
          </w:p>
        </w:tc>
        <w:tc>
          <w:tcPr>
            <w:tcW w:w="1085" w:type="dxa"/>
            <w:tcBorders>
              <w:top w:val="single" w:sz="4" w:space="0" w:color="000000"/>
              <w:left w:val="single" w:sz="4" w:space="0" w:color="000000"/>
              <w:bottom w:val="single" w:sz="4" w:space="0" w:color="000000"/>
              <w:right w:val="single" w:sz="4" w:space="0" w:color="000000"/>
            </w:tcBorders>
          </w:tcPr>
          <w:p w14:paraId="44C4E0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6.5% </w:t>
            </w:r>
          </w:p>
        </w:tc>
        <w:tc>
          <w:tcPr>
            <w:tcW w:w="955" w:type="dxa"/>
            <w:tcBorders>
              <w:top w:val="single" w:sz="4" w:space="0" w:color="000000"/>
              <w:left w:val="single" w:sz="4" w:space="0" w:color="000000"/>
              <w:bottom w:val="single" w:sz="4" w:space="0" w:color="000000"/>
              <w:right w:val="single" w:sz="4" w:space="0" w:color="000000"/>
            </w:tcBorders>
          </w:tcPr>
          <w:p w14:paraId="4FE5384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37.30% </w:t>
            </w:r>
          </w:p>
        </w:tc>
        <w:tc>
          <w:tcPr>
            <w:tcW w:w="955" w:type="dxa"/>
            <w:tcBorders>
              <w:top w:val="single" w:sz="4" w:space="0" w:color="000000"/>
              <w:left w:val="single" w:sz="4" w:space="0" w:color="000000"/>
              <w:bottom w:val="single" w:sz="4" w:space="0" w:color="000000"/>
              <w:right w:val="single" w:sz="4" w:space="0" w:color="000000"/>
            </w:tcBorders>
          </w:tcPr>
          <w:p w14:paraId="27AE162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19.12%</w:t>
            </w:r>
          </w:p>
        </w:tc>
        <w:tc>
          <w:tcPr>
            <w:tcW w:w="811" w:type="dxa"/>
            <w:tcBorders>
              <w:top w:val="single" w:sz="4" w:space="0" w:color="000000"/>
              <w:left w:val="single" w:sz="4" w:space="0" w:color="000000"/>
              <w:bottom w:val="single" w:sz="4" w:space="0" w:color="000000"/>
              <w:right w:val="single" w:sz="4" w:space="0" w:color="000000"/>
            </w:tcBorders>
          </w:tcPr>
          <w:p w14:paraId="5C959044"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sz w:val="24"/>
                <w:szCs w:val="24"/>
              </w:rPr>
              <w:t>0.027.</w:t>
            </w:r>
          </w:p>
        </w:tc>
      </w:tr>
      <w:tr w:rsidR="00807BBA" w:rsidRPr="002F48F9" w14:paraId="78492BC3" w14:textId="77777777" w:rsidTr="00FC2C53">
        <w:trPr>
          <w:trHeight w:val="564"/>
        </w:trPr>
        <w:tc>
          <w:tcPr>
            <w:tcW w:w="3882" w:type="dxa"/>
            <w:tcBorders>
              <w:top w:val="single" w:sz="4" w:space="0" w:color="000000"/>
              <w:left w:val="single" w:sz="4" w:space="0" w:color="000000"/>
              <w:bottom w:val="single" w:sz="4" w:space="0" w:color="000000"/>
              <w:right w:val="single" w:sz="4" w:space="0" w:color="000000"/>
            </w:tcBorders>
          </w:tcPr>
          <w:p w14:paraId="6D3E3B3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0771EAA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Mosquito Spray </w:t>
            </w:r>
          </w:p>
        </w:tc>
        <w:tc>
          <w:tcPr>
            <w:tcW w:w="1085" w:type="dxa"/>
            <w:tcBorders>
              <w:top w:val="single" w:sz="4" w:space="0" w:color="000000"/>
              <w:left w:val="single" w:sz="4" w:space="0" w:color="000000"/>
              <w:bottom w:val="single" w:sz="4" w:space="0" w:color="000000"/>
              <w:right w:val="single" w:sz="4" w:space="0" w:color="000000"/>
            </w:tcBorders>
          </w:tcPr>
          <w:p w14:paraId="3844858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10.40% </w:t>
            </w:r>
          </w:p>
        </w:tc>
        <w:tc>
          <w:tcPr>
            <w:tcW w:w="955" w:type="dxa"/>
            <w:tcBorders>
              <w:top w:val="single" w:sz="4" w:space="0" w:color="000000"/>
              <w:left w:val="single" w:sz="4" w:space="0" w:color="000000"/>
              <w:bottom w:val="single" w:sz="4" w:space="0" w:color="000000"/>
              <w:right w:val="single" w:sz="4" w:space="0" w:color="000000"/>
            </w:tcBorders>
          </w:tcPr>
          <w:p w14:paraId="37C44D7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17.30% </w:t>
            </w:r>
          </w:p>
        </w:tc>
        <w:tc>
          <w:tcPr>
            <w:tcW w:w="955" w:type="dxa"/>
            <w:tcBorders>
              <w:top w:val="single" w:sz="4" w:space="0" w:color="000000"/>
              <w:left w:val="single" w:sz="4" w:space="0" w:color="000000"/>
              <w:bottom w:val="single" w:sz="4" w:space="0" w:color="000000"/>
              <w:right w:val="single" w:sz="4" w:space="0" w:color="000000"/>
            </w:tcBorders>
          </w:tcPr>
          <w:p w14:paraId="00DD7108"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9.58% </w:t>
            </w:r>
          </w:p>
        </w:tc>
        <w:tc>
          <w:tcPr>
            <w:tcW w:w="811" w:type="dxa"/>
            <w:tcBorders>
              <w:top w:val="single" w:sz="4" w:space="0" w:color="000000"/>
              <w:left w:val="single" w:sz="4" w:space="0" w:color="000000"/>
              <w:bottom w:val="single" w:sz="4" w:space="0" w:color="000000"/>
              <w:right w:val="single" w:sz="4" w:space="0" w:color="000000"/>
            </w:tcBorders>
          </w:tcPr>
          <w:p w14:paraId="4A45F15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6A76630D"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2A20DF3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4A20E35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Spray </w:t>
            </w:r>
          </w:p>
        </w:tc>
        <w:tc>
          <w:tcPr>
            <w:tcW w:w="1085" w:type="dxa"/>
            <w:tcBorders>
              <w:top w:val="single" w:sz="4" w:space="0" w:color="000000"/>
              <w:left w:val="single" w:sz="4" w:space="0" w:color="000000"/>
              <w:bottom w:val="single" w:sz="4" w:space="0" w:color="000000"/>
              <w:right w:val="single" w:sz="4" w:space="0" w:color="000000"/>
            </w:tcBorders>
          </w:tcPr>
          <w:p w14:paraId="6ABDE1E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32% </w:t>
            </w:r>
          </w:p>
        </w:tc>
        <w:tc>
          <w:tcPr>
            <w:tcW w:w="955" w:type="dxa"/>
            <w:tcBorders>
              <w:top w:val="single" w:sz="4" w:space="0" w:color="000000"/>
              <w:left w:val="single" w:sz="4" w:space="0" w:color="000000"/>
              <w:bottom w:val="single" w:sz="4" w:space="0" w:color="000000"/>
              <w:right w:val="single" w:sz="4" w:space="0" w:color="000000"/>
            </w:tcBorders>
          </w:tcPr>
          <w:p w14:paraId="118F892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12.00% </w:t>
            </w:r>
          </w:p>
        </w:tc>
        <w:tc>
          <w:tcPr>
            <w:tcW w:w="955" w:type="dxa"/>
            <w:tcBorders>
              <w:top w:val="single" w:sz="4" w:space="0" w:color="000000"/>
              <w:left w:val="single" w:sz="4" w:space="0" w:color="000000"/>
              <w:bottom w:val="single" w:sz="4" w:space="0" w:color="000000"/>
              <w:right w:val="single" w:sz="4" w:space="0" w:color="000000"/>
            </w:tcBorders>
          </w:tcPr>
          <w:p w14:paraId="4A8E30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22.22%</w:t>
            </w:r>
          </w:p>
        </w:tc>
        <w:tc>
          <w:tcPr>
            <w:tcW w:w="811" w:type="dxa"/>
            <w:tcBorders>
              <w:top w:val="single" w:sz="4" w:space="0" w:color="000000"/>
              <w:left w:val="single" w:sz="4" w:space="0" w:color="000000"/>
              <w:bottom w:val="single" w:sz="4" w:space="0" w:color="000000"/>
              <w:right w:val="single" w:sz="4" w:space="0" w:color="000000"/>
            </w:tcBorders>
          </w:tcPr>
          <w:p w14:paraId="4BDFF993"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092BE0C8"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5AC2E41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01B4C4D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None </w:t>
            </w:r>
          </w:p>
        </w:tc>
        <w:tc>
          <w:tcPr>
            <w:tcW w:w="1085" w:type="dxa"/>
            <w:tcBorders>
              <w:top w:val="single" w:sz="4" w:space="0" w:color="000000"/>
              <w:left w:val="single" w:sz="4" w:space="0" w:color="000000"/>
              <w:bottom w:val="single" w:sz="4" w:space="0" w:color="000000"/>
              <w:right w:val="single" w:sz="4" w:space="0" w:color="000000"/>
            </w:tcBorders>
          </w:tcPr>
          <w:p w14:paraId="0EF0ED7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49% </w:t>
            </w:r>
          </w:p>
        </w:tc>
        <w:tc>
          <w:tcPr>
            <w:tcW w:w="955" w:type="dxa"/>
            <w:tcBorders>
              <w:top w:val="single" w:sz="4" w:space="0" w:color="000000"/>
              <w:left w:val="single" w:sz="4" w:space="0" w:color="000000"/>
              <w:bottom w:val="single" w:sz="4" w:space="0" w:color="000000"/>
              <w:right w:val="single" w:sz="4" w:space="0" w:color="000000"/>
            </w:tcBorders>
          </w:tcPr>
          <w:p w14:paraId="4BD3856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28.00% </w:t>
            </w:r>
          </w:p>
        </w:tc>
        <w:tc>
          <w:tcPr>
            <w:tcW w:w="955" w:type="dxa"/>
            <w:tcBorders>
              <w:top w:val="single" w:sz="4" w:space="0" w:color="000000"/>
              <w:left w:val="single" w:sz="4" w:space="0" w:color="000000"/>
              <w:bottom w:val="single" w:sz="4" w:space="0" w:color="000000"/>
              <w:right w:val="single" w:sz="4" w:space="0" w:color="000000"/>
            </w:tcBorders>
          </w:tcPr>
          <w:p w14:paraId="0CB21C6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45.80% </w:t>
            </w:r>
          </w:p>
        </w:tc>
        <w:tc>
          <w:tcPr>
            <w:tcW w:w="811" w:type="dxa"/>
            <w:tcBorders>
              <w:top w:val="single" w:sz="4" w:space="0" w:color="000000"/>
              <w:left w:val="single" w:sz="4" w:space="0" w:color="000000"/>
              <w:bottom w:val="single" w:sz="4" w:space="0" w:color="000000"/>
              <w:right w:val="single" w:sz="4" w:space="0" w:color="000000"/>
            </w:tcBorders>
          </w:tcPr>
          <w:p w14:paraId="27F8A70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r>
      <w:tr w:rsidR="00807BBA" w:rsidRPr="002F48F9" w14:paraId="27223CB1"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735AFF17" w14:textId="77777777" w:rsidR="00807BBA" w:rsidRPr="002F48F9" w:rsidRDefault="00807BBA" w:rsidP="00FC2C53">
            <w:pPr>
              <w:spacing w:line="259" w:lineRule="auto"/>
              <w:rPr>
                <w:rFonts w:ascii="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tcPr>
          <w:p w14:paraId="04F91C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spray, and </w:t>
            </w:r>
            <w:r w:rsidRPr="002F48F9">
              <w:rPr>
                <w:rFonts w:ascii="Times New Roman" w:hAnsi="Times New Roman" w:cs="Times New Roman"/>
                <w:sz w:val="24"/>
                <w:szCs w:val="24"/>
              </w:rPr>
              <w:lastRenderedPageBreak/>
              <w:t>repellent</w:t>
            </w:r>
          </w:p>
        </w:tc>
        <w:tc>
          <w:tcPr>
            <w:tcW w:w="1085" w:type="dxa"/>
            <w:tcBorders>
              <w:top w:val="single" w:sz="4" w:space="0" w:color="000000"/>
              <w:left w:val="single" w:sz="4" w:space="0" w:color="000000"/>
              <w:bottom w:val="single" w:sz="4" w:space="0" w:color="000000"/>
              <w:right w:val="single" w:sz="4" w:space="0" w:color="000000"/>
            </w:tcBorders>
          </w:tcPr>
          <w:p w14:paraId="63C8349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lastRenderedPageBreak/>
              <w:t>2.1%</w:t>
            </w:r>
          </w:p>
        </w:tc>
        <w:tc>
          <w:tcPr>
            <w:tcW w:w="955" w:type="dxa"/>
            <w:tcBorders>
              <w:top w:val="single" w:sz="4" w:space="0" w:color="000000"/>
              <w:left w:val="single" w:sz="4" w:space="0" w:color="000000"/>
              <w:bottom w:val="single" w:sz="4" w:space="0" w:color="000000"/>
              <w:right w:val="single" w:sz="4" w:space="0" w:color="000000"/>
            </w:tcBorders>
          </w:tcPr>
          <w:p w14:paraId="129684FC" w14:textId="77777777" w:rsidR="00807BBA" w:rsidRPr="002F48F9" w:rsidRDefault="00807BBA" w:rsidP="00FC2C53">
            <w:pPr>
              <w:spacing w:line="360" w:lineRule="auto"/>
              <w:rPr>
                <w:rFonts w:ascii="Times New Roman" w:hAnsi="Times New Roman" w:cs="Times New Roman"/>
                <w:sz w:val="24"/>
                <w:szCs w:val="24"/>
                <w:highlight w:val="yellow"/>
              </w:rPr>
            </w:pPr>
            <w:r w:rsidRPr="002F48F9">
              <w:rPr>
                <w:rFonts w:ascii="Times New Roman" w:hAnsi="Times New Roman" w:cs="Times New Roman"/>
                <w:sz w:val="24"/>
                <w:szCs w:val="24"/>
              </w:rPr>
              <w:t>5.30%</w:t>
            </w:r>
          </w:p>
        </w:tc>
        <w:tc>
          <w:tcPr>
            <w:tcW w:w="955" w:type="dxa"/>
            <w:tcBorders>
              <w:top w:val="single" w:sz="4" w:space="0" w:color="000000"/>
              <w:left w:val="single" w:sz="4" w:space="0" w:color="000000"/>
              <w:bottom w:val="single" w:sz="4" w:space="0" w:color="000000"/>
              <w:right w:val="single" w:sz="4" w:space="0" w:color="000000"/>
            </w:tcBorders>
          </w:tcPr>
          <w:p w14:paraId="3378824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3.28%</w:t>
            </w:r>
          </w:p>
        </w:tc>
        <w:tc>
          <w:tcPr>
            <w:tcW w:w="811" w:type="dxa"/>
            <w:tcBorders>
              <w:top w:val="single" w:sz="4" w:space="0" w:color="000000"/>
              <w:left w:val="single" w:sz="4" w:space="0" w:color="000000"/>
              <w:bottom w:val="single" w:sz="4" w:space="0" w:color="000000"/>
              <w:right w:val="single" w:sz="4" w:space="0" w:color="000000"/>
            </w:tcBorders>
          </w:tcPr>
          <w:p w14:paraId="3129AEC3" w14:textId="77777777" w:rsidR="00807BBA" w:rsidRPr="002F48F9" w:rsidRDefault="00807BBA" w:rsidP="00FC2C53">
            <w:pPr>
              <w:spacing w:line="259" w:lineRule="auto"/>
              <w:rPr>
                <w:rFonts w:ascii="Times New Roman" w:hAnsi="Times New Roman" w:cs="Times New Roman"/>
                <w:sz w:val="24"/>
                <w:szCs w:val="24"/>
              </w:rPr>
            </w:pPr>
          </w:p>
        </w:tc>
      </w:tr>
    </w:tbl>
    <w:p w14:paraId="677F2193" w14:textId="77777777" w:rsidR="00807BBA" w:rsidRPr="002F48F9" w:rsidRDefault="00807BBA" w:rsidP="00807BBA">
      <w:pPr>
        <w:spacing w:after="412"/>
        <w:rPr>
          <w:rFonts w:ascii="Times New Roman" w:hAnsi="Times New Roman" w:cs="Times New Roman"/>
          <w:sz w:val="24"/>
          <w:szCs w:val="24"/>
        </w:rPr>
      </w:pPr>
      <w:r w:rsidRPr="002F48F9">
        <w:rPr>
          <w:rFonts w:ascii="Times New Roman" w:hAnsi="Times New Roman" w:cs="Times New Roman"/>
          <w:sz w:val="24"/>
          <w:szCs w:val="24"/>
        </w:rPr>
        <w:t xml:space="preserve"> </w:t>
      </w:r>
    </w:p>
    <w:p w14:paraId="1337E4FD" w14:textId="77777777" w:rsidR="00807BBA" w:rsidRPr="002F48F9" w:rsidRDefault="00807BBA" w:rsidP="00807BBA">
      <w:pPr>
        <w:spacing w:line="360" w:lineRule="auto"/>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In the past six months prior to the interview, 21.9% of women had been treated for malaria and 12% had taken dewormers such as albendazole. 15% of women who were treated for malaria in the past six months were found to be anaemic and 6.6% were non-anaemic. 12% of women have had an episode of fever in the last 4 weeks prior to the interview. Of this percentage, 8.7% were anaemic. </w:t>
      </w:r>
    </w:p>
    <w:p w14:paraId="6258768E" w14:textId="77777777" w:rsidR="00807BBA" w:rsidRPr="002F48F9" w:rsidRDefault="00807BBA" w:rsidP="00807BBA">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assessing sickle cell disease as a risk factor, 88.5% of the women were sickle negative, and 1% were sickle positive, representing only 2 out of the 183 respondents. One was anaemic and the other was not anaemic. However, 10.4% of the respondents did not know their sickle status. 1.1% of the respondents had bleeding disorders, representing 2 out of 183 respondents. One was anaemic and the other was not anaemic. However, none knew the specific medical condition they suffered from.  </w:t>
      </w:r>
    </w:p>
    <w:p w14:paraId="76C90BB6" w14:textId="77777777" w:rsidR="00807BBA" w:rsidRPr="002F48F9" w:rsidRDefault="00807BBA" w:rsidP="00807BBA">
      <w:pPr>
        <w:spacing w:line="360" w:lineRule="auto"/>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The study also found that 84.2% and 56.3% of women attending ANC at the Tamale Technical University Hospital were on folate, iron, and multivitamins, respectively. These three are started at the booking visit of every woman. 69.4% of women started iron and folate during the first trimester, 19.1% started during the second trimester and 1.6% started in the third trimester. </w:t>
      </w:r>
    </w:p>
    <w:p w14:paraId="19D33510" w14:textId="77777777" w:rsidR="00807BBA" w:rsidRPr="002F48F9" w:rsidRDefault="00807BBA" w:rsidP="00807BBA">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According to the WHO, SP should be taken at least 3 times during pregnancy. According to the study, 6.6% of the respondents took more than 3 doses of SP. 51% have received no SP. 41.5% took between 1-3 doses. In addition, 42.6% of anemic pregnant women had not taken any SP medication. 22.2% had taken only a single dose. 20.4% and 14.8% of anaemic respondents had taken 2 and 3 or more doses, respectively. This is summed up in table 7.</w:t>
      </w:r>
    </w:p>
    <w:p w14:paraId="56A768AC" w14:textId="6C1313A1" w:rsidR="00807BBA" w:rsidRPr="002F48F9" w:rsidRDefault="00807BBA" w:rsidP="00807BBA">
      <w:pPr>
        <w:spacing w:after="252"/>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F14209" w:rsidRPr="002F48F9">
        <w:rPr>
          <w:rFonts w:ascii="Times New Roman" w:hAnsi="Times New Roman" w:cs="Times New Roman"/>
          <w:sz w:val="24"/>
          <w:szCs w:val="24"/>
        </w:rPr>
        <w:t>3</w:t>
      </w:r>
      <w:r w:rsidRPr="002F48F9">
        <w:rPr>
          <w:rFonts w:ascii="Times New Roman" w:hAnsi="Times New Roman" w:cs="Times New Roman"/>
          <w:sz w:val="24"/>
          <w:szCs w:val="24"/>
        </w:rPr>
        <w:t xml:space="preserve">: SP GROUPING AND THEIR RESPECTIVE ANEMIA-STATUSES AND PERCENTAGES  </w:t>
      </w:r>
    </w:p>
    <w:tbl>
      <w:tblPr>
        <w:tblStyle w:val="TableGrid"/>
        <w:tblW w:w="9444" w:type="dxa"/>
        <w:tblInd w:w="5" w:type="dxa"/>
        <w:tblCellMar>
          <w:left w:w="106" w:type="dxa"/>
          <w:right w:w="48" w:type="dxa"/>
        </w:tblCellMar>
        <w:tblLook w:val="04A0" w:firstRow="1" w:lastRow="0" w:firstColumn="1" w:lastColumn="0" w:noHBand="0" w:noVBand="1"/>
      </w:tblPr>
      <w:tblGrid>
        <w:gridCol w:w="3708"/>
        <w:gridCol w:w="1718"/>
        <w:gridCol w:w="1082"/>
        <w:gridCol w:w="958"/>
        <w:gridCol w:w="1109"/>
        <w:gridCol w:w="869"/>
      </w:tblGrid>
      <w:tr w:rsidR="00807BBA" w:rsidRPr="002F48F9" w14:paraId="0FE6706D" w14:textId="77777777" w:rsidTr="00FC2C53">
        <w:trPr>
          <w:trHeight w:val="562"/>
        </w:trPr>
        <w:tc>
          <w:tcPr>
            <w:tcW w:w="3708" w:type="dxa"/>
            <w:tcBorders>
              <w:top w:val="single" w:sz="4" w:space="0" w:color="000000"/>
              <w:left w:val="single" w:sz="4" w:space="0" w:color="000000"/>
              <w:bottom w:val="single" w:sz="4" w:space="0" w:color="000000"/>
              <w:right w:val="single" w:sz="4" w:space="0" w:color="000000"/>
            </w:tcBorders>
          </w:tcPr>
          <w:p w14:paraId="6F6781B9"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70E87DFB"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235F60E"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Status</w:t>
            </w:r>
          </w:p>
          <w:p w14:paraId="0B2D31E8"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anemic </w:t>
            </w:r>
          </w:p>
        </w:tc>
        <w:tc>
          <w:tcPr>
            <w:tcW w:w="958" w:type="dxa"/>
            <w:tcBorders>
              <w:top w:val="single" w:sz="4" w:space="0" w:color="000000"/>
              <w:left w:val="single" w:sz="4" w:space="0" w:color="000000"/>
              <w:bottom w:val="single" w:sz="4" w:space="0" w:color="000000"/>
              <w:right w:val="single" w:sz="4" w:space="0" w:color="000000"/>
            </w:tcBorders>
          </w:tcPr>
          <w:p w14:paraId="5FE05B4F"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Not anemic</w:t>
            </w:r>
          </w:p>
        </w:tc>
        <w:tc>
          <w:tcPr>
            <w:tcW w:w="1109" w:type="dxa"/>
            <w:tcBorders>
              <w:top w:val="single" w:sz="4" w:space="0" w:color="000000"/>
              <w:left w:val="single" w:sz="4" w:space="0" w:color="000000"/>
              <w:bottom w:val="single" w:sz="4" w:space="0" w:color="000000"/>
              <w:right w:val="single" w:sz="4" w:space="0" w:color="000000"/>
            </w:tcBorders>
          </w:tcPr>
          <w:p w14:paraId="3D1BD1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Total </w:t>
            </w:r>
          </w:p>
        </w:tc>
        <w:tc>
          <w:tcPr>
            <w:tcW w:w="869" w:type="dxa"/>
            <w:tcBorders>
              <w:top w:val="single" w:sz="4" w:space="0" w:color="000000"/>
              <w:left w:val="single" w:sz="4" w:space="0" w:color="000000"/>
              <w:bottom w:val="single" w:sz="4" w:space="0" w:color="000000"/>
              <w:right w:val="single" w:sz="4" w:space="0" w:color="000000"/>
            </w:tcBorders>
          </w:tcPr>
          <w:p w14:paraId="6F364448" w14:textId="77777777" w:rsidR="00807BBA" w:rsidRPr="002F48F9" w:rsidRDefault="00807BBA" w:rsidP="00FC2C53">
            <w:pPr>
              <w:spacing w:line="259" w:lineRule="auto"/>
              <w:ind w:left="2" w:right="13"/>
              <w:rPr>
                <w:rFonts w:ascii="Times New Roman" w:hAnsi="Times New Roman" w:cs="Times New Roman"/>
                <w:sz w:val="24"/>
                <w:szCs w:val="24"/>
              </w:rPr>
            </w:pPr>
            <w:r w:rsidRPr="002F48F9">
              <w:rPr>
                <w:rFonts w:ascii="Times New Roman" w:hAnsi="Times New Roman" w:cs="Times New Roman"/>
                <w:sz w:val="24"/>
                <w:szCs w:val="24"/>
              </w:rPr>
              <w:t xml:space="preserve">p value </w:t>
            </w:r>
          </w:p>
        </w:tc>
      </w:tr>
      <w:tr w:rsidR="00807BBA" w:rsidRPr="002F48F9" w14:paraId="27D45B9D"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673B93A"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SP grouping </w:t>
            </w:r>
          </w:p>
        </w:tc>
        <w:tc>
          <w:tcPr>
            <w:tcW w:w="1718" w:type="dxa"/>
            <w:tcBorders>
              <w:top w:val="single" w:sz="4" w:space="0" w:color="000000"/>
              <w:left w:val="single" w:sz="4" w:space="0" w:color="000000"/>
              <w:bottom w:val="single" w:sz="4" w:space="0" w:color="000000"/>
              <w:right w:val="single" w:sz="4" w:space="0" w:color="000000"/>
            </w:tcBorders>
          </w:tcPr>
          <w:p w14:paraId="70959F50" w14:textId="77777777" w:rsidR="00807BBA" w:rsidRPr="002F48F9" w:rsidRDefault="00807BBA" w:rsidP="00FC2C53">
            <w:pPr>
              <w:spacing w:line="259" w:lineRule="auto"/>
              <w:ind w:hanging="1064"/>
              <w:rPr>
                <w:rFonts w:ascii="Times New Roman" w:hAnsi="Times New Roman" w:cs="Times New Roman"/>
                <w:sz w:val="24"/>
                <w:szCs w:val="24"/>
              </w:rPr>
            </w:pPr>
            <w:r w:rsidRPr="002F48F9">
              <w:rPr>
                <w:rFonts w:ascii="Times New Roman" w:hAnsi="Times New Roman" w:cs="Times New Roman"/>
                <w:sz w:val="24"/>
                <w:szCs w:val="24"/>
              </w:rPr>
              <w:t xml:space="preserve">1 dose </w:t>
            </w:r>
          </w:p>
        </w:tc>
        <w:tc>
          <w:tcPr>
            <w:tcW w:w="1082" w:type="dxa"/>
            <w:tcBorders>
              <w:top w:val="single" w:sz="4" w:space="0" w:color="000000"/>
              <w:left w:val="single" w:sz="4" w:space="0" w:color="000000"/>
              <w:bottom w:val="single" w:sz="4" w:space="0" w:color="000000"/>
              <w:right w:val="single" w:sz="4" w:space="0" w:color="000000"/>
            </w:tcBorders>
          </w:tcPr>
          <w:p w14:paraId="370DB793"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22.20% </w:t>
            </w:r>
          </w:p>
        </w:tc>
        <w:tc>
          <w:tcPr>
            <w:tcW w:w="958" w:type="dxa"/>
            <w:tcBorders>
              <w:top w:val="single" w:sz="4" w:space="0" w:color="000000"/>
              <w:left w:val="single" w:sz="4" w:space="0" w:color="000000"/>
              <w:bottom w:val="single" w:sz="4" w:space="0" w:color="000000"/>
              <w:right w:val="single" w:sz="4" w:space="0" w:color="000000"/>
            </w:tcBorders>
          </w:tcPr>
          <w:p w14:paraId="24485174"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14.66% </w:t>
            </w:r>
          </w:p>
        </w:tc>
        <w:tc>
          <w:tcPr>
            <w:tcW w:w="1109" w:type="dxa"/>
            <w:tcBorders>
              <w:top w:val="single" w:sz="4" w:space="0" w:color="000000"/>
              <w:left w:val="single" w:sz="4" w:space="0" w:color="000000"/>
              <w:bottom w:val="single" w:sz="4" w:space="0" w:color="000000"/>
              <w:right w:val="single" w:sz="4" w:space="0" w:color="000000"/>
            </w:tcBorders>
          </w:tcPr>
          <w:p w14:paraId="05699AD2"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19.10% </w:t>
            </w:r>
          </w:p>
        </w:tc>
        <w:tc>
          <w:tcPr>
            <w:tcW w:w="869" w:type="dxa"/>
            <w:tcBorders>
              <w:top w:val="single" w:sz="4" w:space="0" w:color="000000"/>
              <w:left w:val="single" w:sz="4" w:space="0" w:color="000000"/>
              <w:bottom w:val="single" w:sz="4" w:space="0" w:color="000000"/>
              <w:right w:val="single" w:sz="4" w:space="0" w:color="000000"/>
            </w:tcBorders>
          </w:tcPr>
          <w:p w14:paraId="3F652F4C"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0.489 </w:t>
            </w:r>
          </w:p>
        </w:tc>
      </w:tr>
      <w:tr w:rsidR="00807BBA" w:rsidRPr="002F48F9" w14:paraId="77D0C940"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8CB6A2F"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4EB53FE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 </w:t>
            </w:r>
            <w:proofErr w:type="gramStart"/>
            <w:r w:rsidRPr="002F48F9">
              <w:rPr>
                <w:rFonts w:ascii="Times New Roman" w:hAnsi="Times New Roman" w:cs="Times New Roman"/>
                <w:sz w:val="24"/>
                <w:szCs w:val="24"/>
              </w:rPr>
              <w:t>dose</w:t>
            </w:r>
            <w:proofErr w:type="gramEnd"/>
            <w:r w:rsidRPr="002F48F9">
              <w:rPr>
                <w:rFonts w:ascii="Times New Roman" w:hAnsi="Times New Roman" w:cs="Times New Roman"/>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1A60541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20.40% </w:t>
            </w:r>
          </w:p>
        </w:tc>
        <w:tc>
          <w:tcPr>
            <w:tcW w:w="958" w:type="dxa"/>
            <w:tcBorders>
              <w:top w:val="single" w:sz="4" w:space="0" w:color="000000"/>
              <w:left w:val="single" w:sz="4" w:space="0" w:color="000000"/>
              <w:bottom w:val="single" w:sz="4" w:space="0" w:color="000000"/>
              <w:right w:val="single" w:sz="4" w:space="0" w:color="000000"/>
            </w:tcBorders>
          </w:tcPr>
          <w:p w14:paraId="7C859B9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5.33% </w:t>
            </w:r>
          </w:p>
        </w:tc>
        <w:tc>
          <w:tcPr>
            <w:tcW w:w="1109" w:type="dxa"/>
            <w:tcBorders>
              <w:top w:val="single" w:sz="4" w:space="0" w:color="000000"/>
              <w:left w:val="single" w:sz="4" w:space="0" w:color="000000"/>
              <w:bottom w:val="single" w:sz="4" w:space="0" w:color="000000"/>
              <w:right w:val="single" w:sz="4" w:space="0" w:color="000000"/>
            </w:tcBorders>
          </w:tcPr>
          <w:p w14:paraId="2CADD4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14.20% </w:t>
            </w:r>
          </w:p>
        </w:tc>
        <w:tc>
          <w:tcPr>
            <w:tcW w:w="869" w:type="dxa"/>
            <w:tcBorders>
              <w:top w:val="single" w:sz="4" w:space="0" w:color="000000"/>
              <w:left w:val="single" w:sz="4" w:space="0" w:color="000000"/>
              <w:bottom w:val="single" w:sz="4" w:space="0" w:color="000000"/>
              <w:right w:val="single" w:sz="4" w:space="0" w:color="000000"/>
            </w:tcBorders>
          </w:tcPr>
          <w:p w14:paraId="23BF2A91"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68D435D3" w14:textId="77777777" w:rsidTr="00FC2C53">
        <w:trPr>
          <w:trHeight w:val="312"/>
        </w:trPr>
        <w:tc>
          <w:tcPr>
            <w:tcW w:w="3708" w:type="dxa"/>
            <w:tcBorders>
              <w:top w:val="single" w:sz="4" w:space="0" w:color="000000"/>
              <w:left w:val="single" w:sz="4" w:space="0" w:color="000000"/>
              <w:bottom w:val="single" w:sz="4" w:space="0" w:color="000000"/>
              <w:right w:val="single" w:sz="4" w:space="0" w:color="000000"/>
            </w:tcBorders>
          </w:tcPr>
          <w:p w14:paraId="1FC58E85"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718" w:type="dxa"/>
            <w:tcBorders>
              <w:top w:val="single" w:sz="4" w:space="0" w:color="000000"/>
              <w:left w:val="single" w:sz="4" w:space="0" w:color="000000"/>
              <w:bottom w:val="single" w:sz="4" w:space="0" w:color="000000"/>
              <w:right w:val="single" w:sz="4" w:space="0" w:color="000000"/>
            </w:tcBorders>
          </w:tcPr>
          <w:p w14:paraId="78F937F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3 or more dose</w:t>
            </w:r>
          </w:p>
        </w:tc>
        <w:tc>
          <w:tcPr>
            <w:tcW w:w="1082" w:type="dxa"/>
            <w:tcBorders>
              <w:top w:val="single" w:sz="4" w:space="0" w:color="000000"/>
              <w:left w:val="single" w:sz="4" w:space="0" w:color="000000"/>
              <w:bottom w:val="single" w:sz="4" w:space="0" w:color="000000"/>
              <w:right w:val="single" w:sz="4" w:space="0" w:color="000000"/>
            </w:tcBorders>
          </w:tcPr>
          <w:p w14:paraId="0BE3F82A"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14.80% </w:t>
            </w:r>
          </w:p>
        </w:tc>
        <w:tc>
          <w:tcPr>
            <w:tcW w:w="958" w:type="dxa"/>
            <w:tcBorders>
              <w:top w:val="single" w:sz="4" w:space="0" w:color="000000"/>
              <w:left w:val="single" w:sz="4" w:space="0" w:color="000000"/>
              <w:bottom w:val="single" w:sz="4" w:space="0" w:color="000000"/>
              <w:right w:val="single" w:sz="4" w:space="0" w:color="000000"/>
            </w:tcBorders>
          </w:tcPr>
          <w:p w14:paraId="43B40E0B"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20.00% </w:t>
            </w:r>
          </w:p>
        </w:tc>
        <w:tc>
          <w:tcPr>
            <w:tcW w:w="1109" w:type="dxa"/>
            <w:tcBorders>
              <w:top w:val="single" w:sz="4" w:space="0" w:color="000000"/>
              <w:left w:val="single" w:sz="4" w:space="0" w:color="000000"/>
              <w:bottom w:val="single" w:sz="4" w:space="0" w:color="000000"/>
              <w:right w:val="single" w:sz="4" w:space="0" w:color="000000"/>
            </w:tcBorders>
          </w:tcPr>
          <w:p w14:paraId="6D8B8AF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16.00% </w:t>
            </w:r>
          </w:p>
        </w:tc>
        <w:tc>
          <w:tcPr>
            <w:tcW w:w="869" w:type="dxa"/>
            <w:tcBorders>
              <w:top w:val="single" w:sz="4" w:space="0" w:color="000000"/>
              <w:left w:val="single" w:sz="4" w:space="0" w:color="000000"/>
              <w:bottom w:val="single" w:sz="4" w:space="0" w:color="000000"/>
              <w:right w:val="single" w:sz="4" w:space="0" w:color="000000"/>
            </w:tcBorders>
          </w:tcPr>
          <w:p w14:paraId="1D5F372B" w14:textId="77777777" w:rsidR="00807BBA" w:rsidRPr="002F48F9" w:rsidRDefault="00807BBA" w:rsidP="00FC2C53">
            <w:pPr>
              <w:spacing w:line="259" w:lineRule="auto"/>
              <w:ind w:left="2"/>
              <w:rPr>
                <w:rFonts w:ascii="Times New Roman" w:hAnsi="Times New Roman" w:cs="Times New Roman"/>
                <w:sz w:val="24"/>
                <w:szCs w:val="24"/>
                <w:highlight w:val="yellow"/>
              </w:rPr>
            </w:pPr>
          </w:p>
        </w:tc>
      </w:tr>
      <w:tr w:rsidR="00807BBA" w:rsidRPr="002F48F9" w14:paraId="6CC9B3EA"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3021CB40"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1B7F29CC"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No dose</w:t>
            </w:r>
          </w:p>
        </w:tc>
        <w:tc>
          <w:tcPr>
            <w:tcW w:w="1082" w:type="dxa"/>
            <w:tcBorders>
              <w:top w:val="single" w:sz="4" w:space="0" w:color="000000"/>
              <w:left w:val="single" w:sz="4" w:space="0" w:color="000000"/>
              <w:bottom w:val="single" w:sz="4" w:space="0" w:color="000000"/>
              <w:right w:val="single" w:sz="4" w:space="0" w:color="000000"/>
            </w:tcBorders>
          </w:tcPr>
          <w:p w14:paraId="78733EE3"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42.6% </w:t>
            </w:r>
          </w:p>
        </w:tc>
        <w:tc>
          <w:tcPr>
            <w:tcW w:w="958" w:type="dxa"/>
            <w:tcBorders>
              <w:top w:val="single" w:sz="4" w:space="0" w:color="000000"/>
              <w:left w:val="single" w:sz="4" w:space="0" w:color="000000"/>
              <w:bottom w:val="single" w:sz="4" w:space="0" w:color="000000"/>
              <w:right w:val="single" w:sz="4" w:space="0" w:color="000000"/>
            </w:tcBorders>
          </w:tcPr>
          <w:p w14:paraId="78408B1D"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60.01% </w:t>
            </w:r>
          </w:p>
        </w:tc>
        <w:tc>
          <w:tcPr>
            <w:tcW w:w="1109" w:type="dxa"/>
            <w:tcBorders>
              <w:top w:val="single" w:sz="4" w:space="0" w:color="000000"/>
              <w:left w:val="single" w:sz="4" w:space="0" w:color="000000"/>
              <w:bottom w:val="single" w:sz="4" w:space="0" w:color="000000"/>
              <w:right w:val="single" w:sz="4" w:space="0" w:color="000000"/>
            </w:tcBorders>
          </w:tcPr>
          <w:p w14:paraId="5F25D31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50.70% </w:t>
            </w:r>
          </w:p>
        </w:tc>
        <w:tc>
          <w:tcPr>
            <w:tcW w:w="869" w:type="dxa"/>
            <w:tcBorders>
              <w:top w:val="single" w:sz="4" w:space="0" w:color="000000"/>
              <w:left w:val="single" w:sz="4" w:space="0" w:color="000000"/>
              <w:bottom w:val="single" w:sz="4" w:space="0" w:color="000000"/>
              <w:right w:val="single" w:sz="4" w:space="0" w:color="000000"/>
            </w:tcBorders>
          </w:tcPr>
          <w:p w14:paraId="4920076D"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7BB02798"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108179D"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718" w:type="dxa"/>
            <w:tcBorders>
              <w:top w:val="single" w:sz="4" w:space="0" w:color="000000"/>
              <w:left w:val="single" w:sz="4" w:space="0" w:color="000000"/>
              <w:bottom w:val="single" w:sz="4" w:space="0" w:color="000000"/>
              <w:right w:val="single" w:sz="4" w:space="0" w:color="000000"/>
            </w:tcBorders>
          </w:tcPr>
          <w:p w14:paraId="7E7EA265"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082" w:type="dxa"/>
            <w:tcBorders>
              <w:top w:val="single" w:sz="4" w:space="0" w:color="000000"/>
              <w:left w:val="single" w:sz="4" w:space="0" w:color="000000"/>
              <w:bottom w:val="single" w:sz="4" w:space="0" w:color="000000"/>
              <w:right w:val="single" w:sz="4" w:space="0" w:color="000000"/>
            </w:tcBorders>
          </w:tcPr>
          <w:p w14:paraId="5B28FE04"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958" w:type="dxa"/>
            <w:tcBorders>
              <w:top w:val="single" w:sz="4" w:space="0" w:color="000000"/>
              <w:left w:val="single" w:sz="4" w:space="0" w:color="000000"/>
              <w:bottom w:val="single" w:sz="4" w:space="0" w:color="000000"/>
              <w:right w:val="single" w:sz="4" w:space="0" w:color="000000"/>
            </w:tcBorders>
          </w:tcPr>
          <w:p w14:paraId="4EA5CD13"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109" w:type="dxa"/>
            <w:tcBorders>
              <w:top w:val="single" w:sz="4" w:space="0" w:color="000000"/>
              <w:left w:val="single" w:sz="4" w:space="0" w:color="000000"/>
              <w:bottom w:val="single" w:sz="4" w:space="0" w:color="000000"/>
              <w:right w:val="single" w:sz="4" w:space="0" w:color="000000"/>
            </w:tcBorders>
          </w:tcPr>
          <w:p w14:paraId="49B921C7"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869" w:type="dxa"/>
            <w:tcBorders>
              <w:top w:val="single" w:sz="4" w:space="0" w:color="000000"/>
              <w:left w:val="single" w:sz="4" w:space="0" w:color="000000"/>
              <w:bottom w:val="single" w:sz="4" w:space="0" w:color="000000"/>
              <w:right w:val="single" w:sz="4" w:space="0" w:color="000000"/>
            </w:tcBorders>
          </w:tcPr>
          <w:p w14:paraId="5E519AE5" w14:textId="77777777" w:rsidR="00807BBA" w:rsidRPr="002F48F9" w:rsidRDefault="00807BBA" w:rsidP="00FC2C53">
            <w:pPr>
              <w:spacing w:line="259" w:lineRule="auto"/>
              <w:ind w:left="2"/>
              <w:rPr>
                <w:rFonts w:ascii="Times New Roman" w:hAnsi="Times New Roman" w:cs="Times New Roman"/>
                <w:sz w:val="24"/>
                <w:szCs w:val="24"/>
                <w:highlight w:val="yellow"/>
              </w:rPr>
            </w:pPr>
          </w:p>
        </w:tc>
      </w:tr>
    </w:tbl>
    <w:p w14:paraId="2FEBDB58" w14:textId="77777777" w:rsidR="00807BBA" w:rsidRPr="002F48F9" w:rsidRDefault="00807BBA" w:rsidP="00807BBA">
      <w:pPr>
        <w:ind w:left="-5" w:right="49"/>
        <w:rPr>
          <w:rFonts w:ascii="Times New Roman" w:hAnsi="Times New Roman" w:cs="Times New Roman"/>
          <w:sz w:val="24"/>
          <w:szCs w:val="24"/>
          <w:highlight w:val="yellow"/>
        </w:rPr>
      </w:pPr>
    </w:p>
    <w:p w14:paraId="064A92D1" w14:textId="38BE9B8A"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1366CB" w:rsidRPr="002F48F9">
        <w:rPr>
          <w:rFonts w:ascii="Times New Roman" w:hAnsi="Times New Roman" w:cs="Times New Roman"/>
          <w:sz w:val="24"/>
          <w:szCs w:val="24"/>
        </w:rPr>
        <w:t>4</w:t>
      </w:r>
      <w:r w:rsidRPr="002F48F9">
        <w:rPr>
          <w:rFonts w:ascii="Times New Roman" w:hAnsi="Times New Roman" w:cs="Times New Roman"/>
          <w:sz w:val="24"/>
          <w:szCs w:val="24"/>
        </w:rPr>
        <w:t xml:space="preserve"> summed up the nutritional habits of the women. The study found out that 5.0% of women eat less than three times a day and the remaining 95.0% eat three times or more a day. 69.4% of the women were found to be taking tea, with 16.9% taking it for 2 or more days in a week. Only 32.2% of those taking tea took it during other meals or within 20% of taking other meals.  </w:t>
      </w:r>
    </w:p>
    <w:p w14:paraId="75EF1937" w14:textId="7BA06319"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addition, the number of times eaten in a day and anemia status had a significant association with a p value of 0.013. 60.2% of anemic respondents ate 3-square-meal. 20.0% ate more than three times daily and 19.8% ate less than three times daily. The high percentage of pregnant women who ate more than three times a day is in sync with </w:t>
      </w:r>
      <w:r w:rsidR="000F16C7"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{"citationItems":[{"id":"ITEM-1","itemData":{"DOI":"10.1007/s11239-022-02756-9","ISSN":"1573-742X","abstract":"Both thrombocytopenia (platelet count &lt; 150 × 103/µL) and anemia have been associated with postpartum hemorrhage (PPH). However, the impact of thrombocytopenia on PPH risk among women with mild and severe anemia is unknown. We sought to evaluate the association between thrombocytopenia and anemia in increasing risk of PPH. We performed a secondary analysis of a retrospective cohort of pregnant women from 19 hospitals across the United States from 2016 to 2021. Women who had a term singleton pregnancy and hematocrit (Hct) ≤ 33% at delivery were included in the study. The primary outcome was PPH (defined as blood loss ≥ 1000 mL or blood transfusion). We also analyzed the effect of severe anemia (Hct &lt; 28%) on the association between PPH and thrombocytopenia. Chi-squared tests and Fisher’s exact tests were used for categorical variables and an independent t-test was used for continuous variables. There were 20,808 women who met our inclusion criteria, of which 1793 (8.6%) had platelet count &lt; 150 × 103/µL. The prevalence of PPH was 6.4%. Compared with women with normal platelet count, those with thrombocytopenia had 1.3-fold higher odds of PPH [6.8% vs. 4.5%, adjusted OR 1.3 (1.1–1.7)]. Platelet count  ≥ 150 × 103/µL was associated with decreased odds of PPH among patients with hct between 28 and 33% and hct &lt; 28%. In conclusion, anemic women with term singleton pregnancies who delivered with thrombocytopenia had a higher frequency of PPH. Normal platelet count at delivery was protective against PPH in the setting of anemia regardless of severity.","author":[{"dropping-particle":"","family":"Kazma","given":"Jamil","non-dropping-particle":"","parse-names":false,"suffix":""},{"dropping-particle":"","family":"Ebner","given":"Megan","non-dropping-particle":"","parse-names":false,"suffix":""},{"dropping-particle":"","family":"Whitley","given":"Julia","non-dropping-particle":"","parse-names":false,"suffix":""},{"dropping-particle":"","family":"Ahmadzia","given":"Homa K","non-dropping-particle":"","parse-names":false,"suffix":""}],"container-title":"Journal of Thrombosis and Thrombolysis","id":"ITEM-1","issue":"3","issued":{"date-parts":[["2023"]]},"page":"571-575","title":"Impact of anemia and thrombocytopenia on postpartum hemorrhage risk among women with term singleton pregnancy","type":"article-journal","volume":"55"},"uris":["http://www.mendeley.com/documents/?uuid=cc6730b2-d554-4740-b38d-f7da76dbdd1d"]}],"mendeley":{"formattedCitation":"(Kazma et al., 2023)","plainTextFormattedCitation":"(Kazma et al., 2023)","previouslyFormattedCitation":"&lt;sup&gt;22&lt;/sup&gt;"},"properties":{"noteIndex":0},"schema":"https://github.com/citation-style-language/schema/raw/master/csl-citation.json"}</w:instrText>
      </w:r>
      <w:r w:rsidR="000F16C7"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(Kazma et al., 2023)</w:t>
      </w:r>
      <w:r w:rsidR="000F16C7"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who observed that pregnant women have an increased appetite for food due to physiological changes. Moreover, there was no strong association between the number of times an animal source of iron was taken per week and anemia status, with a p value of 0.374. 76.0% of anaemic women consumed animal iron sources such as eggs, liver, or meat less than four times per week.97.3% of non-anaemic respondents ate more than 3 times per week from animal sources of iron. There is no significant relationship between the number of times per week that a plant source of iron is consumed and anemia status. The p value is 0.402. </w:t>
      </w:r>
    </w:p>
    <w:p w14:paraId="70A74325" w14:textId="5A1C702A" w:rsidR="00807BBA" w:rsidRPr="002F48F9" w:rsidRDefault="00807BBA" w:rsidP="00807BBA">
      <w:pPr>
        <w:spacing w:after="128"/>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1366CB" w:rsidRPr="002F48F9">
        <w:rPr>
          <w:rFonts w:ascii="Times New Roman" w:hAnsi="Times New Roman" w:cs="Times New Roman"/>
          <w:sz w:val="24"/>
          <w:szCs w:val="24"/>
        </w:rPr>
        <w:t>4</w:t>
      </w:r>
      <w:r w:rsidRPr="002F48F9">
        <w:rPr>
          <w:rFonts w:ascii="Times New Roman" w:hAnsi="Times New Roman" w:cs="Times New Roman"/>
          <w:sz w:val="24"/>
          <w:szCs w:val="24"/>
        </w:rPr>
        <w:t xml:space="preserve">: DIETS AND THEIR RESPECTIVE FREQUENCIES AND PERCENTAGES </w:t>
      </w:r>
    </w:p>
    <w:tbl>
      <w:tblPr>
        <w:tblStyle w:val="TableGrid"/>
        <w:tblW w:w="9350" w:type="dxa"/>
        <w:tblInd w:w="5" w:type="dxa"/>
        <w:tblCellMar>
          <w:left w:w="108" w:type="dxa"/>
          <w:right w:w="67" w:type="dxa"/>
        </w:tblCellMar>
        <w:tblLook w:val="04A0" w:firstRow="1" w:lastRow="0" w:firstColumn="1" w:lastColumn="0" w:noHBand="0" w:noVBand="1"/>
      </w:tblPr>
      <w:tblGrid>
        <w:gridCol w:w="3114"/>
        <w:gridCol w:w="3118"/>
        <w:gridCol w:w="3118"/>
      </w:tblGrid>
      <w:tr w:rsidR="00807BBA" w:rsidRPr="002F48F9" w14:paraId="37E5D233" w14:textId="77777777" w:rsidTr="00FC2C53">
        <w:trPr>
          <w:trHeight w:val="286"/>
        </w:trPr>
        <w:tc>
          <w:tcPr>
            <w:tcW w:w="3114" w:type="dxa"/>
            <w:tcBorders>
              <w:top w:val="single" w:sz="4" w:space="0" w:color="000000"/>
              <w:left w:val="single" w:sz="4" w:space="0" w:color="000000"/>
              <w:bottom w:val="single" w:sz="4" w:space="0" w:color="000000"/>
              <w:right w:val="single" w:sz="4" w:space="0" w:color="000000"/>
            </w:tcBorders>
          </w:tcPr>
          <w:p w14:paraId="5BC7DF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Food Item </w:t>
            </w:r>
          </w:p>
        </w:tc>
        <w:tc>
          <w:tcPr>
            <w:tcW w:w="3118" w:type="dxa"/>
            <w:tcBorders>
              <w:top w:val="single" w:sz="4" w:space="0" w:color="000000"/>
              <w:left w:val="single" w:sz="4" w:space="0" w:color="000000"/>
              <w:bottom w:val="single" w:sz="4" w:space="0" w:color="000000"/>
              <w:right w:val="single" w:sz="4" w:space="0" w:color="000000"/>
            </w:tcBorders>
          </w:tcPr>
          <w:p w14:paraId="1DD5EB1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Frequency </w:t>
            </w:r>
          </w:p>
        </w:tc>
        <w:tc>
          <w:tcPr>
            <w:tcW w:w="3118" w:type="dxa"/>
            <w:tcBorders>
              <w:top w:val="single" w:sz="4" w:space="0" w:color="000000"/>
              <w:left w:val="single" w:sz="4" w:space="0" w:color="000000"/>
              <w:bottom w:val="single" w:sz="4" w:space="0" w:color="000000"/>
              <w:right w:val="single" w:sz="4" w:space="0" w:color="000000"/>
            </w:tcBorders>
          </w:tcPr>
          <w:p w14:paraId="32A9D1E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Percentage </w:t>
            </w:r>
          </w:p>
        </w:tc>
      </w:tr>
      <w:tr w:rsidR="00807BBA" w:rsidRPr="002F48F9" w14:paraId="7A491152"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06BDB51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Eggs </w:t>
            </w:r>
          </w:p>
        </w:tc>
        <w:tc>
          <w:tcPr>
            <w:tcW w:w="3118" w:type="dxa"/>
            <w:tcBorders>
              <w:top w:val="single" w:sz="4" w:space="0" w:color="000000"/>
              <w:left w:val="nil"/>
              <w:bottom w:val="single" w:sz="4" w:space="0" w:color="000000"/>
              <w:right w:val="nil"/>
            </w:tcBorders>
          </w:tcPr>
          <w:p w14:paraId="36D9D10F"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D35F6C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726D9A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02A7F9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96E51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65</w:t>
            </w:r>
          </w:p>
        </w:tc>
        <w:tc>
          <w:tcPr>
            <w:tcW w:w="3118" w:type="dxa"/>
            <w:tcBorders>
              <w:top w:val="single" w:sz="4" w:space="0" w:color="000000"/>
              <w:left w:val="single" w:sz="4" w:space="0" w:color="000000"/>
              <w:bottom w:val="single" w:sz="4" w:space="0" w:color="000000"/>
              <w:right w:val="single" w:sz="4" w:space="0" w:color="000000"/>
            </w:tcBorders>
          </w:tcPr>
          <w:p w14:paraId="782ED17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35.5 </w:t>
            </w:r>
          </w:p>
        </w:tc>
      </w:tr>
      <w:tr w:rsidR="00807BBA" w:rsidRPr="002F48F9" w14:paraId="36A4D0E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87905F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05E7430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12</w:t>
            </w:r>
          </w:p>
        </w:tc>
        <w:tc>
          <w:tcPr>
            <w:tcW w:w="3118" w:type="dxa"/>
            <w:tcBorders>
              <w:top w:val="single" w:sz="4" w:space="0" w:color="000000"/>
              <w:left w:val="single" w:sz="4" w:space="0" w:color="000000"/>
              <w:bottom w:val="single" w:sz="4" w:space="0" w:color="000000"/>
              <w:right w:val="single" w:sz="4" w:space="0" w:color="000000"/>
            </w:tcBorders>
          </w:tcPr>
          <w:p w14:paraId="1402488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6.6 </w:t>
            </w:r>
          </w:p>
        </w:tc>
      </w:tr>
      <w:tr w:rsidR="00807BBA" w:rsidRPr="002F48F9" w14:paraId="269DA67C"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BEF562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7C827D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44</w:t>
            </w:r>
          </w:p>
        </w:tc>
        <w:tc>
          <w:tcPr>
            <w:tcW w:w="3118" w:type="dxa"/>
            <w:tcBorders>
              <w:top w:val="single" w:sz="4" w:space="0" w:color="000000"/>
              <w:left w:val="single" w:sz="4" w:space="0" w:color="000000"/>
              <w:bottom w:val="single" w:sz="4" w:space="0" w:color="000000"/>
              <w:right w:val="single" w:sz="4" w:space="0" w:color="000000"/>
            </w:tcBorders>
          </w:tcPr>
          <w:p w14:paraId="34AE87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24.0 </w:t>
            </w:r>
          </w:p>
        </w:tc>
      </w:tr>
      <w:tr w:rsidR="00807BBA" w:rsidRPr="002F48F9" w14:paraId="1CFD3BE3"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0908AE0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D09FBB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62</w:t>
            </w:r>
          </w:p>
        </w:tc>
        <w:tc>
          <w:tcPr>
            <w:tcW w:w="3118" w:type="dxa"/>
            <w:tcBorders>
              <w:top w:val="single" w:sz="4" w:space="0" w:color="000000"/>
              <w:left w:val="single" w:sz="4" w:space="0" w:color="000000"/>
              <w:bottom w:val="single" w:sz="4" w:space="0" w:color="000000"/>
              <w:right w:val="single" w:sz="4" w:space="0" w:color="000000"/>
            </w:tcBorders>
          </w:tcPr>
          <w:p w14:paraId="730B8BC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33.9 </w:t>
            </w:r>
          </w:p>
        </w:tc>
      </w:tr>
      <w:tr w:rsidR="00807BBA" w:rsidRPr="002F48F9" w14:paraId="2B61876D"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39EF461D"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F56B732"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57951F9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Liver </w:t>
            </w:r>
          </w:p>
        </w:tc>
        <w:tc>
          <w:tcPr>
            <w:tcW w:w="3118" w:type="dxa"/>
            <w:tcBorders>
              <w:top w:val="single" w:sz="4" w:space="0" w:color="000000"/>
              <w:left w:val="nil"/>
              <w:bottom w:val="single" w:sz="4" w:space="0" w:color="000000"/>
              <w:right w:val="nil"/>
            </w:tcBorders>
          </w:tcPr>
          <w:p w14:paraId="0EEA9AA9"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93C09F4"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493FFF6"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CBEE60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728BBE4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117 </w:t>
            </w:r>
          </w:p>
        </w:tc>
        <w:tc>
          <w:tcPr>
            <w:tcW w:w="3118" w:type="dxa"/>
            <w:tcBorders>
              <w:top w:val="single" w:sz="4" w:space="0" w:color="000000"/>
              <w:left w:val="single" w:sz="4" w:space="0" w:color="000000"/>
              <w:bottom w:val="single" w:sz="4" w:space="0" w:color="000000"/>
              <w:right w:val="single" w:sz="4" w:space="0" w:color="000000"/>
            </w:tcBorders>
          </w:tcPr>
          <w:p w14:paraId="760EE5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63.9</w:t>
            </w:r>
          </w:p>
        </w:tc>
      </w:tr>
      <w:tr w:rsidR="00807BBA" w:rsidRPr="002F48F9" w14:paraId="192A889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CCF434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2654DC8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39</w:t>
            </w:r>
          </w:p>
        </w:tc>
        <w:tc>
          <w:tcPr>
            <w:tcW w:w="3118" w:type="dxa"/>
            <w:tcBorders>
              <w:top w:val="single" w:sz="4" w:space="0" w:color="000000"/>
              <w:left w:val="single" w:sz="4" w:space="0" w:color="000000"/>
              <w:bottom w:val="single" w:sz="4" w:space="0" w:color="000000"/>
              <w:right w:val="single" w:sz="4" w:space="0" w:color="000000"/>
            </w:tcBorders>
          </w:tcPr>
          <w:p w14:paraId="209BEE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21.3 </w:t>
            </w:r>
          </w:p>
        </w:tc>
      </w:tr>
      <w:tr w:rsidR="00807BBA" w:rsidRPr="002F48F9" w14:paraId="628C3C4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0FC6D80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A5B6AB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18</w:t>
            </w:r>
          </w:p>
        </w:tc>
        <w:tc>
          <w:tcPr>
            <w:tcW w:w="3118" w:type="dxa"/>
            <w:tcBorders>
              <w:top w:val="single" w:sz="4" w:space="0" w:color="000000"/>
              <w:left w:val="single" w:sz="4" w:space="0" w:color="000000"/>
              <w:bottom w:val="single" w:sz="4" w:space="0" w:color="000000"/>
              <w:right w:val="single" w:sz="4" w:space="0" w:color="000000"/>
            </w:tcBorders>
          </w:tcPr>
          <w:p w14:paraId="001938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9.8</w:t>
            </w:r>
          </w:p>
        </w:tc>
      </w:tr>
      <w:tr w:rsidR="00807BBA" w:rsidRPr="002F48F9" w14:paraId="23931108" w14:textId="77777777" w:rsidTr="00FC2C53">
        <w:trPr>
          <w:trHeight w:val="286"/>
        </w:trPr>
        <w:tc>
          <w:tcPr>
            <w:tcW w:w="3114" w:type="dxa"/>
            <w:tcBorders>
              <w:top w:val="single" w:sz="4" w:space="0" w:color="000000"/>
              <w:left w:val="single" w:sz="4" w:space="0" w:color="000000"/>
              <w:bottom w:val="single" w:sz="4" w:space="0" w:color="000000"/>
              <w:right w:val="single" w:sz="4" w:space="0" w:color="000000"/>
            </w:tcBorders>
          </w:tcPr>
          <w:p w14:paraId="38F1899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&gt;3 </w:t>
            </w:r>
          </w:p>
        </w:tc>
        <w:tc>
          <w:tcPr>
            <w:tcW w:w="3118" w:type="dxa"/>
            <w:tcBorders>
              <w:top w:val="single" w:sz="4" w:space="0" w:color="000000"/>
              <w:left w:val="single" w:sz="4" w:space="0" w:color="000000"/>
              <w:bottom w:val="single" w:sz="4" w:space="0" w:color="000000"/>
              <w:right w:val="single" w:sz="4" w:space="0" w:color="000000"/>
            </w:tcBorders>
          </w:tcPr>
          <w:p w14:paraId="25397CB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9</w:t>
            </w:r>
          </w:p>
        </w:tc>
        <w:tc>
          <w:tcPr>
            <w:tcW w:w="3118" w:type="dxa"/>
            <w:tcBorders>
              <w:top w:val="single" w:sz="4" w:space="0" w:color="000000"/>
              <w:left w:val="single" w:sz="4" w:space="0" w:color="000000"/>
              <w:bottom w:val="single" w:sz="4" w:space="0" w:color="000000"/>
              <w:right w:val="single" w:sz="4" w:space="0" w:color="000000"/>
            </w:tcBorders>
          </w:tcPr>
          <w:p w14:paraId="29725E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5.0</w:t>
            </w:r>
          </w:p>
        </w:tc>
      </w:tr>
      <w:tr w:rsidR="00807BBA" w:rsidRPr="002F48F9" w14:paraId="3068673D" w14:textId="77777777" w:rsidTr="00FC2C53">
        <w:trPr>
          <w:trHeight w:val="286"/>
        </w:trPr>
        <w:tc>
          <w:tcPr>
            <w:tcW w:w="9350" w:type="dxa"/>
            <w:gridSpan w:val="3"/>
            <w:tcBorders>
              <w:top w:val="single" w:sz="4" w:space="0" w:color="000000"/>
              <w:left w:val="single" w:sz="4" w:space="0" w:color="000000"/>
              <w:bottom w:val="single" w:sz="4" w:space="0" w:color="000000"/>
              <w:right w:val="single" w:sz="4" w:space="0" w:color="000000"/>
            </w:tcBorders>
          </w:tcPr>
          <w:p w14:paraId="5C0113FB"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2664F5FC"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304D6D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Beef, Goat </w:t>
            </w:r>
          </w:p>
        </w:tc>
        <w:tc>
          <w:tcPr>
            <w:tcW w:w="3118" w:type="dxa"/>
            <w:tcBorders>
              <w:top w:val="single" w:sz="4" w:space="0" w:color="000000"/>
              <w:left w:val="nil"/>
              <w:bottom w:val="single" w:sz="4" w:space="0" w:color="000000"/>
              <w:right w:val="nil"/>
            </w:tcBorders>
          </w:tcPr>
          <w:p w14:paraId="257FAE23"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3118" w:type="dxa"/>
            <w:tcBorders>
              <w:top w:val="single" w:sz="4" w:space="0" w:color="000000"/>
              <w:left w:val="nil"/>
              <w:bottom w:val="single" w:sz="4" w:space="0" w:color="000000"/>
              <w:right w:val="single" w:sz="4" w:space="0" w:color="000000"/>
            </w:tcBorders>
          </w:tcPr>
          <w:p w14:paraId="2E484AA9" w14:textId="77777777" w:rsidR="00807BBA" w:rsidRPr="002F48F9" w:rsidRDefault="00807BBA" w:rsidP="00FC2C53">
            <w:pPr>
              <w:spacing w:line="259" w:lineRule="auto"/>
              <w:rPr>
                <w:rFonts w:ascii="Times New Roman" w:hAnsi="Times New Roman" w:cs="Times New Roman"/>
                <w:sz w:val="24"/>
                <w:szCs w:val="24"/>
                <w:highlight w:val="yellow"/>
              </w:rPr>
            </w:pPr>
          </w:p>
        </w:tc>
      </w:tr>
      <w:tr w:rsidR="00807BBA" w:rsidRPr="002F48F9" w14:paraId="0DBB5F69" w14:textId="77777777" w:rsidTr="00FC2C53">
        <w:trPr>
          <w:trHeight w:val="492"/>
        </w:trPr>
        <w:tc>
          <w:tcPr>
            <w:tcW w:w="3114" w:type="dxa"/>
            <w:tcBorders>
              <w:top w:val="single" w:sz="4" w:space="0" w:color="000000"/>
              <w:left w:val="single" w:sz="4" w:space="0" w:color="000000"/>
              <w:bottom w:val="single" w:sz="4" w:space="0" w:color="000000"/>
              <w:right w:val="single" w:sz="4" w:space="0" w:color="000000"/>
            </w:tcBorders>
          </w:tcPr>
          <w:p w14:paraId="0A3D8E0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767F69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55</w:t>
            </w:r>
          </w:p>
        </w:tc>
        <w:tc>
          <w:tcPr>
            <w:tcW w:w="3118" w:type="dxa"/>
            <w:tcBorders>
              <w:top w:val="single" w:sz="4" w:space="0" w:color="000000"/>
              <w:left w:val="single" w:sz="4" w:space="0" w:color="000000"/>
              <w:bottom w:val="single" w:sz="4" w:space="0" w:color="000000"/>
              <w:right w:val="single" w:sz="4" w:space="0" w:color="000000"/>
            </w:tcBorders>
          </w:tcPr>
          <w:p w14:paraId="110BD37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30.1</w:t>
            </w:r>
          </w:p>
        </w:tc>
      </w:tr>
      <w:tr w:rsidR="00807BBA" w:rsidRPr="002F48F9" w14:paraId="5CA64EA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847EBF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2A33BA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22 </w:t>
            </w:r>
          </w:p>
        </w:tc>
        <w:tc>
          <w:tcPr>
            <w:tcW w:w="3118" w:type="dxa"/>
            <w:tcBorders>
              <w:top w:val="single" w:sz="4" w:space="0" w:color="000000"/>
              <w:left w:val="single" w:sz="4" w:space="0" w:color="000000"/>
              <w:bottom w:val="single" w:sz="4" w:space="0" w:color="000000"/>
              <w:right w:val="single" w:sz="4" w:space="0" w:color="000000"/>
            </w:tcBorders>
          </w:tcPr>
          <w:p w14:paraId="1D979E7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12.0 </w:t>
            </w:r>
          </w:p>
        </w:tc>
      </w:tr>
      <w:tr w:rsidR="00807BBA" w:rsidRPr="002F48F9" w14:paraId="49C5E72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3247BA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9A913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49 </w:t>
            </w:r>
          </w:p>
        </w:tc>
        <w:tc>
          <w:tcPr>
            <w:tcW w:w="3118" w:type="dxa"/>
            <w:tcBorders>
              <w:top w:val="single" w:sz="4" w:space="0" w:color="000000"/>
              <w:left w:val="single" w:sz="4" w:space="0" w:color="000000"/>
              <w:bottom w:val="single" w:sz="4" w:space="0" w:color="000000"/>
              <w:right w:val="single" w:sz="4" w:space="0" w:color="000000"/>
            </w:tcBorders>
          </w:tcPr>
          <w:p w14:paraId="465F1C1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26.8 </w:t>
            </w:r>
          </w:p>
        </w:tc>
      </w:tr>
      <w:tr w:rsidR="00807BBA" w:rsidRPr="002F48F9" w14:paraId="75A57EF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84208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8456E3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57 </w:t>
            </w:r>
          </w:p>
        </w:tc>
        <w:tc>
          <w:tcPr>
            <w:tcW w:w="3118" w:type="dxa"/>
            <w:tcBorders>
              <w:top w:val="single" w:sz="4" w:space="0" w:color="000000"/>
              <w:left w:val="single" w:sz="4" w:space="0" w:color="000000"/>
              <w:bottom w:val="single" w:sz="4" w:space="0" w:color="000000"/>
              <w:right w:val="single" w:sz="4" w:space="0" w:color="000000"/>
            </w:tcBorders>
          </w:tcPr>
          <w:p w14:paraId="0AA1A0E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31.1 </w:t>
            </w:r>
          </w:p>
        </w:tc>
      </w:tr>
      <w:tr w:rsidR="00807BBA" w:rsidRPr="002F48F9" w14:paraId="26CA09F5"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690603BB"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A17CECE"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2FECBA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Chicken </w:t>
            </w:r>
          </w:p>
        </w:tc>
        <w:tc>
          <w:tcPr>
            <w:tcW w:w="3118" w:type="dxa"/>
            <w:tcBorders>
              <w:top w:val="single" w:sz="4" w:space="0" w:color="000000"/>
              <w:left w:val="nil"/>
              <w:bottom w:val="single" w:sz="4" w:space="0" w:color="000000"/>
              <w:right w:val="nil"/>
            </w:tcBorders>
          </w:tcPr>
          <w:p w14:paraId="27BB6059"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A6BF160"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99186D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E65BA5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lastRenderedPageBreak/>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1FAB294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34</w:t>
            </w:r>
          </w:p>
        </w:tc>
        <w:tc>
          <w:tcPr>
            <w:tcW w:w="3118" w:type="dxa"/>
            <w:tcBorders>
              <w:top w:val="single" w:sz="4" w:space="0" w:color="000000"/>
              <w:left w:val="single" w:sz="4" w:space="0" w:color="000000"/>
              <w:bottom w:val="single" w:sz="4" w:space="0" w:color="000000"/>
              <w:right w:val="single" w:sz="4" w:space="0" w:color="000000"/>
            </w:tcBorders>
          </w:tcPr>
          <w:p w14:paraId="045B31C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18.6 </w:t>
            </w:r>
          </w:p>
        </w:tc>
      </w:tr>
      <w:tr w:rsidR="00807BBA" w:rsidRPr="002F48F9" w14:paraId="4A0ED5FB"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EEEE75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4E2E74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85 </w:t>
            </w:r>
          </w:p>
        </w:tc>
        <w:tc>
          <w:tcPr>
            <w:tcW w:w="3118" w:type="dxa"/>
            <w:tcBorders>
              <w:top w:val="single" w:sz="4" w:space="0" w:color="000000"/>
              <w:left w:val="single" w:sz="4" w:space="0" w:color="000000"/>
              <w:bottom w:val="single" w:sz="4" w:space="0" w:color="000000"/>
              <w:right w:val="single" w:sz="4" w:space="0" w:color="000000"/>
            </w:tcBorders>
          </w:tcPr>
          <w:p w14:paraId="673A7E5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46.4 </w:t>
            </w:r>
          </w:p>
        </w:tc>
      </w:tr>
      <w:tr w:rsidR="00807BBA" w:rsidRPr="002F48F9" w14:paraId="05F6E7E3"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633E55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7FF2D8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34 </w:t>
            </w:r>
          </w:p>
        </w:tc>
        <w:tc>
          <w:tcPr>
            <w:tcW w:w="3118" w:type="dxa"/>
            <w:tcBorders>
              <w:top w:val="single" w:sz="4" w:space="0" w:color="000000"/>
              <w:left w:val="single" w:sz="4" w:space="0" w:color="000000"/>
              <w:bottom w:val="single" w:sz="4" w:space="0" w:color="000000"/>
              <w:right w:val="single" w:sz="4" w:space="0" w:color="000000"/>
            </w:tcBorders>
          </w:tcPr>
          <w:p w14:paraId="2275382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18.6 </w:t>
            </w:r>
          </w:p>
        </w:tc>
      </w:tr>
      <w:tr w:rsidR="00807BBA" w:rsidRPr="002F48F9" w14:paraId="7C64B37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C2AB52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3D7449C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30 </w:t>
            </w:r>
          </w:p>
        </w:tc>
        <w:tc>
          <w:tcPr>
            <w:tcW w:w="3118" w:type="dxa"/>
            <w:tcBorders>
              <w:top w:val="single" w:sz="4" w:space="0" w:color="000000"/>
              <w:left w:val="single" w:sz="4" w:space="0" w:color="000000"/>
              <w:bottom w:val="single" w:sz="4" w:space="0" w:color="000000"/>
              <w:right w:val="single" w:sz="4" w:space="0" w:color="000000"/>
            </w:tcBorders>
          </w:tcPr>
          <w:p w14:paraId="313FEC9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16.4 </w:t>
            </w:r>
          </w:p>
        </w:tc>
      </w:tr>
      <w:tr w:rsidR="00807BBA" w:rsidRPr="002F48F9" w14:paraId="7DA99CA8"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3E452502"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5AD4BD2"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6EEBDE8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Fish </w:t>
            </w:r>
          </w:p>
        </w:tc>
        <w:tc>
          <w:tcPr>
            <w:tcW w:w="3118" w:type="dxa"/>
            <w:tcBorders>
              <w:top w:val="single" w:sz="4" w:space="0" w:color="000000"/>
              <w:left w:val="nil"/>
              <w:bottom w:val="single" w:sz="4" w:space="0" w:color="000000"/>
              <w:right w:val="nil"/>
            </w:tcBorders>
          </w:tcPr>
          <w:p w14:paraId="69C5BB6F"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61B48709"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053B3C16" w14:textId="77777777" w:rsidTr="00FC2C53">
        <w:trPr>
          <w:trHeight w:val="490"/>
        </w:trPr>
        <w:tc>
          <w:tcPr>
            <w:tcW w:w="3114" w:type="dxa"/>
            <w:tcBorders>
              <w:top w:val="single" w:sz="4" w:space="0" w:color="000000"/>
              <w:left w:val="single" w:sz="4" w:space="0" w:color="000000"/>
              <w:bottom w:val="single" w:sz="4" w:space="0" w:color="000000"/>
              <w:right w:val="single" w:sz="4" w:space="0" w:color="000000"/>
            </w:tcBorders>
          </w:tcPr>
          <w:p w14:paraId="4442922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48EEAED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145</w:t>
            </w:r>
          </w:p>
        </w:tc>
        <w:tc>
          <w:tcPr>
            <w:tcW w:w="3118" w:type="dxa"/>
            <w:tcBorders>
              <w:top w:val="single" w:sz="4" w:space="0" w:color="000000"/>
              <w:left w:val="single" w:sz="4" w:space="0" w:color="000000"/>
              <w:bottom w:val="single" w:sz="4" w:space="0" w:color="000000"/>
              <w:right w:val="single" w:sz="4" w:space="0" w:color="000000"/>
            </w:tcBorders>
          </w:tcPr>
          <w:p w14:paraId="07B6A74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79.2</w:t>
            </w:r>
          </w:p>
        </w:tc>
      </w:tr>
      <w:tr w:rsidR="00807BBA" w:rsidRPr="002F48F9" w14:paraId="728AB91C"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C7CD8C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6C96353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14:paraId="598586A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4.4 </w:t>
            </w:r>
          </w:p>
        </w:tc>
      </w:tr>
      <w:tr w:rsidR="00807BBA" w:rsidRPr="002F48F9" w14:paraId="2B0ACDB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EEC533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B41627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15 </w:t>
            </w:r>
          </w:p>
        </w:tc>
        <w:tc>
          <w:tcPr>
            <w:tcW w:w="3118" w:type="dxa"/>
            <w:tcBorders>
              <w:top w:val="single" w:sz="4" w:space="0" w:color="000000"/>
              <w:left w:val="single" w:sz="4" w:space="0" w:color="000000"/>
              <w:bottom w:val="single" w:sz="4" w:space="0" w:color="000000"/>
              <w:right w:val="single" w:sz="4" w:space="0" w:color="000000"/>
            </w:tcBorders>
          </w:tcPr>
          <w:p w14:paraId="766C126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7138647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882A64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73269A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15 </w:t>
            </w:r>
          </w:p>
        </w:tc>
        <w:tc>
          <w:tcPr>
            <w:tcW w:w="3118" w:type="dxa"/>
            <w:tcBorders>
              <w:top w:val="single" w:sz="4" w:space="0" w:color="000000"/>
              <w:left w:val="single" w:sz="4" w:space="0" w:color="000000"/>
              <w:bottom w:val="single" w:sz="4" w:space="0" w:color="000000"/>
              <w:right w:val="single" w:sz="4" w:space="0" w:color="000000"/>
            </w:tcBorders>
          </w:tcPr>
          <w:p w14:paraId="540C26C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3938013E"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1B73816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D70804C"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3494838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Cabbage </w:t>
            </w:r>
          </w:p>
        </w:tc>
        <w:tc>
          <w:tcPr>
            <w:tcW w:w="3118" w:type="dxa"/>
            <w:tcBorders>
              <w:top w:val="single" w:sz="4" w:space="0" w:color="000000"/>
              <w:left w:val="nil"/>
              <w:bottom w:val="single" w:sz="4" w:space="0" w:color="000000"/>
              <w:right w:val="nil"/>
            </w:tcBorders>
            <w:vAlign w:val="center"/>
          </w:tcPr>
          <w:p w14:paraId="4086FAB5"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vAlign w:val="center"/>
          </w:tcPr>
          <w:p w14:paraId="154CC6BA"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125113C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FF6BC5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7A3986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30</w:t>
            </w:r>
          </w:p>
        </w:tc>
        <w:tc>
          <w:tcPr>
            <w:tcW w:w="3118" w:type="dxa"/>
            <w:tcBorders>
              <w:top w:val="single" w:sz="4" w:space="0" w:color="000000"/>
              <w:left w:val="single" w:sz="4" w:space="0" w:color="000000"/>
              <w:bottom w:val="single" w:sz="4" w:space="0" w:color="000000"/>
              <w:right w:val="single" w:sz="4" w:space="0" w:color="000000"/>
            </w:tcBorders>
          </w:tcPr>
          <w:p w14:paraId="3A19FEC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16.4</w:t>
            </w:r>
          </w:p>
        </w:tc>
      </w:tr>
      <w:tr w:rsidR="00807BBA" w:rsidRPr="002F48F9" w14:paraId="5C3912FE" w14:textId="77777777" w:rsidTr="00FC2C53">
        <w:trPr>
          <w:trHeight w:val="490"/>
        </w:trPr>
        <w:tc>
          <w:tcPr>
            <w:tcW w:w="3114" w:type="dxa"/>
            <w:tcBorders>
              <w:top w:val="single" w:sz="4" w:space="0" w:color="000000"/>
              <w:left w:val="single" w:sz="4" w:space="0" w:color="000000"/>
              <w:bottom w:val="single" w:sz="4" w:space="0" w:color="000000"/>
              <w:right w:val="single" w:sz="4" w:space="0" w:color="000000"/>
            </w:tcBorders>
          </w:tcPr>
          <w:p w14:paraId="4B71A00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6115E0D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82</w:t>
            </w:r>
          </w:p>
        </w:tc>
        <w:tc>
          <w:tcPr>
            <w:tcW w:w="3118" w:type="dxa"/>
            <w:tcBorders>
              <w:top w:val="single" w:sz="4" w:space="0" w:color="000000"/>
              <w:left w:val="single" w:sz="4" w:space="0" w:color="000000"/>
              <w:bottom w:val="single" w:sz="4" w:space="0" w:color="000000"/>
              <w:right w:val="single" w:sz="4" w:space="0" w:color="000000"/>
            </w:tcBorders>
          </w:tcPr>
          <w:p w14:paraId="1F60B6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44.8 </w:t>
            </w:r>
          </w:p>
        </w:tc>
      </w:tr>
      <w:tr w:rsidR="00807BBA" w:rsidRPr="002F48F9" w14:paraId="1D570A3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49A7AC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56522B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 </w:t>
            </w:r>
          </w:p>
        </w:tc>
        <w:tc>
          <w:tcPr>
            <w:tcW w:w="3118" w:type="dxa"/>
            <w:tcBorders>
              <w:top w:val="single" w:sz="4" w:space="0" w:color="000000"/>
              <w:left w:val="single" w:sz="4" w:space="0" w:color="000000"/>
              <w:bottom w:val="single" w:sz="4" w:space="0" w:color="000000"/>
              <w:right w:val="single" w:sz="4" w:space="0" w:color="000000"/>
            </w:tcBorders>
          </w:tcPr>
          <w:p w14:paraId="13F0F0E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27.3 </w:t>
            </w:r>
          </w:p>
        </w:tc>
      </w:tr>
      <w:tr w:rsidR="00807BBA" w:rsidRPr="002F48F9" w14:paraId="0063C4F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F2FA53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1E2028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21 </w:t>
            </w:r>
          </w:p>
        </w:tc>
        <w:tc>
          <w:tcPr>
            <w:tcW w:w="3118" w:type="dxa"/>
            <w:tcBorders>
              <w:top w:val="single" w:sz="4" w:space="0" w:color="000000"/>
              <w:left w:val="single" w:sz="4" w:space="0" w:color="000000"/>
              <w:bottom w:val="single" w:sz="4" w:space="0" w:color="000000"/>
              <w:right w:val="single" w:sz="4" w:space="0" w:color="000000"/>
            </w:tcBorders>
          </w:tcPr>
          <w:p w14:paraId="6687BCD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11.5</w:t>
            </w:r>
          </w:p>
        </w:tc>
      </w:tr>
      <w:tr w:rsidR="00807BBA" w:rsidRPr="002F48F9" w14:paraId="71E35525"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0E8726AC"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076B30B9"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394671A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Vegetables (tomatoes, Pepper) </w:t>
            </w:r>
          </w:p>
        </w:tc>
        <w:tc>
          <w:tcPr>
            <w:tcW w:w="3118" w:type="dxa"/>
            <w:tcBorders>
              <w:top w:val="single" w:sz="4" w:space="0" w:color="000000"/>
              <w:left w:val="nil"/>
              <w:bottom w:val="single" w:sz="4" w:space="0" w:color="000000"/>
              <w:right w:val="nil"/>
            </w:tcBorders>
          </w:tcPr>
          <w:p w14:paraId="5E82A713"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5505F7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3EE48C0"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638F08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4170B4F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142</w:t>
            </w:r>
          </w:p>
        </w:tc>
        <w:tc>
          <w:tcPr>
            <w:tcW w:w="3118" w:type="dxa"/>
            <w:tcBorders>
              <w:top w:val="single" w:sz="4" w:space="0" w:color="000000"/>
              <w:left w:val="single" w:sz="4" w:space="0" w:color="000000"/>
              <w:bottom w:val="single" w:sz="4" w:space="0" w:color="000000"/>
              <w:right w:val="single" w:sz="4" w:space="0" w:color="000000"/>
            </w:tcBorders>
          </w:tcPr>
          <w:p w14:paraId="1BDBA2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77.6</w:t>
            </w:r>
          </w:p>
        </w:tc>
      </w:tr>
      <w:tr w:rsidR="00807BBA" w:rsidRPr="002F48F9" w14:paraId="6A712941"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769D35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31DE09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14:paraId="2E14AE5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0.5</w:t>
            </w:r>
          </w:p>
        </w:tc>
      </w:tr>
      <w:tr w:rsidR="00807BBA" w:rsidRPr="002F48F9" w14:paraId="15B875A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24880C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281F85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9 </w:t>
            </w:r>
          </w:p>
        </w:tc>
        <w:tc>
          <w:tcPr>
            <w:tcW w:w="3118" w:type="dxa"/>
            <w:tcBorders>
              <w:top w:val="single" w:sz="4" w:space="0" w:color="000000"/>
              <w:left w:val="single" w:sz="4" w:space="0" w:color="000000"/>
              <w:bottom w:val="single" w:sz="4" w:space="0" w:color="000000"/>
              <w:right w:val="single" w:sz="4" w:space="0" w:color="000000"/>
            </w:tcBorders>
          </w:tcPr>
          <w:p w14:paraId="4F1FE59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 </w:t>
            </w:r>
          </w:p>
        </w:tc>
      </w:tr>
      <w:tr w:rsidR="00807BBA" w:rsidRPr="002F48F9" w14:paraId="7C5B8ADB"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08577C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7B51FD4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 </w:t>
            </w:r>
          </w:p>
        </w:tc>
        <w:tc>
          <w:tcPr>
            <w:tcW w:w="3118" w:type="dxa"/>
            <w:tcBorders>
              <w:top w:val="single" w:sz="4" w:space="0" w:color="000000"/>
              <w:left w:val="single" w:sz="4" w:space="0" w:color="000000"/>
              <w:bottom w:val="single" w:sz="4" w:space="0" w:color="000000"/>
              <w:right w:val="single" w:sz="4" w:space="0" w:color="000000"/>
            </w:tcBorders>
          </w:tcPr>
          <w:p w14:paraId="136DF4F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16.9 </w:t>
            </w:r>
          </w:p>
        </w:tc>
      </w:tr>
      <w:tr w:rsidR="00807BBA" w:rsidRPr="002F48F9" w14:paraId="785F5D18"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5EEAFFAC"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AC1C50B"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7D836C5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Dark Leafy Vegetables </w:t>
            </w:r>
          </w:p>
        </w:tc>
        <w:tc>
          <w:tcPr>
            <w:tcW w:w="3118" w:type="dxa"/>
            <w:tcBorders>
              <w:top w:val="single" w:sz="4" w:space="0" w:color="000000"/>
              <w:left w:val="nil"/>
              <w:bottom w:val="single" w:sz="4" w:space="0" w:color="000000"/>
              <w:right w:val="nil"/>
            </w:tcBorders>
          </w:tcPr>
          <w:p w14:paraId="35DFFA95"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6C9CE9C9"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99A51B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6B12F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6668FF2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72</w:t>
            </w:r>
          </w:p>
        </w:tc>
        <w:tc>
          <w:tcPr>
            <w:tcW w:w="3118" w:type="dxa"/>
            <w:tcBorders>
              <w:top w:val="single" w:sz="4" w:space="0" w:color="000000"/>
              <w:left w:val="single" w:sz="4" w:space="0" w:color="000000"/>
              <w:bottom w:val="single" w:sz="4" w:space="0" w:color="000000"/>
              <w:right w:val="single" w:sz="4" w:space="0" w:color="000000"/>
            </w:tcBorders>
          </w:tcPr>
          <w:p w14:paraId="6511DEB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39.3</w:t>
            </w:r>
          </w:p>
        </w:tc>
      </w:tr>
      <w:tr w:rsidR="00807BBA" w:rsidRPr="002F48F9" w14:paraId="2EABE7C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03D087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307B496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22</w:t>
            </w:r>
          </w:p>
        </w:tc>
        <w:tc>
          <w:tcPr>
            <w:tcW w:w="3118" w:type="dxa"/>
            <w:tcBorders>
              <w:top w:val="single" w:sz="4" w:space="0" w:color="000000"/>
              <w:left w:val="single" w:sz="4" w:space="0" w:color="000000"/>
              <w:bottom w:val="single" w:sz="4" w:space="0" w:color="000000"/>
              <w:right w:val="single" w:sz="4" w:space="0" w:color="000000"/>
            </w:tcBorders>
          </w:tcPr>
          <w:p w14:paraId="04BBAB6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12.0 </w:t>
            </w:r>
          </w:p>
        </w:tc>
      </w:tr>
      <w:tr w:rsidR="00807BBA" w:rsidRPr="002F48F9" w14:paraId="1BCED89D"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3E7E18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41C4249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51</w:t>
            </w:r>
          </w:p>
        </w:tc>
        <w:tc>
          <w:tcPr>
            <w:tcW w:w="3118" w:type="dxa"/>
            <w:tcBorders>
              <w:top w:val="single" w:sz="4" w:space="0" w:color="000000"/>
              <w:left w:val="single" w:sz="4" w:space="0" w:color="000000"/>
              <w:bottom w:val="single" w:sz="4" w:space="0" w:color="000000"/>
              <w:right w:val="single" w:sz="4" w:space="0" w:color="000000"/>
            </w:tcBorders>
          </w:tcPr>
          <w:p w14:paraId="1CBD0E0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27.9 </w:t>
            </w:r>
          </w:p>
        </w:tc>
      </w:tr>
      <w:tr w:rsidR="00807BBA" w:rsidRPr="002F48F9" w14:paraId="1E60D1D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958C4D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0D855D9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38</w:t>
            </w:r>
          </w:p>
        </w:tc>
        <w:tc>
          <w:tcPr>
            <w:tcW w:w="3118" w:type="dxa"/>
            <w:tcBorders>
              <w:top w:val="single" w:sz="4" w:space="0" w:color="000000"/>
              <w:left w:val="single" w:sz="4" w:space="0" w:color="000000"/>
              <w:bottom w:val="single" w:sz="4" w:space="0" w:color="000000"/>
              <w:right w:val="single" w:sz="4" w:space="0" w:color="000000"/>
            </w:tcBorders>
          </w:tcPr>
          <w:p w14:paraId="5063C3F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20.8 </w:t>
            </w:r>
          </w:p>
        </w:tc>
      </w:tr>
      <w:tr w:rsidR="00807BBA" w:rsidRPr="002F48F9" w14:paraId="6979745C"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035EDE0E"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42E47D5B" w14:textId="77777777" w:rsidTr="00FC2C53">
        <w:trPr>
          <w:trHeight w:val="300"/>
        </w:trPr>
        <w:tc>
          <w:tcPr>
            <w:tcW w:w="6232" w:type="dxa"/>
            <w:gridSpan w:val="2"/>
            <w:tcBorders>
              <w:top w:val="single" w:sz="4" w:space="0" w:color="000000"/>
              <w:left w:val="single" w:sz="4" w:space="0" w:color="000000"/>
              <w:bottom w:val="single" w:sz="4" w:space="0" w:color="000000"/>
              <w:right w:val="nil"/>
            </w:tcBorders>
          </w:tcPr>
          <w:p w14:paraId="7371CCE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Beans, Soya Beans, Groundnuts </w:t>
            </w:r>
          </w:p>
        </w:tc>
        <w:tc>
          <w:tcPr>
            <w:tcW w:w="3118" w:type="dxa"/>
            <w:tcBorders>
              <w:top w:val="single" w:sz="4" w:space="0" w:color="000000"/>
              <w:left w:val="nil"/>
              <w:bottom w:val="single" w:sz="4" w:space="0" w:color="000000"/>
              <w:right w:val="single" w:sz="4" w:space="0" w:color="000000"/>
            </w:tcBorders>
          </w:tcPr>
          <w:p w14:paraId="6FCDBD4F"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6A660F1"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2A9D71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8AC53D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56</w:t>
            </w:r>
          </w:p>
        </w:tc>
        <w:tc>
          <w:tcPr>
            <w:tcW w:w="3118" w:type="dxa"/>
            <w:tcBorders>
              <w:top w:val="single" w:sz="4" w:space="0" w:color="000000"/>
              <w:left w:val="single" w:sz="4" w:space="0" w:color="000000"/>
              <w:bottom w:val="single" w:sz="4" w:space="0" w:color="000000"/>
              <w:right w:val="single" w:sz="4" w:space="0" w:color="000000"/>
            </w:tcBorders>
          </w:tcPr>
          <w:p w14:paraId="6618F6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30.6 </w:t>
            </w:r>
          </w:p>
        </w:tc>
      </w:tr>
      <w:tr w:rsidR="00807BBA" w:rsidRPr="002F48F9" w14:paraId="4AB24480"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7E1F66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52B6F37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 </w:t>
            </w:r>
          </w:p>
        </w:tc>
        <w:tc>
          <w:tcPr>
            <w:tcW w:w="3118" w:type="dxa"/>
            <w:tcBorders>
              <w:top w:val="single" w:sz="4" w:space="0" w:color="000000"/>
              <w:left w:val="single" w:sz="4" w:space="0" w:color="000000"/>
              <w:bottom w:val="single" w:sz="4" w:space="0" w:color="000000"/>
              <w:right w:val="single" w:sz="4" w:space="0" w:color="000000"/>
            </w:tcBorders>
          </w:tcPr>
          <w:p w14:paraId="4FA6BD2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6.6 </w:t>
            </w:r>
          </w:p>
        </w:tc>
      </w:tr>
      <w:tr w:rsidR="00807BBA" w:rsidRPr="002F48F9" w14:paraId="1A485AC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3FAAE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32F5FFD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61 </w:t>
            </w:r>
          </w:p>
        </w:tc>
        <w:tc>
          <w:tcPr>
            <w:tcW w:w="3118" w:type="dxa"/>
            <w:tcBorders>
              <w:top w:val="single" w:sz="4" w:space="0" w:color="000000"/>
              <w:left w:val="single" w:sz="4" w:space="0" w:color="000000"/>
              <w:bottom w:val="single" w:sz="4" w:space="0" w:color="000000"/>
              <w:right w:val="single" w:sz="4" w:space="0" w:color="000000"/>
            </w:tcBorders>
          </w:tcPr>
          <w:p w14:paraId="226510F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33.3 </w:t>
            </w:r>
          </w:p>
        </w:tc>
      </w:tr>
      <w:tr w:rsidR="00807BBA" w:rsidRPr="002F48F9" w14:paraId="627E223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4CF3A9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7D088D5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54 </w:t>
            </w:r>
          </w:p>
        </w:tc>
        <w:tc>
          <w:tcPr>
            <w:tcW w:w="3118" w:type="dxa"/>
            <w:tcBorders>
              <w:top w:val="single" w:sz="4" w:space="0" w:color="000000"/>
              <w:left w:val="single" w:sz="4" w:space="0" w:color="000000"/>
              <w:bottom w:val="single" w:sz="4" w:space="0" w:color="000000"/>
              <w:right w:val="single" w:sz="4" w:space="0" w:color="000000"/>
            </w:tcBorders>
          </w:tcPr>
          <w:p w14:paraId="4C227F6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29.5</w:t>
            </w:r>
          </w:p>
        </w:tc>
      </w:tr>
      <w:tr w:rsidR="00807BBA" w:rsidRPr="002F48F9" w14:paraId="78819AB7"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1BF3F16D"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0186E8B" w14:textId="77777777" w:rsidTr="00FC2C53">
        <w:trPr>
          <w:trHeight w:val="300"/>
        </w:trPr>
        <w:tc>
          <w:tcPr>
            <w:tcW w:w="6232" w:type="dxa"/>
            <w:gridSpan w:val="2"/>
            <w:tcBorders>
              <w:top w:val="single" w:sz="4" w:space="0" w:color="000000"/>
              <w:left w:val="single" w:sz="4" w:space="0" w:color="000000"/>
              <w:bottom w:val="single" w:sz="4" w:space="0" w:color="000000"/>
              <w:right w:val="nil"/>
            </w:tcBorders>
          </w:tcPr>
          <w:p w14:paraId="1F1960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Fruits </w:t>
            </w:r>
          </w:p>
        </w:tc>
        <w:tc>
          <w:tcPr>
            <w:tcW w:w="3118" w:type="dxa"/>
            <w:tcBorders>
              <w:top w:val="single" w:sz="4" w:space="0" w:color="000000"/>
              <w:left w:val="nil"/>
              <w:bottom w:val="single" w:sz="4" w:space="0" w:color="000000"/>
              <w:right w:val="single" w:sz="4" w:space="0" w:color="000000"/>
            </w:tcBorders>
          </w:tcPr>
          <w:p w14:paraId="2B9A0E04"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C2D3B45"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455A21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74380CC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14:paraId="254FA9A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54.6</w:t>
            </w:r>
          </w:p>
        </w:tc>
      </w:tr>
      <w:tr w:rsidR="00807BBA" w:rsidRPr="002F48F9" w14:paraId="3B0779C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E47B5B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5012D37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15</w:t>
            </w:r>
          </w:p>
        </w:tc>
        <w:tc>
          <w:tcPr>
            <w:tcW w:w="3118" w:type="dxa"/>
            <w:tcBorders>
              <w:top w:val="single" w:sz="4" w:space="0" w:color="000000"/>
              <w:left w:val="single" w:sz="4" w:space="0" w:color="000000"/>
              <w:bottom w:val="single" w:sz="4" w:space="0" w:color="000000"/>
              <w:right w:val="single" w:sz="4" w:space="0" w:color="000000"/>
            </w:tcBorders>
          </w:tcPr>
          <w:p w14:paraId="7D47800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3422D7A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8D80DE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39B2B3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37 </w:t>
            </w:r>
          </w:p>
        </w:tc>
        <w:tc>
          <w:tcPr>
            <w:tcW w:w="3118" w:type="dxa"/>
            <w:tcBorders>
              <w:top w:val="single" w:sz="4" w:space="0" w:color="000000"/>
              <w:left w:val="single" w:sz="4" w:space="0" w:color="000000"/>
              <w:bottom w:val="single" w:sz="4" w:space="0" w:color="000000"/>
              <w:right w:val="single" w:sz="4" w:space="0" w:color="000000"/>
            </w:tcBorders>
          </w:tcPr>
          <w:p w14:paraId="72D6C3C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20.2 </w:t>
            </w:r>
          </w:p>
        </w:tc>
      </w:tr>
      <w:tr w:rsidR="00807BBA" w:rsidRPr="002F48F9" w14:paraId="7E42AF8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7B9153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27095A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 </w:t>
            </w:r>
          </w:p>
        </w:tc>
        <w:tc>
          <w:tcPr>
            <w:tcW w:w="3118" w:type="dxa"/>
            <w:tcBorders>
              <w:top w:val="single" w:sz="4" w:space="0" w:color="000000"/>
              <w:left w:val="single" w:sz="4" w:space="0" w:color="000000"/>
              <w:bottom w:val="single" w:sz="4" w:space="0" w:color="000000"/>
              <w:right w:val="single" w:sz="4" w:space="0" w:color="000000"/>
            </w:tcBorders>
          </w:tcPr>
          <w:p w14:paraId="442944D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17.0 </w:t>
            </w:r>
          </w:p>
        </w:tc>
      </w:tr>
      <w:tr w:rsidR="00807BBA" w:rsidRPr="002F48F9" w14:paraId="61B5F4A6"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5F552D41" w14:textId="77777777" w:rsidR="00807BBA" w:rsidRPr="002F48F9" w:rsidRDefault="00807BBA" w:rsidP="00FC2C53">
            <w:pPr>
              <w:spacing w:line="259" w:lineRule="auto"/>
              <w:rPr>
                <w:rFonts w:ascii="Times New Roman" w:hAnsi="Times New Roman" w:cs="Times New Roman"/>
                <w:sz w:val="24"/>
                <w:szCs w:val="24"/>
              </w:rPr>
            </w:pPr>
          </w:p>
        </w:tc>
      </w:tr>
    </w:tbl>
    <w:p w14:paraId="1C775C93" w14:textId="77777777" w:rsidR="00807BBA" w:rsidRPr="002F48F9" w:rsidRDefault="00807BBA" w:rsidP="00807BBA">
      <w:pPr>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3AE31939" w14:textId="77777777" w:rsidR="00807BBA" w:rsidRPr="002F48F9" w:rsidRDefault="00807BBA" w:rsidP="00807BBA">
      <w:pPr>
        <w:spacing w:after="0"/>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354B6611" w14:textId="77777777" w:rsidR="00807BBA" w:rsidRPr="002F48F9" w:rsidRDefault="00807BBA" w:rsidP="00807BBA">
      <w:pPr>
        <w:pStyle w:val="Heading2"/>
        <w:ind w:left="10"/>
        <w:rPr>
          <w:szCs w:val="24"/>
        </w:rPr>
      </w:pPr>
      <w:bookmarkStart w:id="2" w:name="_Toc104470769"/>
      <w:bookmarkStart w:id="3" w:name="_Toc72250"/>
      <w:r w:rsidRPr="002F48F9">
        <w:rPr>
          <w:szCs w:val="24"/>
        </w:rPr>
        <w:t>4.4 OBSTETRIC CHARACTERISTICS</w:t>
      </w:r>
      <w:bookmarkEnd w:id="2"/>
      <w:r w:rsidRPr="002F48F9">
        <w:rPr>
          <w:szCs w:val="24"/>
        </w:rPr>
        <w:t xml:space="preserve"> </w:t>
      </w:r>
      <w:bookmarkEnd w:id="3"/>
    </w:p>
    <w:p w14:paraId="28976328" w14:textId="77777777"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The average booking weight was 64.98 kg, with an average height of 155.62 kg. The lowest weight recorded at booking was 43.0kg, with a maximum of 110kg. At the current ANC visit, the average weight was 65.0 kg, with 45 kg being the lowest and 119.0 kg being the highest. 45.4% of the women were nulliparous, with 6.01% being grand multiparous. </w:t>
      </w:r>
    </w:p>
    <w:p w14:paraId="52C3CC39" w14:textId="77777777" w:rsidR="00807BBA" w:rsidRPr="002F48F9" w:rsidRDefault="00807BBA" w:rsidP="00807BBA">
      <w:pPr>
        <w:spacing w:after="446"/>
        <w:ind w:left="-5" w:right="49"/>
        <w:rPr>
          <w:rFonts w:ascii="Times New Roman" w:hAnsi="Times New Roman" w:cs="Times New Roman"/>
          <w:sz w:val="24"/>
          <w:szCs w:val="24"/>
        </w:rPr>
      </w:pPr>
    </w:p>
    <w:p w14:paraId="3C7E869E" w14:textId="77777777" w:rsidR="00807BBA" w:rsidRPr="002F48F9" w:rsidRDefault="00807BBA" w:rsidP="00807BBA">
      <w:pPr>
        <w:spacing w:after="446"/>
        <w:ind w:right="49"/>
        <w:rPr>
          <w:rFonts w:ascii="Times New Roman" w:hAnsi="Times New Roman" w:cs="Times New Roman"/>
          <w:sz w:val="24"/>
          <w:szCs w:val="24"/>
        </w:rPr>
      </w:pPr>
      <w:r w:rsidRPr="002F48F9">
        <w:rPr>
          <w:rFonts w:ascii="Times New Roman" w:hAnsi="Times New Roman" w:cs="Times New Roman"/>
          <w:noProof/>
          <w:sz w:val="24"/>
          <w:szCs w:val="24"/>
        </w:rPr>
        <w:drawing>
          <wp:anchor distT="0" distB="0" distL="114300" distR="114300" simplePos="0" relativeHeight="251656192" behindDoc="0" locked="0" layoutInCell="1" allowOverlap="1" wp14:anchorId="3B4048FB" wp14:editId="2C3C8CAB">
            <wp:simplePos x="0" y="0"/>
            <wp:positionH relativeFrom="column">
              <wp:posOffset>0</wp:posOffset>
            </wp:positionH>
            <wp:positionV relativeFrom="paragraph">
              <wp:posOffset>475614</wp:posOffset>
            </wp:positionV>
            <wp:extent cx="5486400" cy="3200400"/>
            <wp:effectExtent l="0" t="0" r="0" b="0"/>
            <wp:wrapSquare wrapText="bothSides"/>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CFF220E" w14:textId="77777777" w:rsidR="00807BBA" w:rsidRPr="002F48F9" w:rsidRDefault="00807BBA" w:rsidP="00807BBA">
      <w:pPr>
        <w:spacing w:after="446"/>
        <w:ind w:left="-5" w:right="49"/>
        <w:rPr>
          <w:rFonts w:ascii="Times New Roman" w:hAnsi="Times New Roman" w:cs="Times New Roman"/>
          <w:sz w:val="24"/>
          <w:szCs w:val="24"/>
        </w:rPr>
      </w:pPr>
    </w:p>
    <w:p w14:paraId="42CA57F1" w14:textId="77777777" w:rsidR="00807BBA" w:rsidRPr="002F48F9" w:rsidRDefault="00807BBA" w:rsidP="00807BBA">
      <w:pPr>
        <w:spacing w:after="446"/>
        <w:ind w:left="-5" w:right="49"/>
        <w:rPr>
          <w:rFonts w:ascii="Times New Roman" w:hAnsi="Times New Roman" w:cs="Times New Roman"/>
          <w:sz w:val="24"/>
          <w:szCs w:val="24"/>
        </w:rPr>
      </w:pPr>
    </w:p>
    <w:p w14:paraId="679C7EC2" w14:textId="77777777" w:rsidR="00807BBA" w:rsidRPr="002F48F9" w:rsidRDefault="00807BBA" w:rsidP="00807BBA">
      <w:pPr>
        <w:spacing w:after="446"/>
        <w:ind w:left="-5" w:right="49"/>
        <w:rPr>
          <w:rFonts w:ascii="Times New Roman" w:hAnsi="Times New Roman" w:cs="Times New Roman"/>
          <w:sz w:val="24"/>
          <w:szCs w:val="24"/>
        </w:rPr>
      </w:pPr>
    </w:p>
    <w:p w14:paraId="79B7B9E1" w14:textId="77777777" w:rsidR="00807BBA" w:rsidRPr="002F48F9" w:rsidRDefault="00807BBA" w:rsidP="00807BBA">
      <w:pPr>
        <w:spacing w:after="446"/>
        <w:ind w:left="-5" w:right="49"/>
        <w:rPr>
          <w:rFonts w:ascii="Times New Roman" w:hAnsi="Times New Roman" w:cs="Times New Roman"/>
          <w:sz w:val="24"/>
          <w:szCs w:val="24"/>
        </w:rPr>
      </w:pPr>
    </w:p>
    <w:p w14:paraId="1862F20A" w14:textId="77777777" w:rsidR="00807BBA" w:rsidRPr="002F48F9" w:rsidRDefault="00807BBA" w:rsidP="00807BBA">
      <w:pPr>
        <w:spacing w:after="446"/>
        <w:ind w:left="-5" w:right="49"/>
        <w:rPr>
          <w:rFonts w:ascii="Times New Roman" w:hAnsi="Times New Roman" w:cs="Times New Roman"/>
          <w:sz w:val="24"/>
          <w:szCs w:val="24"/>
        </w:rPr>
      </w:pPr>
    </w:p>
    <w:p w14:paraId="26EC2281" w14:textId="77777777" w:rsidR="00807BBA" w:rsidRPr="002F48F9" w:rsidRDefault="00807BBA" w:rsidP="00807BBA">
      <w:pPr>
        <w:spacing w:after="158"/>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4BF48388" w14:textId="77777777" w:rsidR="00807BBA" w:rsidRPr="002F48F9" w:rsidRDefault="00807BBA" w:rsidP="00807BBA">
      <w:pPr>
        <w:spacing w:after="158"/>
        <w:rPr>
          <w:rFonts w:ascii="Times New Roman" w:hAnsi="Times New Roman" w:cs="Times New Roman"/>
          <w:sz w:val="24"/>
          <w:szCs w:val="24"/>
          <w:highlight w:val="yellow"/>
        </w:rPr>
      </w:pPr>
    </w:p>
    <w:p w14:paraId="7E66DBFC" w14:textId="77777777" w:rsidR="00807BBA" w:rsidRPr="002F48F9" w:rsidRDefault="00807BBA" w:rsidP="00807BBA">
      <w:pPr>
        <w:spacing w:after="158"/>
        <w:rPr>
          <w:rFonts w:ascii="Times New Roman" w:hAnsi="Times New Roman" w:cs="Times New Roman"/>
          <w:sz w:val="24"/>
          <w:szCs w:val="24"/>
          <w:highlight w:val="yellow"/>
        </w:rPr>
      </w:pPr>
    </w:p>
    <w:p w14:paraId="07C84524" w14:textId="77777777" w:rsidR="00EB52A4" w:rsidRPr="002F48F9" w:rsidRDefault="00EB52A4" w:rsidP="00807BBA">
      <w:pPr>
        <w:spacing w:after="446"/>
        <w:ind w:left="-5" w:right="49"/>
        <w:rPr>
          <w:rFonts w:ascii="Times New Roman" w:hAnsi="Times New Roman" w:cs="Times New Roman"/>
          <w:sz w:val="24"/>
          <w:szCs w:val="24"/>
        </w:rPr>
      </w:pPr>
    </w:p>
    <w:p w14:paraId="4B123BBF" w14:textId="10E4703D" w:rsidR="00807BBA" w:rsidRPr="002F48F9" w:rsidRDefault="00807BBA" w:rsidP="00807BBA">
      <w:pPr>
        <w:spacing w:after="446"/>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EB52A4" w:rsidRPr="002F48F9">
        <w:rPr>
          <w:rFonts w:ascii="Times New Roman" w:hAnsi="Times New Roman" w:cs="Times New Roman"/>
          <w:sz w:val="24"/>
          <w:szCs w:val="24"/>
        </w:rPr>
        <w:t>2</w:t>
      </w:r>
      <w:r w:rsidRPr="002F48F9">
        <w:rPr>
          <w:rFonts w:ascii="Times New Roman" w:hAnsi="Times New Roman" w:cs="Times New Roman"/>
          <w:sz w:val="24"/>
          <w:szCs w:val="24"/>
        </w:rPr>
        <w:t>: GRAVIDITY AND FREQUENCY</w:t>
      </w:r>
    </w:p>
    <w:p w14:paraId="158AE921" w14:textId="77777777" w:rsidR="00807BBA" w:rsidRPr="002F48F9" w:rsidRDefault="00807BBA" w:rsidP="00807BBA">
      <w:pPr>
        <w:spacing w:after="158"/>
        <w:rPr>
          <w:rFonts w:ascii="Times New Roman" w:hAnsi="Times New Roman" w:cs="Times New Roman"/>
          <w:sz w:val="24"/>
          <w:szCs w:val="24"/>
          <w:highlight w:val="yellow"/>
        </w:rPr>
      </w:pPr>
    </w:p>
    <w:p w14:paraId="0D1E4932" w14:textId="77777777" w:rsidR="00807BBA" w:rsidRPr="002F48F9" w:rsidRDefault="00807BBA" w:rsidP="00807BBA">
      <w:pPr>
        <w:spacing w:after="0"/>
        <w:ind w:left="-5" w:right="49"/>
        <w:rPr>
          <w:rFonts w:ascii="Times New Roman" w:hAnsi="Times New Roman" w:cs="Times New Roman"/>
          <w:sz w:val="24"/>
          <w:szCs w:val="24"/>
          <w:highlight w:val="yellow"/>
        </w:rPr>
      </w:pPr>
      <w:r w:rsidRPr="002F48F9">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anchorId="29ED3A8A" wp14:editId="0CEB7F60">
            <wp:simplePos x="0" y="0"/>
            <wp:positionH relativeFrom="column">
              <wp:posOffset>0</wp:posOffset>
            </wp:positionH>
            <wp:positionV relativeFrom="paragraph">
              <wp:posOffset>190500</wp:posOffset>
            </wp:positionV>
            <wp:extent cx="5486400" cy="3200400"/>
            <wp:effectExtent l="0" t="0" r="0" b="0"/>
            <wp:wrapSquare wrapText="bothSides"/>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DEAAB19" w14:textId="77777777" w:rsidR="00807BBA" w:rsidRPr="002F48F9" w:rsidRDefault="00807BBA" w:rsidP="00807BBA">
      <w:pPr>
        <w:spacing w:after="0"/>
        <w:ind w:left="-5" w:right="49"/>
        <w:rPr>
          <w:rFonts w:ascii="Times New Roman" w:hAnsi="Times New Roman" w:cs="Times New Roman"/>
          <w:sz w:val="24"/>
          <w:szCs w:val="24"/>
          <w:highlight w:val="yellow"/>
        </w:rPr>
      </w:pPr>
    </w:p>
    <w:p w14:paraId="0EB2D72B" w14:textId="77777777" w:rsidR="00807BBA" w:rsidRPr="002F48F9" w:rsidRDefault="00807BBA" w:rsidP="00807BBA">
      <w:pPr>
        <w:spacing w:after="0"/>
        <w:ind w:left="-5" w:right="49"/>
        <w:rPr>
          <w:rFonts w:ascii="Times New Roman" w:hAnsi="Times New Roman" w:cs="Times New Roman"/>
          <w:sz w:val="24"/>
          <w:szCs w:val="24"/>
          <w:highlight w:val="yellow"/>
        </w:rPr>
      </w:pPr>
    </w:p>
    <w:p w14:paraId="7DF55479" w14:textId="77777777" w:rsidR="00807BBA" w:rsidRPr="002F48F9" w:rsidRDefault="00807BBA" w:rsidP="00807BBA">
      <w:pPr>
        <w:spacing w:after="0"/>
        <w:ind w:left="-5" w:right="49"/>
        <w:rPr>
          <w:rFonts w:ascii="Times New Roman" w:hAnsi="Times New Roman" w:cs="Times New Roman"/>
          <w:sz w:val="24"/>
          <w:szCs w:val="24"/>
          <w:highlight w:val="yellow"/>
        </w:rPr>
      </w:pPr>
    </w:p>
    <w:p w14:paraId="47B6AD94" w14:textId="77777777" w:rsidR="00807BBA" w:rsidRPr="002F48F9" w:rsidRDefault="00807BBA" w:rsidP="00807BBA">
      <w:pPr>
        <w:spacing w:after="0"/>
        <w:ind w:left="-5" w:right="49"/>
        <w:rPr>
          <w:rFonts w:ascii="Times New Roman" w:hAnsi="Times New Roman" w:cs="Times New Roman"/>
          <w:sz w:val="24"/>
          <w:szCs w:val="24"/>
          <w:highlight w:val="yellow"/>
        </w:rPr>
      </w:pPr>
    </w:p>
    <w:p w14:paraId="462DD7EA" w14:textId="77777777" w:rsidR="00807BBA" w:rsidRPr="002F48F9" w:rsidRDefault="00807BBA" w:rsidP="00807BBA">
      <w:pPr>
        <w:spacing w:after="0"/>
        <w:ind w:left="-5" w:right="49"/>
        <w:rPr>
          <w:rFonts w:ascii="Times New Roman" w:hAnsi="Times New Roman" w:cs="Times New Roman"/>
          <w:sz w:val="24"/>
          <w:szCs w:val="24"/>
          <w:highlight w:val="yellow"/>
        </w:rPr>
      </w:pPr>
    </w:p>
    <w:p w14:paraId="67C0FAFB" w14:textId="77777777" w:rsidR="00807BBA" w:rsidRPr="002F48F9" w:rsidRDefault="00807BBA" w:rsidP="00807BBA">
      <w:pPr>
        <w:spacing w:after="0"/>
        <w:rPr>
          <w:rFonts w:ascii="Times New Roman" w:hAnsi="Times New Roman" w:cs="Times New Roman"/>
          <w:sz w:val="24"/>
          <w:szCs w:val="24"/>
          <w:highlight w:val="yellow"/>
        </w:rPr>
      </w:pPr>
    </w:p>
    <w:p w14:paraId="71695A41" w14:textId="77777777" w:rsidR="00807BBA" w:rsidRPr="002F48F9" w:rsidRDefault="00807BBA" w:rsidP="00807BBA">
      <w:pPr>
        <w:spacing w:after="0"/>
        <w:rPr>
          <w:rFonts w:ascii="Times New Roman" w:hAnsi="Times New Roman" w:cs="Times New Roman"/>
          <w:sz w:val="24"/>
          <w:szCs w:val="24"/>
          <w:highlight w:val="yellow"/>
        </w:rPr>
      </w:pPr>
    </w:p>
    <w:p w14:paraId="71B85F1B" w14:textId="77777777" w:rsidR="00807BBA" w:rsidRPr="002F48F9" w:rsidRDefault="00807BBA" w:rsidP="00807BBA">
      <w:pPr>
        <w:spacing w:after="0"/>
        <w:rPr>
          <w:rFonts w:ascii="Times New Roman" w:hAnsi="Times New Roman" w:cs="Times New Roman"/>
          <w:sz w:val="24"/>
          <w:szCs w:val="24"/>
          <w:highlight w:val="yellow"/>
        </w:rPr>
      </w:pPr>
    </w:p>
    <w:p w14:paraId="49257370" w14:textId="77777777" w:rsidR="00807BBA" w:rsidRPr="002F48F9" w:rsidRDefault="00807BBA" w:rsidP="00807BBA">
      <w:pPr>
        <w:spacing w:after="0"/>
        <w:rPr>
          <w:rFonts w:ascii="Times New Roman" w:hAnsi="Times New Roman" w:cs="Times New Roman"/>
          <w:sz w:val="24"/>
          <w:szCs w:val="24"/>
          <w:highlight w:val="yellow"/>
        </w:rPr>
      </w:pPr>
    </w:p>
    <w:p w14:paraId="3CCA676E" w14:textId="77777777" w:rsidR="00807BBA" w:rsidRPr="002F48F9" w:rsidRDefault="00807BBA" w:rsidP="00807BBA">
      <w:pPr>
        <w:spacing w:after="0"/>
        <w:rPr>
          <w:rFonts w:ascii="Times New Roman" w:hAnsi="Times New Roman" w:cs="Times New Roman"/>
          <w:sz w:val="24"/>
          <w:szCs w:val="24"/>
          <w:highlight w:val="yellow"/>
        </w:rPr>
      </w:pPr>
    </w:p>
    <w:p w14:paraId="3BEEB556" w14:textId="77777777" w:rsidR="00807BBA" w:rsidRPr="002F48F9" w:rsidRDefault="00807BBA" w:rsidP="00807BBA">
      <w:pPr>
        <w:spacing w:after="0"/>
        <w:rPr>
          <w:rFonts w:ascii="Times New Roman" w:hAnsi="Times New Roman" w:cs="Times New Roman"/>
          <w:sz w:val="24"/>
          <w:szCs w:val="24"/>
          <w:highlight w:val="yellow"/>
        </w:rPr>
      </w:pPr>
    </w:p>
    <w:p w14:paraId="4FAF7DEE" w14:textId="77777777" w:rsidR="00807BBA" w:rsidRPr="002F48F9" w:rsidRDefault="00807BBA" w:rsidP="00807BBA">
      <w:pPr>
        <w:spacing w:after="0"/>
        <w:rPr>
          <w:rFonts w:ascii="Times New Roman" w:hAnsi="Times New Roman" w:cs="Times New Roman"/>
          <w:sz w:val="24"/>
          <w:szCs w:val="24"/>
          <w:highlight w:val="yellow"/>
        </w:rPr>
      </w:pPr>
    </w:p>
    <w:p w14:paraId="1A7EFD90" w14:textId="77777777" w:rsidR="00807BBA" w:rsidRPr="002F48F9" w:rsidRDefault="00807BBA" w:rsidP="00807BBA">
      <w:pPr>
        <w:spacing w:after="0"/>
        <w:rPr>
          <w:rFonts w:ascii="Times New Roman" w:hAnsi="Times New Roman" w:cs="Times New Roman"/>
          <w:sz w:val="24"/>
          <w:szCs w:val="24"/>
          <w:highlight w:val="yellow"/>
        </w:rPr>
      </w:pPr>
    </w:p>
    <w:p w14:paraId="14D23895" w14:textId="77777777" w:rsidR="00807BBA" w:rsidRPr="002F48F9" w:rsidRDefault="00807BBA" w:rsidP="00807BBA">
      <w:pPr>
        <w:spacing w:after="0"/>
        <w:rPr>
          <w:rFonts w:ascii="Times New Roman" w:hAnsi="Times New Roman" w:cs="Times New Roman"/>
          <w:sz w:val="24"/>
          <w:szCs w:val="24"/>
          <w:highlight w:val="yellow"/>
        </w:rPr>
      </w:pPr>
    </w:p>
    <w:p w14:paraId="5FD1799A" w14:textId="77777777" w:rsidR="00807BBA" w:rsidRPr="002F48F9" w:rsidRDefault="00807BBA" w:rsidP="00807BBA">
      <w:pPr>
        <w:spacing w:after="0"/>
        <w:rPr>
          <w:rFonts w:ascii="Times New Roman" w:hAnsi="Times New Roman" w:cs="Times New Roman"/>
          <w:sz w:val="24"/>
          <w:szCs w:val="24"/>
          <w:highlight w:val="yellow"/>
        </w:rPr>
      </w:pPr>
    </w:p>
    <w:p w14:paraId="0233021C" w14:textId="77777777" w:rsidR="00807BBA" w:rsidRPr="002F48F9" w:rsidRDefault="00807BBA" w:rsidP="00807BBA">
      <w:pPr>
        <w:spacing w:after="0"/>
        <w:rPr>
          <w:rFonts w:ascii="Times New Roman" w:hAnsi="Times New Roman" w:cs="Times New Roman"/>
          <w:sz w:val="24"/>
          <w:szCs w:val="24"/>
          <w:highlight w:val="yellow"/>
        </w:rPr>
      </w:pPr>
    </w:p>
    <w:p w14:paraId="79E494A1" w14:textId="77777777" w:rsidR="00807BBA" w:rsidRPr="002F48F9" w:rsidRDefault="00807BBA" w:rsidP="00807BBA">
      <w:pPr>
        <w:spacing w:after="0"/>
        <w:rPr>
          <w:rFonts w:ascii="Times New Roman" w:hAnsi="Times New Roman" w:cs="Times New Roman"/>
          <w:sz w:val="24"/>
          <w:szCs w:val="24"/>
          <w:highlight w:val="yellow"/>
        </w:rPr>
      </w:pPr>
    </w:p>
    <w:p w14:paraId="5126E7FD" w14:textId="77777777" w:rsidR="00807BBA" w:rsidRPr="002F48F9" w:rsidRDefault="00807BBA" w:rsidP="00807BBA">
      <w:pPr>
        <w:spacing w:after="0"/>
        <w:rPr>
          <w:rFonts w:ascii="Times New Roman" w:hAnsi="Times New Roman" w:cs="Times New Roman"/>
          <w:sz w:val="24"/>
          <w:szCs w:val="24"/>
          <w:highlight w:val="yellow"/>
        </w:rPr>
      </w:pPr>
    </w:p>
    <w:p w14:paraId="06E57116" w14:textId="77777777" w:rsidR="00C547A7" w:rsidRPr="002F48F9" w:rsidRDefault="00807BBA" w:rsidP="00807BBA">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C547A7" w:rsidRPr="002F48F9">
        <w:rPr>
          <w:rFonts w:ascii="Times New Roman" w:hAnsi="Times New Roman" w:cs="Times New Roman"/>
          <w:sz w:val="24"/>
          <w:szCs w:val="24"/>
        </w:rPr>
        <w:t>3</w:t>
      </w:r>
      <w:r w:rsidRPr="002F48F9">
        <w:rPr>
          <w:rFonts w:ascii="Times New Roman" w:hAnsi="Times New Roman" w:cs="Times New Roman"/>
          <w:sz w:val="24"/>
          <w:szCs w:val="24"/>
        </w:rPr>
        <w:t>: PARITY AND FREQUENCY</w:t>
      </w:r>
    </w:p>
    <w:p w14:paraId="5C9EBD49" w14:textId="09F7EA55" w:rsidR="00807BBA" w:rsidRPr="002F48F9" w:rsidRDefault="00807BBA" w:rsidP="00807BBA">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 </w:t>
      </w:r>
    </w:p>
    <w:p w14:paraId="50D07455" w14:textId="77777777"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32.9% of women had two or more children, with 24.0% having only one child and 47.9% having no children. 87.4% of the pregnancies were planned and wanted, while 9.3% were unplanned but wanted, and 2.7% were unplanned and unwanted. 3.8% of pregnancies recorded during the survey were twins; the remaining 96.2% were singletons. 19.85% of women were currently in the first trimester, 46.7% were in the second trimester, and 43.45% were in the third trimester compared to the booking visits when 73.5% were in the first trimester, 25% in the second trimester, and 1.5% in the third trimester. With the introduction of the focused ANC system, a minimum of 4 ANC visits is required. Of the women attending ANC, only 38.7% met this criterion. From the survey, only 7 women out of 183 had been told by their healthcare provider that the fetus was small for their age. </w:t>
      </w:r>
    </w:p>
    <w:p w14:paraId="680BC069"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In addition, 79.62% of the anaemic pregnant women did not book during the first trimester, 19.46% and 0.92% during the second and third trimesters, respectively. There was no significant association between time of booking and anemia status, with a p value of 0.472. At the current gestational age, 41.7% were in the second trimester, 30.50% in the first trimester, and 27.8% of the anaemic respondents were in their third trimester. The correlation between gestational age and anemia status was strong with a p value of 0.029.</w:t>
      </w:r>
    </w:p>
    <w:p w14:paraId="25E16CB0" w14:textId="77777777" w:rsidR="00807BBA" w:rsidRPr="002F48F9" w:rsidRDefault="00807BBA" w:rsidP="00807BBA">
      <w:pPr>
        <w:ind w:left="-15" w:right="49"/>
        <w:rPr>
          <w:rFonts w:ascii="Times New Roman" w:hAnsi="Times New Roman" w:cs="Times New Roman"/>
          <w:sz w:val="24"/>
          <w:szCs w:val="24"/>
        </w:rPr>
      </w:pPr>
      <w:r w:rsidRPr="002F48F9">
        <w:rPr>
          <w:rFonts w:ascii="Times New Roman" w:hAnsi="Times New Roman" w:cs="Times New Roman"/>
          <w:sz w:val="24"/>
          <w:szCs w:val="24"/>
        </w:rPr>
        <w:t xml:space="preserve">ANC visits and anemia status also had no association with a p value of 0.476. 39.8% of the anaemic pregnant women had made fewer than 4 visits to the clinic. The rest made more than 3 visits. The relationship between gravity and anemia status was fair, with a p value of 0.049. 40.74% of those who were anaemic were primigravida, whilst 59.25% were multigravida. With respect to children, the percentage of anaemic pregnant women increased with the number of </w:t>
      </w:r>
      <w:r w:rsidRPr="002F48F9">
        <w:rPr>
          <w:rFonts w:ascii="Times New Roman" w:hAnsi="Times New Roman" w:cs="Times New Roman"/>
          <w:sz w:val="24"/>
          <w:szCs w:val="24"/>
        </w:rPr>
        <w:lastRenderedPageBreak/>
        <w:t xml:space="preserve">children. There was an association between the number of children and anemia status with a p value of 0.032. 53.7% of the anemic respondents were multiparous and 46.29% were nulliparous. </w:t>
      </w:r>
    </w:p>
    <w:p w14:paraId="54136F08" w14:textId="77777777" w:rsidR="00807BBA" w:rsidRPr="002F48F9" w:rsidRDefault="00807BBA" w:rsidP="00807BBA">
      <w:pPr>
        <w:pStyle w:val="Heading2"/>
        <w:ind w:left="10"/>
        <w:rPr>
          <w:szCs w:val="24"/>
        </w:rPr>
      </w:pPr>
      <w:bookmarkStart w:id="4" w:name="_Toc72251"/>
    </w:p>
    <w:p w14:paraId="0897709C" w14:textId="156D0D15" w:rsidR="00807BBA" w:rsidRPr="002F48F9" w:rsidRDefault="00807BBA" w:rsidP="00807BBA">
      <w:pPr>
        <w:pStyle w:val="Heading2"/>
        <w:ind w:left="10"/>
        <w:rPr>
          <w:szCs w:val="24"/>
        </w:rPr>
      </w:pPr>
      <w:bookmarkStart w:id="5" w:name="_Toc104470770"/>
      <w:r w:rsidRPr="002F48F9">
        <w:rPr>
          <w:szCs w:val="24"/>
        </w:rPr>
        <w:t>INFERENTIAL ANALYSIS</w:t>
      </w:r>
      <w:bookmarkEnd w:id="5"/>
      <w:r w:rsidRPr="002F48F9">
        <w:rPr>
          <w:szCs w:val="24"/>
        </w:rPr>
        <w:t xml:space="preserve"> </w:t>
      </w:r>
      <w:bookmarkEnd w:id="4"/>
    </w:p>
    <w:p w14:paraId="6CC2CE3C" w14:textId="0327136C" w:rsidR="00807BBA" w:rsidRPr="002F48F9" w:rsidRDefault="00807BBA" w:rsidP="003A2CA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For the purpose of this study, the respondents' anemic status was determined using their current hemoglobin level per the WHO standard, which states clearly that a hemoglobin level of 11 g/dl is diagnostic of anemia in pregnancy. The correlation between anemia status and some independent variables, mostly major risk factors, was computed using the Pearson chi-squared analytical tool via SPSS. P values of 0.05 were considered significant. There was a strong association between the hemoglobin levels of pregnant women attending ANC at the TaTu Hospital and level of education (0.029), sleeping under a long-lasting insecticide net (0.041), use of other methods of vector control (0.027), number of times eaten per day (0.013), gestational age (0.029), parity (0.032) and gravidity (0.049). </w:t>
      </w:r>
    </w:p>
    <w:p w14:paraId="1E2C9CBC" w14:textId="0D20D434" w:rsidR="00807BBA" w:rsidRPr="002F48F9" w:rsidRDefault="00807BBA" w:rsidP="003A2CA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With respect to the socio-demographic characteristics of the respondents, the level of education of respondents had a good association with hemoglobin level. Most respondents with a good background of education identified as non-anaemic pregnant women. Moreover, salaried workers, such as government workers and students, were less likely to be diagnosed with anemia in pregnancy than those who were self-employed. The prevalence of anemia at the time of the study was 59%. Hence, more than half of the pregnant women attending ANC at Tatu Hospital are anaemic. Thus, out of 100 respondents, 59 are anaemic, with 27 being mild, 30 moderate, and 2 with severe conditions. The mean hemoglobin level was 10.6 g/dl. The range was 6.0-16.1g/dl. </w:t>
      </w:r>
    </w:p>
    <w:p w14:paraId="30858AA6"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The ANC clinic of TATU hospital practices the routine supplementation of iron, folic acid, and multivitamins. In addition, 16.0% of the respondents had received at least three doses of SP. 14.2% received two doses of SP and 19.1% received a single dose of SP at the time of the study. Pregnant women who slept under long-lasting mosquito nets were less associated with anemia than respondents who did not sleep under insecticide nets. Also, respondents who used multiple methods of vector control, such as mosquito coils and mosquito spray, were least associated with anemia in pregnant women. Those who used single control methods were less likely to have anemia than those who used none. </w:t>
      </w:r>
    </w:p>
    <w:p w14:paraId="0E24DE8B"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19.8% of anaemic respondents ate less than 3 square meals. The correlation between the number of times one had eaten animal or plant iron-rich products per week was, however, not significant. With respect to the obstetric characteristics of pregnant women attending ANC at Tatu Hospital, there was an association between hemoglobin level and gestational age at booking, current gestational age, parity, and gravidity. The risk of anemia in pregnancy increases with increasing gestational age. The higher the number of ANC visits, the lower the chance of having anemia in pregnancy, and multigravida pregnant women were more associated with anemia. </w:t>
      </w:r>
    </w:p>
    <w:p w14:paraId="2E0C64EB" w14:textId="203D87A2" w:rsidR="009F1A57" w:rsidRPr="002F48F9" w:rsidRDefault="009F1A57" w:rsidP="009F1A57">
      <w:pPr>
        <w:rPr>
          <w:rFonts w:ascii="Times New Roman" w:hAnsi="Times New Roman" w:cs="Times New Roman"/>
          <w:sz w:val="24"/>
          <w:szCs w:val="24"/>
        </w:rPr>
      </w:pPr>
      <w:r w:rsidRPr="002F48F9">
        <w:rPr>
          <w:rFonts w:ascii="Times New Roman" w:hAnsi="Times New Roman" w:cs="Times New Roman"/>
          <w:b/>
          <w:bCs/>
          <w:sz w:val="24"/>
          <w:szCs w:val="24"/>
          <w:lang w:val="en-GB"/>
        </w:rPr>
        <w:lastRenderedPageBreak/>
        <w:t xml:space="preserve"> </w:t>
      </w:r>
    </w:p>
    <w:p w14:paraId="2C886630" w14:textId="77777777" w:rsidR="009F1A57" w:rsidRPr="002F48F9" w:rsidRDefault="009F1A57" w:rsidP="009F1A57">
      <w:pPr>
        <w:rPr>
          <w:rFonts w:ascii="Times New Roman" w:hAnsi="Times New Roman" w:cs="Times New Roman"/>
          <w:sz w:val="24"/>
          <w:szCs w:val="24"/>
        </w:rPr>
      </w:pPr>
    </w:p>
    <w:p w14:paraId="07C4F89D" w14:textId="77777777" w:rsidR="009F1A57" w:rsidRPr="002F48F9" w:rsidRDefault="009F1A57" w:rsidP="009F1A57">
      <w:pPr>
        <w:rPr>
          <w:rFonts w:ascii="Times New Roman" w:hAnsi="Times New Roman" w:cs="Times New Roman"/>
          <w:sz w:val="24"/>
          <w:szCs w:val="24"/>
        </w:rPr>
      </w:pPr>
    </w:p>
    <w:p w14:paraId="0F0E731E" w14:textId="78A3C76D" w:rsidR="00BE7250" w:rsidRPr="002F48F9" w:rsidRDefault="009F1A57" w:rsidP="00436678">
      <w:pPr>
        <w:rPr>
          <w:rFonts w:ascii="Times New Roman" w:hAnsi="Times New Roman" w:cs="Times New Roman"/>
          <w:b/>
          <w:bCs/>
          <w:sz w:val="24"/>
          <w:szCs w:val="24"/>
        </w:rPr>
      </w:pPr>
      <w:r w:rsidRPr="002F48F9">
        <w:rPr>
          <w:rFonts w:ascii="Times New Roman" w:hAnsi="Times New Roman" w:cs="Times New Roman"/>
          <w:b/>
          <w:bCs/>
          <w:sz w:val="24"/>
          <w:szCs w:val="24"/>
        </w:rPr>
        <w:t>DISCUSSION</w:t>
      </w:r>
    </w:p>
    <w:p w14:paraId="3862F8A0" w14:textId="4CB24F9F" w:rsidR="00BE7250" w:rsidRPr="002F48F9" w:rsidRDefault="00BE7250" w:rsidP="00436678">
      <w:pPr>
        <w:rPr>
          <w:rFonts w:ascii="Times New Roman" w:hAnsi="Times New Roman" w:cs="Times New Roman"/>
          <w:sz w:val="24"/>
          <w:szCs w:val="24"/>
        </w:rPr>
      </w:pPr>
      <w:bookmarkStart w:id="6" w:name="_Toc104470774"/>
      <w:r w:rsidRPr="002F48F9">
        <w:rPr>
          <w:rFonts w:ascii="Times New Roman" w:hAnsi="Times New Roman" w:cs="Times New Roman"/>
          <w:sz w:val="24"/>
          <w:szCs w:val="24"/>
        </w:rPr>
        <w:t>SOCIODEMOGRAPHIC CHARACTERISTICS OF RESPONDENTS</w:t>
      </w:r>
      <w:bookmarkEnd w:id="6"/>
    </w:p>
    <w:p w14:paraId="47E8EAD7" w14:textId="77777777" w:rsidR="00BE7250" w:rsidRPr="002F48F9" w:rsidRDefault="00BE7250" w:rsidP="00BE7250">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Per the study, there was a significant correlation between anemia in pregnancy and the level of education. Generally, the higher the level of education, the lower the percentage of women being anaemic. The majority of respondents from this study were students from Tamale Technical University. </w:t>
      </w:r>
    </w:p>
    <w:p w14:paraId="4D861657" w14:textId="3066C8B0" w:rsidR="00BE7250" w:rsidRPr="002F48F9" w:rsidRDefault="00BE7250" w:rsidP="00BE725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For example, those who had no form of education made up 45.8% of the anaemic respondents. Junior high, senior high, tertiary and primary levels recorded 11.10%, 10.2%, 9.3%, and 23.6%, respectively. This is in line with a study done by </w:t>
      </w:r>
      <w:r w:rsidR="002A2696"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{"citationItems":[{"id":"ITEM-1","itemData":{"DOI":"10.1186/s12884-019-2644-5","ISSN":"1471-2393","abstract":"Anaemia during pregnancy is a major public health problem in developing countries. It is important to regularly monitor haemoglobin level in pregnancy and factors associated with it to inform clinical and preventive services. The aim of this study was to assess the prevalence and determinants of anaemia in pregnant women attending antenatal clinic (ANC) of a tertiary referral hospital in Northern Ghana.","author":[{"dropping-particle":"","family":"Wemakor","given":"Anthony","non-dropping-particle":"","parse-names":false,"suffix":""}],"container-title":"BMC Pregnancy and Childbirth","id":"ITEM-1","issue":"1","issued":{"date-parts":[["2019"]]},"page":"495","title":"Prevalence and determinants of anaemia in pregnant women receiving antenatal care at a tertiary referral hospital in Northern Ghana","type":"article-journal","volume":"19"},"uris":["http://www.mendeley.com/documents/?uuid=bca30987-0a75-43a0-b318-08fb2369cd23"]}],"mendeley":{"formattedCitation":"(Wemakor, 2019)","plainTextFormattedCitation":"(Wemakor, 2019)","previouslyFormattedCitation":"&lt;sup&gt;23&lt;/sup&gt;"},"properties":{"noteIndex":0},"schema":"https://github.com/citation-style-language/schema/raw/master/csl-citation.json"}</w:instrText>
      </w:r>
      <w:r w:rsidR="002A2696"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(Wemakor, 2019)</w:t>
      </w:r>
      <w:r w:rsidR="002A2696"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who stated that women’s knowledge of anemia reduces the risk of anemia in pregnancy. Thus, educated pregnant women are more likely to be well informed about anemia than less educated women because they are more enthusiastic and </w:t>
      </w:r>
      <w:r w:rsidR="009D7B38" w:rsidRPr="002F48F9">
        <w:rPr>
          <w:rFonts w:ascii="Times New Roman" w:hAnsi="Times New Roman" w:cs="Times New Roman"/>
          <w:sz w:val="24"/>
          <w:szCs w:val="24"/>
        </w:rPr>
        <w:t>hence,</w:t>
      </w:r>
      <w:r w:rsidRPr="002F48F9">
        <w:rPr>
          <w:rFonts w:ascii="Times New Roman" w:hAnsi="Times New Roman" w:cs="Times New Roman"/>
          <w:sz w:val="24"/>
          <w:szCs w:val="24"/>
        </w:rPr>
        <w:t xml:space="preserve"> they visit the ANC regularly and on their expected dates whilst uneducated respondents feel reluctant to attend as scheduled.</w:t>
      </w:r>
      <w:r w:rsidR="002A2696" w:rsidRPr="002F48F9">
        <w:rPr>
          <w:rFonts w:ascii="Times New Roman" w:hAnsi="Times New Roman" w:cs="Times New Roman"/>
          <w:sz w:val="24"/>
          <w:szCs w:val="24"/>
        </w:rPr>
        <w:t xml:space="preserve"> </w:t>
      </w:r>
    </w:p>
    <w:p w14:paraId="2C13F873" w14:textId="3F5B957C" w:rsidR="00BE7250" w:rsidRPr="002F48F9" w:rsidRDefault="00BE7250" w:rsidP="00BE7250">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More than half of pregnant women who were anaemic did not sleep under a long-lasting insecticide net. Moreover, 49.0% of anaemic respondents did not use any other method of vector control, as against 12.5%, which represented anaemic respondents who used at least two vector control methods. This goes in line with the study that showed sleeping under an insecticide net throughout the duration of pregnancy has a positive impact on the burden of malaria-associated anemia in pregnancy </w:t>
      </w:r>
      <w:r w:rsidR="0096700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{"citationItems":[{"id":"ITEM-1","itemData":{"abstract":"A systematic review of the evidence from trials shows that use of insecticide-treated mosquito nets has a beneficial impact on pregnancy outcome in malaria-endemic Africa in the first few pregnancies.","author":[{"dropping-particle":"","family":"Gamble","given":"Carol","non-dropping-particle":"","parse-names":false,"suffix":""},{"dropping-particle":"","family":"Ekwaru","given":"Paul J","non-dropping-particle":"","parse-names":false,"suffix":""},{"dropping-particle":"","family":"Garner","given":"Paul","non-dropping-particle":"","parse-names":false,"suffix":""},{"dropping-particle":"","family":"Kuile","given":"Feiko O","non-dropping-particle":"ter","parse-names":false,"suffix":""}],"container-title":"PLOS Medicine","id":"ITEM-1","issue":"3","issued":{"date-parts":[["2007","3","27"]]},"page":"e107","publisher":"Public Library of Science","title":"Insecticide-Treated Nets for the Prevention of Malaria in Pregnancy: A Systematic Review of Randomised Controlled Trials","type":"article-journal","volume":"4"},"uris":["http://www.mendeley.com/documents/?uuid=f21cc138-2a9e-4df8-a6bb-a2a9559c999f"]}],"mendeley":{"formattedCitation":"(Gamble et al., 2007)","plainTextFormattedCitation":"(Gamble et al., 2007)","previouslyFormattedCitation":"&lt;sup&gt;24&lt;/sup&gt;"},"properties":{"noteIndex":0},"schema":"https://github.com/citation-style-language/schema/raw/master/csl-citation.json"}</w:instrText>
      </w:r>
      <w:r w:rsidR="0096700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(Gamble et al., 2007)</w:t>
      </w:r>
      <w:r w:rsidR="0096700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use of insecticide nets and vector control methods such as indoor spraying with insecticide spray or mosquito coils are protective against mosquitoes which transmit plasmodia into our blood. </w:t>
      </w:r>
    </w:p>
    <w:p w14:paraId="4B60B5D1" w14:textId="51803131" w:rsidR="00BE7250" w:rsidRPr="002F48F9" w:rsidRDefault="00BE7250" w:rsidP="0028517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The pathogenesis of malaria-associated anemia is multifactorial. This includes destruction of red blood cells during schizont rupture, accelerated destruction of non-paratized red blood cells, and bone marrow dysfunction </w:t>
      </w:r>
      <w:r w:rsidR="006247BC"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{"citationItems":[{"id":"ITEM-1","itemData":{"DOI":"10.1186/s12936-018-2509-9","ISSN":"1475-2875","abstract":"Malaria is a major cause of anaemia in tropical areas. Malaria infection causes haemolysis of infected and uninfected erythrocytes and bone marrow dyserythropoiesis which compromises rapid recovery from anaemia. In areas of high malaria transmission malaria nearly all infants and young children, and many older children and adults have a reduced haemoglobin concentration as a result. In these areas severe life-threatening malarial anaemia requiring blood transfusion in young children is a major cause of hospital admission, particularly during the rainy season months when malaria transmission is highest. In severe malaria, the mortality rises steeply below an admission haemoglobin of 3 g/dL, but it also increases with higher haemoglobin concentrations approaching the normal range. In the management of severe malaria transfusion thresholds remain uncertain. Prevention of malaria by vector control, deployment of insecticide-treated bed nets, prompt and accurate diagnosis of illness and appropriate use of effective anti-malarial drugs substantially reduces the burden of anaemia in tropical countries.","author":[{"dropping-particle":"","family":"White","given":"Nicholas J","non-dropping-particle":"","parse-names":false,"suffix":""}],"container-title":"Malaria Journal","id":"ITEM-1","issue":"1","issued":{"date-parts":[["2018"]]},"page":"371","title":"Anaemia and malaria","type":"article-journal","volume":"17"},"uris":["http://www.mendeley.com/documents/?uuid=eb3ad180-9ddd-429d-a25b-2fe1fdeba042"]}],"mendeley":{"formattedCitation":"(White, 2018)","plainTextFormattedCitation":"(White, 2018)","previouslyFormattedCitation":"&lt;sup&gt;25&lt;/sup&gt;"},"properties":{"noteIndex":0},"schema":"https://github.com/citation-style-language/schema/raw/master/csl-citation.json"}</w:instrText>
      </w:r>
      <w:r w:rsidR="006247BC"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(White, 2018)</w:t>
      </w:r>
      <w:r w:rsidR="006247B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60.2% of anemic respondents ate a 3-square-meal. 20.0% ate more than three times daily and 19.8% ate less than three times daily. The high percentage of pregnant women who eat more than three times a day is in sync with </w:t>
      </w:r>
      <w:r w:rsidR="006247BC"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{"citationItems":[{"id":"ITEM-1","itemData":{"DOI":"10.1007/s11239-022-02756-9","ISSN":"1573-742X","abstract":"Both thrombocytopenia (platelet count &lt; 150 × 103/µL) and anemia have been associated with postpartum hemorrhage (PPH). However, the impact of thrombocytopenia on PPH risk among women with mild and severe anemia is unknown. We sought to evaluate the association between thrombocytopenia and anemia in increasing risk of PPH. We performed a secondary analysis of a retrospective cohort of pregnant women from 19 hospitals across the United States from 2016 to 2021. Women who had a term singleton pregnancy and hematocrit (Hct) ≤ 33% at delivery were included in the study. The primary outcome was PPH (defined as blood loss ≥ 1000 mL or blood transfusion). We also analyzed the effect of severe anemia (Hct &lt; 28%) on the association between PPH and thrombocytopenia. Chi-squared tests and Fisher’s exact tests were used for categorical variables and an independent t-test was used for continuous variables. There were 20,808 women who met our inclusion criteria, of which 1793 (8.6%) had platelet count &lt; 150 × 103/µL. The prevalence of PPH was 6.4%. Compared with women with normal platelet count, those with thrombocytopenia had 1.3-fold higher odds of PPH [6.8% vs. 4.5%, adjusted OR 1.3 (1.1–1.7)]. Platelet count  ≥ 150 × 103/µL was associated with decreased odds of PPH among patients with hct between 28 and 33% and hct &lt; 28%. In conclusion, anemic women with term singleton pregnancies who delivered with thrombocytopenia had a higher frequency of PPH. Normal platelet count at delivery was protective against PPH in the setting of anemia regardless of severity.","author":[{"dropping-particle":"","family":"Kazma","given":"Jamil","non-dropping-particle":"","parse-names":false,"suffix":""},{"dropping-particle":"","family":"Ebner","given":"Megan","non-dropping-particle":"","parse-names":false,"suffix":""},{"dropping-particle":"","family":"Whitley","given":"Julia","non-dropping-particle":"","parse-names":false,"suffix":""},{"dropping-particle":"","family":"Ahmadzia","given":"Homa K","non-dropping-particle":"","parse-names":false,"suffix":""}],"container-title":"Journal of Thrombosis and Thrombolysis","id":"ITEM-1","issue":"3","issued":{"date-parts":[["2023"]]},"page":"571-575","title":"Impact of anemia and thrombocytopenia on postpartum hemorrhage risk among women with term singleton pregnancy","type":"article-journal","volume":"55"},"uris":["http://www.mendeley.com/documents/?uuid=cc6730b2-d554-4740-b38d-f7da76dbdd1d"]}],"mendeley":{"formattedCitation":"(Kazma et al., 2023)","plainTextFormattedCitation":"(Kazma et al., 2023)","previouslyFormattedCitation":"&lt;sup&gt;22&lt;/sup&gt;"},"properties":{"noteIndex":0},"schema":"https://github.com/citation-style-language/schema/raw/master/csl-citation.json"}</w:instrText>
      </w:r>
      <w:r w:rsidR="006247BC"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(Kazma et al., 2023)</w:t>
      </w:r>
      <w:r w:rsidR="006247BC" w:rsidRPr="002F48F9">
        <w:rPr>
          <w:rFonts w:ascii="Times New Roman" w:hAnsi="Times New Roman" w:cs="Times New Roman"/>
          <w:sz w:val="24"/>
          <w:szCs w:val="24"/>
        </w:rPr>
        <w:fldChar w:fldCharType="end"/>
      </w:r>
      <w:r w:rsidRPr="002F48F9">
        <w:rPr>
          <w:rFonts w:ascii="Times New Roman" w:hAnsi="Times New Roman" w:cs="Times New Roman"/>
          <w:sz w:val="24"/>
          <w:szCs w:val="24"/>
        </w:rPr>
        <w:t>.</w:t>
      </w:r>
      <w:r w:rsidRPr="002F48F9">
        <w:rPr>
          <w:rFonts w:ascii="Times New Roman" w:hAnsi="Times New Roman" w:cs="Times New Roman"/>
          <w:sz w:val="24"/>
          <w:szCs w:val="24"/>
          <w:highlight w:val="yellow"/>
        </w:rPr>
        <w:t xml:space="preserve"> </w:t>
      </w:r>
    </w:p>
    <w:p w14:paraId="582BE113" w14:textId="77777777" w:rsidR="00BE7250" w:rsidRPr="002F48F9" w:rsidRDefault="00BE7250" w:rsidP="00BE7250">
      <w:pPr>
        <w:pStyle w:val="Heading2"/>
        <w:ind w:hanging="1368"/>
        <w:rPr>
          <w:szCs w:val="24"/>
        </w:rPr>
      </w:pPr>
    </w:p>
    <w:p w14:paraId="2666810D" w14:textId="03C380E2" w:rsidR="00BE7250" w:rsidRPr="002F48F9" w:rsidRDefault="00BE7250" w:rsidP="00BE7250">
      <w:pPr>
        <w:pStyle w:val="Heading2"/>
        <w:ind w:hanging="1368"/>
        <w:rPr>
          <w:szCs w:val="24"/>
        </w:rPr>
      </w:pPr>
      <w:bookmarkStart w:id="7" w:name="_Toc104470775"/>
      <w:r w:rsidRPr="002F48F9">
        <w:rPr>
          <w:szCs w:val="24"/>
        </w:rPr>
        <w:t>OBSTETRIC CHARACTERISTICS</w:t>
      </w:r>
      <w:bookmarkEnd w:id="7"/>
    </w:p>
    <w:p w14:paraId="330D1BCC" w14:textId="6EAA8FE2" w:rsidR="00BE7250" w:rsidRPr="002F48F9" w:rsidRDefault="00BE7250" w:rsidP="006247BC">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this study, gravidity, parity, and gestational age were crucial variables that showed a significant relationship with anemia in pregnancy. Anemia is more likely to occur in the third and second trimesters than in the first. This is in line with a study done by </w:t>
      </w:r>
      <w:r w:rsidR="00DA3DD7"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{"citationItems":[{"id":"ITEM-1","itemData":{"DOI":"https://doi.org/10.1155/2014/561567","ISSN":"2090-1267","abstract":"This research work presents the magnitude of anemia and its determinant factors among pregnant women. As far as this research is done in the eastern part of Ethiopia, where there is a different cultural issue related to pregnancy and dietary habit, it will help the researchers to know the problem in different parts of the country.","author":[{"dropping-particle":"","family":"Addis Alene","given":"Kefyalew","non-dropping-particle":"","parse-names":false,"suffix":""},{"dropping-particle":"","family":"Mohamed Dohe","given":"Abdulahi","non-dropping-particle":"","parse-names":false,"suffix":""}],"container-title":"Anemia","id":"ITEM-1","issue":"1","issued":{"date-parts":[["2014","1","1"]]},"page":"561567","publisher":"John Wiley &amp; Sons, Ltd","title":"Prevalence of Anemia and Associated Factors among Pregnant Women in an Urban Area of Eastern Ethiopia","type":"article-journal","volume":"2014"},"uris":["http://www.mendeley.com/documents/?uuid=b6be6a5e-78fb-4915-b67a-dd1c980a4cdb"]},{"id":"ITEM-2","itemData":{"ISSN":"0794-859X (Print)","PMID":"28262847","abstract":"Anaemia in pregnancy is a major public health problem in Nigeria. Iron deficiency  is one of the major causes of anaemia in pregnancy.  Inadequate iron intake during pregnancy can be dangerous to both baby and mother. Iron status of pregnant women was assessed in two rural and one urban communities in Cross River State Nigeria. Packed cell volume, haemoglobin, mean cell haemoglobin, mean cell haemoglobin concentration, red cell count, serum iron, total iron binding capacity, transferrin saturation, serum ferritin, soluble transferrin receptor and soluble transferrin receptor/ferritin ratio were measured in plasma/serum of 170 pregnant women within the age range of 15-45 years. Seventy participants were from antenatal clinic of University of Calabar Teaching Hospital Calabar (urban community), 50 from St Joseph Hospital Ikot Ene (rural community) in Akpabuyo Local Government Area and the remaining 50 from University of Calabar Teaching Hospital   extension clinic in Okoyong (rural community), Odukpani Local Government Area of Cross River state. The prevalence of   anaemia, iron deficiency, iron depletion and iron deficiency anaemia were found to be significantly higher among pregnant women from the two rural communities when compared to the urban community. it was also observed that  the prevalence of anaemia, iron deficiency, iron depletion and iron deficiency anaemia   were significantly higher (p&lt;0.05) among pregnant women from Akpabuyo   38(76.00%), 20(40.00%),   23(46.0%)   ,   16(32.00%)   respectively followed   by  Okoyong 24(48.0%),  20(40.0%),  16(32.0%),  6(12.0)     and  then  those  from Calabar  14(20%), 12(17.90%) , 14(20.0%).  The mean haemoglobin and haematocrit were significantly reduced in pregnant women from the two rural communities. Serum iron, serum ferritin and transferrin saturation showed no significant difference while total iron binding capacity and soluble transferrin receptor significantly increased among pregnant women from Okoyong when compared to those from Calabar. It was also shown that pregnant women in their third trimesters and multigravidae had the highest prevalence of iron depletion and iron deficiency anaemia while prevalence of iron deficiency and anaemia were higher in primigravidae and the pregnant women in their second trimester. In conclusion, this study has shown that the prevalence of anaemia and iron deficiency anaemia are higher among pregnant women in the rural communities when compared to those in the …","author":[{"dropping-particle":"","family":"Okafor","given":"I M","non-dropping-particle":"","parse-names":false,"suffix":""},{"dropping-particle":"","family":"Okpokam","given":"D C","non-dropping-particle":"","parse-names":false,"suffix":""},{"dropping-particle":"","family":"Antai","given":"A B","non-dropping-particle":"","parse-names":false,"suffix":""},{"dropping-particle":"","family":"Usanga","given":"E A","non-dropping-particle":"","parse-names":false,"suffix":""}],"container-title":"Nigerian journal of physiological sciences : official publication of the  Physiological Society of Nigeria","id":"ITEM-2","issue":"2","issued":{"date-parts":[["2017","3"]]},"language":"eng","page":"121-125","publisher-place":"Nigeria","title":"Iron Status of Pregnant Women in Rural and Urban Communities of Cross River  State, South-South Nigeria.","type":"article-journal","volume":"31"},"uris":["http://www.mendeley.com/documents/?uuid=d734249c-57bb-4fa8-830f-6066e8db816d"]}],"mendeley":{"formattedCitation":"(Addis Alene &amp; Mohamed Dohe, 2014; Okafor et al., 2017)","plainTextFormattedCitation":"(Addis Alene &amp; Mohamed Dohe, 2014; Okafor et al., 2017)","previouslyFormattedCitation":"&lt;sup&gt;26,27&lt;/sup&gt;"},"properties":{"noteIndex":0},"schema":"https://github.com/citation-style-language/schema/raw/master/csl-citation.json"}</w:instrText>
      </w:r>
      <w:r w:rsidR="00DA3DD7"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(Addis Alene &amp; Mohamed Dohe, 2014; Okafor et al., 2017)</w:t>
      </w:r>
      <w:r w:rsidR="00DA3DD7"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and this could be due to the increased demand for iron and other micronutrients during this period. Also, this may be due to the physiological </w:t>
      </w:r>
      <w:r w:rsidRPr="002F48F9">
        <w:rPr>
          <w:rFonts w:ascii="Times New Roman" w:hAnsi="Times New Roman" w:cs="Times New Roman"/>
          <w:sz w:val="24"/>
          <w:szCs w:val="24"/>
        </w:rPr>
        <w:lastRenderedPageBreak/>
        <w:t>increase in plasma volume by about 50% while red blood cell mass increase by 30% resulting in a concomitant hemodilution hence, anemia.</w:t>
      </w:r>
      <w:r w:rsidR="006247BC" w:rsidRPr="002F48F9">
        <w:rPr>
          <w:rFonts w:ascii="Times New Roman" w:hAnsi="Times New Roman" w:cs="Times New Roman"/>
          <w:sz w:val="24"/>
          <w:szCs w:val="24"/>
        </w:rPr>
        <w:t xml:space="preserve"> </w:t>
      </w:r>
      <w:r w:rsidRPr="002F48F9">
        <w:rPr>
          <w:rFonts w:ascii="Times New Roman" w:hAnsi="Times New Roman" w:cs="Times New Roman"/>
          <w:sz w:val="24"/>
          <w:szCs w:val="24"/>
        </w:rPr>
        <w:t xml:space="preserve">In addition, 79.62% of the anaemic pregnant women did not book during the first trimester, 19.46% and 0.92% during the second and third trimesters, respectively. This showed that early booking didn’t reduce the chance of developing anemia. This finding is contrary to other findings </w:t>
      </w:r>
      <w:r w:rsidR="00E033D6"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{"citationItems":[{"id":"ITEM-1","itemData":{"ISSN":"2249-9571","abstract":"Background: Anemia troubles about half of Ghanaian grown-up population and its highest value over the past 16 years was 56.40% in 2011, while its lowest value was 49.20% in 1999. Objective: To determine the prevalence of anaemia among pregnant women attending antennal clinic of a selected private hospital in Accra, Ghana. Methodology: Using across-sectional design, 200 consenting participants were selected for the study. Hemoglobin levels were assessed. Maternal age, gestational age, parity and number of antennal visits were collected from the antenatal record booklet. Data were analyzed using the SPSS programme IBM version 20. Chi-square was used to investigate the association between independent variables and prevalence of anemia. The data were further analyzed using binary logistic regression methods to evaluate possible risk factors associated with anemia. Odd ratio was reported to establish the risk of anemia and 95% confidence interval were estimated. A p&lt;0.05 was considered as statistically significance. Results: The findings revealed that, the mean with ± standard deviation of hemoglobin value was 10.9±1.3 (95% [confidence interval] =10.7-11.1), and the overall prevalence of anemia from a total of 200 study subjects was 102 (51.0%). The severities of all diagnosed anemia cases were mild (60.8%) to moderate (39.2%). Severe anemia was not found in any of the participants. Conclusion: The study established that the prevalence of anemia was high and it is associated with parity. Preventive efforts targeting preconception nutrition and promotion of regular antenatal care visit throughout the normal pregnancy is urgently required.","author":[{"dropping-particle":"","family":"Acheampong","given":"Kwabena","non-dropping-particle":"","parse-names":false,"suffix":""},{"dropping-particle":"","family":"Appiah","given":"Stella","non-dropping-particle":"","parse-names":false,"suffix":""},{"dropping-particle":"","family":"Baffour-Awuah","given":"Dorothy","non-dropping-particle":"","parse-names":false,"suffix":""},{"dropping-particle":"","family":"Saka Arhin","given":"Yeboah","non-dropping-particle":"","parse-names":false,"suffix":""},{"dropping-particle":"","family":"Author","given":"Corresponding","non-dropping-particle":"","parse-names":false,"suffix":""}],"container-title":"International Journal of Health Sciences &amp; Research (www.ijhsr.org)","id":"ITEM-1","issue":"January","issued":{"date-parts":[["2018"]]},"page":"186","title":"Prevalence of Anemia among Pregnant Women Attending Antenatal Clinic of a Selected Hospital in Accra, Ghana","type":"article-journal","volume":"8"},"uris":["http://www.mendeley.com/documents/?uuid=b33b68f3-8240-4eca-ab57-e185752499e2"]},{"id":"ITEM-2","itemData":{"DOI":"https://doi.org/10.1155/2014/108593","ISSN":"2090-1267","abstract":"Background. Anaemia is a global public health problem which has an eminence impact on pregnant mother. The aim of this study was to assess the prevalence and predictors of maternal anemia. Method. A cross-sectional study was conducted from March 1 to April 30, 2012, on 302 pregnant women who attended antenatal care at Gondar University Hospital. Interview-based questionnaire, clinical history, and laboratory tests were used to obtain data. Bivariate and multivariate logistic regression was used to identify predictors. Result. The prevalence of anemia was 16.6%. Majority were mild type (64%) and morphologically normocytic normochromic (76%) anemia. Anemia was high at third trimester (18.9%). Low family income (AOR [95% CI] = 3.1 [1.19, 8.33]), large family size (AOR [95% CI] = 4.14 [4.13, 10.52]), hookworm infection (AOR [95% CI] = 2.72 [1.04, 7.25]), and HIV infection (AOR [95% CI] = 5.75 [2.40, 13.69]) were independent predictors of anemia. Conclusion. The prevalence of anemia was high; mild type and normocytic normochromic anemia was dominant. Low income, large family size, hookworm infection, and HIV infection were associated with anemia. Hence, efforts should be made for early diagnosis and management of HIV and hookworm infection with special emphasis on those having low income and large family size.","author":[{"dropping-particle":"","family":"Melku","given":"Mulugeta","non-dropping-particle":"","parse-names":false,"suffix":""},{"dropping-particle":"","family":"Addis","given":"Zelalem","non-dropping-particle":"","parse-names":false,"suffix":""},{"dropping-particle":"","family":"Alem","given":"Meseret","non-dropping-particle":"","parse-names":false,"suffix":""},{"dropping-particle":"","family":"Enawgaw","given":"Bamlaku","non-dropping-particle":"","parse-names":false,"suffix":""}],"container-title":"Anemia","id":"ITEM-2","issue":"1","issued":{"date-parts":[["2014","1","1"]]},"page":"108593","publisher":"John Wiley &amp; Sons, Ltd","title":"Prevalence and Predictors of Maternal Anemia during Pregnancy in Gondar, Northwest Ethiopia: An Institutional Based Cross-Sectional Study","type":"article-journal","volume":"2014"},"uris":["http://www.mendeley.com/documents/?uuid=18fb3449-4823-42b2-b3b2-4f9c5bd83be9"]},{"id":"ITEM-3","itemData":{"DOI":"10.1177/156482650602700101","ISSN":"0379-5721","abstract":"BackgroundAnemia in pregnancy remains a major problem in nearly all developing and many industrialized countries. In Mali, the subpopulation prevalence and etiology of anemia during pregnancy are largely unknown.ObjectiveTo examine the prevalence and likely etiologies of anemia in pregnancy in a poor urban population in Bamako, Mali.MethodsPregnant women (n = 190) were selected randomly. Hemoglobin, serum iron, and total iron-binding capacity were measured; blood smears were examined for Plasmodium falciparum malaria; and single stool and urine samples were examined for Schistosoma haematobium and hookworm. Gynecologic examinations were performed and interviews conducted to qualitatively assess food consumption and other socioeconomic characteristics. Associations among mild, moderate, and severe anemia; iron and parasite status; erythrocyte sedimentation rates; and the presence of abnormal vaginal discharge were evaluated. Differences in hemoglobin and serum iron concentrations, total iron-binding capacity, and anemia were compared according to trimester of pregnancy and between infected and noninfected women. The relative and attributable risks of anemia were calculated, and adjusted odds ratios for anemia and low serum iron were estimated by multivariate logistic regression.ResultsOf the 131 women for whom complete data were available, 47% had hemoglobin concentrations below 110 g/L; 13% had serum iron concentrations below 12 ?mol/L; none had transferrin saturation values below 16%; 11%, 23%, and 8% harbored P. falciparum, S. haematobium, and hookworm, respectively; and 82% had an abnormal vaginal discharge. Food restrictions were reported by 45% of the women. Abnormal vaginal discharge correlated significantly with anemia (Pearson ?2 = 62.4; p &lt; .01). Univariate and multivariate analyses found that infections were strongly associated with and predictive of anemia.ConclusionsOur data suggest that infections and food accessibility contribute to the high rates of anemia during pregnancy in Mali.","author":[{"dropping-particle":"","family":"Ayoya","given":"Mohamed Ag","non-dropping-particle":"","parse-names":false,"suffix":""},{"dropping-particle":"","family":"Spiekermann-Brouwer","given":"Gerburg Maria","non-dropping-particle":"","parse-names":false,"suffix":""},{"dropping-particle":"","family":"Traoré","given":"Abdel Kader","non-dropping-particle":"","parse-names":false,"suffix":""},{"dropping-particle":"","family":"Stoltzfus","given":"Rebecca Joyce","non-dropping-particle":"","parse-names":false,"suffix":""},{"dropping-particle":"","family":"Garza","given":"Cutberto","non-dropping-particle":"","parse-names":false,"suffix":""}],"container-title":"Food and Nutrition Bulletin","id":"ITEM-3","issue":"1","issued":{"date-parts":[["2006","3","1"]]},"note":"doi: 10.1177/156482650602700101","page":"3-11","publisher":"SAGE Publications Inc","title":"Determinants of Anemia among Pregnant Women in Mali","type":"article-journal","volume":"27"},"uris":["http://www.mendeley.com/documents/?uuid=a08a38b5-a247-46d8-af59-cf4d39aa464b"]}],"mendeley":{"formattedCitation":"(Acheampong et al., 2018; Ayoya et al., 2006; Melku et al., 2014)","plainTextFormattedCitation":"(Acheampong et al., 2018; Ayoya et al., 2006; Melku et al., 2014)","previouslyFormattedCitation":"&lt;sup&gt;5,28,29&lt;/sup&gt;"},"properties":{"noteIndex":0},"schema":"https://github.com/citation-style-language/schema/raw/master/csl-citation.json"}</w:instrText>
      </w:r>
      <w:r w:rsidR="00E033D6"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(Acheampong et al., 2018; Ayoya et al., 2006; Melku et al., 2014)</w:t>
      </w:r>
      <w:r w:rsidR="00E033D6" w:rsidRPr="002F48F9">
        <w:rPr>
          <w:rFonts w:ascii="Times New Roman" w:hAnsi="Times New Roman" w:cs="Times New Roman"/>
          <w:sz w:val="24"/>
          <w:szCs w:val="24"/>
        </w:rPr>
        <w:fldChar w:fldCharType="end"/>
      </w:r>
      <w:r w:rsidR="00E033D6" w:rsidRPr="002F48F9">
        <w:rPr>
          <w:rFonts w:ascii="Times New Roman" w:hAnsi="Times New Roman" w:cs="Times New Roman"/>
          <w:sz w:val="24"/>
          <w:szCs w:val="24"/>
        </w:rPr>
        <w:t xml:space="preserve">. </w:t>
      </w:r>
    </w:p>
    <w:p w14:paraId="624B784A" w14:textId="1B6BF783" w:rsidR="009F1A57" w:rsidRPr="002F48F9" w:rsidRDefault="00BE7250" w:rsidP="006247BC">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this study, there was a fair association between gravidity and anemia. 40.74% of those who were anaemic were primigravidae, whilst 59.25% were multigravidae. This is not in line with a study by </w:t>
      </w:r>
      <w:r w:rsidR="004D35EA"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{"citationItems":[{"id":"ITEM-1","itemData":{"ISSN":"0016-9560 (Print)","PMID":"19652749","abstract":"OBJECTIVES: Pregnant women in malaria-endemic communities are susceptible to  Plasmodium falciparum infections, with adverse consequences including maternal anaemia, placental malaria parasitaemia and infant low birth weight (LBW). We sought to assess the prevalence, incidence, and clinical markers of pregnancy-associated malaria (PAM) in a rural district of Ghana. METHODS: A total of 294 pregnant women were enrolled and followed passively and actively, monthly and weekly until delivery. Haemoglobin levels, malaria parasitaemia and Hb electrophoresis were done from peripheral blood samples. At delivery, placental smears were examined for malaria parasites. RESULTS: Prevalence of peripheral blood P. falciparum parasitaemia at enrolment was 19.7% and related to parity. Incidence rate of parasitaemia was 0.06 infections/ person/month [95% confidence interval (CI): 0.04 to 0.08]. Symptomatic infections rose sharply from the first trimester to the last. Prevalence of malaria parasites in the placenta was 35.9% (61/170) and highest among primigravidae (P(chi(2))=0.006). Incidence of LBW infants was 17.7% (30/170), most common among those with placental P. falciparum infection (P(chi(2))=0.005) corresponding to a relative risk of 2.8 [1.4 to 5.2]. Median infant birth weight in those with placental infection was significantly lower than in those without infections (P(chi(2))=0.001). Maternal haemoglobin levels were lower (9.7 [9.3-10.1] g/dL) at enrolment, among women who subsequently had placental P. falciparum infection than among those who did not have placental infection at delivery (10.5 [10.2-10.8] g/dL) (P (t)=0.003). CONCLUSION: Primigravidae and secundigravidae are significantly at risk of developing PAM, and low haemoglobin during pregnancy is a clinical indicator of placental P. falciparum infection.","author":[{"dropping-particle":"","family":"Ofori","given":"Mf","non-dropping-particle":"","parse-names":false,"suffix":""},{"dropping-particle":"","family":"Ansah","given":"E","non-dropping-particle":"","parse-names":false,"suffix":""},{"dropping-particle":"","family":"Agyepong","given":"I","non-dropping-particle":"","parse-names":false,"suffix":""},{"dropping-particle":"","family":"Ofori-Adjei","given":"D","non-dropping-particle":"","parse-names":false,"suffix":""},{"dropping-particle":"","family":"Hviid","given":"L","non-dropping-particle":"","parse-names":false,"suffix":""},{"dropping-particle":"","family":"Akanmori","given":"Bd","non-dropping-particle":"","parse-names":false,"suffix":""}],"container-title":"Ghana medical journal","id":"ITEM-1","issue":"1","issued":{"date-parts":[["2009","3"]]},"language":"eng","page":"13-18","publisher-place":"Ghana","title":"Pregnancy-associated malaria in a rural community of ghana.","type":"article-journal","volume":"43"},"uris":["http://www.mendeley.com/documents/?uuid=5d890c34-7272-40d0-a0c6-68135d73b2e0"]}],"mendeley":{"formattedCitation":"(Ofori et al., 2009)","plainTextFormattedCitation":"(Ofori et al., 2009)","previouslyFormattedCitation":"&lt;sup&gt;30&lt;/sup&gt;"},"properties":{"noteIndex":0},"schema":"https://github.com/citation-style-language/schema/raw/master/csl-citation.json"}</w:instrText>
      </w:r>
      <w:r w:rsidR="004D35EA"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(Ofori et al., 2009)</w:t>
      </w:r>
      <w:r w:rsidR="004D35EA"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which indicates that primigravidae and secundigravidae are at a higher risk of developing pregnancy-associated malaria and anemia in pregnancy. Multigravidum with insufficient birth spacing may deplete maternal iron stores due to the increased nutritional demands of pregnancy and puerperal blood loss which can cause a moderate degree of anaemia in the subsequent pregnancies. </w:t>
      </w:r>
    </w:p>
    <w:p w14:paraId="04529996" w14:textId="77777777" w:rsidR="009F1A57" w:rsidRPr="002F48F9" w:rsidRDefault="009F1A57" w:rsidP="009F1A57">
      <w:pPr>
        <w:rPr>
          <w:rFonts w:ascii="Times New Roman" w:hAnsi="Times New Roman" w:cs="Times New Roman"/>
          <w:sz w:val="24"/>
          <w:szCs w:val="24"/>
        </w:rPr>
      </w:pPr>
      <w:r w:rsidRPr="002F48F9">
        <w:rPr>
          <w:rFonts w:ascii="Times New Roman" w:hAnsi="Times New Roman" w:cs="Times New Roman"/>
          <w:sz w:val="24"/>
          <w:szCs w:val="24"/>
        </w:rPr>
        <w:t xml:space="preserve"> </w:t>
      </w:r>
    </w:p>
    <w:p w14:paraId="6FDAB5C7" w14:textId="77777777" w:rsidR="009F1A57" w:rsidRPr="002F48F9" w:rsidRDefault="009F1A57" w:rsidP="009F1A57">
      <w:pPr>
        <w:rPr>
          <w:rFonts w:ascii="Times New Roman" w:hAnsi="Times New Roman" w:cs="Times New Roman"/>
          <w:sz w:val="24"/>
          <w:szCs w:val="24"/>
        </w:rPr>
      </w:pPr>
    </w:p>
    <w:p w14:paraId="347C8C87" w14:textId="77777777" w:rsidR="009F1A57" w:rsidRPr="002F48F9" w:rsidRDefault="009F1A57" w:rsidP="009F1A57">
      <w:pPr>
        <w:spacing w:before="240"/>
        <w:rPr>
          <w:rFonts w:ascii="Times New Roman" w:hAnsi="Times New Roman" w:cs="Times New Roman"/>
          <w:b/>
          <w:bCs/>
          <w:sz w:val="24"/>
          <w:szCs w:val="24"/>
        </w:rPr>
      </w:pPr>
      <w:r w:rsidRPr="002F48F9">
        <w:rPr>
          <w:rFonts w:ascii="Times New Roman" w:hAnsi="Times New Roman" w:cs="Times New Roman"/>
          <w:b/>
          <w:bCs/>
          <w:sz w:val="24"/>
          <w:szCs w:val="24"/>
        </w:rPr>
        <w:t>CONCLUSION</w:t>
      </w:r>
    </w:p>
    <w:p w14:paraId="2927ECFD" w14:textId="2DF2829C" w:rsidR="009F1A57" w:rsidRPr="002F48F9" w:rsidRDefault="00A17B80" w:rsidP="00A17B80">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The present study revealed that the prevalence of anaemia among pregnant women was high which is a severe public health problem. The foregoing discussion has indicated that anaemia during pregnancy is a result of many factors, including late pregnancy, lack of formal employment and economic autonomy, poor nutritional status and late ANC booking and not taking IFAS during the current pregnancy. All these factors lead to poor health condition of the pregnant women thus by the time such mothers attend for ANC, they are already in anaemic state. </w:t>
      </w:r>
    </w:p>
    <w:p w14:paraId="307205E4" w14:textId="3388E14F" w:rsidR="009F1A57" w:rsidRPr="002F48F9" w:rsidRDefault="00A17B80" w:rsidP="009F1A57">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The results of the present survey suggest that, intake of iron tablets, hookworm infestation, low frequency of egg consumption, malaria parasitimia during pregnancy, foetal iron demand and preference for traditional medicine are important risk factors of IDA among pregnant women living in Tamale. </w:t>
      </w:r>
      <w:r w:rsidR="00CB4B96" w:rsidRPr="002F48F9">
        <w:rPr>
          <w:rFonts w:ascii="Times New Roman" w:hAnsi="Times New Roman" w:cs="Times New Roman"/>
          <w:sz w:val="24"/>
          <w:szCs w:val="24"/>
        </w:rPr>
        <w:t>In Ghana, the current strategy for reducing anaemia during pregnancy includes the provision of iron and folic acid tablets, advice on dietary intake, diagnosis and treatment of malaria and hookworms. IFAS is the most common and cost-effective strategy used to control anaemia in the developing countries including Ghana and is used as both a preventive measure and a treatment option.</w:t>
      </w:r>
      <w:r w:rsidR="00934318" w:rsidRPr="002F48F9">
        <w:rPr>
          <w:rFonts w:ascii="Times New Roman" w:hAnsi="Times New Roman" w:cs="Times New Roman"/>
          <w:sz w:val="24"/>
          <w:szCs w:val="24"/>
        </w:rPr>
        <w:t xml:space="preserve"> The study revealed that ANC booking and starting to take IFAS was too late. This late ANC booking is probably due to the fact that women with low socioeconomic situation have lack of access to education and understanding about </w:t>
      </w:r>
      <w:r w:rsidR="002121FC" w:rsidRPr="002F48F9">
        <w:rPr>
          <w:rFonts w:ascii="Times New Roman" w:hAnsi="Times New Roman" w:cs="Times New Roman"/>
          <w:sz w:val="24"/>
          <w:szCs w:val="24"/>
        </w:rPr>
        <w:t>health-related</w:t>
      </w:r>
      <w:r w:rsidR="00934318" w:rsidRPr="002F48F9">
        <w:rPr>
          <w:rFonts w:ascii="Times New Roman" w:hAnsi="Times New Roman" w:cs="Times New Roman"/>
          <w:sz w:val="24"/>
          <w:szCs w:val="24"/>
        </w:rPr>
        <w:t xml:space="preserve"> issues which </w:t>
      </w:r>
      <w:r w:rsidR="00934318" w:rsidRPr="002F48F9">
        <w:rPr>
          <w:rFonts w:ascii="Times New Roman" w:hAnsi="Times New Roman" w:cs="Times New Roman"/>
          <w:sz w:val="24"/>
          <w:szCs w:val="24"/>
        </w:rPr>
        <w:lastRenderedPageBreak/>
        <w:t xml:space="preserve">can contribute to delays in seeking antenatal care and makes them prone to different health problems like anaemia. </w:t>
      </w:r>
    </w:p>
    <w:p w14:paraId="2158C0FD" w14:textId="77777777" w:rsidR="009F1A57" w:rsidRPr="002F48F9" w:rsidRDefault="009F1A57" w:rsidP="009F1A57">
      <w:pPr>
        <w:spacing w:before="240" w:line="360" w:lineRule="auto"/>
        <w:rPr>
          <w:rFonts w:ascii="Times New Roman" w:hAnsi="Times New Roman" w:cs="Times New Roman"/>
          <w:sz w:val="24"/>
          <w:szCs w:val="24"/>
        </w:rPr>
      </w:pPr>
    </w:p>
    <w:p w14:paraId="64F0767C" w14:textId="77777777" w:rsidR="009F1A57" w:rsidRPr="002F48F9" w:rsidRDefault="009F1A57" w:rsidP="009F1A57">
      <w:pPr>
        <w:spacing w:before="240" w:line="360" w:lineRule="auto"/>
        <w:rPr>
          <w:rFonts w:ascii="Times New Roman" w:hAnsi="Times New Roman" w:cs="Times New Roman"/>
          <w:b/>
          <w:bCs/>
          <w:sz w:val="24"/>
          <w:szCs w:val="24"/>
        </w:rPr>
      </w:pPr>
      <w:r w:rsidRPr="002F48F9">
        <w:rPr>
          <w:rFonts w:ascii="Times New Roman" w:hAnsi="Times New Roman" w:cs="Times New Roman"/>
          <w:b/>
          <w:bCs/>
          <w:sz w:val="24"/>
          <w:szCs w:val="24"/>
        </w:rPr>
        <w:t xml:space="preserve">Reference </w:t>
      </w:r>
    </w:p>
    <w:p w14:paraId="5A64626D" w14:textId="5EAA0453" w:rsidR="00A8736F" w:rsidRPr="00A8736F" w:rsidRDefault="00325FA3"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2F48F9">
        <w:rPr>
          <w:rFonts w:ascii="Times New Roman" w:hAnsi="Times New Roman" w:cs="Times New Roman"/>
          <w:sz w:val="24"/>
          <w:szCs w:val="24"/>
        </w:rPr>
        <w:fldChar w:fldCharType="begin" w:fldLock="1"/>
      </w:r>
      <w:r w:rsidRPr="002F48F9">
        <w:rPr>
          <w:rFonts w:ascii="Times New Roman" w:hAnsi="Times New Roman" w:cs="Times New Roman"/>
          <w:sz w:val="24"/>
          <w:szCs w:val="24"/>
        </w:rPr>
        <w:instrText xml:space="preserve">ADDIN Mendeley Bibliography CSL_BIBLIOGRAPHY </w:instrText>
      </w:r>
      <w:r w:rsidRPr="002F48F9">
        <w:rPr>
          <w:rFonts w:ascii="Times New Roman" w:hAnsi="Times New Roman" w:cs="Times New Roman"/>
          <w:sz w:val="24"/>
          <w:szCs w:val="24"/>
        </w:rPr>
        <w:fldChar w:fldCharType="separate"/>
      </w:r>
      <w:r w:rsidR="00A8736F" w:rsidRPr="00A8736F">
        <w:rPr>
          <w:rFonts w:ascii="Times New Roman" w:hAnsi="Times New Roman" w:cs="Times New Roman"/>
          <w:noProof/>
          <w:kern w:val="0"/>
          <w:sz w:val="24"/>
        </w:rPr>
        <w:t xml:space="preserve">Acheampong, K., Appiah, S., Baffour-Awuah, D., Saka Arhin, Y., &amp; Author, C. (2018). Prevalence of Anemia among Pregnant Women Attending Antenatal Clinic of a Selected Hospital in Accra, Ghana. </w:t>
      </w:r>
      <w:r w:rsidR="00A8736F" w:rsidRPr="00A8736F">
        <w:rPr>
          <w:rFonts w:ascii="Times New Roman" w:hAnsi="Times New Roman" w:cs="Times New Roman"/>
          <w:i/>
          <w:iCs/>
          <w:noProof/>
          <w:kern w:val="0"/>
          <w:sz w:val="24"/>
        </w:rPr>
        <w:t>International Journal of Health Sciences &amp; Research (Www.Ijhsr.Org)</w:t>
      </w:r>
      <w:r w:rsidR="00A8736F" w:rsidRPr="00A8736F">
        <w:rPr>
          <w:rFonts w:ascii="Times New Roman" w:hAnsi="Times New Roman" w:cs="Times New Roman"/>
          <w:noProof/>
          <w:kern w:val="0"/>
          <w:sz w:val="24"/>
        </w:rPr>
        <w:t xml:space="preserve">, </w:t>
      </w:r>
      <w:r w:rsidR="00A8736F" w:rsidRPr="00A8736F">
        <w:rPr>
          <w:rFonts w:ascii="Times New Roman" w:hAnsi="Times New Roman" w:cs="Times New Roman"/>
          <w:i/>
          <w:iCs/>
          <w:noProof/>
          <w:kern w:val="0"/>
          <w:sz w:val="24"/>
        </w:rPr>
        <w:t>8</w:t>
      </w:r>
      <w:r w:rsidR="00A8736F" w:rsidRPr="00A8736F">
        <w:rPr>
          <w:rFonts w:ascii="Times New Roman" w:hAnsi="Times New Roman" w:cs="Times New Roman"/>
          <w:noProof/>
          <w:kern w:val="0"/>
          <w:sz w:val="24"/>
        </w:rPr>
        <w:t>(January), 186. www.ijhsr.org</w:t>
      </w:r>
    </w:p>
    <w:p w14:paraId="5820D666"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Addai-Mensah, O., Gyamfi, D., Amponsah, F. A., Annani-Akollor, M. E., Danquah, K. O., Boateng, L., Owiredu, E. W., Afriyie, E. Y., Duneeh, R. V., Asare, R., Ofosu Ntiamoah, D., &amp; Boateng, R. (2019). Antierythropoietin Antibody Production Is Not Associated with Malaria and Malaria-Related Anaemia in Humans. </w:t>
      </w:r>
      <w:r w:rsidRPr="00A8736F">
        <w:rPr>
          <w:rFonts w:ascii="Times New Roman" w:hAnsi="Times New Roman" w:cs="Times New Roman"/>
          <w:i/>
          <w:iCs/>
          <w:noProof/>
          <w:kern w:val="0"/>
          <w:sz w:val="24"/>
        </w:rPr>
        <w:t>Scientific World Journal</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2019</w:t>
      </w:r>
      <w:r w:rsidRPr="00A8736F">
        <w:rPr>
          <w:rFonts w:ascii="Times New Roman" w:hAnsi="Times New Roman" w:cs="Times New Roman"/>
          <w:noProof/>
          <w:kern w:val="0"/>
          <w:sz w:val="24"/>
        </w:rPr>
        <w:t>. https://doi.org/10.1155/2019/5398732</w:t>
      </w:r>
    </w:p>
    <w:p w14:paraId="7ECDE8FC"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Addis Alene, K., &amp; Mohamed Dohe, A. (2014). Prevalence of Anemia and Associated Factors among Pregnant Women in an Urban Area of Eastern Ethiopia. </w:t>
      </w:r>
      <w:r w:rsidRPr="00A8736F">
        <w:rPr>
          <w:rFonts w:ascii="Times New Roman" w:hAnsi="Times New Roman" w:cs="Times New Roman"/>
          <w:i/>
          <w:iCs/>
          <w:noProof/>
          <w:kern w:val="0"/>
          <w:sz w:val="24"/>
        </w:rPr>
        <w:t>Anemia</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2014</w:t>
      </w:r>
      <w:r w:rsidRPr="00A8736F">
        <w:rPr>
          <w:rFonts w:ascii="Times New Roman" w:hAnsi="Times New Roman" w:cs="Times New Roman"/>
          <w:noProof/>
          <w:kern w:val="0"/>
          <w:sz w:val="24"/>
        </w:rPr>
        <w:t>(1), 561567. https://doi.org/https://doi.org/10.1155/2014/561567</w:t>
      </w:r>
    </w:p>
    <w:p w14:paraId="3C6FF4E6"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Ayoya, M. A., Spiekermann-Brouwer, G. M., Traoré, A. K., Stoltzfus, R. J., &amp; Garza, C. (2006). Determinants of Anemia among Pregnant Women in Mali. </w:t>
      </w:r>
      <w:r w:rsidRPr="00A8736F">
        <w:rPr>
          <w:rFonts w:ascii="Times New Roman" w:hAnsi="Times New Roman" w:cs="Times New Roman"/>
          <w:i/>
          <w:iCs/>
          <w:noProof/>
          <w:kern w:val="0"/>
          <w:sz w:val="24"/>
        </w:rPr>
        <w:t>Food and Nutrition Bulletin</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27</w:t>
      </w:r>
      <w:r w:rsidRPr="00A8736F">
        <w:rPr>
          <w:rFonts w:ascii="Times New Roman" w:hAnsi="Times New Roman" w:cs="Times New Roman"/>
          <w:noProof/>
          <w:kern w:val="0"/>
          <w:sz w:val="24"/>
        </w:rPr>
        <w:t>(1), 3–11. https://doi.org/10.1177/156482650602700101</w:t>
      </w:r>
    </w:p>
    <w:p w14:paraId="2E12DE04"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Balarajan, Y., Ramakrishnan, U., Ozaltin, E., Shankar, A. H., &amp; Subramanian, S. V. (2011). Anaemia in low-income and middle-income countries. </w:t>
      </w:r>
      <w:r w:rsidRPr="00A8736F">
        <w:rPr>
          <w:rFonts w:ascii="Times New Roman" w:hAnsi="Times New Roman" w:cs="Times New Roman"/>
          <w:i/>
          <w:iCs/>
          <w:noProof/>
          <w:kern w:val="0"/>
          <w:sz w:val="24"/>
        </w:rPr>
        <w:t>Lancet (London, England)</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378</w:t>
      </w:r>
      <w:r w:rsidRPr="00A8736F">
        <w:rPr>
          <w:rFonts w:ascii="Times New Roman" w:hAnsi="Times New Roman" w:cs="Times New Roman"/>
          <w:noProof/>
          <w:kern w:val="0"/>
          <w:sz w:val="24"/>
        </w:rPr>
        <w:t>(9809), 2123–2135. https://doi.org/10.1016/S0140-6736(10)62304-5</w:t>
      </w:r>
    </w:p>
    <w:p w14:paraId="24DC1DB7"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Chowdhury, H. A., Ahmed, K. R., Jebunessa, F., Akter, J., Hossain, S., &amp; Shahjahan, M. (2015). Factors associated with maternal anaemia among pregnant women in Dhaka city. </w:t>
      </w:r>
      <w:r w:rsidRPr="00A8736F">
        <w:rPr>
          <w:rFonts w:ascii="Times New Roman" w:hAnsi="Times New Roman" w:cs="Times New Roman"/>
          <w:i/>
          <w:iCs/>
          <w:noProof/>
          <w:kern w:val="0"/>
          <w:sz w:val="24"/>
        </w:rPr>
        <w:t>BMC Women’s Health</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15</w:t>
      </w:r>
      <w:r w:rsidRPr="00A8736F">
        <w:rPr>
          <w:rFonts w:ascii="Times New Roman" w:hAnsi="Times New Roman" w:cs="Times New Roman"/>
          <w:noProof/>
          <w:kern w:val="0"/>
          <w:sz w:val="24"/>
        </w:rPr>
        <w:t>(1), 77. https://doi.org/10.1186/s12905-015-0234-x</w:t>
      </w:r>
    </w:p>
    <w:p w14:paraId="2B6CBC4A"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Elysium. (2011). The global prevalence of anaemia in 2011. </w:t>
      </w:r>
      <w:r w:rsidRPr="00A8736F">
        <w:rPr>
          <w:rFonts w:ascii="Times New Roman" w:hAnsi="Times New Roman" w:cs="Times New Roman"/>
          <w:i/>
          <w:iCs/>
          <w:noProof/>
          <w:kern w:val="0"/>
          <w:sz w:val="24"/>
        </w:rPr>
        <w:t>Who</w:t>
      </w:r>
      <w:r w:rsidRPr="00A8736F">
        <w:rPr>
          <w:rFonts w:ascii="Times New Roman" w:hAnsi="Times New Roman" w:cs="Times New Roman"/>
          <w:noProof/>
          <w:kern w:val="0"/>
          <w:sz w:val="24"/>
        </w:rPr>
        <w:t>, 1–48. https://apps.who.int/iris/handle/10665/177094</w:t>
      </w:r>
    </w:p>
    <w:p w14:paraId="05802F50"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Figueiredo, A. C. M. G., Gomes-Filho, I. S., Batista, J. E. T., Orrico, G. S., Porto, E. C. L., Cruz Pimenta, R. M., dos Santos Conceição, S., Brito, S. M., Ramos, M. de S. X., Sena, M. C. F., Vilasboas, S. W. S. L., Seixas da Cruz, S., &amp; Pereira, M. G. (2019). Maternal anemia and birth weight: A prospective cohort study. </w:t>
      </w:r>
      <w:r w:rsidRPr="00A8736F">
        <w:rPr>
          <w:rFonts w:ascii="Times New Roman" w:hAnsi="Times New Roman" w:cs="Times New Roman"/>
          <w:i/>
          <w:iCs/>
          <w:noProof/>
          <w:kern w:val="0"/>
          <w:sz w:val="24"/>
        </w:rPr>
        <w:t>PLOS ONE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14</w:t>
      </w:r>
      <w:r w:rsidRPr="00A8736F">
        <w:rPr>
          <w:rFonts w:ascii="Times New Roman" w:hAnsi="Times New Roman" w:cs="Times New Roman"/>
          <w:noProof/>
          <w:kern w:val="0"/>
          <w:sz w:val="24"/>
        </w:rPr>
        <w:t>(3), e0212817. https://doi.org/10.1371/journal.pone.0212817</w:t>
      </w:r>
    </w:p>
    <w:p w14:paraId="21A3CE08"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Gamble, C., Ekwaru, P. J., Garner, P., &amp; ter Kuile, F. O. (2007). Insecticide-Treated Nets for the Prevention of Malaria in Pregnancy: A Systematic Review of Randomised Controlled Trials. </w:t>
      </w:r>
      <w:r w:rsidRPr="00A8736F">
        <w:rPr>
          <w:rFonts w:ascii="Times New Roman" w:hAnsi="Times New Roman" w:cs="Times New Roman"/>
          <w:i/>
          <w:iCs/>
          <w:noProof/>
          <w:kern w:val="0"/>
          <w:sz w:val="24"/>
        </w:rPr>
        <w:t>PLOS Medicine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4</w:t>
      </w:r>
      <w:r w:rsidRPr="00A8736F">
        <w:rPr>
          <w:rFonts w:ascii="Times New Roman" w:hAnsi="Times New Roman" w:cs="Times New Roman"/>
          <w:noProof/>
          <w:kern w:val="0"/>
          <w:sz w:val="24"/>
        </w:rPr>
        <w:t>(3), e107. https://doi.org/10.1371/journal.pmed.0040107</w:t>
      </w:r>
    </w:p>
    <w:p w14:paraId="2423C4B3"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Hassan, A. M. A. El, Saeed, A. M., Fandrey, J., &amp; Jelkmann, W. (1997). Decreased erythropoietin response in Plasmodium falciparum malaria-associated anaemia. </w:t>
      </w:r>
      <w:r w:rsidRPr="00A8736F">
        <w:rPr>
          <w:rFonts w:ascii="Times New Roman" w:hAnsi="Times New Roman" w:cs="Times New Roman"/>
          <w:i/>
          <w:iCs/>
          <w:noProof/>
          <w:kern w:val="0"/>
          <w:sz w:val="24"/>
        </w:rPr>
        <w:t xml:space="preserve">European </w:t>
      </w:r>
      <w:r w:rsidRPr="00A8736F">
        <w:rPr>
          <w:rFonts w:ascii="Times New Roman" w:hAnsi="Times New Roman" w:cs="Times New Roman"/>
          <w:i/>
          <w:iCs/>
          <w:noProof/>
          <w:kern w:val="0"/>
          <w:sz w:val="24"/>
        </w:rPr>
        <w:lastRenderedPageBreak/>
        <w:t>Journal of Haematology</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59</w:t>
      </w:r>
      <w:r w:rsidRPr="00A8736F">
        <w:rPr>
          <w:rFonts w:ascii="Times New Roman" w:hAnsi="Times New Roman" w:cs="Times New Roman"/>
          <w:noProof/>
          <w:kern w:val="0"/>
          <w:sz w:val="24"/>
        </w:rPr>
        <w:t>(5), 299–304. https://doi.org/https://doi.org/10.1111/j.1600-0609.1997.tb01690.x</w:t>
      </w:r>
    </w:p>
    <w:p w14:paraId="0B3DDEEC"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Jimenez, K., Kulnigg-Dabsch, S., &amp; Gasche, C. (2015). Management of Iron Deficiency Anemia. </w:t>
      </w:r>
      <w:r w:rsidRPr="00A8736F">
        <w:rPr>
          <w:rFonts w:ascii="Times New Roman" w:hAnsi="Times New Roman" w:cs="Times New Roman"/>
          <w:i/>
          <w:iCs/>
          <w:noProof/>
          <w:kern w:val="0"/>
          <w:sz w:val="24"/>
        </w:rPr>
        <w:t>Gastroenterology &amp; Hepatology</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11</w:t>
      </w:r>
      <w:r w:rsidRPr="00A8736F">
        <w:rPr>
          <w:rFonts w:ascii="Times New Roman" w:hAnsi="Times New Roman" w:cs="Times New Roman"/>
          <w:noProof/>
          <w:kern w:val="0"/>
          <w:sz w:val="24"/>
        </w:rPr>
        <w:t>(4), 241–250.</w:t>
      </w:r>
    </w:p>
    <w:p w14:paraId="5F9DB9AE"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Kassa, G. M., Muche, A. A., Berhe, A. K., &amp; Fekadu, G. A. (2017). Prevalence and determinants of anemia among pregnant women in Ethiopia; a  systematic review and meta-analysis. </w:t>
      </w:r>
      <w:r w:rsidRPr="00A8736F">
        <w:rPr>
          <w:rFonts w:ascii="Times New Roman" w:hAnsi="Times New Roman" w:cs="Times New Roman"/>
          <w:i/>
          <w:iCs/>
          <w:noProof/>
          <w:kern w:val="0"/>
          <w:sz w:val="24"/>
        </w:rPr>
        <w:t>BMC Hematology</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17</w:t>
      </w:r>
      <w:r w:rsidRPr="00A8736F">
        <w:rPr>
          <w:rFonts w:ascii="Times New Roman" w:hAnsi="Times New Roman" w:cs="Times New Roman"/>
          <w:noProof/>
          <w:kern w:val="0"/>
          <w:sz w:val="24"/>
        </w:rPr>
        <w:t>, 17. https://doi.org/10.1186/s12878-017-0090-z</w:t>
      </w:r>
    </w:p>
    <w:p w14:paraId="40E94006"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Kassebaum, N. J., Jasrasaria, R., Naghavi, M., Wulf, S. K., Johns, N., Lozano, R., Regan, M., Weatherall, D., Chou, D. P., Eisele, T. P., Flaxman, S. R., Pullan, R. L., Brooker, S. J., &amp; Murray, C. J. L. (2014). A systematic analysis of global anemia burden from 1990 to 2010. </w:t>
      </w:r>
      <w:r w:rsidRPr="00A8736F">
        <w:rPr>
          <w:rFonts w:ascii="Times New Roman" w:hAnsi="Times New Roman" w:cs="Times New Roman"/>
          <w:i/>
          <w:iCs/>
          <w:noProof/>
          <w:kern w:val="0"/>
          <w:sz w:val="24"/>
        </w:rPr>
        <w:t>Blood</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123</w:t>
      </w:r>
      <w:r w:rsidRPr="00A8736F">
        <w:rPr>
          <w:rFonts w:ascii="Times New Roman" w:hAnsi="Times New Roman" w:cs="Times New Roman"/>
          <w:noProof/>
          <w:kern w:val="0"/>
          <w:sz w:val="24"/>
        </w:rPr>
        <w:t>(5), 615–624. https://doi.org/10.1182/blood-2013-06-508325</w:t>
      </w:r>
    </w:p>
    <w:p w14:paraId="4F49EAAA"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Kazma, J., Ebner, M., Whitley, J., &amp; Ahmadzia, H. K. (2023). Impact of anemia and thrombocytopenia on postpartum hemorrhage risk among women with term singleton pregnancy. </w:t>
      </w:r>
      <w:r w:rsidRPr="00A8736F">
        <w:rPr>
          <w:rFonts w:ascii="Times New Roman" w:hAnsi="Times New Roman" w:cs="Times New Roman"/>
          <w:i/>
          <w:iCs/>
          <w:noProof/>
          <w:kern w:val="0"/>
          <w:sz w:val="24"/>
        </w:rPr>
        <w:t>Journal of Thrombosis and Thrombolysis</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55</w:t>
      </w:r>
      <w:r w:rsidRPr="00A8736F">
        <w:rPr>
          <w:rFonts w:ascii="Times New Roman" w:hAnsi="Times New Roman" w:cs="Times New Roman"/>
          <w:noProof/>
          <w:kern w:val="0"/>
          <w:sz w:val="24"/>
        </w:rPr>
        <w:t>(3), 571–575. https://doi.org/10.1007/s11239-022-02756-9</w:t>
      </w:r>
    </w:p>
    <w:p w14:paraId="61BC5658"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Mahamoud, N. K., Mwambi, B., Oyet, C., Segujja, F., Webbo, F., Okiria, J. C., &amp; Taremwa, I. M. (2020). Prevalence of anemia and its associated socio-demographic factors among pregnant women attending an antenatal care clinic at kisugu health center IV, makindye division, Kampala, Uganda. </w:t>
      </w:r>
      <w:r w:rsidRPr="00A8736F">
        <w:rPr>
          <w:rFonts w:ascii="Times New Roman" w:hAnsi="Times New Roman" w:cs="Times New Roman"/>
          <w:i/>
          <w:iCs/>
          <w:noProof/>
          <w:kern w:val="0"/>
          <w:sz w:val="24"/>
        </w:rPr>
        <w:t>Journal of Blood Medicine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11</w:t>
      </w:r>
      <w:r w:rsidRPr="00A8736F">
        <w:rPr>
          <w:rFonts w:ascii="Times New Roman" w:hAnsi="Times New Roman" w:cs="Times New Roman"/>
          <w:noProof/>
          <w:kern w:val="0"/>
          <w:sz w:val="24"/>
        </w:rPr>
        <w:t>, 13–18. https://doi.org/10.2147/JBM.S231262</w:t>
      </w:r>
    </w:p>
    <w:p w14:paraId="11495EF7"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McLean, E., Cogswell, M., Egli, I., Wojdyla, D., &amp; De Benoist, B. (2009). Worldwide prevalence of anaemia, WHO Vitamin and Mineral Nutrition Information System, 1993-2005. </w:t>
      </w:r>
      <w:r w:rsidRPr="00A8736F">
        <w:rPr>
          <w:rFonts w:ascii="Times New Roman" w:hAnsi="Times New Roman" w:cs="Times New Roman"/>
          <w:i/>
          <w:iCs/>
          <w:noProof/>
          <w:kern w:val="0"/>
          <w:sz w:val="24"/>
        </w:rPr>
        <w:t>Public Health Nutrition</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12</w:t>
      </w:r>
      <w:r w:rsidRPr="00A8736F">
        <w:rPr>
          <w:rFonts w:ascii="Times New Roman" w:hAnsi="Times New Roman" w:cs="Times New Roman"/>
          <w:noProof/>
          <w:kern w:val="0"/>
          <w:sz w:val="24"/>
        </w:rPr>
        <w:t>(4), 444–454. https://doi.org/10.1017/S1368980008002401</w:t>
      </w:r>
    </w:p>
    <w:p w14:paraId="46CCD9E9"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Mekonnen, F. A., Ambaw, Y. A., &amp; Neri, G. T. (2018). Socio-economic determinants of anemia in pregnancy in North Shoa Zone, Ethiopia. </w:t>
      </w:r>
      <w:r w:rsidRPr="00A8736F">
        <w:rPr>
          <w:rFonts w:ascii="Times New Roman" w:hAnsi="Times New Roman" w:cs="Times New Roman"/>
          <w:i/>
          <w:iCs/>
          <w:noProof/>
          <w:kern w:val="0"/>
          <w:sz w:val="24"/>
        </w:rPr>
        <w:t>PloS One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13</w:t>
      </w:r>
      <w:r w:rsidRPr="00A8736F">
        <w:rPr>
          <w:rFonts w:ascii="Times New Roman" w:hAnsi="Times New Roman" w:cs="Times New Roman"/>
          <w:noProof/>
          <w:kern w:val="0"/>
          <w:sz w:val="24"/>
        </w:rPr>
        <w:t>(8), e0202734. https://doi.org/10.1371/journal.pone.0202734</w:t>
      </w:r>
    </w:p>
    <w:p w14:paraId="3BD0919E"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Melku, M., Addis, Z., Alem, M., &amp; Enawgaw, B. (2014). Prevalence and Predictors of Maternal Anemia during Pregnancy in Gondar, Northwest Ethiopia: An Institutional Based Cross-Sectional Study. </w:t>
      </w:r>
      <w:r w:rsidRPr="00A8736F">
        <w:rPr>
          <w:rFonts w:ascii="Times New Roman" w:hAnsi="Times New Roman" w:cs="Times New Roman"/>
          <w:i/>
          <w:iCs/>
          <w:noProof/>
          <w:kern w:val="0"/>
          <w:sz w:val="24"/>
        </w:rPr>
        <w:t>Anemia</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2014</w:t>
      </w:r>
      <w:r w:rsidRPr="00A8736F">
        <w:rPr>
          <w:rFonts w:ascii="Times New Roman" w:hAnsi="Times New Roman" w:cs="Times New Roman"/>
          <w:noProof/>
          <w:kern w:val="0"/>
          <w:sz w:val="24"/>
        </w:rPr>
        <w:t>(1), 108593. https://doi.org/https://doi.org/10.1155/2014/108593</w:t>
      </w:r>
    </w:p>
    <w:p w14:paraId="4B6F294C"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Ndegwa, S. K. (2019). Anemia &amp; Its Associated Factors Among Pregnant Women Attending Antenatal Clinic at Mbagathi County Hospital, Nairobi County, Kenya. </w:t>
      </w:r>
      <w:r w:rsidRPr="00A8736F">
        <w:rPr>
          <w:rFonts w:ascii="Times New Roman" w:hAnsi="Times New Roman" w:cs="Times New Roman"/>
          <w:i/>
          <w:iCs/>
          <w:noProof/>
          <w:kern w:val="0"/>
          <w:sz w:val="24"/>
        </w:rPr>
        <w:t>African Journal of Health Sciences</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32</w:t>
      </w:r>
      <w:r w:rsidRPr="00A8736F">
        <w:rPr>
          <w:rFonts w:ascii="Times New Roman" w:hAnsi="Times New Roman" w:cs="Times New Roman"/>
          <w:noProof/>
          <w:kern w:val="0"/>
          <w:sz w:val="24"/>
        </w:rPr>
        <w:t>(1), 59–73. https://www.ajol.info/index.php/ajhs/article/view/184953</w:t>
      </w:r>
    </w:p>
    <w:p w14:paraId="02902CB8"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Ofori, M., Ansah, E., Agyepong, I., Ofori-Adjei, D., Hviid, L., &amp; Akanmori, B. (2009). Pregnancy-associated malaria in a rural community of ghana. </w:t>
      </w:r>
      <w:r w:rsidRPr="00A8736F">
        <w:rPr>
          <w:rFonts w:ascii="Times New Roman" w:hAnsi="Times New Roman" w:cs="Times New Roman"/>
          <w:i/>
          <w:iCs/>
          <w:noProof/>
          <w:kern w:val="0"/>
          <w:sz w:val="24"/>
        </w:rPr>
        <w:t>Ghana Medical Journal</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43</w:t>
      </w:r>
      <w:r w:rsidRPr="00A8736F">
        <w:rPr>
          <w:rFonts w:ascii="Times New Roman" w:hAnsi="Times New Roman" w:cs="Times New Roman"/>
          <w:noProof/>
          <w:kern w:val="0"/>
          <w:sz w:val="24"/>
        </w:rPr>
        <w:t>(1), 13–18.</w:t>
      </w:r>
    </w:p>
    <w:p w14:paraId="701035BB"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Okafor, I. M., Okpokam, D. C., Antai, A. B., &amp; Usanga, E. A. (2017). Iron Status of Pregnant Women in Rural and Urban Communities of Cross River  State, South-South Nigeria. </w:t>
      </w:r>
      <w:r w:rsidRPr="00A8736F">
        <w:rPr>
          <w:rFonts w:ascii="Times New Roman" w:hAnsi="Times New Roman" w:cs="Times New Roman"/>
          <w:i/>
          <w:iCs/>
          <w:noProof/>
          <w:kern w:val="0"/>
          <w:sz w:val="24"/>
        </w:rPr>
        <w:t xml:space="preserve">Nigerian Journal of Physiological Sciences : Official Publication of the  Physiological </w:t>
      </w:r>
      <w:r w:rsidRPr="00A8736F">
        <w:rPr>
          <w:rFonts w:ascii="Times New Roman" w:hAnsi="Times New Roman" w:cs="Times New Roman"/>
          <w:i/>
          <w:iCs/>
          <w:noProof/>
          <w:kern w:val="0"/>
          <w:sz w:val="24"/>
        </w:rPr>
        <w:lastRenderedPageBreak/>
        <w:t>Society of Nigeria</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31</w:t>
      </w:r>
      <w:r w:rsidRPr="00A8736F">
        <w:rPr>
          <w:rFonts w:ascii="Times New Roman" w:hAnsi="Times New Roman" w:cs="Times New Roman"/>
          <w:noProof/>
          <w:kern w:val="0"/>
          <w:sz w:val="24"/>
        </w:rPr>
        <w:t>(2), 121–125.</w:t>
      </w:r>
    </w:p>
    <w:p w14:paraId="38EA2B31"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Otamendi Goicoechea, I., Zalba Marcos, S., Zabalegui Goicoechea, M. A., Galbete, A., Osinaga Alcaraz, M., &amp; García Erce, J. A. (2022). Anaemia prevalence in pregnant population. </w:t>
      </w:r>
      <w:r w:rsidRPr="00A8736F">
        <w:rPr>
          <w:rFonts w:ascii="Times New Roman" w:hAnsi="Times New Roman" w:cs="Times New Roman"/>
          <w:i/>
          <w:iCs/>
          <w:noProof/>
          <w:kern w:val="0"/>
          <w:sz w:val="24"/>
        </w:rPr>
        <w:t>Medicina Clínica (English Edition)</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158</w:t>
      </w:r>
      <w:r w:rsidRPr="00A8736F">
        <w:rPr>
          <w:rFonts w:ascii="Times New Roman" w:hAnsi="Times New Roman" w:cs="Times New Roman"/>
          <w:noProof/>
          <w:kern w:val="0"/>
          <w:sz w:val="24"/>
        </w:rPr>
        <w:t>(6), 270–273. https://doi.org/https://doi.org/10.1016/j.medcle.2022.02.006</w:t>
      </w:r>
    </w:p>
    <w:p w14:paraId="0A87C2B5"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Sabina Azhar, B., Islam, M. S., &amp; Karim, M. R. (2021). Prevalence of anemia and associated risk factors among pregnant women attending  antenatal care in Bangladesh: a cross-sectional study. </w:t>
      </w:r>
      <w:r w:rsidRPr="00A8736F">
        <w:rPr>
          <w:rFonts w:ascii="Times New Roman" w:hAnsi="Times New Roman" w:cs="Times New Roman"/>
          <w:i/>
          <w:iCs/>
          <w:noProof/>
          <w:kern w:val="0"/>
          <w:sz w:val="24"/>
        </w:rPr>
        <w:t>Primary Health Care Research &amp; Development</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22</w:t>
      </w:r>
      <w:r w:rsidRPr="00A8736F">
        <w:rPr>
          <w:rFonts w:ascii="Times New Roman" w:hAnsi="Times New Roman" w:cs="Times New Roman"/>
          <w:noProof/>
          <w:kern w:val="0"/>
          <w:sz w:val="24"/>
        </w:rPr>
        <w:t>, e61. https://doi.org/10.1017/S146342362100061X</w:t>
      </w:r>
    </w:p>
    <w:p w14:paraId="15454D4F"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Sabina, S., Iftequar, S., Zaheer, Z., Khan, M. M., &amp; Khan, S. (2015). An Overwiew of Anemia In Pregnancy. </w:t>
      </w:r>
      <w:r w:rsidRPr="00A8736F">
        <w:rPr>
          <w:rFonts w:ascii="Times New Roman" w:hAnsi="Times New Roman" w:cs="Times New Roman"/>
          <w:i/>
          <w:iCs/>
          <w:noProof/>
          <w:kern w:val="0"/>
          <w:sz w:val="24"/>
        </w:rPr>
        <w:t>Journal of Innovations in Pharmaceuticals and Biological Sciences</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w:t>
      </w:r>
      <w:r w:rsidRPr="00A8736F">
        <w:rPr>
          <w:rFonts w:ascii="Times New Roman" w:hAnsi="Times New Roman" w:cs="Times New Roman"/>
          <w:noProof/>
          <w:kern w:val="0"/>
          <w:sz w:val="24"/>
        </w:rPr>
        <w:t>(2), 144–151. http://www.jipbs.com/VolumeArticles/FullTextPDF/78_JIPBSV2I208.pdf</w:t>
      </w:r>
    </w:p>
    <w:p w14:paraId="1EB381FA"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Schantz-Dunn, J., &amp; Nour, N. M. (2009). Malaria and pregnancy: a global health perspective. </w:t>
      </w:r>
      <w:r w:rsidRPr="00A8736F">
        <w:rPr>
          <w:rFonts w:ascii="Times New Roman" w:hAnsi="Times New Roman" w:cs="Times New Roman"/>
          <w:i/>
          <w:iCs/>
          <w:noProof/>
          <w:kern w:val="0"/>
          <w:sz w:val="24"/>
        </w:rPr>
        <w:t>Reviews in Obstetrics &amp; Gynecology</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w:t>
      </w:r>
      <w:r w:rsidRPr="00A8736F">
        <w:rPr>
          <w:rFonts w:ascii="Times New Roman" w:hAnsi="Times New Roman" w:cs="Times New Roman"/>
          <w:noProof/>
          <w:kern w:val="0"/>
          <w:sz w:val="24"/>
        </w:rPr>
        <w:t>(3), 186–192.</w:t>
      </w:r>
    </w:p>
    <w:p w14:paraId="678E2916"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Suryanarayana, R., Chandrappa, M., Santhuram, A. N., Prathima, S., &amp; Sheela, S. R. (2017). Prospective study on prevalence of anemia of pregnant women and its outcome: A  community based study. </w:t>
      </w:r>
      <w:r w:rsidRPr="00A8736F">
        <w:rPr>
          <w:rFonts w:ascii="Times New Roman" w:hAnsi="Times New Roman" w:cs="Times New Roman"/>
          <w:i/>
          <w:iCs/>
          <w:noProof/>
          <w:kern w:val="0"/>
          <w:sz w:val="24"/>
        </w:rPr>
        <w:t>Journal of Family Medicine and Primary Care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6</w:t>
      </w:r>
      <w:r w:rsidRPr="00A8736F">
        <w:rPr>
          <w:rFonts w:ascii="Times New Roman" w:hAnsi="Times New Roman" w:cs="Times New Roman"/>
          <w:noProof/>
          <w:kern w:val="0"/>
          <w:sz w:val="24"/>
        </w:rPr>
        <w:t>(4), 739–743. https://doi.org/10.4103/jfmpc.jfmpc_33_17</w:t>
      </w:r>
    </w:p>
    <w:p w14:paraId="53CB25F4"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Tolentino, K., &amp; Friedman, J. F. (2007). An update on anemia in less developed countries. </w:t>
      </w:r>
      <w:r w:rsidRPr="00A8736F">
        <w:rPr>
          <w:rFonts w:ascii="Times New Roman" w:hAnsi="Times New Roman" w:cs="Times New Roman"/>
          <w:i/>
          <w:iCs/>
          <w:noProof/>
          <w:kern w:val="0"/>
          <w:sz w:val="24"/>
        </w:rPr>
        <w:t>The American Journal of Tropical Medicine and Hygiene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77</w:t>
      </w:r>
      <w:r w:rsidRPr="00A8736F">
        <w:rPr>
          <w:rFonts w:ascii="Times New Roman" w:hAnsi="Times New Roman" w:cs="Times New Roman"/>
          <w:noProof/>
          <w:kern w:val="0"/>
          <w:sz w:val="24"/>
        </w:rPr>
        <w:t>(1), 44–51.</w:t>
      </w:r>
    </w:p>
    <w:p w14:paraId="337BF03C"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Wemakor, A. (2019). Prevalence and determinants of anaemia in pregnant women receiving antenatal care at a tertiary referral hospital in Northern Ghana. </w:t>
      </w:r>
      <w:r w:rsidRPr="00A8736F">
        <w:rPr>
          <w:rFonts w:ascii="Times New Roman" w:hAnsi="Times New Roman" w:cs="Times New Roman"/>
          <w:i/>
          <w:iCs/>
          <w:noProof/>
          <w:kern w:val="0"/>
          <w:sz w:val="24"/>
        </w:rPr>
        <w:t>BMC Pregnancy and Childbirth</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19</w:t>
      </w:r>
      <w:r w:rsidRPr="00A8736F">
        <w:rPr>
          <w:rFonts w:ascii="Times New Roman" w:hAnsi="Times New Roman" w:cs="Times New Roman"/>
          <w:noProof/>
          <w:kern w:val="0"/>
          <w:sz w:val="24"/>
        </w:rPr>
        <w:t>(1), 495. https://doi.org/10.1186/s12884-019-2644-5</w:t>
      </w:r>
    </w:p>
    <w:p w14:paraId="34BC0B88"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White, N. J. (2018). Anaemia and malaria. </w:t>
      </w:r>
      <w:r w:rsidRPr="00A8736F">
        <w:rPr>
          <w:rFonts w:ascii="Times New Roman" w:hAnsi="Times New Roman" w:cs="Times New Roman"/>
          <w:i/>
          <w:iCs/>
          <w:noProof/>
          <w:kern w:val="0"/>
          <w:sz w:val="24"/>
        </w:rPr>
        <w:t>Malaria Journal</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17</w:t>
      </w:r>
      <w:r w:rsidRPr="00A8736F">
        <w:rPr>
          <w:rFonts w:ascii="Times New Roman" w:hAnsi="Times New Roman" w:cs="Times New Roman"/>
          <w:noProof/>
          <w:kern w:val="0"/>
          <w:sz w:val="24"/>
        </w:rPr>
        <w:t>(1), 371. https://doi.org/10.1186/s12936-018-2509-9</w:t>
      </w:r>
    </w:p>
    <w:p w14:paraId="2D13432A"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sz w:val="24"/>
        </w:rPr>
      </w:pPr>
      <w:r w:rsidRPr="00A8736F">
        <w:rPr>
          <w:rFonts w:ascii="Times New Roman" w:hAnsi="Times New Roman" w:cs="Times New Roman"/>
          <w:noProof/>
          <w:kern w:val="0"/>
          <w:sz w:val="24"/>
        </w:rPr>
        <w:t xml:space="preserve">Yalew, M., Adane, B., Damtie, Y., Kefale, B., Arefaynie, M., &amp; Yasin, T. (2020). Trend and determinants of anemia change among pregnant and/or lactating women in  Ethiopia: A multivariate decomposition analysis. </w:t>
      </w:r>
      <w:r w:rsidRPr="00A8736F">
        <w:rPr>
          <w:rFonts w:ascii="Times New Roman" w:hAnsi="Times New Roman" w:cs="Times New Roman"/>
          <w:i/>
          <w:iCs/>
          <w:noProof/>
          <w:kern w:val="0"/>
          <w:sz w:val="24"/>
        </w:rPr>
        <w:t>PloS One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15</w:t>
      </w:r>
      <w:r w:rsidRPr="00A8736F">
        <w:rPr>
          <w:rFonts w:ascii="Times New Roman" w:hAnsi="Times New Roman" w:cs="Times New Roman"/>
          <w:noProof/>
          <w:kern w:val="0"/>
          <w:sz w:val="24"/>
        </w:rPr>
        <w:t>(11), e0241975. https://doi.org/10.1371/journal.pone.0241975</w:t>
      </w:r>
    </w:p>
    <w:p w14:paraId="77FE654F" w14:textId="243DAE02" w:rsidR="009F1A57" w:rsidRPr="002F48F9" w:rsidRDefault="00325FA3" w:rsidP="009F1A57">
      <w:pPr>
        <w:rPr>
          <w:rFonts w:ascii="Times New Roman" w:hAnsi="Times New Roman" w:cs="Times New Roman"/>
          <w:sz w:val="24"/>
          <w:szCs w:val="24"/>
        </w:rPr>
      </w:pPr>
      <w:r w:rsidRPr="002F48F9">
        <w:rPr>
          <w:rFonts w:ascii="Times New Roman" w:hAnsi="Times New Roman" w:cs="Times New Roman"/>
          <w:sz w:val="24"/>
          <w:szCs w:val="24"/>
        </w:rPr>
        <w:fldChar w:fldCharType="end"/>
      </w:r>
    </w:p>
    <w:p w14:paraId="758187F9" w14:textId="77777777" w:rsidR="009F1A57" w:rsidRPr="002F48F9" w:rsidRDefault="009F1A57" w:rsidP="009F1A57">
      <w:pPr>
        <w:rPr>
          <w:rFonts w:ascii="Times New Roman" w:hAnsi="Times New Roman" w:cs="Times New Roman"/>
          <w:sz w:val="24"/>
          <w:szCs w:val="24"/>
        </w:rPr>
      </w:pPr>
    </w:p>
    <w:p w14:paraId="04AB45AB" w14:textId="77777777" w:rsidR="009F1A57" w:rsidRPr="002F48F9" w:rsidRDefault="009F1A57" w:rsidP="009F1A57">
      <w:pPr>
        <w:rPr>
          <w:rFonts w:ascii="Times New Roman" w:hAnsi="Times New Roman" w:cs="Times New Roman"/>
          <w:sz w:val="24"/>
          <w:szCs w:val="24"/>
        </w:rPr>
      </w:pPr>
    </w:p>
    <w:sectPr w:rsidR="009F1A57" w:rsidRPr="002F4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25A3"/>
    <w:rsid w:val="00016CF3"/>
    <w:rsid w:val="000504B4"/>
    <w:rsid w:val="000B53A1"/>
    <w:rsid w:val="000C280B"/>
    <w:rsid w:val="000C3887"/>
    <w:rsid w:val="000F16C7"/>
    <w:rsid w:val="00104E27"/>
    <w:rsid w:val="001155D6"/>
    <w:rsid w:val="00124BD3"/>
    <w:rsid w:val="00127E21"/>
    <w:rsid w:val="00130FA6"/>
    <w:rsid w:val="001366CB"/>
    <w:rsid w:val="00165D80"/>
    <w:rsid w:val="00195EAD"/>
    <w:rsid w:val="001E691E"/>
    <w:rsid w:val="002121FC"/>
    <w:rsid w:val="00233507"/>
    <w:rsid w:val="00262AFA"/>
    <w:rsid w:val="00277BA2"/>
    <w:rsid w:val="0028450C"/>
    <w:rsid w:val="0028517A"/>
    <w:rsid w:val="002854A0"/>
    <w:rsid w:val="002925A3"/>
    <w:rsid w:val="00296419"/>
    <w:rsid w:val="002A2696"/>
    <w:rsid w:val="002E486E"/>
    <w:rsid w:val="002F48F9"/>
    <w:rsid w:val="002F638F"/>
    <w:rsid w:val="00325FA3"/>
    <w:rsid w:val="00340D8A"/>
    <w:rsid w:val="003A08A0"/>
    <w:rsid w:val="003A2CA0"/>
    <w:rsid w:val="003E4A9D"/>
    <w:rsid w:val="00436678"/>
    <w:rsid w:val="004423A3"/>
    <w:rsid w:val="00442EC6"/>
    <w:rsid w:val="0045294C"/>
    <w:rsid w:val="00491048"/>
    <w:rsid w:val="004A2207"/>
    <w:rsid w:val="004D35EA"/>
    <w:rsid w:val="004E7B1C"/>
    <w:rsid w:val="00514B63"/>
    <w:rsid w:val="0053444F"/>
    <w:rsid w:val="0057125F"/>
    <w:rsid w:val="005719E3"/>
    <w:rsid w:val="00576A80"/>
    <w:rsid w:val="005775EE"/>
    <w:rsid w:val="00581A0A"/>
    <w:rsid w:val="005843DD"/>
    <w:rsid w:val="005A5435"/>
    <w:rsid w:val="005D0F61"/>
    <w:rsid w:val="005D12CD"/>
    <w:rsid w:val="005F70EF"/>
    <w:rsid w:val="006247BC"/>
    <w:rsid w:val="0063002D"/>
    <w:rsid w:val="00636CC2"/>
    <w:rsid w:val="00653BD6"/>
    <w:rsid w:val="006662FE"/>
    <w:rsid w:val="006811D1"/>
    <w:rsid w:val="00691D73"/>
    <w:rsid w:val="006B0E77"/>
    <w:rsid w:val="00700C44"/>
    <w:rsid w:val="00731325"/>
    <w:rsid w:val="0073576E"/>
    <w:rsid w:val="007F2FC4"/>
    <w:rsid w:val="007F443E"/>
    <w:rsid w:val="008001D3"/>
    <w:rsid w:val="00807BBA"/>
    <w:rsid w:val="008172B1"/>
    <w:rsid w:val="008253DA"/>
    <w:rsid w:val="00842EE5"/>
    <w:rsid w:val="00854F8A"/>
    <w:rsid w:val="00867908"/>
    <w:rsid w:val="0089603A"/>
    <w:rsid w:val="008E3943"/>
    <w:rsid w:val="008F7AB4"/>
    <w:rsid w:val="00934318"/>
    <w:rsid w:val="0096604E"/>
    <w:rsid w:val="00967001"/>
    <w:rsid w:val="009D0DEF"/>
    <w:rsid w:val="009D69D3"/>
    <w:rsid w:val="009D7B38"/>
    <w:rsid w:val="009F15C7"/>
    <w:rsid w:val="009F1A57"/>
    <w:rsid w:val="00A02364"/>
    <w:rsid w:val="00A02446"/>
    <w:rsid w:val="00A17B80"/>
    <w:rsid w:val="00A6335F"/>
    <w:rsid w:val="00A76A2E"/>
    <w:rsid w:val="00A8736F"/>
    <w:rsid w:val="00AA49ED"/>
    <w:rsid w:val="00AD360D"/>
    <w:rsid w:val="00B14592"/>
    <w:rsid w:val="00B30BB7"/>
    <w:rsid w:val="00B320CF"/>
    <w:rsid w:val="00B379FE"/>
    <w:rsid w:val="00B45DE3"/>
    <w:rsid w:val="00B55266"/>
    <w:rsid w:val="00B716A4"/>
    <w:rsid w:val="00B76FD7"/>
    <w:rsid w:val="00BB0F1D"/>
    <w:rsid w:val="00BC1626"/>
    <w:rsid w:val="00BE3F5C"/>
    <w:rsid w:val="00BE65A3"/>
    <w:rsid w:val="00BE7250"/>
    <w:rsid w:val="00C547A7"/>
    <w:rsid w:val="00C61D87"/>
    <w:rsid w:val="00C64159"/>
    <w:rsid w:val="00C906BF"/>
    <w:rsid w:val="00C95E7C"/>
    <w:rsid w:val="00CB4B96"/>
    <w:rsid w:val="00CB72FC"/>
    <w:rsid w:val="00CC07BE"/>
    <w:rsid w:val="00CD3E71"/>
    <w:rsid w:val="00D01ADF"/>
    <w:rsid w:val="00D10052"/>
    <w:rsid w:val="00D60147"/>
    <w:rsid w:val="00D76783"/>
    <w:rsid w:val="00D86685"/>
    <w:rsid w:val="00DA3DD7"/>
    <w:rsid w:val="00DC564E"/>
    <w:rsid w:val="00E033D6"/>
    <w:rsid w:val="00E133D6"/>
    <w:rsid w:val="00E2261B"/>
    <w:rsid w:val="00EA742A"/>
    <w:rsid w:val="00EB1C87"/>
    <w:rsid w:val="00EB52A4"/>
    <w:rsid w:val="00EF4ACB"/>
    <w:rsid w:val="00EF5AFB"/>
    <w:rsid w:val="00F14209"/>
    <w:rsid w:val="00F203F3"/>
    <w:rsid w:val="00F61549"/>
    <w:rsid w:val="00FC182F"/>
    <w:rsid w:val="00FC76D1"/>
    <w:rsid w:val="00FD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DC6557"/>
  <w15:chartTrackingRefBased/>
  <w15:docId w15:val="{9178B16C-9F05-47A5-BFBC-96C990B5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qFormat/>
    <w:rsid w:val="00BE7250"/>
    <w:pPr>
      <w:keepNext/>
      <w:keepLines/>
      <w:spacing w:after="249" w:line="258" w:lineRule="auto"/>
      <w:ind w:left="1368" w:hanging="10"/>
      <w:outlineLvl w:val="1"/>
    </w:pPr>
    <w:rPr>
      <w:rFonts w:ascii="Times New Roman" w:eastAsia="Times New Roman" w:hAnsi="Times New Roman" w:cs="Times New Roman"/>
      <w:b/>
      <w:color w:val="000000"/>
      <w:kern w:val="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250"/>
    <w:rPr>
      <w:rFonts w:ascii="Times New Roman" w:eastAsia="Times New Roman" w:hAnsi="Times New Roman" w:cs="Times New Roman"/>
      <w:b/>
      <w:color w:val="000000"/>
      <w:kern w:val="0"/>
      <w:sz w:val="24"/>
      <w:lang w:val="en-GB" w:eastAsia="en-GB"/>
    </w:rPr>
  </w:style>
  <w:style w:type="table" w:customStyle="1" w:styleId="TableGrid">
    <w:name w:val="TableGrid"/>
    <w:rsid w:val="00807BBA"/>
    <w:pPr>
      <w:spacing w:after="0" w:line="240" w:lineRule="auto"/>
    </w:pPr>
    <w:rPr>
      <w:rFonts w:ascii="Calibri" w:eastAsia="SimSun" w:hAnsi="Calibri" w:cs="SimSun"/>
      <w:kern w:val="0"/>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379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284530">
      <w:bodyDiv w:val="1"/>
      <w:marLeft w:val="0"/>
      <w:marRight w:val="0"/>
      <w:marTop w:val="0"/>
      <w:marBottom w:val="0"/>
      <w:divBdr>
        <w:top w:val="none" w:sz="0" w:space="0" w:color="auto"/>
        <w:left w:val="none" w:sz="0" w:space="0" w:color="auto"/>
        <w:bottom w:val="none" w:sz="0" w:space="0" w:color="auto"/>
        <w:right w:val="none" w:sz="0" w:space="0" w:color="auto"/>
      </w:divBdr>
    </w:div>
    <w:div w:id="1723629060">
      <w:bodyDiv w:val="1"/>
      <w:marLeft w:val="0"/>
      <w:marRight w:val="0"/>
      <w:marTop w:val="0"/>
      <w:marBottom w:val="0"/>
      <w:divBdr>
        <w:top w:val="none" w:sz="0" w:space="0" w:color="auto"/>
        <w:left w:val="none" w:sz="0" w:space="0" w:color="auto"/>
        <w:bottom w:val="none" w:sz="0" w:space="0" w:color="auto"/>
        <w:right w:val="none" w:sz="0" w:space="0" w:color="auto"/>
      </w:divBdr>
    </w:div>
    <w:div w:id="21046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Method</a:t>
            </a:r>
            <a:r>
              <a:rPr lang="en-GB" baseline="0"/>
              <a:t> of Vector Control</a:t>
            </a:r>
            <a:endParaRPr lang="en-GB"/>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Sheet1!$B$2:$B$7</c:f>
              <c:numCache>
                <c:formatCode>General</c:formatCode>
                <c:ptCount val="6"/>
                <c:pt idx="0">
                  <c:v>34</c:v>
                </c:pt>
                <c:pt idx="1">
                  <c:v>27</c:v>
                </c:pt>
                <c:pt idx="2">
                  <c:v>42</c:v>
                </c:pt>
                <c:pt idx="3">
                  <c:v>6</c:v>
                </c:pt>
                <c:pt idx="4">
                  <c:v>3</c:v>
                </c:pt>
                <c:pt idx="5">
                  <c:v>71</c:v>
                </c:pt>
              </c:numCache>
            </c:numRef>
          </c:val>
          <c:extLst>
            <c:ext xmlns:c16="http://schemas.microsoft.com/office/drawing/2014/chart" uri="{C3380CC4-5D6E-409C-BE32-E72D297353CC}">
              <c16:uniqueId val="{00000000-F853-4FB5-BCE2-20F70E262505}"/>
            </c:ext>
          </c:extLst>
        </c:ser>
        <c:ser>
          <c:idx val="1"/>
          <c:order val="1"/>
          <c:tx>
            <c:strRef>
              <c:f>Sheet1!$C$1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Sheet1!$C$2:$C$7</c:f>
              <c:numCache>
                <c:formatCode>General</c:formatCode>
                <c:ptCount val="6"/>
              </c:numCache>
            </c:numRef>
          </c:val>
          <c:extLst>
            <c:ext xmlns:c16="http://schemas.microsoft.com/office/drawing/2014/chart" uri="{C3380CC4-5D6E-409C-BE32-E72D297353CC}">
              <c16:uniqueId val="{00000001-F853-4FB5-BCE2-20F70E262505}"/>
            </c:ext>
          </c:extLst>
        </c:ser>
        <c:ser>
          <c:idx val="2"/>
          <c:order val="2"/>
          <c:tx>
            <c:strRef>
              <c:f>Sheet1!$D$1</c:f>
              <c:strCache>
                <c:ptCount val="1"/>
                <c:pt idx="0">
                  <c:v>Column2</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Sheet1!$D$2:$D$7</c:f>
              <c:numCache>
                <c:formatCode>General</c:formatCode>
                <c:ptCount val="6"/>
              </c:numCache>
            </c:numRef>
          </c:val>
          <c:extLst>
            <c:ext xmlns:c16="http://schemas.microsoft.com/office/drawing/2014/chart" uri="{C3380CC4-5D6E-409C-BE32-E72D297353CC}">
              <c16:uniqueId val="{00000002-F853-4FB5-BCE2-20F70E262505}"/>
            </c:ext>
          </c:extLst>
        </c:ser>
        <c:dLbls>
          <c:dLblPos val="inEnd"/>
          <c:showLegendKey val="0"/>
          <c:showVal val="1"/>
          <c:showCatName val="0"/>
          <c:showSerName val="0"/>
          <c:showPercent val="0"/>
          <c:showBubbleSize val="0"/>
        </c:dLbls>
        <c:gapWidth val="65"/>
        <c:axId val="-535596112"/>
        <c:axId val="-535595568"/>
      </c:barChart>
      <c:catAx>
        <c:axId val="-535596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35595568"/>
        <c:crosses val="autoZero"/>
        <c:auto val="1"/>
        <c:lblAlgn val="ctr"/>
        <c:lblOffset val="100"/>
        <c:noMultiLvlLbl val="0"/>
      </c:catAx>
      <c:valAx>
        <c:axId val="-535595568"/>
        <c:scaling>
          <c:orientation val="minMax"/>
        </c:scaling>
        <c:delete val="1"/>
        <c:axPos val="l"/>
        <c:majorGridlines>
          <c:spPr>
            <a:ln w="9525" cap="flat" cmpd="sng" algn="ctr">
              <a:gradFill>
                <a:gsLst>
                  <a:gs pos="0">
                    <a:schemeClr val="lt1">
                      <a:lumMod val="75000"/>
                      <a:alpha val="36000"/>
                    </a:schemeClr>
                  </a:gs>
                  <a:gs pos="100000">
                    <a:schemeClr val="dk1">
                      <a:lumMod val="95000"/>
                      <a:lumOff val="5000"/>
                      <a:alpha val="42000"/>
                    </a:schemeClr>
                  </a:gs>
                </a:gsLst>
                <a:lin ang="5400000" scaled="0"/>
              </a:gradFill>
              <a:round/>
            </a:ln>
            <a:effectLst/>
          </c:spPr>
        </c:majorGridlines>
        <c:numFmt formatCode="General" sourceLinked="1"/>
        <c:majorTickMark val="none"/>
        <c:minorTickMark val="none"/>
        <c:tickLblPos val="nextTo"/>
        <c:crossAx val="-5355961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83</c:v>
                </c:pt>
                <c:pt idx="1">
                  <c:v>44</c:v>
                </c:pt>
                <c:pt idx="2">
                  <c:v>22</c:v>
                </c:pt>
                <c:pt idx="3">
                  <c:v>23</c:v>
                </c:pt>
                <c:pt idx="4">
                  <c:v>9</c:v>
                </c:pt>
                <c:pt idx="5">
                  <c:v>2</c:v>
                </c:pt>
              </c:numCache>
            </c:numRef>
          </c:val>
          <c:extLst>
            <c:ext xmlns:c16="http://schemas.microsoft.com/office/drawing/2014/chart" uri="{C3380CC4-5D6E-409C-BE32-E72D297353CC}">
              <c16:uniqueId val="{00000000-D648-4DC8-8C53-51408A03F059}"/>
            </c:ext>
          </c:extLst>
        </c:ser>
        <c:ser>
          <c:idx val="1"/>
          <c:order val="1"/>
          <c:tx>
            <c:strRef>
              <c:f>Sheet1!$C$1</c:f>
              <c:strCache>
                <c:ptCount val="1"/>
                <c:pt idx="0">
                  <c:v>Column1</c:v>
                </c:pt>
              </c:strCache>
            </c:strRef>
          </c:tx>
          <c:spPr>
            <a:solidFill>
              <a:schemeClr val="accent2"/>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numCache>
            </c:numRef>
          </c:val>
          <c:extLst>
            <c:ext xmlns:c16="http://schemas.microsoft.com/office/drawing/2014/chart" uri="{C3380CC4-5D6E-409C-BE32-E72D297353CC}">
              <c16:uniqueId val="{00000001-D648-4DC8-8C53-51408A03F059}"/>
            </c:ext>
          </c:extLst>
        </c:ser>
        <c:ser>
          <c:idx val="2"/>
          <c:order val="2"/>
          <c:tx>
            <c:strRef>
              <c:f>Sheet1!$D$1</c:f>
              <c:strCache>
                <c:ptCount val="1"/>
                <c:pt idx="0">
                  <c:v>Column2</c:v>
                </c:pt>
              </c:strCache>
            </c:strRef>
          </c:tx>
          <c:spPr>
            <a:solidFill>
              <a:schemeClr val="accent3"/>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numCache>
            </c:numRef>
          </c:val>
          <c:extLst>
            <c:ext xmlns:c16="http://schemas.microsoft.com/office/drawing/2014/chart" uri="{C3380CC4-5D6E-409C-BE32-E72D297353CC}">
              <c16:uniqueId val="{00000002-D648-4DC8-8C53-51408A03F059}"/>
            </c:ext>
          </c:extLst>
        </c:ser>
        <c:dLbls>
          <c:showLegendKey val="0"/>
          <c:showVal val="0"/>
          <c:showCatName val="0"/>
          <c:showSerName val="0"/>
          <c:showPercent val="0"/>
          <c:showBubbleSize val="0"/>
        </c:dLbls>
        <c:gapWidth val="219"/>
        <c:overlap val="-27"/>
        <c:axId val="-535608080"/>
        <c:axId val="-535603184"/>
      </c:barChart>
      <c:catAx>
        <c:axId val="-53560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3184"/>
        <c:crosses val="autoZero"/>
        <c:auto val="1"/>
        <c:lblAlgn val="ctr"/>
        <c:lblOffset val="100"/>
        <c:noMultiLvlLbl val="0"/>
      </c:catAx>
      <c:valAx>
        <c:axId val="-53560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8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Sheet1!$B$2:$B$7</c:f>
              <c:numCache>
                <c:formatCode>General</c:formatCode>
                <c:ptCount val="6"/>
                <c:pt idx="0">
                  <c:v>84</c:v>
                </c:pt>
                <c:pt idx="1">
                  <c:v>44</c:v>
                </c:pt>
                <c:pt idx="2">
                  <c:v>25</c:v>
                </c:pt>
                <c:pt idx="3">
                  <c:v>18</c:v>
                </c:pt>
                <c:pt idx="4">
                  <c:v>8</c:v>
                </c:pt>
                <c:pt idx="5">
                  <c:v>1</c:v>
                </c:pt>
              </c:numCache>
            </c:numRef>
          </c:val>
          <c:extLst>
            <c:ext xmlns:c16="http://schemas.microsoft.com/office/drawing/2014/chart" uri="{C3380CC4-5D6E-409C-BE32-E72D297353CC}">
              <c16:uniqueId val="{00000000-F390-4EF2-8D03-16382AC775B7}"/>
            </c:ext>
          </c:extLst>
        </c:ser>
        <c:ser>
          <c:idx val="1"/>
          <c:order val="1"/>
          <c:tx>
            <c:strRef>
              <c:f>Sheet1!$C$1</c:f>
              <c:strCache>
                <c:ptCount val="1"/>
                <c:pt idx="0">
                  <c:v>Column1</c:v>
                </c:pt>
              </c:strCache>
            </c:strRef>
          </c:tx>
          <c:spPr>
            <a:solidFill>
              <a:schemeClr val="accent2"/>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Sheet1!$C$2:$C$7</c:f>
              <c:numCache>
                <c:formatCode>General</c:formatCode>
                <c:ptCount val="6"/>
              </c:numCache>
            </c:numRef>
          </c:val>
          <c:extLst>
            <c:ext xmlns:c16="http://schemas.microsoft.com/office/drawing/2014/chart" uri="{C3380CC4-5D6E-409C-BE32-E72D297353CC}">
              <c16:uniqueId val="{00000001-F390-4EF2-8D03-16382AC775B7}"/>
            </c:ext>
          </c:extLst>
        </c:ser>
        <c:ser>
          <c:idx val="2"/>
          <c:order val="2"/>
          <c:tx>
            <c:strRef>
              <c:f>Sheet1!$D$1</c:f>
              <c:strCache>
                <c:ptCount val="1"/>
                <c:pt idx="0">
                  <c:v>Column2</c:v>
                </c:pt>
              </c:strCache>
            </c:strRef>
          </c:tx>
          <c:spPr>
            <a:solidFill>
              <a:schemeClr val="accent3"/>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Sheet1!$D$2:$D$7</c:f>
              <c:numCache>
                <c:formatCode>General</c:formatCode>
                <c:ptCount val="6"/>
              </c:numCache>
            </c:numRef>
          </c:val>
          <c:extLst>
            <c:ext xmlns:c16="http://schemas.microsoft.com/office/drawing/2014/chart" uri="{C3380CC4-5D6E-409C-BE32-E72D297353CC}">
              <c16:uniqueId val="{00000002-F390-4EF2-8D03-16382AC775B7}"/>
            </c:ext>
          </c:extLst>
        </c:ser>
        <c:dLbls>
          <c:showLegendKey val="0"/>
          <c:showVal val="0"/>
          <c:showCatName val="0"/>
          <c:showSerName val="0"/>
          <c:showPercent val="0"/>
          <c:showBubbleSize val="0"/>
        </c:dLbls>
        <c:gapWidth val="219"/>
        <c:overlap val="-27"/>
        <c:axId val="-535604816"/>
        <c:axId val="-535596656"/>
      </c:barChart>
      <c:catAx>
        <c:axId val="-53560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596656"/>
        <c:crosses val="autoZero"/>
        <c:auto val="1"/>
        <c:lblAlgn val="ctr"/>
        <c:lblOffset val="100"/>
        <c:noMultiLvlLbl val="0"/>
      </c:catAx>
      <c:valAx>
        <c:axId val="-53559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1010D-BBAA-4F9D-B7D9-B85870A3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19</Pages>
  <Words>19504</Words>
  <Characters>111177</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Editor-11</cp:lastModifiedBy>
  <cp:revision>124</cp:revision>
  <dcterms:created xsi:type="dcterms:W3CDTF">2024-06-30T19:02:00Z</dcterms:created>
  <dcterms:modified xsi:type="dcterms:W3CDTF">2025-04-21T09:44:00Z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http://www.zotero.org/styles/apa</vt:lpwstr>
  </property>
</Properties>
</file>