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CFE0A" w14:textId="77777777" w:rsidR="005026A0" w:rsidRPr="00CA0589" w:rsidRDefault="005026A0" w:rsidP="003971AE">
      <w:pPr>
        <w:spacing w:line="276" w:lineRule="auto"/>
        <w:rPr>
          <w:rFonts w:ascii="Arial" w:hAnsi="Arial" w:cs="Arial"/>
          <w:b/>
          <w:sz w:val="22"/>
          <w:szCs w:val="22"/>
        </w:rPr>
      </w:pPr>
    </w:p>
    <w:p w14:paraId="108A9D3A" w14:textId="77777777" w:rsidR="005026A0" w:rsidRPr="00CA0589" w:rsidRDefault="005026A0" w:rsidP="00CA0589">
      <w:pPr>
        <w:spacing w:line="276" w:lineRule="auto"/>
        <w:jc w:val="center"/>
        <w:rPr>
          <w:rFonts w:ascii="Arial" w:hAnsi="Arial" w:cs="Arial"/>
          <w:b/>
          <w:bCs/>
          <w:color w:val="000000" w:themeColor="text1"/>
          <w:sz w:val="22"/>
          <w:szCs w:val="22"/>
        </w:rPr>
      </w:pPr>
    </w:p>
    <w:p w14:paraId="30BE7A83" w14:textId="77777777" w:rsidR="005026A0" w:rsidRPr="00CA0589" w:rsidRDefault="00CA0589" w:rsidP="00CA0589">
      <w:pPr>
        <w:spacing w:line="276" w:lineRule="auto"/>
        <w:jc w:val="center"/>
        <w:rPr>
          <w:rFonts w:ascii="Arial" w:hAnsi="Arial" w:cs="Arial"/>
          <w:b/>
          <w:bCs/>
          <w:color w:val="000000" w:themeColor="text1"/>
          <w:sz w:val="22"/>
          <w:szCs w:val="22"/>
        </w:rPr>
      </w:pPr>
      <w:r w:rsidRPr="00CA0589">
        <w:rPr>
          <w:rFonts w:ascii="Arial" w:hAnsi="Arial" w:cs="Arial"/>
          <w:b/>
          <w:bCs/>
          <w:color w:val="000000" w:themeColor="text1"/>
          <w:sz w:val="22"/>
          <w:szCs w:val="22"/>
        </w:rPr>
        <w:t xml:space="preserve">INFLUENCE </w:t>
      </w:r>
      <w:r>
        <w:rPr>
          <w:rFonts w:ascii="Arial" w:hAnsi="Arial" w:cs="Arial"/>
          <w:b/>
          <w:bCs/>
          <w:color w:val="000000" w:themeColor="text1"/>
          <w:sz w:val="22"/>
          <w:szCs w:val="22"/>
        </w:rPr>
        <w:t>O</w:t>
      </w:r>
      <w:r w:rsidRPr="00CA0589">
        <w:rPr>
          <w:rFonts w:ascii="Arial" w:hAnsi="Arial" w:cs="Arial"/>
          <w:b/>
          <w:bCs/>
          <w:color w:val="000000" w:themeColor="text1"/>
          <w:sz w:val="22"/>
          <w:szCs w:val="22"/>
        </w:rPr>
        <w:t xml:space="preserve">F SOCIO-DEMOGRAPHIC FACTORS </w:t>
      </w:r>
      <w:r>
        <w:rPr>
          <w:rFonts w:ascii="Arial" w:hAnsi="Arial" w:cs="Arial"/>
          <w:b/>
          <w:bCs/>
          <w:color w:val="000000" w:themeColor="text1"/>
          <w:sz w:val="22"/>
          <w:szCs w:val="22"/>
        </w:rPr>
        <w:t>O</w:t>
      </w:r>
      <w:r w:rsidRPr="00CA0589">
        <w:rPr>
          <w:rFonts w:ascii="Arial" w:hAnsi="Arial" w:cs="Arial"/>
          <w:b/>
          <w:bCs/>
          <w:color w:val="000000" w:themeColor="text1"/>
          <w:sz w:val="22"/>
          <w:szCs w:val="22"/>
        </w:rPr>
        <w:t xml:space="preserve">N DIETARY DIVERSITY </w:t>
      </w:r>
      <w:r>
        <w:rPr>
          <w:rFonts w:ascii="Arial" w:hAnsi="Arial" w:cs="Arial"/>
          <w:b/>
          <w:bCs/>
          <w:color w:val="000000" w:themeColor="text1"/>
          <w:sz w:val="22"/>
          <w:szCs w:val="22"/>
        </w:rPr>
        <w:t>A</w:t>
      </w:r>
      <w:r w:rsidRPr="00CA0589">
        <w:rPr>
          <w:rFonts w:ascii="Arial" w:hAnsi="Arial" w:cs="Arial"/>
          <w:b/>
          <w:bCs/>
          <w:color w:val="000000" w:themeColor="text1"/>
          <w:sz w:val="22"/>
          <w:szCs w:val="22"/>
        </w:rPr>
        <w:t xml:space="preserve">MONG PREGNANT BUSINESS WOMEN </w:t>
      </w:r>
      <w:r>
        <w:rPr>
          <w:rFonts w:ascii="Arial" w:hAnsi="Arial" w:cs="Arial"/>
          <w:b/>
          <w:bCs/>
          <w:color w:val="000000" w:themeColor="text1"/>
          <w:sz w:val="22"/>
          <w:szCs w:val="22"/>
        </w:rPr>
        <w:t>I</w:t>
      </w:r>
      <w:r w:rsidRPr="00CA0589">
        <w:rPr>
          <w:rFonts w:ascii="Arial" w:hAnsi="Arial" w:cs="Arial"/>
          <w:b/>
          <w:bCs/>
          <w:color w:val="000000" w:themeColor="text1"/>
          <w:sz w:val="22"/>
          <w:szCs w:val="22"/>
        </w:rPr>
        <w:t>N TUNDUMA TOWN COUNCIL, TANZANIA</w:t>
      </w:r>
    </w:p>
    <w:p w14:paraId="166EAF29" w14:textId="77777777" w:rsidR="005026A0" w:rsidRPr="00CA0589" w:rsidRDefault="005026A0" w:rsidP="00CA0589">
      <w:pPr>
        <w:spacing w:line="276" w:lineRule="auto"/>
        <w:jc w:val="center"/>
        <w:rPr>
          <w:rFonts w:ascii="Arial" w:hAnsi="Arial" w:cs="Arial"/>
          <w:b/>
          <w:bCs/>
          <w:color w:val="000000" w:themeColor="text1"/>
          <w:sz w:val="22"/>
          <w:szCs w:val="22"/>
        </w:rPr>
      </w:pPr>
    </w:p>
    <w:p w14:paraId="42AF147F" w14:textId="77777777" w:rsidR="005026A0" w:rsidRPr="00CA0589" w:rsidRDefault="005026A0" w:rsidP="00CA0589">
      <w:pPr>
        <w:spacing w:line="276" w:lineRule="auto"/>
        <w:jc w:val="both"/>
        <w:rPr>
          <w:rFonts w:ascii="Arial" w:hAnsi="Arial" w:cs="Arial"/>
          <w:b/>
          <w:sz w:val="22"/>
          <w:szCs w:val="22"/>
        </w:rPr>
      </w:pPr>
    </w:p>
    <w:p w14:paraId="51B22048" w14:textId="77777777" w:rsidR="005026A0" w:rsidRPr="00CA0589" w:rsidRDefault="00CA0589" w:rsidP="00CA0589">
      <w:pPr>
        <w:spacing w:line="276" w:lineRule="auto"/>
        <w:jc w:val="both"/>
        <w:rPr>
          <w:rFonts w:ascii="Arial" w:hAnsi="Arial" w:cs="Arial"/>
          <w:b/>
          <w:sz w:val="22"/>
          <w:szCs w:val="22"/>
        </w:rPr>
      </w:pPr>
      <w:r w:rsidRPr="00CA0589">
        <w:rPr>
          <w:rFonts w:ascii="Arial" w:hAnsi="Arial" w:cs="Arial"/>
          <w:b/>
          <w:sz w:val="22"/>
          <w:szCs w:val="22"/>
        </w:rPr>
        <w:t>ABSTRACT</w:t>
      </w:r>
    </w:p>
    <w:p w14:paraId="398D4352" w14:textId="4A905E3D"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Dietary diversity was a key factor in nutritional sufficiency particularly for business women who struggle to access diverse nutrients rich foods due to socio economic and occupation</w:t>
      </w:r>
      <w:r w:rsidR="00BD7D0C">
        <w:rPr>
          <w:rFonts w:ascii="Arial" w:hAnsi="Arial" w:cs="Arial"/>
          <w:sz w:val="22"/>
          <w:szCs w:val="22"/>
        </w:rPr>
        <w:t>al</w:t>
      </w:r>
      <w:r w:rsidR="00626A92">
        <w:rPr>
          <w:rFonts w:ascii="Arial" w:hAnsi="Arial" w:cs="Arial"/>
          <w:sz w:val="22"/>
          <w:szCs w:val="22"/>
        </w:rPr>
        <w:t xml:space="preserve"> pressures. The panel longitudinal study</w:t>
      </w:r>
      <w:r w:rsidRPr="00CA0589">
        <w:rPr>
          <w:rFonts w:ascii="Arial" w:hAnsi="Arial" w:cs="Arial"/>
          <w:sz w:val="22"/>
          <w:szCs w:val="22"/>
        </w:rPr>
        <w:t xml:space="preserve"> examine</w:t>
      </w:r>
      <w:r w:rsidR="00BD7D0C">
        <w:rPr>
          <w:rFonts w:ascii="Arial" w:hAnsi="Arial" w:cs="Arial"/>
          <w:sz w:val="22"/>
          <w:szCs w:val="22"/>
        </w:rPr>
        <w:t>d</w:t>
      </w:r>
      <w:r w:rsidRPr="00CA0589">
        <w:rPr>
          <w:rFonts w:ascii="Arial" w:hAnsi="Arial" w:cs="Arial"/>
          <w:sz w:val="22"/>
          <w:szCs w:val="22"/>
        </w:rPr>
        <w:t xml:space="preserve"> the influence of socio demographic factors on dietary diversity of </w:t>
      </w:r>
      <w:r w:rsidR="00DA7762">
        <w:rPr>
          <w:rFonts w:ascii="Arial" w:hAnsi="Arial" w:cs="Arial"/>
          <w:sz w:val="22"/>
          <w:szCs w:val="22"/>
        </w:rPr>
        <w:t xml:space="preserve">223 </w:t>
      </w:r>
      <w:r w:rsidRPr="00CA0589">
        <w:rPr>
          <w:rFonts w:ascii="Arial" w:hAnsi="Arial" w:cs="Arial"/>
          <w:sz w:val="22"/>
          <w:szCs w:val="22"/>
        </w:rPr>
        <w:t>pregnant business women attending antenatal clinics from their second and third trimesters to term. Data collected at baseline were (Socio demographic factors and dietary diversity) and endline (pregnancy outcomes and dietary diversity).</w:t>
      </w:r>
      <w:r w:rsidR="00CA0589">
        <w:rPr>
          <w:rFonts w:ascii="Arial" w:hAnsi="Arial" w:cs="Arial"/>
          <w:sz w:val="22"/>
          <w:szCs w:val="22"/>
        </w:rPr>
        <w:t xml:space="preserve"> </w:t>
      </w:r>
      <w:r w:rsidRPr="00CA0589">
        <w:rPr>
          <w:rFonts w:ascii="Arial" w:hAnsi="Arial" w:cs="Arial"/>
          <w:sz w:val="22"/>
          <w:szCs w:val="22"/>
        </w:rPr>
        <w:t xml:space="preserve">The Minimum Dietary Diversity for </w:t>
      </w:r>
      <w:r w:rsidR="00552620">
        <w:rPr>
          <w:rFonts w:ascii="Arial" w:hAnsi="Arial" w:cs="Arial"/>
          <w:sz w:val="22"/>
          <w:szCs w:val="22"/>
        </w:rPr>
        <w:t>women based on guidance developed</w:t>
      </w:r>
      <w:r w:rsidRPr="00CA0589">
        <w:rPr>
          <w:rFonts w:ascii="Arial" w:hAnsi="Arial" w:cs="Arial"/>
          <w:sz w:val="22"/>
          <w:szCs w:val="22"/>
        </w:rPr>
        <w:t xml:space="preserve"> by F</w:t>
      </w:r>
      <w:r w:rsidR="002E505F">
        <w:rPr>
          <w:rFonts w:ascii="Arial" w:hAnsi="Arial" w:cs="Arial"/>
          <w:sz w:val="22"/>
          <w:szCs w:val="22"/>
        </w:rPr>
        <w:t xml:space="preserve">ood and </w:t>
      </w:r>
      <w:r w:rsidR="00552620">
        <w:rPr>
          <w:rFonts w:ascii="Arial" w:hAnsi="Arial" w:cs="Arial"/>
          <w:sz w:val="22"/>
          <w:szCs w:val="22"/>
        </w:rPr>
        <w:t xml:space="preserve">Agriculture </w:t>
      </w:r>
      <w:r w:rsidRPr="00CA0589">
        <w:rPr>
          <w:rFonts w:ascii="Arial" w:hAnsi="Arial" w:cs="Arial"/>
          <w:sz w:val="22"/>
          <w:szCs w:val="22"/>
        </w:rPr>
        <w:t>O</w:t>
      </w:r>
      <w:r w:rsidR="00552620">
        <w:rPr>
          <w:rFonts w:ascii="Arial" w:hAnsi="Arial" w:cs="Arial"/>
          <w:sz w:val="22"/>
          <w:szCs w:val="22"/>
        </w:rPr>
        <w:t>rganization (FAO)</w:t>
      </w:r>
      <w:r w:rsidRPr="00CA0589">
        <w:rPr>
          <w:rFonts w:ascii="Arial" w:hAnsi="Arial" w:cs="Arial"/>
          <w:sz w:val="22"/>
          <w:szCs w:val="22"/>
        </w:rPr>
        <w:t xml:space="preserve"> for the Minimum Dietary Diversity for Women (MDD-W). It based on 10 food groups and used seven days food frequency questionnaire to assess dietary diversity. The findings revealed that at baseline over half of the pregnant business women (55.6%) had inadequate dietary diversity but by the study end this improved significantly with 65.5% exhibiting adequate dietary diversity. Food group consumption showed that staples starch had higher consumption rate at baseline (70.8) and endline (86.1 %) while other fruits had the lowest consumption baseline 16.2% and increased at endline 57.1%. Maternal outcomes 89.2% had a normal birth weight while 6.7% were low birth weight. In terms of birth length 76.7% were normal length with 13.5% below. Head circumference 72.6% were normal with 18.4 below and 19.7 over. Agricultural produce traders and shopkeepers had significantly lower </w:t>
      </w:r>
      <w:r w:rsidR="00552620">
        <w:rPr>
          <w:rFonts w:ascii="Arial" w:hAnsi="Arial" w:cs="Arial"/>
          <w:sz w:val="22"/>
          <w:szCs w:val="22"/>
        </w:rPr>
        <w:t xml:space="preserve">Dietary Diversity Scores </w:t>
      </w:r>
      <w:r w:rsidR="00552620" w:rsidRPr="00626A92">
        <w:rPr>
          <w:rFonts w:ascii="Arial" w:hAnsi="Arial" w:cs="Arial"/>
          <w:sz w:val="22"/>
          <w:szCs w:val="22"/>
        </w:rPr>
        <w:t>(</w:t>
      </w:r>
      <w:r w:rsidRPr="00626A92">
        <w:rPr>
          <w:rFonts w:ascii="Arial" w:hAnsi="Arial" w:cs="Arial"/>
          <w:sz w:val="22"/>
          <w:szCs w:val="22"/>
        </w:rPr>
        <w:t>DDS</w:t>
      </w:r>
      <w:r w:rsidR="00552620" w:rsidRPr="00626A92">
        <w:rPr>
          <w:rFonts w:ascii="Arial" w:hAnsi="Arial" w:cs="Arial"/>
          <w:sz w:val="22"/>
          <w:szCs w:val="22"/>
        </w:rPr>
        <w:t>)</w:t>
      </w:r>
      <w:r w:rsidRPr="00CA0589">
        <w:rPr>
          <w:rFonts w:ascii="Arial" w:hAnsi="Arial" w:cs="Arial"/>
          <w:sz w:val="22"/>
          <w:szCs w:val="22"/>
        </w:rPr>
        <w:t xml:space="preserve"> by 2.937 and 2.158 respectively compared to restaurant operators (P=0.045 and P=0.050). Study showed that for each small improvement in a </w:t>
      </w:r>
      <w:proofErr w:type="gramStart"/>
      <w:r w:rsidRPr="00CA0589">
        <w:rPr>
          <w:rFonts w:ascii="Arial" w:hAnsi="Arial" w:cs="Arial"/>
          <w:sz w:val="22"/>
          <w:szCs w:val="22"/>
        </w:rPr>
        <w:t>mothers</w:t>
      </w:r>
      <w:proofErr w:type="gramEnd"/>
      <w:r w:rsidRPr="00CA0589">
        <w:rPr>
          <w:rFonts w:ascii="Arial" w:hAnsi="Arial" w:cs="Arial"/>
          <w:sz w:val="22"/>
          <w:szCs w:val="22"/>
        </w:rPr>
        <w:t xml:space="preserve"> diet there was related improvement in the baby’s predicted health at birth. The dietary pattern </w:t>
      </w:r>
      <w:proofErr w:type="gramStart"/>
      <w:r w:rsidRPr="00CA0589">
        <w:rPr>
          <w:rFonts w:ascii="Arial" w:hAnsi="Arial" w:cs="Arial"/>
          <w:sz w:val="22"/>
          <w:szCs w:val="22"/>
        </w:rPr>
        <w:t>suggest</w:t>
      </w:r>
      <w:proofErr w:type="gramEnd"/>
      <w:r w:rsidRPr="00CA0589">
        <w:rPr>
          <w:rFonts w:ascii="Arial" w:hAnsi="Arial" w:cs="Arial"/>
          <w:sz w:val="22"/>
          <w:szCs w:val="22"/>
        </w:rPr>
        <w:t xml:space="preserve"> potential risks for micronutrient deficiencies due to suboptimal consumption of diverse food groups. Government, health care providers and </w:t>
      </w:r>
      <w:r w:rsidR="00552620">
        <w:rPr>
          <w:rFonts w:ascii="Arial" w:hAnsi="Arial" w:cs="Arial"/>
          <w:sz w:val="22"/>
          <w:szCs w:val="22"/>
        </w:rPr>
        <w:t xml:space="preserve">Non-Government Organizations </w:t>
      </w:r>
      <w:r w:rsidR="00552620" w:rsidRPr="00626A92">
        <w:rPr>
          <w:rFonts w:ascii="Arial" w:hAnsi="Arial" w:cs="Arial"/>
          <w:sz w:val="22"/>
          <w:szCs w:val="22"/>
        </w:rPr>
        <w:t>(</w:t>
      </w:r>
      <w:r w:rsidRPr="00626A92">
        <w:rPr>
          <w:rFonts w:ascii="Arial" w:hAnsi="Arial" w:cs="Arial"/>
          <w:sz w:val="22"/>
          <w:szCs w:val="22"/>
        </w:rPr>
        <w:t>NGOs</w:t>
      </w:r>
      <w:r w:rsidR="00552620" w:rsidRPr="00626A92">
        <w:rPr>
          <w:rFonts w:ascii="Arial" w:hAnsi="Arial" w:cs="Arial"/>
          <w:sz w:val="22"/>
          <w:szCs w:val="22"/>
        </w:rPr>
        <w:t>)</w:t>
      </w:r>
      <w:r w:rsidRPr="00CA0589">
        <w:rPr>
          <w:rFonts w:ascii="Arial" w:hAnsi="Arial" w:cs="Arial"/>
          <w:sz w:val="22"/>
          <w:szCs w:val="22"/>
        </w:rPr>
        <w:t xml:space="preserve"> should implement nutritional counseling, improve access to diverse local food markets and enhanced micronutrient supplementation programs.</w:t>
      </w:r>
    </w:p>
    <w:p w14:paraId="7B5C8078" w14:textId="77777777" w:rsidR="00CA0589" w:rsidRDefault="00CA0589" w:rsidP="00CA0589">
      <w:pPr>
        <w:spacing w:line="276" w:lineRule="auto"/>
        <w:jc w:val="both"/>
        <w:rPr>
          <w:rFonts w:ascii="Arial" w:hAnsi="Arial" w:cs="Arial"/>
          <w:sz w:val="22"/>
          <w:szCs w:val="22"/>
        </w:rPr>
      </w:pPr>
    </w:p>
    <w:p w14:paraId="26B97A13"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b/>
          <w:sz w:val="22"/>
          <w:szCs w:val="22"/>
        </w:rPr>
        <w:t>Key words</w:t>
      </w:r>
      <w:r w:rsidRPr="00CA0589">
        <w:rPr>
          <w:rFonts w:ascii="Arial" w:hAnsi="Arial" w:cs="Arial"/>
          <w:sz w:val="22"/>
          <w:szCs w:val="22"/>
        </w:rPr>
        <w:t>: Dietary diversity, Business women, socio-demographic factors and food groups</w:t>
      </w:r>
    </w:p>
    <w:p w14:paraId="348CF5C2" w14:textId="77777777" w:rsidR="005026A0" w:rsidRPr="00CA0589" w:rsidRDefault="005026A0" w:rsidP="00CA0589">
      <w:pPr>
        <w:spacing w:line="276" w:lineRule="auto"/>
        <w:jc w:val="both"/>
        <w:rPr>
          <w:rFonts w:ascii="Arial" w:hAnsi="Arial" w:cs="Arial"/>
          <w:sz w:val="22"/>
          <w:szCs w:val="22"/>
        </w:rPr>
      </w:pPr>
    </w:p>
    <w:p w14:paraId="1EBCD890" w14:textId="77777777" w:rsidR="005026A0" w:rsidRPr="00CA0589" w:rsidRDefault="005026A0" w:rsidP="00CA0589">
      <w:pPr>
        <w:spacing w:line="276" w:lineRule="auto"/>
        <w:jc w:val="both"/>
        <w:rPr>
          <w:rFonts w:ascii="Arial" w:hAnsi="Arial" w:cs="Arial"/>
          <w:sz w:val="22"/>
          <w:szCs w:val="22"/>
        </w:rPr>
      </w:pPr>
    </w:p>
    <w:p w14:paraId="4DCCD1EC" w14:textId="77777777" w:rsidR="005026A0" w:rsidRPr="00CA0589" w:rsidRDefault="005026A0" w:rsidP="00CA0589">
      <w:pPr>
        <w:spacing w:line="276" w:lineRule="auto"/>
        <w:jc w:val="both"/>
        <w:rPr>
          <w:rFonts w:ascii="Arial" w:hAnsi="Arial" w:cs="Arial"/>
          <w:sz w:val="22"/>
          <w:szCs w:val="22"/>
        </w:rPr>
      </w:pPr>
    </w:p>
    <w:p w14:paraId="459E1AC2" w14:textId="77777777" w:rsidR="005026A0" w:rsidRPr="00CA0589" w:rsidRDefault="005026A0" w:rsidP="00CA0589">
      <w:pPr>
        <w:spacing w:line="276" w:lineRule="auto"/>
        <w:jc w:val="both"/>
        <w:rPr>
          <w:rFonts w:ascii="Arial" w:hAnsi="Arial" w:cs="Arial"/>
          <w:sz w:val="22"/>
          <w:szCs w:val="22"/>
        </w:rPr>
      </w:pPr>
    </w:p>
    <w:p w14:paraId="5D755E04" w14:textId="77777777" w:rsidR="005026A0" w:rsidRPr="00CA0589" w:rsidRDefault="005026A0" w:rsidP="00CA0589">
      <w:pPr>
        <w:spacing w:line="276" w:lineRule="auto"/>
        <w:jc w:val="both"/>
        <w:rPr>
          <w:rFonts w:ascii="Arial" w:hAnsi="Arial" w:cs="Arial"/>
          <w:sz w:val="22"/>
          <w:szCs w:val="22"/>
        </w:rPr>
      </w:pPr>
    </w:p>
    <w:p w14:paraId="7AA49B9D" w14:textId="77777777" w:rsidR="005026A0" w:rsidRPr="00CA0589" w:rsidRDefault="005026A0" w:rsidP="00CA0589">
      <w:pPr>
        <w:spacing w:line="276" w:lineRule="auto"/>
        <w:jc w:val="both"/>
        <w:rPr>
          <w:rFonts w:ascii="Arial" w:hAnsi="Arial" w:cs="Arial"/>
          <w:sz w:val="22"/>
          <w:szCs w:val="22"/>
        </w:rPr>
      </w:pPr>
    </w:p>
    <w:p w14:paraId="17F2BFE9" w14:textId="77777777" w:rsidR="005026A0" w:rsidRPr="00CA0589" w:rsidRDefault="005026A0" w:rsidP="00CA0589">
      <w:pPr>
        <w:spacing w:line="276" w:lineRule="auto"/>
        <w:jc w:val="both"/>
        <w:rPr>
          <w:rFonts w:ascii="Arial" w:hAnsi="Arial" w:cs="Arial"/>
          <w:sz w:val="22"/>
          <w:szCs w:val="22"/>
        </w:rPr>
      </w:pPr>
    </w:p>
    <w:p w14:paraId="56B91A72" w14:textId="77777777" w:rsidR="005026A0" w:rsidRPr="00CA0589" w:rsidRDefault="005026A0" w:rsidP="00CA0589">
      <w:pPr>
        <w:spacing w:line="276" w:lineRule="auto"/>
        <w:jc w:val="both"/>
        <w:rPr>
          <w:rFonts w:ascii="Arial" w:hAnsi="Arial" w:cs="Arial"/>
          <w:sz w:val="22"/>
          <w:szCs w:val="22"/>
        </w:rPr>
      </w:pPr>
    </w:p>
    <w:p w14:paraId="16386839" w14:textId="77777777" w:rsidR="005026A0" w:rsidRPr="00CA0589" w:rsidRDefault="005026A0" w:rsidP="00CA0589">
      <w:pPr>
        <w:spacing w:line="276" w:lineRule="auto"/>
        <w:jc w:val="both"/>
        <w:rPr>
          <w:rFonts w:ascii="Arial" w:hAnsi="Arial" w:cs="Arial"/>
          <w:sz w:val="22"/>
          <w:szCs w:val="22"/>
        </w:rPr>
      </w:pPr>
    </w:p>
    <w:p w14:paraId="0D032043" w14:textId="77777777" w:rsidR="00CA0589" w:rsidRDefault="00CA0589">
      <w:pPr>
        <w:spacing w:after="160" w:line="259" w:lineRule="auto"/>
        <w:rPr>
          <w:rFonts w:ascii="Arial" w:hAnsi="Arial" w:cs="Arial"/>
          <w:b/>
          <w:sz w:val="22"/>
          <w:szCs w:val="22"/>
        </w:rPr>
      </w:pPr>
      <w:r>
        <w:rPr>
          <w:rFonts w:ascii="Arial" w:hAnsi="Arial" w:cs="Arial"/>
          <w:b/>
          <w:sz w:val="22"/>
          <w:szCs w:val="22"/>
        </w:rPr>
        <w:br w:type="page"/>
      </w:r>
    </w:p>
    <w:p w14:paraId="4BF95DBE"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lastRenderedPageBreak/>
        <w:t>1.0</w:t>
      </w:r>
      <w:r>
        <w:rPr>
          <w:rFonts w:ascii="Arial" w:hAnsi="Arial" w:cs="Arial"/>
          <w:b/>
          <w:sz w:val="22"/>
          <w:szCs w:val="22"/>
        </w:rPr>
        <w:tab/>
      </w:r>
      <w:r w:rsidRPr="00CA0589">
        <w:rPr>
          <w:rFonts w:ascii="Arial" w:hAnsi="Arial" w:cs="Arial"/>
          <w:b/>
          <w:sz w:val="22"/>
          <w:szCs w:val="22"/>
        </w:rPr>
        <w:t>INTRODUCTION</w:t>
      </w:r>
    </w:p>
    <w:p w14:paraId="388E0CBA"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Dietary diversity is a very important determinant of food quality and nutritional sufficiency particularly among women reproductive age. It reflects the variety of foods consumed across different food groups and is directly associated with improved maternal and child health outcomes (FAO, 2016). Poor dietary diversity is a public health issue in Tanzania and especially to women in peri-urban and rural environments. Business women including those who are pregnant, often face unique social economic and occupational pressures that can limit their ability to access and consume diverse, nutrient-rich diet (Getaneh, 2021</w:t>
      </w:r>
      <w:proofErr w:type="gramStart"/>
      <w:r w:rsidRPr="00CA0589">
        <w:rPr>
          <w:rFonts w:ascii="Arial" w:hAnsi="Arial" w:cs="Arial"/>
          <w:sz w:val="22"/>
          <w:szCs w:val="22"/>
        </w:rPr>
        <w:t>).Recent</w:t>
      </w:r>
      <w:proofErr w:type="gramEnd"/>
      <w:r w:rsidRPr="00CA0589">
        <w:rPr>
          <w:rFonts w:ascii="Arial" w:hAnsi="Arial" w:cs="Arial"/>
          <w:sz w:val="22"/>
          <w:szCs w:val="22"/>
        </w:rPr>
        <w:t xml:space="preserve"> studies have shown that only 46% of rural women in Tanzania meet the Minimum Dietary Diversity with diets typically dominated by starchy staples and limited in animal source foods, fruits and vegetable (Herned </w:t>
      </w:r>
      <w:r w:rsidRPr="00CA0589">
        <w:rPr>
          <w:rFonts w:ascii="Arial" w:hAnsi="Arial" w:cs="Arial"/>
          <w:i/>
          <w:sz w:val="22"/>
          <w:szCs w:val="22"/>
        </w:rPr>
        <w:t>et al</w:t>
      </w:r>
      <w:r w:rsidRPr="00CA0589">
        <w:rPr>
          <w:rFonts w:ascii="Arial" w:hAnsi="Arial" w:cs="Arial"/>
          <w:sz w:val="22"/>
          <w:szCs w:val="22"/>
        </w:rPr>
        <w:t xml:space="preserve">., 2024). </w:t>
      </w:r>
    </w:p>
    <w:p w14:paraId="3C8B1915" w14:textId="77777777" w:rsidR="005026A0" w:rsidRPr="00CA0589" w:rsidRDefault="005026A0" w:rsidP="00CA0589">
      <w:pPr>
        <w:spacing w:line="276" w:lineRule="auto"/>
        <w:jc w:val="both"/>
        <w:rPr>
          <w:rFonts w:ascii="Arial" w:hAnsi="Arial" w:cs="Arial"/>
          <w:sz w:val="22"/>
          <w:szCs w:val="22"/>
        </w:rPr>
      </w:pPr>
    </w:p>
    <w:p w14:paraId="3F4E087B" w14:textId="6609A246" w:rsidR="005026A0"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Social-demographic factors such as education level, income, type of business and marital status have been consistently </w:t>
      </w:r>
      <w:r w:rsidR="00143CD2">
        <w:rPr>
          <w:rFonts w:ascii="Arial" w:hAnsi="Arial" w:cs="Arial"/>
          <w:sz w:val="22"/>
          <w:szCs w:val="22"/>
        </w:rPr>
        <w:t>identified as strong predictors of</w:t>
      </w:r>
      <w:r w:rsidRPr="00CA0589">
        <w:rPr>
          <w:rFonts w:ascii="Arial" w:hAnsi="Arial" w:cs="Arial"/>
          <w:sz w:val="22"/>
          <w:szCs w:val="22"/>
        </w:rPr>
        <w:t xml:space="preserve"> dietary diversity. Women with higher education and formal employment are more likely to achieve adequate dietary diversity due to greater nutritional knowledge, access to food resources and structured daily routines (Hasham </w:t>
      </w:r>
      <w:r w:rsidRPr="00CA0589">
        <w:rPr>
          <w:rFonts w:ascii="Arial" w:hAnsi="Arial" w:cs="Arial"/>
          <w:i/>
          <w:sz w:val="22"/>
          <w:szCs w:val="22"/>
        </w:rPr>
        <w:t xml:space="preserve">et al., </w:t>
      </w:r>
      <w:r w:rsidRPr="00CA0589">
        <w:rPr>
          <w:rFonts w:ascii="Arial" w:hAnsi="Arial" w:cs="Arial"/>
          <w:sz w:val="22"/>
          <w:szCs w:val="22"/>
        </w:rPr>
        <w:t>2020). In contrast women involved in informal business or with lower income levels may struggle with time constraints, food insecurity and lack of dietary awareness, limiting their intake of essential nutrients (Milele et al., 2021).</w:t>
      </w:r>
    </w:p>
    <w:p w14:paraId="2FA825F6" w14:textId="77777777" w:rsidR="00CA0589" w:rsidRPr="00CA0589" w:rsidRDefault="00CA0589" w:rsidP="00CA0589">
      <w:pPr>
        <w:spacing w:line="276" w:lineRule="auto"/>
        <w:jc w:val="both"/>
        <w:rPr>
          <w:rFonts w:ascii="Arial" w:hAnsi="Arial" w:cs="Arial"/>
          <w:sz w:val="22"/>
          <w:szCs w:val="22"/>
        </w:rPr>
      </w:pPr>
    </w:p>
    <w:p w14:paraId="60C50896" w14:textId="77777777" w:rsidR="005026A0"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Pregnant women are particularly vulnerable as their nutritional needs are increased to support fetal growth and maternal wellbeing. Poor maternal dietary diversity is associated with adverse pregnancy outcomes such as low birth weight, preterm birth and impaired infant growth and development (Fang, 2024 &amp; Panzeri, 2024). In Tunduma Town Council a rapidly growing border town with a large population engaged in small scale business, understanding the dietary behaviors of these pregnant business women is vital. Despite their economic activity, many still face dietary challenges due to socio-economic inequalities, occupational stress and limited access to health information (Li </w:t>
      </w:r>
      <w:r w:rsidRPr="00CA0589">
        <w:rPr>
          <w:rFonts w:ascii="Arial" w:hAnsi="Arial" w:cs="Arial"/>
          <w:i/>
          <w:sz w:val="22"/>
          <w:szCs w:val="22"/>
        </w:rPr>
        <w:t>et al</w:t>
      </w:r>
      <w:r w:rsidRPr="00CA0589">
        <w:rPr>
          <w:rFonts w:ascii="Arial" w:hAnsi="Arial" w:cs="Arial"/>
          <w:sz w:val="22"/>
          <w:szCs w:val="22"/>
        </w:rPr>
        <w:t>., 2021).</w:t>
      </w:r>
    </w:p>
    <w:p w14:paraId="01E74181" w14:textId="77777777" w:rsidR="00CA0589" w:rsidRPr="00CA0589" w:rsidRDefault="00CA0589" w:rsidP="00CA0589">
      <w:pPr>
        <w:spacing w:line="276" w:lineRule="auto"/>
        <w:jc w:val="both"/>
        <w:rPr>
          <w:rFonts w:ascii="Arial" w:hAnsi="Arial" w:cs="Arial"/>
          <w:sz w:val="22"/>
          <w:szCs w:val="22"/>
        </w:rPr>
      </w:pPr>
    </w:p>
    <w:p w14:paraId="1FC8B1A1"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This study examining the influence of socio-demographic factors on dietary diversity of pregnant business women in Tunduma Town Council. The findings aim to provide evidence for targeted nutrition interventions and policy strategies to improve maternal nutrition and health outcomes in this context.    </w:t>
      </w:r>
    </w:p>
    <w:p w14:paraId="71533711" w14:textId="77777777" w:rsidR="005026A0" w:rsidRPr="00CA0589" w:rsidRDefault="005026A0" w:rsidP="00CA0589">
      <w:pPr>
        <w:spacing w:line="276" w:lineRule="auto"/>
        <w:jc w:val="both"/>
        <w:rPr>
          <w:rFonts w:ascii="Arial" w:hAnsi="Arial" w:cs="Arial"/>
          <w:sz w:val="22"/>
          <w:szCs w:val="22"/>
        </w:rPr>
      </w:pPr>
    </w:p>
    <w:p w14:paraId="20748642"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2.0</w:t>
      </w:r>
      <w:r>
        <w:rPr>
          <w:rFonts w:ascii="Arial" w:hAnsi="Arial" w:cs="Arial"/>
          <w:b/>
          <w:sz w:val="22"/>
          <w:szCs w:val="22"/>
        </w:rPr>
        <w:tab/>
      </w:r>
      <w:r w:rsidRPr="00CA0589">
        <w:rPr>
          <w:rFonts w:ascii="Arial" w:hAnsi="Arial" w:cs="Arial"/>
          <w:b/>
          <w:sz w:val="22"/>
          <w:szCs w:val="22"/>
        </w:rPr>
        <w:t>MATERIALS AND METHODS</w:t>
      </w:r>
    </w:p>
    <w:p w14:paraId="314F47DA"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2.1</w:t>
      </w:r>
      <w:r>
        <w:rPr>
          <w:rFonts w:ascii="Arial" w:hAnsi="Arial" w:cs="Arial"/>
          <w:b/>
          <w:sz w:val="22"/>
          <w:szCs w:val="22"/>
        </w:rPr>
        <w:tab/>
      </w:r>
      <w:r w:rsidR="005026A0" w:rsidRPr="00CA0589">
        <w:rPr>
          <w:rFonts w:ascii="Arial" w:hAnsi="Arial" w:cs="Arial"/>
          <w:b/>
          <w:sz w:val="22"/>
          <w:szCs w:val="22"/>
        </w:rPr>
        <w:t>Study Setting</w:t>
      </w:r>
    </w:p>
    <w:p w14:paraId="498440AC" w14:textId="77777777" w:rsidR="005026A0" w:rsidRDefault="005026A0" w:rsidP="00CA0589">
      <w:pPr>
        <w:spacing w:line="276" w:lineRule="auto"/>
        <w:jc w:val="both"/>
        <w:rPr>
          <w:rFonts w:ascii="Arial" w:hAnsi="Arial" w:cs="Arial"/>
          <w:sz w:val="22"/>
          <w:szCs w:val="22"/>
        </w:rPr>
      </w:pPr>
      <w:r w:rsidRPr="00CA0589">
        <w:rPr>
          <w:rFonts w:ascii="Arial" w:hAnsi="Arial" w:cs="Arial"/>
          <w:sz w:val="22"/>
          <w:szCs w:val="22"/>
        </w:rPr>
        <w:t>The study was conducted in Tunduma Town Council, Songwe Region. The area of Tunduma is about 87.46 square kilometers and it has a total population of 219,309 out of which 114, 967 are female according to Tanzania National census (NBS, 2022).</w:t>
      </w:r>
    </w:p>
    <w:p w14:paraId="71B1F573" w14:textId="77777777" w:rsidR="00CA0589" w:rsidRPr="00CA0589" w:rsidRDefault="00CA0589" w:rsidP="00CA0589">
      <w:pPr>
        <w:spacing w:line="276" w:lineRule="auto"/>
        <w:jc w:val="both"/>
        <w:rPr>
          <w:rFonts w:ascii="Arial" w:hAnsi="Arial" w:cs="Arial"/>
          <w:sz w:val="22"/>
          <w:szCs w:val="22"/>
        </w:rPr>
      </w:pPr>
    </w:p>
    <w:p w14:paraId="53223D5A"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Tunduma is busy urban center located in the Songwe Region of Tanzania and situated near the border with Zambia. Tunduma serves as a key commercial center, attracting business activities and diverse population including business women engaged in various trades (Stephen, 2023). There are 23 health facilities owned by the council in Tunduma. These including 1 hospital, 8 health centers and 14 dispensaries. The study was conducted in the Tunduma health centers which offers a range of essential health services including maternal and child health care, outpatient and inpatient treatment and emergency services. It plays a key role in supporting pregnant women by providing antenatal and postnatal care.  </w:t>
      </w:r>
    </w:p>
    <w:p w14:paraId="63989A35" w14:textId="77777777" w:rsidR="005026A0" w:rsidRPr="00CA0589" w:rsidRDefault="005026A0" w:rsidP="00CA0589">
      <w:pPr>
        <w:pStyle w:val="Heading2"/>
        <w:jc w:val="center"/>
      </w:pPr>
      <w:r w:rsidRPr="00CA0589">
        <w:rPr>
          <w:rFonts w:eastAsia="Calibri"/>
          <w:noProof/>
        </w:rPr>
        <w:lastRenderedPageBreak/>
        <w:drawing>
          <wp:inline distT="0" distB="0" distL="0" distR="0" wp14:anchorId="6A3F9C4D" wp14:editId="255C252B">
            <wp:extent cx="5734050" cy="4463415"/>
            <wp:effectExtent l="0" t="0" r="0" b="0"/>
            <wp:docPr id="1" name="Picture 1" descr="C:\Users\FM STATIONARIES\Desktop\tundum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FM STATIONARIES\Desktop\tunduma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32145" cy="4461778"/>
                    </a:xfrm>
                    <a:prstGeom prst="rect">
                      <a:avLst/>
                    </a:prstGeom>
                    <a:noFill/>
                    <a:ln>
                      <a:noFill/>
                    </a:ln>
                  </pic:spPr>
                </pic:pic>
              </a:graphicData>
            </a:graphic>
          </wp:inline>
        </w:drawing>
      </w:r>
    </w:p>
    <w:p w14:paraId="7060CE66" w14:textId="77777777" w:rsidR="005026A0" w:rsidRPr="00CA0589" w:rsidRDefault="005026A0" w:rsidP="00CA0589">
      <w:pPr>
        <w:spacing w:line="276" w:lineRule="auto"/>
        <w:jc w:val="center"/>
        <w:rPr>
          <w:rFonts w:ascii="Arial" w:hAnsi="Arial" w:cs="Arial"/>
          <w:b/>
          <w:sz w:val="22"/>
          <w:szCs w:val="22"/>
        </w:rPr>
      </w:pPr>
      <w:r w:rsidRPr="00CA0589">
        <w:rPr>
          <w:rFonts w:ascii="Arial" w:hAnsi="Arial" w:cs="Arial"/>
          <w:b/>
          <w:sz w:val="22"/>
          <w:szCs w:val="22"/>
        </w:rPr>
        <w:t>Figure 1: Map of the study area, Tunduma Town Council Tanzania</w:t>
      </w:r>
    </w:p>
    <w:p w14:paraId="4CDB1584" w14:textId="77777777" w:rsidR="005026A0" w:rsidRPr="00CA0589" w:rsidRDefault="005026A0" w:rsidP="00CA0589">
      <w:pPr>
        <w:spacing w:line="276" w:lineRule="auto"/>
        <w:jc w:val="center"/>
        <w:rPr>
          <w:rFonts w:ascii="Arial" w:hAnsi="Arial" w:cs="Arial"/>
          <w:sz w:val="22"/>
          <w:szCs w:val="22"/>
        </w:rPr>
      </w:pPr>
    </w:p>
    <w:p w14:paraId="0BD5498A"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2.2</w:t>
      </w:r>
      <w:r>
        <w:rPr>
          <w:rFonts w:ascii="Arial" w:hAnsi="Arial" w:cs="Arial"/>
          <w:b/>
          <w:sz w:val="22"/>
          <w:szCs w:val="22"/>
        </w:rPr>
        <w:tab/>
      </w:r>
      <w:r w:rsidR="005026A0" w:rsidRPr="00CA0589">
        <w:rPr>
          <w:rFonts w:ascii="Arial" w:hAnsi="Arial" w:cs="Arial"/>
          <w:b/>
          <w:sz w:val="22"/>
          <w:szCs w:val="22"/>
        </w:rPr>
        <w:t>Study design and population</w:t>
      </w:r>
    </w:p>
    <w:p w14:paraId="1072EBC8" w14:textId="4D28E7D0"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A panel longitudinal study was conducted to investigate influence of socio-demographic factors on dietary diversity and pregnancy outcomes among pregnant business women by capturing changes over time through data collection at multiple points during pregnancy and after childbirth. The study was involved a sample of </w:t>
      </w:r>
      <w:r w:rsidR="00626A92">
        <w:rPr>
          <w:rFonts w:ascii="Arial" w:hAnsi="Arial" w:cs="Arial"/>
          <w:sz w:val="22"/>
          <w:szCs w:val="22"/>
        </w:rPr>
        <w:t xml:space="preserve">223 </w:t>
      </w:r>
      <w:r w:rsidRPr="00CA0589">
        <w:rPr>
          <w:rFonts w:ascii="Arial" w:hAnsi="Arial" w:cs="Arial"/>
          <w:sz w:val="22"/>
          <w:szCs w:val="22"/>
        </w:rPr>
        <w:t xml:space="preserve">business women aged between 15 to 49 years who are currently pregnant specifically in their second and third trimesters of pregnancy until given birth. Data were collected from November 2024 to May 2025 in the catchment areas of Tunduma Health Center located within Tunduma Town Council. The data collection occurred at two time point: At enrollment (baseline) and after delivery (endline). Pre-survey data collection focused on examined socio demographic factors and dietary diversity while post survey data collection examined dietary diversity and determine pregnancy outcomes (birth weight, birth length and head circumference). To ensure data linkage while maintain anonymity participants were asked during the pre-survey to create a personal memorable code such as a combination of their birth month and the first letter of their </w:t>
      </w:r>
      <w:proofErr w:type="gramStart"/>
      <w:r w:rsidRPr="00CA0589">
        <w:rPr>
          <w:rFonts w:ascii="Arial" w:hAnsi="Arial" w:cs="Arial"/>
          <w:sz w:val="22"/>
          <w:szCs w:val="22"/>
        </w:rPr>
        <w:t>mothers</w:t>
      </w:r>
      <w:proofErr w:type="gramEnd"/>
      <w:r w:rsidRPr="00CA0589">
        <w:rPr>
          <w:rFonts w:ascii="Arial" w:hAnsi="Arial" w:cs="Arial"/>
          <w:sz w:val="22"/>
          <w:szCs w:val="22"/>
        </w:rPr>
        <w:t xml:space="preserve"> name that they could easily recall and use in both surveys. Eligible pregnant business women attending antenatal care (ANC) visits at the Tunduma Health center were identified with the help of health care providers at the clinic. The recruitment process occurred in two phases: In phase 1(T1), participants were recruited and baseline data were collected on dietary diversity and socio-demographic factors and in phase 2 (T2) a final follow up was carried out to collect comprehensive information on pregnancy outcomes along with dietary diversity. </w:t>
      </w:r>
    </w:p>
    <w:p w14:paraId="23CC176C" w14:textId="77777777" w:rsidR="00CA0589" w:rsidRDefault="00CA0589">
      <w:pPr>
        <w:spacing w:after="160" w:line="259" w:lineRule="auto"/>
        <w:rPr>
          <w:rFonts w:ascii="Arial" w:hAnsi="Arial" w:cs="Arial"/>
          <w:b/>
          <w:sz w:val="22"/>
          <w:szCs w:val="22"/>
        </w:rPr>
      </w:pPr>
      <w:r>
        <w:rPr>
          <w:rFonts w:ascii="Arial" w:hAnsi="Arial" w:cs="Arial"/>
          <w:b/>
          <w:sz w:val="22"/>
          <w:szCs w:val="22"/>
        </w:rPr>
        <w:br w:type="page"/>
      </w:r>
    </w:p>
    <w:p w14:paraId="67AB53D0"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lastRenderedPageBreak/>
        <w:t>2.3</w:t>
      </w:r>
      <w:r>
        <w:rPr>
          <w:rFonts w:ascii="Arial" w:hAnsi="Arial" w:cs="Arial"/>
          <w:b/>
          <w:sz w:val="22"/>
          <w:szCs w:val="22"/>
        </w:rPr>
        <w:tab/>
      </w:r>
      <w:r w:rsidR="005026A0" w:rsidRPr="00CA0589">
        <w:rPr>
          <w:rFonts w:ascii="Arial" w:hAnsi="Arial" w:cs="Arial"/>
          <w:b/>
          <w:sz w:val="22"/>
          <w:szCs w:val="22"/>
        </w:rPr>
        <w:t>Sampling procedures</w:t>
      </w:r>
    </w:p>
    <w:p w14:paraId="32BB3AA4"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Both probability and non-probability sampling methods were employed to recruit pregnant business women at Tunduma Health Center for the study. Collaboration was established with trained research assistance and health care providers especially those working in antenatal clinics to help identify and refer pregnant women engaged in business activities. During routine antenatal visits, eligible participants were approached by trained research assistants who explained the purpose, benefits and ethical aspects of the study. For non-probability sampling, purposive sampling was used to gain targeted insights based on specific characteristics. Pregnant business women were selected from facilities known to have high concentration of such individuals to ensure the sample was representative of the target population. For probability sampling, stratified sampling was used. The population of pregnant business women was divided into subgroups (strata) based on trimesters to ensure the sample reflected the diversity of the population of pregnant business women.</w:t>
      </w:r>
    </w:p>
    <w:p w14:paraId="53C56484" w14:textId="77777777" w:rsidR="005026A0" w:rsidRPr="00CA0589" w:rsidRDefault="005026A0" w:rsidP="00CA0589">
      <w:pPr>
        <w:spacing w:line="276" w:lineRule="auto"/>
        <w:jc w:val="both"/>
        <w:rPr>
          <w:rFonts w:ascii="Arial" w:hAnsi="Arial" w:cs="Arial"/>
          <w:sz w:val="22"/>
          <w:szCs w:val="22"/>
        </w:rPr>
      </w:pPr>
    </w:p>
    <w:p w14:paraId="56AE0BF8"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2.4</w:t>
      </w:r>
      <w:r>
        <w:rPr>
          <w:rFonts w:ascii="Arial" w:hAnsi="Arial" w:cs="Arial"/>
          <w:b/>
          <w:sz w:val="22"/>
          <w:szCs w:val="22"/>
        </w:rPr>
        <w:tab/>
      </w:r>
      <w:r w:rsidR="005026A0" w:rsidRPr="00CA0589">
        <w:rPr>
          <w:rFonts w:ascii="Arial" w:hAnsi="Arial" w:cs="Arial"/>
          <w:b/>
          <w:sz w:val="22"/>
          <w:szCs w:val="22"/>
        </w:rPr>
        <w:t>Sample Size</w:t>
      </w:r>
    </w:p>
    <w:p w14:paraId="6E0E1823"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total number of pregnant business women who participated in the study was determined using the sample size formula developed by Fisher </w:t>
      </w:r>
      <w:r w:rsidRPr="00CA0589">
        <w:rPr>
          <w:rFonts w:ascii="Arial" w:hAnsi="Arial" w:cs="Arial"/>
          <w:i/>
          <w:sz w:val="22"/>
          <w:szCs w:val="22"/>
        </w:rPr>
        <w:t>et al</w:t>
      </w:r>
      <w:r w:rsidRPr="00CA0589">
        <w:rPr>
          <w:rFonts w:ascii="Arial" w:hAnsi="Arial" w:cs="Arial"/>
          <w:sz w:val="22"/>
          <w:szCs w:val="22"/>
        </w:rPr>
        <w:t xml:space="preserve">., (1991). </w:t>
      </w:r>
    </w:p>
    <w:p w14:paraId="2DC0D7E6" w14:textId="77777777" w:rsidR="005026A0" w:rsidRPr="00CA0589" w:rsidRDefault="005026A0" w:rsidP="00CA0589">
      <w:pPr>
        <w:spacing w:line="276" w:lineRule="auto"/>
        <w:jc w:val="both"/>
        <w:rPr>
          <w:rFonts w:ascii="Arial" w:hAnsi="Arial" w:cs="Arial"/>
          <w:sz w:val="22"/>
          <w:szCs w:val="22"/>
        </w:rPr>
      </w:pPr>
    </w:p>
    <w:p w14:paraId="5A275CA8" w14:textId="77777777" w:rsidR="00A52EE0" w:rsidRDefault="00A52EE0" w:rsidP="00A52EE0">
      <w:pPr>
        <w:spacing w:line="276" w:lineRule="auto"/>
        <w:jc w:val="center"/>
        <w:rPr>
          <w:rFonts w:ascii="Arial" w:eastAsia="SimSun" w:hAnsi="Arial" w:cs="Arial"/>
          <w:b/>
          <w:bCs/>
          <w:color w:val="000000"/>
          <w:kern w:val="24"/>
          <w:position w:val="13"/>
          <w:vertAlign w:val="superscript"/>
        </w:rPr>
      </w:pPr>
      <w:r w:rsidRPr="00275951">
        <w:rPr>
          <w:rFonts w:ascii="Arial" w:eastAsia="SimSun" w:hAnsi="Arial" w:cs="Arial"/>
          <w:b/>
          <w:bCs/>
          <w:color w:val="000000"/>
          <w:kern w:val="24"/>
        </w:rPr>
        <w:t>N=Z</w:t>
      </w:r>
      <w:r w:rsidRPr="00275951">
        <w:rPr>
          <w:rFonts w:ascii="Arial" w:eastAsia="SimSun" w:hAnsi="Arial" w:cs="Arial"/>
          <w:b/>
          <w:bCs/>
          <w:color w:val="000000"/>
          <w:kern w:val="24"/>
          <w:position w:val="13"/>
          <w:vertAlign w:val="superscript"/>
        </w:rPr>
        <w:t>2</w:t>
      </w:r>
      <w:r w:rsidRPr="00275951">
        <w:rPr>
          <w:rFonts w:ascii="Arial" w:eastAsia="SimSun" w:hAnsi="Arial" w:cs="Arial"/>
          <w:b/>
          <w:bCs/>
          <w:color w:val="000000"/>
          <w:kern w:val="24"/>
        </w:rPr>
        <w:t xml:space="preserve"> p q/ d</w:t>
      </w:r>
      <w:r w:rsidRPr="00275951">
        <w:rPr>
          <w:rFonts w:ascii="Arial" w:eastAsia="SimSun" w:hAnsi="Arial" w:cs="Arial"/>
          <w:b/>
          <w:bCs/>
          <w:color w:val="000000"/>
          <w:kern w:val="24"/>
          <w:position w:val="13"/>
          <w:vertAlign w:val="superscript"/>
        </w:rPr>
        <w:t>2</w:t>
      </w:r>
    </w:p>
    <w:p w14:paraId="331A8B86"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Where </w:t>
      </w:r>
    </w:p>
    <w:p w14:paraId="1C675C23" w14:textId="77777777" w:rsidR="005026A0" w:rsidRPr="00CA0589" w:rsidRDefault="005026A0" w:rsidP="00CA0589">
      <w:pPr>
        <w:pStyle w:val="ListParagraph"/>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N-It is the population sample</w:t>
      </w:r>
    </w:p>
    <w:p w14:paraId="444676FE" w14:textId="77777777" w:rsidR="005026A0" w:rsidRPr="00CA0589" w:rsidRDefault="005026A0" w:rsidP="00CA0589">
      <w:pPr>
        <w:pStyle w:val="ListParagraph"/>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Z- It is the standard normal deviation which corresponds 95% confidence level (1.96)</w:t>
      </w:r>
    </w:p>
    <w:p w14:paraId="5E4FC4AA" w14:textId="77777777" w:rsidR="005026A0" w:rsidRPr="00CA0589" w:rsidRDefault="005026A0" w:rsidP="00CA0589">
      <w:pPr>
        <w:pStyle w:val="ListParagraph"/>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P- It is the proportion of women in Songwe Region met the minimum dietary diversity which was 15.8%=0.158 (TDHS, 2022).</w:t>
      </w:r>
    </w:p>
    <w:p w14:paraId="35389828" w14:textId="77777777" w:rsidR="005026A0" w:rsidRPr="00CA0589" w:rsidRDefault="005026A0" w:rsidP="00CA0589">
      <w:pPr>
        <w:pStyle w:val="ListParagraph"/>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q- (1-</w:t>
      </w:r>
      <w:proofErr w:type="gramStart"/>
      <w:r w:rsidRPr="00CA0589">
        <w:rPr>
          <w:rFonts w:ascii="Arial" w:hAnsi="Arial" w:cs="Arial"/>
          <w:sz w:val="22"/>
          <w:szCs w:val="22"/>
        </w:rPr>
        <w:t>P)=</w:t>
      </w:r>
      <w:proofErr w:type="gramEnd"/>
      <w:r w:rsidRPr="00CA0589">
        <w:rPr>
          <w:rFonts w:ascii="Arial" w:hAnsi="Arial" w:cs="Arial"/>
          <w:sz w:val="22"/>
          <w:szCs w:val="22"/>
        </w:rPr>
        <w:t>0.842</w:t>
      </w:r>
    </w:p>
    <w:p w14:paraId="57320DAC" w14:textId="77777777" w:rsidR="005026A0" w:rsidRPr="00CA0589" w:rsidRDefault="005026A0" w:rsidP="00CA0589">
      <w:pPr>
        <w:pStyle w:val="ListParagraph"/>
        <w:numPr>
          <w:ilvl w:val="0"/>
          <w:numId w:val="1"/>
        </w:numPr>
        <w:spacing w:line="276" w:lineRule="auto"/>
        <w:contextualSpacing w:val="0"/>
        <w:jc w:val="both"/>
        <w:rPr>
          <w:rFonts w:ascii="Arial" w:hAnsi="Arial" w:cs="Arial"/>
          <w:sz w:val="22"/>
          <w:szCs w:val="22"/>
        </w:rPr>
      </w:pPr>
      <w:r w:rsidRPr="00CA0589">
        <w:rPr>
          <w:rFonts w:ascii="Arial" w:hAnsi="Arial" w:cs="Arial"/>
          <w:sz w:val="22"/>
          <w:szCs w:val="22"/>
        </w:rPr>
        <w:t>d=0.05 (error)</w:t>
      </w:r>
    </w:p>
    <w:p w14:paraId="364362D7"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N=1.96</w:t>
      </w:r>
      <w:r w:rsidRPr="00CA0589">
        <w:rPr>
          <w:rFonts w:ascii="Arial" w:hAnsi="Arial" w:cs="Arial"/>
          <w:sz w:val="22"/>
          <w:szCs w:val="22"/>
          <w:vertAlign w:val="superscript"/>
        </w:rPr>
        <w:t>2</w:t>
      </w:r>
      <w:r w:rsidRPr="00CA0589">
        <w:rPr>
          <w:rFonts w:ascii="Arial" w:hAnsi="Arial" w:cs="Arial"/>
          <w:sz w:val="22"/>
          <w:szCs w:val="22"/>
        </w:rPr>
        <w:t>x0.158x0.842/0.05</w:t>
      </w:r>
      <w:r w:rsidRPr="00CA0589">
        <w:rPr>
          <w:rFonts w:ascii="Arial" w:hAnsi="Arial" w:cs="Arial"/>
          <w:sz w:val="22"/>
          <w:szCs w:val="22"/>
          <w:vertAlign w:val="superscript"/>
        </w:rPr>
        <w:t>2</w:t>
      </w:r>
    </w:p>
    <w:p w14:paraId="5233A666" w14:textId="77777777" w:rsidR="005026A0" w:rsidRPr="00CA0589" w:rsidRDefault="005026A0" w:rsidP="00CA0589">
      <w:pPr>
        <w:spacing w:line="276" w:lineRule="auto"/>
        <w:jc w:val="both"/>
        <w:rPr>
          <w:rFonts w:ascii="Arial" w:hAnsi="Arial" w:cs="Arial"/>
          <w:sz w:val="22"/>
          <w:szCs w:val="22"/>
        </w:rPr>
      </w:pPr>
    </w:p>
    <w:p w14:paraId="22837E28"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   =202</w:t>
      </w:r>
    </w:p>
    <w:p w14:paraId="298B9BF9"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In order to cater for non- </w:t>
      </w:r>
      <w:proofErr w:type="gramStart"/>
      <w:r w:rsidRPr="00CA0589">
        <w:rPr>
          <w:rFonts w:ascii="Arial" w:hAnsi="Arial" w:cs="Arial"/>
          <w:sz w:val="22"/>
          <w:szCs w:val="22"/>
        </w:rPr>
        <w:t>response</w:t>
      </w:r>
      <w:proofErr w:type="gramEnd"/>
      <w:r w:rsidRPr="00CA0589">
        <w:rPr>
          <w:rFonts w:ascii="Arial" w:hAnsi="Arial" w:cs="Arial"/>
          <w:sz w:val="22"/>
          <w:szCs w:val="22"/>
        </w:rPr>
        <w:t xml:space="preserve"> rate the sample size was increased by 10% (Fisher et al., 1991).</w:t>
      </w:r>
    </w:p>
    <w:p w14:paraId="6BEB7852"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N=202 + 202(10%)</w:t>
      </w:r>
    </w:p>
    <w:p w14:paraId="4373CBF6" w14:textId="77777777" w:rsidR="005026A0" w:rsidRPr="00CA0589" w:rsidRDefault="005026A0" w:rsidP="00CA0589">
      <w:pPr>
        <w:spacing w:line="276" w:lineRule="auto"/>
        <w:jc w:val="both"/>
        <w:rPr>
          <w:rFonts w:ascii="Arial" w:hAnsi="Arial" w:cs="Arial"/>
          <w:sz w:val="22"/>
          <w:szCs w:val="22"/>
        </w:rPr>
      </w:pPr>
      <w:proofErr w:type="gramStart"/>
      <w:r w:rsidRPr="00CA0589">
        <w:rPr>
          <w:rFonts w:ascii="Arial" w:hAnsi="Arial" w:cs="Arial"/>
          <w:sz w:val="22"/>
          <w:szCs w:val="22"/>
        </w:rPr>
        <w:t>Therefore</w:t>
      </w:r>
      <w:proofErr w:type="gramEnd"/>
      <w:r w:rsidRPr="00CA0589">
        <w:rPr>
          <w:rFonts w:ascii="Arial" w:hAnsi="Arial" w:cs="Arial"/>
          <w:sz w:val="22"/>
          <w:szCs w:val="22"/>
        </w:rPr>
        <w:t xml:space="preserve"> the sample size was 223.</w:t>
      </w:r>
    </w:p>
    <w:p w14:paraId="4C64850B" w14:textId="77777777" w:rsidR="005026A0" w:rsidRPr="00CA0589" w:rsidRDefault="005026A0" w:rsidP="00CA0589">
      <w:pPr>
        <w:spacing w:line="276" w:lineRule="auto"/>
        <w:jc w:val="both"/>
        <w:rPr>
          <w:rFonts w:ascii="Arial" w:hAnsi="Arial" w:cs="Arial"/>
          <w:b/>
          <w:sz w:val="22"/>
          <w:szCs w:val="22"/>
        </w:rPr>
      </w:pPr>
    </w:p>
    <w:p w14:paraId="4750C752"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2.5</w:t>
      </w:r>
      <w:r>
        <w:rPr>
          <w:rFonts w:ascii="Arial" w:hAnsi="Arial" w:cs="Arial"/>
          <w:b/>
          <w:sz w:val="22"/>
          <w:szCs w:val="22"/>
        </w:rPr>
        <w:tab/>
      </w:r>
      <w:r w:rsidR="005026A0" w:rsidRPr="00CA0589">
        <w:rPr>
          <w:rFonts w:ascii="Arial" w:hAnsi="Arial" w:cs="Arial"/>
          <w:b/>
          <w:sz w:val="22"/>
          <w:szCs w:val="22"/>
        </w:rPr>
        <w:t>Data collection</w:t>
      </w:r>
    </w:p>
    <w:p w14:paraId="00FB63D8"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2.5.1</w:t>
      </w:r>
      <w:r>
        <w:rPr>
          <w:rFonts w:ascii="Arial" w:hAnsi="Arial" w:cs="Arial"/>
          <w:b/>
          <w:sz w:val="22"/>
          <w:szCs w:val="22"/>
        </w:rPr>
        <w:tab/>
      </w:r>
      <w:r w:rsidR="005026A0" w:rsidRPr="00CA0589">
        <w:rPr>
          <w:rFonts w:ascii="Arial" w:hAnsi="Arial" w:cs="Arial"/>
          <w:b/>
          <w:sz w:val="22"/>
          <w:szCs w:val="22"/>
        </w:rPr>
        <w:t>Construction and administration of a Questionnaire</w:t>
      </w:r>
    </w:p>
    <w:p w14:paraId="4731FAC8" w14:textId="792F7EF0"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study was employed a three section </w:t>
      </w:r>
      <w:r w:rsidR="00D13D95">
        <w:rPr>
          <w:rFonts w:ascii="Arial" w:hAnsi="Arial" w:cs="Arial"/>
          <w:sz w:val="22"/>
          <w:szCs w:val="22"/>
        </w:rPr>
        <w:t xml:space="preserve">for constructed questionnaire </w:t>
      </w:r>
      <w:r w:rsidRPr="00CA0589">
        <w:rPr>
          <w:rFonts w:ascii="Arial" w:hAnsi="Arial" w:cs="Arial"/>
          <w:sz w:val="22"/>
          <w:szCs w:val="22"/>
        </w:rPr>
        <w:t xml:space="preserve">gether information. Section A focused establishing rapport, introducing the study’s purpose and collecting basic demographic data. Section B utilized a food frequency questionnaire to assess dietary diversity, while section C aimed together data on pregnancy outcomes specifically birth weight, length and head circumference. To ensure its effectiveness, the questionnaire was pre-test with 20 business women in Mbeya and necessary adjustments were incorporated. Five enumerators received comprehensive training on question delivery and response recording to ensure consistent data collection. </w:t>
      </w:r>
      <w:proofErr w:type="gramStart"/>
      <w:r w:rsidRPr="00CA0589">
        <w:rPr>
          <w:rFonts w:ascii="Arial" w:hAnsi="Arial" w:cs="Arial"/>
          <w:sz w:val="22"/>
          <w:szCs w:val="22"/>
        </w:rPr>
        <w:t>Finally</w:t>
      </w:r>
      <w:proofErr w:type="gramEnd"/>
      <w:r w:rsidRPr="00CA0589">
        <w:rPr>
          <w:rFonts w:ascii="Arial" w:hAnsi="Arial" w:cs="Arial"/>
          <w:sz w:val="22"/>
          <w:szCs w:val="22"/>
        </w:rPr>
        <w:t xml:space="preserve"> the questionnaires were administered through face to face interviews at Tunduma health center (Antenatal clinic visiting) during morning hours.   </w:t>
      </w:r>
    </w:p>
    <w:p w14:paraId="636EB607" w14:textId="77777777" w:rsidR="005026A0" w:rsidRPr="00CA0589" w:rsidRDefault="005026A0" w:rsidP="00CA0589">
      <w:pPr>
        <w:spacing w:line="276" w:lineRule="auto"/>
        <w:jc w:val="both"/>
        <w:rPr>
          <w:rFonts w:ascii="Arial" w:hAnsi="Arial" w:cs="Arial"/>
          <w:sz w:val="22"/>
          <w:szCs w:val="22"/>
        </w:rPr>
      </w:pPr>
    </w:p>
    <w:p w14:paraId="294A1B03" w14:textId="77777777" w:rsidR="00CA0589" w:rsidRDefault="00CA0589">
      <w:pPr>
        <w:spacing w:after="160" w:line="259" w:lineRule="auto"/>
        <w:rPr>
          <w:rFonts w:ascii="Arial" w:hAnsi="Arial" w:cs="Arial"/>
          <w:b/>
          <w:sz w:val="22"/>
          <w:szCs w:val="22"/>
        </w:rPr>
      </w:pPr>
      <w:r>
        <w:rPr>
          <w:rFonts w:ascii="Arial" w:hAnsi="Arial" w:cs="Arial"/>
          <w:b/>
          <w:sz w:val="22"/>
          <w:szCs w:val="22"/>
        </w:rPr>
        <w:br w:type="page"/>
      </w:r>
    </w:p>
    <w:p w14:paraId="1AFB0E38" w14:textId="77777777" w:rsidR="005026A0" w:rsidRPr="00CA0589" w:rsidRDefault="00CA0589" w:rsidP="00CA0589">
      <w:pPr>
        <w:spacing w:line="271" w:lineRule="auto"/>
        <w:jc w:val="both"/>
        <w:rPr>
          <w:rFonts w:ascii="Arial" w:hAnsi="Arial" w:cs="Arial"/>
          <w:b/>
          <w:sz w:val="22"/>
          <w:szCs w:val="22"/>
        </w:rPr>
      </w:pPr>
      <w:r>
        <w:rPr>
          <w:rFonts w:ascii="Arial" w:hAnsi="Arial" w:cs="Arial"/>
          <w:b/>
          <w:sz w:val="22"/>
          <w:szCs w:val="22"/>
        </w:rPr>
        <w:lastRenderedPageBreak/>
        <w:t>2.5.2</w:t>
      </w:r>
      <w:r>
        <w:rPr>
          <w:rFonts w:ascii="Arial" w:hAnsi="Arial" w:cs="Arial"/>
          <w:b/>
          <w:sz w:val="22"/>
          <w:szCs w:val="22"/>
        </w:rPr>
        <w:tab/>
      </w:r>
      <w:r w:rsidR="005026A0" w:rsidRPr="00CA0589">
        <w:rPr>
          <w:rFonts w:ascii="Arial" w:hAnsi="Arial" w:cs="Arial"/>
          <w:b/>
          <w:sz w:val="22"/>
          <w:szCs w:val="22"/>
        </w:rPr>
        <w:t>Socio-Demographic factors</w:t>
      </w:r>
    </w:p>
    <w:p w14:paraId="2C5D42CD" w14:textId="77777777" w:rsidR="005026A0" w:rsidRPr="00CA0589" w:rsidRDefault="005026A0" w:rsidP="00CA0589">
      <w:pPr>
        <w:spacing w:line="271" w:lineRule="auto"/>
        <w:jc w:val="both"/>
        <w:rPr>
          <w:rFonts w:ascii="Arial" w:hAnsi="Arial" w:cs="Arial"/>
          <w:sz w:val="22"/>
          <w:szCs w:val="22"/>
        </w:rPr>
      </w:pPr>
      <w:r w:rsidRPr="00CA0589">
        <w:rPr>
          <w:rFonts w:ascii="Arial" w:hAnsi="Arial" w:cs="Arial"/>
          <w:sz w:val="22"/>
          <w:szCs w:val="22"/>
        </w:rPr>
        <w:t>Information on socio-demographic factors of the study participants was collected using pretested questionnaire administered by trained research assistants. The collected data included age, education, income, marital status, parity, family size and type of business. All data were collected during the baseline.</w:t>
      </w:r>
    </w:p>
    <w:p w14:paraId="10D87EC1" w14:textId="77777777" w:rsidR="00CA0589" w:rsidRDefault="00CA0589" w:rsidP="00CA0589">
      <w:pPr>
        <w:spacing w:line="271" w:lineRule="auto"/>
        <w:jc w:val="both"/>
        <w:rPr>
          <w:rFonts w:ascii="Arial" w:hAnsi="Arial" w:cs="Arial"/>
          <w:b/>
          <w:sz w:val="22"/>
          <w:szCs w:val="22"/>
        </w:rPr>
      </w:pPr>
    </w:p>
    <w:p w14:paraId="5C836224" w14:textId="77777777" w:rsidR="005026A0" w:rsidRPr="00CA0589" w:rsidRDefault="00CA0589" w:rsidP="00CA0589">
      <w:pPr>
        <w:spacing w:line="271" w:lineRule="auto"/>
        <w:jc w:val="both"/>
        <w:rPr>
          <w:rFonts w:ascii="Arial" w:hAnsi="Arial" w:cs="Arial"/>
          <w:b/>
          <w:sz w:val="22"/>
          <w:szCs w:val="22"/>
        </w:rPr>
      </w:pPr>
      <w:r>
        <w:rPr>
          <w:rFonts w:ascii="Arial" w:hAnsi="Arial" w:cs="Arial"/>
          <w:b/>
          <w:sz w:val="22"/>
          <w:szCs w:val="22"/>
        </w:rPr>
        <w:t>2.5.3</w:t>
      </w:r>
      <w:r>
        <w:rPr>
          <w:rFonts w:ascii="Arial" w:hAnsi="Arial" w:cs="Arial"/>
          <w:b/>
          <w:sz w:val="22"/>
          <w:szCs w:val="22"/>
        </w:rPr>
        <w:tab/>
      </w:r>
      <w:r w:rsidR="005026A0" w:rsidRPr="00CA0589">
        <w:rPr>
          <w:rFonts w:ascii="Arial" w:hAnsi="Arial" w:cs="Arial"/>
          <w:b/>
          <w:sz w:val="22"/>
          <w:szCs w:val="22"/>
        </w:rPr>
        <w:t>Dietary Consumption</w:t>
      </w:r>
    </w:p>
    <w:p w14:paraId="3758E97A" w14:textId="77777777" w:rsidR="005026A0" w:rsidRPr="00CA0589" w:rsidRDefault="005026A0" w:rsidP="00CA0589">
      <w:pPr>
        <w:spacing w:line="271" w:lineRule="auto"/>
        <w:jc w:val="both"/>
        <w:rPr>
          <w:rFonts w:ascii="Arial" w:hAnsi="Arial" w:cs="Arial"/>
          <w:sz w:val="22"/>
          <w:szCs w:val="22"/>
        </w:rPr>
      </w:pPr>
      <w:r w:rsidRPr="00CA0589">
        <w:rPr>
          <w:rFonts w:ascii="Arial" w:hAnsi="Arial" w:cs="Arial"/>
          <w:sz w:val="22"/>
          <w:szCs w:val="22"/>
        </w:rPr>
        <w:t xml:space="preserve">The study used a 7-day Food Frequency Questionnaire to assess the dietary habits of pregnant business women in Tunduma, focusing on the types of food they ate, meal frequency and how they accessed their meals. Participants were given a list of common foods and asked to indicate how frequently they consumed them (frequently, almost, daily, occasionally and never). The FFQ also explored how they got their meals in order to understand the challenges they faced. Responses were recorded as </w:t>
      </w:r>
      <w:proofErr w:type="gramStart"/>
      <w:r w:rsidRPr="00CA0589">
        <w:rPr>
          <w:rFonts w:ascii="Arial" w:hAnsi="Arial" w:cs="Arial"/>
          <w:sz w:val="22"/>
          <w:szCs w:val="22"/>
        </w:rPr>
        <w:t>1.Never</w:t>
      </w:r>
      <w:proofErr w:type="gramEnd"/>
      <w:r w:rsidRPr="00CA0589">
        <w:rPr>
          <w:rFonts w:ascii="Arial" w:hAnsi="Arial" w:cs="Arial"/>
          <w:sz w:val="22"/>
          <w:szCs w:val="22"/>
        </w:rPr>
        <w:t xml:space="preserve"> consumed, 2. Occasionally consumed (1-2days) 3. Frequently consumed (3-4 days) 5. Almost daily consumed (5-6 days) 6. Daily consumed.</w:t>
      </w:r>
    </w:p>
    <w:p w14:paraId="6901C476" w14:textId="77777777" w:rsidR="005026A0" w:rsidRPr="00CA0589" w:rsidRDefault="005026A0" w:rsidP="00CA0589">
      <w:pPr>
        <w:spacing w:line="271" w:lineRule="auto"/>
        <w:jc w:val="both"/>
        <w:rPr>
          <w:rFonts w:ascii="Arial" w:hAnsi="Arial" w:cs="Arial"/>
          <w:sz w:val="22"/>
          <w:szCs w:val="22"/>
        </w:rPr>
      </w:pPr>
    </w:p>
    <w:p w14:paraId="03DAC63A" w14:textId="77777777" w:rsidR="005026A0" w:rsidRPr="00CA0589" w:rsidRDefault="00CA0589" w:rsidP="00CA0589">
      <w:pPr>
        <w:spacing w:line="271" w:lineRule="auto"/>
        <w:jc w:val="both"/>
        <w:rPr>
          <w:rFonts w:ascii="Arial" w:hAnsi="Arial" w:cs="Arial"/>
          <w:sz w:val="22"/>
          <w:szCs w:val="22"/>
        </w:rPr>
      </w:pPr>
      <w:r>
        <w:rPr>
          <w:rFonts w:ascii="Arial" w:hAnsi="Arial" w:cs="Arial"/>
          <w:b/>
          <w:sz w:val="22"/>
          <w:szCs w:val="22"/>
        </w:rPr>
        <w:t>2.5.4</w:t>
      </w:r>
      <w:r>
        <w:rPr>
          <w:rFonts w:ascii="Arial" w:hAnsi="Arial" w:cs="Arial"/>
          <w:b/>
          <w:sz w:val="22"/>
          <w:szCs w:val="22"/>
        </w:rPr>
        <w:tab/>
      </w:r>
      <w:r w:rsidR="005026A0" w:rsidRPr="00CA0589">
        <w:rPr>
          <w:rFonts w:ascii="Arial" w:hAnsi="Arial" w:cs="Arial"/>
          <w:b/>
          <w:sz w:val="22"/>
          <w:szCs w:val="22"/>
        </w:rPr>
        <w:t>Dietary</w:t>
      </w:r>
      <w:r w:rsidR="005026A0" w:rsidRPr="00CA0589">
        <w:rPr>
          <w:rFonts w:ascii="Arial" w:hAnsi="Arial" w:cs="Arial"/>
          <w:sz w:val="22"/>
          <w:szCs w:val="22"/>
        </w:rPr>
        <w:t xml:space="preserve"> </w:t>
      </w:r>
      <w:r w:rsidR="005026A0" w:rsidRPr="00CA0589">
        <w:rPr>
          <w:rFonts w:ascii="Arial" w:hAnsi="Arial" w:cs="Arial"/>
          <w:b/>
          <w:sz w:val="22"/>
          <w:szCs w:val="22"/>
        </w:rPr>
        <w:t>Diversity</w:t>
      </w:r>
    </w:p>
    <w:p w14:paraId="7AF34D00" w14:textId="77777777" w:rsidR="005026A0" w:rsidRPr="00CA0589" w:rsidRDefault="005026A0" w:rsidP="00CA0589">
      <w:pPr>
        <w:spacing w:line="271" w:lineRule="auto"/>
        <w:jc w:val="both"/>
        <w:rPr>
          <w:rFonts w:ascii="Arial" w:hAnsi="Arial" w:cs="Arial"/>
          <w:sz w:val="22"/>
          <w:szCs w:val="22"/>
        </w:rPr>
      </w:pPr>
      <w:r w:rsidRPr="00CA0589">
        <w:rPr>
          <w:rFonts w:ascii="Arial" w:hAnsi="Arial" w:cs="Arial"/>
          <w:sz w:val="22"/>
          <w:szCs w:val="22"/>
        </w:rPr>
        <w:t xml:space="preserve">Dietary diversity </w:t>
      </w:r>
      <w:proofErr w:type="gramStart"/>
      <w:r w:rsidRPr="00CA0589">
        <w:rPr>
          <w:rFonts w:ascii="Arial" w:hAnsi="Arial" w:cs="Arial"/>
          <w:sz w:val="22"/>
          <w:szCs w:val="22"/>
        </w:rPr>
        <w:t>were</w:t>
      </w:r>
      <w:proofErr w:type="gramEnd"/>
      <w:r w:rsidRPr="00CA0589">
        <w:rPr>
          <w:rFonts w:ascii="Arial" w:hAnsi="Arial" w:cs="Arial"/>
          <w:sz w:val="22"/>
          <w:szCs w:val="22"/>
        </w:rPr>
        <w:t xml:space="preserve"> computed based on guidance provided by FAO for the minimum dietary diversity for women (MDD-W) </w:t>
      </w:r>
      <w:r w:rsidRPr="00626A92">
        <w:rPr>
          <w:rFonts w:ascii="Arial" w:hAnsi="Arial" w:cs="Arial"/>
          <w:sz w:val="22"/>
          <w:szCs w:val="22"/>
        </w:rPr>
        <w:t xml:space="preserve">(FAO, 2021). </w:t>
      </w:r>
      <w:r w:rsidRPr="00CA0589">
        <w:rPr>
          <w:rFonts w:ascii="Arial" w:hAnsi="Arial" w:cs="Arial"/>
          <w:sz w:val="22"/>
          <w:szCs w:val="22"/>
        </w:rPr>
        <w:t xml:space="preserve">The MDD-W was used to assess the dietary diversity of the respondents since it has been shown to indicate adequate nutrients intake and can be used as a proximal indicator for measuring nutrients adequacy among women. Dietary diversity among pregnant business women in Tunduma was assessed using a 7-day Food Frequency Questionnaire (FFQ), designed to capture the usual consumption patterns of the study participants. This questionnaire was structured around the 10 food groups commonly recommended for assessing dietary diversity, aligning with the Minimum Dietary Diversity for Women (MDD-W) guidelines. As proposed by FAO, 10 food groups were computed such as starch staples (grains, white root and tubers and plantains), legumes (beans, peas and lentils), nuts and seeds (peanuts, sesame) dairy (milk, cheese and yogurt) Meat, poultry and fish (beef, chicken, fish), eggs, dark green leafy vegetables (flesh pumpkin leaves, bean leaves, spinach) Other vitamin A-rich fruits and vegetables (carrots, pumpkin leaves, bean leaves, spinach), Other vitamin A-rich fruits and vegetables (carrots, pumpkin, mangoes), Other vegetables (tomatoes, onion, green beans) and other fruits (banana, apple, avocado) (FAO, 2021). During the assessment period each food group consumed contributes one point in the total score with a maximum possible score of ten points. The criteria for meeting Minimum Dietary Diversity (MDD-W) was the consumption of food from &gt; 5 of the 10 food groups. Dietary scores were classified into adequately (high) and inadequately (low) diversity based on MDD-W.     </w:t>
      </w:r>
    </w:p>
    <w:p w14:paraId="62DDE019" w14:textId="77777777" w:rsidR="005026A0" w:rsidRPr="00CA0589" w:rsidRDefault="005026A0" w:rsidP="00CA0589">
      <w:pPr>
        <w:spacing w:line="271" w:lineRule="auto"/>
        <w:jc w:val="both"/>
        <w:rPr>
          <w:rFonts w:ascii="Arial" w:hAnsi="Arial" w:cs="Arial"/>
          <w:b/>
          <w:sz w:val="22"/>
          <w:szCs w:val="22"/>
        </w:rPr>
      </w:pPr>
    </w:p>
    <w:p w14:paraId="74EB1CE2" w14:textId="77777777" w:rsidR="005026A0" w:rsidRPr="00CA0589" w:rsidRDefault="00CA0589" w:rsidP="00CA0589">
      <w:pPr>
        <w:spacing w:line="271" w:lineRule="auto"/>
        <w:jc w:val="both"/>
        <w:rPr>
          <w:rFonts w:ascii="Arial" w:hAnsi="Arial" w:cs="Arial"/>
          <w:b/>
          <w:sz w:val="22"/>
          <w:szCs w:val="22"/>
        </w:rPr>
      </w:pPr>
      <w:r>
        <w:rPr>
          <w:rFonts w:ascii="Arial" w:hAnsi="Arial" w:cs="Arial"/>
          <w:b/>
          <w:sz w:val="22"/>
          <w:szCs w:val="22"/>
        </w:rPr>
        <w:t>2.5.5</w:t>
      </w:r>
      <w:r>
        <w:rPr>
          <w:rFonts w:ascii="Arial" w:hAnsi="Arial" w:cs="Arial"/>
          <w:b/>
          <w:sz w:val="22"/>
          <w:szCs w:val="22"/>
        </w:rPr>
        <w:tab/>
      </w:r>
      <w:r w:rsidR="005026A0" w:rsidRPr="00CA0589">
        <w:rPr>
          <w:rFonts w:ascii="Arial" w:hAnsi="Arial" w:cs="Arial"/>
          <w:b/>
          <w:sz w:val="22"/>
          <w:szCs w:val="22"/>
        </w:rPr>
        <w:t>Anthropometric measurement</w:t>
      </w:r>
    </w:p>
    <w:p w14:paraId="7AC00954" w14:textId="759B1DFB" w:rsidR="005026A0" w:rsidRPr="00CA0589" w:rsidRDefault="005026A0" w:rsidP="00CA0589">
      <w:pPr>
        <w:spacing w:line="271" w:lineRule="auto"/>
        <w:jc w:val="both"/>
        <w:rPr>
          <w:rFonts w:ascii="Arial" w:hAnsi="Arial" w:cs="Arial"/>
          <w:sz w:val="22"/>
          <w:szCs w:val="22"/>
        </w:rPr>
      </w:pPr>
      <w:r w:rsidRPr="00CA0589">
        <w:rPr>
          <w:rFonts w:ascii="Arial" w:hAnsi="Arial" w:cs="Arial"/>
          <w:sz w:val="22"/>
          <w:szCs w:val="22"/>
        </w:rPr>
        <w:t xml:space="preserve">Birth weight, birth length and head circumference were measured at birth by trained study nurse using calibrated weight scale, length board and tape measure </w:t>
      </w:r>
      <w:proofErr w:type="gramStart"/>
      <w:r w:rsidRPr="00CA0589">
        <w:rPr>
          <w:rFonts w:ascii="Arial" w:hAnsi="Arial" w:cs="Arial"/>
          <w:sz w:val="22"/>
          <w:szCs w:val="22"/>
        </w:rPr>
        <w:t>respectively .</w:t>
      </w:r>
      <w:proofErr w:type="gramEnd"/>
      <w:r w:rsidRPr="00CA0589">
        <w:rPr>
          <w:rFonts w:ascii="Arial" w:hAnsi="Arial" w:cs="Arial"/>
          <w:sz w:val="22"/>
          <w:szCs w:val="22"/>
        </w:rPr>
        <w:t xml:space="preserve"> Birth weight was measured in grams using an infant weighing scale, recorded to the nearest 0.1 kg and categorized as: less than 2.5kg (low birth weight), 2.5-4.0kg (no</w:t>
      </w:r>
      <w:r w:rsidR="00373A2F">
        <w:rPr>
          <w:rFonts w:ascii="Arial" w:hAnsi="Arial" w:cs="Arial"/>
          <w:sz w:val="22"/>
          <w:szCs w:val="22"/>
        </w:rPr>
        <w:t>rmal) and over 4.0kg (high birth weight</w:t>
      </w:r>
      <w:r w:rsidRPr="00CA0589">
        <w:rPr>
          <w:rFonts w:ascii="Arial" w:hAnsi="Arial" w:cs="Arial"/>
          <w:sz w:val="22"/>
          <w:szCs w:val="22"/>
        </w:rPr>
        <w:t xml:space="preserve">). Birth length was measured in centimeters using a length board, recorded to the nearest 0.1 cm and categorized as less than 45cm (low birth </w:t>
      </w:r>
      <w:proofErr w:type="gramStart"/>
      <w:r w:rsidRPr="00CA0589">
        <w:rPr>
          <w:rFonts w:ascii="Arial" w:hAnsi="Arial" w:cs="Arial"/>
          <w:sz w:val="22"/>
          <w:szCs w:val="22"/>
        </w:rPr>
        <w:t>length )</w:t>
      </w:r>
      <w:proofErr w:type="gramEnd"/>
      <w:r w:rsidRPr="00CA0589">
        <w:rPr>
          <w:rFonts w:ascii="Arial" w:hAnsi="Arial" w:cs="Arial"/>
          <w:sz w:val="22"/>
          <w:szCs w:val="22"/>
        </w:rPr>
        <w:t>, 45-55 cm (normal) and over 55cm (over length). Head circumference was measured using a tape circumference</w:t>
      </w:r>
      <w:r w:rsidR="00552620">
        <w:rPr>
          <w:rFonts w:ascii="Arial" w:hAnsi="Arial" w:cs="Arial"/>
          <w:sz w:val="22"/>
          <w:szCs w:val="22"/>
        </w:rPr>
        <w:t>, +&lt;32c</w:t>
      </w:r>
      <w:r w:rsidRPr="00626A92">
        <w:rPr>
          <w:rFonts w:ascii="Arial" w:hAnsi="Arial" w:cs="Arial"/>
          <w:sz w:val="22"/>
          <w:szCs w:val="22"/>
        </w:rPr>
        <w:t>m (normal)</w:t>
      </w:r>
      <w:r w:rsidRPr="00CA0589">
        <w:rPr>
          <w:rFonts w:ascii="Arial" w:hAnsi="Arial" w:cs="Arial"/>
          <w:sz w:val="22"/>
          <w:szCs w:val="22"/>
        </w:rPr>
        <w:t xml:space="preserve"> and over 37 (Over)</w:t>
      </w:r>
      <w:r w:rsidR="00373A2F">
        <w:rPr>
          <w:rFonts w:ascii="Arial" w:hAnsi="Arial" w:cs="Arial"/>
          <w:sz w:val="22"/>
          <w:szCs w:val="22"/>
        </w:rPr>
        <w:t xml:space="preserve"> (WHO, 2006)</w:t>
      </w:r>
      <w:r w:rsidRPr="00CA0589">
        <w:rPr>
          <w:rFonts w:ascii="Arial" w:hAnsi="Arial" w:cs="Arial"/>
          <w:sz w:val="22"/>
          <w:szCs w:val="22"/>
        </w:rPr>
        <w:t xml:space="preserve">. These measurements were used to assess outcome variables to determine the influence of socio-demographic factors on dietary diversity serving as critical indicators of newborn health and maternal nutritional status during pregnancy. (WHO, 2006) </w:t>
      </w:r>
    </w:p>
    <w:p w14:paraId="3432C5D7"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lastRenderedPageBreak/>
        <w:t>2.6</w:t>
      </w:r>
      <w:r>
        <w:rPr>
          <w:rFonts w:ascii="Arial" w:hAnsi="Arial" w:cs="Arial"/>
          <w:b/>
          <w:sz w:val="22"/>
          <w:szCs w:val="22"/>
        </w:rPr>
        <w:tab/>
      </w:r>
      <w:r w:rsidR="005026A0" w:rsidRPr="00CA0589">
        <w:rPr>
          <w:rFonts w:ascii="Arial" w:hAnsi="Arial" w:cs="Arial"/>
          <w:b/>
          <w:sz w:val="22"/>
          <w:szCs w:val="22"/>
        </w:rPr>
        <w:t>Data Analysis</w:t>
      </w:r>
    </w:p>
    <w:p w14:paraId="1ADC995B"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2.6.1</w:t>
      </w:r>
      <w:r>
        <w:rPr>
          <w:rFonts w:ascii="Arial" w:hAnsi="Arial" w:cs="Arial"/>
          <w:b/>
          <w:sz w:val="22"/>
          <w:szCs w:val="22"/>
        </w:rPr>
        <w:tab/>
      </w:r>
      <w:r w:rsidR="005026A0" w:rsidRPr="00CA0589">
        <w:rPr>
          <w:rFonts w:ascii="Arial" w:hAnsi="Arial" w:cs="Arial"/>
          <w:b/>
          <w:sz w:val="22"/>
          <w:szCs w:val="22"/>
        </w:rPr>
        <w:t>Compilation and Coding</w:t>
      </w:r>
    </w:p>
    <w:p w14:paraId="1BF40024"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Food items were categorized into food groups (fruits, vegetables, staple starch) and coded allowing for Dietary Diversity Scores (DDS). One </w:t>
      </w:r>
      <w:proofErr w:type="gramStart"/>
      <w:r w:rsidRPr="00CA0589">
        <w:rPr>
          <w:rFonts w:ascii="Arial" w:hAnsi="Arial" w:cs="Arial"/>
          <w:sz w:val="22"/>
          <w:szCs w:val="22"/>
        </w:rPr>
        <w:t>scores</w:t>
      </w:r>
      <w:proofErr w:type="gramEnd"/>
      <w:r w:rsidRPr="00CA0589">
        <w:rPr>
          <w:rFonts w:ascii="Arial" w:hAnsi="Arial" w:cs="Arial"/>
          <w:sz w:val="22"/>
          <w:szCs w:val="22"/>
        </w:rPr>
        <w:t xml:space="preserve"> was given to each respondent that consumed a specific group and zero score to a respondent who did not consume a specific group. Sums of scores were calculated for each respondent. Pregnancy outcomes were categorized as birth weight, birth length and head circumference into low, normal and over. </w:t>
      </w:r>
    </w:p>
    <w:p w14:paraId="7AB634E0" w14:textId="77777777" w:rsidR="00CA0589" w:rsidRDefault="00CA0589" w:rsidP="00CA0589">
      <w:pPr>
        <w:spacing w:line="276" w:lineRule="auto"/>
        <w:jc w:val="both"/>
        <w:rPr>
          <w:rFonts w:ascii="Arial" w:hAnsi="Arial" w:cs="Arial"/>
          <w:b/>
          <w:sz w:val="22"/>
          <w:szCs w:val="22"/>
        </w:rPr>
      </w:pPr>
    </w:p>
    <w:p w14:paraId="3B176060"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2.6.2</w:t>
      </w:r>
      <w:r>
        <w:rPr>
          <w:rFonts w:ascii="Arial" w:hAnsi="Arial" w:cs="Arial"/>
          <w:b/>
          <w:sz w:val="22"/>
          <w:szCs w:val="22"/>
        </w:rPr>
        <w:tab/>
      </w:r>
      <w:r w:rsidR="005026A0" w:rsidRPr="00CA0589">
        <w:rPr>
          <w:rFonts w:ascii="Arial" w:hAnsi="Arial" w:cs="Arial"/>
          <w:b/>
          <w:sz w:val="22"/>
          <w:szCs w:val="22"/>
        </w:rPr>
        <w:t>Statistical Analysis</w:t>
      </w:r>
    </w:p>
    <w:p w14:paraId="0AD9050A"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Data analysis was conducted by using IBM SPSS Version 27.0 where descriptive and inferential statistics were used. Descriptive statistics include frequency, percent, mean, standard deviation and minimum and maximum which show in socio-demographic and reproductive characteristics, dietary diversity, changes in frequency of food group consumption, Dietary Diversity Score at baseline and endline, distribution of Dietary Diversity categorical and challenges. Dietary Diversity Score (DDS) were computed and categorized as either adequate or inadequate based on standardized thresholds. Inferential statistics include Chi-square test used to show changes in frequency of food group consumption among pregnant business women at baseline and endline. Then Related-Samples Wilcoxon signed Rank Test summary used to show comparing baseline and endline. Dietary Diversity Score (DDS) was analyzed using multiple linear regression, with results presented in the form of an ANOVA table and a coefficient table, showing the model used to predict DDS.</w:t>
      </w:r>
    </w:p>
    <w:p w14:paraId="42A31305" w14:textId="77777777" w:rsidR="005026A0" w:rsidRPr="00CA0589" w:rsidRDefault="005026A0" w:rsidP="00CA0589">
      <w:pPr>
        <w:spacing w:line="276" w:lineRule="auto"/>
        <w:jc w:val="both"/>
        <w:rPr>
          <w:rFonts w:ascii="Arial" w:hAnsi="Arial" w:cs="Arial"/>
          <w:sz w:val="22"/>
          <w:szCs w:val="22"/>
        </w:rPr>
      </w:pPr>
    </w:p>
    <w:p w14:paraId="051D7E1D" w14:textId="77777777" w:rsidR="005026A0" w:rsidRPr="00CA0589" w:rsidRDefault="00CA0589" w:rsidP="00CA0589">
      <w:pPr>
        <w:spacing w:line="276" w:lineRule="auto"/>
        <w:jc w:val="both"/>
        <w:rPr>
          <w:rFonts w:ascii="Arial" w:hAnsi="Arial" w:cs="Arial"/>
          <w:b/>
          <w:sz w:val="22"/>
          <w:szCs w:val="22"/>
        </w:rPr>
      </w:pPr>
      <w:r>
        <w:rPr>
          <w:rFonts w:ascii="Arial" w:hAnsi="Arial" w:cs="Arial"/>
          <w:b/>
          <w:sz w:val="22"/>
          <w:szCs w:val="22"/>
        </w:rPr>
        <w:t>2.7</w:t>
      </w:r>
      <w:r>
        <w:rPr>
          <w:rFonts w:ascii="Arial" w:hAnsi="Arial" w:cs="Arial"/>
          <w:b/>
          <w:sz w:val="22"/>
          <w:szCs w:val="22"/>
        </w:rPr>
        <w:tab/>
      </w:r>
      <w:r w:rsidR="005026A0" w:rsidRPr="00CA0589">
        <w:rPr>
          <w:rFonts w:ascii="Arial" w:hAnsi="Arial" w:cs="Arial"/>
          <w:b/>
          <w:sz w:val="22"/>
          <w:szCs w:val="22"/>
        </w:rPr>
        <w:t>Ethical Consideration</w:t>
      </w:r>
    </w:p>
    <w:p w14:paraId="577BC319"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hAnsi="Arial" w:cs="Arial"/>
          <w:sz w:val="22"/>
          <w:szCs w:val="22"/>
        </w:rPr>
        <w:t xml:space="preserve">Ethical approval was obtained from the National Institute for Medical Research (NIMR/HQ/R.8a/Vol.IX/5013) while permission to undertake the study was obtained from Sokoine University of Agriculture </w:t>
      </w:r>
      <w:r w:rsidRPr="00CA0589">
        <w:rPr>
          <w:rFonts w:ascii="Arial" w:hAnsi="Arial" w:cs="Arial"/>
          <w:color w:val="000000" w:themeColor="text1"/>
          <w:sz w:val="22"/>
          <w:szCs w:val="22"/>
        </w:rPr>
        <w:t>(SUA/ADM/</w:t>
      </w:r>
      <w:proofErr w:type="gramStart"/>
      <w:r w:rsidRPr="00CA0589">
        <w:rPr>
          <w:rFonts w:ascii="Arial" w:hAnsi="Arial" w:cs="Arial"/>
          <w:color w:val="000000" w:themeColor="text1"/>
          <w:sz w:val="22"/>
          <w:szCs w:val="22"/>
        </w:rPr>
        <w:t>R.I</w:t>
      </w:r>
      <w:proofErr w:type="gramEnd"/>
      <w:r w:rsidRPr="00CA0589">
        <w:rPr>
          <w:rFonts w:ascii="Arial" w:hAnsi="Arial" w:cs="Arial"/>
          <w:color w:val="000000" w:themeColor="text1"/>
          <w:sz w:val="22"/>
          <w:szCs w:val="22"/>
        </w:rPr>
        <w:t>8I1346)</w:t>
      </w:r>
      <w:r w:rsidRPr="00CA0589">
        <w:rPr>
          <w:rFonts w:ascii="Arial" w:eastAsia="Calibri" w:hAnsi="Arial" w:cs="Arial"/>
          <w:color w:val="000000" w:themeColor="text1"/>
          <w:sz w:val="22"/>
          <w:szCs w:val="22"/>
        </w:rPr>
        <w:t>. Written informed consent was obtained for all subjects. Permission was also obtained from relevant administrative offices. Data confidentiality and privacy were maintained throughout the research process.</w:t>
      </w:r>
    </w:p>
    <w:p w14:paraId="41F8887F" w14:textId="77777777" w:rsidR="005026A0" w:rsidRPr="00CA0589" w:rsidRDefault="005026A0" w:rsidP="00CA0589">
      <w:pPr>
        <w:spacing w:line="276" w:lineRule="auto"/>
        <w:jc w:val="both"/>
        <w:rPr>
          <w:rFonts w:ascii="Arial" w:eastAsia="Calibri" w:hAnsi="Arial" w:cs="Arial"/>
          <w:b/>
          <w:color w:val="000000" w:themeColor="text1"/>
          <w:sz w:val="22"/>
          <w:szCs w:val="22"/>
        </w:rPr>
      </w:pPr>
    </w:p>
    <w:p w14:paraId="769957FC" w14:textId="77777777" w:rsidR="005026A0" w:rsidRPr="00CA0589" w:rsidRDefault="005026A0" w:rsidP="00CA0589">
      <w:pPr>
        <w:spacing w:line="276" w:lineRule="auto"/>
        <w:jc w:val="both"/>
        <w:rPr>
          <w:rFonts w:ascii="Arial" w:hAnsi="Arial" w:cs="Arial"/>
          <w:b/>
          <w:sz w:val="22"/>
          <w:szCs w:val="22"/>
        </w:rPr>
      </w:pPr>
      <w:r w:rsidRPr="00CA0589">
        <w:rPr>
          <w:rFonts w:ascii="Arial" w:eastAsia="Calibri" w:hAnsi="Arial" w:cs="Arial"/>
          <w:b/>
          <w:color w:val="000000" w:themeColor="text1"/>
          <w:sz w:val="22"/>
          <w:szCs w:val="22"/>
        </w:rPr>
        <w:t>3.0</w:t>
      </w:r>
      <w:r w:rsidR="00CA0589">
        <w:rPr>
          <w:rFonts w:ascii="Arial" w:eastAsia="Calibri" w:hAnsi="Arial" w:cs="Arial"/>
          <w:b/>
          <w:color w:val="000000" w:themeColor="text1"/>
          <w:sz w:val="22"/>
          <w:szCs w:val="22"/>
        </w:rPr>
        <w:tab/>
      </w:r>
      <w:r w:rsidRPr="00CA0589">
        <w:rPr>
          <w:rFonts w:ascii="Arial" w:eastAsia="Calibri" w:hAnsi="Arial" w:cs="Arial"/>
          <w:b/>
          <w:color w:val="000000" w:themeColor="text1"/>
          <w:sz w:val="22"/>
          <w:szCs w:val="22"/>
        </w:rPr>
        <w:t>RESULTS</w:t>
      </w:r>
    </w:p>
    <w:p w14:paraId="73D1554E"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3.1</w:t>
      </w:r>
      <w:r w:rsidR="00CA0589">
        <w:rPr>
          <w:rFonts w:ascii="Arial" w:hAnsi="Arial" w:cs="Arial"/>
          <w:b/>
          <w:sz w:val="22"/>
          <w:szCs w:val="22"/>
        </w:rPr>
        <w:tab/>
      </w:r>
      <w:r w:rsidRPr="00CA0589">
        <w:rPr>
          <w:rFonts w:ascii="Arial" w:hAnsi="Arial" w:cs="Arial"/>
          <w:b/>
          <w:sz w:val="22"/>
          <w:szCs w:val="22"/>
        </w:rPr>
        <w:t>Socio-Demographic characteristics of the respondents</w:t>
      </w:r>
    </w:p>
    <w:p w14:paraId="40C28DCB"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A total of 223 pregnant business women were recruited for the study and completed all two rounds. The present studied, the majority 49.3% (n=110) were aged between 25-34 years indicating most respondents were young adults. Most respondents had attained Secondary education 50.7% (n=113), while a small proportion 1.3 </w:t>
      </w:r>
      <w:proofErr w:type="gramStart"/>
      <w:r w:rsidRPr="00CA0589">
        <w:rPr>
          <w:rFonts w:ascii="Arial" w:hAnsi="Arial" w:cs="Arial"/>
          <w:sz w:val="22"/>
          <w:szCs w:val="22"/>
        </w:rPr>
        <w:t>%( n</w:t>
      </w:r>
      <w:proofErr w:type="gramEnd"/>
      <w:r w:rsidRPr="00CA0589">
        <w:rPr>
          <w:rFonts w:ascii="Arial" w:hAnsi="Arial" w:cs="Arial"/>
          <w:sz w:val="22"/>
          <w:szCs w:val="22"/>
        </w:rPr>
        <w:t xml:space="preserve">=3) had no formal education. The present study had 1-2 previous pregnancies 66.8% (n=149). A significant portion were married 86.5 % (n=193) and worked primarily as shopkeepers 75.3% (n=193). In terms of income 30.9% (n=69) earned less than 500,000 TZS monthly, while only 3.6% (n=8) earned more than 5,000,000 TZS. Regarding family size 60.5% (n=135) had fewer than four children.  </w:t>
      </w:r>
    </w:p>
    <w:p w14:paraId="02C6735A" w14:textId="77777777" w:rsidR="005026A0" w:rsidRPr="00CA0589" w:rsidRDefault="005026A0" w:rsidP="00CA0589">
      <w:pPr>
        <w:spacing w:line="276" w:lineRule="auto"/>
        <w:jc w:val="both"/>
        <w:rPr>
          <w:rFonts w:ascii="Arial" w:hAnsi="Arial" w:cs="Arial"/>
          <w:sz w:val="22"/>
          <w:szCs w:val="22"/>
        </w:rPr>
      </w:pPr>
    </w:p>
    <w:p w14:paraId="1243E591" w14:textId="77777777" w:rsidR="00CA0589" w:rsidRDefault="00CA0589">
      <w:pPr>
        <w:spacing w:after="160" w:line="259" w:lineRule="auto"/>
        <w:rPr>
          <w:rFonts w:ascii="Arial" w:hAnsi="Arial" w:cs="Arial"/>
          <w:sz w:val="22"/>
          <w:szCs w:val="22"/>
        </w:rPr>
      </w:pPr>
      <w:r>
        <w:rPr>
          <w:rFonts w:ascii="Arial" w:hAnsi="Arial" w:cs="Arial"/>
          <w:sz w:val="22"/>
          <w:szCs w:val="22"/>
        </w:rPr>
        <w:br w:type="page"/>
      </w:r>
    </w:p>
    <w:p w14:paraId="51CAA30D" w14:textId="77777777"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lastRenderedPageBreak/>
        <w:t>Table1: Socio-demographic and reproductive Characteristics of the respondents</w:t>
      </w:r>
    </w:p>
    <w:tbl>
      <w:tblPr>
        <w:tblW w:w="5000" w:type="pct"/>
        <w:tblLook w:val="04A0" w:firstRow="1" w:lastRow="0" w:firstColumn="1" w:lastColumn="0" w:noHBand="0" w:noVBand="1"/>
      </w:tblPr>
      <w:tblGrid>
        <w:gridCol w:w="5505"/>
        <w:gridCol w:w="1869"/>
        <w:gridCol w:w="1869"/>
      </w:tblGrid>
      <w:tr w:rsidR="005026A0" w:rsidRPr="00CA0589" w14:paraId="5A58DBF9" w14:textId="77777777" w:rsidTr="00552620">
        <w:trPr>
          <w:trHeight w:val="296"/>
        </w:trPr>
        <w:tc>
          <w:tcPr>
            <w:tcW w:w="2978" w:type="pct"/>
            <w:tcBorders>
              <w:top w:val="single" w:sz="4" w:space="0" w:color="auto"/>
              <w:left w:val="nil"/>
              <w:bottom w:val="single" w:sz="4" w:space="0" w:color="auto"/>
              <w:right w:val="nil"/>
            </w:tcBorders>
            <w:noWrap/>
            <w:vAlign w:val="bottom"/>
          </w:tcPr>
          <w:p w14:paraId="65DDFD1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Variable</w:t>
            </w:r>
          </w:p>
        </w:tc>
        <w:tc>
          <w:tcPr>
            <w:tcW w:w="1011" w:type="pct"/>
            <w:tcBorders>
              <w:top w:val="single" w:sz="4" w:space="0" w:color="auto"/>
              <w:left w:val="nil"/>
              <w:bottom w:val="single" w:sz="4" w:space="0" w:color="auto"/>
              <w:right w:val="nil"/>
            </w:tcBorders>
            <w:noWrap/>
            <w:vAlign w:val="bottom"/>
          </w:tcPr>
          <w:p w14:paraId="1044481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Frequency</w:t>
            </w:r>
          </w:p>
        </w:tc>
        <w:tc>
          <w:tcPr>
            <w:tcW w:w="1011" w:type="pct"/>
            <w:tcBorders>
              <w:top w:val="single" w:sz="4" w:space="0" w:color="auto"/>
              <w:left w:val="nil"/>
              <w:bottom w:val="single" w:sz="4" w:space="0" w:color="auto"/>
              <w:right w:val="nil"/>
            </w:tcBorders>
            <w:noWrap/>
            <w:vAlign w:val="bottom"/>
          </w:tcPr>
          <w:p w14:paraId="268F165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Percent %</w:t>
            </w:r>
          </w:p>
        </w:tc>
      </w:tr>
      <w:tr w:rsidR="005026A0" w:rsidRPr="00CA0589" w14:paraId="6008875D" w14:textId="77777777" w:rsidTr="00552620">
        <w:trPr>
          <w:trHeight w:val="296"/>
        </w:trPr>
        <w:tc>
          <w:tcPr>
            <w:tcW w:w="5000" w:type="pct"/>
            <w:gridSpan w:val="3"/>
            <w:tcBorders>
              <w:top w:val="nil"/>
              <w:left w:val="nil"/>
              <w:bottom w:val="nil"/>
              <w:right w:val="nil"/>
            </w:tcBorders>
            <w:noWrap/>
            <w:vAlign w:val="bottom"/>
          </w:tcPr>
          <w:p w14:paraId="1DFBCD87"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Age</w:t>
            </w:r>
          </w:p>
        </w:tc>
      </w:tr>
      <w:tr w:rsidR="005026A0" w:rsidRPr="00CA0589" w14:paraId="14FCE11B" w14:textId="77777777" w:rsidTr="00552620">
        <w:trPr>
          <w:trHeight w:val="296"/>
        </w:trPr>
        <w:tc>
          <w:tcPr>
            <w:tcW w:w="2978" w:type="pct"/>
            <w:tcBorders>
              <w:top w:val="nil"/>
              <w:left w:val="nil"/>
              <w:bottom w:val="nil"/>
              <w:right w:val="nil"/>
            </w:tcBorders>
            <w:noWrap/>
            <w:vAlign w:val="bottom"/>
          </w:tcPr>
          <w:p w14:paraId="423DD40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16 – 24</w:t>
            </w:r>
          </w:p>
        </w:tc>
        <w:tc>
          <w:tcPr>
            <w:tcW w:w="1011" w:type="pct"/>
            <w:tcBorders>
              <w:top w:val="nil"/>
              <w:left w:val="nil"/>
              <w:bottom w:val="nil"/>
              <w:right w:val="nil"/>
            </w:tcBorders>
            <w:noWrap/>
            <w:vAlign w:val="bottom"/>
          </w:tcPr>
          <w:p w14:paraId="58FBD0D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w:t>
            </w:r>
          </w:p>
        </w:tc>
        <w:tc>
          <w:tcPr>
            <w:tcW w:w="1011" w:type="pct"/>
            <w:tcBorders>
              <w:top w:val="nil"/>
              <w:left w:val="nil"/>
              <w:bottom w:val="nil"/>
              <w:right w:val="nil"/>
            </w:tcBorders>
            <w:noWrap/>
            <w:vAlign w:val="bottom"/>
          </w:tcPr>
          <w:p w14:paraId="4F874F5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25.60</w:t>
            </w:r>
          </w:p>
        </w:tc>
      </w:tr>
      <w:tr w:rsidR="005026A0" w:rsidRPr="00CA0589" w14:paraId="75229738" w14:textId="77777777" w:rsidTr="00552620">
        <w:trPr>
          <w:trHeight w:val="296"/>
        </w:trPr>
        <w:tc>
          <w:tcPr>
            <w:tcW w:w="2978" w:type="pct"/>
            <w:tcBorders>
              <w:top w:val="nil"/>
              <w:left w:val="nil"/>
              <w:bottom w:val="nil"/>
              <w:right w:val="nil"/>
            </w:tcBorders>
            <w:noWrap/>
            <w:vAlign w:val="bottom"/>
          </w:tcPr>
          <w:p w14:paraId="44548A5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25 – 34</w:t>
            </w:r>
          </w:p>
        </w:tc>
        <w:tc>
          <w:tcPr>
            <w:tcW w:w="1011" w:type="pct"/>
            <w:tcBorders>
              <w:top w:val="nil"/>
              <w:left w:val="nil"/>
              <w:bottom w:val="nil"/>
              <w:right w:val="nil"/>
            </w:tcBorders>
            <w:noWrap/>
            <w:vAlign w:val="bottom"/>
          </w:tcPr>
          <w:p w14:paraId="7A4D35E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110</w:t>
            </w:r>
          </w:p>
        </w:tc>
        <w:tc>
          <w:tcPr>
            <w:tcW w:w="1011" w:type="pct"/>
            <w:tcBorders>
              <w:top w:val="nil"/>
              <w:left w:val="nil"/>
              <w:bottom w:val="nil"/>
              <w:right w:val="nil"/>
            </w:tcBorders>
            <w:noWrap/>
            <w:vAlign w:val="bottom"/>
          </w:tcPr>
          <w:p w14:paraId="7F18CAA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49.30</w:t>
            </w:r>
          </w:p>
        </w:tc>
      </w:tr>
      <w:tr w:rsidR="005026A0" w:rsidRPr="00CA0589" w14:paraId="746F7566" w14:textId="77777777" w:rsidTr="00552620">
        <w:trPr>
          <w:trHeight w:val="296"/>
        </w:trPr>
        <w:tc>
          <w:tcPr>
            <w:tcW w:w="2978" w:type="pct"/>
            <w:tcBorders>
              <w:top w:val="nil"/>
              <w:left w:val="nil"/>
              <w:bottom w:val="nil"/>
              <w:right w:val="nil"/>
            </w:tcBorders>
            <w:noWrap/>
            <w:vAlign w:val="bottom"/>
          </w:tcPr>
          <w:p w14:paraId="4B102E9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35</w:t>
            </w:r>
          </w:p>
        </w:tc>
        <w:tc>
          <w:tcPr>
            <w:tcW w:w="1011" w:type="pct"/>
            <w:tcBorders>
              <w:top w:val="nil"/>
              <w:left w:val="nil"/>
              <w:bottom w:val="nil"/>
              <w:right w:val="nil"/>
            </w:tcBorders>
            <w:noWrap/>
            <w:vAlign w:val="bottom"/>
          </w:tcPr>
          <w:p w14:paraId="46D90CD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56</w:t>
            </w:r>
          </w:p>
        </w:tc>
        <w:tc>
          <w:tcPr>
            <w:tcW w:w="1011" w:type="pct"/>
            <w:tcBorders>
              <w:top w:val="nil"/>
              <w:left w:val="nil"/>
              <w:bottom w:val="nil"/>
              <w:right w:val="nil"/>
            </w:tcBorders>
            <w:noWrap/>
            <w:vAlign w:val="bottom"/>
          </w:tcPr>
          <w:p w14:paraId="0FCE326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25.10</w:t>
            </w:r>
          </w:p>
        </w:tc>
      </w:tr>
      <w:tr w:rsidR="005026A0" w:rsidRPr="00CA0589" w14:paraId="23936048" w14:textId="77777777" w:rsidTr="00552620">
        <w:trPr>
          <w:trHeight w:val="296"/>
        </w:trPr>
        <w:tc>
          <w:tcPr>
            <w:tcW w:w="5000" w:type="pct"/>
            <w:gridSpan w:val="3"/>
            <w:tcBorders>
              <w:top w:val="nil"/>
              <w:left w:val="nil"/>
              <w:bottom w:val="nil"/>
              <w:right w:val="nil"/>
            </w:tcBorders>
            <w:noWrap/>
            <w:vAlign w:val="bottom"/>
          </w:tcPr>
          <w:p w14:paraId="72F7B2CD"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Education level</w:t>
            </w:r>
          </w:p>
        </w:tc>
      </w:tr>
      <w:tr w:rsidR="005026A0" w:rsidRPr="00CA0589" w14:paraId="0BACDD56" w14:textId="77777777" w:rsidTr="00552620">
        <w:trPr>
          <w:trHeight w:val="296"/>
        </w:trPr>
        <w:tc>
          <w:tcPr>
            <w:tcW w:w="2978" w:type="pct"/>
            <w:tcBorders>
              <w:top w:val="nil"/>
              <w:left w:val="nil"/>
              <w:bottom w:val="nil"/>
              <w:right w:val="nil"/>
            </w:tcBorders>
            <w:noWrap/>
            <w:vAlign w:val="bottom"/>
          </w:tcPr>
          <w:p w14:paraId="67E15CB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Non-formal</w:t>
            </w:r>
          </w:p>
        </w:tc>
        <w:tc>
          <w:tcPr>
            <w:tcW w:w="1011" w:type="pct"/>
            <w:tcBorders>
              <w:top w:val="nil"/>
              <w:left w:val="nil"/>
              <w:bottom w:val="nil"/>
              <w:right w:val="nil"/>
            </w:tcBorders>
            <w:noWrap/>
            <w:vAlign w:val="bottom"/>
          </w:tcPr>
          <w:p w14:paraId="4BAF631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w:t>
            </w:r>
          </w:p>
        </w:tc>
        <w:tc>
          <w:tcPr>
            <w:tcW w:w="1011" w:type="pct"/>
            <w:tcBorders>
              <w:top w:val="nil"/>
              <w:left w:val="nil"/>
              <w:bottom w:val="nil"/>
              <w:right w:val="nil"/>
            </w:tcBorders>
            <w:noWrap/>
            <w:vAlign w:val="bottom"/>
          </w:tcPr>
          <w:p w14:paraId="2278B46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1.30</w:t>
            </w:r>
          </w:p>
        </w:tc>
      </w:tr>
      <w:tr w:rsidR="005026A0" w:rsidRPr="00CA0589" w14:paraId="2995D59F" w14:textId="77777777" w:rsidTr="00552620">
        <w:trPr>
          <w:trHeight w:val="296"/>
        </w:trPr>
        <w:tc>
          <w:tcPr>
            <w:tcW w:w="2978" w:type="pct"/>
            <w:tcBorders>
              <w:top w:val="nil"/>
              <w:left w:val="nil"/>
              <w:bottom w:val="nil"/>
              <w:right w:val="nil"/>
            </w:tcBorders>
            <w:noWrap/>
            <w:vAlign w:val="bottom"/>
          </w:tcPr>
          <w:p w14:paraId="01B3D58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Primary</w:t>
            </w:r>
          </w:p>
        </w:tc>
        <w:tc>
          <w:tcPr>
            <w:tcW w:w="1011" w:type="pct"/>
            <w:tcBorders>
              <w:top w:val="nil"/>
              <w:left w:val="nil"/>
              <w:bottom w:val="nil"/>
              <w:right w:val="nil"/>
            </w:tcBorders>
            <w:noWrap/>
            <w:vAlign w:val="bottom"/>
          </w:tcPr>
          <w:p w14:paraId="6B13791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w:t>
            </w:r>
          </w:p>
        </w:tc>
        <w:tc>
          <w:tcPr>
            <w:tcW w:w="1011" w:type="pct"/>
            <w:tcBorders>
              <w:top w:val="nil"/>
              <w:left w:val="nil"/>
              <w:bottom w:val="nil"/>
              <w:right w:val="nil"/>
            </w:tcBorders>
            <w:noWrap/>
            <w:vAlign w:val="bottom"/>
          </w:tcPr>
          <w:p w14:paraId="6519CB3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34.10</w:t>
            </w:r>
          </w:p>
        </w:tc>
      </w:tr>
      <w:tr w:rsidR="005026A0" w:rsidRPr="00CA0589" w14:paraId="664C981C" w14:textId="77777777" w:rsidTr="00552620">
        <w:trPr>
          <w:trHeight w:val="296"/>
        </w:trPr>
        <w:tc>
          <w:tcPr>
            <w:tcW w:w="2978" w:type="pct"/>
            <w:tcBorders>
              <w:top w:val="nil"/>
              <w:left w:val="nil"/>
              <w:bottom w:val="nil"/>
              <w:right w:val="nil"/>
            </w:tcBorders>
            <w:noWrap/>
            <w:vAlign w:val="bottom"/>
          </w:tcPr>
          <w:p w14:paraId="74310A0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Secondary</w:t>
            </w:r>
          </w:p>
        </w:tc>
        <w:tc>
          <w:tcPr>
            <w:tcW w:w="1011" w:type="pct"/>
            <w:tcBorders>
              <w:top w:val="nil"/>
              <w:left w:val="nil"/>
              <w:bottom w:val="nil"/>
              <w:right w:val="nil"/>
            </w:tcBorders>
            <w:noWrap/>
            <w:vAlign w:val="bottom"/>
          </w:tcPr>
          <w:p w14:paraId="185AA38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113</w:t>
            </w:r>
          </w:p>
        </w:tc>
        <w:tc>
          <w:tcPr>
            <w:tcW w:w="1011" w:type="pct"/>
            <w:tcBorders>
              <w:top w:val="nil"/>
              <w:left w:val="nil"/>
              <w:bottom w:val="nil"/>
              <w:right w:val="nil"/>
            </w:tcBorders>
            <w:noWrap/>
            <w:vAlign w:val="bottom"/>
          </w:tcPr>
          <w:p w14:paraId="683F7A8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50.70</w:t>
            </w:r>
          </w:p>
        </w:tc>
      </w:tr>
      <w:tr w:rsidR="005026A0" w:rsidRPr="00CA0589" w14:paraId="6221F4A2" w14:textId="77777777" w:rsidTr="00552620">
        <w:trPr>
          <w:trHeight w:val="296"/>
        </w:trPr>
        <w:tc>
          <w:tcPr>
            <w:tcW w:w="2978" w:type="pct"/>
            <w:tcBorders>
              <w:top w:val="nil"/>
              <w:left w:val="nil"/>
              <w:bottom w:val="nil"/>
              <w:right w:val="nil"/>
            </w:tcBorders>
            <w:noWrap/>
            <w:vAlign w:val="bottom"/>
          </w:tcPr>
          <w:p w14:paraId="237448C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College/University</w:t>
            </w:r>
          </w:p>
        </w:tc>
        <w:tc>
          <w:tcPr>
            <w:tcW w:w="1011" w:type="pct"/>
            <w:tcBorders>
              <w:top w:val="nil"/>
              <w:left w:val="nil"/>
              <w:bottom w:val="nil"/>
              <w:right w:val="nil"/>
            </w:tcBorders>
            <w:noWrap/>
            <w:vAlign w:val="bottom"/>
          </w:tcPr>
          <w:p w14:paraId="3F19F07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w:t>
            </w:r>
          </w:p>
        </w:tc>
        <w:tc>
          <w:tcPr>
            <w:tcW w:w="1011" w:type="pct"/>
            <w:tcBorders>
              <w:top w:val="nil"/>
              <w:left w:val="nil"/>
              <w:bottom w:val="nil"/>
              <w:right w:val="nil"/>
            </w:tcBorders>
            <w:noWrap/>
            <w:vAlign w:val="bottom"/>
          </w:tcPr>
          <w:p w14:paraId="612BA33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13.90</w:t>
            </w:r>
          </w:p>
        </w:tc>
      </w:tr>
      <w:tr w:rsidR="005026A0" w:rsidRPr="00CA0589" w14:paraId="288BD9CC" w14:textId="77777777" w:rsidTr="00552620">
        <w:trPr>
          <w:trHeight w:val="296"/>
        </w:trPr>
        <w:tc>
          <w:tcPr>
            <w:tcW w:w="5000" w:type="pct"/>
            <w:gridSpan w:val="3"/>
            <w:tcBorders>
              <w:top w:val="nil"/>
              <w:left w:val="nil"/>
              <w:bottom w:val="nil"/>
              <w:right w:val="nil"/>
            </w:tcBorders>
            <w:noWrap/>
            <w:vAlign w:val="bottom"/>
          </w:tcPr>
          <w:p w14:paraId="4BB2E1C3"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Parity (number of previous pregnancies)</w:t>
            </w:r>
          </w:p>
        </w:tc>
      </w:tr>
      <w:tr w:rsidR="005026A0" w:rsidRPr="00CA0589" w14:paraId="16997092" w14:textId="77777777" w:rsidTr="00552620">
        <w:trPr>
          <w:trHeight w:val="296"/>
        </w:trPr>
        <w:tc>
          <w:tcPr>
            <w:tcW w:w="2978" w:type="pct"/>
            <w:tcBorders>
              <w:top w:val="nil"/>
              <w:left w:val="nil"/>
              <w:bottom w:val="nil"/>
              <w:right w:val="nil"/>
            </w:tcBorders>
            <w:noWrap/>
            <w:vAlign w:val="bottom"/>
          </w:tcPr>
          <w:p w14:paraId="182F266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Nulliparous</w:t>
            </w:r>
          </w:p>
        </w:tc>
        <w:tc>
          <w:tcPr>
            <w:tcW w:w="1011" w:type="pct"/>
            <w:tcBorders>
              <w:top w:val="nil"/>
              <w:left w:val="nil"/>
              <w:bottom w:val="nil"/>
              <w:right w:val="nil"/>
            </w:tcBorders>
            <w:noWrap/>
            <w:vAlign w:val="bottom"/>
          </w:tcPr>
          <w:p w14:paraId="63E1E9B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w:t>
            </w:r>
          </w:p>
        </w:tc>
        <w:tc>
          <w:tcPr>
            <w:tcW w:w="1011" w:type="pct"/>
            <w:tcBorders>
              <w:top w:val="nil"/>
              <w:left w:val="nil"/>
              <w:bottom w:val="nil"/>
              <w:right w:val="nil"/>
            </w:tcBorders>
            <w:noWrap/>
            <w:vAlign w:val="bottom"/>
          </w:tcPr>
          <w:p w14:paraId="6CD0855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0.00</w:t>
            </w:r>
          </w:p>
        </w:tc>
      </w:tr>
      <w:tr w:rsidR="005026A0" w:rsidRPr="00CA0589" w14:paraId="0A46FFF8" w14:textId="77777777" w:rsidTr="00552620">
        <w:trPr>
          <w:trHeight w:val="296"/>
        </w:trPr>
        <w:tc>
          <w:tcPr>
            <w:tcW w:w="2978" w:type="pct"/>
            <w:tcBorders>
              <w:top w:val="nil"/>
              <w:left w:val="nil"/>
              <w:bottom w:val="nil"/>
              <w:right w:val="nil"/>
            </w:tcBorders>
            <w:noWrap/>
            <w:vAlign w:val="bottom"/>
          </w:tcPr>
          <w:p w14:paraId="1780499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1−2</w:t>
            </w:r>
          </w:p>
        </w:tc>
        <w:tc>
          <w:tcPr>
            <w:tcW w:w="1011" w:type="pct"/>
            <w:tcBorders>
              <w:top w:val="nil"/>
              <w:left w:val="nil"/>
              <w:bottom w:val="nil"/>
              <w:right w:val="nil"/>
            </w:tcBorders>
            <w:noWrap/>
            <w:vAlign w:val="bottom"/>
          </w:tcPr>
          <w:p w14:paraId="2F94C4D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149</w:t>
            </w:r>
          </w:p>
        </w:tc>
        <w:tc>
          <w:tcPr>
            <w:tcW w:w="1011" w:type="pct"/>
            <w:tcBorders>
              <w:top w:val="nil"/>
              <w:left w:val="nil"/>
              <w:bottom w:val="nil"/>
              <w:right w:val="nil"/>
            </w:tcBorders>
            <w:noWrap/>
            <w:vAlign w:val="bottom"/>
          </w:tcPr>
          <w:p w14:paraId="794FED1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66.80</w:t>
            </w:r>
          </w:p>
        </w:tc>
      </w:tr>
      <w:tr w:rsidR="005026A0" w:rsidRPr="00CA0589" w14:paraId="32C47702" w14:textId="77777777" w:rsidTr="00552620">
        <w:trPr>
          <w:trHeight w:val="296"/>
        </w:trPr>
        <w:tc>
          <w:tcPr>
            <w:tcW w:w="2978" w:type="pct"/>
            <w:tcBorders>
              <w:top w:val="nil"/>
              <w:left w:val="nil"/>
              <w:bottom w:val="nil"/>
              <w:right w:val="nil"/>
            </w:tcBorders>
            <w:noWrap/>
            <w:vAlign w:val="bottom"/>
          </w:tcPr>
          <w:p w14:paraId="60D68F8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3</w:t>
            </w:r>
          </w:p>
        </w:tc>
        <w:tc>
          <w:tcPr>
            <w:tcW w:w="1011" w:type="pct"/>
            <w:tcBorders>
              <w:top w:val="nil"/>
              <w:left w:val="nil"/>
              <w:bottom w:val="nil"/>
              <w:right w:val="nil"/>
            </w:tcBorders>
            <w:noWrap/>
            <w:vAlign w:val="bottom"/>
          </w:tcPr>
          <w:p w14:paraId="224E18D9"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74</w:t>
            </w:r>
          </w:p>
        </w:tc>
        <w:tc>
          <w:tcPr>
            <w:tcW w:w="1011" w:type="pct"/>
            <w:tcBorders>
              <w:top w:val="nil"/>
              <w:left w:val="nil"/>
              <w:bottom w:val="nil"/>
              <w:right w:val="nil"/>
            </w:tcBorders>
            <w:noWrap/>
            <w:vAlign w:val="bottom"/>
          </w:tcPr>
          <w:p w14:paraId="291C03A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33.20</w:t>
            </w:r>
          </w:p>
        </w:tc>
      </w:tr>
      <w:tr w:rsidR="005026A0" w:rsidRPr="00CA0589" w14:paraId="0F7C7976" w14:textId="77777777" w:rsidTr="00552620">
        <w:trPr>
          <w:trHeight w:val="296"/>
        </w:trPr>
        <w:tc>
          <w:tcPr>
            <w:tcW w:w="5000" w:type="pct"/>
            <w:gridSpan w:val="3"/>
            <w:tcBorders>
              <w:top w:val="nil"/>
              <w:left w:val="nil"/>
              <w:bottom w:val="nil"/>
              <w:right w:val="nil"/>
            </w:tcBorders>
            <w:noWrap/>
            <w:vAlign w:val="bottom"/>
          </w:tcPr>
          <w:p w14:paraId="361645B1"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Marital status</w:t>
            </w:r>
          </w:p>
        </w:tc>
      </w:tr>
      <w:tr w:rsidR="005026A0" w:rsidRPr="00CA0589" w14:paraId="4CAF8B0C" w14:textId="77777777" w:rsidTr="00552620">
        <w:trPr>
          <w:trHeight w:val="296"/>
        </w:trPr>
        <w:tc>
          <w:tcPr>
            <w:tcW w:w="2978" w:type="pct"/>
            <w:tcBorders>
              <w:top w:val="nil"/>
              <w:left w:val="nil"/>
              <w:bottom w:val="nil"/>
              <w:right w:val="nil"/>
            </w:tcBorders>
            <w:noWrap/>
            <w:vAlign w:val="bottom"/>
          </w:tcPr>
          <w:p w14:paraId="354C556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Single</w:t>
            </w:r>
          </w:p>
        </w:tc>
        <w:tc>
          <w:tcPr>
            <w:tcW w:w="1011" w:type="pct"/>
            <w:tcBorders>
              <w:top w:val="nil"/>
              <w:left w:val="nil"/>
              <w:bottom w:val="nil"/>
              <w:right w:val="nil"/>
            </w:tcBorders>
            <w:noWrap/>
            <w:vAlign w:val="bottom"/>
          </w:tcPr>
          <w:p w14:paraId="4C74E00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30</w:t>
            </w:r>
          </w:p>
        </w:tc>
        <w:tc>
          <w:tcPr>
            <w:tcW w:w="1011" w:type="pct"/>
            <w:tcBorders>
              <w:top w:val="nil"/>
              <w:left w:val="nil"/>
              <w:bottom w:val="nil"/>
              <w:right w:val="nil"/>
            </w:tcBorders>
            <w:noWrap/>
            <w:vAlign w:val="bottom"/>
          </w:tcPr>
          <w:p w14:paraId="3AC257D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13.5</w:t>
            </w:r>
          </w:p>
        </w:tc>
      </w:tr>
      <w:tr w:rsidR="005026A0" w:rsidRPr="00CA0589" w14:paraId="6C8FEF9F" w14:textId="77777777" w:rsidTr="00552620">
        <w:trPr>
          <w:trHeight w:val="296"/>
        </w:trPr>
        <w:tc>
          <w:tcPr>
            <w:tcW w:w="2978" w:type="pct"/>
            <w:tcBorders>
              <w:top w:val="nil"/>
              <w:left w:val="nil"/>
              <w:bottom w:val="nil"/>
              <w:right w:val="nil"/>
            </w:tcBorders>
            <w:noWrap/>
            <w:vAlign w:val="bottom"/>
          </w:tcPr>
          <w:p w14:paraId="057625F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Married</w:t>
            </w:r>
          </w:p>
        </w:tc>
        <w:tc>
          <w:tcPr>
            <w:tcW w:w="1011" w:type="pct"/>
            <w:tcBorders>
              <w:top w:val="nil"/>
              <w:left w:val="nil"/>
              <w:bottom w:val="nil"/>
              <w:right w:val="nil"/>
            </w:tcBorders>
            <w:noWrap/>
            <w:vAlign w:val="bottom"/>
          </w:tcPr>
          <w:p w14:paraId="209AA5E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193</w:t>
            </w:r>
          </w:p>
        </w:tc>
        <w:tc>
          <w:tcPr>
            <w:tcW w:w="1011" w:type="pct"/>
            <w:tcBorders>
              <w:top w:val="nil"/>
              <w:left w:val="nil"/>
              <w:bottom w:val="nil"/>
              <w:right w:val="nil"/>
            </w:tcBorders>
            <w:noWrap/>
            <w:vAlign w:val="bottom"/>
          </w:tcPr>
          <w:p w14:paraId="67DB8BD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86.50</w:t>
            </w:r>
          </w:p>
        </w:tc>
      </w:tr>
      <w:tr w:rsidR="005026A0" w:rsidRPr="00CA0589" w14:paraId="3EB6765C" w14:textId="77777777" w:rsidTr="00552620">
        <w:trPr>
          <w:trHeight w:val="296"/>
        </w:trPr>
        <w:tc>
          <w:tcPr>
            <w:tcW w:w="5000" w:type="pct"/>
            <w:gridSpan w:val="3"/>
            <w:tcBorders>
              <w:top w:val="nil"/>
              <w:left w:val="nil"/>
              <w:bottom w:val="nil"/>
              <w:right w:val="nil"/>
            </w:tcBorders>
            <w:noWrap/>
            <w:vAlign w:val="bottom"/>
          </w:tcPr>
          <w:p w14:paraId="68E89C06"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Income (monthly)</w:t>
            </w:r>
          </w:p>
        </w:tc>
      </w:tr>
      <w:tr w:rsidR="005026A0" w:rsidRPr="00CA0589" w14:paraId="468F7A92" w14:textId="77777777" w:rsidTr="00552620">
        <w:trPr>
          <w:trHeight w:val="296"/>
        </w:trPr>
        <w:tc>
          <w:tcPr>
            <w:tcW w:w="2978" w:type="pct"/>
            <w:tcBorders>
              <w:top w:val="nil"/>
              <w:left w:val="nil"/>
              <w:bottom w:val="nil"/>
              <w:right w:val="nil"/>
            </w:tcBorders>
            <w:noWrap/>
            <w:vAlign w:val="bottom"/>
          </w:tcPr>
          <w:p w14:paraId="78E77BA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Less than 500,000 TZS</w:t>
            </w:r>
          </w:p>
        </w:tc>
        <w:tc>
          <w:tcPr>
            <w:tcW w:w="1011" w:type="pct"/>
            <w:tcBorders>
              <w:top w:val="nil"/>
              <w:left w:val="nil"/>
              <w:bottom w:val="nil"/>
              <w:right w:val="nil"/>
            </w:tcBorders>
            <w:noWrap/>
            <w:vAlign w:val="bottom"/>
          </w:tcPr>
          <w:p w14:paraId="637F22B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69</w:t>
            </w:r>
          </w:p>
        </w:tc>
        <w:tc>
          <w:tcPr>
            <w:tcW w:w="1011" w:type="pct"/>
            <w:tcBorders>
              <w:top w:val="nil"/>
              <w:left w:val="nil"/>
              <w:bottom w:val="nil"/>
              <w:right w:val="nil"/>
            </w:tcBorders>
            <w:noWrap/>
            <w:vAlign w:val="bottom"/>
          </w:tcPr>
          <w:p w14:paraId="1F637BC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30.90</w:t>
            </w:r>
          </w:p>
        </w:tc>
      </w:tr>
      <w:tr w:rsidR="005026A0" w:rsidRPr="00CA0589" w14:paraId="5D200EA6" w14:textId="77777777" w:rsidTr="00552620">
        <w:trPr>
          <w:trHeight w:val="296"/>
        </w:trPr>
        <w:tc>
          <w:tcPr>
            <w:tcW w:w="2978" w:type="pct"/>
            <w:tcBorders>
              <w:top w:val="nil"/>
              <w:left w:val="nil"/>
              <w:bottom w:val="nil"/>
              <w:right w:val="nil"/>
            </w:tcBorders>
            <w:noWrap/>
            <w:vAlign w:val="bottom"/>
          </w:tcPr>
          <w:p w14:paraId="095E1C9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1,000,000 - 2,000,000 TZS</w:t>
            </w:r>
          </w:p>
        </w:tc>
        <w:tc>
          <w:tcPr>
            <w:tcW w:w="1011" w:type="pct"/>
            <w:tcBorders>
              <w:top w:val="nil"/>
              <w:left w:val="nil"/>
              <w:bottom w:val="nil"/>
              <w:right w:val="nil"/>
            </w:tcBorders>
            <w:noWrap/>
            <w:vAlign w:val="bottom"/>
          </w:tcPr>
          <w:p w14:paraId="7A7C8A4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52</w:t>
            </w:r>
          </w:p>
        </w:tc>
        <w:tc>
          <w:tcPr>
            <w:tcW w:w="1011" w:type="pct"/>
            <w:tcBorders>
              <w:top w:val="nil"/>
              <w:left w:val="nil"/>
              <w:bottom w:val="nil"/>
              <w:right w:val="nil"/>
            </w:tcBorders>
            <w:noWrap/>
            <w:vAlign w:val="bottom"/>
          </w:tcPr>
          <w:p w14:paraId="16D0A39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23.30</w:t>
            </w:r>
          </w:p>
        </w:tc>
      </w:tr>
      <w:tr w:rsidR="005026A0" w:rsidRPr="00CA0589" w14:paraId="379D5C16" w14:textId="77777777" w:rsidTr="00552620">
        <w:trPr>
          <w:trHeight w:val="296"/>
        </w:trPr>
        <w:tc>
          <w:tcPr>
            <w:tcW w:w="2978" w:type="pct"/>
            <w:tcBorders>
              <w:top w:val="nil"/>
              <w:left w:val="nil"/>
              <w:bottom w:val="nil"/>
              <w:right w:val="nil"/>
            </w:tcBorders>
            <w:noWrap/>
            <w:vAlign w:val="bottom"/>
          </w:tcPr>
          <w:p w14:paraId="31DEE4C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2,000,000 - 5,000,000 TZS</w:t>
            </w:r>
          </w:p>
        </w:tc>
        <w:tc>
          <w:tcPr>
            <w:tcW w:w="1011" w:type="pct"/>
            <w:tcBorders>
              <w:top w:val="nil"/>
              <w:left w:val="nil"/>
              <w:bottom w:val="nil"/>
              <w:right w:val="nil"/>
            </w:tcBorders>
            <w:noWrap/>
            <w:vAlign w:val="bottom"/>
          </w:tcPr>
          <w:p w14:paraId="4EFA698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42</w:t>
            </w:r>
          </w:p>
        </w:tc>
        <w:tc>
          <w:tcPr>
            <w:tcW w:w="1011" w:type="pct"/>
            <w:tcBorders>
              <w:top w:val="nil"/>
              <w:left w:val="nil"/>
              <w:bottom w:val="nil"/>
              <w:right w:val="nil"/>
            </w:tcBorders>
            <w:noWrap/>
            <w:vAlign w:val="bottom"/>
          </w:tcPr>
          <w:p w14:paraId="77B00AD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18.80</w:t>
            </w:r>
          </w:p>
        </w:tc>
      </w:tr>
      <w:tr w:rsidR="005026A0" w:rsidRPr="00CA0589" w14:paraId="5815BD7F" w14:textId="77777777" w:rsidTr="00552620">
        <w:trPr>
          <w:trHeight w:val="296"/>
        </w:trPr>
        <w:tc>
          <w:tcPr>
            <w:tcW w:w="2978" w:type="pct"/>
            <w:tcBorders>
              <w:top w:val="nil"/>
              <w:left w:val="nil"/>
              <w:bottom w:val="nil"/>
              <w:right w:val="nil"/>
            </w:tcBorders>
            <w:noWrap/>
            <w:vAlign w:val="bottom"/>
          </w:tcPr>
          <w:p w14:paraId="2AE27A7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500,000 - 1,000,000 TZS</w:t>
            </w:r>
          </w:p>
        </w:tc>
        <w:tc>
          <w:tcPr>
            <w:tcW w:w="1011" w:type="pct"/>
            <w:tcBorders>
              <w:top w:val="nil"/>
              <w:left w:val="nil"/>
              <w:bottom w:val="nil"/>
              <w:right w:val="nil"/>
            </w:tcBorders>
            <w:noWrap/>
            <w:vAlign w:val="bottom"/>
          </w:tcPr>
          <w:p w14:paraId="4D80926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52</w:t>
            </w:r>
          </w:p>
        </w:tc>
        <w:tc>
          <w:tcPr>
            <w:tcW w:w="1011" w:type="pct"/>
            <w:tcBorders>
              <w:top w:val="nil"/>
              <w:left w:val="nil"/>
              <w:bottom w:val="nil"/>
              <w:right w:val="nil"/>
            </w:tcBorders>
            <w:noWrap/>
            <w:vAlign w:val="bottom"/>
          </w:tcPr>
          <w:p w14:paraId="587D4039"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23.30</w:t>
            </w:r>
          </w:p>
        </w:tc>
      </w:tr>
      <w:tr w:rsidR="005026A0" w:rsidRPr="00CA0589" w14:paraId="55EC1EF2" w14:textId="77777777" w:rsidTr="00552620">
        <w:trPr>
          <w:trHeight w:val="296"/>
        </w:trPr>
        <w:tc>
          <w:tcPr>
            <w:tcW w:w="2978" w:type="pct"/>
            <w:tcBorders>
              <w:top w:val="nil"/>
              <w:left w:val="nil"/>
              <w:bottom w:val="nil"/>
              <w:right w:val="nil"/>
            </w:tcBorders>
            <w:noWrap/>
            <w:vAlign w:val="bottom"/>
          </w:tcPr>
          <w:p w14:paraId="5513957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More than 5,000,000 TZS</w:t>
            </w:r>
          </w:p>
        </w:tc>
        <w:tc>
          <w:tcPr>
            <w:tcW w:w="1011" w:type="pct"/>
            <w:tcBorders>
              <w:top w:val="nil"/>
              <w:left w:val="nil"/>
              <w:bottom w:val="nil"/>
              <w:right w:val="nil"/>
            </w:tcBorders>
            <w:noWrap/>
            <w:vAlign w:val="bottom"/>
          </w:tcPr>
          <w:p w14:paraId="6B59D86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w:t>
            </w:r>
          </w:p>
        </w:tc>
        <w:tc>
          <w:tcPr>
            <w:tcW w:w="1011" w:type="pct"/>
            <w:tcBorders>
              <w:top w:val="nil"/>
              <w:left w:val="nil"/>
              <w:bottom w:val="nil"/>
              <w:right w:val="nil"/>
            </w:tcBorders>
            <w:noWrap/>
            <w:vAlign w:val="bottom"/>
          </w:tcPr>
          <w:p w14:paraId="70CF25D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3.60</w:t>
            </w:r>
          </w:p>
        </w:tc>
      </w:tr>
      <w:tr w:rsidR="005026A0" w:rsidRPr="00CA0589" w14:paraId="70A5171C" w14:textId="77777777" w:rsidTr="00552620">
        <w:trPr>
          <w:trHeight w:val="296"/>
        </w:trPr>
        <w:tc>
          <w:tcPr>
            <w:tcW w:w="5000" w:type="pct"/>
            <w:gridSpan w:val="3"/>
            <w:tcBorders>
              <w:top w:val="nil"/>
              <w:left w:val="nil"/>
              <w:bottom w:val="nil"/>
              <w:right w:val="nil"/>
            </w:tcBorders>
            <w:noWrap/>
            <w:vAlign w:val="bottom"/>
          </w:tcPr>
          <w:p w14:paraId="5E6C0267"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Type of business</w:t>
            </w:r>
          </w:p>
        </w:tc>
      </w:tr>
      <w:tr w:rsidR="005026A0" w:rsidRPr="00CA0589" w14:paraId="7F60E067" w14:textId="77777777" w:rsidTr="00552620">
        <w:trPr>
          <w:trHeight w:val="296"/>
        </w:trPr>
        <w:tc>
          <w:tcPr>
            <w:tcW w:w="2978" w:type="pct"/>
            <w:tcBorders>
              <w:top w:val="nil"/>
              <w:left w:val="nil"/>
              <w:bottom w:val="nil"/>
              <w:right w:val="nil"/>
            </w:tcBorders>
            <w:noWrap/>
            <w:vAlign w:val="bottom"/>
          </w:tcPr>
          <w:p w14:paraId="08748A6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Agricultural produce trader</w:t>
            </w:r>
          </w:p>
        </w:tc>
        <w:tc>
          <w:tcPr>
            <w:tcW w:w="1011" w:type="pct"/>
            <w:tcBorders>
              <w:top w:val="nil"/>
              <w:left w:val="nil"/>
              <w:bottom w:val="nil"/>
              <w:right w:val="nil"/>
            </w:tcBorders>
            <w:noWrap/>
            <w:vAlign w:val="bottom"/>
          </w:tcPr>
          <w:p w14:paraId="79ED72CB"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45</w:t>
            </w:r>
          </w:p>
        </w:tc>
        <w:tc>
          <w:tcPr>
            <w:tcW w:w="1011" w:type="pct"/>
            <w:tcBorders>
              <w:top w:val="nil"/>
              <w:left w:val="nil"/>
              <w:bottom w:val="nil"/>
              <w:right w:val="nil"/>
            </w:tcBorders>
            <w:noWrap/>
            <w:vAlign w:val="bottom"/>
          </w:tcPr>
          <w:p w14:paraId="2559C17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20.20</w:t>
            </w:r>
          </w:p>
        </w:tc>
      </w:tr>
      <w:tr w:rsidR="005026A0" w:rsidRPr="00CA0589" w14:paraId="3D90A408" w14:textId="77777777" w:rsidTr="00552620">
        <w:trPr>
          <w:trHeight w:val="296"/>
        </w:trPr>
        <w:tc>
          <w:tcPr>
            <w:tcW w:w="2978" w:type="pct"/>
            <w:tcBorders>
              <w:top w:val="nil"/>
              <w:left w:val="nil"/>
              <w:bottom w:val="nil"/>
              <w:right w:val="nil"/>
            </w:tcBorders>
            <w:noWrap/>
            <w:vAlign w:val="bottom"/>
          </w:tcPr>
          <w:p w14:paraId="428DC34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Shopkeepers</w:t>
            </w:r>
          </w:p>
        </w:tc>
        <w:tc>
          <w:tcPr>
            <w:tcW w:w="1011" w:type="pct"/>
            <w:tcBorders>
              <w:top w:val="nil"/>
              <w:left w:val="nil"/>
              <w:bottom w:val="nil"/>
              <w:right w:val="nil"/>
            </w:tcBorders>
            <w:noWrap/>
            <w:vAlign w:val="bottom"/>
          </w:tcPr>
          <w:p w14:paraId="53888DE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168</w:t>
            </w:r>
          </w:p>
        </w:tc>
        <w:tc>
          <w:tcPr>
            <w:tcW w:w="1011" w:type="pct"/>
            <w:tcBorders>
              <w:top w:val="nil"/>
              <w:left w:val="nil"/>
              <w:bottom w:val="nil"/>
              <w:right w:val="nil"/>
            </w:tcBorders>
            <w:noWrap/>
            <w:vAlign w:val="bottom"/>
          </w:tcPr>
          <w:p w14:paraId="38B9737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75.30</w:t>
            </w:r>
          </w:p>
        </w:tc>
      </w:tr>
      <w:tr w:rsidR="005026A0" w:rsidRPr="00CA0589" w14:paraId="6E363264" w14:textId="77777777" w:rsidTr="00552620">
        <w:trPr>
          <w:trHeight w:val="296"/>
        </w:trPr>
        <w:tc>
          <w:tcPr>
            <w:tcW w:w="2978" w:type="pct"/>
            <w:tcBorders>
              <w:top w:val="nil"/>
              <w:left w:val="nil"/>
              <w:bottom w:val="nil"/>
              <w:right w:val="nil"/>
            </w:tcBorders>
            <w:noWrap/>
            <w:vAlign w:val="bottom"/>
          </w:tcPr>
          <w:p w14:paraId="70F19906" w14:textId="3A42F9AF" w:rsidR="005026A0" w:rsidRPr="00CA0589" w:rsidRDefault="00552620" w:rsidP="00CA0589">
            <w:pPr>
              <w:jc w:val="both"/>
              <w:rPr>
                <w:rFonts w:ascii="Arial" w:eastAsia="Times New Roman" w:hAnsi="Arial" w:cs="Arial"/>
                <w:color w:val="000000" w:themeColor="text1"/>
                <w:sz w:val="22"/>
                <w:szCs w:val="22"/>
              </w:rPr>
            </w:pPr>
            <w:r w:rsidRPr="00626A92">
              <w:rPr>
                <w:rFonts w:ascii="Arial" w:eastAsia="Times New Roman" w:hAnsi="Arial" w:cs="Arial"/>
                <w:color w:val="000000" w:themeColor="text1"/>
                <w:sz w:val="22"/>
                <w:szCs w:val="22"/>
              </w:rPr>
              <w:t>R</w:t>
            </w:r>
            <w:r w:rsidR="005026A0" w:rsidRPr="00626A92">
              <w:rPr>
                <w:rFonts w:ascii="Arial" w:eastAsia="Times New Roman" w:hAnsi="Arial" w:cs="Arial"/>
                <w:color w:val="000000" w:themeColor="text1"/>
                <w:sz w:val="22"/>
                <w:szCs w:val="22"/>
              </w:rPr>
              <w:t>estaurant operators</w:t>
            </w:r>
          </w:p>
        </w:tc>
        <w:tc>
          <w:tcPr>
            <w:tcW w:w="1011" w:type="pct"/>
            <w:tcBorders>
              <w:top w:val="nil"/>
              <w:left w:val="nil"/>
              <w:bottom w:val="nil"/>
              <w:right w:val="nil"/>
            </w:tcBorders>
            <w:noWrap/>
            <w:vAlign w:val="bottom"/>
          </w:tcPr>
          <w:p w14:paraId="7F887E6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10</w:t>
            </w:r>
          </w:p>
        </w:tc>
        <w:tc>
          <w:tcPr>
            <w:tcW w:w="1011" w:type="pct"/>
            <w:tcBorders>
              <w:top w:val="nil"/>
              <w:left w:val="nil"/>
              <w:bottom w:val="nil"/>
              <w:right w:val="nil"/>
            </w:tcBorders>
            <w:noWrap/>
            <w:vAlign w:val="bottom"/>
          </w:tcPr>
          <w:p w14:paraId="32652B2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4.50</w:t>
            </w:r>
          </w:p>
        </w:tc>
      </w:tr>
      <w:tr w:rsidR="005026A0" w:rsidRPr="00CA0589" w14:paraId="7059D8B5" w14:textId="77777777" w:rsidTr="00552620">
        <w:trPr>
          <w:trHeight w:val="296"/>
        </w:trPr>
        <w:tc>
          <w:tcPr>
            <w:tcW w:w="5000" w:type="pct"/>
            <w:gridSpan w:val="3"/>
            <w:tcBorders>
              <w:top w:val="nil"/>
              <w:left w:val="nil"/>
              <w:bottom w:val="nil"/>
              <w:right w:val="nil"/>
            </w:tcBorders>
            <w:noWrap/>
            <w:vAlign w:val="bottom"/>
          </w:tcPr>
          <w:p w14:paraId="30380663"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Family size (number of children)</w:t>
            </w:r>
          </w:p>
        </w:tc>
      </w:tr>
      <w:tr w:rsidR="005026A0" w:rsidRPr="00CA0589" w14:paraId="0C83E492" w14:textId="77777777" w:rsidTr="00552620">
        <w:trPr>
          <w:trHeight w:val="296"/>
        </w:trPr>
        <w:tc>
          <w:tcPr>
            <w:tcW w:w="2978" w:type="pct"/>
            <w:tcBorders>
              <w:top w:val="nil"/>
              <w:left w:val="nil"/>
              <w:bottom w:val="nil"/>
              <w:right w:val="nil"/>
            </w:tcBorders>
            <w:noWrap/>
            <w:vAlign w:val="bottom"/>
          </w:tcPr>
          <w:p w14:paraId="41DB824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Less than 4</w:t>
            </w:r>
          </w:p>
        </w:tc>
        <w:tc>
          <w:tcPr>
            <w:tcW w:w="1011" w:type="pct"/>
            <w:tcBorders>
              <w:top w:val="nil"/>
              <w:left w:val="nil"/>
              <w:bottom w:val="nil"/>
              <w:right w:val="nil"/>
            </w:tcBorders>
            <w:noWrap/>
            <w:vAlign w:val="bottom"/>
          </w:tcPr>
          <w:p w14:paraId="1D22A93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135</w:t>
            </w:r>
          </w:p>
        </w:tc>
        <w:tc>
          <w:tcPr>
            <w:tcW w:w="1011" w:type="pct"/>
            <w:tcBorders>
              <w:top w:val="nil"/>
              <w:left w:val="nil"/>
              <w:bottom w:val="nil"/>
              <w:right w:val="nil"/>
            </w:tcBorders>
            <w:noWrap/>
            <w:vAlign w:val="bottom"/>
          </w:tcPr>
          <w:p w14:paraId="55C1F29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60.50</w:t>
            </w:r>
          </w:p>
        </w:tc>
      </w:tr>
      <w:tr w:rsidR="005026A0" w:rsidRPr="00CA0589" w14:paraId="75CF8908" w14:textId="77777777" w:rsidTr="00552620">
        <w:trPr>
          <w:trHeight w:val="296"/>
        </w:trPr>
        <w:tc>
          <w:tcPr>
            <w:tcW w:w="2978" w:type="pct"/>
            <w:tcBorders>
              <w:top w:val="nil"/>
              <w:left w:val="nil"/>
              <w:bottom w:val="single" w:sz="4" w:space="0" w:color="auto"/>
              <w:right w:val="nil"/>
            </w:tcBorders>
            <w:noWrap/>
            <w:vAlign w:val="bottom"/>
          </w:tcPr>
          <w:p w14:paraId="3AE46F7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More than 4</w:t>
            </w:r>
          </w:p>
        </w:tc>
        <w:tc>
          <w:tcPr>
            <w:tcW w:w="1011" w:type="pct"/>
            <w:tcBorders>
              <w:top w:val="nil"/>
              <w:left w:val="nil"/>
              <w:bottom w:val="single" w:sz="4" w:space="0" w:color="auto"/>
              <w:right w:val="nil"/>
            </w:tcBorders>
            <w:noWrap/>
            <w:vAlign w:val="bottom"/>
          </w:tcPr>
          <w:p w14:paraId="6895B59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88</w:t>
            </w:r>
          </w:p>
        </w:tc>
        <w:tc>
          <w:tcPr>
            <w:tcW w:w="1011" w:type="pct"/>
            <w:tcBorders>
              <w:top w:val="nil"/>
              <w:left w:val="nil"/>
              <w:bottom w:val="single" w:sz="4" w:space="0" w:color="auto"/>
              <w:right w:val="nil"/>
            </w:tcBorders>
            <w:noWrap/>
            <w:vAlign w:val="bottom"/>
          </w:tcPr>
          <w:p w14:paraId="5264885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39.50</w:t>
            </w:r>
          </w:p>
        </w:tc>
      </w:tr>
    </w:tbl>
    <w:p w14:paraId="35C8FBC8" w14:textId="77777777" w:rsidR="005026A0" w:rsidRPr="00CA0589" w:rsidRDefault="005026A0" w:rsidP="00CA0589">
      <w:pPr>
        <w:spacing w:line="276" w:lineRule="auto"/>
        <w:jc w:val="both"/>
        <w:rPr>
          <w:rFonts w:ascii="Arial" w:hAnsi="Arial" w:cs="Arial"/>
          <w:sz w:val="22"/>
          <w:szCs w:val="22"/>
        </w:rPr>
      </w:pPr>
    </w:p>
    <w:p w14:paraId="7A6FF581"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3.2</w:t>
      </w:r>
      <w:r w:rsidR="00CA0589">
        <w:rPr>
          <w:rFonts w:ascii="Arial" w:hAnsi="Arial" w:cs="Arial"/>
          <w:b/>
          <w:sz w:val="22"/>
          <w:szCs w:val="22"/>
        </w:rPr>
        <w:tab/>
      </w:r>
      <w:r w:rsidRPr="00CA0589">
        <w:rPr>
          <w:rFonts w:ascii="Arial" w:hAnsi="Arial" w:cs="Arial"/>
          <w:b/>
          <w:sz w:val="22"/>
          <w:szCs w:val="22"/>
        </w:rPr>
        <w:t>Food group Consumption</w:t>
      </w:r>
    </w:p>
    <w:p w14:paraId="342A4B80"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majority of participants reported high consumption of starchy staples at both baseline 70.8% (n=158) and endline 86.1% (n=193). The consumption of other fruits was relatively low at baseline 16.2% (n=36) but showed a notable increased by endline 57.9% (n=129). This indicated that their diets heavily relied on starch staples and very few respondents reported frequent or near daily consumption of nutrient rich food categories such as milk and milk products, legumes, meat, poultry and fish.</w:t>
      </w:r>
    </w:p>
    <w:p w14:paraId="559F4E3B" w14:textId="77777777" w:rsidR="005026A0" w:rsidRPr="00CA0589" w:rsidRDefault="005026A0" w:rsidP="00CA0589">
      <w:pPr>
        <w:spacing w:line="276" w:lineRule="auto"/>
        <w:jc w:val="both"/>
        <w:rPr>
          <w:rFonts w:ascii="Arial" w:hAnsi="Arial" w:cs="Arial"/>
          <w:sz w:val="22"/>
          <w:szCs w:val="22"/>
        </w:rPr>
      </w:pPr>
    </w:p>
    <w:p w14:paraId="5B891A61" w14:textId="77777777" w:rsidR="005026A0" w:rsidRPr="00CA0589" w:rsidRDefault="005026A0" w:rsidP="00CA0589">
      <w:pPr>
        <w:spacing w:line="276" w:lineRule="auto"/>
        <w:jc w:val="both"/>
        <w:rPr>
          <w:rFonts w:ascii="Arial" w:hAnsi="Arial" w:cs="Arial"/>
          <w:sz w:val="22"/>
          <w:szCs w:val="22"/>
        </w:rPr>
      </w:pPr>
    </w:p>
    <w:p w14:paraId="35C5D920" w14:textId="77777777" w:rsidR="005026A0" w:rsidRPr="00CA0589" w:rsidRDefault="005026A0" w:rsidP="00CA0589">
      <w:pPr>
        <w:spacing w:line="276" w:lineRule="auto"/>
        <w:jc w:val="both"/>
        <w:rPr>
          <w:rFonts w:ascii="Arial" w:hAnsi="Arial" w:cs="Arial"/>
          <w:sz w:val="22"/>
          <w:szCs w:val="22"/>
        </w:rPr>
      </w:pPr>
    </w:p>
    <w:p w14:paraId="02276AF5" w14:textId="77777777" w:rsidR="005026A0" w:rsidRPr="00CA0589" w:rsidRDefault="005026A0" w:rsidP="00CA0589">
      <w:pPr>
        <w:spacing w:line="276" w:lineRule="auto"/>
        <w:jc w:val="both"/>
        <w:rPr>
          <w:rFonts w:ascii="Arial" w:hAnsi="Arial" w:cs="Arial"/>
          <w:sz w:val="22"/>
          <w:szCs w:val="22"/>
        </w:rPr>
      </w:pPr>
    </w:p>
    <w:p w14:paraId="3D3EF3AC" w14:textId="77777777" w:rsidR="005026A0" w:rsidRPr="00CA0589" w:rsidRDefault="005026A0" w:rsidP="00CA0589">
      <w:pPr>
        <w:spacing w:line="276" w:lineRule="auto"/>
        <w:jc w:val="both"/>
        <w:rPr>
          <w:rFonts w:ascii="Arial" w:hAnsi="Arial" w:cs="Arial"/>
          <w:sz w:val="22"/>
          <w:szCs w:val="22"/>
        </w:rPr>
      </w:pPr>
    </w:p>
    <w:p w14:paraId="3316EFF2" w14:textId="77777777" w:rsidR="005026A0" w:rsidRPr="00CA0589" w:rsidRDefault="005026A0" w:rsidP="00CA0589">
      <w:pPr>
        <w:spacing w:line="276" w:lineRule="auto"/>
        <w:jc w:val="center"/>
        <w:rPr>
          <w:rFonts w:ascii="Arial" w:hAnsi="Arial" w:cs="Arial"/>
          <w:sz w:val="22"/>
          <w:szCs w:val="22"/>
        </w:rPr>
      </w:pPr>
      <w:r w:rsidRPr="00CA0589">
        <w:rPr>
          <w:rFonts w:ascii="Arial" w:hAnsi="Arial" w:cs="Arial"/>
          <w:noProof/>
          <w:sz w:val="22"/>
          <w:szCs w:val="22"/>
        </w:rPr>
        <w:lastRenderedPageBreak/>
        <w:drawing>
          <wp:inline distT="0" distB="0" distL="0" distR="0" wp14:anchorId="5B0AAB60" wp14:editId="435D6A07">
            <wp:extent cx="5718810" cy="30238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8810" cy="3023870"/>
                    </a:xfrm>
                    <a:prstGeom prst="rect">
                      <a:avLst/>
                    </a:prstGeom>
                    <a:noFill/>
                  </pic:spPr>
                </pic:pic>
              </a:graphicData>
            </a:graphic>
          </wp:inline>
        </w:drawing>
      </w:r>
    </w:p>
    <w:p w14:paraId="11FFD4F5" w14:textId="77777777" w:rsidR="005026A0" w:rsidRPr="00CA0589" w:rsidRDefault="005026A0" w:rsidP="00CA0589">
      <w:pPr>
        <w:spacing w:line="276" w:lineRule="auto"/>
        <w:jc w:val="center"/>
        <w:rPr>
          <w:rFonts w:ascii="Arial" w:hAnsi="Arial" w:cs="Arial"/>
          <w:b/>
          <w:sz w:val="22"/>
          <w:szCs w:val="22"/>
        </w:rPr>
      </w:pPr>
      <w:r w:rsidRPr="00CA0589">
        <w:rPr>
          <w:rFonts w:ascii="Arial" w:hAnsi="Arial" w:cs="Arial"/>
          <w:b/>
          <w:sz w:val="22"/>
          <w:szCs w:val="22"/>
        </w:rPr>
        <w:t>Figure 2: Frequency of food group consumption</w:t>
      </w:r>
    </w:p>
    <w:p w14:paraId="1E997DC4" w14:textId="77777777" w:rsidR="005026A0" w:rsidRPr="00CA0589" w:rsidRDefault="005026A0" w:rsidP="00CA0589">
      <w:pPr>
        <w:spacing w:line="276" w:lineRule="auto"/>
        <w:jc w:val="both"/>
        <w:rPr>
          <w:rFonts w:ascii="Arial" w:hAnsi="Arial" w:cs="Arial"/>
          <w:sz w:val="22"/>
          <w:szCs w:val="22"/>
        </w:rPr>
      </w:pPr>
    </w:p>
    <w:p w14:paraId="017A9BFA"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3.3</w:t>
      </w:r>
      <w:r w:rsidR="00CA0589">
        <w:rPr>
          <w:rFonts w:ascii="Arial" w:hAnsi="Arial" w:cs="Arial"/>
          <w:b/>
          <w:sz w:val="22"/>
          <w:szCs w:val="22"/>
        </w:rPr>
        <w:tab/>
      </w:r>
      <w:r w:rsidRPr="00CA0589">
        <w:rPr>
          <w:rFonts w:ascii="Arial" w:hAnsi="Arial" w:cs="Arial"/>
          <w:b/>
          <w:sz w:val="22"/>
          <w:szCs w:val="22"/>
        </w:rPr>
        <w:t>Dietary Diversity Score.</w:t>
      </w:r>
    </w:p>
    <w:p w14:paraId="57BE7C24"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present study </w:t>
      </w:r>
      <w:proofErr w:type="gramStart"/>
      <w:r w:rsidRPr="00CA0589">
        <w:rPr>
          <w:rFonts w:ascii="Arial" w:hAnsi="Arial" w:cs="Arial"/>
          <w:sz w:val="22"/>
          <w:szCs w:val="22"/>
        </w:rPr>
        <w:t>show</w:t>
      </w:r>
      <w:proofErr w:type="gramEnd"/>
      <w:r w:rsidRPr="00CA0589">
        <w:rPr>
          <w:rFonts w:ascii="Arial" w:hAnsi="Arial" w:cs="Arial"/>
          <w:sz w:val="22"/>
          <w:szCs w:val="22"/>
        </w:rPr>
        <w:t xml:space="preserve"> that at baseline more than half of pregnant business women 55.6% (n=124) had inadequate dietary diversity while 44.4% (n=99) had adequate dietary diversity. At the endline there was improved with the proportion of women exhibiting adequate dietary diversity increasing to 65.5% (n=146) and decreasing inadequate dietary diversity 34.5% (n=77).</w:t>
      </w:r>
    </w:p>
    <w:p w14:paraId="41AD655E" w14:textId="77777777" w:rsidR="005026A0" w:rsidRPr="00CA0589" w:rsidRDefault="005026A0" w:rsidP="00CA0589">
      <w:pPr>
        <w:spacing w:line="276" w:lineRule="auto"/>
        <w:jc w:val="both"/>
        <w:rPr>
          <w:rFonts w:ascii="Arial" w:hAnsi="Arial" w:cs="Arial"/>
          <w:sz w:val="22"/>
          <w:szCs w:val="22"/>
        </w:rPr>
      </w:pPr>
    </w:p>
    <w:p w14:paraId="3416A8DB" w14:textId="77777777" w:rsidR="005026A0" w:rsidRPr="00CA0589" w:rsidRDefault="005026A0" w:rsidP="00CA0589">
      <w:pPr>
        <w:spacing w:line="276" w:lineRule="auto"/>
        <w:jc w:val="center"/>
        <w:rPr>
          <w:rFonts w:ascii="Arial" w:hAnsi="Arial" w:cs="Arial"/>
          <w:sz w:val="22"/>
          <w:szCs w:val="22"/>
        </w:rPr>
      </w:pPr>
      <w:r w:rsidRPr="00CA0589">
        <w:rPr>
          <w:rFonts w:ascii="Arial" w:hAnsi="Arial" w:cs="Arial"/>
          <w:noProof/>
          <w:sz w:val="22"/>
          <w:szCs w:val="22"/>
        </w:rPr>
        <w:drawing>
          <wp:inline distT="0" distB="0" distL="0" distR="0" wp14:anchorId="71B95473" wp14:editId="6DE9ABAC">
            <wp:extent cx="5688330" cy="2280285"/>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330" cy="2280285"/>
                    </a:xfrm>
                    <a:prstGeom prst="rect">
                      <a:avLst/>
                    </a:prstGeom>
                    <a:noFill/>
                  </pic:spPr>
                </pic:pic>
              </a:graphicData>
            </a:graphic>
          </wp:inline>
        </w:drawing>
      </w:r>
    </w:p>
    <w:p w14:paraId="6458AE00" w14:textId="77777777" w:rsidR="005026A0" w:rsidRPr="00CA0589" w:rsidRDefault="005026A0" w:rsidP="00CA0589">
      <w:pPr>
        <w:spacing w:line="276" w:lineRule="auto"/>
        <w:jc w:val="center"/>
        <w:rPr>
          <w:rFonts w:ascii="Arial" w:hAnsi="Arial" w:cs="Arial"/>
          <w:b/>
          <w:sz w:val="22"/>
          <w:szCs w:val="22"/>
        </w:rPr>
      </w:pPr>
      <w:r w:rsidRPr="00CA0589">
        <w:rPr>
          <w:rFonts w:ascii="Arial" w:hAnsi="Arial" w:cs="Arial"/>
          <w:b/>
          <w:sz w:val="22"/>
          <w:szCs w:val="22"/>
        </w:rPr>
        <w:t>Figure 3: Dietary Diversity Score classification</w:t>
      </w:r>
    </w:p>
    <w:p w14:paraId="39182B0A" w14:textId="77777777" w:rsidR="005026A0" w:rsidRPr="00CA0589" w:rsidRDefault="005026A0" w:rsidP="00CA0589">
      <w:pPr>
        <w:spacing w:line="276" w:lineRule="auto"/>
        <w:jc w:val="both"/>
        <w:rPr>
          <w:rFonts w:ascii="Arial" w:hAnsi="Arial" w:cs="Arial"/>
          <w:b/>
          <w:sz w:val="22"/>
          <w:szCs w:val="22"/>
        </w:rPr>
      </w:pPr>
    </w:p>
    <w:p w14:paraId="6F37EDD4"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3.4</w:t>
      </w:r>
      <w:r w:rsidR="00CA0589">
        <w:rPr>
          <w:rFonts w:ascii="Arial" w:hAnsi="Arial" w:cs="Arial"/>
          <w:b/>
          <w:sz w:val="22"/>
          <w:szCs w:val="22"/>
        </w:rPr>
        <w:tab/>
      </w:r>
      <w:r w:rsidRPr="00CA0589">
        <w:rPr>
          <w:rFonts w:ascii="Arial" w:hAnsi="Arial" w:cs="Arial"/>
          <w:b/>
          <w:sz w:val="22"/>
          <w:szCs w:val="22"/>
        </w:rPr>
        <w:t>Difference in Dietary Diversity Score between baseline and endline.</w:t>
      </w:r>
    </w:p>
    <w:p w14:paraId="4FABDDFE" w14:textId="3886B12B"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related samples Wilcoxon signed rank test was conducted to assess the difference in dietary diversity scores (DDS) between baseline and endline among 223 pregnant business women. The test yields at statistically significant results (Z=-7.69, </w:t>
      </w:r>
      <w:r w:rsidR="00552620" w:rsidRPr="00143CD2">
        <w:rPr>
          <w:rFonts w:ascii="Arial" w:hAnsi="Arial" w:cs="Arial"/>
          <w:i/>
          <w:sz w:val="22"/>
          <w:szCs w:val="22"/>
        </w:rPr>
        <w:t>p</w:t>
      </w:r>
      <w:r w:rsidRPr="00143CD2">
        <w:rPr>
          <w:rFonts w:ascii="Arial" w:hAnsi="Arial" w:cs="Arial"/>
          <w:i/>
          <w:sz w:val="22"/>
          <w:szCs w:val="22"/>
        </w:rPr>
        <w:t>&lt;0.</w:t>
      </w:r>
      <w:r w:rsidR="00552620" w:rsidRPr="00143CD2">
        <w:rPr>
          <w:rFonts w:ascii="Arial" w:hAnsi="Arial" w:cs="Arial"/>
          <w:i/>
          <w:sz w:val="22"/>
          <w:szCs w:val="22"/>
        </w:rPr>
        <w:t>0</w:t>
      </w:r>
      <w:r w:rsidRPr="00143CD2">
        <w:rPr>
          <w:rFonts w:ascii="Arial" w:hAnsi="Arial" w:cs="Arial"/>
          <w:i/>
          <w:sz w:val="22"/>
          <w:szCs w:val="22"/>
        </w:rPr>
        <w:t>01</w:t>
      </w:r>
      <w:r w:rsidRPr="00626A92">
        <w:rPr>
          <w:rFonts w:ascii="Arial" w:hAnsi="Arial" w:cs="Arial"/>
          <w:sz w:val="22"/>
          <w:szCs w:val="22"/>
        </w:rPr>
        <w:t>),</w:t>
      </w:r>
      <w:r w:rsidRPr="00CA0589">
        <w:rPr>
          <w:rFonts w:ascii="Arial" w:hAnsi="Arial" w:cs="Arial"/>
          <w:sz w:val="22"/>
          <w:szCs w:val="22"/>
        </w:rPr>
        <w:t xml:space="preserve"> indicating a significant increase in DDS from baseline to endline.</w:t>
      </w:r>
    </w:p>
    <w:p w14:paraId="0F703C68" w14:textId="77777777" w:rsidR="005026A0" w:rsidRPr="00CA0589" w:rsidRDefault="005026A0" w:rsidP="00CA0589">
      <w:pPr>
        <w:spacing w:line="276" w:lineRule="auto"/>
        <w:jc w:val="both"/>
        <w:rPr>
          <w:rFonts w:ascii="Arial" w:hAnsi="Arial" w:cs="Arial"/>
          <w:sz w:val="22"/>
          <w:szCs w:val="22"/>
        </w:rPr>
      </w:pPr>
    </w:p>
    <w:p w14:paraId="5FCA212B" w14:textId="77777777" w:rsidR="00CA0589" w:rsidRDefault="00CA0589">
      <w:pPr>
        <w:spacing w:after="160" w:line="259" w:lineRule="auto"/>
        <w:rPr>
          <w:rFonts w:ascii="Arial" w:hAnsi="Arial" w:cs="Arial"/>
          <w:b/>
          <w:color w:val="000000" w:themeColor="text1"/>
          <w:sz w:val="22"/>
          <w:szCs w:val="22"/>
        </w:rPr>
      </w:pPr>
      <w:r>
        <w:rPr>
          <w:rFonts w:ascii="Arial" w:hAnsi="Arial" w:cs="Arial"/>
          <w:b/>
          <w:color w:val="000000" w:themeColor="text1"/>
          <w:sz w:val="22"/>
          <w:szCs w:val="22"/>
        </w:rPr>
        <w:br w:type="page"/>
      </w:r>
    </w:p>
    <w:p w14:paraId="68676215" w14:textId="77777777" w:rsidR="005026A0" w:rsidRPr="00CA0589" w:rsidRDefault="005026A0" w:rsidP="00CA0589">
      <w:pPr>
        <w:spacing w:line="276" w:lineRule="auto"/>
        <w:ind w:left="900" w:hanging="900"/>
        <w:jc w:val="both"/>
        <w:rPr>
          <w:rFonts w:ascii="Arial" w:hAnsi="Arial" w:cs="Arial"/>
          <w:b/>
          <w:color w:val="000000" w:themeColor="text1"/>
          <w:sz w:val="22"/>
          <w:szCs w:val="22"/>
        </w:rPr>
      </w:pPr>
      <w:r w:rsidRPr="00CA0589">
        <w:rPr>
          <w:rFonts w:ascii="Arial" w:hAnsi="Arial" w:cs="Arial"/>
          <w:b/>
          <w:color w:val="000000" w:themeColor="text1"/>
          <w:sz w:val="22"/>
          <w:szCs w:val="22"/>
        </w:rPr>
        <w:lastRenderedPageBreak/>
        <w:t>Table 2: Wilcoxon signed rank Test comparing baseline and endline Dietary diversity scores.</w:t>
      </w:r>
    </w:p>
    <w:tbl>
      <w:tblPr>
        <w:tblW w:w="5000" w:type="pct"/>
        <w:tblLook w:val="04A0" w:firstRow="1" w:lastRow="0" w:firstColumn="1" w:lastColumn="0" w:noHBand="0" w:noVBand="1"/>
      </w:tblPr>
      <w:tblGrid>
        <w:gridCol w:w="6775"/>
        <w:gridCol w:w="2468"/>
      </w:tblGrid>
      <w:tr w:rsidR="005026A0" w:rsidRPr="00CA0589" w14:paraId="3F870621" w14:textId="77777777" w:rsidTr="00552620">
        <w:trPr>
          <w:trHeight w:val="296"/>
        </w:trPr>
        <w:tc>
          <w:tcPr>
            <w:tcW w:w="5000" w:type="pct"/>
            <w:gridSpan w:val="2"/>
            <w:tcBorders>
              <w:top w:val="single" w:sz="4" w:space="0" w:color="auto"/>
              <w:left w:val="nil"/>
              <w:bottom w:val="single" w:sz="4" w:space="0" w:color="auto"/>
              <w:right w:val="nil"/>
            </w:tcBorders>
            <w:noWrap/>
            <w:vAlign w:val="bottom"/>
          </w:tcPr>
          <w:p w14:paraId="612ABC4F"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Related-Samples Wilcoxon Signed Rank Test Summary</w:t>
            </w:r>
          </w:p>
        </w:tc>
      </w:tr>
      <w:tr w:rsidR="005026A0" w:rsidRPr="00CA0589" w14:paraId="4D021440" w14:textId="77777777" w:rsidTr="00552620">
        <w:trPr>
          <w:trHeight w:val="296"/>
        </w:trPr>
        <w:tc>
          <w:tcPr>
            <w:tcW w:w="3665" w:type="pct"/>
            <w:tcBorders>
              <w:top w:val="nil"/>
              <w:left w:val="nil"/>
              <w:bottom w:val="nil"/>
              <w:right w:val="nil"/>
            </w:tcBorders>
            <w:noWrap/>
            <w:vAlign w:val="bottom"/>
          </w:tcPr>
          <w:p w14:paraId="3A02FB40"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Total N</w:t>
            </w:r>
          </w:p>
        </w:tc>
        <w:tc>
          <w:tcPr>
            <w:tcW w:w="1335" w:type="pct"/>
            <w:tcBorders>
              <w:top w:val="nil"/>
              <w:left w:val="nil"/>
              <w:bottom w:val="nil"/>
              <w:right w:val="nil"/>
            </w:tcBorders>
            <w:noWrap/>
            <w:vAlign w:val="bottom"/>
          </w:tcPr>
          <w:p w14:paraId="1F6DA93C"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223</w:t>
            </w:r>
          </w:p>
        </w:tc>
      </w:tr>
      <w:tr w:rsidR="005026A0" w:rsidRPr="00CA0589" w14:paraId="4343E57E" w14:textId="77777777" w:rsidTr="00552620">
        <w:trPr>
          <w:trHeight w:val="296"/>
        </w:trPr>
        <w:tc>
          <w:tcPr>
            <w:tcW w:w="3665" w:type="pct"/>
            <w:tcBorders>
              <w:top w:val="nil"/>
              <w:left w:val="nil"/>
              <w:bottom w:val="nil"/>
              <w:right w:val="nil"/>
            </w:tcBorders>
            <w:noWrap/>
            <w:vAlign w:val="bottom"/>
          </w:tcPr>
          <w:p w14:paraId="63CFB097"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Test Statistic</w:t>
            </w:r>
          </w:p>
        </w:tc>
        <w:tc>
          <w:tcPr>
            <w:tcW w:w="1335" w:type="pct"/>
            <w:tcBorders>
              <w:top w:val="nil"/>
              <w:left w:val="nil"/>
              <w:bottom w:val="nil"/>
              <w:right w:val="nil"/>
            </w:tcBorders>
            <w:noWrap/>
            <w:vAlign w:val="bottom"/>
          </w:tcPr>
          <w:p w14:paraId="31B68CCA"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3816.5</w:t>
            </w:r>
          </w:p>
        </w:tc>
      </w:tr>
      <w:tr w:rsidR="005026A0" w:rsidRPr="00CA0589" w14:paraId="424DD0E9" w14:textId="77777777" w:rsidTr="00552620">
        <w:trPr>
          <w:trHeight w:val="296"/>
        </w:trPr>
        <w:tc>
          <w:tcPr>
            <w:tcW w:w="3665" w:type="pct"/>
            <w:tcBorders>
              <w:top w:val="nil"/>
              <w:left w:val="nil"/>
              <w:bottom w:val="nil"/>
              <w:right w:val="nil"/>
            </w:tcBorders>
            <w:noWrap/>
            <w:vAlign w:val="bottom"/>
          </w:tcPr>
          <w:p w14:paraId="1EC7F0E3"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Standard Error</w:t>
            </w:r>
          </w:p>
        </w:tc>
        <w:tc>
          <w:tcPr>
            <w:tcW w:w="1335" w:type="pct"/>
            <w:tcBorders>
              <w:top w:val="nil"/>
              <w:left w:val="nil"/>
              <w:bottom w:val="nil"/>
              <w:right w:val="nil"/>
            </w:tcBorders>
            <w:noWrap/>
            <w:vAlign w:val="bottom"/>
          </w:tcPr>
          <w:p w14:paraId="7770ED55"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823.682</w:t>
            </w:r>
          </w:p>
        </w:tc>
      </w:tr>
      <w:tr w:rsidR="005026A0" w:rsidRPr="00CA0589" w14:paraId="593D07CD" w14:textId="77777777" w:rsidTr="00552620">
        <w:trPr>
          <w:trHeight w:val="296"/>
        </w:trPr>
        <w:tc>
          <w:tcPr>
            <w:tcW w:w="3665" w:type="pct"/>
            <w:tcBorders>
              <w:top w:val="nil"/>
              <w:left w:val="nil"/>
              <w:bottom w:val="nil"/>
              <w:right w:val="nil"/>
            </w:tcBorders>
            <w:noWrap/>
            <w:vAlign w:val="bottom"/>
          </w:tcPr>
          <w:p w14:paraId="3E545E60"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Standardized Test Statistic</w:t>
            </w:r>
          </w:p>
        </w:tc>
        <w:tc>
          <w:tcPr>
            <w:tcW w:w="1335" w:type="pct"/>
            <w:tcBorders>
              <w:top w:val="nil"/>
              <w:left w:val="nil"/>
              <w:bottom w:val="nil"/>
              <w:right w:val="nil"/>
            </w:tcBorders>
            <w:noWrap/>
            <w:vAlign w:val="bottom"/>
          </w:tcPr>
          <w:p w14:paraId="45B559A6"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-7.69</w:t>
            </w:r>
          </w:p>
        </w:tc>
      </w:tr>
      <w:tr w:rsidR="005026A0" w:rsidRPr="00CA0589" w14:paraId="3C7BBB74" w14:textId="77777777" w:rsidTr="00552620">
        <w:trPr>
          <w:trHeight w:val="80"/>
        </w:trPr>
        <w:tc>
          <w:tcPr>
            <w:tcW w:w="3665" w:type="pct"/>
            <w:tcBorders>
              <w:top w:val="nil"/>
              <w:left w:val="nil"/>
              <w:bottom w:val="single" w:sz="4" w:space="0" w:color="auto"/>
              <w:right w:val="nil"/>
            </w:tcBorders>
            <w:noWrap/>
            <w:vAlign w:val="bottom"/>
          </w:tcPr>
          <w:p w14:paraId="15611CCA"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xml:space="preserve">Asymptotic </w:t>
            </w:r>
            <w:proofErr w:type="gramStart"/>
            <w:r w:rsidRPr="00CA0589">
              <w:rPr>
                <w:rFonts w:ascii="Arial" w:eastAsia="Times New Roman" w:hAnsi="Arial" w:cs="Arial"/>
                <w:color w:val="000000" w:themeColor="text1"/>
                <w:sz w:val="22"/>
                <w:szCs w:val="22"/>
              </w:rPr>
              <w:t>Sig.(</w:t>
            </w:r>
            <w:proofErr w:type="gramEnd"/>
            <w:r w:rsidRPr="00CA0589">
              <w:rPr>
                <w:rFonts w:ascii="Arial" w:eastAsia="Times New Roman" w:hAnsi="Arial" w:cs="Arial"/>
                <w:color w:val="000000" w:themeColor="text1"/>
                <w:sz w:val="22"/>
                <w:szCs w:val="22"/>
              </w:rPr>
              <w:t>2-sided test)</w:t>
            </w:r>
          </w:p>
        </w:tc>
        <w:tc>
          <w:tcPr>
            <w:tcW w:w="1335" w:type="pct"/>
            <w:tcBorders>
              <w:top w:val="nil"/>
              <w:left w:val="nil"/>
              <w:bottom w:val="single" w:sz="4" w:space="0" w:color="auto"/>
              <w:right w:val="nil"/>
            </w:tcBorders>
            <w:noWrap/>
            <w:vAlign w:val="bottom"/>
          </w:tcPr>
          <w:p w14:paraId="499A38A4"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bl>
    <w:p w14:paraId="71D31CBE" w14:textId="77777777" w:rsidR="005026A0" w:rsidRPr="00CA0589" w:rsidRDefault="005026A0" w:rsidP="00CA0589">
      <w:pPr>
        <w:spacing w:line="276" w:lineRule="auto"/>
        <w:jc w:val="both"/>
        <w:rPr>
          <w:rFonts w:ascii="Arial" w:hAnsi="Arial" w:cs="Arial"/>
          <w:b/>
          <w:color w:val="000000" w:themeColor="text1"/>
          <w:sz w:val="22"/>
          <w:szCs w:val="22"/>
        </w:rPr>
      </w:pPr>
    </w:p>
    <w:p w14:paraId="4B02896D"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3.5</w:t>
      </w:r>
      <w:r w:rsidR="00CA0589">
        <w:rPr>
          <w:rFonts w:ascii="Arial" w:hAnsi="Arial" w:cs="Arial"/>
          <w:b/>
          <w:sz w:val="22"/>
          <w:szCs w:val="22"/>
        </w:rPr>
        <w:tab/>
      </w:r>
      <w:r w:rsidRPr="00CA0589">
        <w:rPr>
          <w:rFonts w:ascii="Arial" w:hAnsi="Arial" w:cs="Arial"/>
          <w:b/>
          <w:sz w:val="22"/>
          <w:szCs w:val="22"/>
        </w:rPr>
        <w:t>Dietary and Nutritional Challenges</w:t>
      </w:r>
    </w:p>
    <w:p w14:paraId="3B5F03B9"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findings indicate that majority of business women in Tunduma reported no cultural or traditional dietary influences (92.4%). </w:t>
      </w:r>
      <w:proofErr w:type="gramStart"/>
      <w:r w:rsidRPr="00CA0589">
        <w:rPr>
          <w:rFonts w:ascii="Arial" w:hAnsi="Arial" w:cs="Arial"/>
          <w:sz w:val="22"/>
          <w:szCs w:val="22"/>
        </w:rPr>
        <w:t>Additionally</w:t>
      </w:r>
      <w:proofErr w:type="gramEnd"/>
      <w:r w:rsidRPr="00CA0589">
        <w:rPr>
          <w:rFonts w:ascii="Arial" w:hAnsi="Arial" w:cs="Arial"/>
          <w:sz w:val="22"/>
          <w:szCs w:val="22"/>
        </w:rPr>
        <w:t xml:space="preserve"> only a small proportion (3.1%) had access to health food options during work and 4.5% reported challenges in maintaining balance diet during pregnancy.</w:t>
      </w:r>
    </w:p>
    <w:p w14:paraId="471EA3FA" w14:textId="77777777" w:rsidR="00CA0589" w:rsidRDefault="00CA0589" w:rsidP="00CA0589">
      <w:pPr>
        <w:spacing w:line="276" w:lineRule="auto"/>
        <w:jc w:val="both"/>
        <w:rPr>
          <w:rFonts w:ascii="Arial" w:eastAsia="Calibri" w:hAnsi="Arial" w:cs="Arial"/>
          <w:b/>
          <w:color w:val="000000" w:themeColor="text1"/>
          <w:sz w:val="22"/>
          <w:szCs w:val="22"/>
        </w:rPr>
      </w:pPr>
    </w:p>
    <w:p w14:paraId="7D858A81"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Table 3: Dietary and nutritional challenges among pregnant business women.</w:t>
      </w:r>
    </w:p>
    <w:tbl>
      <w:tblPr>
        <w:tblW w:w="5000" w:type="pct"/>
        <w:tblLook w:val="04A0" w:firstRow="1" w:lastRow="0" w:firstColumn="1" w:lastColumn="0" w:noHBand="0" w:noVBand="1"/>
      </w:tblPr>
      <w:tblGrid>
        <w:gridCol w:w="5714"/>
        <w:gridCol w:w="362"/>
        <w:gridCol w:w="1179"/>
        <w:gridCol w:w="762"/>
        <w:gridCol w:w="1226"/>
      </w:tblGrid>
      <w:tr w:rsidR="005026A0" w:rsidRPr="00CA0589" w14:paraId="7EA696E7" w14:textId="77777777" w:rsidTr="00552620">
        <w:trPr>
          <w:trHeight w:val="300"/>
        </w:trPr>
        <w:tc>
          <w:tcPr>
            <w:tcW w:w="3091" w:type="pct"/>
            <w:tcBorders>
              <w:top w:val="single" w:sz="4" w:space="0" w:color="auto"/>
              <w:left w:val="nil"/>
              <w:bottom w:val="single" w:sz="4" w:space="0" w:color="auto"/>
              <w:right w:val="nil"/>
            </w:tcBorders>
            <w:noWrap/>
            <w:vAlign w:val="bottom"/>
          </w:tcPr>
          <w:p w14:paraId="071F6B28"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Variable</w:t>
            </w:r>
          </w:p>
        </w:tc>
        <w:tc>
          <w:tcPr>
            <w:tcW w:w="834" w:type="pct"/>
            <w:gridSpan w:val="2"/>
            <w:tcBorders>
              <w:top w:val="single" w:sz="4" w:space="0" w:color="auto"/>
              <w:left w:val="nil"/>
              <w:bottom w:val="single" w:sz="4" w:space="0" w:color="auto"/>
              <w:right w:val="nil"/>
            </w:tcBorders>
            <w:noWrap/>
            <w:vAlign w:val="bottom"/>
          </w:tcPr>
          <w:p w14:paraId="5B5E8D69"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Category</w:t>
            </w:r>
          </w:p>
        </w:tc>
        <w:tc>
          <w:tcPr>
            <w:tcW w:w="412" w:type="pct"/>
            <w:tcBorders>
              <w:top w:val="single" w:sz="4" w:space="0" w:color="auto"/>
              <w:left w:val="nil"/>
              <w:bottom w:val="single" w:sz="4" w:space="0" w:color="auto"/>
              <w:right w:val="nil"/>
            </w:tcBorders>
            <w:noWrap/>
            <w:vAlign w:val="bottom"/>
          </w:tcPr>
          <w:p w14:paraId="5563D19B"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Freq.</w:t>
            </w:r>
          </w:p>
        </w:tc>
        <w:tc>
          <w:tcPr>
            <w:tcW w:w="664" w:type="pct"/>
            <w:tcBorders>
              <w:top w:val="single" w:sz="4" w:space="0" w:color="auto"/>
              <w:left w:val="nil"/>
              <w:bottom w:val="single" w:sz="4" w:space="0" w:color="auto"/>
              <w:right w:val="nil"/>
            </w:tcBorders>
            <w:noWrap/>
            <w:vAlign w:val="bottom"/>
          </w:tcPr>
          <w:p w14:paraId="716D06B1" w14:textId="77777777" w:rsidR="005026A0" w:rsidRPr="00CA0589" w:rsidRDefault="005026A0" w:rsidP="00CA0589">
            <w:pPr>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Percent%</w:t>
            </w:r>
          </w:p>
        </w:tc>
      </w:tr>
      <w:tr w:rsidR="005026A0" w:rsidRPr="00CA0589" w14:paraId="4870E097" w14:textId="77777777" w:rsidTr="00552620">
        <w:trPr>
          <w:trHeight w:val="300"/>
        </w:trPr>
        <w:tc>
          <w:tcPr>
            <w:tcW w:w="3287" w:type="pct"/>
            <w:gridSpan w:val="2"/>
            <w:vMerge w:val="restart"/>
            <w:tcBorders>
              <w:top w:val="nil"/>
              <w:left w:val="nil"/>
              <w:bottom w:val="nil"/>
              <w:right w:val="nil"/>
            </w:tcBorders>
            <w:noWrap/>
          </w:tcPr>
          <w:p w14:paraId="57F81D9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xml:space="preserve">Dietary restrictions or preferences </w:t>
            </w:r>
          </w:p>
        </w:tc>
        <w:tc>
          <w:tcPr>
            <w:tcW w:w="638" w:type="pct"/>
            <w:tcBorders>
              <w:top w:val="nil"/>
              <w:left w:val="nil"/>
              <w:bottom w:val="nil"/>
              <w:right w:val="nil"/>
            </w:tcBorders>
            <w:noWrap/>
          </w:tcPr>
          <w:p w14:paraId="6495206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noWrap/>
          </w:tcPr>
          <w:p w14:paraId="4809A9E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219</w:t>
            </w:r>
          </w:p>
        </w:tc>
        <w:tc>
          <w:tcPr>
            <w:tcW w:w="664" w:type="pct"/>
            <w:tcBorders>
              <w:top w:val="nil"/>
              <w:left w:val="nil"/>
              <w:bottom w:val="nil"/>
              <w:right w:val="nil"/>
            </w:tcBorders>
            <w:noWrap/>
          </w:tcPr>
          <w:p w14:paraId="35C7AE2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98.20</w:t>
            </w:r>
          </w:p>
        </w:tc>
      </w:tr>
      <w:tr w:rsidR="005026A0" w:rsidRPr="00CA0589" w14:paraId="0C145720" w14:textId="77777777" w:rsidTr="00552620">
        <w:trPr>
          <w:trHeight w:val="300"/>
        </w:trPr>
        <w:tc>
          <w:tcPr>
            <w:tcW w:w="3287" w:type="pct"/>
            <w:gridSpan w:val="2"/>
            <w:vMerge/>
            <w:tcBorders>
              <w:top w:val="nil"/>
              <w:left w:val="nil"/>
              <w:bottom w:val="nil"/>
              <w:right w:val="nil"/>
            </w:tcBorders>
          </w:tcPr>
          <w:p w14:paraId="2D64D334"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nil"/>
              <w:right w:val="nil"/>
            </w:tcBorders>
            <w:noWrap/>
          </w:tcPr>
          <w:p w14:paraId="10073D4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nil"/>
              <w:right w:val="nil"/>
            </w:tcBorders>
            <w:noWrap/>
          </w:tcPr>
          <w:p w14:paraId="00C64F92"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w:t>
            </w:r>
          </w:p>
        </w:tc>
        <w:tc>
          <w:tcPr>
            <w:tcW w:w="664" w:type="pct"/>
            <w:tcBorders>
              <w:top w:val="nil"/>
              <w:left w:val="nil"/>
              <w:bottom w:val="nil"/>
              <w:right w:val="nil"/>
            </w:tcBorders>
            <w:noWrap/>
          </w:tcPr>
          <w:p w14:paraId="52E73CC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1.80</w:t>
            </w:r>
          </w:p>
        </w:tc>
      </w:tr>
      <w:tr w:rsidR="005026A0" w:rsidRPr="00CA0589" w14:paraId="3BA48560" w14:textId="77777777" w:rsidTr="00552620">
        <w:trPr>
          <w:trHeight w:val="300"/>
        </w:trPr>
        <w:tc>
          <w:tcPr>
            <w:tcW w:w="3287" w:type="pct"/>
            <w:gridSpan w:val="2"/>
            <w:vMerge w:val="restart"/>
            <w:tcBorders>
              <w:top w:val="nil"/>
              <w:left w:val="nil"/>
              <w:bottom w:val="nil"/>
              <w:right w:val="nil"/>
            </w:tcBorders>
            <w:noWrap/>
          </w:tcPr>
          <w:p w14:paraId="035F0C9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Consume any fortified foods</w:t>
            </w:r>
          </w:p>
        </w:tc>
        <w:tc>
          <w:tcPr>
            <w:tcW w:w="638" w:type="pct"/>
            <w:tcBorders>
              <w:top w:val="nil"/>
              <w:left w:val="nil"/>
              <w:bottom w:val="nil"/>
              <w:right w:val="nil"/>
            </w:tcBorders>
            <w:noWrap/>
          </w:tcPr>
          <w:p w14:paraId="7073C06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noWrap/>
          </w:tcPr>
          <w:p w14:paraId="23A8C8F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206</w:t>
            </w:r>
          </w:p>
        </w:tc>
        <w:tc>
          <w:tcPr>
            <w:tcW w:w="664" w:type="pct"/>
            <w:tcBorders>
              <w:top w:val="nil"/>
              <w:left w:val="nil"/>
              <w:bottom w:val="nil"/>
              <w:right w:val="nil"/>
            </w:tcBorders>
            <w:noWrap/>
          </w:tcPr>
          <w:p w14:paraId="1D32A9B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92.40</w:t>
            </w:r>
          </w:p>
        </w:tc>
      </w:tr>
      <w:tr w:rsidR="005026A0" w:rsidRPr="00CA0589" w14:paraId="0C347DF5" w14:textId="77777777" w:rsidTr="00552620">
        <w:trPr>
          <w:trHeight w:val="300"/>
        </w:trPr>
        <w:tc>
          <w:tcPr>
            <w:tcW w:w="3287" w:type="pct"/>
            <w:gridSpan w:val="2"/>
            <w:vMerge/>
            <w:tcBorders>
              <w:top w:val="nil"/>
              <w:left w:val="nil"/>
              <w:bottom w:val="nil"/>
              <w:right w:val="nil"/>
            </w:tcBorders>
          </w:tcPr>
          <w:p w14:paraId="319D95CF"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nil"/>
              <w:right w:val="nil"/>
            </w:tcBorders>
            <w:noWrap/>
          </w:tcPr>
          <w:p w14:paraId="0588E93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nil"/>
              <w:right w:val="nil"/>
            </w:tcBorders>
            <w:noWrap/>
          </w:tcPr>
          <w:p w14:paraId="706698B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17</w:t>
            </w:r>
          </w:p>
        </w:tc>
        <w:tc>
          <w:tcPr>
            <w:tcW w:w="664" w:type="pct"/>
            <w:tcBorders>
              <w:top w:val="nil"/>
              <w:left w:val="nil"/>
              <w:bottom w:val="nil"/>
              <w:right w:val="nil"/>
            </w:tcBorders>
            <w:noWrap/>
          </w:tcPr>
          <w:p w14:paraId="2AFECE13"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7.60</w:t>
            </w:r>
          </w:p>
        </w:tc>
      </w:tr>
      <w:tr w:rsidR="005026A0" w:rsidRPr="00CA0589" w14:paraId="34087260" w14:textId="77777777" w:rsidTr="00552620">
        <w:trPr>
          <w:trHeight w:val="300"/>
        </w:trPr>
        <w:tc>
          <w:tcPr>
            <w:tcW w:w="3287" w:type="pct"/>
            <w:gridSpan w:val="2"/>
            <w:vMerge w:val="restart"/>
            <w:tcBorders>
              <w:top w:val="nil"/>
              <w:left w:val="nil"/>
              <w:bottom w:val="nil"/>
              <w:right w:val="nil"/>
            </w:tcBorders>
            <w:noWrap/>
          </w:tcPr>
          <w:p w14:paraId="54D0C55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Cultural or traditional dietary practices that influence</w:t>
            </w:r>
          </w:p>
        </w:tc>
        <w:tc>
          <w:tcPr>
            <w:tcW w:w="638" w:type="pct"/>
            <w:tcBorders>
              <w:top w:val="nil"/>
              <w:left w:val="nil"/>
              <w:bottom w:val="nil"/>
              <w:right w:val="nil"/>
            </w:tcBorders>
            <w:noWrap/>
          </w:tcPr>
          <w:p w14:paraId="682E9FC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noWrap/>
          </w:tcPr>
          <w:p w14:paraId="5FB53A1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222</w:t>
            </w:r>
          </w:p>
        </w:tc>
        <w:tc>
          <w:tcPr>
            <w:tcW w:w="664" w:type="pct"/>
            <w:tcBorders>
              <w:top w:val="nil"/>
              <w:left w:val="nil"/>
              <w:bottom w:val="nil"/>
              <w:right w:val="nil"/>
            </w:tcBorders>
            <w:noWrap/>
          </w:tcPr>
          <w:p w14:paraId="46833EA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99.60</w:t>
            </w:r>
          </w:p>
        </w:tc>
      </w:tr>
      <w:tr w:rsidR="005026A0" w:rsidRPr="00CA0589" w14:paraId="31E9A9E2" w14:textId="77777777" w:rsidTr="00552620">
        <w:trPr>
          <w:trHeight w:val="300"/>
        </w:trPr>
        <w:tc>
          <w:tcPr>
            <w:tcW w:w="3287" w:type="pct"/>
            <w:gridSpan w:val="2"/>
            <w:vMerge/>
            <w:tcBorders>
              <w:top w:val="nil"/>
              <w:left w:val="nil"/>
              <w:bottom w:val="nil"/>
              <w:right w:val="nil"/>
            </w:tcBorders>
          </w:tcPr>
          <w:p w14:paraId="4318AC8F"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nil"/>
              <w:right w:val="nil"/>
            </w:tcBorders>
            <w:noWrap/>
          </w:tcPr>
          <w:p w14:paraId="24A0C211"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nil"/>
              <w:right w:val="nil"/>
            </w:tcBorders>
            <w:noWrap/>
          </w:tcPr>
          <w:p w14:paraId="4641D107"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w:t>
            </w:r>
          </w:p>
        </w:tc>
        <w:tc>
          <w:tcPr>
            <w:tcW w:w="664" w:type="pct"/>
            <w:tcBorders>
              <w:top w:val="nil"/>
              <w:left w:val="nil"/>
              <w:bottom w:val="nil"/>
              <w:right w:val="nil"/>
            </w:tcBorders>
            <w:noWrap/>
          </w:tcPr>
          <w:p w14:paraId="65FCE4F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0.40</w:t>
            </w:r>
          </w:p>
        </w:tc>
      </w:tr>
      <w:tr w:rsidR="005026A0" w:rsidRPr="00CA0589" w14:paraId="61801B27" w14:textId="77777777" w:rsidTr="00552620">
        <w:trPr>
          <w:trHeight w:val="300"/>
        </w:trPr>
        <w:tc>
          <w:tcPr>
            <w:tcW w:w="3287" w:type="pct"/>
            <w:gridSpan w:val="2"/>
            <w:vMerge w:val="restart"/>
            <w:tcBorders>
              <w:top w:val="nil"/>
              <w:left w:val="nil"/>
              <w:bottom w:val="nil"/>
              <w:right w:val="nil"/>
            </w:tcBorders>
            <w:noWrap/>
          </w:tcPr>
          <w:p w14:paraId="6C27131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Access to healthy food options at work</w:t>
            </w:r>
          </w:p>
        </w:tc>
        <w:tc>
          <w:tcPr>
            <w:tcW w:w="638" w:type="pct"/>
            <w:tcBorders>
              <w:top w:val="nil"/>
              <w:left w:val="nil"/>
              <w:bottom w:val="nil"/>
              <w:right w:val="nil"/>
            </w:tcBorders>
            <w:noWrap/>
          </w:tcPr>
          <w:p w14:paraId="32158C2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noWrap/>
          </w:tcPr>
          <w:p w14:paraId="7FAF037E"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216</w:t>
            </w:r>
          </w:p>
        </w:tc>
        <w:tc>
          <w:tcPr>
            <w:tcW w:w="664" w:type="pct"/>
            <w:tcBorders>
              <w:top w:val="nil"/>
              <w:left w:val="nil"/>
              <w:bottom w:val="nil"/>
              <w:right w:val="nil"/>
            </w:tcBorders>
            <w:noWrap/>
          </w:tcPr>
          <w:p w14:paraId="7825E99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96.90</w:t>
            </w:r>
          </w:p>
        </w:tc>
      </w:tr>
      <w:tr w:rsidR="005026A0" w:rsidRPr="00CA0589" w14:paraId="5B87D60C" w14:textId="77777777" w:rsidTr="00552620">
        <w:trPr>
          <w:trHeight w:val="300"/>
        </w:trPr>
        <w:tc>
          <w:tcPr>
            <w:tcW w:w="3287" w:type="pct"/>
            <w:gridSpan w:val="2"/>
            <w:vMerge/>
            <w:tcBorders>
              <w:top w:val="nil"/>
              <w:left w:val="nil"/>
              <w:bottom w:val="nil"/>
              <w:right w:val="nil"/>
            </w:tcBorders>
          </w:tcPr>
          <w:p w14:paraId="0A9E8F66"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nil"/>
              <w:right w:val="nil"/>
            </w:tcBorders>
            <w:noWrap/>
          </w:tcPr>
          <w:p w14:paraId="7FEFE290"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nil"/>
              <w:right w:val="nil"/>
            </w:tcBorders>
            <w:noWrap/>
          </w:tcPr>
          <w:p w14:paraId="30D3BC74"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w:t>
            </w:r>
          </w:p>
        </w:tc>
        <w:tc>
          <w:tcPr>
            <w:tcW w:w="664" w:type="pct"/>
            <w:tcBorders>
              <w:top w:val="nil"/>
              <w:left w:val="nil"/>
              <w:bottom w:val="nil"/>
              <w:right w:val="nil"/>
            </w:tcBorders>
            <w:noWrap/>
          </w:tcPr>
          <w:p w14:paraId="45F177A5"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3.10</w:t>
            </w:r>
          </w:p>
        </w:tc>
      </w:tr>
      <w:tr w:rsidR="005026A0" w:rsidRPr="00CA0589" w14:paraId="18A37DF6" w14:textId="77777777" w:rsidTr="00552620">
        <w:trPr>
          <w:trHeight w:val="300"/>
        </w:trPr>
        <w:tc>
          <w:tcPr>
            <w:tcW w:w="3287" w:type="pct"/>
            <w:gridSpan w:val="2"/>
            <w:vMerge w:val="restart"/>
            <w:tcBorders>
              <w:top w:val="nil"/>
              <w:left w:val="nil"/>
              <w:bottom w:val="single" w:sz="4" w:space="0" w:color="000000"/>
              <w:right w:val="nil"/>
            </w:tcBorders>
            <w:noWrap/>
          </w:tcPr>
          <w:p w14:paraId="052B73C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Challenges in maintaining a balanced diet during pregnancy</w:t>
            </w:r>
          </w:p>
        </w:tc>
        <w:tc>
          <w:tcPr>
            <w:tcW w:w="638" w:type="pct"/>
            <w:tcBorders>
              <w:top w:val="nil"/>
              <w:left w:val="nil"/>
              <w:bottom w:val="nil"/>
              <w:right w:val="nil"/>
            </w:tcBorders>
            <w:noWrap/>
          </w:tcPr>
          <w:p w14:paraId="6F05AF4C"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No</w:t>
            </w:r>
          </w:p>
        </w:tc>
        <w:tc>
          <w:tcPr>
            <w:tcW w:w="412" w:type="pct"/>
            <w:tcBorders>
              <w:top w:val="nil"/>
              <w:left w:val="nil"/>
              <w:bottom w:val="nil"/>
              <w:right w:val="nil"/>
            </w:tcBorders>
            <w:noWrap/>
          </w:tcPr>
          <w:p w14:paraId="4822E92D"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213</w:t>
            </w:r>
          </w:p>
        </w:tc>
        <w:tc>
          <w:tcPr>
            <w:tcW w:w="664" w:type="pct"/>
            <w:tcBorders>
              <w:top w:val="nil"/>
              <w:left w:val="nil"/>
              <w:bottom w:val="nil"/>
              <w:right w:val="nil"/>
            </w:tcBorders>
            <w:noWrap/>
          </w:tcPr>
          <w:p w14:paraId="7E5832D8"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95.50</w:t>
            </w:r>
          </w:p>
        </w:tc>
      </w:tr>
      <w:tr w:rsidR="005026A0" w:rsidRPr="00CA0589" w14:paraId="64E86C9E" w14:textId="77777777" w:rsidTr="00552620">
        <w:trPr>
          <w:trHeight w:val="300"/>
        </w:trPr>
        <w:tc>
          <w:tcPr>
            <w:tcW w:w="3287" w:type="pct"/>
            <w:gridSpan w:val="2"/>
            <w:vMerge/>
            <w:tcBorders>
              <w:top w:val="nil"/>
              <w:left w:val="nil"/>
              <w:bottom w:val="single" w:sz="4" w:space="0" w:color="000000"/>
              <w:right w:val="nil"/>
            </w:tcBorders>
          </w:tcPr>
          <w:p w14:paraId="5323F2A6" w14:textId="77777777" w:rsidR="005026A0" w:rsidRPr="00CA0589" w:rsidRDefault="005026A0" w:rsidP="00CA0589">
            <w:pPr>
              <w:jc w:val="both"/>
              <w:rPr>
                <w:rFonts w:ascii="Arial" w:eastAsia="Times New Roman" w:hAnsi="Arial" w:cs="Arial"/>
                <w:color w:val="000000" w:themeColor="text1"/>
                <w:sz w:val="22"/>
                <w:szCs w:val="22"/>
              </w:rPr>
            </w:pPr>
          </w:p>
        </w:tc>
        <w:tc>
          <w:tcPr>
            <w:tcW w:w="638" w:type="pct"/>
            <w:tcBorders>
              <w:top w:val="nil"/>
              <w:left w:val="nil"/>
              <w:bottom w:val="single" w:sz="4" w:space="0" w:color="auto"/>
              <w:right w:val="nil"/>
            </w:tcBorders>
            <w:noWrap/>
          </w:tcPr>
          <w:p w14:paraId="2520B18F"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Yes</w:t>
            </w:r>
          </w:p>
        </w:tc>
        <w:tc>
          <w:tcPr>
            <w:tcW w:w="412" w:type="pct"/>
            <w:tcBorders>
              <w:top w:val="nil"/>
              <w:left w:val="nil"/>
              <w:bottom w:val="single" w:sz="4" w:space="0" w:color="auto"/>
              <w:right w:val="nil"/>
            </w:tcBorders>
            <w:noWrap/>
          </w:tcPr>
          <w:p w14:paraId="724879F6"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10</w:t>
            </w:r>
          </w:p>
        </w:tc>
        <w:tc>
          <w:tcPr>
            <w:tcW w:w="664" w:type="pct"/>
            <w:tcBorders>
              <w:top w:val="nil"/>
              <w:left w:val="nil"/>
              <w:bottom w:val="single" w:sz="4" w:space="0" w:color="auto"/>
              <w:right w:val="nil"/>
            </w:tcBorders>
            <w:noWrap/>
          </w:tcPr>
          <w:p w14:paraId="617BC95A" w14:textId="77777777" w:rsidR="005026A0" w:rsidRPr="00CA0589" w:rsidRDefault="005026A0" w:rsidP="00CA0589">
            <w:pPr>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4.50</w:t>
            </w:r>
          </w:p>
        </w:tc>
      </w:tr>
    </w:tbl>
    <w:p w14:paraId="439BCAF5" w14:textId="77777777" w:rsidR="005026A0" w:rsidRPr="00CA0589" w:rsidRDefault="005026A0" w:rsidP="00CA0589">
      <w:pPr>
        <w:spacing w:line="276" w:lineRule="auto"/>
        <w:jc w:val="both"/>
        <w:rPr>
          <w:rFonts w:ascii="Arial" w:hAnsi="Arial" w:cs="Arial"/>
          <w:b/>
          <w:color w:val="000000" w:themeColor="text1"/>
          <w:sz w:val="22"/>
          <w:szCs w:val="22"/>
        </w:rPr>
      </w:pPr>
    </w:p>
    <w:p w14:paraId="4AC5DF83"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3.6</w:t>
      </w:r>
      <w:r w:rsidR="00CA0589">
        <w:rPr>
          <w:rFonts w:ascii="Arial" w:hAnsi="Arial" w:cs="Arial"/>
          <w:b/>
          <w:sz w:val="22"/>
          <w:szCs w:val="22"/>
        </w:rPr>
        <w:tab/>
      </w:r>
      <w:r w:rsidRPr="00CA0589">
        <w:rPr>
          <w:rFonts w:ascii="Arial" w:hAnsi="Arial" w:cs="Arial"/>
          <w:b/>
          <w:sz w:val="22"/>
          <w:szCs w:val="22"/>
        </w:rPr>
        <w:t>Changes in frequency of food group consumption</w:t>
      </w:r>
    </w:p>
    <w:p w14:paraId="241C7B82"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present study showed that fruit consumption improved with the proportion of those who never consumed dropping from 83.9% to 42.2% while occasional and frequent consumption increased. </w:t>
      </w:r>
      <w:proofErr w:type="gramStart"/>
      <w:r w:rsidRPr="00CA0589">
        <w:rPr>
          <w:rFonts w:ascii="Arial" w:hAnsi="Arial" w:cs="Arial"/>
          <w:sz w:val="22"/>
          <w:szCs w:val="22"/>
        </w:rPr>
        <w:t>Similarly</w:t>
      </w:r>
      <w:proofErr w:type="gramEnd"/>
      <w:r w:rsidRPr="00CA0589">
        <w:rPr>
          <w:rFonts w:ascii="Arial" w:hAnsi="Arial" w:cs="Arial"/>
          <w:sz w:val="22"/>
          <w:szCs w:val="22"/>
        </w:rPr>
        <w:t xml:space="preserve"> pattern were observed for vegetables, legumes, starch staples, fish/meat, dairy and nuts and seeds all showing increased frequency of consumption. Chi-square tests indicated that the changes in consumption frequency for all food groups were statistically significant, which show overall improvement in dietary diversity.</w:t>
      </w:r>
    </w:p>
    <w:p w14:paraId="73BAF8AC" w14:textId="77777777" w:rsidR="005026A0" w:rsidRPr="00CA0589" w:rsidRDefault="005026A0" w:rsidP="00CA0589">
      <w:pPr>
        <w:spacing w:line="276" w:lineRule="auto"/>
        <w:jc w:val="both"/>
        <w:rPr>
          <w:rFonts w:ascii="Arial" w:hAnsi="Arial" w:cs="Arial"/>
          <w:sz w:val="22"/>
          <w:szCs w:val="22"/>
        </w:rPr>
      </w:pPr>
    </w:p>
    <w:p w14:paraId="66E2E581" w14:textId="77777777" w:rsidR="00CA0589" w:rsidRDefault="00CA0589">
      <w:pPr>
        <w:spacing w:after="160" w:line="259" w:lineRule="auto"/>
        <w:rPr>
          <w:rFonts w:ascii="Arial" w:hAnsi="Arial" w:cs="Arial"/>
          <w:sz w:val="22"/>
          <w:szCs w:val="22"/>
        </w:rPr>
      </w:pPr>
      <w:r>
        <w:rPr>
          <w:rFonts w:ascii="Arial" w:hAnsi="Arial" w:cs="Arial"/>
          <w:sz w:val="22"/>
          <w:szCs w:val="22"/>
        </w:rPr>
        <w:br w:type="page"/>
      </w:r>
    </w:p>
    <w:p w14:paraId="298B6BFE" w14:textId="065A2CE9" w:rsidR="005026A0" w:rsidRPr="00CA0589" w:rsidRDefault="005026A0" w:rsidP="00CA0589">
      <w:pPr>
        <w:spacing w:line="276" w:lineRule="auto"/>
        <w:ind w:left="900" w:hanging="900"/>
        <w:jc w:val="both"/>
        <w:rPr>
          <w:rFonts w:ascii="Arial" w:hAnsi="Arial" w:cs="Arial"/>
          <w:b/>
          <w:color w:val="000000" w:themeColor="text1"/>
          <w:sz w:val="22"/>
          <w:szCs w:val="22"/>
        </w:rPr>
      </w:pPr>
      <w:r w:rsidRPr="00CA0589">
        <w:rPr>
          <w:rFonts w:ascii="Arial" w:hAnsi="Arial" w:cs="Arial"/>
          <w:b/>
          <w:color w:val="000000" w:themeColor="text1"/>
          <w:sz w:val="22"/>
          <w:szCs w:val="22"/>
        </w:rPr>
        <w:lastRenderedPageBreak/>
        <w:t xml:space="preserve">Table </w:t>
      </w:r>
      <w:r w:rsidR="00CD0E4D">
        <w:rPr>
          <w:rFonts w:ascii="Arial" w:hAnsi="Arial" w:cs="Arial"/>
          <w:b/>
          <w:color w:val="000000" w:themeColor="text1"/>
          <w:sz w:val="22"/>
          <w:szCs w:val="22"/>
        </w:rPr>
        <w:t>4</w:t>
      </w:r>
      <w:r w:rsidRPr="00CA0589">
        <w:rPr>
          <w:rFonts w:ascii="Arial" w:hAnsi="Arial" w:cs="Arial"/>
          <w:b/>
          <w:color w:val="000000" w:themeColor="text1"/>
          <w:sz w:val="22"/>
          <w:szCs w:val="22"/>
        </w:rPr>
        <w:t>: Changes in frequency of food group consumption among pregnant business women in Tunduma at baseline and endline.</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803"/>
        <w:gridCol w:w="2550"/>
        <w:gridCol w:w="1134"/>
        <w:gridCol w:w="993"/>
        <w:gridCol w:w="351"/>
        <w:gridCol w:w="641"/>
        <w:gridCol w:w="765"/>
        <w:gridCol w:w="6"/>
      </w:tblGrid>
      <w:tr w:rsidR="005026A0" w:rsidRPr="00CA0589" w14:paraId="4F869B60" w14:textId="77777777" w:rsidTr="00552620">
        <w:trPr>
          <w:trHeight w:val="300"/>
        </w:trPr>
        <w:tc>
          <w:tcPr>
            <w:tcW w:w="1516" w:type="pct"/>
            <w:vMerge w:val="restart"/>
            <w:tcBorders>
              <w:top w:val="single" w:sz="4" w:space="0" w:color="auto"/>
              <w:bottom w:val="single" w:sz="4" w:space="0" w:color="auto"/>
            </w:tcBorders>
            <w:noWrap/>
            <w:vAlign w:val="center"/>
          </w:tcPr>
          <w:p w14:paraId="64BAB8DA" w14:textId="77777777" w:rsidR="005026A0" w:rsidRPr="00472C29" w:rsidRDefault="005026A0" w:rsidP="00CA0589">
            <w:pPr>
              <w:rPr>
                <w:rFonts w:ascii="Arial" w:eastAsia="Times New Roman" w:hAnsi="Arial" w:cs="Arial"/>
                <w:b/>
                <w:bCs/>
                <w:color w:val="000000" w:themeColor="text1"/>
                <w:sz w:val="18"/>
                <w:szCs w:val="18"/>
              </w:rPr>
            </w:pPr>
            <w:r w:rsidRPr="00472C29">
              <w:rPr>
                <w:rFonts w:ascii="Arial" w:eastAsia="Times New Roman" w:hAnsi="Arial" w:cs="Arial"/>
                <w:b/>
                <w:bCs/>
                <w:color w:val="000000" w:themeColor="text1"/>
                <w:sz w:val="18"/>
                <w:szCs w:val="18"/>
              </w:rPr>
              <w:t>Variable</w:t>
            </w:r>
          </w:p>
        </w:tc>
        <w:tc>
          <w:tcPr>
            <w:tcW w:w="1379" w:type="pct"/>
            <w:vMerge w:val="restart"/>
            <w:tcBorders>
              <w:top w:val="single" w:sz="4" w:space="0" w:color="auto"/>
              <w:bottom w:val="single" w:sz="4" w:space="0" w:color="auto"/>
            </w:tcBorders>
            <w:noWrap/>
            <w:vAlign w:val="center"/>
          </w:tcPr>
          <w:p w14:paraId="6A526B45" w14:textId="77777777" w:rsidR="005026A0" w:rsidRPr="00472C29" w:rsidRDefault="005026A0" w:rsidP="00CA0589">
            <w:pPr>
              <w:rPr>
                <w:rFonts w:ascii="Arial" w:eastAsia="Times New Roman" w:hAnsi="Arial" w:cs="Arial"/>
                <w:b/>
                <w:bCs/>
                <w:color w:val="000000" w:themeColor="text1"/>
                <w:sz w:val="18"/>
                <w:szCs w:val="18"/>
              </w:rPr>
            </w:pPr>
            <w:r w:rsidRPr="00472C29">
              <w:rPr>
                <w:rFonts w:ascii="Arial" w:eastAsia="Times New Roman" w:hAnsi="Arial" w:cs="Arial"/>
                <w:b/>
                <w:bCs/>
                <w:color w:val="000000" w:themeColor="text1"/>
                <w:sz w:val="18"/>
                <w:szCs w:val="18"/>
              </w:rPr>
              <w:t>Category</w:t>
            </w:r>
          </w:p>
        </w:tc>
        <w:tc>
          <w:tcPr>
            <w:tcW w:w="1340" w:type="pct"/>
            <w:gridSpan w:val="3"/>
            <w:tcBorders>
              <w:top w:val="single" w:sz="4" w:space="0" w:color="auto"/>
              <w:bottom w:val="single" w:sz="4" w:space="0" w:color="auto"/>
            </w:tcBorders>
            <w:noWrap/>
            <w:vAlign w:val="center"/>
          </w:tcPr>
          <w:p w14:paraId="76EA1B5E" w14:textId="77777777" w:rsidR="005026A0" w:rsidRPr="00472C29" w:rsidRDefault="005026A0" w:rsidP="00CA0589">
            <w:pPr>
              <w:rPr>
                <w:rFonts w:ascii="Arial" w:eastAsia="Times New Roman" w:hAnsi="Arial" w:cs="Arial"/>
                <w:b/>
                <w:bCs/>
                <w:color w:val="000000" w:themeColor="text1"/>
                <w:sz w:val="18"/>
                <w:szCs w:val="18"/>
              </w:rPr>
            </w:pPr>
            <w:r w:rsidRPr="00472C29">
              <w:rPr>
                <w:rFonts w:ascii="Arial" w:eastAsia="Times New Roman" w:hAnsi="Arial" w:cs="Arial"/>
                <w:b/>
                <w:bCs/>
                <w:color w:val="000000" w:themeColor="text1"/>
                <w:sz w:val="18"/>
                <w:szCs w:val="18"/>
              </w:rPr>
              <w:t>STATUS</w:t>
            </w:r>
          </w:p>
        </w:tc>
        <w:tc>
          <w:tcPr>
            <w:tcW w:w="764" w:type="pct"/>
            <w:gridSpan w:val="3"/>
            <w:tcBorders>
              <w:top w:val="single" w:sz="4" w:space="0" w:color="auto"/>
              <w:bottom w:val="single" w:sz="4" w:space="0" w:color="auto"/>
            </w:tcBorders>
            <w:noWrap/>
            <w:vAlign w:val="center"/>
          </w:tcPr>
          <w:p w14:paraId="0E28D52B" w14:textId="77777777" w:rsidR="005026A0" w:rsidRPr="00472C29" w:rsidRDefault="005026A0" w:rsidP="00CA0589">
            <w:pPr>
              <w:rPr>
                <w:rFonts w:ascii="Arial" w:eastAsia="Times New Roman" w:hAnsi="Arial" w:cs="Arial"/>
                <w:b/>
                <w:bCs/>
                <w:color w:val="000000" w:themeColor="text1"/>
                <w:sz w:val="18"/>
                <w:szCs w:val="18"/>
              </w:rPr>
            </w:pPr>
            <w:r w:rsidRPr="00472C29">
              <w:rPr>
                <w:rFonts w:ascii="Arial" w:eastAsia="Times New Roman" w:hAnsi="Arial" w:cs="Arial"/>
                <w:b/>
                <w:bCs/>
                <w:color w:val="000000" w:themeColor="text1"/>
                <w:sz w:val="18"/>
                <w:szCs w:val="18"/>
              </w:rPr>
              <w:t>Test statistics</w:t>
            </w:r>
          </w:p>
        </w:tc>
      </w:tr>
      <w:tr w:rsidR="005026A0" w:rsidRPr="00CA0589" w14:paraId="402BE231" w14:textId="77777777" w:rsidTr="00552620">
        <w:trPr>
          <w:gridAfter w:val="1"/>
          <w:wAfter w:w="3" w:type="pct"/>
          <w:trHeight w:val="564"/>
        </w:trPr>
        <w:tc>
          <w:tcPr>
            <w:tcW w:w="1516" w:type="pct"/>
            <w:vMerge/>
            <w:vAlign w:val="center"/>
          </w:tcPr>
          <w:p w14:paraId="7A039A06" w14:textId="77777777" w:rsidR="005026A0" w:rsidRPr="00472C29" w:rsidRDefault="005026A0" w:rsidP="00CA0589">
            <w:pPr>
              <w:rPr>
                <w:rFonts w:ascii="Arial" w:eastAsia="Times New Roman" w:hAnsi="Arial" w:cs="Arial"/>
                <w:b/>
                <w:bCs/>
                <w:color w:val="000000" w:themeColor="text1"/>
                <w:sz w:val="18"/>
                <w:szCs w:val="18"/>
              </w:rPr>
            </w:pPr>
          </w:p>
        </w:tc>
        <w:tc>
          <w:tcPr>
            <w:tcW w:w="1379" w:type="pct"/>
            <w:vMerge/>
            <w:vAlign w:val="center"/>
          </w:tcPr>
          <w:p w14:paraId="7738C473" w14:textId="77777777" w:rsidR="005026A0" w:rsidRPr="00472C29" w:rsidRDefault="005026A0" w:rsidP="00CA0589">
            <w:pPr>
              <w:rPr>
                <w:rFonts w:ascii="Arial" w:eastAsia="Times New Roman" w:hAnsi="Arial" w:cs="Arial"/>
                <w:b/>
                <w:bCs/>
                <w:color w:val="000000" w:themeColor="text1"/>
                <w:sz w:val="18"/>
                <w:szCs w:val="18"/>
              </w:rPr>
            </w:pPr>
          </w:p>
        </w:tc>
        <w:tc>
          <w:tcPr>
            <w:tcW w:w="613" w:type="pct"/>
            <w:noWrap/>
            <w:vAlign w:val="center"/>
          </w:tcPr>
          <w:p w14:paraId="57D55BBF" w14:textId="74469B27" w:rsidR="005026A0" w:rsidRPr="00626A92" w:rsidRDefault="00472C29" w:rsidP="00CA0589">
            <w:pPr>
              <w:rPr>
                <w:rFonts w:ascii="Arial" w:eastAsia="Times New Roman" w:hAnsi="Arial" w:cs="Arial"/>
                <w:b/>
                <w:bCs/>
                <w:color w:val="000000" w:themeColor="text1"/>
                <w:sz w:val="18"/>
                <w:szCs w:val="18"/>
              </w:rPr>
            </w:pPr>
            <w:r w:rsidRPr="00626A92">
              <w:rPr>
                <w:rFonts w:ascii="Arial" w:eastAsia="Times New Roman" w:hAnsi="Arial" w:cs="Arial"/>
                <w:b/>
                <w:bCs/>
                <w:color w:val="000000" w:themeColor="text1"/>
                <w:sz w:val="18"/>
                <w:szCs w:val="18"/>
              </w:rPr>
              <w:t>Baseline (%)</w:t>
            </w:r>
          </w:p>
        </w:tc>
        <w:tc>
          <w:tcPr>
            <w:tcW w:w="537" w:type="pct"/>
            <w:noWrap/>
            <w:vAlign w:val="center"/>
          </w:tcPr>
          <w:p w14:paraId="2F2DA4DA" w14:textId="592F312E" w:rsidR="005026A0" w:rsidRPr="00626A92" w:rsidRDefault="00472C29" w:rsidP="00472C29">
            <w:pPr>
              <w:rPr>
                <w:rFonts w:ascii="Arial" w:eastAsia="Times New Roman" w:hAnsi="Arial" w:cs="Arial"/>
                <w:b/>
                <w:bCs/>
                <w:color w:val="000000" w:themeColor="text1"/>
                <w:sz w:val="18"/>
                <w:szCs w:val="18"/>
              </w:rPr>
            </w:pPr>
            <w:r w:rsidRPr="00626A92">
              <w:rPr>
                <w:rFonts w:ascii="Arial" w:eastAsia="Times New Roman" w:hAnsi="Arial" w:cs="Arial"/>
                <w:b/>
                <w:bCs/>
                <w:color w:val="000000" w:themeColor="text1"/>
                <w:sz w:val="18"/>
                <w:szCs w:val="18"/>
              </w:rPr>
              <w:t>Endline (%)</w:t>
            </w:r>
          </w:p>
        </w:tc>
        <w:tc>
          <w:tcPr>
            <w:tcW w:w="537" w:type="pct"/>
            <w:gridSpan w:val="2"/>
            <w:tcBorders>
              <w:top w:val="nil"/>
              <w:bottom w:val="single" w:sz="4" w:space="0" w:color="auto"/>
            </w:tcBorders>
            <w:noWrap/>
            <w:vAlign w:val="center"/>
          </w:tcPr>
          <w:p w14:paraId="0519F958" w14:textId="77777777" w:rsidR="005026A0" w:rsidRPr="00472C29" w:rsidRDefault="005026A0" w:rsidP="00CA0589">
            <w:pPr>
              <w:rPr>
                <w:rFonts w:ascii="Arial" w:eastAsia="Times New Roman" w:hAnsi="Arial" w:cs="Arial"/>
                <w:b/>
                <w:bCs/>
                <w:color w:val="000000" w:themeColor="text1"/>
                <w:sz w:val="18"/>
                <w:szCs w:val="18"/>
              </w:rPr>
            </w:pPr>
            <w:r w:rsidRPr="00472C29">
              <w:rPr>
                <w:rFonts w:ascii="Arial" w:eastAsia="Times New Roman" w:hAnsi="Arial" w:cs="Arial"/>
                <w:b/>
                <w:bCs/>
                <w:color w:val="000000" w:themeColor="text1"/>
                <w:sz w:val="18"/>
                <w:szCs w:val="18"/>
              </w:rPr>
              <w:t>Chi-square</w:t>
            </w:r>
          </w:p>
        </w:tc>
        <w:tc>
          <w:tcPr>
            <w:tcW w:w="414" w:type="pct"/>
            <w:noWrap/>
            <w:vAlign w:val="center"/>
          </w:tcPr>
          <w:p w14:paraId="507F56A5" w14:textId="77777777" w:rsidR="005026A0" w:rsidRPr="00472C29" w:rsidRDefault="005026A0" w:rsidP="00CA0589">
            <w:pPr>
              <w:rPr>
                <w:rFonts w:ascii="Arial" w:eastAsia="Times New Roman" w:hAnsi="Arial" w:cs="Arial"/>
                <w:b/>
                <w:bCs/>
                <w:color w:val="000000" w:themeColor="text1"/>
                <w:sz w:val="18"/>
                <w:szCs w:val="18"/>
              </w:rPr>
            </w:pPr>
            <w:r w:rsidRPr="00472C29">
              <w:rPr>
                <w:rFonts w:ascii="Arial" w:eastAsia="Times New Roman" w:hAnsi="Arial" w:cs="Arial"/>
                <w:b/>
                <w:bCs/>
                <w:color w:val="000000" w:themeColor="text1"/>
                <w:sz w:val="18"/>
                <w:szCs w:val="18"/>
              </w:rPr>
              <w:t>Sig.</w:t>
            </w:r>
          </w:p>
        </w:tc>
      </w:tr>
      <w:tr w:rsidR="005026A0" w:rsidRPr="00CA0589" w14:paraId="223ADCC1" w14:textId="77777777" w:rsidTr="00552620">
        <w:trPr>
          <w:gridAfter w:val="1"/>
          <w:wAfter w:w="3" w:type="pct"/>
          <w:trHeight w:val="288"/>
        </w:trPr>
        <w:tc>
          <w:tcPr>
            <w:tcW w:w="1516" w:type="pct"/>
            <w:vMerge w:val="restart"/>
            <w:tcBorders>
              <w:top w:val="single" w:sz="4" w:space="0" w:color="auto"/>
            </w:tcBorders>
            <w:noWrap/>
            <w:vAlign w:val="center"/>
          </w:tcPr>
          <w:p w14:paraId="6E913B0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Grain, white roots and tubers and plantains</w:t>
            </w:r>
          </w:p>
        </w:tc>
        <w:tc>
          <w:tcPr>
            <w:tcW w:w="1379" w:type="pct"/>
            <w:tcBorders>
              <w:top w:val="single" w:sz="4" w:space="0" w:color="auto"/>
            </w:tcBorders>
            <w:noWrap/>
            <w:vAlign w:val="center"/>
          </w:tcPr>
          <w:p w14:paraId="549180F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tcBorders>
              <w:top w:val="single" w:sz="4" w:space="0" w:color="auto"/>
            </w:tcBorders>
            <w:noWrap/>
            <w:vAlign w:val="center"/>
          </w:tcPr>
          <w:p w14:paraId="6D0D30E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29.1</w:t>
            </w:r>
          </w:p>
        </w:tc>
        <w:tc>
          <w:tcPr>
            <w:tcW w:w="537" w:type="pct"/>
            <w:tcBorders>
              <w:top w:val="single" w:sz="4" w:space="0" w:color="auto"/>
            </w:tcBorders>
            <w:noWrap/>
            <w:vAlign w:val="center"/>
          </w:tcPr>
          <w:p w14:paraId="2E1A48C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13.9</w:t>
            </w:r>
          </w:p>
        </w:tc>
        <w:tc>
          <w:tcPr>
            <w:tcW w:w="537" w:type="pct"/>
            <w:gridSpan w:val="2"/>
            <w:vMerge w:val="restart"/>
            <w:tcBorders>
              <w:top w:val="single" w:sz="4" w:space="0" w:color="auto"/>
            </w:tcBorders>
            <w:noWrap/>
            <w:vAlign w:val="center"/>
          </w:tcPr>
          <w:p w14:paraId="416747D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20.408</w:t>
            </w:r>
          </w:p>
        </w:tc>
        <w:tc>
          <w:tcPr>
            <w:tcW w:w="414" w:type="pct"/>
            <w:vMerge w:val="restart"/>
            <w:noWrap/>
            <w:vAlign w:val="center"/>
          </w:tcPr>
          <w:p w14:paraId="323B265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39E75750" w14:textId="77777777" w:rsidTr="00552620">
        <w:trPr>
          <w:gridAfter w:val="1"/>
          <w:wAfter w:w="3" w:type="pct"/>
          <w:trHeight w:val="101"/>
        </w:trPr>
        <w:tc>
          <w:tcPr>
            <w:tcW w:w="1516" w:type="pct"/>
            <w:vMerge/>
            <w:vAlign w:val="center"/>
          </w:tcPr>
          <w:p w14:paraId="4733A956"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23F41E3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6736D80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65.5</w:t>
            </w:r>
          </w:p>
        </w:tc>
        <w:tc>
          <w:tcPr>
            <w:tcW w:w="537" w:type="pct"/>
            <w:noWrap/>
            <w:vAlign w:val="center"/>
          </w:tcPr>
          <w:p w14:paraId="3E0A4E0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76.7</w:t>
            </w:r>
          </w:p>
        </w:tc>
        <w:tc>
          <w:tcPr>
            <w:tcW w:w="537" w:type="pct"/>
            <w:gridSpan w:val="2"/>
            <w:vMerge/>
            <w:vAlign w:val="center"/>
          </w:tcPr>
          <w:p w14:paraId="2C610378"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20CED5A8"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397E0F7A" w14:textId="77777777" w:rsidTr="00552620">
        <w:trPr>
          <w:gridAfter w:val="1"/>
          <w:wAfter w:w="3" w:type="pct"/>
          <w:trHeight w:val="101"/>
        </w:trPr>
        <w:tc>
          <w:tcPr>
            <w:tcW w:w="1516" w:type="pct"/>
            <w:vMerge/>
            <w:vAlign w:val="center"/>
          </w:tcPr>
          <w:p w14:paraId="7B0D6443"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4BCC542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78C43E2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4.9</w:t>
            </w:r>
          </w:p>
        </w:tc>
        <w:tc>
          <w:tcPr>
            <w:tcW w:w="537" w:type="pct"/>
            <w:noWrap/>
            <w:vAlign w:val="center"/>
          </w:tcPr>
          <w:p w14:paraId="1B90E83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8.5</w:t>
            </w:r>
          </w:p>
        </w:tc>
        <w:tc>
          <w:tcPr>
            <w:tcW w:w="537" w:type="pct"/>
            <w:gridSpan w:val="2"/>
            <w:vMerge/>
            <w:vAlign w:val="center"/>
          </w:tcPr>
          <w:p w14:paraId="21292048"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1C83AA1"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6C45DB36" w14:textId="77777777" w:rsidTr="00552620">
        <w:trPr>
          <w:gridAfter w:val="1"/>
          <w:wAfter w:w="3" w:type="pct"/>
          <w:trHeight w:val="101"/>
        </w:trPr>
        <w:tc>
          <w:tcPr>
            <w:tcW w:w="1516" w:type="pct"/>
            <w:vMerge/>
            <w:vAlign w:val="center"/>
          </w:tcPr>
          <w:p w14:paraId="34247EC2"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771F9E3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130641C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0.4</w:t>
            </w:r>
          </w:p>
        </w:tc>
        <w:tc>
          <w:tcPr>
            <w:tcW w:w="537" w:type="pct"/>
            <w:noWrap/>
            <w:vAlign w:val="center"/>
          </w:tcPr>
          <w:p w14:paraId="721580E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w:t>
            </w:r>
          </w:p>
        </w:tc>
        <w:tc>
          <w:tcPr>
            <w:tcW w:w="537" w:type="pct"/>
            <w:gridSpan w:val="2"/>
            <w:vMerge/>
            <w:vAlign w:val="center"/>
          </w:tcPr>
          <w:p w14:paraId="3DFFC89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8BED6DF"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A919DDF" w14:textId="77777777" w:rsidTr="00552620">
        <w:trPr>
          <w:gridAfter w:val="1"/>
          <w:wAfter w:w="3" w:type="pct"/>
          <w:trHeight w:val="288"/>
        </w:trPr>
        <w:tc>
          <w:tcPr>
            <w:tcW w:w="1516" w:type="pct"/>
            <w:vMerge w:val="restart"/>
            <w:noWrap/>
            <w:vAlign w:val="center"/>
          </w:tcPr>
          <w:p w14:paraId="4EF79B4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Dark green leaf vegetable</w:t>
            </w:r>
          </w:p>
        </w:tc>
        <w:tc>
          <w:tcPr>
            <w:tcW w:w="1379" w:type="pct"/>
            <w:noWrap/>
            <w:vAlign w:val="center"/>
          </w:tcPr>
          <w:p w14:paraId="0C0CEBF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66C4BE7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52.9</w:t>
            </w:r>
          </w:p>
        </w:tc>
        <w:tc>
          <w:tcPr>
            <w:tcW w:w="537" w:type="pct"/>
            <w:noWrap/>
            <w:vAlign w:val="center"/>
          </w:tcPr>
          <w:p w14:paraId="24CBB85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33.6</w:t>
            </w:r>
          </w:p>
        </w:tc>
        <w:tc>
          <w:tcPr>
            <w:tcW w:w="537" w:type="pct"/>
            <w:gridSpan w:val="2"/>
            <w:vMerge w:val="restart"/>
            <w:noWrap/>
            <w:vAlign w:val="center"/>
          </w:tcPr>
          <w:p w14:paraId="366CBF8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20.663</w:t>
            </w:r>
          </w:p>
        </w:tc>
        <w:tc>
          <w:tcPr>
            <w:tcW w:w="414" w:type="pct"/>
            <w:vMerge w:val="restart"/>
            <w:noWrap/>
            <w:vAlign w:val="center"/>
          </w:tcPr>
          <w:p w14:paraId="04FC353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6E93F17D" w14:textId="77777777" w:rsidTr="00552620">
        <w:trPr>
          <w:gridAfter w:val="1"/>
          <w:wAfter w:w="3" w:type="pct"/>
          <w:trHeight w:val="101"/>
        </w:trPr>
        <w:tc>
          <w:tcPr>
            <w:tcW w:w="1516" w:type="pct"/>
            <w:vMerge/>
            <w:vAlign w:val="center"/>
          </w:tcPr>
          <w:p w14:paraId="1F6264A2"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1CBB4E8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58C15DC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41.3</w:t>
            </w:r>
          </w:p>
        </w:tc>
        <w:tc>
          <w:tcPr>
            <w:tcW w:w="537" w:type="pct"/>
            <w:noWrap/>
            <w:vAlign w:val="center"/>
          </w:tcPr>
          <w:p w14:paraId="0D384E8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59.7</w:t>
            </w:r>
          </w:p>
        </w:tc>
        <w:tc>
          <w:tcPr>
            <w:tcW w:w="537" w:type="pct"/>
            <w:gridSpan w:val="2"/>
            <w:vMerge/>
            <w:vAlign w:val="center"/>
          </w:tcPr>
          <w:p w14:paraId="442853D9"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5A259362"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67B683DE" w14:textId="77777777" w:rsidTr="00552620">
        <w:trPr>
          <w:gridAfter w:val="1"/>
          <w:wAfter w:w="3" w:type="pct"/>
          <w:trHeight w:val="101"/>
        </w:trPr>
        <w:tc>
          <w:tcPr>
            <w:tcW w:w="1516" w:type="pct"/>
            <w:vMerge/>
            <w:vAlign w:val="center"/>
          </w:tcPr>
          <w:p w14:paraId="3CA42EEA"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01A88D1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3A3898A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2.7</w:t>
            </w:r>
          </w:p>
        </w:tc>
        <w:tc>
          <w:tcPr>
            <w:tcW w:w="537" w:type="pct"/>
            <w:noWrap/>
            <w:vAlign w:val="center"/>
          </w:tcPr>
          <w:p w14:paraId="2844D91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gridSpan w:val="2"/>
            <w:vMerge/>
            <w:vAlign w:val="center"/>
          </w:tcPr>
          <w:p w14:paraId="744A3DC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5F30A1A8"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51ACFB3" w14:textId="77777777" w:rsidTr="00552620">
        <w:trPr>
          <w:gridAfter w:val="1"/>
          <w:wAfter w:w="3" w:type="pct"/>
          <w:trHeight w:val="101"/>
        </w:trPr>
        <w:tc>
          <w:tcPr>
            <w:tcW w:w="1516" w:type="pct"/>
            <w:vMerge/>
            <w:vAlign w:val="center"/>
          </w:tcPr>
          <w:p w14:paraId="5FEDD3AF"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41DEB9F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189106F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w:t>
            </w:r>
          </w:p>
        </w:tc>
        <w:tc>
          <w:tcPr>
            <w:tcW w:w="537" w:type="pct"/>
            <w:noWrap/>
            <w:vAlign w:val="center"/>
          </w:tcPr>
          <w:p w14:paraId="0EC4B0C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w:t>
            </w:r>
          </w:p>
        </w:tc>
        <w:tc>
          <w:tcPr>
            <w:tcW w:w="537" w:type="pct"/>
            <w:gridSpan w:val="2"/>
            <w:vMerge/>
            <w:vAlign w:val="center"/>
          </w:tcPr>
          <w:p w14:paraId="2ABDCE7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EA61906"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13A32B4D" w14:textId="77777777" w:rsidTr="00552620">
        <w:trPr>
          <w:gridAfter w:val="1"/>
          <w:wAfter w:w="3" w:type="pct"/>
          <w:trHeight w:val="288"/>
        </w:trPr>
        <w:tc>
          <w:tcPr>
            <w:tcW w:w="1516" w:type="pct"/>
            <w:vMerge w:val="restart"/>
            <w:noWrap/>
            <w:vAlign w:val="center"/>
          </w:tcPr>
          <w:p w14:paraId="009EDBA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Legumes (e.g. Beans, pigeon peas, cowpeas, lentils, chickpeas, black beans)</w:t>
            </w:r>
          </w:p>
        </w:tc>
        <w:tc>
          <w:tcPr>
            <w:tcW w:w="1379" w:type="pct"/>
            <w:noWrap/>
            <w:vAlign w:val="center"/>
          </w:tcPr>
          <w:p w14:paraId="695E208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5B140E4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w:t>
            </w:r>
          </w:p>
        </w:tc>
        <w:tc>
          <w:tcPr>
            <w:tcW w:w="537" w:type="pct"/>
            <w:noWrap/>
            <w:vAlign w:val="center"/>
          </w:tcPr>
          <w:p w14:paraId="2B758B0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33.6</w:t>
            </w:r>
          </w:p>
        </w:tc>
        <w:tc>
          <w:tcPr>
            <w:tcW w:w="537" w:type="pct"/>
            <w:gridSpan w:val="2"/>
            <w:vMerge w:val="restart"/>
            <w:noWrap/>
            <w:vAlign w:val="center"/>
          </w:tcPr>
          <w:p w14:paraId="5764147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25.862</w:t>
            </w:r>
          </w:p>
        </w:tc>
        <w:tc>
          <w:tcPr>
            <w:tcW w:w="414" w:type="pct"/>
            <w:vMerge w:val="restart"/>
            <w:noWrap/>
            <w:vAlign w:val="center"/>
          </w:tcPr>
          <w:p w14:paraId="3572E40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4AA17C58" w14:textId="77777777" w:rsidTr="00552620">
        <w:trPr>
          <w:gridAfter w:val="1"/>
          <w:wAfter w:w="3" w:type="pct"/>
          <w:trHeight w:val="101"/>
        </w:trPr>
        <w:tc>
          <w:tcPr>
            <w:tcW w:w="1516" w:type="pct"/>
            <w:vMerge/>
            <w:vAlign w:val="center"/>
          </w:tcPr>
          <w:p w14:paraId="75C0F060"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05D2970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7AF9911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35.4</w:t>
            </w:r>
          </w:p>
        </w:tc>
        <w:tc>
          <w:tcPr>
            <w:tcW w:w="537" w:type="pct"/>
            <w:noWrap/>
            <w:vAlign w:val="center"/>
          </w:tcPr>
          <w:p w14:paraId="533FB7C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56</w:t>
            </w:r>
          </w:p>
        </w:tc>
        <w:tc>
          <w:tcPr>
            <w:tcW w:w="537" w:type="pct"/>
            <w:gridSpan w:val="2"/>
            <w:vMerge/>
            <w:vAlign w:val="center"/>
          </w:tcPr>
          <w:p w14:paraId="4E7A55E3"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63DC453"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6FE72D2" w14:textId="77777777" w:rsidTr="00552620">
        <w:trPr>
          <w:gridAfter w:val="1"/>
          <w:wAfter w:w="3" w:type="pct"/>
          <w:trHeight w:val="101"/>
        </w:trPr>
        <w:tc>
          <w:tcPr>
            <w:tcW w:w="1516" w:type="pct"/>
            <w:vMerge/>
            <w:vAlign w:val="center"/>
          </w:tcPr>
          <w:p w14:paraId="302C0DCB"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2519E5B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6D8E3D1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noWrap/>
            <w:vAlign w:val="center"/>
          </w:tcPr>
          <w:p w14:paraId="04CADAF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8.5</w:t>
            </w:r>
          </w:p>
        </w:tc>
        <w:tc>
          <w:tcPr>
            <w:tcW w:w="537" w:type="pct"/>
            <w:gridSpan w:val="2"/>
            <w:vMerge/>
            <w:vAlign w:val="center"/>
          </w:tcPr>
          <w:p w14:paraId="753E6149"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75271285"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1C9E11FC" w14:textId="77777777" w:rsidTr="00552620">
        <w:trPr>
          <w:gridAfter w:val="1"/>
          <w:wAfter w:w="3" w:type="pct"/>
          <w:trHeight w:val="101"/>
        </w:trPr>
        <w:tc>
          <w:tcPr>
            <w:tcW w:w="1516" w:type="pct"/>
            <w:vMerge/>
            <w:vAlign w:val="center"/>
          </w:tcPr>
          <w:p w14:paraId="1A87E1E5"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69F1CE8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7C8DF88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w:t>
            </w:r>
          </w:p>
        </w:tc>
        <w:tc>
          <w:tcPr>
            <w:tcW w:w="537" w:type="pct"/>
            <w:noWrap/>
            <w:vAlign w:val="center"/>
          </w:tcPr>
          <w:p w14:paraId="6D85005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gridSpan w:val="2"/>
            <w:vMerge/>
            <w:vAlign w:val="center"/>
          </w:tcPr>
          <w:p w14:paraId="226A7EE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A92CBB7"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C28A1D2" w14:textId="77777777" w:rsidTr="00552620">
        <w:trPr>
          <w:gridAfter w:val="1"/>
          <w:wAfter w:w="3" w:type="pct"/>
          <w:trHeight w:val="288"/>
        </w:trPr>
        <w:tc>
          <w:tcPr>
            <w:tcW w:w="1516" w:type="pct"/>
            <w:vMerge w:val="restart"/>
            <w:noWrap/>
            <w:vAlign w:val="center"/>
          </w:tcPr>
          <w:p w14:paraId="7724B69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Nuts and Seeds (e.g. Pumpkin seed, groundnuts, almonds, walnuts, chia seeds)</w:t>
            </w:r>
          </w:p>
        </w:tc>
        <w:tc>
          <w:tcPr>
            <w:tcW w:w="1379" w:type="pct"/>
            <w:noWrap/>
            <w:vAlign w:val="center"/>
          </w:tcPr>
          <w:p w14:paraId="567E2BC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4162589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53.4</w:t>
            </w:r>
          </w:p>
        </w:tc>
        <w:tc>
          <w:tcPr>
            <w:tcW w:w="537" w:type="pct"/>
            <w:noWrap/>
            <w:vAlign w:val="center"/>
          </w:tcPr>
          <w:p w14:paraId="74EE91B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37.7</w:t>
            </w:r>
          </w:p>
        </w:tc>
        <w:tc>
          <w:tcPr>
            <w:tcW w:w="537" w:type="pct"/>
            <w:gridSpan w:val="2"/>
            <w:vMerge w:val="restart"/>
            <w:noWrap/>
            <w:vAlign w:val="center"/>
          </w:tcPr>
          <w:p w14:paraId="7F5A18E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13.441</w:t>
            </w:r>
          </w:p>
        </w:tc>
        <w:tc>
          <w:tcPr>
            <w:tcW w:w="414" w:type="pct"/>
            <w:vMerge w:val="restart"/>
            <w:noWrap/>
            <w:vAlign w:val="center"/>
          </w:tcPr>
          <w:p w14:paraId="3E79A7D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0.009</w:t>
            </w:r>
          </w:p>
        </w:tc>
      </w:tr>
      <w:tr w:rsidR="005026A0" w:rsidRPr="00CA0589" w14:paraId="126BD519" w14:textId="77777777" w:rsidTr="00552620">
        <w:trPr>
          <w:gridAfter w:val="1"/>
          <w:wAfter w:w="3" w:type="pct"/>
          <w:trHeight w:val="101"/>
        </w:trPr>
        <w:tc>
          <w:tcPr>
            <w:tcW w:w="1516" w:type="pct"/>
            <w:vMerge/>
            <w:vAlign w:val="center"/>
          </w:tcPr>
          <w:p w14:paraId="1DD4D067"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084BD47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Rarely (1-2 times)</w:t>
            </w:r>
          </w:p>
        </w:tc>
        <w:tc>
          <w:tcPr>
            <w:tcW w:w="613" w:type="pct"/>
            <w:noWrap/>
            <w:vAlign w:val="center"/>
          </w:tcPr>
          <w:p w14:paraId="602292E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22.4</w:t>
            </w:r>
          </w:p>
        </w:tc>
        <w:tc>
          <w:tcPr>
            <w:tcW w:w="537" w:type="pct"/>
            <w:noWrap/>
            <w:vAlign w:val="center"/>
          </w:tcPr>
          <w:p w14:paraId="296B62B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33.2</w:t>
            </w:r>
          </w:p>
        </w:tc>
        <w:tc>
          <w:tcPr>
            <w:tcW w:w="537" w:type="pct"/>
            <w:gridSpan w:val="2"/>
            <w:vMerge/>
            <w:vAlign w:val="center"/>
          </w:tcPr>
          <w:p w14:paraId="17B5FCEA"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BB463F7"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BCF65D8" w14:textId="77777777" w:rsidTr="00552620">
        <w:trPr>
          <w:gridAfter w:val="1"/>
          <w:wAfter w:w="3" w:type="pct"/>
          <w:trHeight w:val="101"/>
        </w:trPr>
        <w:tc>
          <w:tcPr>
            <w:tcW w:w="1516" w:type="pct"/>
            <w:vMerge/>
            <w:vAlign w:val="center"/>
          </w:tcPr>
          <w:p w14:paraId="4DDAD5CE"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5F4922B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13C6A3E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15.2</w:t>
            </w:r>
          </w:p>
        </w:tc>
        <w:tc>
          <w:tcPr>
            <w:tcW w:w="537" w:type="pct"/>
            <w:noWrap/>
            <w:vAlign w:val="center"/>
          </w:tcPr>
          <w:p w14:paraId="46897B7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20.6</w:t>
            </w:r>
          </w:p>
        </w:tc>
        <w:tc>
          <w:tcPr>
            <w:tcW w:w="537" w:type="pct"/>
            <w:gridSpan w:val="2"/>
            <w:vMerge/>
            <w:vAlign w:val="center"/>
          </w:tcPr>
          <w:p w14:paraId="2352CC84"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A7CAB96"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54F91FB" w14:textId="77777777" w:rsidTr="00552620">
        <w:trPr>
          <w:gridAfter w:val="1"/>
          <w:wAfter w:w="3" w:type="pct"/>
          <w:trHeight w:val="101"/>
        </w:trPr>
        <w:tc>
          <w:tcPr>
            <w:tcW w:w="1516" w:type="pct"/>
            <w:vMerge/>
            <w:vAlign w:val="center"/>
          </w:tcPr>
          <w:p w14:paraId="3E82ECD4"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3FC4674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6CBB7FC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5.8</w:t>
            </w:r>
          </w:p>
        </w:tc>
        <w:tc>
          <w:tcPr>
            <w:tcW w:w="537" w:type="pct"/>
            <w:noWrap/>
            <w:vAlign w:val="center"/>
          </w:tcPr>
          <w:p w14:paraId="70213BA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6.7</w:t>
            </w:r>
          </w:p>
        </w:tc>
        <w:tc>
          <w:tcPr>
            <w:tcW w:w="537" w:type="pct"/>
            <w:gridSpan w:val="2"/>
            <w:vMerge/>
            <w:vAlign w:val="center"/>
          </w:tcPr>
          <w:p w14:paraId="45FB1B9D"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D5F1FB0"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A57CFBF" w14:textId="77777777" w:rsidTr="00552620">
        <w:trPr>
          <w:gridAfter w:val="1"/>
          <w:wAfter w:w="3" w:type="pct"/>
          <w:trHeight w:val="101"/>
        </w:trPr>
        <w:tc>
          <w:tcPr>
            <w:tcW w:w="1516" w:type="pct"/>
            <w:vMerge/>
            <w:vAlign w:val="center"/>
          </w:tcPr>
          <w:p w14:paraId="68A02B5D"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63AC7F2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6B97CCD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w:t>
            </w:r>
          </w:p>
        </w:tc>
        <w:tc>
          <w:tcPr>
            <w:tcW w:w="537" w:type="pct"/>
            <w:noWrap/>
            <w:vAlign w:val="center"/>
          </w:tcPr>
          <w:p w14:paraId="399B539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gridSpan w:val="2"/>
            <w:vMerge/>
            <w:vAlign w:val="center"/>
          </w:tcPr>
          <w:p w14:paraId="16E293E9"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0D511323"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05926144" w14:textId="77777777" w:rsidTr="00552620">
        <w:trPr>
          <w:gridAfter w:val="1"/>
          <w:wAfter w:w="3" w:type="pct"/>
          <w:trHeight w:val="288"/>
        </w:trPr>
        <w:tc>
          <w:tcPr>
            <w:tcW w:w="1516" w:type="pct"/>
            <w:vMerge w:val="restart"/>
            <w:noWrap/>
            <w:vAlign w:val="center"/>
          </w:tcPr>
          <w:p w14:paraId="15C9CEC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Other vitamin A-rich fruits and vegetables</w:t>
            </w:r>
          </w:p>
        </w:tc>
        <w:tc>
          <w:tcPr>
            <w:tcW w:w="1379" w:type="pct"/>
            <w:noWrap/>
            <w:vAlign w:val="center"/>
          </w:tcPr>
          <w:p w14:paraId="7A0E231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0B66480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50.2</w:t>
            </w:r>
          </w:p>
        </w:tc>
        <w:tc>
          <w:tcPr>
            <w:tcW w:w="537" w:type="pct"/>
            <w:noWrap/>
            <w:vAlign w:val="center"/>
          </w:tcPr>
          <w:p w14:paraId="6DE5565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33.6</w:t>
            </w:r>
          </w:p>
        </w:tc>
        <w:tc>
          <w:tcPr>
            <w:tcW w:w="537" w:type="pct"/>
            <w:gridSpan w:val="2"/>
            <w:vMerge w:val="restart"/>
            <w:noWrap/>
            <w:vAlign w:val="center"/>
          </w:tcPr>
          <w:p w14:paraId="122ED4E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14.74</w:t>
            </w:r>
          </w:p>
        </w:tc>
        <w:tc>
          <w:tcPr>
            <w:tcW w:w="414" w:type="pct"/>
            <w:vMerge w:val="restart"/>
            <w:noWrap/>
            <w:vAlign w:val="center"/>
          </w:tcPr>
          <w:p w14:paraId="29AA4E8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0.005</w:t>
            </w:r>
          </w:p>
        </w:tc>
      </w:tr>
      <w:tr w:rsidR="005026A0" w:rsidRPr="00CA0589" w14:paraId="03F21B8C" w14:textId="77777777" w:rsidTr="00552620">
        <w:trPr>
          <w:gridAfter w:val="1"/>
          <w:wAfter w:w="3" w:type="pct"/>
          <w:trHeight w:val="101"/>
        </w:trPr>
        <w:tc>
          <w:tcPr>
            <w:tcW w:w="1516" w:type="pct"/>
            <w:vMerge/>
            <w:vAlign w:val="center"/>
          </w:tcPr>
          <w:p w14:paraId="5BAA1C3B"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2809FBE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2212433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42.1</w:t>
            </w:r>
          </w:p>
        </w:tc>
        <w:tc>
          <w:tcPr>
            <w:tcW w:w="537" w:type="pct"/>
            <w:noWrap/>
            <w:vAlign w:val="center"/>
          </w:tcPr>
          <w:p w14:paraId="31A9241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57.9</w:t>
            </w:r>
          </w:p>
        </w:tc>
        <w:tc>
          <w:tcPr>
            <w:tcW w:w="537" w:type="pct"/>
            <w:gridSpan w:val="2"/>
            <w:vMerge/>
            <w:vAlign w:val="center"/>
          </w:tcPr>
          <w:p w14:paraId="40DB60E6"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B2134C4"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8F6996B" w14:textId="77777777" w:rsidTr="00552620">
        <w:trPr>
          <w:gridAfter w:val="1"/>
          <w:wAfter w:w="3" w:type="pct"/>
          <w:trHeight w:val="101"/>
        </w:trPr>
        <w:tc>
          <w:tcPr>
            <w:tcW w:w="1516" w:type="pct"/>
            <w:vMerge/>
            <w:vAlign w:val="center"/>
          </w:tcPr>
          <w:p w14:paraId="7A178340"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731333B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42B320D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6.3</w:t>
            </w:r>
          </w:p>
        </w:tc>
        <w:tc>
          <w:tcPr>
            <w:tcW w:w="537" w:type="pct"/>
            <w:noWrap/>
            <w:vAlign w:val="center"/>
          </w:tcPr>
          <w:p w14:paraId="6CFF7E3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gridSpan w:val="2"/>
            <w:vMerge/>
            <w:vAlign w:val="center"/>
          </w:tcPr>
          <w:p w14:paraId="209AFBD3"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74BB8552"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3ADF972B" w14:textId="77777777" w:rsidTr="00552620">
        <w:trPr>
          <w:gridAfter w:val="1"/>
          <w:wAfter w:w="3" w:type="pct"/>
          <w:trHeight w:val="101"/>
        </w:trPr>
        <w:tc>
          <w:tcPr>
            <w:tcW w:w="1516" w:type="pct"/>
            <w:vMerge/>
            <w:vAlign w:val="center"/>
          </w:tcPr>
          <w:p w14:paraId="076876D1"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4DA2D45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7AB8F21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w:t>
            </w:r>
          </w:p>
        </w:tc>
        <w:tc>
          <w:tcPr>
            <w:tcW w:w="537" w:type="pct"/>
            <w:noWrap/>
            <w:vAlign w:val="center"/>
          </w:tcPr>
          <w:p w14:paraId="242BFFB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w:t>
            </w:r>
          </w:p>
        </w:tc>
        <w:tc>
          <w:tcPr>
            <w:tcW w:w="537" w:type="pct"/>
            <w:gridSpan w:val="2"/>
            <w:vMerge/>
            <w:vAlign w:val="center"/>
          </w:tcPr>
          <w:p w14:paraId="46FE2BDB"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FE54D9F"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431537E1" w14:textId="77777777" w:rsidTr="00552620">
        <w:trPr>
          <w:gridAfter w:val="1"/>
          <w:wAfter w:w="3" w:type="pct"/>
          <w:trHeight w:val="111"/>
        </w:trPr>
        <w:tc>
          <w:tcPr>
            <w:tcW w:w="1516" w:type="pct"/>
            <w:vMerge w:val="restart"/>
            <w:noWrap/>
            <w:vAlign w:val="center"/>
          </w:tcPr>
          <w:p w14:paraId="2EB70E4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Other vegetable</w:t>
            </w:r>
          </w:p>
        </w:tc>
        <w:tc>
          <w:tcPr>
            <w:tcW w:w="1379" w:type="pct"/>
            <w:noWrap/>
            <w:vAlign w:val="center"/>
          </w:tcPr>
          <w:p w14:paraId="3FAAD85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183942D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59.6</w:t>
            </w:r>
          </w:p>
        </w:tc>
        <w:tc>
          <w:tcPr>
            <w:tcW w:w="537" w:type="pct"/>
            <w:noWrap/>
            <w:vAlign w:val="center"/>
          </w:tcPr>
          <w:p w14:paraId="67C5FA6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35.9</w:t>
            </w:r>
          </w:p>
        </w:tc>
        <w:tc>
          <w:tcPr>
            <w:tcW w:w="537" w:type="pct"/>
            <w:gridSpan w:val="2"/>
            <w:vMerge w:val="restart"/>
            <w:noWrap/>
            <w:vAlign w:val="center"/>
          </w:tcPr>
          <w:p w14:paraId="312472D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27.381</w:t>
            </w:r>
          </w:p>
        </w:tc>
        <w:tc>
          <w:tcPr>
            <w:tcW w:w="414" w:type="pct"/>
            <w:vMerge w:val="restart"/>
            <w:noWrap/>
            <w:vAlign w:val="center"/>
          </w:tcPr>
          <w:p w14:paraId="5E56CD7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2AF58BA9" w14:textId="77777777" w:rsidTr="00552620">
        <w:trPr>
          <w:gridAfter w:val="1"/>
          <w:wAfter w:w="3" w:type="pct"/>
          <w:trHeight w:val="101"/>
        </w:trPr>
        <w:tc>
          <w:tcPr>
            <w:tcW w:w="1516" w:type="pct"/>
            <w:vMerge/>
            <w:vAlign w:val="center"/>
          </w:tcPr>
          <w:p w14:paraId="200D90ED"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437D93F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43A12EB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34.5</w:t>
            </w:r>
          </w:p>
        </w:tc>
        <w:tc>
          <w:tcPr>
            <w:tcW w:w="537" w:type="pct"/>
            <w:noWrap/>
            <w:vAlign w:val="center"/>
          </w:tcPr>
          <w:p w14:paraId="198AC64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55.6</w:t>
            </w:r>
          </w:p>
        </w:tc>
        <w:tc>
          <w:tcPr>
            <w:tcW w:w="537" w:type="pct"/>
            <w:gridSpan w:val="2"/>
            <w:vMerge/>
            <w:vAlign w:val="center"/>
          </w:tcPr>
          <w:p w14:paraId="7BE46AED"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04E6F299"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B4207E9" w14:textId="77777777" w:rsidTr="00552620">
        <w:trPr>
          <w:gridAfter w:val="1"/>
          <w:wAfter w:w="3" w:type="pct"/>
          <w:trHeight w:val="101"/>
        </w:trPr>
        <w:tc>
          <w:tcPr>
            <w:tcW w:w="1516" w:type="pct"/>
            <w:vMerge/>
            <w:vAlign w:val="center"/>
          </w:tcPr>
          <w:p w14:paraId="28FB8F17"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55AD1DC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6D5C2C8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noWrap/>
            <w:vAlign w:val="center"/>
          </w:tcPr>
          <w:p w14:paraId="042499E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7.6</w:t>
            </w:r>
          </w:p>
        </w:tc>
        <w:tc>
          <w:tcPr>
            <w:tcW w:w="537" w:type="pct"/>
            <w:gridSpan w:val="2"/>
            <w:vMerge/>
            <w:vAlign w:val="center"/>
          </w:tcPr>
          <w:p w14:paraId="0B30CD39"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A3DADD1"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4C656C41" w14:textId="77777777" w:rsidTr="00552620">
        <w:trPr>
          <w:gridAfter w:val="1"/>
          <w:wAfter w:w="3" w:type="pct"/>
          <w:trHeight w:val="101"/>
        </w:trPr>
        <w:tc>
          <w:tcPr>
            <w:tcW w:w="1516" w:type="pct"/>
            <w:vMerge/>
            <w:vAlign w:val="center"/>
          </w:tcPr>
          <w:p w14:paraId="0F365F72"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33F85E2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5A419BF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0.4</w:t>
            </w:r>
          </w:p>
        </w:tc>
        <w:tc>
          <w:tcPr>
            <w:tcW w:w="537" w:type="pct"/>
            <w:noWrap/>
            <w:vAlign w:val="center"/>
          </w:tcPr>
          <w:p w14:paraId="2208643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w:t>
            </w:r>
          </w:p>
        </w:tc>
        <w:tc>
          <w:tcPr>
            <w:tcW w:w="537" w:type="pct"/>
            <w:gridSpan w:val="2"/>
            <w:vMerge/>
            <w:vAlign w:val="center"/>
          </w:tcPr>
          <w:p w14:paraId="36F94887"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46045E0"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660D764B" w14:textId="77777777" w:rsidTr="00552620">
        <w:trPr>
          <w:gridAfter w:val="1"/>
          <w:wAfter w:w="3" w:type="pct"/>
          <w:trHeight w:val="288"/>
        </w:trPr>
        <w:tc>
          <w:tcPr>
            <w:tcW w:w="1516" w:type="pct"/>
            <w:vMerge w:val="restart"/>
            <w:noWrap/>
            <w:vAlign w:val="center"/>
          </w:tcPr>
          <w:p w14:paraId="69F6D73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xml:space="preserve">Milk and milk product (e.g., Milk, yogurt and </w:t>
            </w:r>
            <w:proofErr w:type="gramStart"/>
            <w:r w:rsidRPr="00CA0589">
              <w:rPr>
                <w:rFonts w:ascii="Arial" w:eastAsia="Times New Roman" w:hAnsi="Arial" w:cs="Arial"/>
                <w:color w:val="000000" w:themeColor="text1"/>
                <w:sz w:val="22"/>
                <w:szCs w:val="22"/>
              </w:rPr>
              <w:t>other</w:t>
            </w:r>
            <w:proofErr w:type="gramEnd"/>
            <w:r w:rsidRPr="00CA0589">
              <w:rPr>
                <w:rFonts w:ascii="Arial" w:eastAsia="Times New Roman" w:hAnsi="Arial" w:cs="Arial"/>
                <w:color w:val="000000" w:themeColor="text1"/>
                <w:sz w:val="22"/>
                <w:szCs w:val="22"/>
              </w:rPr>
              <w:t xml:space="preserve"> dairy)</w:t>
            </w:r>
          </w:p>
        </w:tc>
        <w:tc>
          <w:tcPr>
            <w:tcW w:w="1379" w:type="pct"/>
            <w:noWrap/>
            <w:vAlign w:val="center"/>
          </w:tcPr>
          <w:p w14:paraId="3DAA945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5409E57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55.6</w:t>
            </w:r>
          </w:p>
        </w:tc>
        <w:tc>
          <w:tcPr>
            <w:tcW w:w="537" w:type="pct"/>
            <w:noWrap/>
            <w:vAlign w:val="center"/>
          </w:tcPr>
          <w:p w14:paraId="1AB5A70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39</w:t>
            </w:r>
          </w:p>
        </w:tc>
        <w:tc>
          <w:tcPr>
            <w:tcW w:w="537" w:type="pct"/>
            <w:gridSpan w:val="2"/>
            <w:vMerge w:val="restart"/>
            <w:noWrap/>
            <w:vAlign w:val="center"/>
          </w:tcPr>
          <w:p w14:paraId="45D4ACD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19.072</w:t>
            </w:r>
          </w:p>
        </w:tc>
        <w:tc>
          <w:tcPr>
            <w:tcW w:w="414" w:type="pct"/>
            <w:vMerge w:val="restart"/>
            <w:noWrap/>
            <w:vAlign w:val="center"/>
          </w:tcPr>
          <w:p w14:paraId="0AF7F8B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0.001</w:t>
            </w:r>
          </w:p>
        </w:tc>
      </w:tr>
      <w:tr w:rsidR="005026A0" w:rsidRPr="00CA0589" w14:paraId="6602C96A" w14:textId="77777777" w:rsidTr="00552620">
        <w:trPr>
          <w:gridAfter w:val="1"/>
          <w:wAfter w:w="3" w:type="pct"/>
          <w:trHeight w:val="101"/>
        </w:trPr>
        <w:tc>
          <w:tcPr>
            <w:tcW w:w="1516" w:type="pct"/>
            <w:vMerge/>
            <w:vAlign w:val="center"/>
          </w:tcPr>
          <w:p w14:paraId="2D801814"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2628824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7B1A641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38.5</w:t>
            </w:r>
          </w:p>
        </w:tc>
        <w:tc>
          <w:tcPr>
            <w:tcW w:w="537" w:type="pct"/>
            <w:noWrap/>
            <w:vAlign w:val="center"/>
          </w:tcPr>
          <w:p w14:paraId="3E7E83B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57.4</w:t>
            </w:r>
          </w:p>
        </w:tc>
        <w:tc>
          <w:tcPr>
            <w:tcW w:w="537" w:type="pct"/>
            <w:gridSpan w:val="2"/>
            <w:vMerge/>
            <w:vAlign w:val="center"/>
          </w:tcPr>
          <w:p w14:paraId="1690210F"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250EF8D"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FF6238F" w14:textId="77777777" w:rsidTr="00552620">
        <w:trPr>
          <w:gridAfter w:val="1"/>
          <w:wAfter w:w="3" w:type="pct"/>
          <w:trHeight w:val="101"/>
        </w:trPr>
        <w:tc>
          <w:tcPr>
            <w:tcW w:w="1516" w:type="pct"/>
            <w:vMerge/>
            <w:vAlign w:val="center"/>
          </w:tcPr>
          <w:p w14:paraId="13F5D581"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590C823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4FEC555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4.9</w:t>
            </w:r>
          </w:p>
        </w:tc>
        <w:tc>
          <w:tcPr>
            <w:tcW w:w="537" w:type="pct"/>
            <w:noWrap/>
            <w:vAlign w:val="center"/>
          </w:tcPr>
          <w:p w14:paraId="3892D0E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gridSpan w:val="2"/>
            <w:vMerge/>
            <w:vAlign w:val="center"/>
          </w:tcPr>
          <w:p w14:paraId="7364459D"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8CF9E3B"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4A25FD59" w14:textId="77777777" w:rsidTr="00552620">
        <w:trPr>
          <w:gridAfter w:val="1"/>
          <w:wAfter w:w="3" w:type="pct"/>
          <w:trHeight w:val="101"/>
        </w:trPr>
        <w:tc>
          <w:tcPr>
            <w:tcW w:w="1516" w:type="pct"/>
            <w:vMerge/>
            <w:vAlign w:val="center"/>
          </w:tcPr>
          <w:p w14:paraId="20BF14E5"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5D91570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2BC580F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w:t>
            </w:r>
          </w:p>
        </w:tc>
        <w:tc>
          <w:tcPr>
            <w:tcW w:w="537" w:type="pct"/>
            <w:noWrap/>
            <w:vAlign w:val="center"/>
          </w:tcPr>
          <w:p w14:paraId="52F1452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gridSpan w:val="2"/>
            <w:vMerge/>
            <w:vAlign w:val="center"/>
          </w:tcPr>
          <w:p w14:paraId="0CF665E0"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3AEF626"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EC0E9B7" w14:textId="77777777" w:rsidTr="00552620">
        <w:trPr>
          <w:gridAfter w:val="1"/>
          <w:wAfter w:w="3" w:type="pct"/>
          <w:trHeight w:val="288"/>
        </w:trPr>
        <w:tc>
          <w:tcPr>
            <w:tcW w:w="1516" w:type="pct"/>
            <w:vMerge w:val="restart"/>
            <w:noWrap/>
            <w:vAlign w:val="center"/>
          </w:tcPr>
          <w:p w14:paraId="2E752E9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Meat, poultry and fish (e.g., Fish, Beef, goat, poultry, pork, eggs)</w:t>
            </w:r>
          </w:p>
        </w:tc>
        <w:tc>
          <w:tcPr>
            <w:tcW w:w="1379" w:type="pct"/>
            <w:noWrap/>
            <w:vAlign w:val="center"/>
          </w:tcPr>
          <w:p w14:paraId="608999A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19D9192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56.5</w:t>
            </w:r>
          </w:p>
        </w:tc>
        <w:tc>
          <w:tcPr>
            <w:tcW w:w="537" w:type="pct"/>
            <w:noWrap/>
            <w:vAlign w:val="center"/>
          </w:tcPr>
          <w:p w14:paraId="38A6B37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37.7</w:t>
            </w:r>
          </w:p>
        </w:tc>
        <w:tc>
          <w:tcPr>
            <w:tcW w:w="537" w:type="pct"/>
            <w:gridSpan w:val="2"/>
            <w:vMerge w:val="restart"/>
            <w:noWrap/>
            <w:vAlign w:val="center"/>
          </w:tcPr>
          <w:p w14:paraId="6E3F2B2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20.328</w:t>
            </w:r>
          </w:p>
        </w:tc>
        <w:tc>
          <w:tcPr>
            <w:tcW w:w="414" w:type="pct"/>
            <w:vMerge w:val="restart"/>
            <w:noWrap/>
            <w:vAlign w:val="center"/>
          </w:tcPr>
          <w:p w14:paraId="086751F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189497DF" w14:textId="77777777" w:rsidTr="00552620">
        <w:trPr>
          <w:gridAfter w:val="1"/>
          <w:wAfter w:w="3" w:type="pct"/>
          <w:trHeight w:val="101"/>
        </w:trPr>
        <w:tc>
          <w:tcPr>
            <w:tcW w:w="1516" w:type="pct"/>
            <w:vMerge/>
            <w:vAlign w:val="center"/>
          </w:tcPr>
          <w:p w14:paraId="49D30206"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3F01736D"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35B5EED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36.8</w:t>
            </w:r>
          </w:p>
        </w:tc>
        <w:tc>
          <w:tcPr>
            <w:tcW w:w="537" w:type="pct"/>
            <w:noWrap/>
            <w:vAlign w:val="center"/>
          </w:tcPr>
          <w:p w14:paraId="1F99A56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57.8</w:t>
            </w:r>
          </w:p>
        </w:tc>
        <w:tc>
          <w:tcPr>
            <w:tcW w:w="537" w:type="pct"/>
            <w:gridSpan w:val="2"/>
            <w:vMerge/>
            <w:vAlign w:val="center"/>
          </w:tcPr>
          <w:p w14:paraId="646BF3DA"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C76E750"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2CB32697" w14:textId="77777777" w:rsidTr="00552620">
        <w:trPr>
          <w:gridAfter w:val="1"/>
          <w:wAfter w:w="3" w:type="pct"/>
          <w:trHeight w:val="101"/>
        </w:trPr>
        <w:tc>
          <w:tcPr>
            <w:tcW w:w="1516" w:type="pct"/>
            <w:vMerge/>
            <w:vAlign w:val="center"/>
          </w:tcPr>
          <w:p w14:paraId="1792F525"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7BD3499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73BABB5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noWrap/>
            <w:vAlign w:val="center"/>
          </w:tcPr>
          <w:p w14:paraId="5DB2975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w:t>
            </w:r>
          </w:p>
        </w:tc>
        <w:tc>
          <w:tcPr>
            <w:tcW w:w="537" w:type="pct"/>
            <w:gridSpan w:val="2"/>
            <w:vMerge/>
            <w:vAlign w:val="center"/>
          </w:tcPr>
          <w:p w14:paraId="27655D4B"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76B8DAE9"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14652250" w14:textId="77777777" w:rsidTr="00552620">
        <w:trPr>
          <w:gridAfter w:val="1"/>
          <w:wAfter w:w="3" w:type="pct"/>
          <w:trHeight w:val="101"/>
        </w:trPr>
        <w:tc>
          <w:tcPr>
            <w:tcW w:w="1516" w:type="pct"/>
            <w:vMerge/>
            <w:vAlign w:val="center"/>
          </w:tcPr>
          <w:p w14:paraId="6FDC31C4"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6D6E0DE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3218781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w:t>
            </w:r>
          </w:p>
        </w:tc>
        <w:tc>
          <w:tcPr>
            <w:tcW w:w="537" w:type="pct"/>
            <w:noWrap/>
            <w:vAlign w:val="center"/>
          </w:tcPr>
          <w:p w14:paraId="6FC3D91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0.4</w:t>
            </w:r>
          </w:p>
        </w:tc>
        <w:tc>
          <w:tcPr>
            <w:tcW w:w="537" w:type="pct"/>
            <w:gridSpan w:val="2"/>
            <w:vMerge/>
            <w:vAlign w:val="center"/>
          </w:tcPr>
          <w:p w14:paraId="476CB6FA"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30B46A77"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6851B007" w14:textId="77777777" w:rsidTr="00552620">
        <w:trPr>
          <w:gridAfter w:val="1"/>
          <w:wAfter w:w="3" w:type="pct"/>
          <w:trHeight w:val="288"/>
        </w:trPr>
        <w:tc>
          <w:tcPr>
            <w:tcW w:w="1516" w:type="pct"/>
            <w:vMerge w:val="restart"/>
            <w:noWrap/>
            <w:vAlign w:val="center"/>
          </w:tcPr>
          <w:p w14:paraId="06E20AB1"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Eggs</w:t>
            </w:r>
          </w:p>
        </w:tc>
        <w:tc>
          <w:tcPr>
            <w:tcW w:w="1379" w:type="pct"/>
            <w:noWrap/>
            <w:vAlign w:val="center"/>
          </w:tcPr>
          <w:p w14:paraId="28C0E18C"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0A99890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61</w:t>
            </w:r>
          </w:p>
        </w:tc>
        <w:tc>
          <w:tcPr>
            <w:tcW w:w="537" w:type="pct"/>
            <w:noWrap/>
            <w:vAlign w:val="center"/>
          </w:tcPr>
          <w:p w14:paraId="3F29E0B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36.8</w:t>
            </w:r>
          </w:p>
        </w:tc>
        <w:tc>
          <w:tcPr>
            <w:tcW w:w="537" w:type="pct"/>
            <w:gridSpan w:val="2"/>
            <w:vMerge w:val="restart"/>
            <w:noWrap/>
            <w:vAlign w:val="center"/>
          </w:tcPr>
          <w:p w14:paraId="449E1E1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31.3</w:t>
            </w:r>
          </w:p>
        </w:tc>
        <w:tc>
          <w:tcPr>
            <w:tcW w:w="414" w:type="pct"/>
            <w:vMerge w:val="restart"/>
            <w:noWrap/>
            <w:vAlign w:val="center"/>
          </w:tcPr>
          <w:p w14:paraId="00F5949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&lt;0.001</w:t>
            </w:r>
          </w:p>
        </w:tc>
      </w:tr>
      <w:tr w:rsidR="005026A0" w:rsidRPr="00CA0589" w14:paraId="25901F1B" w14:textId="77777777" w:rsidTr="00552620">
        <w:trPr>
          <w:gridAfter w:val="1"/>
          <w:wAfter w:w="3" w:type="pct"/>
          <w:trHeight w:val="101"/>
        </w:trPr>
        <w:tc>
          <w:tcPr>
            <w:tcW w:w="1516" w:type="pct"/>
            <w:vMerge/>
            <w:vAlign w:val="center"/>
          </w:tcPr>
          <w:p w14:paraId="20DAFA93"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0BCBAC4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1F9CCF3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34.1</w:t>
            </w:r>
          </w:p>
        </w:tc>
        <w:tc>
          <w:tcPr>
            <w:tcW w:w="537" w:type="pct"/>
            <w:noWrap/>
            <w:vAlign w:val="center"/>
          </w:tcPr>
          <w:p w14:paraId="5DC696B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55.6</w:t>
            </w:r>
          </w:p>
        </w:tc>
        <w:tc>
          <w:tcPr>
            <w:tcW w:w="537" w:type="pct"/>
            <w:gridSpan w:val="2"/>
            <w:vMerge/>
            <w:vAlign w:val="center"/>
          </w:tcPr>
          <w:p w14:paraId="269108F5"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25115900"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3B752499" w14:textId="77777777" w:rsidTr="00552620">
        <w:trPr>
          <w:gridAfter w:val="1"/>
          <w:wAfter w:w="3" w:type="pct"/>
          <w:trHeight w:val="101"/>
        </w:trPr>
        <w:tc>
          <w:tcPr>
            <w:tcW w:w="1516" w:type="pct"/>
            <w:vMerge/>
            <w:vAlign w:val="center"/>
          </w:tcPr>
          <w:p w14:paraId="25061AF0"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764431A4"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31315338"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3.6</w:t>
            </w:r>
          </w:p>
        </w:tc>
        <w:tc>
          <w:tcPr>
            <w:tcW w:w="537" w:type="pct"/>
            <w:noWrap/>
            <w:vAlign w:val="center"/>
          </w:tcPr>
          <w:p w14:paraId="4C5261E3"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5.4</w:t>
            </w:r>
          </w:p>
        </w:tc>
        <w:tc>
          <w:tcPr>
            <w:tcW w:w="537" w:type="pct"/>
            <w:gridSpan w:val="2"/>
            <w:vMerge/>
            <w:vAlign w:val="center"/>
          </w:tcPr>
          <w:p w14:paraId="0F821371"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0C307E97"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08F1BD8" w14:textId="77777777" w:rsidTr="00552620">
        <w:trPr>
          <w:gridAfter w:val="1"/>
          <w:wAfter w:w="3" w:type="pct"/>
          <w:trHeight w:val="101"/>
        </w:trPr>
        <w:tc>
          <w:tcPr>
            <w:tcW w:w="1516" w:type="pct"/>
            <w:vMerge/>
            <w:vAlign w:val="center"/>
          </w:tcPr>
          <w:p w14:paraId="1809CED6"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4B50A5A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6FEF130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1.3</w:t>
            </w:r>
          </w:p>
        </w:tc>
        <w:tc>
          <w:tcPr>
            <w:tcW w:w="537" w:type="pct"/>
            <w:noWrap/>
            <w:vAlign w:val="center"/>
          </w:tcPr>
          <w:p w14:paraId="41BA42A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w:t>
            </w:r>
          </w:p>
        </w:tc>
        <w:tc>
          <w:tcPr>
            <w:tcW w:w="537" w:type="pct"/>
            <w:gridSpan w:val="2"/>
            <w:vMerge/>
            <w:vAlign w:val="center"/>
          </w:tcPr>
          <w:p w14:paraId="219B8FE1"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7EB7FB4"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54E3ACA5" w14:textId="77777777" w:rsidTr="00552620">
        <w:trPr>
          <w:gridAfter w:val="1"/>
          <w:wAfter w:w="3" w:type="pct"/>
          <w:trHeight w:val="288"/>
        </w:trPr>
        <w:tc>
          <w:tcPr>
            <w:tcW w:w="1516" w:type="pct"/>
            <w:vMerge w:val="restart"/>
            <w:noWrap/>
            <w:vAlign w:val="center"/>
          </w:tcPr>
          <w:p w14:paraId="1D2C063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xml:space="preserve">Other fruits </w:t>
            </w:r>
          </w:p>
        </w:tc>
        <w:tc>
          <w:tcPr>
            <w:tcW w:w="1379" w:type="pct"/>
            <w:noWrap/>
            <w:vAlign w:val="center"/>
          </w:tcPr>
          <w:p w14:paraId="3CF61550"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Never</w:t>
            </w:r>
          </w:p>
        </w:tc>
        <w:tc>
          <w:tcPr>
            <w:tcW w:w="613" w:type="pct"/>
            <w:noWrap/>
            <w:vAlign w:val="center"/>
          </w:tcPr>
          <w:p w14:paraId="479C688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83.9</w:t>
            </w:r>
          </w:p>
        </w:tc>
        <w:tc>
          <w:tcPr>
            <w:tcW w:w="537" w:type="pct"/>
            <w:noWrap/>
            <w:vAlign w:val="center"/>
          </w:tcPr>
          <w:p w14:paraId="5663651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42.2</w:t>
            </w:r>
          </w:p>
        </w:tc>
        <w:tc>
          <w:tcPr>
            <w:tcW w:w="537" w:type="pct"/>
            <w:gridSpan w:val="2"/>
            <w:vMerge w:val="restart"/>
            <w:noWrap/>
            <w:vAlign w:val="center"/>
          </w:tcPr>
          <w:p w14:paraId="3E2A70A9"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85.872</w:t>
            </w:r>
          </w:p>
        </w:tc>
        <w:tc>
          <w:tcPr>
            <w:tcW w:w="414" w:type="pct"/>
            <w:vMerge w:val="restart"/>
            <w:noWrap/>
            <w:vAlign w:val="center"/>
          </w:tcPr>
          <w:p w14:paraId="7D30D18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w:t>
            </w:r>
          </w:p>
        </w:tc>
      </w:tr>
      <w:tr w:rsidR="005026A0" w:rsidRPr="00CA0589" w14:paraId="2FD9FF02" w14:textId="77777777" w:rsidTr="00552620">
        <w:trPr>
          <w:gridAfter w:val="1"/>
          <w:wAfter w:w="3" w:type="pct"/>
          <w:trHeight w:val="101"/>
        </w:trPr>
        <w:tc>
          <w:tcPr>
            <w:tcW w:w="1516" w:type="pct"/>
            <w:vMerge/>
            <w:vAlign w:val="center"/>
          </w:tcPr>
          <w:p w14:paraId="3D630631"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1AF14DE2"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Occasionally (1-2 days)</w:t>
            </w:r>
          </w:p>
        </w:tc>
        <w:tc>
          <w:tcPr>
            <w:tcW w:w="613" w:type="pct"/>
            <w:noWrap/>
            <w:vAlign w:val="center"/>
          </w:tcPr>
          <w:p w14:paraId="3645A6E7"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14.4</w:t>
            </w:r>
          </w:p>
        </w:tc>
        <w:tc>
          <w:tcPr>
            <w:tcW w:w="537" w:type="pct"/>
            <w:noWrap/>
            <w:vAlign w:val="center"/>
          </w:tcPr>
          <w:p w14:paraId="2920B08E"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50.7</w:t>
            </w:r>
          </w:p>
        </w:tc>
        <w:tc>
          <w:tcPr>
            <w:tcW w:w="537" w:type="pct"/>
            <w:gridSpan w:val="2"/>
            <w:vMerge/>
            <w:vAlign w:val="center"/>
          </w:tcPr>
          <w:p w14:paraId="6621F9BF"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4076FD23"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1A3828AC" w14:textId="77777777" w:rsidTr="00552620">
        <w:trPr>
          <w:gridAfter w:val="1"/>
          <w:wAfter w:w="3" w:type="pct"/>
          <w:trHeight w:val="101"/>
        </w:trPr>
        <w:tc>
          <w:tcPr>
            <w:tcW w:w="1516" w:type="pct"/>
            <w:vMerge/>
            <w:vAlign w:val="center"/>
          </w:tcPr>
          <w:p w14:paraId="5918BAA7"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24BD8B1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Frequently (3-4 days)</w:t>
            </w:r>
          </w:p>
        </w:tc>
        <w:tc>
          <w:tcPr>
            <w:tcW w:w="613" w:type="pct"/>
            <w:noWrap/>
            <w:vAlign w:val="center"/>
          </w:tcPr>
          <w:p w14:paraId="168D8C7B"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1.8</w:t>
            </w:r>
          </w:p>
        </w:tc>
        <w:tc>
          <w:tcPr>
            <w:tcW w:w="537" w:type="pct"/>
            <w:noWrap/>
            <w:vAlign w:val="center"/>
          </w:tcPr>
          <w:p w14:paraId="4F531B15"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6.3</w:t>
            </w:r>
          </w:p>
        </w:tc>
        <w:tc>
          <w:tcPr>
            <w:tcW w:w="537" w:type="pct"/>
            <w:gridSpan w:val="2"/>
            <w:vMerge/>
            <w:vAlign w:val="center"/>
          </w:tcPr>
          <w:p w14:paraId="4242CAA6"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176509DD" w14:textId="77777777" w:rsidR="005026A0" w:rsidRPr="00CA0589" w:rsidRDefault="005026A0" w:rsidP="00CA0589">
            <w:pPr>
              <w:rPr>
                <w:rFonts w:ascii="Arial" w:eastAsia="Times New Roman" w:hAnsi="Arial" w:cs="Arial"/>
                <w:color w:val="000000" w:themeColor="text1"/>
                <w:sz w:val="22"/>
                <w:szCs w:val="22"/>
              </w:rPr>
            </w:pPr>
          </w:p>
        </w:tc>
      </w:tr>
      <w:tr w:rsidR="005026A0" w:rsidRPr="00CA0589" w14:paraId="7FB2A905" w14:textId="77777777" w:rsidTr="00552620">
        <w:trPr>
          <w:gridAfter w:val="1"/>
          <w:wAfter w:w="3" w:type="pct"/>
          <w:trHeight w:val="101"/>
        </w:trPr>
        <w:tc>
          <w:tcPr>
            <w:tcW w:w="1516" w:type="pct"/>
            <w:vMerge/>
            <w:vAlign w:val="center"/>
          </w:tcPr>
          <w:p w14:paraId="777D099A" w14:textId="77777777" w:rsidR="005026A0" w:rsidRPr="00CA0589" w:rsidRDefault="005026A0" w:rsidP="00CA0589">
            <w:pPr>
              <w:rPr>
                <w:rFonts w:ascii="Arial" w:eastAsia="Times New Roman" w:hAnsi="Arial" w:cs="Arial"/>
                <w:color w:val="000000" w:themeColor="text1"/>
                <w:sz w:val="22"/>
                <w:szCs w:val="22"/>
              </w:rPr>
            </w:pPr>
          </w:p>
        </w:tc>
        <w:tc>
          <w:tcPr>
            <w:tcW w:w="1379" w:type="pct"/>
            <w:noWrap/>
            <w:vAlign w:val="center"/>
          </w:tcPr>
          <w:p w14:paraId="12E63EDA"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Almost daily (5-6 days)</w:t>
            </w:r>
          </w:p>
        </w:tc>
        <w:tc>
          <w:tcPr>
            <w:tcW w:w="613" w:type="pct"/>
            <w:noWrap/>
            <w:vAlign w:val="center"/>
          </w:tcPr>
          <w:p w14:paraId="2605E5DF"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w:t>
            </w:r>
          </w:p>
        </w:tc>
        <w:tc>
          <w:tcPr>
            <w:tcW w:w="537" w:type="pct"/>
            <w:noWrap/>
            <w:vAlign w:val="center"/>
          </w:tcPr>
          <w:p w14:paraId="4B506A16" w14:textId="77777777" w:rsidR="005026A0" w:rsidRPr="00CA0589" w:rsidRDefault="005026A0" w:rsidP="00CA0589">
            <w:pPr>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w:t>
            </w:r>
          </w:p>
        </w:tc>
        <w:tc>
          <w:tcPr>
            <w:tcW w:w="537" w:type="pct"/>
            <w:gridSpan w:val="2"/>
            <w:vMerge/>
            <w:vAlign w:val="center"/>
          </w:tcPr>
          <w:p w14:paraId="6702B22B" w14:textId="77777777" w:rsidR="005026A0" w:rsidRPr="00CA0589" w:rsidRDefault="005026A0" w:rsidP="00CA0589">
            <w:pPr>
              <w:rPr>
                <w:rFonts w:ascii="Arial" w:eastAsia="Times New Roman" w:hAnsi="Arial" w:cs="Arial"/>
                <w:color w:val="000000" w:themeColor="text1"/>
                <w:sz w:val="22"/>
                <w:szCs w:val="22"/>
              </w:rPr>
            </w:pPr>
          </w:p>
        </w:tc>
        <w:tc>
          <w:tcPr>
            <w:tcW w:w="414" w:type="pct"/>
            <w:vMerge/>
            <w:vAlign w:val="center"/>
          </w:tcPr>
          <w:p w14:paraId="6D7A1634" w14:textId="77777777" w:rsidR="005026A0" w:rsidRPr="00CA0589" w:rsidRDefault="005026A0" w:rsidP="00CA0589">
            <w:pPr>
              <w:rPr>
                <w:rFonts w:ascii="Arial" w:eastAsia="Times New Roman" w:hAnsi="Arial" w:cs="Arial"/>
                <w:color w:val="000000" w:themeColor="text1"/>
                <w:sz w:val="22"/>
                <w:szCs w:val="22"/>
              </w:rPr>
            </w:pPr>
          </w:p>
        </w:tc>
      </w:tr>
    </w:tbl>
    <w:p w14:paraId="040B26D2" w14:textId="77777777" w:rsidR="005026A0" w:rsidRPr="00CA0589" w:rsidRDefault="005026A0" w:rsidP="00CA0589">
      <w:pPr>
        <w:spacing w:line="276" w:lineRule="auto"/>
        <w:rPr>
          <w:rFonts w:ascii="Arial" w:hAnsi="Arial" w:cs="Arial"/>
          <w:color w:val="000000" w:themeColor="text1"/>
          <w:sz w:val="22"/>
          <w:szCs w:val="22"/>
        </w:rPr>
      </w:pPr>
    </w:p>
    <w:p w14:paraId="3ADCFF76"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3.7</w:t>
      </w:r>
      <w:r w:rsidR="00CA0589">
        <w:rPr>
          <w:rFonts w:ascii="Arial" w:hAnsi="Arial" w:cs="Arial"/>
          <w:b/>
          <w:sz w:val="22"/>
          <w:szCs w:val="22"/>
        </w:rPr>
        <w:tab/>
      </w:r>
      <w:r w:rsidRPr="00CA0589">
        <w:rPr>
          <w:rFonts w:ascii="Arial" w:hAnsi="Arial" w:cs="Arial"/>
          <w:b/>
          <w:sz w:val="22"/>
          <w:szCs w:val="22"/>
        </w:rPr>
        <w:t>Anthropometric Parameters</w:t>
      </w:r>
    </w:p>
    <w:p w14:paraId="4B411C0C"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Result showed that 89.2% (n=199) of infants had normal birth weight (2.5-4.0kg), 6.7% (n=15) had low birth weight (&lt;2.5kg) and 4.0% (n=9) had over weight (&gt;4.0kg). For birth length, 76.7% (n=171) were normal length (45-55cm), 13.5% (n=30) were below 45cm, and 9.9% (n=22) were above 55cm. Regarding head circumference, 72.6% (n=162) measured 32-37cm, 18.4% (n=41) were below 32cm and 19.7% were over 37 cm. Low birth weight, </w:t>
      </w:r>
      <w:r w:rsidRPr="00CA0589">
        <w:rPr>
          <w:rFonts w:ascii="Arial" w:hAnsi="Arial" w:cs="Arial"/>
          <w:sz w:val="22"/>
          <w:szCs w:val="22"/>
        </w:rPr>
        <w:lastRenderedPageBreak/>
        <w:t xml:space="preserve">below normal birth length and head circumference suggest that a significant proportion of mothers experiencing nutritional deficiencies during pregnancy which can directly impact fetal growth and development. </w:t>
      </w:r>
    </w:p>
    <w:p w14:paraId="1BDDCB75" w14:textId="77777777" w:rsidR="005026A0" w:rsidRPr="00CA0589" w:rsidRDefault="005026A0" w:rsidP="00CA0589">
      <w:pPr>
        <w:spacing w:line="276" w:lineRule="auto"/>
        <w:jc w:val="both"/>
        <w:rPr>
          <w:rFonts w:ascii="Arial" w:hAnsi="Arial" w:cs="Arial"/>
          <w:sz w:val="22"/>
          <w:szCs w:val="22"/>
        </w:rPr>
      </w:pPr>
    </w:p>
    <w:p w14:paraId="26D30BD7" w14:textId="72C96A06"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b/>
          <w:bCs/>
          <w:color w:val="000000" w:themeColor="text1"/>
          <w:sz w:val="22"/>
          <w:szCs w:val="22"/>
        </w:rPr>
        <w:t xml:space="preserve">Table </w:t>
      </w:r>
      <w:r w:rsidR="00CD0E4D">
        <w:rPr>
          <w:rFonts w:ascii="Arial" w:hAnsi="Arial" w:cs="Arial"/>
          <w:b/>
          <w:bCs/>
          <w:color w:val="000000" w:themeColor="text1"/>
          <w:sz w:val="22"/>
          <w:szCs w:val="22"/>
        </w:rPr>
        <w:t>5</w:t>
      </w:r>
      <w:r w:rsidRPr="00CA0589">
        <w:rPr>
          <w:rFonts w:ascii="Arial" w:hAnsi="Arial" w:cs="Arial"/>
          <w:b/>
          <w:bCs/>
          <w:color w:val="000000" w:themeColor="text1"/>
          <w:sz w:val="22"/>
          <w:szCs w:val="22"/>
        </w:rPr>
        <w:t>: Birth weight, length, and head circumference information of infants.</w:t>
      </w:r>
    </w:p>
    <w:tbl>
      <w:tblPr>
        <w:tblW w:w="9063" w:type="dxa"/>
        <w:tblLook w:val="04A0" w:firstRow="1" w:lastRow="0" w:firstColumn="1" w:lastColumn="0" w:noHBand="0" w:noVBand="1"/>
      </w:tblPr>
      <w:tblGrid>
        <w:gridCol w:w="2928"/>
        <w:gridCol w:w="3957"/>
        <w:gridCol w:w="1089"/>
        <w:gridCol w:w="1219"/>
      </w:tblGrid>
      <w:tr w:rsidR="005026A0" w:rsidRPr="00CA0589" w14:paraId="6DCB7CA3" w14:textId="77777777" w:rsidTr="00552620">
        <w:trPr>
          <w:trHeight w:val="309"/>
        </w:trPr>
        <w:tc>
          <w:tcPr>
            <w:tcW w:w="6885" w:type="dxa"/>
            <w:gridSpan w:val="2"/>
            <w:tcBorders>
              <w:top w:val="single" w:sz="4" w:space="0" w:color="auto"/>
              <w:left w:val="nil"/>
              <w:bottom w:val="single" w:sz="4" w:space="0" w:color="auto"/>
              <w:right w:val="nil"/>
            </w:tcBorders>
            <w:noWrap/>
            <w:vAlign w:val="bottom"/>
          </w:tcPr>
          <w:p w14:paraId="097A03C3" w14:textId="77777777"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Variable</w:t>
            </w:r>
          </w:p>
        </w:tc>
        <w:tc>
          <w:tcPr>
            <w:tcW w:w="1089" w:type="dxa"/>
            <w:tcBorders>
              <w:top w:val="single" w:sz="4" w:space="0" w:color="auto"/>
              <w:left w:val="nil"/>
              <w:bottom w:val="single" w:sz="4" w:space="0" w:color="auto"/>
              <w:right w:val="nil"/>
            </w:tcBorders>
            <w:noWrap/>
            <w:vAlign w:val="bottom"/>
          </w:tcPr>
          <w:p w14:paraId="28EEFC59" w14:textId="77777777"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Freq.</w:t>
            </w:r>
          </w:p>
        </w:tc>
        <w:tc>
          <w:tcPr>
            <w:tcW w:w="1089" w:type="dxa"/>
            <w:tcBorders>
              <w:top w:val="single" w:sz="4" w:space="0" w:color="auto"/>
              <w:left w:val="nil"/>
              <w:bottom w:val="single" w:sz="4" w:space="0" w:color="auto"/>
              <w:right w:val="nil"/>
            </w:tcBorders>
            <w:noWrap/>
            <w:vAlign w:val="bottom"/>
          </w:tcPr>
          <w:p w14:paraId="7353B81F" w14:textId="77777777"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Percent%</w:t>
            </w:r>
          </w:p>
        </w:tc>
      </w:tr>
      <w:tr w:rsidR="005026A0" w:rsidRPr="00CA0589" w14:paraId="57B1B025" w14:textId="77777777" w:rsidTr="00552620">
        <w:trPr>
          <w:trHeight w:val="106"/>
        </w:trPr>
        <w:tc>
          <w:tcPr>
            <w:tcW w:w="2928" w:type="dxa"/>
            <w:vMerge w:val="restart"/>
            <w:tcBorders>
              <w:top w:val="nil"/>
              <w:left w:val="nil"/>
              <w:bottom w:val="nil"/>
              <w:right w:val="nil"/>
            </w:tcBorders>
            <w:noWrap/>
          </w:tcPr>
          <w:p w14:paraId="32797153"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Infant’s Birth Weight</w:t>
            </w:r>
          </w:p>
        </w:tc>
        <w:tc>
          <w:tcPr>
            <w:tcW w:w="3957" w:type="dxa"/>
            <w:tcBorders>
              <w:top w:val="nil"/>
              <w:left w:val="nil"/>
              <w:bottom w:val="nil"/>
              <w:right w:val="nil"/>
            </w:tcBorders>
            <w:noWrap/>
          </w:tcPr>
          <w:p w14:paraId="77FD5D95"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 &lt;2.5 kg</w:t>
            </w:r>
          </w:p>
        </w:tc>
        <w:tc>
          <w:tcPr>
            <w:tcW w:w="1089" w:type="dxa"/>
            <w:tcBorders>
              <w:top w:val="nil"/>
              <w:left w:val="nil"/>
              <w:bottom w:val="nil"/>
              <w:right w:val="nil"/>
            </w:tcBorders>
            <w:noWrap/>
          </w:tcPr>
          <w:p w14:paraId="4DFC1490"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15</w:t>
            </w:r>
          </w:p>
        </w:tc>
        <w:tc>
          <w:tcPr>
            <w:tcW w:w="1089" w:type="dxa"/>
            <w:tcBorders>
              <w:top w:val="nil"/>
              <w:left w:val="nil"/>
              <w:bottom w:val="nil"/>
              <w:right w:val="nil"/>
            </w:tcBorders>
            <w:noWrap/>
          </w:tcPr>
          <w:p w14:paraId="5AADC6D5"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6.7</w:t>
            </w:r>
          </w:p>
        </w:tc>
      </w:tr>
      <w:tr w:rsidR="005026A0" w:rsidRPr="00CA0589" w14:paraId="7C2B48AE" w14:textId="77777777" w:rsidTr="00552620">
        <w:trPr>
          <w:trHeight w:val="116"/>
        </w:trPr>
        <w:tc>
          <w:tcPr>
            <w:tcW w:w="2928" w:type="dxa"/>
            <w:vMerge/>
            <w:tcBorders>
              <w:top w:val="nil"/>
              <w:left w:val="nil"/>
              <w:bottom w:val="nil"/>
              <w:right w:val="nil"/>
            </w:tcBorders>
          </w:tcPr>
          <w:p w14:paraId="56BF6251"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noWrap/>
          </w:tcPr>
          <w:p w14:paraId="072BA654"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2.5 - 4.0 kg </w:t>
            </w:r>
          </w:p>
        </w:tc>
        <w:tc>
          <w:tcPr>
            <w:tcW w:w="1089" w:type="dxa"/>
            <w:tcBorders>
              <w:top w:val="nil"/>
              <w:left w:val="nil"/>
              <w:bottom w:val="nil"/>
              <w:right w:val="nil"/>
            </w:tcBorders>
            <w:noWrap/>
          </w:tcPr>
          <w:p w14:paraId="3098A362"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199</w:t>
            </w:r>
          </w:p>
        </w:tc>
        <w:tc>
          <w:tcPr>
            <w:tcW w:w="1089" w:type="dxa"/>
            <w:tcBorders>
              <w:top w:val="nil"/>
              <w:left w:val="nil"/>
              <w:bottom w:val="nil"/>
              <w:right w:val="nil"/>
            </w:tcBorders>
            <w:noWrap/>
          </w:tcPr>
          <w:p w14:paraId="6AC0A949"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89.2</w:t>
            </w:r>
          </w:p>
        </w:tc>
      </w:tr>
      <w:tr w:rsidR="005026A0" w:rsidRPr="00CA0589" w14:paraId="2BB0734C" w14:textId="77777777" w:rsidTr="00552620">
        <w:trPr>
          <w:trHeight w:val="100"/>
        </w:trPr>
        <w:tc>
          <w:tcPr>
            <w:tcW w:w="2928" w:type="dxa"/>
            <w:vMerge/>
            <w:tcBorders>
              <w:top w:val="nil"/>
              <w:left w:val="nil"/>
              <w:bottom w:val="nil"/>
              <w:right w:val="nil"/>
            </w:tcBorders>
          </w:tcPr>
          <w:p w14:paraId="23904262"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noWrap/>
          </w:tcPr>
          <w:p w14:paraId="704F772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&gt;4.0 kg </w:t>
            </w:r>
          </w:p>
        </w:tc>
        <w:tc>
          <w:tcPr>
            <w:tcW w:w="1089" w:type="dxa"/>
            <w:tcBorders>
              <w:top w:val="nil"/>
              <w:left w:val="nil"/>
              <w:bottom w:val="nil"/>
              <w:right w:val="nil"/>
            </w:tcBorders>
            <w:noWrap/>
          </w:tcPr>
          <w:p w14:paraId="339AECEF"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9</w:t>
            </w:r>
          </w:p>
        </w:tc>
        <w:tc>
          <w:tcPr>
            <w:tcW w:w="1089" w:type="dxa"/>
            <w:tcBorders>
              <w:top w:val="nil"/>
              <w:left w:val="nil"/>
              <w:bottom w:val="nil"/>
              <w:right w:val="nil"/>
            </w:tcBorders>
            <w:noWrap/>
          </w:tcPr>
          <w:p w14:paraId="598057AD"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4.00</w:t>
            </w:r>
          </w:p>
        </w:tc>
      </w:tr>
      <w:tr w:rsidR="005026A0" w:rsidRPr="00CA0589" w14:paraId="62E30FF4" w14:textId="77777777" w:rsidTr="00552620">
        <w:trPr>
          <w:trHeight w:val="116"/>
        </w:trPr>
        <w:tc>
          <w:tcPr>
            <w:tcW w:w="2928" w:type="dxa"/>
            <w:vMerge w:val="restart"/>
            <w:tcBorders>
              <w:top w:val="nil"/>
              <w:left w:val="nil"/>
              <w:bottom w:val="nil"/>
              <w:right w:val="nil"/>
            </w:tcBorders>
            <w:noWrap/>
          </w:tcPr>
          <w:p w14:paraId="2B43F038"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Infant’s Birth Length</w:t>
            </w:r>
          </w:p>
        </w:tc>
        <w:tc>
          <w:tcPr>
            <w:tcW w:w="3957" w:type="dxa"/>
            <w:tcBorders>
              <w:top w:val="nil"/>
              <w:left w:val="nil"/>
              <w:bottom w:val="nil"/>
              <w:right w:val="nil"/>
            </w:tcBorders>
            <w:noWrap/>
          </w:tcPr>
          <w:p w14:paraId="6863645D"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&lt; 45 cm</w:t>
            </w:r>
          </w:p>
        </w:tc>
        <w:tc>
          <w:tcPr>
            <w:tcW w:w="1089" w:type="dxa"/>
            <w:tcBorders>
              <w:top w:val="nil"/>
              <w:left w:val="nil"/>
              <w:bottom w:val="nil"/>
              <w:right w:val="nil"/>
            </w:tcBorders>
            <w:noWrap/>
          </w:tcPr>
          <w:p w14:paraId="480E43B0"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30</w:t>
            </w:r>
          </w:p>
        </w:tc>
        <w:tc>
          <w:tcPr>
            <w:tcW w:w="1089" w:type="dxa"/>
            <w:tcBorders>
              <w:top w:val="nil"/>
              <w:left w:val="nil"/>
              <w:bottom w:val="nil"/>
              <w:right w:val="nil"/>
            </w:tcBorders>
            <w:noWrap/>
          </w:tcPr>
          <w:p w14:paraId="66479319"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13.5</w:t>
            </w:r>
          </w:p>
        </w:tc>
      </w:tr>
      <w:tr w:rsidR="005026A0" w:rsidRPr="00CA0589" w14:paraId="01582079" w14:textId="77777777" w:rsidTr="00552620">
        <w:trPr>
          <w:trHeight w:val="116"/>
        </w:trPr>
        <w:tc>
          <w:tcPr>
            <w:tcW w:w="2928" w:type="dxa"/>
            <w:vMerge/>
            <w:tcBorders>
              <w:top w:val="nil"/>
              <w:left w:val="nil"/>
              <w:bottom w:val="nil"/>
              <w:right w:val="nil"/>
            </w:tcBorders>
          </w:tcPr>
          <w:p w14:paraId="3BE7F6BB"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noWrap/>
          </w:tcPr>
          <w:p w14:paraId="4CF13DC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45 - 55 cm</w:t>
            </w:r>
          </w:p>
        </w:tc>
        <w:tc>
          <w:tcPr>
            <w:tcW w:w="1089" w:type="dxa"/>
            <w:tcBorders>
              <w:top w:val="nil"/>
              <w:left w:val="nil"/>
              <w:bottom w:val="nil"/>
              <w:right w:val="nil"/>
            </w:tcBorders>
            <w:noWrap/>
          </w:tcPr>
          <w:p w14:paraId="5DDBA69A"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171</w:t>
            </w:r>
          </w:p>
        </w:tc>
        <w:tc>
          <w:tcPr>
            <w:tcW w:w="1089" w:type="dxa"/>
            <w:tcBorders>
              <w:top w:val="nil"/>
              <w:left w:val="nil"/>
              <w:bottom w:val="nil"/>
              <w:right w:val="nil"/>
            </w:tcBorders>
            <w:noWrap/>
          </w:tcPr>
          <w:p w14:paraId="4E933B5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76.7</w:t>
            </w:r>
          </w:p>
        </w:tc>
      </w:tr>
      <w:tr w:rsidR="005026A0" w:rsidRPr="00CA0589" w14:paraId="70F02C29" w14:textId="77777777" w:rsidTr="00552620">
        <w:trPr>
          <w:trHeight w:val="116"/>
        </w:trPr>
        <w:tc>
          <w:tcPr>
            <w:tcW w:w="2928" w:type="dxa"/>
            <w:vMerge/>
            <w:tcBorders>
              <w:top w:val="nil"/>
              <w:left w:val="nil"/>
              <w:bottom w:val="nil"/>
              <w:right w:val="nil"/>
            </w:tcBorders>
          </w:tcPr>
          <w:p w14:paraId="2CE26759"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noWrap/>
          </w:tcPr>
          <w:p w14:paraId="04A38D50"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&gt;55 cm</w:t>
            </w:r>
          </w:p>
        </w:tc>
        <w:tc>
          <w:tcPr>
            <w:tcW w:w="1089" w:type="dxa"/>
            <w:tcBorders>
              <w:top w:val="nil"/>
              <w:left w:val="nil"/>
              <w:bottom w:val="nil"/>
              <w:right w:val="nil"/>
            </w:tcBorders>
            <w:noWrap/>
          </w:tcPr>
          <w:p w14:paraId="1170FC1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22</w:t>
            </w:r>
          </w:p>
        </w:tc>
        <w:tc>
          <w:tcPr>
            <w:tcW w:w="1089" w:type="dxa"/>
            <w:tcBorders>
              <w:top w:val="nil"/>
              <w:left w:val="nil"/>
              <w:bottom w:val="nil"/>
              <w:right w:val="nil"/>
            </w:tcBorders>
            <w:noWrap/>
          </w:tcPr>
          <w:p w14:paraId="368394CC"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9.9</w:t>
            </w:r>
          </w:p>
        </w:tc>
      </w:tr>
      <w:tr w:rsidR="005026A0" w:rsidRPr="00CA0589" w14:paraId="5AD5A648" w14:textId="77777777" w:rsidTr="00552620">
        <w:trPr>
          <w:trHeight w:val="116"/>
        </w:trPr>
        <w:tc>
          <w:tcPr>
            <w:tcW w:w="2928" w:type="dxa"/>
            <w:vMerge w:val="restart"/>
            <w:tcBorders>
              <w:top w:val="nil"/>
              <w:left w:val="nil"/>
              <w:bottom w:val="single" w:sz="4" w:space="0" w:color="000000"/>
              <w:right w:val="nil"/>
            </w:tcBorders>
            <w:noWrap/>
          </w:tcPr>
          <w:p w14:paraId="48DB2584"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Infant’s Head Circumference</w:t>
            </w:r>
          </w:p>
        </w:tc>
        <w:tc>
          <w:tcPr>
            <w:tcW w:w="3957" w:type="dxa"/>
            <w:tcBorders>
              <w:top w:val="nil"/>
              <w:left w:val="nil"/>
              <w:bottom w:val="nil"/>
              <w:right w:val="nil"/>
            </w:tcBorders>
            <w:noWrap/>
          </w:tcPr>
          <w:p w14:paraId="1A3B2647"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&lt;32 cm</w:t>
            </w:r>
          </w:p>
        </w:tc>
        <w:tc>
          <w:tcPr>
            <w:tcW w:w="1089" w:type="dxa"/>
            <w:tcBorders>
              <w:top w:val="nil"/>
              <w:left w:val="nil"/>
              <w:bottom w:val="nil"/>
              <w:right w:val="nil"/>
            </w:tcBorders>
            <w:noWrap/>
          </w:tcPr>
          <w:p w14:paraId="6A3825CA"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20</w:t>
            </w:r>
          </w:p>
        </w:tc>
        <w:tc>
          <w:tcPr>
            <w:tcW w:w="1089" w:type="dxa"/>
            <w:tcBorders>
              <w:top w:val="nil"/>
              <w:left w:val="nil"/>
              <w:bottom w:val="nil"/>
              <w:right w:val="nil"/>
            </w:tcBorders>
            <w:noWrap/>
          </w:tcPr>
          <w:p w14:paraId="070EB8D6"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9.0</w:t>
            </w:r>
          </w:p>
        </w:tc>
      </w:tr>
      <w:tr w:rsidR="005026A0" w:rsidRPr="00CA0589" w14:paraId="20F94188" w14:textId="77777777" w:rsidTr="00552620">
        <w:trPr>
          <w:trHeight w:val="106"/>
        </w:trPr>
        <w:tc>
          <w:tcPr>
            <w:tcW w:w="2928" w:type="dxa"/>
            <w:vMerge/>
            <w:tcBorders>
              <w:top w:val="nil"/>
              <w:left w:val="nil"/>
              <w:bottom w:val="single" w:sz="4" w:space="0" w:color="000000"/>
              <w:right w:val="nil"/>
            </w:tcBorders>
          </w:tcPr>
          <w:p w14:paraId="51590F5E"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nil"/>
              <w:right w:val="nil"/>
            </w:tcBorders>
            <w:noWrap/>
          </w:tcPr>
          <w:p w14:paraId="60AF629C"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32 - 37 cm</w:t>
            </w:r>
          </w:p>
        </w:tc>
        <w:tc>
          <w:tcPr>
            <w:tcW w:w="1089" w:type="dxa"/>
            <w:tcBorders>
              <w:top w:val="nil"/>
              <w:left w:val="nil"/>
              <w:bottom w:val="nil"/>
              <w:right w:val="nil"/>
            </w:tcBorders>
            <w:noWrap/>
          </w:tcPr>
          <w:p w14:paraId="4366F63B"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162</w:t>
            </w:r>
          </w:p>
        </w:tc>
        <w:tc>
          <w:tcPr>
            <w:tcW w:w="1089" w:type="dxa"/>
            <w:tcBorders>
              <w:top w:val="nil"/>
              <w:left w:val="nil"/>
              <w:bottom w:val="nil"/>
              <w:right w:val="nil"/>
            </w:tcBorders>
            <w:noWrap/>
          </w:tcPr>
          <w:p w14:paraId="6000FD10"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72.6</w:t>
            </w:r>
          </w:p>
        </w:tc>
      </w:tr>
      <w:tr w:rsidR="005026A0" w:rsidRPr="00CA0589" w14:paraId="4B02008C" w14:textId="77777777" w:rsidTr="00552620">
        <w:trPr>
          <w:trHeight w:val="106"/>
        </w:trPr>
        <w:tc>
          <w:tcPr>
            <w:tcW w:w="2928" w:type="dxa"/>
            <w:vMerge/>
            <w:tcBorders>
              <w:top w:val="nil"/>
              <w:left w:val="nil"/>
              <w:bottom w:val="single" w:sz="4" w:space="0" w:color="auto"/>
              <w:right w:val="nil"/>
            </w:tcBorders>
          </w:tcPr>
          <w:p w14:paraId="1553B568" w14:textId="77777777" w:rsidR="005026A0" w:rsidRPr="00CA0589" w:rsidRDefault="005026A0" w:rsidP="00CA0589">
            <w:pPr>
              <w:spacing w:line="276" w:lineRule="auto"/>
              <w:jc w:val="both"/>
              <w:rPr>
                <w:rFonts w:ascii="Arial" w:hAnsi="Arial" w:cs="Arial"/>
                <w:color w:val="000000" w:themeColor="text1"/>
                <w:sz w:val="22"/>
                <w:szCs w:val="22"/>
              </w:rPr>
            </w:pPr>
          </w:p>
        </w:tc>
        <w:tc>
          <w:tcPr>
            <w:tcW w:w="3957" w:type="dxa"/>
            <w:tcBorders>
              <w:top w:val="nil"/>
              <w:left w:val="nil"/>
              <w:bottom w:val="single" w:sz="4" w:space="0" w:color="auto"/>
              <w:right w:val="nil"/>
            </w:tcBorders>
            <w:noWrap/>
          </w:tcPr>
          <w:p w14:paraId="476316B2"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&lt;37 cm</w:t>
            </w:r>
          </w:p>
        </w:tc>
        <w:tc>
          <w:tcPr>
            <w:tcW w:w="1089" w:type="dxa"/>
            <w:tcBorders>
              <w:top w:val="nil"/>
              <w:left w:val="nil"/>
              <w:bottom w:val="single" w:sz="4" w:space="0" w:color="auto"/>
              <w:right w:val="nil"/>
            </w:tcBorders>
            <w:noWrap/>
          </w:tcPr>
          <w:p w14:paraId="3F6A822E"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41</w:t>
            </w:r>
          </w:p>
        </w:tc>
        <w:tc>
          <w:tcPr>
            <w:tcW w:w="1089" w:type="dxa"/>
            <w:tcBorders>
              <w:top w:val="nil"/>
              <w:left w:val="nil"/>
              <w:bottom w:val="single" w:sz="4" w:space="0" w:color="auto"/>
              <w:right w:val="nil"/>
            </w:tcBorders>
            <w:noWrap/>
          </w:tcPr>
          <w:p w14:paraId="7410FE8B"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18.4</w:t>
            </w:r>
          </w:p>
        </w:tc>
      </w:tr>
    </w:tbl>
    <w:p w14:paraId="26DBE3FC" w14:textId="77777777" w:rsidR="005026A0" w:rsidRPr="00CA0589" w:rsidRDefault="005026A0" w:rsidP="00CA0589">
      <w:pPr>
        <w:spacing w:line="276" w:lineRule="auto"/>
        <w:jc w:val="both"/>
        <w:rPr>
          <w:rFonts w:ascii="Arial" w:hAnsi="Arial" w:cs="Arial"/>
          <w:b/>
          <w:color w:val="000000" w:themeColor="text1"/>
          <w:sz w:val="22"/>
          <w:szCs w:val="22"/>
        </w:rPr>
      </w:pPr>
    </w:p>
    <w:p w14:paraId="5CC60E51"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3.8</w:t>
      </w:r>
      <w:r w:rsidR="00CA0589">
        <w:rPr>
          <w:rFonts w:ascii="Arial" w:hAnsi="Arial" w:cs="Arial"/>
          <w:b/>
          <w:sz w:val="22"/>
          <w:szCs w:val="22"/>
        </w:rPr>
        <w:tab/>
      </w:r>
      <w:r w:rsidRPr="00CA0589">
        <w:rPr>
          <w:rFonts w:ascii="Arial" w:hAnsi="Arial" w:cs="Arial"/>
          <w:b/>
          <w:sz w:val="22"/>
          <w:szCs w:val="22"/>
        </w:rPr>
        <w:t>Factors associated with MDD-W</w:t>
      </w:r>
    </w:p>
    <w:p w14:paraId="3520161D"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3.8.1</w:t>
      </w:r>
      <w:r w:rsidR="00CA0589">
        <w:rPr>
          <w:rFonts w:ascii="Arial" w:hAnsi="Arial" w:cs="Arial"/>
          <w:b/>
          <w:sz w:val="22"/>
          <w:szCs w:val="22"/>
        </w:rPr>
        <w:tab/>
      </w:r>
      <w:r w:rsidRPr="00CA0589">
        <w:rPr>
          <w:rFonts w:ascii="Arial" w:hAnsi="Arial" w:cs="Arial"/>
          <w:b/>
          <w:sz w:val="22"/>
          <w:szCs w:val="22"/>
        </w:rPr>
        <w:t>Demographic factor</w:t>
      </w:r>
    </w:p>
    <w:p w14:paraId="2AFD2476" w14:textId="4D9029CE"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hAnsi="Arial" w:cs="Arial"/>
          <w:sz w:val="22"/>
          <w:szCs w:val="22"/>
        </w:rPr>
        <w:t>The results of a multiple linear regression model predicting Dietary Diversity Scores (DDS) show that cultural or traditional dietary practices and access to healthy food option at work showed positive but statistically insignificant effects on DDS (</w:t>
      </w:r>
      <w:r w:rsidR="00143CD2" w:rsidRPr="00143CD2">
        <w:rPr>
          <w:rFonts w:ascii="Arial" w:hAnsi="Arial" w:cs="Arial"/>
          <w:i/>
          <w:sz w:val="22"/>
          <w:szCs w:val="22"/>
        </w:rPr>
        <w:t>p=0.621</w:t>
      </w:r>
      <w:r w:rsidR="00143CD2" w:rsidRPr="00CA0589">
        <w:rPr>
          <w:rFonts w:ascii="Arial" w:hAnsi="Arial" w:cs="Arial"/>
          <w:sz w:val="22"/>
          <w:szCs w:val="22"/>
        </w:rPr>
        <w:t xml:space="preserve"> </w:t>
      </w:r>
      <w:r w:rsidRPr="00CA0589">
        <w:rPr>
          <w:rFonts w:ascii="Arial" w:hAnsi="Arial" w:cs="Arial"/>
          <w:sz w:val="22"/>
          <w:szCs w:val="22"/>
        </w:rPr>
        <w:t xml:space="preserve">and </w:t>
      </w:r>
      <w:r w:rsidR="00143CD2" w:rsidRPr="00143CD2">
        <w:rPr>
          <w:rFonts w:ascii="Arial" w:hAnsi="Arial" w:cs="Arial"/>
          <w:i/>
          <w:sz w:val="22"/>
          <w:szCs w:val="22"/>
        </w:rPr>
        <w:t>p=0.716</w:t>
      </w:r>
      <w:r w:rsidRPr="00CA0589">
        <w:rPr>
          <w:rFonts w:ascii="Arial" w:hAnsi="Arial" w:cs="Arial"/>
          <w:sz w:val="22"/>
          <w:szCs w:val="22"/>
        </w:rPr>
        <w:t>). In contrast type of business significantly influenced DDS: agricultural produce traders and shopkeepers had lower DDS by 2.937 and 2.158 points respectively compared to restaurant operators (</w:t>
      </w:r>
      <w:r w:rsidR="00143CD2" w:rsidRPr="00143CD2">
        <w:rPr>
          <w:rFonts w:ascii="Arial" w:hAnsi="Arial" w:cs="Arial"/>
          <w:i/>
          <w:sz w:val="22"/>
          <w:szCs w:val="22"/>
        </w:rPr>
        <w:t>p=0.0045</w:t>
      </w:r>
      <w:r w:rsidR="00143CD2" w:rsidRPr="00CA0589">
        <w:rPr>
          <w:rFonts w:ascii="Arial" w:hAnsi="Arial" w:cs="Arial"/>
          <w:sz w:val="22"/>
          <w:szCs w:val="22"/>
        </w:rPr>
        <w:t xml:space="preserve"> </w:t>
      </w:r>
      <w:r w:rsidRPr="00CA0589">
        <w:rPr>
          <w:rFonts w:ascii="Arial" w:hAnsi="Arial" w:cs="Arial"/>
          <w:sz w:val="22"/>
          <w:szCs w:val="22"/>
        </w:rPr>
        <w:t xml:space="preserve">and </w:t>
      </w:r>
      <w:r w:rsidR="00143CD2" w:rsidRPr="00143CD2">
        <w:rPr>
          <w:rFonts w:ascii="Arial" w:hAnsi="Arial" w:cs="Arial"/>
          <w:i/>
          <w:sz w:val="22"/>
          <w:szCs w:val="22"/>
        </w:rPr>
        <w:t>p=0.050</w:t>
      </w:r>
      <w:r w:rsidR="00143CD2" w:rsidRPr="00CA0589">
        <w:rPr>
          <w:rFonts w:ascii="Arial" w:hAnsi="Arial" w:cs="Arial"/>
          <w:sz w:val="22"/>
          <w:szCs w:val="22"/>
        </w:rPr>
        <w:t xml:space="preserve"> </w:t>
      </w:r>
      <w:r w:rsidRPr="00CA0589">
        <w:rPr>
          <w:rFonts w:ascii="Arial" w:hAnsi="Arial" w:cs="Arial"/>
          <w:sz w:val="22"/>
          <w:szCs w:val="22"/>
        </w:rPr>
        <w:t xml:space="preserve">respectively). The model constant </w:t>
      </w:r>
      <w:r w:rsidRPr="00CA0589">
        <w:rPr>
          <w:rFonts w:ascii="Arial" w:eastAsia="Times New Roman" w:hAnsi="Arial" w:cs="Arial"/>
          <w:color w:val="000000"/>
          <w:sz w:val="22"/>
          <w:szCs w:val="22"/>
        </w:rPr>
        <w:t>(_cons), representing the average DDS for restaurant operators without dietary restrictions or cultural practices and with no healthy food access at work was 6.586.</w:t>
      </w:r>
    </w:p>
    <w:p w14:paraId="4C6C991C" w14:textId="77777777" w:rsidR="005026A0" w:rsidRPr="00CA0589" w:rsidRDefault="005026A0" w:rsidP="00CA0589">
      <w:pPr>
        <w:spacing w:line="276" w:lineRule="auto"/>
        <w:jc w:val="both"/>
        <w:rPr>
          <w:rFonts w:ascii="Arial" w:eastAsia="Times New Roman" w:hAnsi="Arial" w:cs="Arial"/>
          <w:color w:val="000000"/>
          <w:sz w:val="22"/>
          <w:szCs w:val="22"/>
        </w:rPr>
      </w:pPr>
    </w:p>
    <w:p w14:paraId="7D3AA3A1" w14:textId="64C156AA"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t xml:space="preserve">Table </w:t>
      </w:r>
      <w:r w:rsidR="00CD0E4D">
        <w:rPr>
          <w:rFonts w:ascii="Arial" w:hAnsi="Arial" w:cs="Arial"/>
          <w:b/>
          <w:color w:val="000000" w:themeColor="text1"/>
          <w:sz w:val="22"/>
          <w:szCs w:val="22"/>
        </w:rPr>
        <w:t>6</w:t>
      </w:r>
      <w:r w:rsidRPr="00CA0589">
        <w:rPr>
          <w:rFonts w:ascii="Arial" w:hAnsi="Arial" w:cs="Arial"/>
          <w:b/>
          <w:color w:val="000000" w:themeColor="text1"/>
          <w:sz w:val="22"/>
          <w:szCs w:val="22"/>
        </w:rPr>
        <w:t>: Coefficients of Multiple Linear Regression Model Predicting DDS.</w:t>
      </w:r>
    </w:p>
    <w:tbl>
      <w:tblPr>
        <w:tblW w:w="5000" w:type="pct"/>
        <w:tblLook w:val="04A0" w:firstRow="1" w:lastRow="0" w:firstColumn="1" w:lastColumn="0" w:noHBand="0" w:noVBand="1"/>
      </w:tblPr>
      <w:tblGrid>
        <w:gridCol w:w="3789"/>
        <w:gridCol w:w="1126"/>
        <w:gridCol w:w="900"/>
        <w:gridCol w:w="699"/>
        <w:gridCol w:w="849"/>
        <w:gridCol w:w="775"/>
        <w:gridCol w:w="1105"/>
      </w:tblGrid>
      <w:tr w:rsidR="005026A0" w:rsidRPr="00053305" w14:paraId="3F7A36F1" w14:textId="77777777" w:rsidTr="00053305">
        <w:trPr>
          <w:trHeight w:val="149"/>
        </w:trPr>
        <w:tc>
          <w:tcPr>
            <w:tcW w:w="2050" w:type="pct"/>
            <w:tcBorders>
              <w:top w:val="single" w:sz="4" w:space="0" w:color="auto"/>
              <w:left w:val="nil"/>
              <w:bottom w:val="single" w:sz="4" w:space="0" w:color="auto"/>
              <w:right w:val="nil"/>
            </w:tcBorders>
            <w:noWrap/>
            <w:vAlign w:val="bottom"/>
            <w:hideMark/>
          </w:tcPr>
          <w:p w14:paraId="4DA45D3C"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DDS score</w:t>
            </w:r>
          </w:p>
        </w:tc>
        <w:tc>
          <w:tcPr>
            <w:tcW w:w="609" w:type="pct"/>
            <w:tcBorders>
              <w:top w:val="single" w:sz="4" w:space="0" w:color="auto"/>
              <w:left w:val="nil"/>
              <w:bottom w:val="single" w:sz="4" w:space="0" w:color="auto"/>
              <w:right w:val="nil"/>
            </w:tcBorders>
            <w:noWrap/>
            <w:vAlign w:val="bottom"/>
            <w:hideMark/>
          </w:tcPr>
          <w:p w14:paraId="3599A97A"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Coefficient</w:t>
            </w:r>
          </w:p>
        </w:tc>
        <w:tc>
          <w:tcPr>
            <w:tcW w:w="487" w:type="pct"/>
            <w:tcBorders>
              <w:top w:val="single" w:sz="4" w:space="0" w:color="auto"/>
              <w:left w:val="nil"/>
              <w:bottom w:val="single" w:sz="4" w:space="0" w:color="auto"/>
              <w:right w:val="nil"/>
            </w:tcBorders>
            <w:noWrap/>
            <w:vAlign w:val="bottom"/>
            <w:hideMark/>
          </w:tcPr>
          <w:p w14:paraId="63078FA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 xml:space="preserve">Std. </w:t>
            </w:r>
            <w:proofErr w:type="gramStart"/>
            <w:r w:rsidRPr="00053305">
              <w:rPr>
                <w:rFonts w:ascii="Arial" w:eastAsia="Times New Roman" w:hAnsi="Arial" w:cs="Arial"/>
                <w:color w:val="000000"/>
                <w:sz w:val="18"/>
                <w:szCs w:val="22"/>
              </w:rPr>
              <w:t>err</w:t>
            </w:r>
            <w:proofErr w:type="gramEnd"/>
            <w:r w:rsidRPr="00053305">
              <w:rPr>
                <w:rFonts w:ascii="Arial" w:eastAsia="Times New Roman" w:hAnsi="Arial" w:cs="Arial"/>
                <w:color w:val="000000"/>
                <w:sz w:val="18"/>
                <w:szCs w:val="22"/>
              </w:rPr>
              <w:t>.</w:t>
            </w:r>
          </w:p>
        </w:tc>
        <w:tc>
          <w:tcPr>
            <w:tcW w:w="378" w:type="pct"/>
            <w:tcBorders>
              <w:top w:val="single" w:sz="4" w:space="0" w:color="auto"/>
              <w:left w:val="nil"/>
              <w:bottom w:val="single" w:sz="4" w:space="0" w:color="auto"/>
              <w:right w:val="nil"/>
            </w:tcBorders>
            <w:noWrap/>
            <w:vAlign w:val="bottom"/>
            <w:hideMark/>
          </w:tcPr>
          <w:p w14:paraId="341DD2F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t</w:t>
            </w:r>
          </w:p>
        </w:tc>
        <w:tc>
          <w:tcPr>
            <w:tcW w:w="459" w:type="pct"/>
            <w:tcBorders>
              <w:top w:val="single" w:sz="4" w:space="0" w:color="auto"/>
              <w:left w:val="nil"/>
              <w:bottom w:val="single" w:sz="4" w:space="0" w:color="auto"/>
              <w:right w:val="nil"/>
            </w:tcBorders>
            <w:noWrap/>
            <w:vAlign w:val="bottom"/>
            <w:hideMark/>
          </w:tcPr>
          <w:p w14:paraId="7732AEB5" w14:textId="77777777" w:rsidR="005026A0" w:rsidRPr="00053305" w:rsidRDefault="005026A0" w:rsidP="00053305">
            <w:pPr>
              <w:jc w:val="both"/>
              <w:rPr>
                <w:rFonts w:ascii="Arial" w:eastAsia="Times New Roman" w:hAnsi="Arial" w:cs="Arial"/>
                <w:color w:val="000000"/>
                <w:sz w:val="18"/>
                <w:szCs w:val="22"/>
              </w:rPr>
            </w:pPr>
            <w:r w:rsidRPr="00143CD2">
              <w:rPr>
                <w:rFonts w:ascii="Arial" w:eastAsia="Times New Roman" w:hAnsi="Arial" w:cs="Arial"/>
                <w:i/>
                <w:color w:val="000000"/>
                <w:sz w:val="18"/>
                <w:szCs w:val="22"/>
              </w:rPr>
              <w:t>P</w:t>
            </w:r>
            <w:r w:rsidRPr="00053305">
              <w:rPr>
                <w:rFonts w:ascii="Arial" w:eastAsia="Times New Roman" w:hAnsi="Arial" w:cs="Arial"/>
                <w:color w:val="000000"/>
                <w:sz w:val="18"/>
                <w:szCs w:val="22"/>
              </w:rPr>
              <w:t>&gt;t</w:t>
            </w:r>
          </w:p>
        </w:tc>
        <w:tc>
          <w:tcPr>
            <w:tcW w:w="1017" w:type="pct"/>
            <w:gridSpan w:val="2"/>
            <w:tcBorders>
              <w:top w:val="single" w:sz="4" w:space="0" w:color="auto"/>
              <w:left w:val="nil"/>
              <w:bottom w:val="single" w:sz="4" w:space="0" w:color="auto"/>
              <w:right w:val="nil"/>
            </w:tcBorders>
            <w:noWrap/>
            <w:vAlign w:val="bottom"/>
            <w:hideMark/>
          </w:tcPr>
          <w:p w14:paraId="6E654E5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[95% conf. interval]</w:t>
            </w:r>
          </w:p>
        </w:tc>
      </w:tr>
      <w:tr w:rsidR="005026A0" w:rsidRPr="00053305" w14:paraId="10C2DF89" w14:textId="77777777" w:rsidTr="00053305">
        <w:trPr>
          <w:trHeight w:val="79"/>
        </w:trPr>
        <w:tc>
          <w:tcPr>
            <w:tcW w:w="2050" w:type="pct"/>
            <w:tcBorders>
              <w:top w:val="nil"/>
              <w:left w:val="nil"/>
              <w:bottom w:val="nil"/>
              <w:right w:val="nil"/>
            </w:tcBorders>
            <w:noWrap/>
            <w:vAlign w:val="bottom"/>
            <w:hideMark/>
          </w:tcPr>
          <w:p w14:paraId="4E9A9A5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 xml:space="preserve">Cultural or traditional dietary practices (1) </w:t>
            </w:r>
          </w:p>
        </w:tc>
        <w:tc>
          <w:tcPr>
            <w:tcW w:w="609" w:type="pct"/>
            <w:tcBorders>
              <w:top w:val="nil"/>
              <w:left w:val="nil"/>
              <w:bottom w:val="nil"/>
              <w:right w:val="nil"/>
            </w:tcBorders>
            <w:noWrap/>
            <w:vAlign w:val="bottom"/>
            <w:hideMark/>
          </w:tcPr>
          <w:p w14:paraId="1C1FA678"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1.414</w:t>
            </w:r>
          </w:p>
        </w:tc>
        <w:tc>
          <w:tcPr>
            <w:tcW w:w="487" w:type="pct"/>
            <w:tcBorders>
              <w:top w:val="nil"/>
              <w:left w:val="nil"/>
              <w:bottom w:val="nil"/>
              <w:right w:val="nil"/>
            </w:tcBorders>
            <w:noWrap/>
            <w:vAlign w:val="bottom"/>
            <w:hideMark/>
          </w:tcPr>
          <w:p w14:paraId="0541F92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2.853</w:t>
            </w:r>
          </w:p>
        </w:tc>
        <w:tc>
          <w:tcPr>
            <w:tcW w:w="378" w:type="pct"/>
            <w:tcBorders>
              <w:top w:val="nil"/>
              <w:left w:val="nil"/>
              <w:bottom w:val="nil"/>
              <w:right w:val="nil"/>
            </w:tcBorders>
            <w:noWrap/>
            <w:vAlign w:val="bottom"/>
            <w:hideMark/>
          </w:tcPr>
          <w:p w14:paraId="4F00F3EF"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0.5</w:t>
            </w:r>
          </w:p>
        </w:tc>
        <w:tc>
          <w:tcPr>
            <w:tcW w:w="459" w:type="pct"/>
            <w:tcBorders>
              <w:top w:val="nil"/>
              <w:left w:val="nil"/>
              <w:bottom w:val="nil"/>
              <w:right w:val="nil"/>
            </w:tcBorders>
            <w:noWrap/>
            <w:vAlign w:val="bottom"/>
            <w:hideMark/>
          </w:tcPr>
          <w:p w14:paraId="729B07B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0.621</w:t>
            </w:r>
          </w:p>
        </w:tc>
        <w:tc>
          <w:tcPr>
            <w:tcW w:w="419" w:type="pct"/>
            <w:tcBorders>
              <w:top w:val="nil"/>
              <w:left w:val="nil"/>
              <w:bottom w:val="nil"/>
              <w:right w:val="nil"/>
            </w:tcBorders>
            <w:noWrap/>
            <w:vAlign w:val="bottom"/>
            <w:hideMark/>
          </w:tcPr>
          <w:p w14:paraId="4082F268"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-4.209</w:t>
            </w:r>
          </w:p>
        </w:tc>
        <w:tc>
          <w:tcPr>
            <w:tcW w:w="598" w:type="pct"/>
            <w:tcBorders>
              <w:top w:val="nil"/>
              <w:left w:val="nil"/>
              <w:bottom w:val="nil"/>
              <w:right w:val="nil"/>
            </w:tcBorders>
            <w:noWrap/>
            <w:vAlign w:val="bottom"/>
            <w:hideMark/>
          </w:tcPr>
          <w:p w14:paraId="7A9A693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7.037</w:t>
            </w:r>
          </w:p>
        </w:tc>
      </w:tr>
      <w:tr w:rsidR="005026A0" w:rsidRPr="00053305" w14:paraId="617CFC0B" w14:textId="77777777" w:rsidTr="00053305">
        <w:trPr>
          <w:trHeight w:val="89"/>
        </w:trPr>
        <w:tc>
          <w:tcPr>
            <w:tcW w:w="2050" w:type="pct"/>
            <w:tcBorders>
              <w:top w:val="nil"/>
              <w:left w:val="nil"/>
              <w:bottom w:val="nil"/>
              <w:right w:val="nil"/>
            </w:tcBorders>
            <w:noWrap/>
            <w:vAlign w:val="bottom"/>
            <w:hideMark/>
          </w:tcPr>
          <w:p w14:paraId="1F06572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Access to healthy food options at work (1)</w:t>
            </w:r>
          </w:p>
        </w:tc>
        <w:tc>
          <w:tcPr>
            <w:tcW w:w="609" w:type="pct"/>
            <w:tcBorders>
              <w:top w:val="nil"/>
              <w:left w:val="nil"/>
              <w:bottom w:val="nil"/>
              <w:right w:val="nil"/>
            </w:tcBorders>
            <w:noWrap/>
            <w:vAlign w:val="bottom"/>
            <w:hideMark/>
          </w:tcPr>
          <w:p w14:paraId="51491D9F"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0.405</w:t>
            </w:r>
          </w:p>
        </w:tc>
        <w:tc>
          <w:tcPr>
            <w:tcW w:w="487" w:type="pct"/>
            <w:tcBorders>
              <w:top w:val="nil"/>
              <w:left w:val="nil"/>
              <w:bottom w:val="nil"/>
              <w:right w:val="nil"/>
            </w:tcBorders>
            <w:noWrap/>
            <w:vAlign w:val="bottom"/>
            <w:hideMark/>
          </w:tcPr>
          <w:p w14:paraId="7D024309"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1.110</w:t>
            </w:r>
          </w:p>
        </w:tc>
        <w:tc>
          <w:tcPr>
            <w:tcW w:w="378" w:type="pct"/>
            <w:tcBorders>
              <w:top w:val="nil"/>
              <w:left w:val="nil"/>
              <w:bottom w:val="nil"/>
              <w:right w:val="nil"/>
            </w:tcBorders>
            <w:noWrap/>
            <w:vAlign w:val="bottom"/>
            <w:hideMark/>
          </w:tcPr>
          <w:p w14:paraId="5AD2AE2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0.36</w:t>
            </w:r>
          </w:p>
        </w:tc>
        <w:tc>
          <w:tcPr>
            <w:tcW w:w="459" w:type="pct"/>
            <w:tcBorders>
              <w:top w:val="nil"/>
              <w:left w:val="nil"/>
              <w:bottom w:val="nil"/>
              <w:right w:val="nil"/>
            </w:tcBorders>
            <w:noWrap/>
            <w:vAlign w:val="bottom"/>
            <w:hideMark/>
          </w:tcPr>
          <w:p w14:paraId="5F6FC7A3"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0.716</w:t>
            </w:r>
          </w:p>
        </w:tc>
        <w:tc>
          <w:tcPr>
            <w:tcW w:w="419" w:type="pct"/>
            <w:tcBorders>
              <w:top w:val="nil"/>
              <w:left w:val="nil"/>
              <w:bottom w:val="nil"/>
              <w:right w:val="nil"/>
            </w:tcBorders>
            <w:noWrap/>
            <w:vAlign w:val="bottom"/>
            <w:hideMark/>
          </w:tcPr>
          <w:p w14:paraId="5E4A9E4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-1.783</w:t>
            </w:r>
          </w:p>
        </w:tc>
        <w:tc>
          <w:tcPr>
            <w:tcW w:w="598" w:type="pct"/>
            <w:tcBorders>
              <w:top w:val="nil"/>
              <w:left w:val="nil"/>
              <w:bottom w:val="nil"/>
              <w:right w:val="nil"/>
            </w:tcBorders>
            <w:noWrap/>
            <w:vAlign w:val="bottom"/>
            <w:hideMark/>
          </w:tcPr>
          <w:p w14:paraId="6FA67FA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2.593</w:t>
            </w:r>
          </w:p>
        </w:tc>
      </w:tr>
      <w:tr w:rsidR="005026A0" w:rsidRPr="00053305" w14:paraId="087EFFF4" w14:textId="77777777" w:rsidTr="00053305">
        <w:trPr>
          <w:trHeight w:val="89"/>
        </w:trPr>
        <w:tc>
          <w:tcPr>
            <w:tcW w:w="2050" w:type="pct"/>
            <w:tcBorders>
              <w:top w:val="nil"/>
              <w:left w:val="nil"/>
              <w:bottom w:val="nil"/>
              <w:right w:val="nil"/>
            </w:tcBorders>
            <w:noWrap/>
            <w:vAlign w:val="bottom"/>
            <w:hideMark/>
          </w:tcPr>
          <w:p w14:paraId="12DE16E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Type of business (1)</w:t>
            </w:r>
          </w:p>
        </w:tc>
        <w:tc>
          <w:tcPr>
            <w:tcW w:w="609" w:type="pct"/>
            <w:tcBorders>
              <w:top w:val="nil"/>
              <w:left w:val="nil"/>
              <w:bottom w:val="nil"/>
              <w:right w:val="nil"/>
            </w:tcBorders>
            <w:noWrap/>
            <w:vAlign w:val="bottom"/>
            <w:hideMark/>
          </w:tcPr>
          <w:p w14:paraId="6D224F45"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-2.937</w:t>
            </w:r>
          </w:p>
        </w:tc>
        <w:tc>
          <w:tcPr>
            <w:tcW w:w="487" w:type="pct"/>
            <w:tcBorders>
              <w:top w:val="nil"/>
              <w:left w:val="nil"/>
              <w:bottom w:val="nil"/>
              <w:right w:val="nil"/>
            </w:tcBorders>
            <w:noWrap/>
            <w:vAlign w:val="bottom"/>
            <w:hideMark/>
          </w:tcPr>
          <w:p w14:paraId="58480DB7"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1.457</w:t>
            </w:r>
          </w:p>
        </w:tc>
        <w:tc>
          <w:tcPr>
            <w:tcW w:w="378" w:type="pct"/>
            <w:tcBorders>
              <w:top w:val="nil"/>
              <w:left w:val="nil"/>
              <w:bottom w:val="nil"/>
              <w:right w:val="nil"/>
            </w:tcBorders>
            <w:noWrap/>
            <w:vAlign w:val="bottom"/>
            <w:hideMark/>
          </w:tcPr>
          <w:p w14:paraId="5F4304D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-2.02</w:t>
            </w:r>
          </w:p>
        </w:tc>
        <w:tc>
          <w:tcPr>
            <w:tcW w:w="459" w:type="pct"/>
            <w:tcBorders>
              <w:top w:val="nil"/>
              <w:left w:val="nil"/>
              <w:bottom w:val="nil"/>
              <w:right w:val="nil"/>
            </w:tcBorders>
            <w:noWrap/>
            <w:vAlign w:val="bottom"/>
            <w:hideMark/>
          </w:tcPr>
          <w:p w14:paraId="291E74E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0.045**</w:t>
            </w:r>
          </w:p>
        </w:tc>
        <w:tc>
          <w:tcPr>
            <w:tcW w:w="419" w:type="pct"/>
            <w:tcBorders>
              <w:top w:val="nil"/>
              <w:left w:val="nil"/>
              <w:bottom w:val="nil"/>
              <w:right w:val="nil"/>
            </w:tcBorders>
            <w:noWrap/>
            <w:vAlign w:val="bottom"/>
            <w:hideMark/>
          </w:tcPr>
          <w:p w14:paraId="10772A2B"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-5.810</w:t>
            </w:r>
          </w:p>
        </w:tc>
        <w:tc>
          <w:tcPr>
            <w:tcW w:w="598" w:type="pct"/>
            <w:tcBorders>
              <w:top w:val="nil"/>
              <w:left w:val="nil"/>
              <w:bottom w:val="nil"/>
              <w:right w:val="nil"/>
            </w:tcBorders>
            <w:noWrap/>
            <w:vAlign w:val="bottom"/>
            <w:hideMark/>
          </w:tcPr>
          <w:p w14:paraId="46997735"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-0.065</w:t>
            </w:r>
          </w:p>
        </w:tc>
      </w:tr>
      <w:tr w:rsidR="005026A0" w:rsidRPr="00053305" w14:paraId="38E9ECD6" w14:textId="77777777" w:rsidTr="00053305">
        <w:trPr>
          <w:trHeight w:val="89"/>
        </w:trPr>
        <w:tc>
          <w:tcPr>
            <w:tcW w:w="2050" w:type="pct"/>
            <w:tcBorders>
              <w:top w:val="nil"/>
              <w:left w:val="nil"/>
              <w:bottom w:val="nil"/>
              <w:right w:val="nil"/>
            </w:tcBorders>
            <w:noWrap/>
            <w:vAlign w:val="bottom"/>
            <w:hideMark/>
          </w:tcPr>
          <w:p w14:paraId="0B2DE30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Type of business (2)</w:t>
            </w:r>
          </w:p>
        </w:tc>
        <w:tc>
          <w:tcPr>
            <w:tcW w:w="609" w:type="pct"/>
            <w:tcBorders>
              <w:top w:val="nil"/>
              <w:left w:val="nil"/>
              <w:bottom w:val="nil"/>
              <w:right w:val="nil"/>
            </w:tcBorders>
            <w:noWrap/>
            <w:vAlign w:val="bottom"/>
            <w:hideMark/>
          </w:tcPr>
          <w:p w14:paraId="7A6A22AE"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-2.158</w:t>
            </w:r>
          </w:p>
        </w:tc>
        <w:tc>
          <w:tcPr>
            <w:tcW w:w="487" w:type="pct"/>
            <w:tcBorders>
              <w:top w:val="nil"/>
              <w:left w:val="nil"/>
              <w:bottom w:val="nil"/>
              <w:right w:val="nil"/>
            </w:tcBorders>
            <w:noWrap/>
            <w:vAlign w:val="bottom"/>
            <w:hideMark/>
          </w:tcPr>
          <w:p w14:paraId="54C16971"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1.094</w:t>
            </w:r>
          </w:p>
        </w:tc>
        <w:tc>
          <w:tcPr>
            <w:tcW w:w="378" w:type="pct"/>
            <w:tcBorders>
              <w:top w:val="nil"/>
              <w:left w:val="nil"/>
              <w:bottom w:val="nil"/>
              <w:right w:val="nil"/>
            </w:tcBorders>
            <w:noWrap/>
            <w:vAlign w:val="bottom"/>
            <w:hideMark/>
          </w:tcPr>
          <w:p w14:paraId="1AF6F430"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-1.97</w:t>
            </w:r>
          </w:p>
        </w:tc>
        <w:tc>
          <w:tcPr>
            <w:tcW w:w="459" w:type="pct"/>
            <w:tcBorders>
              <w:top w:val="nil"/>
              <w:left w:val="nil"/>
              <w:bottom w:val="nil"/>
              <w:right w:val="nil"/>
            </w:tcBorders>
            <w:noWrap/>
            <w:vAlign w:val="bottom"/>
            <w:hideMark/>
          </w:tcPr>
          <w:p w14:paraId="0F028AA4" w14:textId="4B82F47B" w:rsidR="005026A0" w:rsidRPr="00472C29" w:rsidRDefault="005026A0" w:rsidP="00053305">
            <w:pPr>
              <w:jc w:val="both"/>
              <w:rPr>
                <w:rFonts w:ascii="Arial" w:eastAsia="Times New Roman" w:hAnsi="Arial" w:cs="Arial"/>
                <w:color w:val="000000"/>
                <w:sz w:val="18"/>
                <w:szCs w:val="22"/>
              </w:rPr>
            </w:pPr>
            <w:r w:rsidRPr="00472C29">
              <w:rPr>
                <w:rFonts w:ascii="Arial" w:eastAsia="Times New Roman" w:hAnsi="Arial" w:cs="Arial"/>
                <w:color w:val="000000"/>
                <w:sz w:val="18"/>
                <w:szCs w:val="22"/>
              </w:rPr>
              <w:t>0.05</w:t>
            </w:r>
            <w:r w:rsidR="00472C29" w:rsidRPr="00472C29">
              <w:rPr>
                <w:rFonts w:ascii="Arial" w:eastAsia="Times New Roman" w:hAnsi="Arial" w:cs="Arial"/>
                <w:color w:val="000000"/>
                <w:sz w:val="18"/>
                <w:szCs w:val="22"/>
              </w:rPr>
              <w:t>0</w:t>
            </w:r>
          </w:p>
        </w:tc>
        <w:tc>
          <w:tcPr>
            <w:tcW w:w="419" w:type="pct"/>
            <w:tcBorders>
              <w:top w:val="nil"/>
              <w:left w:val="nil"/>
              <w:bottom w:val="nil"/>
              <w:right w:val="nil"/>
            </w:tcBorders>
            <w:noWrap/>
            <w:vAlign w:val="bottom"/>
            <w:hideMark/>
          </w:tcPr>
          <w:p w14:paraId="6F8D67B4"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-4.315</w:t>
            </w:r>
          </w:p>
        </w:tc>
        <w:tc>
          <w:tcPr>
            <w:tcW w:w="598" w:type="pct"/>
            <w:tcBorders>
              <w:top w:val="nil"/>
              <w:left w:val="nil"/>
              <w:bottom w:val="nil"/>
              <w:right w:val="nil"/>
            </w:tcBorders>
            <w:noWrap/>
            <w:vAlign w:val="bottom"/>
            <w:hideMark/>
          </w:tcPr>
          <w:p w14:paraId="1ED05217"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-0.001</w:t>
            </w:r>
          </w:p>
        </w:tc>
      </w:tr>
      <w:tr w:rsidR="005026A0" w:rsidRPr="00053305" w14:paraId="3426B4B6" w14:textId="77777777" w:rsidTr="00053305">
        <w:trPr>
          <w:trHeight w:val="89"/>
        </w:trPr>
        <w:tc>
          <w:tcPr>
            <w:tcW w:w="2050" w:type="pct"/>
            <w:tcBorders>
              <w:top w:val="nil"/>
              <w:left w:val="nil"/>
              <w:bottom w:val="single" w:sz="4" w:space="0" w:color="auto"/>
              <w:right w:val="nil"/>
            </w:tcBorders>
            <w:noWrap/>
            <w:vAlign w:val="bottom"/>
            <w:hideMark/>
          </w:tcPr>
          <w:p w14:paraId="012F953A"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 xml:space="preserve">_cons    </w:t>
            </w:r>
          </w:p>
        </w:tc>
        <w:tc>
          <w:tcPr>
            <w:tcW w:w="609" w:type="pct"/>
            <w:tcBorders>
              <w:top w:val="nil"/>
              <w:left w:val="nil"/>
              <w:bottom w:val="single" w:sz="4" w:space="0" w:color="auto"/>
              <w:right w:val="nil"/>
            </w:tcBorders>
            <w:noWrap/>
            <w:vAlign w:val="bottom"/>
            <w:hideMark/>
          </w:tcPr>
          <w:p w14:paraId="197C907D"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6.586</w:t>
            </w:r>
          </w:p>
        </w:tc>
        <w:tc>
          <w:tcPr>
            <w:tcW w:w="487" w:type="pct"/>
            <w:tcBorders>
              <w:top w:val="nil"/>
              <w:left w:val="nil"/>
              <w:bottom w:val="single" w:sz="4" w:space="0" w:color="auto"/>
              <w:right w:val="nil"/>
            </w:tcBorders>
            <w:noWrap/>
            <w:vAlign w:val="bottom"/>
            <w:hideMark/>
          </w:tcPr>
          <w:p w14:paraId="5ABFCAA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0.202</w:t>
            </w:r>
          </w:p>
        </w:tc>
        <w:tc>
          <w:tcPr>
            <w:tcW w:w="378" w:type="pct"/>
            <w:tcBorders>
              <w:top w:val="nil"/>
              <w:left w:val="nil"/>
              <w:bottom w:val="single" w:sz="4" w:space="0" w:color="auto"/>
              <w:right w:val="nil"/>
            </w:tcBorders>
            <w:noWrap/>
            <w:vAlign w:val="bottom"/>
            <w:hideMark/>
          </w:tcPr>
          <w:p w14:paraId="0ACE335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32.62</w:t>
            </w:r>
          </w:p>
        </w:tc>
        <w:tc>
          <w:tcPr>
            <w:tcW w:w="459" w:type="pct"/>
            <w:tcBorders>
              <w:top w:val="nil"/>
              <w:left w:val="nil"/>
              <w:bottom w:val="single" w:sz="4" w:space="0" w:color="auto"/>
              <w:right w:val="nil"/>
            </w:tcBorders>
            <w:noWrap/>
            <w:vAlign w:val="bottom"/>
            <w:hideMark/>
          </w:tcPr>
          <w:p w14:paraId="23943120" w14:textId="02CB9CCF" w:rsidR="005026A0" w:rsidRPr="00472C29" w:rsidRDefault="00472C29" w:rsidP="00053305">
            <w:pPr>
              <w:jc w:val="both"/>
              <w:rPr>
                <w:rFonts w:ascii="Arial" w:eastAsia="Times New Roman" w:hAnsi="Arial" w:cs="Arial"/>
                <w:color w:val="000000"/>
                <w:sz w:val="18"/>
                <w:szCs w:val="22"/>
              </w:rPr>
            </w:pPr>
            <w:r w:rsidRPr="00472C29">
              <w:rPr>
                <w:rFonts w:ascii="Arial" w:eastAsia="Times New Roman" w:hAnsi="Arial" w:cs="Arial"/>
                <w:color w:val="000000"/>
                <w:sz w:val="18"/>
                <w:szCs w:val="22"/>
              </w:rPr>
              <w:t>&lt;0.001</w:t>
            </w:r>
          </w:p>
        </w:tc>
        <w:tc>
          <w:tcPr>
            <w:tcW w:w="419" w:type="pct"/>
            <w:tcBorders>
              <w:top w:val="nil"/>
              <w:left w:val="nil"/>
              <w:bottom w:val="single" w:sz="4" w:space="0" w:color="auto"/>
              <w:right w:val="nil"/>
            </w:tcBorders>
            <w:noWrap/>
            <w:vAlign w:val="bottom"/>
            <w:hideMark/>
          </w:tcPr>
          <w:p w14:paraId="072D6C06"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6.188</w:t>
            </w:r>
          </w:p>
        </w:tc>
        <w:tc>
          <w:tcPr>
            <w:tcW w:w="598" w:type="pct"/>
            <w:tcBorders>
              <w:top w:val="nil"/>
              <w:left w:val="nil"/>
              <w:bottom w:val="single" w:sz="4" w:space="0" w:color="auto"/>
              <w:right w:val="nil"/>
            </w:tcBorders>
            <w:noWrap/>
            <w:vAlign w:val="bottom"/>
            <w:hideMark/>
          </w:tcPr>
          <w:p w14:paraId="7495DC05" w14:textId="77777777" w:rsidR="005026A0" w:rsidRPr="00053305" w:rsidRDefault="005026A0" w:rsidP="00053305">
            <w:pPr>
              <w:jc w:val="both"/>
              <w:rPr>
                <w:rFonts w:ascii="Arial" w:eastAsia="Times New Roman" w:hAnsi="Arial" w:cs="Arial"/>
                <w:color w:val="000000"/>
                <w:sz w:val="18"/>
                <w:szCs w:val="22"/>
              </w:rPr>
            </w:pPr>
            <w:r w:rsidRPr="00053305">
              <w:rPr>
                <w:rFonts w:ascii="Arial" w:eastAsia="Times New Roman" w:hAnsi="Arial" w:cs="Arial"/>
                <w:color w:val="000000"/>
                <w:sz w:val="18"/>
                <w:szCs w:val="22"/>
              </w:rPr>
              <w:t>6.984</w:t>
            </w:r>
          </w:p>
        </w:tc>
      </w:tr>
    </w:tbl>
    <w:p w14:paraId="4BEF7E90" w14:textId="77777777" w:rsidR="005026A0" w:rsidRPr="00CA0589" w:rsidRDefault="005026A0" w:rsidP="00CA0589">
      <w:pPr>
        <w:tabs>
          <w:tab w:val="left" w:pos="2310"/>
        </w:tabs>
        <w:spacing w:line="276" w:lineRule="auto"/>
        <w:jc w:val="both"/>
        <w:rPr>
          <w:rFonts w:ascii="Arial" w:eastAsia="Times New Roman" w:hAnsi="Arial" w:cs="Arial"/>
          <w:color w:val="2B2B00"/>
          <w:sz w:val="22"/>
          <w:szCs w:val="22"/>
        </w:rPr>
      </w:pPr>
      <w:r w:rsidRPr="00CA0589">
        <w:rPr>
          <w:rFonts w:ascii="Arial" w:eastAsia="Times New Roman" w:hAnsi="Arial" w:cs="Arial"/>
          <w:b/>
          <w:bCs/>
          <w:color w:val="2B2B00"/>
          <w:sz w:val="22"/>
          <w:szCs w:val="22"/>
        </w:rPr>
        <w:t>Note: **</w:t>
      </w:r>
      <w:r w:rsidRPr="00CA0589">
        <w:rPr>
          <w:rFonts w:ascii="Arial" w:eastAsia="Times New Roman" w:hAnsi="Arial" w:cs="Arial"/>
          <w:color w:val="2B2B00"/>
          <w:sz w:val="22"/>
          <w:szCs w:val="22"/>
        </w:rPr>
        <w:t xml:space="preserve"> significance at 95% confidence level, </w:t>
      </w:r>
      <w:r w:rsidRPr="00CA0589">
        <w:rPr>
          <w:rFonts w:ascii="Arial" w:eastAsia="Times New Roman" w:hAnsi="Arial" w:cs="Arial"/>
          <w:b/>
          <w:bCs/>
          <w:color w:val="2B2B00"/>
          <w:sz w:val="22"/>
          <w:szCs w:val="22"/>
        </w:rPr>
        <w:t>***</w:t>
      </w:r>
      <w:r w:rsidRPr="00CA0589">
        <w:rPr>
          <w:rFonts w:ascii="Arial" w:eastAsia="Times New Roman" w:hAnsi="Arial" w:cs="Arial"/>
          <w:color w:val="2B2B00"/>
          <w:sz w:val="22"/>
          <w:szCs w:val="22"/>
        </w:rPr>
        <w:t xml:space="preserve"> significance at 99% confidence level, Reference for Dietary restrictions or preferences, cultural or traditional dietary practices, and Access to healthy food options at work was No, Reference for Type of business was restaurant operators</w:t>
      </w:r>
    </w:p>
    <w:p w14:paraId="3DD728FD" w14:textId="77777777" w:rsidR="005026A0" w:rsidRPr="00CA0589" w:rsidRDefault="005026A0" w:rsidP="00CA0589">
      <w:pPr>
        <w:spacing w:line="276" w:lineRule="auto"/>
        <w:jc w:val="both"/>
        <w:rPr>
          <w:rFonts w:ascii="Arial" w:hAnsi="Arial" w:cs="Arial"/>
          <w:sz w:val="22"/>
          <w:szCs w:val="22"/>
        </w:rPr>
      </w:pPr>
    </w:p>
    <w:p w14:paraId="024C411D"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3.8.2</w:t>
      </w:r>
      <w:r w:rsidR="00053305">
        <w:rPr>
          <w:rFonts w:ascii="Arial" w:hAnsi="Arial" w:cs="Arial"/>
          <w:b/>
          <w:sz w:val="22"/>
          <w:szCs w:val="22"/>
        </w:rPr>
        <w:tab/>
      </w:r>
      <w:r w:rsidRPr="00CA0589">
        <w:rPr>
          <w:rFonts w:ascii="Arial" w:hAnsi="Arial" w:cs="Arial"/>
          <w:b/>
          <w:sz w:val="22"/>
          <w:szCs w:val="22"/>
        </w:rPr>
        <w:t>Birth outcome</w:t>
      </w:r>
    </w:p>
    <w:p w14:paraId="426AA8C9"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Based on the Anova results for linear regression model where dependent variable (birth weight) the model shows a statistically significant relationship between the independent variable (DDS) and outcome. The regression model has an F-statistic of 4.456 with corresponding p-value of 0.036 which is less than the convectional threshold of 0.05. The independent variables included in the model explain a statistically significant portion of the variance in the birth weight. This means there’s a meaningful linear relationship between the predictor and birth weight.</w:t>
      </w:r>
    </w:p>
    <w:p w14:paraId="10DA0A28"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 </w:t>
      </w:r>
    </w:p>
    <w:p w14:paraId="17C45090" w14:textId="77777777" w:rsidR="00053305" w:rsidRDefault="00053305">
      <w:pPr>
        <w:spacing w:after="160" w:line="259" w:lineRule="auto"/>
        <w:rPr>
          <w:rFonts w:ascii="Arial" w:hAnsi="Arial" w:cs="Arial"/>
          <w:b/>
          <w:color w:val="000000" w:themeColor="text1"/>
          <w:sz w:val="22"/>
          <w:szCs w:val="22"/>
        </w:rPr>
      </w:pPr>
      <w:r>
        <w:rPr>
          <w:rFonts w:ascii="Arial" w:hAnsi="Arial" w:cs="Arial"/>
          <w:b/>
          <w:color w:val="000000" w:themeColor="text1"/>
          <w:sz w:val="22"/>
          <w:szCs w:val="22"/>
        </w:rPr>
        <w:br w:type="page"/>
      </w:r>
    </w:p>
    <w:p w14:paraId="61536858" w14:textId="2EA8DE58" w:rsidR="005026A0" w:rsidRPr="00CA0589" w:rsidRDefault="005026A0" w:rsidP="00CA0589">
      <w:pPr>
        <w:spacing w:line="276" w:lineRule="auto"/>
        <w:jc w:val="both"/>
        <w:rPr>
          <w:rFonts w:ascii="Arial" w:hAnsi="Arial" w:cs="Arial"/>
          <w:b/>
          <w:color w:val="000000" w:themeColor="text1"/>
          <w:sz w:val="22"/>
          <w:szCs w:val="22"/>
        </w:rPr>
      </w:pPr>
      <w:r w:rsidRPr="00CA0589">
        <w:rPr>
          <w:rFonts w:ascii="Arial" w:hAnsi="Arial" w:cs="Arial"/>
          <w:b/>
          <w:color w:val="000000" w:themeColor="text1"/>
          <w:sz w:val="22"/>
          <w:szCs w:val="22"/>
        </w:rPr>
        <w:lastRenderedPageBreak/>
        <w:t xml:space="preserve">Table </w:t>
      </w:r>
      <w:r w:rsidR="00CD0E4D">
        <w:rPr>
          <w:rFonts w:ascii="Arial" w:hAnsi="Arial" w:cs="Arial"/>
          <w:b/>
          <w:color w:val="000000" w:themeColor="text1"/>
          <w:sz w:val="22"/>
          <w:szCs w:val="22"/>
        </w:rPr>
        <w:t>7</w:t>
      </w:r>
      <w:r w:rsidRPr="00CA0589">
        <w:rPr>
          <w:rFonts w:ascii="Arial" w:hAnsi="Arial" w:cs="Arial"/>
          <w:b/>
          <w:color w:val="000000" w:themeColor="text1"/>
          <w:sz w:val="22"/>
          <w:szCs w:val="22"/>
        </w:rPr>
        <w:t>: ANOVA summary for linear Regression model predicting Birth Outcome</w:t>
      </w:r>
    </w:p>
    <w:tbl>
      <w:tblPr>
        <w:tblW w:w="8876" w:type="dxa"/>
        <w:tblLook w:val="04A0" w:firstRow="1" w:lastRow="0" w:firstColumn="1" w:lastColumn="0" w:noHBand="0" w:noVBand="1"/>
      </w:tblPr>
      <w:tblGrid>
        <w:gridCol w:w="426"/>
        <w:gridCol w:w="2195"/>
        <w:gridCol w:w="1251"/>
        <w:gridCol w:w="1251"/>
        <w:gridCol w:w="1251"/>
        <w:gridCol w:w="1251"/>
        <w:gridCol w:w="1251"/>
      </w:tblGrid>
      <w:tr w:rsidR="005026A0" w:rsidRPr="00CA0589" w14:paraId="1CB24F30" w14:textId="77777777" w:rsidTr="00552620">
        <w:trPr>
          <w:trHeight w:val="324"/>
        </w:trPr>
        <w:tc>
          <w:tcPr>
            <w:tcW w:w="2621" w:type="dxa"/>
            <w:gridSpan w:val="2"/>
            <w:tcBorders>
              <w:top w:val="single" w:sz="4" w:space="0" w:color="auto"/>
              <w:left w:val="nil"/>
              <w:bottom w:val="single" w:sz="4" w:space="0" w:color="auto"/>
              <w:right w:val="nil"/>
            </w:tcBorders>
            <w:noWrap/>
            <w:vAlign w:val="bottom"/>
          </w:tcPr>
          <w:p w14:paraId="57D6F579"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Model</w:t>
            </w:r>
          </w:p>
        </w:tc>
        <w:tc>
          <w:tcPr>
            <w:tcW w:w="1251" w:type="dxa"/>
            <w:tcBorders>
              <w:top w:val="single" w:sz="4" w:space="0" w:color="auto"/>
              <w:left w:val="nil"/>
              <w:bottom w:val="single" w:sz="4" w:space="0" w:color="auto"/>
              <w:right w:val="nil"/>
            </w:tcBorders>
            <w:noWrap/>
            <w:vAlign w:val="bottom"/>
          </w:tcPr>
          <w:p w14:paraId="6C94064F"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Sum of Squares</w:t>
            </w:r>
          </w:p>
        </w:tc>
        <w:tc>
          <w:tcPr>
            <w:tcW w:w="1251" w:type="dxa"/>
            <w:tcBorders>
              <w:top w:val="single" w:sz="4" w:space="0" w:color="auto"/>
              <w:left w:val="nil"/>
              <w:bottom w:val="single" w:sz="4" w:space="0" w:color="auto"/>
              <w:right w:val="nil"/>
            </w:tcBorders>
            <w:noWrap/>
            <w:vAlign w:val="bottom"/>
          </w:tcPr>
          <w:p w14:paraId="05C2FF5C"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Df</w:t>
            </w:r>
          </w:p>
        </w:tc>
        <w:tc>
          <w:tcPr>
            <w:tcW w:w="1251" w:type="dxa"/>
            <w:tcBorders>
              <w:top w:val="single" w:sz="4" w:space="0" w:color="auto"/>
              <w:left w:val="nil"/>
              <w:bottom w:val="single" w:sz="4" w:space="0" w:color="auto"/>
              <w:right w:val="nil"/>
            </w:tcBorders>
            <w:noWrap/>
            <w:vAlign w:val="bottom"/>
          </w:tcPr>
          <w:p w14:paraId="24CB2D3D"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Mean Square</w:t>
            </w:r>
          </w:p>
        </w:tc>
        <w:tc>
          <w:tcPr>
            <w:tcW w:w="1251" w:type="dxa"/>
            <w:tcBorders>
              <w:top w:val="single" w:sz="4" w:space="0" w:color="auto"/>
              <w:left w:val="nil"/>
              <w:bottom w:val="single" w:sz="4" w:space="0" w:color="auto"/>
              <w:right w:val="nil"/>
            </w:tcBorders>
            <w:noWrap/>
            <w:vAlign w:val="bottom"/>
          </w:tcPr>
          <w:p w14:paraId="21933535"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F</w:t>
            </w:r>
          </w:p>
        </w:tc>
        <w:tc>
          <w:tcPr>
            <w:tcW w:w="1251" w:type="dxa"/>
            <w:tcBorders>
              <w:top w:val="single" w:sz="4" w:space="0" w:color="auto"/>
              <w:left w:val="nil"/>
              <w:bottom w:val="single" w:sz="4" w:space="0" w:color="auto"/>
              <w:right w:val="nil"/>
            </w:tcBorders>
            <w:noWrap/>
            <w:vAlign w:val="bottom"/>
          </w:tcPr>
          <w:p w14:paraId="276D0700" w14:textId="77777777" w:rsidR="005026A0" w:rsidRPr="00CA0589" w:rsidRDefault="005026A0" w:rsidP="00CA0589">
            <w:pPr>
              <w:spacing w:line="276" w:lineRule="auto"/>
              <w:jc w:val="both"/>
              <w:rPr>
                <w:rFonts w:ascii="Arial" w:eastAsia="Times New Roman" w:hAnsi="Arial" w:cs="Arial"/>
                <w:b/>
                <w:bCs/>
                <w:color w:val="000000" w:themeColor="text1"/>
                <w:sz w:val="22"/>
                <w:szCs w:val="22"/>
              </w:rPr>
            </w:pPr>
            <w:r w:rsidRPr="00CA0589">
              <w:rPr>
                <w:rFonts w:ascii="Arial" w:eastAsia="Times New Roman" w:hAnsi="Arial" w:cs="Arial"/>
                <w:b/>
                <w:bCs/>
                <w:color w:val="000000" w:themeColor="text1"/>
                <w:sz w:val="22"/>
                <w:szCs w:val="22"/>
              </w:rPr>
              <w:t>Sig.</w:t>
            </w:r>
          </w:p>
        </w:tc>
      </w:tr>
      <w:tr w:rsidR="005026A0" w:rsidRPr="00CA0589" w14:paraId="16312C12" w14:textId="77777777" w:rsidTr="00552620">
        <w:trPr>
          <w:trHeight w:val="324"/>
        </w:trPr>
        <w:tc>
          <w:tcPr>
            <w:tcW w:w="426" w:type="dxa"/>
            <w:tcBorders>
              <w:top w:val="nil"/>
              <w:left w:val="nil"/>
              <w:bottom w:val="nil"/>
              <w:right w:val="nil"/>
            </w:tcBorders>
            <w:noWrap/>
            <w:vAlign w:val="bottom"/>
          </w:tcPr>
          <w:p w14:paraId="7F94A326"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w:t>
            </w:r>
          </w:p>
        </w:tc>
        <w:tc>
          <w:tcPr>
            <w:tcW w:w="2194" w:type="dxa"/>
            <w:tcBorders>
              <w:top w:val="nil"/>
              <w:left w:val="nil"/>
              <w:bottom w:val="nil"/>
              <w:right w:val="nil"/>
            </w:tcBorders>
            <w:noWrap/>
            <w:vAlign w:val="bottom"/>
          </w:tcPr>
          <w:p w14:paraId="0443EA49"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Regression</w:t>
            </w:r>
          </w:p>
        </w:tc>
        <w:tc>
          <w:tcPr>
            <w:tcW w:w="1251" w:type="dxa"/>
            <w:tcBorders>
              <w:top w:val="nil"/>
              <w:left w:val="nil"/>
              <w:bottom w:val="nil"/>
              <w:right w:val="nil"/>
            </w:tcBorders>
            <w:noWrap/>
            <w:vAlign w:val="bottom"/>
          </w:tcPr>
          <w:p w14:paraId="3C7FA133"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4.388</w:t>
            </w:r>
          </w:p>
        </w:tc>
        <w:tc>
          <w:tcPr>
            <w:tcW w:w="1251" w:type="dxa"/>
            <w:tcBorders>
              <w:top w:val="nil"/>
              <w:left w:val="nil"/>
              <w:bottom w:val="nil"/>
              <w:right w:val="nil"/>
            </w:tcBorders>
            <w:noWrap/>
            <w:vAlign w:val="bottom"/>
          </w:tcPr>
          <w:p w14:paraId="07580197"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1</w:t>
            </w:r>
          </w:p>
        </w:tc>
        <w:tc>
          <w:tcPr>
            <w:tcW w:w="1251" w:type="dxa"/>
            <w:tcBorders>
              <w:top w:val="nil"/>
              <w:left w:val="nil"/>
              <w:bottom w:val="nil"/>
              <w:right w:val="nil"/>
            </w:tcBorders>
            <w:noWrap/>
            <w:vAlign w:val="bottom"/>
          </w:tcPr>
          <w:p w14:paraId="5641AC16"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4.388</w:t>
            </w:r>
          </w:p>
        </w:tc>
        <w:tc>
          <w:tcPr>
            <w:tcW w:w="1251" w:type="dxa"/>
            <w:tcBorders>
              <w:top w:val="nil"/>
              <w:left w:val="nil"/>
              <w:bottom w:val="nil"/>
              <w:right w:val="nil"/>
            </w:tcBorders>
            <w:noWrap/>
            <w:vAlign w:val="bottom"/>
          </w:tcPr>
          <w:p w14:paraId="3073A49B"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4.456</w:t>
            </w:r>
          </w:p>
        </w:tc>
        <w:tc>
          <w:tcPr>
            <w:tcW w:w="1251" w:type="dxa"/>
            <w:tcBorders>
              <w:top w:val="nil"/>
              <w:left w:val="nil"/>
              <w:bottom w:val="nil"/>
              <w:right w:val="nil"/>
            </w:tcBorders>
            <w:noWrap/>
            <w:vAlign w:val="bottom"/>
          </w:tcPr>
          <w:p w14:paraId="5F7E9544"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0.036</w:t>
            </w:r>
          </w:p>
        </w:tc>
      </w:tr>
      <w:tr w:rsidR="005026A0" w:rsidRPr="00CA0589" w14:paraId="70D82151" w14:textId="77777777" w:rsidTr="00552620">
        <w:trPr>
          <w:trHeight w:val="324"/>
        </w:trPr>
        <w:tc>
          <w:tcPr>
            <w:tcW w:w="426" w:type="dxa"/>
            <w:tcBorders>
              <w:top w:val="nil"/>
              <w:left w:val="nil"/>
              <w:bottom w:val="nil"/>
              <w:right w:val="nil"/>
            </w:tcBorders>
            <w:noWrap/>
            <w:vAlign w:val="bottom"/>
          </w:tcPr>
          <w:p w14:paraId="77746442" w14:textId="77777777" w:rsidR="005026A0" w:rsidRPr="00CA0589" w:rsidRDefault="005026A0" w:rsidP="00CA0589">
            <w:pPr>
              <w:spacing w:line="276" w:lineRule="auto"/>
              <w:jc w:val="both"/>
              <w:rPr>
                <w:rFonts w:ascii="Arial" w:eastAsia="Times New Roman" w:hAnsi="Arial" w:cs="Arial"/>
                <w:color w:val="000000" w:themeColor="text1"/>
                <w:sz w:val="22"/>
                <w:szCs w:val="22"/>
              </w:rPr>
            </w:pPr>
          </w:p>
        </w:tc>
        <w:tc>
          <w:tcPr>
            <w:tcW w:w="2194" w:type="dxa"/>
            <w:tcBorders>
              <w:top w:val="nil"/>
              <w:left w:val="nil"/>
              <w:bottom w:val="nil"/>
              <w:right w:val="nil"/>
            </w:tcBorders>
            <w:noWrap/>
            <w:vAlign w:val="bottom"/>
          </w:tcPr>
          <w:p w14:paraId="4737413F"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Residual</w:t>
            </w:r>
          </w:p>
        </w:tc>
        <w:tc>
          <w:tcPr>
            <w:tcW w:w="1251" w:type="dxa"/>
            <w:tcBorders>
              <w:top w:val="nil"/>
              <w:left w:val="nil"/>
              <w:bottom w:val="nil"/>
              <w:right w:val="nil"/>
            </w:tcBorders>
            <w:noWrap/>
            <w:vAlign w:val="bottom"/>
          </w:tcPr>
          <w:p w14:paraId="2DCEDEBC"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217.612</w:t>
            </w:r>
          </w:p>
        </w:tc>
        <w:tc>
          <w:tcPr>
            <w:tcW w:w="1251" w:type="dxa"/>
            <w:tcBorders>
              <w:top w:val="nil"/>
              <w:left w:val="nil"/>
              <w:bottom w:val="nil"/>
              <w:right w:val="nil"/>
            </w:tcBorders>
            <w:noWrap/>
            <w:vAlign w:val="bottom"/>
          </w:tcPr>
          <w:p w14:paraId="7443ABC2"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221</w:t>
            </w:r>
          </w:p>
        </w:tc>
        <w:tc>
          <w:tcPr>
            <w:tcW w:w="1251" w:type="dxa"/>
            <w:tcBorders>
              <w:top w:val="nil"/>
              <w:left w:val="nil"/>
              <w:bottom w:val="nil"/>
              <w:right w:val="nil"/>
            </w:tcBorders>
            <w:noWrap/>
            <w:vAlign w:val="bottom"/>
          </w:tcPr>
          <w:p w14:paraId="63212D08"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0.985</w:t>
            </w:r>
          </w:p>
        </w:tc>
        <w:tc>
          <w:tcPr>
            <w:tcW w:w="1251" w:type="dxa"/>
            <w:tcBorders>
              <w:top w:val="nil"/>
              <w:left w:val="nil"/>
              <w:bottom w:val="nil"/>
              <w:right w:val="nil"/>
            </w:tcBorders>
            <w:noWrap/>
            <w:vAlign w:val="bottom"/>
          </w:tcPr>
          <w:p w14:paraId="0AC979FB" w14:textId="77777777" w:rsidR="005026A0" w:rsidRPr="00CA0589" w:rsidRDefault="005026A0" w:rsidP="00CA0589">
            <w:pPr>
              <w:spacing w:line="276" w:lineRule="auto"/>
              <w:jc w:val="both"/>
              <w:rPr>
                <w:rFonts w:ascii="Arial" w:eastAsia="Times New Roman" w:hAnsi="Arial" w:cs="Arial"/>
                <w:color w:val="000000" w:themeColor="text1"/>
                <w:sz w:val="22"/>
                <w:szCs w:val="22"/>
              </w:rPr>
            </w:pPr>
          </w:p>
        </w:tc>
        <w:tc>
          <w:tcPr>
            <w:tcW w:w="1251" w:type="dxa"/>
            <w:tcBorders>
              <w:top w:val="nil"/>
              <w:left w:val="nil"/>
              <w:bottom w:val="nil"/>
              <w:right w:val="nil"/>
            </w:tcBorders>
            <w:noWrap/>
            <w:vAlign w:val="bottom"/>
          </w:tcPr>
          <w:p w14:paraId="6E593F23" w14:textId="77777777" w:rsidR="005026A0" w:rsidRPr="00CA0589" w:rsidRDefault="005026A0" w:rsidP="00CA0589">
            <w:pPr>
              <w:spacing w:line="276" w:lineRule="auto"/>
              <w:jc w:val="both"/>
              <w:rPr>
                <w:rFonts w:ascii="Arial" w:eastAsia="Times New Roman" w:hAnsi="Arial" w:cs="Arial"/>
                <w:color w:val="000000" w:themeColor="text1"/>
                <w:sz w:val="22"/>
                <w:szCs w:val="22"/>
              </w:rPr>
            </w:pPr>
          </w:p>
        </w:tc>
      </w:tr>
      <w:tr w:rsidR="005026A0" w:rsidRPr="00CA0589" w14:paraId="12C84EA8" w14:textId="77777777" w:rsidTr="00552620">
        <w:trPr>
          <w:trHeight w:val="324"/>
        </w:trPr>
        <w:tc>
          <w:tcPr>
            <w:tcW w:w="426" w:type="dxa"/>
            <w:tcBorders>
              <w:top w:val="nil"/>
              <w:left w:val="nil"/>
              <w:bottom w:val="single" w:sz="4" w:space="0" w:color="auto"/>
              <w:right w:val="nil"/>
            </w:tcBorders>
            <w:noWrap/>
            <w:vAlign w:val="bottom"/>
          </w:tcPr>
          <w:p w14:paraId="2E830727"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w:t>
            </w:r>
          </w:p>
        </w:tc>
        <w:tc>
          <w:tcPr>
            <w:tcW w:w="2194" w:type="dxa"/>
            <w:tcBorders>
              <w:top w:val="nil"/>
              <w:left w:val="nil"/>
              <w:bottom w:val="single" w:sz="4" w:space="0" w:color="auto"/>
              <w:right w:val="nil"/>
            </w:tcBorders>
            <w:noWrap/>
            <w:vAlign w:val="bottom"/>
          </w:tcPr>
          <w:p w14:paraId="73B63E34"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Total</w:t>
            </w:r>
          </w:p>
        </w:tc>
        <w:tc>
          <w:tcPr>
            <w:tcW w:w="1251" w:type="dxa"/>
            <w:tcBorders>
              <w:top w:val="nil"/>
              <w:left w:val="nil"/>
              <w:bottom w:val="single" w:sz="4" w:space="0" w:color="auto"/>
              <w:right w:val="nil"/>
            </w:tcBorders>
            <w:noWrap/>
            <w:vAlign w:val="bottom"/>
          </w:tcPr>
          <w:p w14:paraId="317D4555"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222</w:t>
            </w:r>
          </w:p>
        </w:tc>
        <w:tc>
          <w:tcPr>
            <w:tcW w:w="1251" w:type="dxa"/>
            <w:tcBorders>
              <w:top w:val="nil"/>
              <w:left w:val="nil"/>
              <w:bottom w:val="single" w:sz="4" w:space="0" w:color="auto"/>
              <w:right w:val="nil"/>
            </w:tcBorders>
            <w:noWrap/>
            <w:vAlign w:val="bottom"/>
          </w:tcPr>
          <w:p w14:paraId="2DD98BD9"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222</w:t>
            </w:r>
          </w:p>
        </w:tc>
        <w:tc>
          <w:tcPr>
            <w:tcW w:w="1251" w:type="dxa"/>
            <w:tcBorders>
              <w:top w:val="nil"/>
              <w:left w:val="nil"/>
              <w:bottom w:val="single" w:sz="4" w:space="0" w:color="auto"/>
              <w:right w:val="nil"/>
            </w:tcBorders>
            <w:noWrap/>
            <w:vAlign w:val="bottom"/>
          </w:tcPr>
          <w:p w14:paraId="0DD6BFA1"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w:t>
            </w:r>
          </w:p>
        </w:tc>
        <w:tc>
          <w:tcPr>
            <w:tcW w:w="1251" w:type="dxa"/>
            <w:tcBorders>
              <w:top w:val="nil"/>
              <w:left w:val="nil"/>
              <w:bottom w:val="single" w:sz="4" w:space="0" w:color="auto"/>
              <w:right w:val="nil"/>
            </w:tcBorders>
            <w:noWrap/>
            <w:vAlign w:val="bottom"/>
          </w:tcPr>
          <w:p w14:paraId="02823505"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w:t>
            </w:r>
          </w:p>
        </w:tc>
        <w:tc>
          <w:tcPr>
            <w:tcW w:w="1251" w:type="dxa"/>
            <w:tcBorders>
              <w:top w:val="nil"/>
              <w:left w:val="nil"/>
              <w:bottom w:val="single" w:sz="4" w:space="0" w:color="auto"/>
              <w:right w:val="nil"/>
            </w:tcBorders>
            <w:noWrap/>
            <w:vAlign w:val="bottom"/>
          </w:tcPr>
          <w:p w14:paraId="5838B6C3" w14:textId="77777777" w:rsidR="005026A0" w:rsidRPr="00CA0589" w:rsidRDefault="005026A0" w:rsidP="00CA0589">
            <w:pPr>
              <w:spacing w:line="276" w:lineRule="auto"/>
              <w:jc w:val="both"/>
              <w:rPr>
                <w:rFonts w:ascii="Arial" w:eastAsia="Times New Roman" w:hAnsi="Arial" w:cs="Arial"/>
                <w:color w:val="000000" w:themeColor="text1"/>
                <w:sz w:val="22"/>
                <w:szCs w:val="22"/>
              </w:rPr>
            </w:pPr>
            <w:r w:rsidRPr="00CA0589">
              <w:rPr>
                <w:rFonts w:ascii="Arial" w:eastAsia="Times New Roman" w:hAnsi="Arial" w:cs="Arial"/>
                <w:color w:val="000000" w:themeColor="text1"/>
                <w:sz w:val="22"/>
                <w:szCs w:val="22"/>
              </w:rPr>
              <w:t> </w:t>
            </w:r>
          </w:p>
        </w:tc>
      </w:tr>
    </w:tbl>
    <w:p w14:paraId="297E3828" w14:textId="77777777" w:rsidR="005026A0" w:rsidRPr="00CA0589" w:rsidRDefault="005026A0" w:rsidP="00CA0589">
      <w:pPr>
        <w:spacing w:line="276" w:lineRule="auto"/>
        <w:jc w:val="both"/>
        <w:rPr>
          <w:rFonts w:ascii="Arial" w:hAnsi="Arial" w:cs="Arial"/>
          <w:color w:val="000000" w:themeColor="text1"/>
          <w:sz w:val="22"/>
          <w:szCs w:val="22"/>
        </w:rPr>
      </w:pPr>
    </w:p>
    <w:p w14:paraId="6A3D280D" w14:textId="6D9E8236"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The DDS score has a positive and statistically significant association with birth weight: for every one unit increase in DDS, the birth weight improves by 0.060 units (</w:t>
      </w:r>
      <w:r w:rsidR="00143CD2" w:rsidRPr="00143CD2">
        <w:rPr>
          <w:rFonts w:ascii="Arial" w:hAnsi="Arial" w:cs="Arial"/>
          <w:i/>
          <w:color w:val="000000" w:themeColor="text1"/>
          <w:sz w:val="20"/>
          <w:szCs w:val="22"/>
        </w:rPr>
        <w:t>p</w:t>
      </w:r>
      <w:r w:rsidRPr="00143CD2">
        <w:rPr>
          <w:rFonts w:ascii="Arial" w:hAnsi="Arial" w:cs="Arial"/>
          <w:i/>
          <w:color w:val="000000" w:themeColor="text1"/>
          <w:sz w:val="22"/>
          <w:szCs w:val="22"/>
        </w:rPr>
        <w:t>=0.036),</w:t>
      </w:r>
      <w:r w:rsidRPr="00CA0589">
        <w:rPr>
          <w:rFonts w:ascii="Arial" w:hAnsi="Arial" w:cs="Arial"/>
          <w:color w:val="000000" w:themeColor="text1"/>
          <w:sz w:val="22"/>
          <w:szCs w:val="22"/>
        </w:rPr>
        <w:t xml:space="preserve"> with a 95% confidence interval ranging from 0.004 to 0.117. The model constant which represents the predicted birth weight when DDS is zero, is -0.266, but this is not statistically significant (P=0.063) </w:t>
      </w:r>
    </w:p>
    <w:p w14:paraId="47366C8A" w14:textId="77777777" w:rsidR="005026A0" w:rsidRPr="00CA0589" w:rsidRDefault="005026A0" w:rsidP="00CA0589">
      <w:pPr>
        <w:spacing w:line="276" w:lineRule="auto"/>
        <w:jc w:val="both"/>
        <w:rPr>
          <w:rFonts w:ascii="Arial" w:hAnsi="Arial" w:cs="Arial"/>
          <w:color w:val="000000" w:themeColor="text1"/>
          <w:sz w:val="22"/>
          <w:szCs w:val="22"/>
        </w:rPr>
      </w:pPr>
    </w:p>
    <w:p w14:paraId="0DEEC09A" w14:textId="409BD392" w:rsidR="005026A0" w:rsidRPr="00CA0589" w:rsidRDefault="005026A0" w:rsidP="00053305">
      <w:pPr>
        <w:spacing w:line="276" w:lineRule="auto"/>
        <w:ind w:left="993" w:hanging="993"/>
        <w:jc w:val="both"/>
        <w:rPr>
          <w:rFonts w:ascii="Arial" w:hAnsi="Arial" w:cs="Arial"/>
          <w:b/>
          <w:color w:val="000000" w:themeColor="text1"/>
          <w:sz w:val="22"/>
          <w:szCs w:val="22"/>
        </w:rPr>
      </w:pPr>
      <w:r w:rsidRPr="00CA0589">
        <w:rPr>
          <w:rFonts w:ascii="Arial" w:hAnsi="Arial" w:cs="Arial"/>
          <w:b/>
          <w:color w:val="000000" w:themeColor="text1"/>
          <w:sz w:val="22"/>
          <w:szCs w:val="22"/>
        </w:rPr>
        <w:t xml:space="preserve">Table </w:t>
      </w:r>
      <w:r w:rsidR="00CD0E4D">
        <w:rPr>
          <w:rFonts w:ascii="Arial" w:hAnsi="Arial" w:cs="Arial"/>
          <w:b/>
          <w:color w:val="000000" w:themeColor="text1"/>
          <w:sz w:val="22"/>
          <w:szCs w:val="22"/>
        </w:rPr>
        <w:t>8</w:t>
      </w:r>
      <w:r w:rsidRPr="00CA0589">
        <w:rPr>
          <w:rFonts w:ascii="Arial" w:hAnsi="Arial" w:cs="Arial"/>
          <w:b/>
          <w:color w:val="000000" w:themeColor="text1"/>
          <w:sz w:val="22"/>
          <w:szCs w:val="22"/>
        </w:rPr>
        <w:t>: Coefficients from linear regression model predicting birth outcome from DDS score</w:t>
      </w:r>
    </w:p>
    <w:tbl>
      <w:tblPr>
        <w:tblW w:w="9104" w:type="dxa"/>
        <w:tblLook w:val="04A0" w:firstRow="1" w:lastRow="0" w:firstColumn="1" w:lastColumn="0" w:noHBand="0" w:noVBand="1"/>
      </w:tblPr>
      <w:tblGrid>
        <w:gridCol w:w="1620"/>
        <w:gridCol w:w="1353"/>
        <w:gridCol w:w="1243"/>
        <w:gridCol w:w="1243"/>
        <w:gridCol w:w="1243"/>
        <w:gridCol w:w="1317"/>
        <w:gridCol w:w="1170"/>
      </w:tblGrid>
      <w:tr w:rsidR="005026A0" w:rsidRPr="00CA0589" w14:paraId="58BEB24A" w14:textId="77777777" w:rsidTr="00552620">
        <w:trPr>
          <w:trHeight w:val="361"/>
        </w:trPr>
        <w:tc>
          <w:tcPr>
            <w:tcW w:w="1620" w:type="dxa"/>
            <w:tcBorders>
              <w:top w:val="single" w:sz="4" w:space="0" w:color="auto"/>
              <w:left w:val="nil"/>
              <w:bottom w:val="single" w:sz="4" w:space="0" w:color="auto"/>
              <w:right w:val="nil"/>
            </w:tcBorders>
            <w:noWrap/>
            <w:vAlign w:val="bottom"/>
            <w:hideMark/>
          </w:tcPr>
          <w:p w14:paraId="1B5F9EF3"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Birth outcome</w:t>
            </w:r>
          </w:p>
        </w:tc>
        <w:tc>
          <w:tcPr>
            <w:tcW w:w="1268" w:type="dxa"/>
            <w:tcBorders>
              <w:top w:val="single" w:sz="4" w:space="0" w:color="auto"/>
              <w:left w:val="nil"/>
              <w:bottom w:val="single" w:sz="4" w:space="0" w:color="auto"/>
              <w:right w:val="nil"/>
            </w:tcBorders>
            <w:noWrap/>
            <w:vAlign w:val="bottom"/>
            <w:hideMark/>
          </w:tcPr>
          <w:p w14:paraId="3E61A34C"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Coefficient</w:t>
            </w:r>
          </w:p>
        </w:tc>
        <w:tc>
          <w:tcPr>
            <w:tcW w:w="1243" w:type="dxa"/>
            <w:tcBorders>
              <w:top w:val="single" w:sz="4" w:space="0" w:color="auto"/>
              <w:left w:val="nil"/>
              <w:bottom w:val="single" w:sz="4" w:space="0" w:color="auto"/>
              <w:right w:val="nil"/>
            </w:tcBorders>
            <w:noWrap/>
            <w:vAlign w:val="bottom"/>
            <w:hideMark/>
          </w:tcPr>
          <w:p w14:paraId="42C27E57"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 xml:space="preserve">Std. </w:t>
            </w:r>
            <w:proofErr w:type="gramStart"/>
            <w:r w:rsidRPr="00CA0589">
              <w:rPr>
                <w:rFonts w:ascii="Arial" w:eastAsia="Times New Roman" w:hAnsi="Arial" w:cs="Arial"/>
                <w:b/>
                <w:color w:val="000000"/>
                <w:sz w:val="22"/>
                <w:szCs w:val="22"/>
              </w:rPr>
              <w:t>err</w:t>
            </w:r>
            <w:proofErr w:type="gramEnd"/>
            <w:r w:rsidRPr="00CA0589">
              <w:rPr>
                <w:rFonts w:ascii="Arial" w:eastAsia="Times New Roman" w:hAnsi="Arial" w:cs="Arial"/>
                <w:b/>
                <w:color w:val="000000"/>
                <w:sz w:val="22"/>
                <w:szCs w:val="22"/>
              </w:rPr>
              <w:t>.</w:t>
            </w:r>
          </w:p>
        </w:tc>
        <w:tc>
          <w:tcPr>
            <w:tcW w:w="1243" w:type="dxa"/>
            <w:tcBorders>
              <w:top w:val="single" w:sz="4" w:space="0" w:color="auto"/>
              <w:left w:val="nil"/>
              <w:bottom w:val="single" w:sz="4" w:space="0" w:color="auto"/>
              <w:right w:val="nil"/>
            </w:tcBorders>
            <w:noWrap/>
            <w:vAlign w:val="bottom"/>
            <w:hideMark/>
          </w:tcPr>
          <w:p w14:paraId="3A75A061"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T</w:t>
            </w:r>
          </w:p>
        </w:tc>
        <w:tc>
          <w:tcPr>
            <w:tcW w:w="1243" w:type="dxa"/>
            <w:tcBorders>
              <w:top w:val="single" w:sz="4" w:space="0" w:color="auto"/>
              <w:left w:val="nil"/>
              <w:bottom w:val="single" w:sz="4" w:space="0" w:color="auto"/>
              <w:right w:val="nil"/>
            </w:tcBorders>
            <w:noWrap/>
            <w:vAlign w:val="bottom"/>
            <w:hideMark/>
          </w:tcPr>
          <w:p w14:paraId="4D967BBC" w14:textId="77777777" w:rsidR="005026A0" w:rsidRPr="00CA0589" w:rsidRDefault="005026A0" w:rsidP="00CA0589">
            <w:pPr>
              <w:spacing w:line="276" w:lineRule="auto"/>
              <w:jc w:val="both"/>
              <w:rPr>
                <w:rFonts w:ascii="Arial" w:eastAsia="Times New Roman" w:hAnsi="Arial" w:cs="Arial"/>
                <w:b/>
                <w:color w:val="000000"/>
                <w:sz w:val="22"/>
                <w:szCs w:val="22"/>
              </w:rPr>
            </w:pPr>
            <w:r w:rsidRPr="00143CD2">
              <w:rPr>
                <w:rFonts w:ascii="Arial" w:eastAsia="Times New Roman" w:hAnsi="Arial" w:cs="Arial"/>
                <w:b/>
                <w:i/>
                <w:color w:val="000000"/>
                <w:sz w:val="22"/>
                <w:szCs w:val="22"/>
              </w:rPr>
              <w:t>P</w:t>
            </w:r>
            <w:r w:rsidRPr="00CA0589">
              <w:rPr>
                <w:rFonts w:ascii="Arial" w:eastAsia="Times New Roman" w:hAnsi="Arial" w:cs="Arial"/>
                <w:b/>
                <w:color w:val="000000"/>
                <w:sz w:val="22"/>
                <w:szCs w:val="22"/>
              </w:rPr>
              <w:t>&gt;t</w:t>
            </w:r>
          </w:p>
        </w:tc>
        <w:tc>
          <w:tcPr>
            <w:tcW w:w="2487" w:type="dxa"/>
            <w:gridSpan w:val="2"/>
            <w:tcBorders>
              <w:top w:val="single" w:sz="4" w:space="0" w:color="auto"/>
              <w:left w:val="nil"/>
              <w:bottom w:val="single" w:sz="4" w:space="0" w:color="auto"/>
              <w:right w:val="nil"/>
            </w:tcBorders>
            <w:noWrap/>
            <w:vAlign w:val="bottom"/>
            <w:hideMark/>
          </w:tcPr>
          <w:p w14:paraId="2115B49D" w14:textId="77777777" w:rsidR="005026A0" w:rsidRPr="00CA0589" w:rsidRDefault="005026A0" w:rsidP="00CA0589">
            <w:pPr>
              <w:spacing w:line="276" w:lineRule="auto"/>
              <w:jc w:val="both"/>
              <w:rPr>
                <w:rFonts w:ascii="Arial" w:eastAsia="Times New Roman" w:hAnsi="Arial" w:cs="Arial"/>
                <w:b/>
                <w:color w:val="000000"/>
                <w:sz w:val="22"/>
                <w:szCs w:val="22"/>
              </w:rPr>
            </w:pPr>
            <w:r w:rsidRPr="00CA0589">
              <w:rPr>
                <w:rFonts w:ascii="Arial" w:eastAsia="Times New Roman" w:hAnsi="Arial" w:cs="Arial"/>
                <w:b/>
                <w:color w:val="000000"/>
                <w:sz w:val="22"/>
                <w:szCs w:val="22"/>
              </w:rPr>
              <w:t>[95% conf. interval]</w:t>
            </w:r>
          </w:p>
        </w:tc>
      </w:tr>
      <w:tr w:rsidR="005026A0" w:rsidRPr="00CA0589" w14:paraId="088FCB39" w14:textId="77777777" w:rsidTr="00552620">
        <w:trPr>
          <w:trHeight w:val="361"/>
        </w:trPr>
        <w:tc>
          <w:tcPr>
            <w:tcW w:w="1620" w:type="dxa"/>
            <w:tcBorders>
              <w:top w:val="nil"/>
              <w:left w:val="nil"/>
              <w:bottom w:val="nil"/>
              <w:right w:val="nil"/>
            </w:tcBorders>
            <w:noWrap/>
            <w:vAlign w:val="bottom"/>
            <w:hideMark/>
          </w:tcPr>
          <w:p w14:paraId="26CAB71F"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DDS score</w:t>
            </w:r>
          </w:p>
        </w:tc>
        <w:tc>
          <w:tcPr>
            <w:tcW w:w="1268" w:type="dxa"/>
            <w:tcBorders>
              <w:top w:val="nil"/>
              <w:left w:val="nil"/>
              <w:bottom w:val="nil"/>
              <w:right w:val="nil"/>
            </w:tcBorders>
            <w:noWrap/>
            <w:vAlign w:val="bottom"/>
            <w:hideMark/>
          </w:tcPr>
          <w:p w14:paraId="49DFEBDD"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0.060</w:t>
            </w:r>
          </w:p>
        </w:tc>
        <w:tc>
          <w:tcPr>
            <w:tcW w:w="1243" w:type="dxa"/>
            <w:tcBorders>
              <w:top w:val="nil"/>
              <w:left w:val="nil"/>
              <w:bottom w:val="nil"/>
              <w:right w:val="nil"/>
            </w:tcBorders>
            <w:noWrap/>
            <w:vAlign w:val="bottom"/>
            <w:hideMark/>
          </w:tcPr>
          <w:p w14:paraId="2E6861B1"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0.029</w:t>
            </w:r>
          </w:p>
        </w:tc>
        <w:tc>
          <w:tcPr>
            <w:tcW w:w="1243" w:type="dxa"/>
            <w:tcBorders>
              <w:top w:val="nil"/>
              <w:left w:val="nil"/>
              <w:bottom w:val="nil"/>
              <w:right w:val="nil"/>
            </w:tcBorders>
            <w:noWrap/>
            <w:vAlign w:val="bottom"/>
            <w:hideMark/>
          </w:tcPr>
          <w:p w14:paraId="7578860F"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2.11</w:t>
            </w:r>
          </w:p>
        </w:tc>
        <w:tc>
          <w:tcPr>
            <w:tcW w:w="1243" w:type="dxa"/>
            <w:tcBorders>
              <w:top w:val="nil"/>
              <w:left w:val="nil"/>
              <w:bottom w:val="nil"/>
              <w:right w:val="nil"/>
            </w:tcBorders>
            <w:noWrap/>
            <w:vAlign w:val="bottom"/>
            <w:hideMark/>
          </w:tcPr>
          <w:p w14:paraId="2BBBE795"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0.036**</w:t>
            </w:r>
          </w:p>
        </w:tc>
        <w:tc>
          <w:tcPr>
            <w:tcW w:w="1317" w:type="dxa"/>
            <w:tcBorders>
              <w:top w:val="nil"/>
              <w:left w:val="nil"/>
              <w:bottom w:val="nil"/>
              <w:right w:val="nil"/>
            </w:tcBorders>
            <w:noWrap/>
            <w:vAlign w:val="bottom"/>
            <w:hideMark/>
          </w:tcPr>
          <w:p w14:paraId="62B01BF7"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0.004</w:t>
            </w:r>
          </w:p>
        </w:tc>
        <w:tc>
          <w:tcPr>
            <w:tcW w:w="1170" w:type="dxa"/>
            <w:tcBorders>
              <w:top w:val="nil"/>
              <w:left w:val="nil"/>
              <w:bottom w:val="nil"/>
              <w:right w:val="nil"/>
            </w:tcBorders>
            <w:noWrap/>
            <w:vAlign w:val="bottom"/>
            <w:hideMark/>
          </w:tcPr>
          <w:p w14:paraId="192DAE98"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0.117</w:t>
            </w:r>
          </w:p>
        </w:tc>
      </w:tr>
      <w:tr w:rsidR="005026A0" w:rsidRPr="00CA0589" w14:paraId="4718878A" w14:textId="77777777" w:rsidTr="00552620">
        <w:trPr>
          <w:trHeight w:val="361"/>
        </w:trPr>
        <w:tc>
          <w:tcPr>
            <w:tcW w:w="1620" w:type="dxa"/>
            <w:tcBorders>
              <w:top w:val="nil"/>
              <w:left w:val="nil"/>
              <w:bottom w:val="single" w:sz="4" w:space="0" w:color="auto"/>
              <w:right w:val="nil"/>
            </w:tcBorders>
            <w:noWrap/>
            <w:vAlign w:val="bottom"/>
            <w:hideMark/>
          </w:tcPr>
          <w:p w14:paraId="0F74008F"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 xml:space="preserve">_cons  </w:t>
            </w:r>
          </w:p>
        </w:tc>
        <w:tc>
          <w:tcPr>
            <w:tcW w:w="1268" w:type="dxa"/>
            <w:tcBorders>
              <w:top w:val="nil"/>
              <w:left w:val="nil"/>
              <w:bottom w:val="single" w:sz="4" w:space="0" w:color="auto"/>
              <w:right w:val="nil"/>
            </w:tcBorders>
            <w:noWrap/>
            <w:vAlign w:val="bottom"/>
            <w:hideMark/>
          </w:tcPr>
          <w:p w14:paraId="70461FEC"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-0.266</w:t>
            </w:r>
          </w:p>
        </w:tc>
        <w:tc>
          <w:tcPr>
            <w:tcW w:w="1243" w:type="dxa"/>
            <w:tcBorders>
              <w:top w:val="nil"/>
              <w:left w:val="nil"/>
              <w:bottom w:val="single" w:sz="4" w:space="0" w:color="auto"/>
              <w:right w:val="nil"/>
            </w:tcBorders>
            <w:noWrap/>
            <w:vAlign w:val="bottom"/>
            <w:hideMark/>
          </w:tcPr>
          <w:p w14:paraId="4D43A6DB"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0.142</w:t>
            </w:r>
          </w:p>
        </w:tc>
        <w:tc>
          <w:tcPr>
            <w:tcW w:w="1243" w:type="dxa"/>
            <w:tcBorders>
              <w:top w:val="nil"/>
              <w:left w:val="nil"/>
              <w:bottom w:val="single" w:sz="4" w:space="0" w:color="auto"/>
              <w:right w:val="nil"/>
            </w:tcBorders>
            <w:noWrap/>
            <w:vAlign w:val="bottom"/>
            <w:hideMark/>
          </w:tcPr>
          <w:p w14:paraId="3764FECB"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-1.87</w:t>
            </w:r>
          </w:p>
        </w:tc>
        <w:tc>
          <w:tcPr>
            <w:tcW w:w="1243" w:type="dxa"/>
            <w:tcBorders>
              <w:top w:val="nil"/>
              <w:left w:val="nil"/>
              <w:bottom w:val="single" w:sz="4" w:space="0" w:color="auto"/>
              <w:right w:val="nil"/>
            </w:tcBorders>
            <w:noWrap/>
            <w:vAlign w:val="bottom"/>
            <w:hideMark/>
          </w:tcPr>
          <w:p w14:paraId="388F866A"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0.063</w:t>
            </w:r>
          </w:p>
        </w:tc>
        <w:tc>
          <w:tcPr>
            <w:tcW w:w="1317" w:type="dxa"/>
            <w:tcBorders>
              <w:top w:val="nil"/>
              <w:left w:val="nil"/>
              <w:bottom w:val="single" w:sz="4" w:space="0" w:color="auto"/>
              <w:right w:val="nil"/>
            </w:tcBorders>
            <w:noWrap/>
            <w:vAlign w:val="bottom"/>
            <w:hideMark/>
          </w:tcPr>
          <w:p w14:paraId="75247416"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-0.547</w:t>
            </w:r>
          </w:p>
        </w:tc>
        <w:tc>
          <w:tcPr>
            <w:tcW w:w="1170" w:type="dxa"/>
            <w:tcBorders>
              <w:top w:val="nil"/>
              <w:left w:val="nil"/>
              <w:bottom w:val="single" w:sz="4" w:space="0" w:color="auto"/>
              <w:right w:val="nil"/>
            </w:tcBorders>
            <w:noWrap/>
            <w:vAlign w:val="bottom"/>
            <w:hideMark/>
          </w:tcPr>
          <w:p w14:paraId="12865932"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0.015</w:t>
            </w:r>
          </w:p>
        </w:tc>
      </w:tr>
    </w:tbl>
    <w:p w14:paraId="131491B3" w14:textId="77777777" w:rsidR="005026A0" w:rsidRPr="00CA0589" w:rsidRDefault="005026A0" w:rsidP="00CA0589">
      <w:pPr>
        <w:spacing w:line="276" w:lineRule="auto"/>
        <w:jc w:val="both"/>
        <w:rPr>
          <w:rFonts w:ascii="Arial" w:eastAsia="Times New Roman" w:hAnsi="Arial" w:cs="Arial"/>
          <w:color w:val="000000"/>
          <w:sz w:val="22"/>
          <w:szCs w:val="22"/>
        </w:rPr>
      </w:pPr>
      <w:r w:rsidRPr="00CA0589">
        <w:rPr>
          <w:rFonts w:ascii="Arial" w:eastAsia="Times New Roman" w:hAnsi="Arial" w:cs="Arial"/>
          <w:color w:val="000000"/>
          <w:sz w:val="22"/>
          <w:szCs w:val="22"/>
        </w:rPr>
        <w:t xml:space="preserve"> </w:t>
      </w:r>
      <w:r w:rsidRPr="00CA0589">
        <w:rPr>
          <w:rFonts w:ascii="Arial" w:eastAsia="Times New Roman" w:hAnsi="Arial" w:cs="Arial"/>
          <w:b/>
          <w:bCs/>
          <w:color w:val="000000"/>
          <w:sz w:val="22"/>
          <w:szCs w:val="22"/>
        </w:rPr>
        <w:t>Note:</w:t>
      </w:r>
      <w:r w:rsidRPr="00CA0589">
        <w:rPr>
          <w:rFonts w:ascii="Arial" w:eastAsia="Times New Roman" w:hAnsi="Arial" w:cs="Arial"/>
          <w:color w:val="000000"/>
          <w:sz w:val="22"/>
          <w:szCs w:val="22"/>
        </w:rPr>
        <w:t xml:space="preserve"> </w:t>
      </w:r>
      <w:r w:rsidRPr="00CA0589">
        <w:rPr>
          <w:rFonts w:ascii="Arial" w:eastAsia="Times New Roman" w:hAnsi="Arial" w:cs="Arial"/>
          <w:b/>
          <w:bCs/>
          <w:color w:val="000000"/>
          <w:sz w:val="22"/>
          <w:szCs w:val="22"/>
        </w:rPr>
        <w:t>**</w:t>
      </w:r>
      <w:r w:rsidRPr="00CA0589">
        <w:rPr>
          <w:rFonts w:ascii="Arial" w:eastAsia="Times New Roman" w:hAnsi="Arial" w:cs="Arial"/>
          <w:color w:val="000000"/>
          <w:sz w:val="22"/>
          <w:szCs w:val="22"/>
        </w:rPr>
        <w:t xml:space="preserve"> significance at 95% confidence level, </w:t>
      </w:r>
      <w:r w:rsidRPr="00CA0589">
        <w:rPr>
          <w:rFonts w:ascii="Arial" w:eastAsia="Times New Roman" w:hAnsi="Arial" w:cs="Arial"/>
          <w:b/>
          <w:bCs/>
          <w:color w:val="000000"/>
          <w:sz w:val="22"/>
          <w:szCs w:val="22"/>
        </w:rPr>
        <w:t>***</w:t>
      </w:r>
      <w:r w:rsidRPr="00CA0589">
        <w:rPr>
          <w:rFonts w:ascii="Arial" w:eastAsia="Times New Roman" w:hAnsi="Arial" w:cs="Arial"/>
          <w:color w:val="000000"/>
          <w:sz w:val="22"/>
          <w:szCs w:val="22"/>
        </w:rPr>
        <w:t xml:space="preserve"> significance at 99% confidence level</w:t>
      </w:r>
    </w:p>
    <w:p w14:paraId="17264E55" w14:textId="77777777" w:rsidR="00053305" w:rsidRDefault="00053305" w:rsidP="00CA0589">
      <w:pPr>
        <w:spacing w:line="276" w:lineRule="auto"/>
        <w:jc w:val="both"/>
        <w:rPr>
          <w:rFonts w:ascii="Arial" w:hAnsi="Arial" w:cs="Arial"/>
          <w:sz w:val="22"/>
          <w:szCs w:val="22"/>
        </w:rPr>
      </w:pPr>
    </w:p>
    <w:p w14:paraId="3397BF3D" w14:textId="77777777" w:rsidR="005026A0" w:rsidRPr="00CA0589" w:rsidRDefault="005026A0" w:rsidP="00CA0589">
      <w:pPr>
        <w:spacing w:line="276" w:lineRule="auto"/>
        <w:jc w:val="both"/>
        <w:rPr>
          <w:rFonts w:ascii="Arial" w:hAnsi="Arial" w:cs="Arial"/>
          <w:b/>
          <w:bCs/>
          <w:color w:val="000000" w:themeColor="text1"/>
          <w:sz w:val="22"/>
          <w:szCs w:val="22"/>
        </w:rPr>
      </w:pPr>
      <w:r w:rsidRPr="00CA0589">
        <w:rPr>
          <w:rFonts w:ascii="Arial" w:hAnsi="Arial" w:cs="Arial"/>
          <w:b/>
          <w:bCs/>
          <w:color w:val="000000" w:themeColor="text1"/>
          <w:sz w:val="22"/>
          <w:szCs w:val="22"/>
        </w:rPr>
        <w:t>4.0</w:t>
      </w:r>
      <w:r w:rsidRPr="00CA0589">
        <w:rPr>
          <w:rFonts w:ascii="Arial" w:hAnsi="Arial" w:cs="Arial"/>
          <w:b/>
          <w:bCs/>
          <w:color w:val="000000" w:themeColor="text1"/>
          <w:sz w:val="22"/>
          <w:szCs w:val="22"/>
        </w:rPr>
        <w:tab/>
        <w:t>DISCUSSION</w:t>
      </w:r>
      <w:r w:rsidRPr="00CA0589">
        <w:rPr>
          <w:rFonts w:ascii="Arial" w:hAnsi="Arial" w:cs="Arial"/>
          <w:b/>
          <w:bCs/>
          <w:color w:val="000000" w:themeColor="text1"/>
          <w:sz w:val="22"/>
          <w:szCs w:val="22"/>
        </w:rPr>
        <w:tab/>
      </w:r>
      <w:r w:rsidRPr="00CA0589">
        <w:rPr>
          <w:rFonts w:ascii="Arial" w:hAnsi="Arial" w:cs="Arial"/>
          <w:b/>
          <w:bCs/>
          <w:color w:val="000000" w:themeColor="text1"/>
          <w:sz w:val="22"/>
          <w:szCs w:val="22"/>
        </w:rPr>
        <w:tab/>
      </w:r>
      <w:r w:rsidRPr="00CA0589">
        <w:rPr>
          <w:rFonts w:ascii="Arial" w:hAnsi="Arial" w:cs="Arial"/>
          <w:b/>
          <w:bCs/>
          <w:color w:val="000000" w:themeColor="text1"/>
          <w:sz w:val="22"/>
          <w:szCs w:val="22"/>
        </w:rPr>
        <w:tab/>
      </w:r>
    </w:p>
    <w:p w14:paraId="5F904F04" w14:textId="77777777" w:rsidR="005026A0" w:rsidRPr="00CA0589" w:rsidRDefault="005026A0" w:rsidP="00CA0589">
      <w:pPr>
        <w:spacing w:line="276" w:lineRule="auto"/>
        <w:jc w:val="both"/>
        <w:rPr>
          <w:rFonts w:ascii="Arial" w:hAnsi="Arial" w:cs="Arial"/>
          <w:b/>
          <w:bCs/>
          <w:color w:val="000000" w:themeColor="text1"/>
          <w:sz w:val="22"/>
          <w:szCs w:val="22"/>
        </w:rPr>
      </w:pPr>
      <w:r w:rsidRPr="00CA0589">
        <w:rPr>
          <w:rFonts w:ascii="Arial" w:hAnsi="Arial" w:cs="Arial"/>
          <w:b/>
          <w:bCs/>
          <w:color w:val="000000" w:themeColor="text1"/>
          <w:sz w:val="22"/>
          <w:szCs w:val="22"/>
        </w:rPr>
        <w:t>4.1</w:t>
      </w:r>
      <w:r w:rsidRPr="00CA0589">
        <w:rPr>
          <w:rFonts w:ascii="Arial" w:hAnsi="Arial" w:cs="Arial"/>
          <w:b/>
          <w:bCs/>
          <w:color w:val="000000" w:themeColor="text1"/>
          <w:sz w:val="22"/>
          <w:szCs w:val="22"/>
        </w:rPr>
        <w:tab/>
        <w:t>Socio-demographic characteristics of respondents</w:t>
      </w:r>
    </w:p>
    <w:p w14:paraId="3E342DB6"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The study found that the majority of respondents are young adult females aged 25–34 years, a group commonly representing the reproductive age demographic in many low- and middle-income countries (Chipako, 2024). Educational attainment among this population is moderate, with nearly half having completed secondary education; however, a notable minority lack formal education. Education generally equips individuals with better nutritional knowledge and resource management skills. </w:t>
      </w:r>
      <w:proofErr w:type="gramStart"/>
      <w:r w:rsidRPr="00CA0589">
        <w:rPr>
          <w:rFonts w:ascii="Arial" w:eastAsia="Calibri" w:hAnsi="Arial" w:cs="Arial"/>
          <w:color w:val="000000" w:themeColor="text1"/>
          <w:sz w:val="22"/>
          <w:szCs w:val="22"/>
        </w:rPr>
        <w:t>However</w:t>
      </w:r>
      <w:proofErr w:type="gramEnd"/>
      <w:r w:rsidRPr="00CA0589">
        <w:rPr>
          <w:rFonts w:ascii="Arial" w:eastAsia="Calibri" w:hAnsi="Arial" w:cs="Arial"/>
          <w:color w:val="000000" w:themeColor="text1"/>
          <w:sz w:val="22"/>
          <w:szCs w:val="22"/>
        </w:rPr>
        <w:t xml:space="preserve"> despite education factors like limited access to diverse food market and affordability of food can still restrict dietary variety. This was supported by study conducted by Ghiasi (2021) show that high nutrition knowledge as significant associated with adequately dietary diversity. Most respondents are married and actively engaged in small-scale entrepreneurial activities, such as operating shops and </w:t>
      </w:r>
      <w:r w:rsidRPr="00CA0589">
        <w:rPr>
          <w:rFonts w:ascii="Arial" w:eastAsia="Times New Roman" w:hAnsi="Arial" w:cs="Arial"/>
          <w:color w:val="000000" w:themeColor="text1"/>
          <w:sz w:val="22"/>
          <w:szCs w:val="22"/>
        </w:rPr>
        <w:t>agricultural produce trader</w:t>
      </w:r>
      <w:r w:rsidRPr="00CA0589">
        <w:rPr>
          <w:rFonts w:ascii="Arial" w:eastAsia="Calibri" w:hAnsi="Arial" w:cs="Arial"/>
          <w:color w:val="000000" w:themeColor="text1"/>
          <w:sz w:val="22"/>
          <w:szCs w:val="22"/>
        </w:rPr>
        <w:t xml:space="preserve">. This linking to their family responsibilities and the need for additional income. It was similar to study conducted by Magrin </w:t>
      </w:r>
      <w:r w:rsidRPr="00CA0589">
        <w:rPr>
          <w:rFonts w:ascii="Arial" w:eastAsia="Calibri" w:hAnsi="Arial" w:cs="Arial"/>
          <w:i/>
          <w:iCs/>
          <w:color w:val="000000" w:themeColor="text1"/>
          <w:sz w:val="22"/>
          <w:szCs w:val="22"/>
        </w:rPr>
        <w:t>et al</w:t>
      </w:r>
      <w:r w:rsidRPr="00CA0589">
        <w:rPr>
          <w:rFonts w:ascii="Arial" w:eastAsia="Calibri" w:hAnsi="Arial" w:cs="Arial"/>
          <w:color w:val="000000" w:themeColor="text1"/>
          <w:sz w:val="22"/>
          <w:szCs w:val="22"/>
        </w:rPr>
        <w:t xml:space="preserve">., (2021) often married women highlighting family responsibilities as a driving factor for seeking additional income and also Women dominating small holder agriculture making them key players in the post-harvest activities like trade produce.   Despite this socioeconomic engagement, many earn less than 500,000 TZS per month, which falls below Tanzania’s minimum wage in several sectors, indicating economic vulnerability. A study by Nkoma (2017) highlights low profits and significant challenges faced by women entrepreneurs in Tanzania’s informal sector that limit their income potential.  </w:t>
      </w:r>
    </w:p>
    <w:p w14:paraId="72CA701D" w14:textId="77777777" w:rsidR="005026A0" w:rsidRPr="00CA0589" w:rsidRDefault="005026A0" w:rsidP="00CA0589">
      <w:pPr>
        <w:spacing w:line="276" w:lineRule="auto"/>
        <w:jc w:val="both"/>
        <w:rPr>
          <w:rFonts w:ascii="Arial" w:eastAsia="Calibri" w:hAnsi="Arial" w:cs="Arial"/>
          <w:color w:val="000000" w:themeColor="text1"/>
          <w:sz w:val="22"/>
          <w:szCs w:val="22"/>
        </w:rPr>
      </w:pPr>
    </w:p>
    <w:p w14:paraId="5B3BEFEF"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4.2</w:t>
      </w:r>
      <w:r w:rsidRPr="00CA0589">
        <w:rPr>
          <w:rFonts w:ascii="Arial" w:eastAsia="Calibri" w:hAnsi="Arial" w:cs="Arial"/>
          <w:b/>
          <w:color w:val="000000" w:themeColor="text1"/>
          <w:sz w:val="22"/>
          <w:szCs w:val="22"/>
        </w:rPr>
        <w:tab/>
        <w:t>Dietary diversity scores of business women</w:t>
      </w:r>
    </w:p>
    <w:p w14:paraId="25709724" w14:textId="77777777" w:rsidR="005026A0" w:rsidRPr="00CA0589" w:rsidRDefault="005026A0" w:rsidP="00CA0589">
      <w:pPr>
        <w:spacing w:line="276" w:lineRule="auto"/>
        <w:jc w:val="both"/>
        <w:rPr>
          <w:rFonts w:ascii="Arial" w:hAnsi="Arial" w:cs="Arial"/>
          <w:color w:val="000000" w:themeColor="text1"/>
          <w:sz w:val="22"/>
          <w:szCs w:val="22"/>
        </w:rPr>
      </w:pPr>
      <w:r w:rsidRPr="00CA0589">
        <w:rPr>
          <w:rFonts w:ascii="Arial" w:hAnsi="Arial" w:cs="Arial"/>
          <w:color w:val="000000" w:themeColor="text1"/>
          <w:sz w:val="22"/>
          <w:szCs w:val="22"/>
        </w:rPr>
        <w:t xml:space="preserve">The study indicated a positive shift in dietary diversity categories among pregnant business women from baseline to endline. At baseline, over half of the women exhibited inadequate dietary diversity, while a smaller proportion had adequate dietary diversity while the endline, these figures had significantly reversed, with the majority demonstrating adequate dietary </w:t>
      </w:r>
      <w:r w:rsidRPr="00CA0589">
        <w:rPr>
          <w:rFonts w:ascii="Arial" w:hAnsi="Arial" w:cs="Arial"/>
          <w:color w:val="000000" w:themeColor="text1"/>
          <w:sz w:val="22"/>
          <w:szCs w:val="22"/>
        </w:rPr>
        <w:lastRenderedPageBreak/>
        <w:t xml:space="preserve">women go through many changes that affect what and how much they eat. Their bodies are healing, and if they are breastfeeding, they need more energy and nutrients to make enough milk. This naturally leads to eating more and possibly a wider range of foods, as long as they have access to them. Also, during the postnatal period, women often get more support from family and have better access to health information through clinic visits </w:t>
      </w:r>
      <w:r w:rsidRPr="00CA0589">
        <w:rPr>
          <w:rFonts w:ascii="Arial" w:hAnsi="Arial" w:cs="Arial"/>
          <w:color w:val="000000" w:themeColor="text1"/>
          <w:sz w:val="22"/>
          <w:szCs w:val="22"/>
        </w:rPr>
        <w:fldChar w:fldCharType="begin"/>
      </w:r>
      <w:r w:rsidRPr="00CA0589">
        <w:rPr>
          <w:rFonts w:ascii="Arial" w:hAnsi="Arial" w:cs="Arial"/>
          <w:color w:val="000000" w:themeColor="text1"/>
          <w:sz w:val="22"/>
          <w:szCs w:val="22"/>
        </w:rPr>
        <w:instrText xml:space="preserve"> ADDIN ZOTERO_ITEM CSL_CITATION {"citationID":"1ItWRUQ1","properties":{"formattedCitation":"(Rees &amp; Brough, 2025)","plainCitation":"(Rees &amp; Brough, 2025)","noteIndex":0},"citationItems":[{"id":200,"uris":["http://zotero.org/users/local/DuFj9jkw/items/EMPS9GN9"],"itemData":{"id":200,"type":"book","ISBN":"2072-6643","note":"issue: 9\npage: 1543\ncontainer-title: Nutrients","publisher":"MDPI","title":"Dietary Patterns and Nutrient Intake in Pregnancy and Lactation","volume":"17","author":[{"family":"Rees","given":"Gail"},{"family":"Brough","given":"Louise"}],"issued":{"date-parts":[["2025"]]}}}],"schema":"https://github.com/citation-style-language/schema/raw/master/csl-citation.json"} </w:instrText>
      </w:r>
      <w:r w:rsidRPr="00CA0589">
        <w:rPr>
          <w:rFonts w:ascii="Arial" w:hAnsi="Arial" w:cs="Arial"/>
          <w:color w:val="000000" w:themeColor="text1"/>
          <w:sz w:val="22"/>
          <w:szCs w:val="22"/>
        </w:rPr>
        <w:fldChar w:fldCharType="separate"/>
      </w:r>
      <w:r w:rsidRPr="00CA0589">
        <w:rPr>
          <w:rFonts w:ascii="Arial" w:hAnsi="Arial" w:cs="Arial"/>
          <w:color w:val="000000" w:themeColor="text1"/>
          <w:sz w:val="22"/>
          <w:szCs w:val="22"/>
        </w:rPr>
        <w:t>(Rees &amp; Brough, 2025)</w:t>
      </w:r>
      <w:r w:rsidRPr="00CA0589">
        <w:rPr>
          <w:rFonts w:ascii="Arial" w:hAnsi="Arial" w:cs="Arial"/>
          <w:color w:val="000000" w:themeColor="text1"/>
          <w:sz w:val="22"/>
          <w:szCs w:val="22"/>
        </w:rPr>
        <w:fldChar w:fldCharType="end"/>
      </w:r>
      <w:r w:rsidRPr="00CA0589">
        <w:rPr>
          <w:rFonts w:ascii="Arial" w:hAnsi="Arial" w:cs="Arial"/>
          <w:color w:val="000000" w:themeColor="text1"/>
          <w:sz w:val="22"/>
          <w:szCs w:val="22"/>
        </w:rPr>
        <w:t xml:space="preserve">. This is consistent with findings from Huang </w:t>
      </w:r>
      <w:r w:rsidRPr="00CA0589">
        <w:rPr>
          <w:rFonts w:ascii="Arial" w:hAnsi="Arial" w:cs="Arial"/>
          <w:i/>
          <w:iCs/>
          <w:color w:val="000000" w:themeColor="text1"/>
          <w:sz w:val="22"/>
          <w:szCs w:val="22"/>
        </w:rPr>
        <w:t>et al</w:t>
      </w:r>
      <w:r w:rsidRPr="00CA0589">
        <w:rPr>
          <w:rFonts w:ascii="Arial" w:hAnsi="Arial" w:cs="Arial"/>
          <w:color w:val="000000" w:themeColor="text1"/>
          <w:sz w:val="22"/>
          <w:szCs w:val="22"/>
        </w:rPr>
        <w:t xml:space="preserve"> (2018) who reported that about 40% of mothers in Dodoma lacked diverse diets.  Another study reported only 28% of pregnant women in Coast region met the minimum dietary diversity standard (Hemed </w:t>
      </w:r>
      <w:r w:rsidRPr="00CA0589">
        <w:rPr>
          <w:rFonts w:ascii="Arial" w:hAnsi="Arial" w:cs="Arial"/>
          <w:i/>
          <w:iCs/>
          <w:color w:val="000000" w:themeColor="text1"/>
          <w:sz w:val="22"/>
          <w:szCs w:val="22"/>
        </w:rPr>
        <w:t>et al</w:t>
      </w:r>
      <w:r w:rsidRPr="00CA0589">
        <w:rPr>
          <w:rFonts w:ascii="Arial" w:hAnsi="Arial" w:cs="Arial"/>
          <w:color w:val="000000" w:themeColor="text1"/>
          <w:sz w:val="22"/>
          <w:szCs w:val="22"/>
        </w:rPr>
        <w:t xml:space="preserve">., 2024). The improvement of business women likely reflects increased nutritional needs after childbirth, better utilization of prior antenatal nutrition education, and enhanced social and healthcare support during the postnatal period, leading to a reversal of the baseline inadequacy (Huang </w:t>
      </w:r>
      <w:r w:rsidRPr="00CA0589">
        <w:rPr>
          <w:rFonts w:ascii="Arial" w:hAnsi="Arial" w:cs="Arial"/>
          <w:i/>
          <w:iCs/>
          <w:color w:val="000000" w:themeColor="text1"/>
          <w:sz w:val="22"/>
          <w:szCs w:val="22"/>
        </w:rPr>
        <w:t>et al</w:t>
      </w:r>
      <w:r w:rsidRPr="00CA0589">
        <w:rPr>
          <w:rFonts w:ascii="Arial" w:hAnsi="Arial" w:cs="Arial"/>
          <w:color w:val="000000" w:themeColor="text1"/>
          <w:sz w:val="22"/>
          <w:szCs w:val="22"/>
        </w:rPr>
        <w:t>., 2018).</w:t>
      </w:r>
    </w:p>
    <w:p w14:paraId="6B630875" w14:textId="77777777" w:rsidR="005026A0" w:rsidRPr="00CA0589" w:rsidRDefault="005026A0" w:rsidP="00CA0589">
      <w:pPr>
        <w:spacing w:line="276" w:lineRule="auto"/>
        <w:jc w:val="both"/>
        <w:rPr>
          <w:rFonts w:ascii="Arial" w:eastAsia="Calibri" w:hAnsi="Arial" w:cs="Arial"/>
          <w:b/>
          <w:color w:val="000000" w:themeColor="text1"/>
          <w:sz w:val="22"/>
          <w:szCs w:val="22"/>
        </w:rPr>
      </w:pPr>
    </w:p>
    <w:p w14:paraId="51485C2D"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4.3</w:t>
      </w:r>
      <w:r w:rsidRPr="00CA0589">
        <w:rPr>
          <w:rFonts w:ascii="Arial" w:eastAsia="Calibri" w:hAnsi="Arial" w:cs="Arial"/>
          <w:b/>
          <w:color w:val="000000" w:themeColor="text1"/>
          <w:sz w:val="22"/>
          <w:szCs w:val="22"/>
        </w:rPr>
        <w:tab/>
        <w:t>Food group consumption</w:t>
      </w:r>
    </w:p>
    <w:p w14:paraId="600504EF"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The present study showed that at baseline high consumption of grains, white roots, tubers, and plantains and low consumption of other fruits, eggs, meat, poultry, and fish. By endline, there was a universal increase in the percentage of women consuming all listed food groups.</w:t>
      </w:r>
    </w:p>
    <w:p w14:paraId="3B9B35D1"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Limited consumption of food group could be due to seasonal availability, affordability, and access. These trends align with previous </w:t>
      </w:r>
      <w:proofErr w:type="gramStart"/>
      <w:r w:rsidRPr="00CA0589">
        <w:rPr>
          <w:rFonts w:ascii="Arial" w:eastAsia="Calibri" w:hAnsi="Arial" w:cs="Arial"/>
          <w:color w:val="000000" w:themeColor="text1"/>
          <w:sz w:val="22"/>
          <w:szCs w:val="22"/>
        </w:rPr>
        <w:t>research  which</w:t>
      </w:r>
      <w:proofErr w:type="gramEnd"/>
      <w:r w:rsidRPr="00CA0589">
        <w:rPr>
          <w:rFonts w:ascii="Arial" w:eastAsia="Calibri" w:hAnsi="Arial" w:cs="Arial"/>
          <w:color w:val="000000" w:themeColor="text1"/>
          <w:sz w:val="22"/>
          <w:szCs w:val="22"/>
        </w:rPr>
        <w:t xml:space="preserve"> showed that staple foods like maize and cassava, often eaten as stiff porridge (ugali) with leafy vegetables and legumes dominate Tanzanian diets (Magrini </w:t>
      </w:r>
      <w:r w:rsidRPr="00CA0589">
        <w:rPr>
          <w:rFonts w:ascii="Arial" w:eastAsia="Calibri" w:hAnsi="Arial" w:cs="Arial"/>
          <w:i/>
          <w:iCs/>
          <w:color w:val="000000" w:themeColor="text1"/>
          <w:sz w:val="22"/>
          <w:szCs w:val="22"/>
        </w:rPr>
        <w:t>et al</w:t>
      </w:r>
      <w:r w:rsidRPr="00CA0589">
        <w:rPr>
          <w:rFonts w:ascii="Arial" w:eastAsia="Calibri" w:hAnsi="Arial" w:cs="Arial"/>
          <w:color w:val="000000" w:themeColor="text1"/>
          <w:sz w:val="22"/>
          <w:szCs w:val="22"/>
        </w:rPr>
        <w:t>., 2021).</w:t>
      </w:r>
    </w:p>
    <w:p w14:paraId="4C6C6978" w14:textId="77777777" w:rsidR="005026A0" w:rsidRPr="00CA0589" w:rsidRDefault="005026A0" w:rsidP="00CA0589">
      <w:pPr>
        <w:spacing w:line="276" w:lineRule="auto"/>
        <w:jc w:val="both"/>
        <w:rPr>
          <w:rFonts w:ascii="Arial" w:eastAsia="Calibri" w:hAnsi="Arial" w:cs="Arial"/>
          <w:color w:val="000000" w:themeColor="text1"/>
          <w:sz w:val="22"/>
          <w:szCs w:val="22"/>
        </w:rPr>
      </w:pPr>
    </w:p>
    <w:p w14:paraId="7616F290"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 xml:space="preserve">4.4 </w:t>
      </w:r>
      <w:r w:rsidRPr="00CA0589">
        <w:rPr>
          <w:rFonts w:ascii="Arial" w:hAnsi="Arial" w:cs="Arial"/>
          <w:b/>
          <w:color w:val="000000" w:themeColor="text1"/>
          <w:sz w:val="22"/>
          <w:szCs w:val="22"/>
        </w:rPr>
        <w:t>Changes in frequency of food group consumption</w:t>
      </w:r>
    </w:p>
    <w:p w14:paraId="69647393" w14:textId="6A20E5C5"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The data showed that women’s diets improved significantly from the beginning (baseline) to the end of the study (endline). Fewer women said they "never" ate important foods like green leafy vegetables, legumes, nuts and seeds, milk products, meat, and eggs. One big change was in fruit consumption only 16.2% of women ate other fruits at the start, but by the end, that number had jumped to 57.9%. This improvement likely happened due to that women may have learned more about healthy eating during their antenatal (pregnancy) care visits. </w:t>
      </w:r>
      <w:proofErr w:type="gramStart"/>
      <w:r w:rsidRPr="00CA0589">
        <w:rPr>
          <w:rFonts w:ascii="Arial" w:eastAsia="Calibri" w:hAnsi="Arial" w:cs="Arial"/>
          <w:color w:val="000000" w:themeColor="text1"/>
          <w:sz w:val="22"/>
          <w:szCs w:val="22"/>
        </w:rPr>
        <w:t>Also</w:t>
      </w:r>
      <w:proofErr w:type="gramEnd"/>
      <w:r w:rsidRPr="00CA0589">
        <w:rPr>
          <w:rFonts w:ascii="Arial" w:eastAsia="Calibri" w:hAnsi="Arial" w:cs="Arial"/>
          <w:color w:val="000000" w:themeColor="text1"/>
          <w:sz w:val="22"/>
          <w:szCs w:val="22"/>
        </w:rPr>
        <w:t xml:space="preserve"> their bodies may have needed more nutrients after giving birth and they have had better support from their families or community when it came to food. In line with previous study focusing on nutrition services offered in </w:t>
      </w:r>
      <w:r w:rsidRPr="00AF56D6">
        <w:rPr>
          <w:rFonts w:ascii="Arial" w:eastAsia="Calibri" w:hAnsi="Arial" w:cs="Arial"/>
          <w:color w:val="000000" w:themeColor="text1"/>
          <w:sz w:val="22"/>
          <w:szCs w:val="22"/>
        </w:rPr>
        <w:t>ANC clinics</w:t>
      </w:r>
      <w:r w:rsidRPr="00CA0589">
        <w:rPr>
          <w:rFonts w:ascii="Arial" w:eastAsia="Calibri" w:hAnsi="Arial" w:cs="Arial"/>
          <w:color w:val="000000" w:themeColor="text1"/>
          <w:sz w:val="22"/>
          <w:szCs w:val="22"/>
        </w:rPr>
        <w:t xml:space="preserve"> identified nutrition education and dietary assessment as commonly provided services (Saronga </w:t>
      </w:r>
      <w:r w:rsidRPr="00472C29">
        <w:rPr>
          <w:rFonts w:ascii="Arial" w:eastAsia="Calibri" w:hAnsi="Arial" w:cs="Arial"/>
          <w:color w:val="000000" w:themeColor="text1"/>
          <w:sz w:val="22"/>
          <w:szCs w:val="22"/>
        </w:rPr>
        <w:t>et al.,</w:t>
      </w:r>
      <w:r w:rsidRPr="00CA0589">
        <w:rPr>
          <w:rFonts w:ascii="Arial" w:eastAsia="Calibri" w:hAnsi="Arial" w:cs="Arial"/>
          <w:color w:val="000000" w:themeColor="text1"/>
          <w:sz w:val="22"/>
          <w:szCs w:val="22"/>
        </w:rPr>
        <w:t xml:space="preserve"> 2020). This was due to that antenatal care provide a structured platform for health professional to delivery nutrition education, increasing women’s knowledge and potentially influencing their food choices. The increase in consumption of diverse food groups like fruits, vegetables and animal source food can be directly linked to this increased awareness.   </w:t>
      </w:r>
      <w:r w:rsidRPr="00CA0589">
        <w:rPr>
          <w:rFonts w:ascii="Arial" w:eastAsia="Calibri" w:hAnsi="Arial" w:cs="Arial"/>
          <w:color w:val="000000" w:themeColor="text1"/>
          <w:sz w:val="22"/>
          <w:szCs w:val="22"/>
        </w:rPr>
        <w:tab/>
      </w:r>
    </w:p>
    <w:p w14:paraId="4DB2B295" w14:textId="77777777" w:rsidR="005026A0" w:rsidRPr="00CA0589" w:rsidRDefault="005026A0" w:rsidP="00CA0589">
      <w:pPr>
        <w:spacing w:line="276" w:lineRule="auto"/>
        <w:jc w:val="both"/>
        <w:rPr>
          <w:rFonts w:ascii="Arial" w:eastAsia="Calibri" w:hAnsi="Arial" w:cs="Arial"/>
          <w:color w:val="000000" w:themeColor="text1"/>
          <w:sz w:val="22"/>
          <w:szCs w:val="22"/>
        </w:rPr>
      </w:pPr>
    </w:p>
    <w:p w14:paraId="5B79D259"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4.5</w:t>
      </w:r>
      <w:r w:rsidRPr="00CA0589">
        <w:rPr>
          <w:rFonts w:ascii="Arial" w:eastAsia="Calibri" w:hAnsi="Arial" w:cs="Arial"/>
          <w:b/>
          <w:color w:val="000000" w:themeColor="text1"/>
          <w:sz w:val="22"/>
          <w:szCs w:val="22"/>
        </w:rPr>
        <w:tab/>
        <w:t>Association of MDD-W with socio-demographic factor and birth outcome</w:t>
      </w:r>
    </w:p>
    <w:p w14:paraId="6B878076" w14:textId="77777777" w:rsidR="005026A0" w:rsidRPr="00CA0589" w:rsidRDefault="005026A0" w:rsidP="00CA0589">
      <w:pPr>
        <w:spacing w:line="276" w:lineRule="auto"/>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This study revealed an association between Minimum Dietary Diversity Scores and type of business. The multiple linear regression analysis showed that the </w:t>
      </w:r>
      <w:r w:rsidRPr="00CA0589">
        <w:rPr>
          <w:rFonts w:ascii="Arial" w:eastAsia="Calibri" w:hAnsi="Arial" w:cs="Arial"/>
          <w:bCs/>
          <w:color w:val="000000" w:themeColor="text1"/>
          <w:sz w:val="22"/>
          <w:szCs w:val="22"/>
        </w:rPr>
        <w:t>type of business</w:t>
      </w:r>
      <w:r w:rsidRPr="00CA0589">
        <w:rPr>
          <w:rFonts w:ascii="Arial" w:eastAsia="Calibri" w:hAnsi="Arial" w:cs="Arial"/>
          <w:color w:val="000000" w:themeColor="text1"/>
          <w:sz w:val="22"/>
          <w:szCs w:val="22"/>
        </w:rPr>
        <w:t xml:space="preserve"> had a </w:t>
      </w:r>
      <w:r w:rsidRPr="00CA0589">
        <w:rPr>
          <w:rFonts w:ascii="Arial" w:eastAsia="Calibri" w:hAnsi="Arial" w:cs="Arial"/>
          <w:bCs/>
          <w:color w:val="000000" w:themeColor="text1"/>
          <w:sz w:val="22"/>
          <w:szCs w:val="22"/>
        </w:rPr>
        <w:t>lower DDS score</w:t>
      </w:r>
      <w:r w:rsidRPr="00CA0589">
        <w:rPr>
          <w:rFonts w:ascii="Arial" w:eastAsia="Calibri" w:hAnsi="Arial" w:cs="Arial"/>
          <w:color w:val="000000" w:themeColor="text1"/>
          <w:sz w:val="22"/>
          <w:szCs w:val="22"/>
        </w:rPr>
        <w:t xml:space="preserve">. This means that women involved in types of businesses especially those that are very demanding or take up a lot of time may struggle to eat a wide variety of foods. This align with previous studies shown that many women in Tanzania's informal economy work long hours in tough conditions, leaving them little time to shop for or prepare diverse meals (UN Women, 2020). </w:t>
      </w:r>
      <w:proofErr w:type="gramStart"/>
      <w:r w:rsidRPr="00CA0589">
        <w:rPr>
          <w:rFonts w:ascii="Arial" w:eastAsia="Calibri" w:hAnsi="Arial" w:cs="Arial"/>
          <w:color w:val="000000" w:themeColor="text1"/>
          <w:sz w:val="22"/>
          <w:szCs w:val="22"/>
        </w:rPr>
        <w:t>Also</w:t>
      </w:r>
      <w:proofErr w:type="gramEnd"/>
      <w:r w:rsidRPr="00CA0589">
        <w:rPr>
          <w:rFonts w:ascii="Arial" w:eastAsia="Calibri" w:hAnsi="Arial" w:cs="Arial"/>
          <w:color w:val="000000" w:themeColor="text1"/>
          <w:sz w:val="22"/>
          <w:szCs w:val="22"/>
        </w:rPr>
        <w:t xml:space="preserve"> linear regression analysis shows a clear and positive link between a mother's Dietary Diversity Score and her baby's birth weight. Specifically, for every one-point increase in DDS, the birth weight improved. This means that women who ate a wider variety of foods during pregnancy were more likely to have healthier babies. This </w:t>
      </w:r>
      <w:r w:rsidRPr="00CA0589">
        <w:rPr>
          <w:rFonts w:ascii="Arial" w:eastAsia="Calibri" w:hAnsi="Arial" w:cs="Arial"/>
          <w:color w:val="000000" w:themeColor="text1"/>
          <w:sz w:val="22"/>
          <w:szCs w:val="22"/>
        </w:rPr>
        <w:lastRenderedPageBreak/>
        <w:t>because eating different types of foods helps pregnant women g</w:t>
      </w:r>
      <w:r w:rsidRPr="00CA0589">
        <w:rPr>
          <w:rFonts w:ascii="Arial" w:eastAsia="Calibri" w:hAnsi="Arial" w:cs="Arial"/>
          <w:iCs/>
          <w:color w:val="000000" w:themeColor="text1"/>
          <w:sz w:val="22"/>
          <w:szCs w:val="22"/>
        </w:rPr>
        <w:t>et al</w:t>
      </w:r>
      <w:r w:rsidRPr="00CA0589">
        <w:rPr>
          <w:rFonts w:ascii="Arial" w:eastAsia="Calibri" w:hAnsi="Arial" w:cs="Arial"/>
          <w:color w:val="000000" w:themeColor="text1"/>
          <w:sz w:val="22"/>
          <w:szCs w:val="22"/>
        </w:rPr>
        <w:t xml:space="preserve">l the important micronutrients they need for their own health and their baby’s growth. This finding is supported by a study in Dar es Salaam which found that women with higher DDS were less likely to give birth to underweight </w:t>
      </w:r>
      <w:r w:rsidRPr="00CA0589">
        <w:rPr>
          <w:rFonts w:ascii="Arial" w:eastAsia="Calibri" w:hAnsi="Arial" w:cs="Arial"/>
          <w:color w:val="000000" w:themeColor="text1"/>
          <w:sz w:val="22"/>
          <w:szCs w:val="22"/>
        </w:rPr>
        <w:fldChar w:fldCharType="begin"/>
      </w:r>
      <w:r w:rsidRPr="00CA0589">
        <w:rPr>
          <w:rFonts w:ascii="Arial" w:eastAsia="Calibri" w:hAnsi="Arial" w:cs="Arial"/>
          <w:color w:val="000000" w:themeColor="text1"/>
          <w:sz w:val="22"/>
          <w:szCs w:val="22"/>
        </w:rPr>
        <w:instrText xml:space="preserve"> ADDIN ZOTERO_ITEM CSL_CITATION {"citationID":"eCl71eoj","properties":{"formattedCitation":"(Anato et al., 2020)","plainCitation":"(Anato et al., 2020)","noteIndex":0},"citationItems":[{"id":201,"uris":["http://zotero.org/users/local/DuFj9jkw/items/Q8G58UGU"],"itemData":{"id":201,"type":"article-journal","container-title":"Maternal &amp; child nutrition","issue":"3","note":"ISBN: 1740-8695\npublisher: Wiley Online Library","page":"e12934","title":"Maternal depression is associated with child undernutrition: A cross</w:instrText>
      </w:r>
      <w:r w:rsidRPr="00CA0589">
        <w:rPr>
          <w:rFonts w:ascii="Cambria Math" w:eastAsia="Calibri" w:hAnsi="Cambria Math" w:cs="Cambria Math"/>
          <w:color w:val="000000" w:themeColor="text1"/>
          <w:sz w:val="22"/>
          <w:szCs w:val="22"/>
        </w:rPr>
        <w:instrText>‐</w:instrText>
      </w:r>
      <w:r w:rsidRPr="00CA0589">
        <w:rPr>
          <w:rFonts w:ascii="Arial" w:eastAsia="Calibri" w:hAnsi="Arial" w:cs="Arial"/>
          <w:color w:val="000000" w:themeColor="text1"/>
          <w:sz w:val="22"/>
          <w:szCs w:val="22"/>
        </w:rPr>
        <w:instrText xml:space="preserve">sectional study in Ethiopia","volume":"16","author":[{"family":"Anato","given":"Anchamo"},{"family":"Baye","given":"Kaleab"},{"family":"Tafese","given":"Zelalem"},{"family":"Stoecker","given":"Barbara J."}],"issued":{"date-parts":[["2020"]]}}}],"schema":"https://github.com/citation-style-language/schema/raw/master/csl-citation.json"} </w:instrText>
      </w:r>
      <w:r w:rsidRPr="00CA0589">
        <w:rPr>
          <w:rFonts w:ascii="Arial" w:eastAsia="Calibri" w:hAnsi="Arial" w:cs="Arial"/>
          <w:color w:val="000000" w:themeColor="text1"/>
          <w:sz w:val="22"/>
          <w:szCs w:val="22"/>
        </w:rPr>
        <w:fldChar w:fldCharType="separate"/>
      </w:r>
      <w:r w:rsidRPr="00CA0589">
        <w:rPr>
          <w:rFonts w:ascii="Arial" w:hAnsi="Arial" w:cs="Arial"/>
          <w:color w:val="000000" w:themeColor="text1"/>
          <w:sz w:val="22"/>
          <w:szCs w:val="22"/>
        </w:rPr>
        <w:t xml:space="preserve">(Anato </w:t>
      </w:r>
      <w:r w:rsidRPr="00CA0589">
        <w:rPr>
          <w:rFonts w:ascii="Arial" w:hAnsi="Arial" w:cs="Arial"/>
          <w:i/>
          <w:iCs/>
          <w:color w:val="000000" w:themeColor="text1"/>
          <w:sz w:val="22"/>
          <w:szCs w:val="22"/>
        </w:rPr>
        <w:t>et al</w:t>
      </w:r>
      <w:r w:rsidRPr="00CA0589">
        <w:rPr>
          <w:rFonts w:ascii="Arial" w:hAnsi="Arial" w:cs="Arial"/>
          <w:color w:val="000000" w:themeColor="text1"/>
          <w:sz w:val="22"/>
          <w:szCs w:val="22"/>
        </w:rPr>
        <w:t>., 2020)</w:t>
      </w:r>
      <w:r w:rsidRPr="00CA0589">
        <w:rPr>
          <w:rFonts w:ascii="Arial" w:eastAsia="Calibri" w:hAnsi="Arial" w:cs="Arial"/>
          <w:color w:val="000000" w:themeColor="text1"/>
          <w:sz w:val="22"/>
          <w:szCs w:val="22"/>
        </w:rPr>
        <w:fldChar w:fldCharType="end"/>
      </w:r>
      <w:r w:rsidRPr="00CA0589">
        <w:rPr>
          <w:rFonts w:ascii="Arial" w:eastAsia="Calibri" w:hAnsi="Arial" w:cs="Arial"/>
          <w:color w:val="000000" w:themeColor="text1"/>
          <w:sz w:val="22"/>
          <w:szCs w:val="22"/>
        </w:rPr>
        <w:t>.</w:t>
      </w:r>
    </w:p>
    <w:p w14:paraId="485830CB" w14:textId="77777777" w:rsidR="005026A0" w:rsidRPr="00CA0589" w:rsidRDefault="005026A0" w:rsidP="00CA0589">
      <w:pPr>
        <w:spacing w:line="276" w:lineRule="auto"/>
        <w:jc w:val="both"/>
        <w:rPr>
          <w:rFonts w:ascii="Arial" w:hAnsi="Arial" w:cs="Arial"/>
          <w:sz w:val="22"/>
          <w:szCs w:val="22"/>
        </w:rPr>
      </w:pPr>
    </w:p>
    <w:p w14:paraId="7A54B462"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5.0 CONCLUSION</w:t>
      </w:r>
    </w:p>
    <w:p w14:paraId="1E990F3C" w14:textId="02149305" w:rsidR="005026A0"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The study conclude that pregnant business women are at risk of micronutrients deficiency </w:t>
      </w:r>
      <w:proofErr w:type="gramStart"/>
      <w:r w:rsidRPr="00CA0589">
        <w:rPr>
          <w:rFonts w:ascii="Arial" w:hAnsi="Arial" w:cs="Arial"/>
          <w:sz w:val="22"/>
          <w:szCs w:val="22"/>
        </w:rPr>
        <w:t xml:space="preserve">at </w:t>
      </w:r>
      <w:r w:rsidR="00053305">
        <w:rPr>
          <w:rFonts w:ascii="Arial" w:hAnsi="Arial" w:cs="Arial"/>
          <w:sz w:val="22"/>
          <w:szCs w:val="22"/>
        </w:rPr>
        <w:t xml:space="preserve"> </w:t>
      </w:r>
      <w:r w:rsidRPr="00CA0589">
        <w:rPr>
          <w:rFonts w:ascii="Arial" w:hAnsi="Arial" w:cs="Arial"/>
          <w:sz w:val="22"/>
          <w:szCs w:val="22"/>
        </w:rPr>
        <w:t>baseline</w:t>
      </w:r>
      <w:proofErr w:type="gramEnd"/>
      <w:r w:rsidRPr="00CA0589">
        <w:rPr>
          <w:rFonts w:ascii="Arial" w:hAnsi="Arial" w:cs="Arial"/>
          <w:sz w:val="22"/>
          <w:szCs w:val="22"/>
        </w:rPr>
        <w:t xml:space="preserve"> data and significant improvements in dietary diversity were observed at endline with adequate dietary diversity increasing from 44.4% (n=99) to 65.5% (n=146) which was a big  and meaningful changed. This improvement was statistically significant as demonstrated by a related samples Wilcoxon signed rank test (</w:t>
      </w:r>
      <w:r w:rsidRPr="00CA0589">
        <w:rPr>
          <w:rFonts w:ascii="Arial" w:hAnsi="Arial" w:cs="Arial"/>
          <w:i/>
          <w:sz w:val="22"/>
          <w:szCs w:val="22"/>
        </w:rPr>
        <w:t xml:space="preserve">Z=-7.69, </w:t>
      </w:r>
      <w:r w:rsidR="00143CD2" w:rsidRPr="00CA0589">
        <w:rPr>
          <w:rFonts w:ascii="Arial" w:hAnsi="Arial" w:cs="Arial"/>
          <w:i/>
          <w:sz w:val="22"/>
          <w:szCs w:val="22"/>
        </w:rPr>
        <w:t>p</w:t>
      </w:r>
      <w:r w:rsidRPr="00CA0589">
        <w:rPr>
          <w:rFonts w:ascii="Arial" w:hAnsi="Arial" w:cs="Arial"/>
          <w:i/>
          <w:sz w:val="22"/>
          <w:szCs w:val="22"/>
        </w:rPr>
        <w:t>&lt;0.001</w:t>
      </w:r>
      <w:r w:rsidRPr="00CA0589">
        <w:rPr>
          <w:rFonts w:ascii="Arial" w:hAnsi="Arial" w:cs="Arial"/>
          <w:sz w:val="22"/>
          <w:szCs w:val="22"/>
        </w:rPr>
        <w:t>), indicating a substantial increase in Dietary Diversity Score (DDS).</w:t>
      </w:r>
    </w:p>
    <w:p w14:paraId="70EA3F8B" w14:textId="77777777" w:rsidR="00053305" w:rsidRPr="00CA0589" w:rsidRDefault="00053305" w:rsidP="00CA0589">
      <w:pPr>
        <w:spacing w:line="276" w:lineRule="auto"/>
        <w:jc w:val="both"/>
        <w:rPr>
          <w:rFonts w:ascii="Arial" w:hAnsi="Arial" w:cs="Arial"/>
          <w:sz w:val="22"/>
          <w:szCs w:val="22"/>
        </w:rPr>
      </w:pPr>
    </w:p>
    <w:p w14:paraId="6594B406" w14:textId="5BF736FC"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The study suggest that type of business negatively influenced DDS (</w:t>
      </w:r>
      <w:r w:rsidRPr="00CA0589">
        <w:rPr>
          <w:rFonts w:ascii="Arial" w:hAnsi="Arial" w:cs="Arial"/>
          <w:i/>
          <w:sz w:val="22"/>
          <w:szCs w:val="22"/>
        </w:rPr>
        <w:t>B=-0.79,</w:t>
      </w:r>
      <w:r w:rsidR="00143CD2" w:rsidRPr="00143CD2">
        <w:rPr>
          <w:rFonts w:ascii="Arial" w:hAnsi="Arial" w:cs="Arial"/>
          <w:i/>
          <w:sz w:val="22"/>
          <w:szCs w:val="22"/>
        </w:rPr>
        <w:t xml:space="preserve"> p</w:t>
      </w:r>
      <w:r w:rsidRPr="00CA0589">
        <w:rPr>
          <w:rFonts w:ascii="Arial" w:hAnsi="Arial" w:cs="Arial"/>
          <w:i/>
          <w:sz w:val="22"/>
          <w:szCs w:val="22"/>
        </w:rPr>
        <w:t>=0.016</w:t>
      </w:r>
      <w:r w:rsidRPr="00CA0589">
        <w:rPr>
          <w:rFonts w:ascii="Arial" w:hAnsi="Arial" w:cs="Arial"/>
          <w:sz w:val="22"/>
          <w:szCs w:val="22"/>
        </w:rPr>
        <w:t>) because of limited time or unstable income. The study showed that for each small improvement in a mother’s diet, there was a related improvement in baby’s predicted health at birth. This highlights how important postpartum care that supports women in eating a diverse diet is for both mother and baby predicted health at birth.</w:t>
      </w:r>
    </w:p>
    <w:p w14:paraId="14CB4630" w14:textId="77777777" w:rsidR="005026A0" w:rsidRPr="00CA0589" w:rsidRDefault="005026A0" w:rsidP="00CA0589">
      <w:pPr>
        <w:spacing w:line="276" w:lineRule="auto"/>
        <w:jc w:val="both"/>
        <w:rPr>
          <w:rFonts w:ascii="Arial" w:hAnsi="Arial" w:cs="Arial"/>
          <w:b/>
          <w:sz w:val="22"/>
          <w:szCs w:val="22"/>
        </w:rPr>
      </w:pPr>
    </w:p>
    <w:p w14:paraId="55506A84"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6.0 RECOMMENDATION</w:t>
      </w:r>
    </w:p>
    <w:p w14:paraId="091323F2" w14:textId="77777777" w:rsidR="005026A0" w:rsidRPr="00CA0589" w:rsidRDefault="005026A0" w:rsidP="00CA0589">
      <w:pPr>
        <w:spacing w:line="276" w:lineRule="auto"/>
        <w:jc w:val="both"/>
        <w:rPr>
          <w:rFonts w:ascii="Arial" w:hAnsi="Arial" w:cs="Arial"/>
          <w:sz w:val="22"/>
          <w:szCs w:val="22"/>
        </w:rPr>
      </w:pPr>
      <w:r w:rsidRPr="00CA0589">
        <w:rPr>
          <w:rFonts w:ascii="Arial" w:hAnsi="Arial" w:cs="Arial"/>
          <w:sz w:val="22"/>
          <w:szCs w:val="22"/>
        </w:rPr>
        <w:t xml:space="preserve">Healthcare providers particularly those offering antenatal and postnatal services, must integrate comprehensive nutritional counseling. This counseling should empower women with practical strategies for achieving diverse diets. Simultaneously, government and community organizations should develop and implement programs that offer accessible, affordable and culturally appropriate food resources, coupled with educational initiatives on nutrient dense foods and meal planning, to mitigate the negative influence of certain business types on dietary intake. </w:t>
      </w:r>
      <w:proofErr w:type="gramStart"/>
      <w:r w:rsidRPr="00CA0589">
        <w:rPr>
          <w:rFonts w:ascii="Arial" w:hAnsi="Arial" w:cs="Arial"/>
          <w:sz w:val="22"/>
          <w:szCs w:val="22"/>
        </w:rPr>
        <w:t>Also</w:t>
      </w:r>
      <w:proofErr w:type="gramEnd"/>
      <w:r w:rsidRPr="00CA0589">
        <w:rPr>
          <w:rFonts w:ascii="Arial" w:hAnsi="Arial" w:cs="Arial"/>
          <w:sz w:val="22"/>
          <w:szCs w:val="22"/>
        </w:rPr>
        <w:t xml:space="preserve"> government should consider and improve micronutrients supplementation and policies that support flexible work arrangements and access to healthy food options, development an environment conducive to optimal maternal nutrition post-delivery, thereby ensuring the continued positive impact on both maternal and infant health.  </w:t>
      </w:r>
    </w:p>
    <w:p w14:paraId="3E56B429" w14:textId="77777777" w:rsidR="005026A0" w:rsidRPr="00CA0589" w:rsidRDefault="005026A0" w:rsidP="00CA0589">
      <w:pPr>
        <w:spacing w:line="276" w:lineRule="auto"/>
        <w:jc w:val="both"/>
        <w:rPr>
          <w:rFonts w:ascii="Arial" w:hAnsi="Arial" w:cs="Arial"/>
          <w:sz w:val="22"/>
          <w:szCs w:val="22"/>
        </w:rPr>
      </w:pPr>
    </w:p>
    <w:p w14:paraId="1F4A5A0B" w14:textId="77777777" w:rsidR="005026A0" w:rsidRPr="00CA0589" w:rsidRDefault="005026A0" w:rsidP="00CA0589">
      <w:pPr>
        <w:spacing w:line="276" w:lineRule="auto"/>
        <w:jc w:val="both"/>
        <w:rPr>
          <w:rFonts w:ascii="Arial" w:hAnsi="Arial" w:cs="Arial"/>
          <w:b/>
          <w:sz w:val="22"/>
          <w:szCs w:val="22"/>
        </w:rPr>
      </w:pPr>
      <w:r w:rsidRPr="00CA0589">
        <w:rPr>
          <w:rFonts w:ascii="Arial" w:hAnsi="Arial" w:cs="Arial"/>
          <w:b/>
          <w:sz w:val="22"/>
          <w:szCs w:val="22"/>
        </w:rPr>
        <w:t>Limitations</w:t>
      </w:r>
    </w:p>
    <w:p w14:paraId="026D26F9" w14:textId="23045EEF" w:rsidR="005026A0" w:rsidRDefault="005026A0" w:rsidP="00CA0589">
      <w:pPr>
        <w:spacing w:line="276" w:lineRule="auto"/>
        <w:jc w:val="both"/>
        <w:rPr>
          <w:rFonts w:ascii="Arial" w:hAnsi="Arial" w:cs="Arial"/>
          <w:sz w:val="22"/>
          <w:szCs w:val="22"/>
        </w:rPr>
      </w:pPr>
      <w:r w:rsidRPr="00CA0589">
        <w:rPr>
          <w:rFonts w:ascii="Arial" w:hAnsi="Arial" w:cs="Arial"/>
          <w:sz w:val="22"/>
          <w:szCs w:val="22"/>
        </w:rPr>
        <w:t>The study faces significant limitations due to seasonal variations and food shortages that limited food availability of some food groups during the study. The main challenge included non-availability of some foods during some seasons which affects the variety and quantity of food availability.</w:t>
      </w:r>
    </w:p>
    <w:p w14:paraId="79BAB576" w14:textId="0AD06A61" w:rsidR="00745D6C" w:rsidRDefault="00745D6C" w:rsidP="00CA0589">
      <w:pPr>
        <w:spacing w:line="276" w:lineRule="auto"/>
        <w:jc w:val="both"/>
        <w:rPr>
          <w:rFonts w:ascii="Arial" w:hAnsi="Arial" w:cs="Arial"/>
          <w:sz w:val="22"/>
          <w:szCs w:val="22"/>
        </w:rPr>
      </w:pPr>
    </w:p>
    <w:p w14:paraId="70C3452F" w14:textId="77777777" w:rsidR="00745D6C" w:rsidRPr="00F9595B" w:rsidRDefault="00745D6C" w:rsidP="00745D6C">
      <w:pPr>
        <w:spacing w:after="200" w:line="276" w:lineRule="auto"/>
        <w:rPr>
          <w:rFonts w:ascii="Arial" w:eastAsia="Calibri" w:hAnsi="Arial" w:cs="Arial"/>
          <w:b/>
          <w:kern w:val="2"/>
          <w:sz w:val="22"/>
          <w:szCs w:val="22"/>
        </w:rPr>
      </w:pPr>
      <w:bookmarkStart w:id="0" w:name="_Hlk197682619"/>
      <w:bookmarkStart w:id="1" w:name="_Hlk180402183"/>
      <w:bookmarkStart w:id="2" w:name="_Hlk183680988"/>
      <w:r w:rsidRPr="00F9595B">
        <w:rPr>
          <w:rFonts w:ascii="Arial" w:eastAsia="Calibri" w:hAnsi="Arial" w:cs="Arial"/>
          <w:b/>
          <w:kern w:val="2"/>
          <w:sz w:val="22"/>
          <w:szCs w:val="22"/>
        </w:rPr>
        <w:t>Disclaimer (Artificial intelligence)</w:t>
      </w:r>
    </w:p>
    <w:p w14:paraId="0E421696" w14:textId="77777777" w:rsidR="00745D6C" w:rsidRPr="00F9595B" w:rsidRDefault="00745D6C" w:rsidP="00745D6C">
      <w:pPr>
        <w:spacing w:after="200" w:line="276" w:lineRule="auto"/>
        <w:rPr>
          <w:rFonts w:ascii="Arial" w:eastAsia="Calibri" w:hAnsi="Arial" w:cs="Arial"/>
          <w:kern w:val="2"/>
          <w:sz w:val="22"/>
          <w:szCs w:val="22"/>
        </w:rPr>
      </w:pPr>
      <w:r w:rsidRPr="00F9595B">
        <w:rPr>
          <w:rFonts w:ascii="Arial" w:eastAsia="Calibri" w:hAnsi="Arial" w:cs="Arial"/>
          <w:kern w:val="2"/>
          <w:sz w:val="22"/>
          <w:szCs w:val="22"/>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18692B5F" w14:textId="77777777" w:rsidR="00745D6C" w:rsidRDefault="00745D6C" w:rsidP="00745D6C">
      <w:pPr>
        <w:jc w:val="both"/>
        <w:rPr>
          <w:rFonts w:ascii="Arial" w:hAnsi="Arial" w:cs="Arial"/>
          <w:b/>
          <w:sz w:val="22"/>
          <w:szCs w:val="22"/>
        </w:rPr>
      </w:pPr>
      <w:r>
        <w:rPr>
          <w:rFonts w:ascii="Arial" w:hAnsi="Arial" w:cs="Arial"/>
          <w:b/>
          <w:sz w:val="22"/>
          <w:szCs w:val="22"/>
        </w:rPr>
        <w:t>Data availability statement</w:t>
      </w:r>
    </w:p>
    <w:p w14:paraId="15B19BCE" w14:textId="77777777" w:rsidR="00745D6C" w:rsidRDefault="00745D6C" w:rsidP="00745D6C">
      <w:pPr>
        <w:jc w:val="both"/>
        <w:rPr>
          <w:rFonts w:ascii="Arial" w:hAnsi="Arial" w:cs="Arial"/>
          <w:sz w:val="22"/>
          <w:szCs w:val="22"/>
        </w:rPr>
      </w:pPr>
      <w:r w:rsidRPr="002E7A6C">
        <w:rPr>
          <w:rFonts w:ascii="Arial" w:hAnsi="Arial" w:cs="Arial"/>
          <w:sz w:val="22"/>
          <w:szCs w:val="22"/>
        </w:rPr>
        <w:t>T</w:t>
      </w:r>
      <w:r>
        <w:rPr>
          <w:rFonts w:ascii="Arial" w:hAnsi="Arial" w:cs="Arial"/>
          <w:sz w:val="22"/>
          <w:szCs w:val="22"/>
        </w:rPr>
        <w:t>he data supporting the findings of this investigation are accessible upon request from the corresponding author. Due to privacy and ethical concern, there is not made public.</w:t>
      </w:r>
    </w:p>
    <w:p w14:paraId="59B2DB77" w14:textId="77777777" w:rsidR="00745D6C" w:rsidRDefault="00745D6C" w:rsidP="00745D6C">
      <w:pPr>
        <w:jc w:val="both"/>
        <w:rPr>
          <w:rFonts w:ascii="Arial" w:hAnsi="Arial" w:cs="Arial"/>
          <w:b/>
          <w:sz w:val="22"/>
          <w:szCs w:val="22"/>
        </w:rPr>
      </w:pPr>
      <w:r w:rsidRPr="002E7A6C">
        <w:rPr>
          <w:rFonts w:ascii="Arial" w:hAnsi="Arial" w:cs="Arial"/>
          <w:b/>
          <w:sz w:val="22"/>
          <w:szCs w:val="22"/>
        </w:rPr>
        <w:t>Conflict of Interest</w:t>
      </w:r>
    </w:p>
    <w:p w14:paraId="3D9A55D2" w14:textId="77777777" w:rsidR="00745D6C" w:rsidRPr="002E7A6C" w:rsidRDefault="00745D6C" w:rsidP="00745D6C">
      <w:pPr>
        <w:jc w:val="both"/>
        <w:rPr>
          <w:rFonts w:ascii="Arial" w:hAnsi="Arial" w:cs="Arial"/>
          <w:sz w:val="22"/>
          <w:szCs w:val="22"/>
        </w:rPr>
      </w:pPr>
      <w:r>
        <w:rPr>
          <w:rFonts w:ascii="Arial" w:hAnsi="Arial" w:cs="Arial"/>
          <w:sz w:val="22"/>
          <w:szCs w:val="22"/>
        </w:rPr>
        <w:t>The authors declare no conflict of interest.</w:t>
      </w:r>
    </w:p>
    <w:p w14:paraId="788DBE1D" w14:textId="77777777" w:rsidR="00745D6C" w:rsidRPr="00CA0589" w:rsidRDefault="00745D6C" w:rsidP="00CA0589">
      <w:pPr>
        <w:spacing w:line="276" w:lineRule="auto"/>
        <w:jc w:val="both"/>
        <w:rPr>
          <w:rFonts w:ascii="Arial" w:hAnsi="Arial" w:cs="Arial"/>
          <w:sz w:val="22"/>
          <w:szCs w:val="22"/>
        </w:rPr>
      </w:pPr>
      <w:bookmarkStart w:id="3" w:name="_GoBack"/>
      <w:bookmarkEnd w:id="3"/>
    </w:p>
    <w:p w14:paraId="029F9435" w14:textId="77777777" w:rsidR="005026A0" w:rsidRPr="00CA0589" w:rsidRDefault="005026A0" w:rsidP="00CA0589">
      <w:pPr>
        <w:spacing w:line="276" w:lineRule="auto"/>
        <w:jc w:val="both"/>
        <w:rPr>
          <w:rFonts w:ascii="Arial" w:hAnsi="Arial" w:cs="Arial"/>
          <w:sz w:val="22"/>
          <w:szCs w:val="22"/>
        </w:rPr>
      </w:pPr>
    </w:p>
    <w:p w14:paraId="4D8E2349" w14:textId="77777777" w:rsidR="005026A0" w:rsidRPr="00CA0589" w:rsidRDefault="005026A0" w:rsidP="00CA0589">
      <w:pPr>
        <w:spacing w:line="276" w:lineRule="auto"/>
        <w:jc w:val="both"/>
        <w:rPr>
          <w:rFonts w:ascii="Arial" w:eastAsia="Calibri" w:hAnsi="Arial" w:cs="Arial"/>
          <w:b/>
          <w:color w:val="000000" w:themeColor="text1"/>
          <w:sz w:val="22"/>
          <w:szCs w:val="22"/>
        </w:rPr>
      </w:pPr>
      <w:r w:rsidRPr="00CA0589">
        <w:rPr>
          <w:rFonts w:ascii="Arial" w:eastAsia="Calibri" w:hAnsi="Arial" w:cs="Arial"/>
          <w:b/>
          <w:color w:val="000000" w:themeColor="text1"/>
          <w:sz w:val="22"/>
          <w:szCs w:val="22"/>
        </w:rPr>
        <w:t>REFERENCES</w:t>
      </w:r>
    </w:p>
    <w:p w14:paraId="60EC881A" w14:textId="16CF7348" w:rsidR="005026A0" w:rsidRPr="00CA0589" w:rsidRDefault="00472C29" w:rsidP="00053305">
      <w:pPr>
        <w:spacing w:before="60" w:after="60" w:line="276" w:lineRule="auto"/>
        <w:ind w:left="851" w:hanging="851"/>
        <w:jc w:val="both"/>
        <w:rPr>
          <w:rFonts w:ascii="Arial" w:hAnsi="Arial" w:cs="Arial"/>
          <w:color w:val="000000" w:themeColor="text1"/>
          <w:sz w:val="22"/>
          <w:szCs w:val="22"/>
        </w:rPr>
      </w:pPr>
      <w:r w:rsidRPr="00472C29">
        <w:rPr>
          <w:rFonts w:ascii="Arial" w:hAnsi="Arial" w:cs="Arial"/>
          <w:color w:val="000000" w:themeColor="text1"/>
          <w:sz w:val="22"/>
          <w:szCs w:val="22"/>
        </w:rPr>
        <w:t>FAO (2021)</w:t>
      </w:r>
      <w:r>
        <w:rPr>
          <w:rFonts w:ascii="Arial" w:hAnsi="Arial" w:cs="Arial"/>
          <w:color w:val="000000" w:themeColor="text1"/>
          <w:sz w:val="22"/>
          <w:szCs w:val="22"/>
        </w:rPr>
        <w:t>.</w:t>
      </w:r>
      <w:r w:rsidRPr="00472C29">
        <w:rPr>
          <w:rFonts w:ascii="Arial" w:hAnsi="Arial" w:cs="Arial"/>
          <w:color w:val="000000" w:themeColor="text1"/>
          <w:sz w:val="22"/>
          <w:szCs w:val="22"/>
        </w:rPr>
        <w:t xml:space="preserve"> </w:t>
      </w:r>
      <w:r w:rsidR="005026A0" w:rsidRPr="00CA0589">
        <w:rPr>
          <w:rStyle w:val="Emphasis"/>
          <w:rFonts w:ascii="Arial" w:hAnsi="Arial" w:cs="Arial"/>
          <w:color w:val="000000" w:themeColor="text1"/>
          <w:sz w:val="22"/>
          <w:szCs w:val="22"/>
        </w:rPr>
        <w:t>Minimum Dietary Diversity for Women: A Guide for Measurement</w:t>
      </w:r>
      <w:r w:rsidR="005026A0" w:rsidRPr="00CA0589">
        <w:rPr>
          <w:rFonts w:ascii="Arial" w:hAnsi="Arial" w:cs="Arial"/>
          <w:color w:val="000000" w:themeColor="text1"/>
          <w:sz w:val="22"/>
          <w:szCs w:val="22"/>
        </w:rPr>
        <w:t>. Food and Agriculture Organization of the United Nations.</w:t>
      </w:r>
    </w:p>
    <w:p w14:paraId="6D2E2C74"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Fisher, A. A., Laing, J. E., Stoeckel, J. E., &amp; Townsend, J. W. (1991). </w:t>
      </w:r>
      <w:r w:rsidRPr="00CA0589">
        <w:rPr>
          <w:rFonts w:ascii="Arial" w:eastAsia="Calibri" w:hAnsi="Arial" w:cs="Arial"/>
          <w:i/>
          <w:iCs/>
          <w:color w:val="000000" w:themeColor="text1"/>
          <w:sz w:val="22"/>
          <w:szCs w:val="22"/>
        </w:rPr>
        <w:t>Handbook for family planning operations research design</w:t>
      </w:r>
      <w:r w:rsidRPr="00CA0589">
        <w:rPr>
          <w:rFonts w:ascii="Arial" w:eastAsia="Calibri" w:hAnsi="Arial" w:cs="Arial"/>
          <w:color w:val="000000" w:themeColor="text1"/>
          <w:sz w:val="22"/>
          <w:szCs w:val="22"/>
        </w:rPr>
        <w:t xml:space="preserve"> (2nd ed.). Population Counci</w:t>
      </w:r>
    </w:p>
    <w:p w14:paraId="1F6C4445"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Getaneh, T., Negesse, A., Dessie, G., Desta, M., Assemie, M. A., &amp; Tigabu, A. (2021). Predictors of malnutrition among pregnant women in Ethiopia: a systematic review and meta-analysis. </w:t>
      </w:r>
      <w:r w:rsidRPr="00CA0589">
        <w:rPr>
          <w:rFonts w:ascii="Arial" w:eastAsia="Calibri" w:hAnsi="Arial" w:cs="Arial"/>
          <w:i/>
          <w:iCs/>
          <w:color w:val="000000" w:themeColor="text1"/>
          <w:sz w:val="22"/>
          <w:szCs w:val="22"/>
        </w:rPr>
        <w:t>Human Nutrition &amp; Metabolism</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26</w:t>
      </w:r>
      <w:r w:rsidRPr="00CA0589">
        <w:rPr>
          <w:rFonts w:ascii="Arial" w:eastAsia="Calibri" w:hAnsi="Arial" w:cs="Arial"/>
          <w:color w:val="000000" w:themeColor="text1"/>
          <w:sz w:val="22"/>
          <w:szCs w:val="22"/>
        </w:rPr>
        <w:t>, 200131.</w:t>
      </w:r>
    </w:p>
    <w:p w14:paraId="1783D4B9"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Hasham, S. S., &amp; Manji, K. P. (2020). Antenatal Care and its association with birth weight in Temeke District, Dar-Es-Salaam, Tanzania. </w:t>
      </w:r>
      <w:r w:rsidRPr="00CA0589">
        <w:rPr>
          <w:rFonts w:ascii="Arial" w:eastAsia="Calibri" w:hAnsi="Arial" w:cs="Arial"/>
          <w:i/>
          <w:iCs/>
          <w:color w:val="000000" w:themeColor="text1"/>
          <w:sz w:val="22"/>
          <w:szCs w:val="22"/>
        </w:rPr>
        <w:t>Tanzania Medical Journal</w:t>
      </w:r>
      <w:r w:rsidRPr="00CA0589">
        <w:rPr>
          <w:rFonts w:ascii="Arial" w:eastAsia="Calibri" w:hAnsi="Arial" w:cs="Arial"/>
          <w:color w:val="000000" w:themeColor="text1"/>
          <w:sz w:val="22"/>
          <w:szCs w:val="22"/>
        </w:rPr>
        <w:t>, 28(2), 223.</w:t>
      </w:r>
    </w:p>
    <w:p w14:paraId="378485E3"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Hemed, R., Msuya, L., &amp; Mmbaga, M. (2024). Dietary diversity and associated factors among women attending antenatal clinics in the Coast region of Tanzania. </w:t>
      </w:r>
      <w:r w:rsidRPr="00CA0589">
        <w:rPr>
          <w:rFonts w:ascii="Arial" w:eastAsia="Calibri" w:hAnsi="Arial" w:cs="Arial"/>
          <w:i/>
          <w:iCs/>
          <w:color w:val="000000" w:themeColor="text1"/>
          <w:sz w:val="22"/>
          <w:szCs w:val="22"/>
        </w:rPr>
        <w:t>BMC Nutrition, 10</w:t>
      </w:r>
      <w:r w:rsidRPr="00CA0589">
        <w:rPr>
          <w:rFonts w:ascii="Arial" w:eastAsia="Calibri" w:hAnsi="Arial" w:cs="Arial"/>
          <w:color w:val="000000" w:themeColor="text1"/>
          <w:sz w:val="22"/>
          <w:szCs w:val="22"/>
        </w:rPr>
        <w:t>(1), 1–10.</w:t>
      </w:r>
    </w:p>
    <w:p w14:paraId="721136A5"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Huang, M., Sudfeld, C., Ismail, A., Vuai, S., Ntwenya, J., Mwanyika-Sando, M., &amp; Fawzi, W. (2018). Maternal dietary diversity and growth of children under 24 months of age in rural Dodoma, Tanzania. </w:t>
      </w:r>
      <w:r w:rsidRPr="00CA0589">
        <w:rPr>
          <w:rFonts w:ascii="Arial" w:eastAsia="Calibri" w:hAnsi="Arial" w:cs="Arial"/>
          <w:i/>
          <w:iCs/>
          <w:color w:val="000000" w:themeColor="text1"/>
          <w:sz w:val="22"/>
          <w:szCs w:val="22"/>
        </w:rPr>
        <w:t>Food and Nutrition Bulletin, 39</w:t>
      </w:r>
      <w:r w:rsidRPr="00CA0589">
        <w:rPr>
          <w:rFonts w:ascii="Arial" w:eastAsia="Calibri" w:hAnsi="Arial" w:cs="Arial"/>
          <w:color w:val="000000" w:themeColor="text1"/>
          <w:sz w:val="22"/>
          <w:szCs w:val="22"/>
        </w:rPr>
        <w:t>(4), 496–506.</w:t>
      </w:r>
    </w:p>
    <w:p w14:paraId="196A4856"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Kamala, B. A. (2018). Predictors of low birth weight and 24-hour perinatal outcomes at Muhimbili National Hospital in Dar es Salaam, Tanzania: a five-year retrospective analysis of obstetric records. </w:t>
      </w:r>
      <w:r w:rsidRPr="00CA0589">
        <w:rPr>
          <w:rFonts w:ascii="Arial" w:eastAsia="Calibri" w:hAnsi="Arial" w:cs="Arial"/>
          <w:i/>
          <w:iCs/>
          <w:color w:val="000000" w:themeColor="text1"/>
          <w:sz w:val="22"/>
          <w:szCs w:val="22"/>
        </w:rPr>
        <w:t>Pan African Medical Journal</w:t>
      </w:r>
      <w:r w:rsidRPr="00CA0589">
        <w:rPr>
          <w:rFonts w:ascii="Arial" w:eastAsia="Calibri" w:hAnsi="Arial" w:cs="Arial"/>
          <w:color w:val="000000" w:themeColor="text1"/>
          <w:sz w:val="22"/>
          <w:szCs w:val="22"/>
        </w:rPr>
        <w:t>, 29, 220.</w:t>
      </w:r>
    </w:p>
    <w:p w14:paraId="1D65D067"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Kathuria, K. (2023). Impact of Maternal Health and Disease on Neonatal Outcome. In </w:t>
      </w:r>
      <w:r w:rsidRPr="00CA0589">
        <w:rPr>
          <w:rFonts w:ascii="Arial" w:eastAsia="Calibri" w:hAnsi="Arial" w:cs="Arial"/>
          <w:i/>
          <w:iCs/>
          <w:color w:val="000000" w:themeColor="text1"/>
          <w:sz w:val="22"/>
          <w:szCs w:val="22"/>
        </w:rPr>
        <w:t>Clinical Anesthesia for the Newborn and the Neonate</w:t>
      </w:r>
      <w:r w:rsidRPr="00CA0589">
        <w:rPr>
          <w:rFonts w:ascii="Arial" w:eastAsia="Calibri" w:hAnsi="Arial" w:cs="Arial"/>
          <w:color w:val="000000" w:themeColor="text1"/>
          <w:sz w:val="22"/>
          <w:szCs w:val="22"/>
        </w:rPr>
        <w:t> (pp. 11-27). Singapore: Springer Nature Singapore.</w:t>
      </w:r>
    </w:p>
    <w:p w14:paraId="65F8CBFE"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Killel, M., Mmbaga, M., &amp; Msuya, L. (2024). Dietary intake and associated risk factors among pregnant women in Mbeya, Tanzania. </w:t>
      </w:r>
      <w:r w:rsidRPr="00CA0589">
        <w:rPr>
          <w:rFonts w:ascii="Arial" w:eastAsia="Calibri" w:hAnsi="Arial" w:cs="Arial"/>
          <w:i/>
          <w:iCs/>
          <w:color w:val="000000" w:themeColor="text1"/>
          <w:sz w:val="22"/>
          <w:szCs w:val="22"/>
        </w:rPr>
        <w:t>BMC Nutrition, 10</w:t>
      </w:r>
      <w:r w:rsidRPr="00CA0589">
        <w:rPr>
          <w:rFonts w:ascii="Arial" w:eastAsia="Calibri" w:hAnsi="Arial" w:cs="Arial"/>
          <w:color w:val="000000" w:themeColor="text1"/>
          <w:sz w:val="22"/>
          <w:szCs w:val="22"/>
        </w:rPr>
        <w:t>(1), 1–9.</w:t>
      </w:r>
    </w:p>
    <w:p w14:paraId="14B6C18B"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Li, M., Grewal, J., Hinkle, S. N., Yisahak, S. F., Grobman, W. A., Newman, R. B., &amp; Zhang, C. (2021). Healthy dietary patterns and common pregnancy complications: a prospective and longitudinal study. </w:t>
      </w:r>
      <w:r w:rsidRPr="00CA0589">
        <w:rPr>
          <w:rFonts w:ascii="Arial" w:eastAsia="Calibri" w:hAnsi="Arial" w:cs="Arial"/>
          <w:i/>
          <w:iCs/>
          <w:color w:val="000000" w:themeColor="text1"/>
          <w:sz w:val="22"/>
          <w:szCs w:val="22"/>
        </w:rPr>
        <w:t>The American journal of clinical nutrition</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114</w:t>
      </w:r>
      <w:r w:rsidRPr="00CA0589">
        <w:rPr>
          <w:rFonts w:ascii="Arial" w:eastAsia="Calibri" w:hAnsi="Arial" w:cs="Arial"/>
          <w:color w:val="000000" w:themeColor="text1"/>
          <w:sz w:val="22"/>
          <w:szCs w:val="22"/>
        </w:rPr>
        <w:t>(3), 1229-1237.</w:t>
      </w:r>
    </w:p>
    <w:p w14:paraId="422BA50C"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Magrini, E., Balié, J., &amp; Kilic, T. (2021). Farm production diversity and household dietary diversity: Panel data evidence from rural households in Tanzania. </w:t>
      </w:r>
      <w:r w:rsidRPr="00CA0589">
        <w:rPr>
          <w:rFonts w:ascii="Arial" w:eastAsia="Calibri" w:hAnsi="Arial" w:cs="Arial"/>
          <w:i/>
          <w:iCs/>
          <w:color w:val="000000" w:themeColor="text1"/>
          <w:sz w:val="22"/>
          <w:szCs w:val="22"/>
        </w:rPr>
        <w:t>Frontiers in Sustainable Food Systems, 5</w:t>
      </w:r>
      <w:r w:rsidRPr="00CA0589">
        <w:rPr>
          <w:rFonts w:ascii="Arial" w:eastAsia="Calibri" w:hAnsi="Arial" w:cs="Arial"/>
          <w:color w:val="000000" w:themeColor="text1"/>
          <w:sz w:val="22"/>
          <w:szCs w:val="22"/>
        </w:rPr>
        <w:t>, 612341</w:t>
      </w:r>
    </w:p>
    <w:p w14:paraId="1F679600"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Martínez-Galiano, J. M., Cano-Ibáñez, N., Hernández-Martínez, A., &amp; Delgado-Rodríguez, M. (2020). Nutrition in Reproductive Health: Nutritional Conditioning Factors during Pregnancy and Its Impact on Health. </w:t>
      </w:r>
      <w:r w:rsidRPr="00CA0589">
        <w:rPr>
          <w:rFonts w:ascii="Arial" w:eastAsia="Calibri" w:hAnsi="Arial" w:cs="Arial"/>
          <w:i/>
          <w:iCs/>
          <w:color w:val="000000" w:themeColor="text1"/>
          <w:sz w:val="22"/>
          <w:szCs w:val="22"/>
        </w:rPr>
        <w:t>Reproductive Medicine</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w:t>
      </w:r>
      <w:r w:rsidRPr="00CA0589">
        <w:rPr>
          <w:rFonts w:ascii="Arial" w:eastAsia="Calibri" w:hAnsi="Arial" w:cs="Arial"/>
          <w:color w:val="000000" w:themeColor="text1"/>
          <w:sz w:val="22"/>
          <w:szCs w:val="22"/>
        </w:rPr>
        <w:t>(3), 13.</w:t>
      </w:r>
    </w:p>
    <w:p w14:paraId="63F25344"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Mate, A., Reyes-Goya, C., Santana-Garrido, Á. &amp; Vázquez, C. M. (2021). Lifestyle, maternal nutrition and healthy pregnancy. </w:t>
      </w:r>
      <w:r w:rsidRPr="00CA0589">
        <w:rPr>
          <w:rFonts w:ascii="Arial" w:eastAsia="Calibri" w:hAnsi="Arial" w:cs="Arial"/>
          <w:i/>
          <w:iCs/>
          <w:color w:val="000000" w:themeColor="text1"/>
          <w:sz w:val="22"/>
          <w:szCs w:val="22"/>
        </w:rPr>
        <w:t>Current vascular pharmacology</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19</w:t>
      </w:r>
      <w:r w:rsidRPr="00CA0589">
        <w:rPr>
          <w:rFonts w:ascii="Arial" w:eastAsia="Calibri" w:hAnsi="Arial" w:cs="Arial"/>
          <w:color w:val="000000" w:themeColor="text1"/>
          <w:sz w:val="22"/>
          <w:szCs w:val="22"/>
        </w:rPr>
        <w:t>(2), 132-140.</w:t>
      </w:r>
    </w:p>
    <w:p w14:paraId="62714CAA"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Mesfin, B. A., Argaw, A. T., Getahun Negash, F., Emiru, D. A., Aserese, A. D., &amp; Matebe, G. Y. (2023). Minimum dietary diversity and associated factors among pregnant women living in Arba Minch health and demographic surveillance sites, Southern Ethiopia, 2022. </w:t>
      </w:r>
      <w:r w:rsidRPr="00CA0589">
        <w:rPr>
          <w:rFonts w:ascii="Arial" w:eastAsia="Calibri" w:hAnsi="Arial" w:cs="Arial"/>
          <w:i/>
          <w:color w:val="000000" w:themeColor="text1"/>
          <w:sz w:val="22"/>
          <w:szCs w:val="22"/>
        </w:rPr>
        <w:t>Health Services Research and Managerial Epidemiology</w:t>
      </w:r>
      <w:r w:rsidRPr="00CA0589">
        <w:rPr>
          <w:rFonts w:ascii="Arial" w:eastAsia="Calibri" w:hAnsi="Arial" w:cs="Arial"/>
          <w:color w:val="000000" w:themeColor="text1"/>
          <w:sz w:val="22"/>
          <w:szCs w:val="22"/>
        </w:rPr>
        <w:t>,</w:t>
      </w:r>
      <w:r w:rsidRPr="00CA0589">
        <w:rPr>
          <w:rFonts w:ascii="Arial" w:eastAsia="Calibri" w:hAnsi="Arial" w:cs="Arial"/>
          <w:i/>
          <w:color w:val="000000" w:themeColor="text1"/>
          <w:sz w:val="22"/>
          <w:szCs w:val="22"/>
        </w:rPr>
        <w:t xml:space="preserve"> 10</w:t>
      </w:r>
      <w:r w:rsidRPr="00CA0589">
        <w:rPr>
          <w:rFonts w:ascii="Arial" w:eastAsia="Calibri" w:hAnsi="Arial" w:cs="Arial"/>
          <w:color w:val="000000" w:themeColor="text1"/>
          <w:sz w:val="22"/>
          <w:szCs w:val="22"/>
        </w:rPr>
        <w:t>, 23333928231166671.</w:t>
      </w:r>
    </w:p>
    <w:p w14:paraId="2F97045A"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Miele, M. J., Souza, R. T., Calderon, I. M., Feitosa, F. E., Leite, D. F., Rocha Filho, E. A., &amp; Cecatti, J. G. (2021). Maternal nutrition status associated with pregnancy-related adverse outcomes. </w:t>
      </w:r>
      <w:r w:rsidRPr="00CA0589">
        <w:rPr>
          <w:rFonts w:ascii="Arial" w:eastAsia="Calibri" w:hAnsi="Arial" w:cs="Arial"/>
          <w:i/>
          <w:iCs/>
          <w:color w:val="000000" w:themeColor="text1"/>
          <w:sz w:val="22"/>
          <w:szCs w:val="22"/>
        </w:rPr>
        <w:t>Nutrients</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13</w:t>
      </w:r>
      <w:r w:rsidRPr="00CA0589">
        <w:rPr>
          <w:rFonts w:ascii="Arial" w:eastAsia="Calibri" w:hAnsi="Arial" w:cs="Arial"/>
          <w:color w:val="000000" w:themeColor="text1"/>
          <w:sz w:val="22"/>
          <w:szCs w:val="22"/>
        </w:rPr>
        <w:t>(7), 2398.</w:t>
      </w:r>
    </w:p>
    <w:p w14:paraId="4F8ECE6E"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lastRenderedPageBreak/>
        <w:t xml:space="preserve">Mkoma, S. (2017). </w:t>
      </w:r>
      <w:r w:rsidRPr="00CA0589">
        <w:rPr>
          <w:rFonts w:ascii="Arial" w:eastAsia="Calibri" w:hAnsi="Arial" w:cs="Arial"/>
          <w:i/>
          <w:iCs/>
          <w:color w:val="000000" w:themeColor="text1"/>
          <w:sz w:val="22"/>
          <w:szCs w:val="22"/>
        </w:rPr>
        <w:t>Socio-cultural factors affecting the performance of women entrepreneurs in Tanzania: A case study of women entrepreneurs in Ilala Municipality, Dar es Salaam</w:t>
      </w:r>
      <w:r w:rsidRPr="00CA0589">
        <w:rPr>
          <w:rFonts w:ascii="Arial" w:eastAsia="Calibri" w:hAnsi="Arial" w:cs="Arial"/>
          <w:color w:val="000000" w:themeColor="text1"/>
          <w:sz w:val="22"/>
          <w:szCs w:val="22"/>
        </w:rPr>
        <w:t>.</w:t>
      </w:r>
    </w:p>
    <w:p w14:paraId="349234B8"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Mweya, C. N., &amp; Ephard, R. (2022). A population-based study on smoking, alcohol consumption, and substance use among women of reproductive age in Mbeya, Tanzania. </w:t>
      </w:r>
      <w:r w:rsidRPr="00CA0589">
        <w:rPr>
          <w:rFonts w:ascii="Arial" w:eastAsia="Calibri" w:hAnsi="Arial" w:cs="Arial"/>
          <w:i/>
          <w:color w:val="000000" w:themeColor="text1"/>
          <w:sz w:val="22"/>
          <w:szCs w:val="22"/>
        </w:rPr>
        <w:t>Tanzania Journal of Health Research</w:t>
      </w:r>
      <w:r w:rsidRPr="00CA0589">
        <w:rPr>
          <w:rFonts w:ascii="Arial" w:eastAsia="Calibri" w:hAnsi="Arial" w:cs="Arial"/>
          <w:color w:val="000000" w:themeColor="text1"/>
          <w:sz w:val="22"/>
          <w:szCs w:val="22"/>
        </w:rPr>
        <w:t>,</w:t>
      </w:r>
      <w:r w:rsidRPr="00CA0589">
        <w:rPr>
          <w:rFonts w:ascii="Arial" w:eastAsia="Calibri" w:hAnsi="Arial" w:cs="Arial"/>
          <w:i/>
          <w:color w:val="000000" w:themeColor="text1"/>
          <w:sz w:val="22"/>
          <w:szCs w:val="22"/>
        </w:rPr>
        <w:t xml:space="preserve"> 23</w:t>
      </w:r>
      <w:r w:rsidRPr="00CA0589">
        <w:rPr>
          <w:rFonts w:ascii="Arial" w:eastAsia="Calibri" w:hAnsi="Arial" w:cs="Arial"/>
          <w:color w:val="000000" w:themeColor="text1"/>
          <w:sz w:val="22"/>
          <w:szCs w:val="22"/>
        </w:rPr>
        <w:t>(1), 1-10.</w:t>
      </w:r>
    </w:p>
    <w:p w14:paraId="67FD39C1"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National Bureau of Statistics (NBS) &amp; ICF. (2023). Tanzania Demographic and Health Survey and Malaria Indicator Survey (TDHS-MIS) 2022–2023.</w:t>
      </w:r>
    </w:p>
    <w:p w14:paraId="789D82D1"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Panzeri, C., Pecoraro, L., Dianin, A., Sboarina, A., Arnone, O. C., Piacentini, G., &amp; Pietrobelli, A. (2024). Potential Micronutrient Deficiencies in the First 1000 Days of Life: The Pediatrician on the Side of the Weakest. </w:t>
      </w:r>
      <w:r w:rsidRPr="00CA0589">
        <w:rPr>
          <w:rFonts w:ascii="Arial" w:eastAsia="Calibri" w:hAnsi="Arial" w:cs="Arial"/>
          <w:i/>
          <w:iCs/>
          <w:color w:val="000000" w:themeColor="text1"/>
          <w:sz w:val="22"/>
          <w:szCs w:val="22"/>
        </w:rPr>
        <w:t>Current Obesity Reports</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13</w:t>
      </w:r>
      <w:r w:rsidRPr="00CA0589">
        <w:rPr>
          <w:rFonts w:ascii="Arial" w:eastAsia="Calibri" w:hAnsi="Arial" w:cs="Arial"/>
          <w:color w:val="000000" w:themeColor="text1"/>
          <w:sz w:val="22"/>
          <w:szCs w:val="22"/>
        </w:rPr>
        <w:t>(2), 338-351.</w:t>
      </w:r>
    </w:p>
    <w:p w14:paraId="4DB086BC"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Saronga, N. L., Kamugisha, M., &amp; Ndenge, M. O. (2020). Nutrition services offered to pregnant women attending antenatal clinics in Dar es Salaam, Tanzania: A qualitative study. </w:t>
      </w:r>
      <w:r w:rsidRPr="00CA0589">
        <w:rPr>
          <w:rFonts w:ascii="Arial" w:eastAsia="Calibri" w:hAnsi="Arial" w:cs="Arial"/>
          <w:i/>
          <w:iCs/>
          <w:color w:val="000000" w:themeColor="text1"/>
          <w:sz w:val="22"/>
          <w:szCs w:val="22"/>
        </w:rPr>
        <w:t>Midwifery, 89</w:t>
      </w:r>
      <w:r w:rsidRPr="00CA0589">
        <w:rPr>
          <w:rFonts w:ascii="Arial" w:eastAsia="Calibri" w:hAnsi="Arial" w:cs="Arial"/>
          <w:color w:val="000000" w:themeColor="text1"/>
          <w:sz w:val="22"/>
          <w:szCs w:val="22"/>
        </w:rPr>
        <w:t>, 102783.</w:t>
      </w:r>
    </w:p>
    <w:p w14:paraId="082DA90D"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Shenoy, S., Sharma, P., Rao, A., Aparna, N., Adenikinju, D., Iloegbu, C., &amp; Peprah, E. (2023). Evidence-based interventions to reduce maternal malnutrition in low and middle-income countries: a systematic review. </w:t>
      </w:r>
      <w:r w:rsidRPr="00CA0589">
        <w:rPr>
          <w:rFonts w:ascii="Arial" w:eastAsia="Calibri" w:hAnsi="Arial" w:cs="Arial"/>
          <w:i/>
          <w:iCs/>
          <w:color w:val="000000" w:themeColor="text1"/>
          <w:sz w:val="22"/>
          <w:szCs w:val="22"/>
        </w:rPr>
        <w:t>Frontiers in Health Services</w:t>
      </w:r>
      <w:r w:rsidRPr="00CA0589">
        <w:rPr>
          <w:rFonts w:ascii="Arial" w:eastAsia="Calibri" w:hAnsi="Arial" w:cs="Arial"/>
          <w:color w:val="000000" w:themeColor="text1"/>
          <w:sz w:val="22"/>
          <w:szCs w:val="22"/>
        </w:rPr>
        <w:t>, </w:t>
      </w:r>
      <w:r w:rsidRPr="00CA0589">
        <w:rPr>
          <w:rFonts w:ascii="Arial" w:eastAsia="Calibri" w:hAnsi="Arial" w:cs="Arial"/>
          <w:i/>
          <w:iCs/>
          <w:color w:val="000000" w:themeColor="text1"/>
          <w:sz w:val="22"/>
          <w:szCs w:val="22"/>
        </w:rPr>
        <w:t>3</w:t>
      </w:r>
      <w:r w:rsidRPr="00CA0589">
        <w:rPr>
          <w:rFonts w:ascii="Arial" w:eastAsia="Calibri" w:hAnsi="Arial" w:cs="Arial"/>
          <w:color w:val="000000" w:themeColor="text1"/>
          <w:sz w:val="22"/>
          <w:szCs w:val="22"/>
        </w:rPr>
        <w:t>.</w:t>
      </w:r>
    </w:p>
    <w:p w14:paraId="5ABB0787" w14:textId="77777777" w:rsidR="005026A0" w:rsidRPr="00CA0589" w:rsidRDefault="005026A0" w:rsidP="00053305">
      <w:pPr>
        <w:pStyle w:val="EndNoteBibliography"/>
        <w:spacing w:before="60" w:after="60" w:line="276" w:lineRule="auto"/>
        <w:ind w:left="851" w:hanging="851"/>
        <w:rPr>
          <w:rFonts w:ascii="Arial" w:eastAsia="Calibri" w:hAnsi="Arial" w:cs="Arial"/>
          <w:color w:val="000000" w:themeColor="text1"/>
          <w:sz w:val="22"/>
          <w:szCs w:val="22"/>
        </w:rPr>
      </w:pPr>
      <w:r w:rsidRPr="00CA0589">
        <w:rPr>
          <w:rFonts w:ascii="Arial" w:hAnsi="Arial" w:cs="Arial"/>
          <w:color w:val="000000" w:themeColor="text1"/>
          <w:sz w:val="22"/>
          <w:szCs w:val="22"/>
        </w:rPr>
        <w:t>Stephen, K. (2023). Electrical Energy for Rural, Small Scale and Value Creation Industrialization in Mbozi District-Songwe. Tanzania. </w:t>
      </w:r>
      <w:r w:rsidRPr="00CA0589">
        <w:rPr>
          <w:rFonts w:ascii="Arial" w:hAnsi="Arial" w:cs="Arial"/>
          <w:i/>
          <w:iCs/>
          <w:color w:val="000000" w:themeColor="text1"/>
          <w:sz w:val="22"/>
          <w:szCs w:val="22"/>
        </w:rPr>
        <w:t>J Eco Res &amp; Rev</w:t>
      </w:r>
      <w:r w:rsidRPr="00CA0589">
        <w:rPr>
          <w:rFonts w:ascii="Arial" w:hAnsi="Arial" w:cs="Arial"/>
          <w:color w:val="000000" w:themeColor="text1"/>
          <w:sz w:val="22"/>
          <w:szCs w:val="22"/>
        </w:rPr>
        <w:t>, </w:t>
      </w:r>
      <w:r w:rsidRPr="00CA0589">
        <w:rPr>
          <w:rFonts w:ascii="Arial" w:hAnsi="Arial" w:cs="Arial"/>
          <w:i/>
          <w:iCs/>
          <w:color w:val="000000" w:themeColor="text1"/>
          <w:sz w:val="22"/>
          <w:szCs w:val="22"/>
        </w:rPr>
        <w:t>3</w:t>
      </w:r>
      <w:r w:rsidRPr="00CA0589">
        <w:rPr>
          <w:rFonts w:ascii="Arial" w:hAnsi="Arial" w:cs="Arial"/>
          <w:color w:val="000000" w:themeColor="text1"/>
          <w:sz w:val="22"/>
          <w:szCs w:val="22"/>
        </w:rPr>
        <w:t>(1), 22-30.</w:t>
      </w:r>
      <w:r w:rsidRPr="00CA0589">
        <w:rPr>
          <w:rFonts w:ascii="Arial" w:eastAsia="Calibri" w:hAnsi="Arial" w:cs="Arial"/>
          <w:color w:val="000000" w:themeColor="text1"/>
          <w:sz w:val="22"/>
          <w:szCs w:val="22"/>
        </w:rPr>
        <w:t xml:space="preserve"> </w:t>
      </w:r>
    </w:p>
    <w:p w14:paraId="541C9B89"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UN Women. (2020). </w:t>
      </w:r>
      <w:r w:rsidRPr="00CA0589">
        <w:rPr>
          <w:rFonts w:ascii="Arial" w:eastAsia="Calibri" w:hAnsi="Arial" w:cs="Arial"/>
          <w:i/>
          <w:iCs/>
          <w:color w:val="000000" w:themeColor="text1"/>
          <w:sz w:val="22"/>
          <w:szCs w:val="22"/>
        </w:rPr>
        <w:t>Spotlight on rural women: Key facts and figures</w:t>
      </w:r>
      <w:r w:rsidRPr="00CA0589">
        <w:rPr>
          <w:rFonts w:ascii="Arial" w:eastAsia="Calibri" w:hAnsi="Arial" w:cs="Arial"/>
          <w:color w:val="000000" w:themeColor="text1"/>
          <w:sz w:val="22"/>
          <w:szCs w:val="22"/>
        </w:rPr>
        <w:t xml:space="preserve">. United Nations Entity for Gender Equality and the Empowerment of Women. </w:t>
      </w:r>
      <w:hyperlink r:id="rId10" w:history="1">
        <w:r w:rsidRPr="00CA0589">
          <w:rPr>
            <w:rStyle w:val="Hyperlink"/>
            <w:rFonts w:ascii="Arial" w:eastAsia="Calibri" w:hAnsi="Arial" w:cs="Arial"/>
            <w:color w:val="000000" w:themeColor="text1"/>
            <w:sz w:val="22"/>
            <w:szCs w:val="22"/>
          </w:rPr>
          <w:t>https://www.un</w:t>
        </w:r>
      </w:hyperlink>
      <w:r w:rsidRPr="00CA0589">
        <w:rPr>
          <w:rFonts w:ascii="Arial" w:eastAsia="Calibri" w:hAnsi="Arial" w:cs="Arial"/>
          <w:color w:val="000000" w:themeColor="text1"/>
          <w:sz w:val="22"/>
          <w:szCs w:val="22"/>
        </w:rPr>
        <w:t xml:space="preserve"> women.org/en/news/in-focus/commission-on-the-status-of-women-2020/facts-and-figures</w:t>
      </w:r>
    </w:p>
    <w:p w14:paraId="6887BA46"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Wasswa, G., Kizza, J., &amp; Amwonya, D. (2024). Exploring the impact of maternal marital status on child health: insights from the 2022 Tanzanian Demographic and Health Survey. </w:t>
      </w:r>
      <w:r w:rsidRPr="00CA0589">
        <w:rPr>
          <w:rFonts w:ascii="Arial" w:eastAsia="Calibri" w:hAnsi="Arial" w:cs="Arial"/>
          <w:i/>
          <w:iCs/>
          <w:color w:val="000000" w:themeColor="text1"/>
          <w:sz w:val="22"/>
          <w:szCs w:val="22"/>
        </w:rPr>
        <w:t>African Journal of Reproductive Health</w:t>
      </w:r>
      <w:r w:rsidRPr="00CA0589">
        <w:rPr>
          <w:rFonts w:ascii="Arial" w:eastAsia="Calibri" w:hAnsi="Arial" w:cs="Arial"/>
          <w:color w:val="000000" w:themeColor="text1"/>
          <w:sz w:val="22"/>
          <w:szCs w:val="22"/>
        </w:rPr>
        <w:t>, 28(7)</w:t>
      </w:r>
    </w:p>
    <w:p w14:paraId="3A01F1A9"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bCs/>
          <w:color w:val="000000" w:themeColor="text1"/>
          <w:sz w:val="22"/>
          <w:szCs w:val="22"/>
        </w:rPr>
        <w:t>World Health Organization (WHO).</w:t>
      </w:r>
      <w:r w:rsidRPr="00CA0589">
        <w:rPr>
          <w:rFonts w:ascii="Arial" w:eastAsia="Calibri" w:hAnsi="Arial" w:cs="Arial"/>
          <w:color w:val="000000" w:themeColor="text1"/>
          <w:sz w:val="22"/>
          <w:szCs w:val="22"/>
        </w:rPr>
        <w:t xml:space="preserve"> (2021). </w:t>
      </w:r>
      <w:r w:rsidRPr="00CA0589">
        <w:rPr>
          <w:rFonts w:ascii="Arial" w:eastAsia="Calibri" w:hAnsi="Arial" w:cs="Arial"/>
          <w:i/>
          <w:iCs/>
          <w:color w:val="000000" w:themeColor="text1"/>
          <w:sz w:val="22"/>
          <w:szCs w:val="22"/>
        </w:rPr>
        <w:t>Minimum dietary diversity for women: A guide to measurement</w:t>
      </w:r>
      <w:r w:rsidRPr="00CA0589">
        <w:rPr>
          <w:rFonts w:ascii="Arial" w:eastAsia="Calibri" w:hAnsi="Arial" w:cs="Arial"/>
          <w:color w:val="000000" w:themeColor="text1"/>
          <w:sz w:val="22"/>
          <w:szCs w:val="22"/>
        </w:rPr>
        <w:t>. Geneva: World Health Organization and Food and Agriculture Organization of the United Nations.</w:t>
      </w:r>
    </w:p>
    <w:p w14:paraId="77A0BF40"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 xml:space="preserve">World Health Organization. (2006). </w:t>
      </w:r>
      <w:r w:rsidRPr="00CA0589">
        <w:rPr>
          <w:rFonts w:ascii="Arial" w:eastAsia="Calibri" w:hAnsi="Arial" w:cs="Arial"/>
          <w:i/>
          <w:iCs/>
          <w:color w:val="000000" w:themeColor="text1"/>
          <w:sz w:val="22"/>
          <w:szCs w:val="22"/>
        </w:rPr>
        <w:t>WHO Child Growth Standards: Length/height-for-age, weight-for-age, weight-for-length, weight-for-height and body mass index-for-age: Methods and development</w:t>
      </w:r>
      <w:r w:rsidRPr="00CA0589">
        <w:rPr>
          <w:rFonts w:ascii="Arial" w:eastAsia="Calibri" w:hAnsi="Arial" w:cs="Arial"/>
          <w:color w:val="000000" w:themeColor="text1"/>
          <w:sz w:val="22"/>
          <w:szCs w:val="22"/>
        </w:rPr>
        <w:t>. World Health Organization.</w:t>
      </w:r>
    </w:p>
    <w:p w14:paraId="6CD5F8CD" w14:textId="77777777" w:rsidR="005026A0" w:rsidRPr="00CA0589" w:rsidRDefault="005026A0" w:rsidP="00053305">
      <w:pPr>
        <w:spacing w:before="60" w:after="60" w:line="276" w:lineRule="auto"/>
        <w:ind w:left="851" w:hanging="851"/>
        <w:jc w:val="both"/>
        <w:rPr>
          <w:rFonts w:ascii="Arial" w:eastAsia="Calibri" w:hAnsi="Arial" w:cs="Arial"/>
          <w:color w:val="000000" w:themeColor="text1"/>
          <w:sz w:val="22"/>
          <w:szCs w:val="22"/>
        </w:rPr>
      </w:pPr>
      <w:r w:rsidRPr="00CA0589">
        <w:rPr>
          <w:rFonts w:ascii="Arial" w:eastAsia="Calibri" w:hAnsi="Arial" w:cs="Arial"/>
          <w:color w:val="000000" w:themeColor="text1"/>
          <w:sz w:val="22"/>
          <w:szCs w:val="22"/>
        </w:rPr>
        <w:t>Zegeye, A. F., Mekonen, E. G., Tamir, T. T., &amp; Workneh, B. S. (2024). Prevalence and determinants of inadequate dietary diversity among pregnant women in four Sub-Saharan Africa countries: A multilevel analysis of recent demographic and health surveys from 2021 to 2022.</w:t>
      </w:r>
    </w:p>
    <w:p w14:paraId="67B6C8BB" w14:textId="77777777" w:rsidR="006C4C46" w:rsidRPr="00CA0589" w:rsidRDefault="006C4C46" w:rsidP="00CA0589">
      <w:pPr>
        <w:spacing w:line="276" w:lineRule="auto"/>
        <w:jc w:val="both"/>
        <w:rPr>
          <w:rFonts w:ascii="Arial" w:hAnsi="Arial" w:cs="Arial"/>
          <w:sz w:val="22"/>
          <w:szCs w:val="22"/>
        </w:rPr>
      </w:pPr>
    </w:p>
    <w:sectPr w:rsidR="006C4C46" w:rsidRPr="00CA0589" w:rsidSect="00CA0589">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993"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19D314" w16cex:dateUtc="2025-07-30T07:06:00Z"/>
  <w16cex:commentExtensible w16cex:durableId="33AF0C39" w16cex:dateUtc="2025-07-30T06:28:00Z"/>
  <w16cex:commentExtensible w16cex:durableId="19549655" w16cex:dateUtc="2025-07-30T06:30:00Z"/>
  <w16cex:commentExtensible w16cex:durableId="2DC8E201" w16cex:dateUtc="2025-07-30T07:08:00Z"/>
  <w16cex:commentExtensible w16cex:durableId="0A8F3044" w16cex:dateUtc="2025-07-30T07:42:00Z"/>
  <w16cex:commentExtensible w16cex:durableId="5FE12D9D" w16cex:dateUtc="2025-07-30T07:23:00Z"/>
  <w16cex:commentExtensible w16cex:durableId="4F8F49D5" w16cex:dateUtc="2025-07-30T07:33:00Z"/>
  <w16cex:commentExtensible w16cex:durableId="710F5DDC" w16cex:dateUtc="2025-07-30T07:36:00Z"/>
  <w16cex:commentExtensible w16cex:durableId="57B192B1" w16cex:dateUtc="2025-07-30T07:38:00Z"/>
  <w16cex:commentExtensible w16cex:durableId="4B31B2F5" w16cex:dateUtc="2025-07-30T07:45:00Z"/>
  <w16cex:commentExtensible w16cex:durableId="0FA37555" w16cex:dateUtc="2025-07-30T07: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1F009" w14:textId="77777777" w:rsidR="0099025D" w:rsidRDefault="0099025D" w:rsidP="00CA0589">
      <w:r>
        <w:separator/>
      </w:r>
    </w:p>
  </w:endnote>
  <w:endnote w:type="continuationSeparator" w:id="0">
    <w:p w14:paraId="33556068" w14:textId="77777777" w:rsidR="0099025D" w:rsidRDefault="0099025D" w:rsidP="00CA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C4CC" w14:textId="77777777" w:rsidR="00552620" w:rsidRDefault="00552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EA25" w14:textId="77777777" w:rsidR="00552620" w:rsidRDefault="00552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13237" w14:textId="77777777" w:rsidR="00552620" w:rsidRDefault="0055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7F381" w14:textId="77777777" w:rsidR="0099025D" w:rsidRDefault="0099025D" w:rsidP="00CA0589">
      <w:r>
        <w:separator/>
      </w:r>
    </w:p>
  </w:footnote>
  <w:footnote w:type="continuationSeparator" w:id="0">
    <w:p w14:paraId="78BB9D2B" w14:textId="77777777" w:rsidR="0099025D" w:rsidRDefault="0099025D" w:rsidP="00CA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8769" w14:textId="5960CA00" w:rsidR="00552620" w:rsidRDefault="0099025D">
    <w:pPr>
      <w:pStyle w:val="Header"/>
    </w:pPr>
    <w:r>
      <w:rPr>
        <w:noProof/>
      </w:rPr>
      <w:pict w14:anchorId="55452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547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7F6EB" w14:textId="5AC3551E" w:rsidR="00552620" w:rsidRPr="00CA0589" w:rsidRDefault="0099025D" w:rsidP="00CA0589">
    <w:pPr>
      <w:pStyle w:val="Header"/>
      <w:jc w:val="center"/>
      <w:rPr>
        <w:rFonts w:ascii="Arial" w:hAnsi="Arial" w:cs="Arial"/>
        <w:sz w:val="22"/>
      </w:rPr>
    </w:pPr>
    <w:r>
      <w:rPr>
        <w:noProof/>
      </w:rPr>
      <w:pict w14:anchorId="0A222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54736"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sdt>
      <w:sdtPr>
        <w:id w:val="-24630927"/>
        <w:docPartObj>
          <w:docPartGallery w:val="Page Numbers (Top of Page)"/>
          <w:docPartUnique/>
        </w:docPartObj>
      </w:sdtPr>
      <w:sdtEndPr>
        <w:rPr>
          <w:rFonts w:ascii="Arial" w:hAnsi="Arial" w:cs="Arial"/>
          <w:noProof/>
          <w:sz w:val="22"/>
        </w:rPr>
      </w:sdtEndPr>
      <w:sdtContent>
        <w:r w:rsidR="00552620" w:rsidRPr="00CA0589">
          <w:rPr>
            <w:rFonts w:ascii="Arial" w:hAnsi="Arial" w:cs="Arial"/>
            <w:sz w:val="22"/>
          </w:rPr>
          <w:fldChar w:fldCharType="begin"/>
        </w:r>
        <w:r w:rsidR="00552620" w:rsidRPr="00CA0589">
          <w:rPr>
            <w:rFonts w:ascii="Arial" w:hAnsi="Arial" w:cs="Arial"/>
            <w:sz w:val="22"/>
          </w:rPr>
          <w:instrText xml:space="preserve"> PAGE   \* MERGEFORMAT </w:instrText>
        </w:r>
        <w:r w:rsidR="00552620" w:rsidRPr="00CA0589">
          <w:rPr>
            <w:rFonts w:ascii="Arial" w:hAnsi="Arial" w:cs="Arial"/>
            <w:sz w:val="22"/>
          </w:rPr>
          <w:fldChar w:fldCharType="separate"/>
        </w:r>
        <w:r w:rsidR="0011123E">
          <w:rPr>
            <w:rFonts w:ascii="Arial" w:hAnsi="Arial" w:cs="Arial"/>
            <w:noProof/>
            <w:sz w:val="22"/>
          </w:rPr>
          <w:t>1</w:t>
        </w:r>
        <w:r w:rsidR="00552620" w:rsidRPr="00CA0589">
          <w:rPr>
            <w:rFonts w:ascii="Arial" w:hAnsi="Arial" w:cs="Arial"/>
            <w:noProof/>
            <w:sz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A8FA0" w14:textId="05C8BF57" w:rsidR="00552620" w:rsidRDefault="0099025D">
    <w:pPr>
      <w:pStyle w:val="Header"/>
    </w:pPr>
    <w:r>
      <w:rPr>
        <w:noProof/>
      </w:rPr>
      <w:pict w14:anchorId="46249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7547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A57B9"/>
    <w:multiLevelType w:val="hybridMultilevel"/>
    <w:tmpl w:val="4DB4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6A0"/>
    <w:rsid w:val="00053305"/>
    <w:rsid w:val="000619FB"/>
    <w:rsid w:val="000D4242"/>
    <w:rsid w:val="0011123E"/>
    <w:rsid w:val="00141CA4"/>
    <w:rsid w:val="00143CD2"/>
    <w:rsid w:val="001A3965"/>
    <w:rsid w:val="002008CC"/>
    <w:rsid w:val="00205574"/>
    <w:rsid w:val="002E505F"/>
    <w:rsid w:val="00373A2F"/>
    <w:rsid w:val="003971AE"/>
    <w:rsid w:val="00472C29"/>
    <w:rsid w:val="005026A0"/>
    <w:rsid w:val="00507167"/>
    <w:rsid w:val="00552620"/>
    <w:rsid w:val="00626A92"/>
    <w:rsid w:val="00646DB0"/>
    <w:rsid w:val="006C4C46"/>
    <w:rsid w:val="00720F23"/>
    <w:rsid w:val="00725901"/>
    <w:rsid w:val="00745D6C"/>
    <w:rsid w:val="007D29D0"/>
    <w:rsid w:val="007E0EC3"/>
    <w:rsid w:val="00801076"/>
    <w:rsid w:val="009074DE"/>
    <w:rsid w:val="009779D3"/>
    <w:rsid w:val="00984D42"/>
    <w:rsid w:val="0099025D"/>
    <w:rsid w:val="009F0077"/>
    <w:rsid w:val="009F5093"/>
    <w:rsid w:val="00A52EE0"/>
    <w:rsid w:val="00AC5833"/>
    <w:rsid w:val="00AF2EB6"/>
    <w:rsid w:val="00AF56D6"/>
    <w:rsid w:val="00BB215E"/>
    <w:rsid w:val="00BC3652"/>
    <w:rsid w:val="00BD7D0C"/>
    <w:rsid w:val="00CA0589"/>
    <w:rsid w:val="00CD0E4D"/>
    <w:rsid w:val="00D13D95"/>
    <w:rsid w:val="00D2753D"/>
    <w:rsid w:val="00D86886"/>
    <w:rsid w:val="00DA7762"/>
    <w:rsid w:val="00E73DB8"/>
    <w:rsid w:val="00ED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B447C3"/>
  <w15:docId w15:val="{A02F34A5-AE0E-4537-B201-9E82CBA9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6A0"/>
    <w:pPr>
      <w:spacing w:after="0" w:line="240" w:lineRule="auto"/>
    </w:pPr>
    <w:rPr>
      <w:rFonts w:ascii="Times New Roman" w:eastAsiaTheme="minorEastAsia" w:hAnsi="Times New Roman" w:cs="Times New Roman"/>
      <w:sz w:val="24"/>
      <w:szCs w:val="24"/>
    </w:rPr>
  </w:style>
  <w:style w:type="paragraph" w:styleId="Heading2">
    <w:name w:val="heading 2"/>
    <w:basedOn w:val="Normal"/>
    <w:next w:val="Normal"/>
    <w:link w:val="Heading2Char"/>
    <w:uiPriority w:val="9"/>
    <w:unhideWhenUsed/>
    <w:qFormat/>
    <w:rsid w:val="00CA058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26A0"/>
    <w:pPr>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026A0"/>
    <w:pPr>
      <w:ind w:left="720"/>
      <w:contextualSpacing/>
    </w:pPr>
  </w:style>
  <w:style w:type="character" w:styleId="Emphasis">
    <w:name w:val="Emphasis"/>
    <w:basedOn w:val="DefaultParagraphFont"/>
    <w:uiPriority w:val="20"/>
    <w:qFormat/>
    <w:rsid w:val="005026A0"/>
    <w:rPr>
      <w:i/>
      <w:iCs/>
    </w:rPr>
  </w:style>
  <w:style w:type="character" w:styleId="Hyperlink">
    <w:name w:val="Hyperlink"/>
    <w:basedOn w:val="DefaultParagraphFont"/>
    <w:uiPriority w:val="99"/>
    <w:unhideWhenUsed/>
    <w:qFormat/>
    <w:rsid w:val="005026A0"/>
    <w:rPr>
      <w:color w:val="0000FF"/>
      <w:u w:val="single"/>
    </w:rPr>
  </w:style>
  <w:style w:type="paragraph" w:customStyle="1" w:styleId="EndNoteBibliography">
    <w:name w:val="EndNote Bibliography"/>
    <w:basedOn w:val="Normal"/>
    <w:link w:val="EndNoteBibliographyChar"/>
    <w:qFormat/>
    <w:rsid w:val="005026A0"/>
    <w:pPr>
      <w:jc w:val="both"/>
    </w:pPr>
    <w:rPr>
      <w:rFonts w:ascii="Calibri" w:hAnsi="Calibri" w:cs="Calibri"/>
    </w:rPr>
  </w:style>
  <w:style w:type="character" w:customStyle="1" w:styleId="EndNoteBibliographyChar">
    <w:name w:val="EndNote Bibliography Char"/>
    <w:basedOn w:val="DefaultParagraphFont"/>
    <w:link w:val="EndNoteBibliography"/>
    <w:qFormat/>
    <w:rsid w:val="005026A0"/>
    <w:rPr>
      <w:rFonts w:ascii="Calibri" w:eastAsiaTheme="minorEastAsia" w:hAnsi="Calibri" w:cs="Calibri"/>
      <w:sz w:val="24"/>
      <w:szCs w:val="24"/>
    </w:rPr>
  </w:style>
  <w:style w:type="paragraph" w:styleId="BalloonText">
    <w:name w:val="Balloon Text"/>
    <w:basedOn w:val="Normal"/>
    <w:link w:val="BalloonTextChar"/>
    <w:uiPriority w:val="99"/>
    <w:semiHidden/>
    <w:unhideWhenUsed/>
    <w:rsid w:val="00CA0589"/>
    <w:rPr>
      <w:rFonts w:ascii="Tahoma" w:hAnsi="Tahoma" w:cs="Tahoma"/>
      <w:sz w:val="16"/>
      <w:szCs w:val="16"/>
    </w:rPr>
  </w:style>
  <w:style w:type="character" w:customStyle="1" w:styleId="BalloonTextChar">
    <w:name w:val="Balloon Text Char"/>
    <w:basedOn w:val="DefaultParagraphFont"/>
    <w:link w:val="BalloonText"/>
    <w:uiPriority w:val="99"/>
    <w:semiHidden/>
    <w:rsid w:val="00CA0589"/>
    <w:rPr>
      <w:rFonts w:ascii="Tahoma" w:eastAsiaTheme="minorEastAsia" w:hAnsi="Tahoma" w:cs="Tahoma"/>
      <w:sz w:val="16"/>
      <w:szCs w:val="16"/>
    </w:rPr>
  </w:style>
  <w:style w:type="paragraph" w:styleId="Header">
    <w:name w:val="header"/>
    <w:basedOn w:val="Normal"/>
    <w:link w:val="HeaderChar"/>
    <w:uiPriority w:val="99"/>
    <w:unhideWhenUsed/>
    <w:rsid w:val="00CA0589"/>
    <w:pPr>
      <w:tabs>
        <w:tab w:val="center" w:pos="4513"/>
        <w:tab w:val="right" w:pos="9026"/>
      </w:tabs>
    </w:pPr>
  </w:style>
  <w:style w:type="character" w:customStyle="1" w:styleId="HeaderChar">
    <w:name w:val="Header Char"/>
    <w:basedOn w:val="DefaultParagraphFont"/>
    <w:link w:val="Header"/>
    <w:uiPriority w:val="99"/>
    <w:rsid w:val="00CA058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CA0589"/>
    <w:pPr>
      <w:tabs>
        <w:tab w:val="center" w:pos="4513"/>
        <w:tab w:val="right" w:pos="9026"/>
      </w:tabs>
    </w:pPr>
  </w:style>
  <w:style w:type="character" w:customStyle="1" w:styleId="FooterChar">
    <w:name w:val="Footer Char"/>
    <w:basedOn w:val="DefaultParagraphFont"/>
    <w:link w:val="Footer"/>
    <w:uiPriority w:val="99"/>
    <w:rsid w:val="00CA0589"/>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CA0589"/>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0D4242"/>
    <w:rPr>
      <w:sz w:val="16"/>
      <w:szCs w:val="16"/>
    </w:rPr>
  </w:style>
  <w:style w:type="paragraph" w:styleId="CommentText">
    <w:name w:val="annotation text"/>
    <w:basedOn w:val="Normal"/>
    <w:link w:val="CommentTextChar"/>
    <w:uiPriority w:val="99"/>
    <w:unhideWhenUsed/>
    <w:rsid w:val="000D4242"/>
    <w:rPr>
      <w:sz w:val="20"/>
      <w:szCs w:val="20"/>
    </w:rPr>
  </w:style>
  <w:style w:type="character" w:customStyle="1" w:styleId="CommentTextChar">
    <w:name w:val="Comment Text Char"/>
    <w:basedOn w:val="DefaultParagraphFont"/>
    <w:link w:val="CommentText"/>
    <w:uiPriority w:val="99"/>
    <w:rsid w:val="000D424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4242"/>
    <w:rPr>
      <w:b/>
      <w:bCs/>
    </w:rPr>
  </w:style>
  <w:style w:type="character" w:customStyle="1" w:styleId="CommentSubjectChar">
    <w:name w:val="Comment Subject Char"/>
    <w:basedOn w:val="CommentTextChar"/>
    <w:link w:val="CommentSubject"/>
    <w:uiPriority w:val="99"/>
    <w:semiHidden/>
    <w:rsid w:val="000D4242"/>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16</Pages>
  <Words>6425</Words>
  <Characters>36624</Characters>
  <Application>Microsoft Office Word</Application>
  <DocSecurity>0</DocSecurity>
  <Lines>305</Lines>
  <Paragraphs>85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1137</cp:lastModifiedBy>
  <cp:revision>20</cp:revision>
  <dcterms:created xsi:type="dcterms:W3CDTF">2025-07-30T06:28:00Z</dcterms:created>
  <dcterms:modified xsi:type="dcterms:W3CDTF">2025-08-02T05:34:00Z</dcterms:modified>
</cp:coreProperties>
</file>