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0B0" w:rsidRPr="00C540B0" w:rsidRDefault="00C540B0" w:rsidP="00C540B0">
      <w:pPr>
        <w:jc w:val="right"/>
        <w:rPr>
          <w:rFonts w:ascii="Arial" w:hAnsi="Arial" w:cs="Arial"/>
          <w:b/>
          <w:bCs/>
          <w:i/>
          <w:iCs/>
          <w:sz w:val="36"/>
          <w:u w:val="single"/>
        </w:rPr>
      </w:pPr>
      <w:r w:rsidRPr="00C540B0">
        <w:rPr>
          <w:rFonts w:ascii="Arial" w:hAnsi="Arial" w:cs="Arial"/>
          <w:b/>
          <w:bCs/>
          <w:i/>
          <w:iCs/>
          <w:sz w:val="36"/>
          <w:u w:val="single"/>
        </w:rPr>
        <w:t>Review Article</w:t>
      </w:r>
    </w:p>
    <w:p w:rsidR="0024472A" w:rsidRDefault="0024472A" w:rsidP="0024472A">
      <w:pPr>
        <w:jc w:val="right"/>
        <w:rPr>
          <w:rFonts w:ascii="Arial" w:hAnsi="Arial" w:cs="Arial"/>
          <w:b/>
          <w:sz w:val="36"/>
        </w:rPr>
      </w:pPr>
      <w:r w:rsidRPr="0024472A">
        <w:rPr>
          <w:rFonts w:ascii="Arial" w:hAnsi="Arial" w:cs="Arial"/>
          <w:b/>
          <w:sz w:val="36"/>
        </w:rPr>
        <w:t xml:space="preserve">A Systematic Review of </w:t>
      </w:r>
      <w:proofErr w:type="spellStart"/>
      <w:r w:rsidRPr="0024472A">
        <w:rPr>
          <w:rFonts w:ascii="Arial" w:hAnsi="Arial" w:cs="Arial"/>
          <w:b/>
          <w:sz w:val="36"/>
        </w:rPr>
        <w:t>Tasar</w:t>
      </w:r>
      <w:proofErr w:type="spellEnd"/>
      <w:r w:rsidRPr="0024472A">
        <w:rPr>
          <w:rFonts w:ascii="Arial" w:hAnsi="Arial" w:cs="Arial"/>
          <w:b/>
          <w:sz w:val="36"/>
        </w:rPr>
        <w:t xml:space="preserve"> Silkworm (</w:t>
      </w:r>
      <w:proofErr w:type="spellStart"/>
      <w:r w:rsidRPr="0024472A">
        <w:rPr>
          <w:rStyle w:val="Emphasis"/>
          <w:rFonts w:ascii="Arial" w:hAnsi="Arial" w:cs="Arial"/>
          <w:b/>
          <w:sz w:val="36"/>
        </w:rPr>
        <w:t>Antheraeamylitta</w:t>
      </w:r>
      <w:proofErr w:type="spellEnd"/>
      <w:r w:rsidRPr="0024472A">
        <w:rPr>
          <w:rFonts w:ascii="Arial" w:hAnsi="Arial" w:cs="Arial"/>
          <w:b/>
          <w:sz w:val="36"/>
        </w:rPr>
        <w:t>) Pupal Oil: Composition, Bioactivity, and Therapeutic Potential in Health and Disease Management</w:t>
      </w:r>
    </w:p>
    <w:p w:rsidR="00285709" w:rsidRDefault="00285709" w:rsidP="004E2545">
      <w:pPr>
        <w:jc w:val="right"/>
        <w:rPr>
          <w:rFonts w:ascii="Arial" w:eastAsia="Calibri" w:hAnsi="Arial" w:cs="Arial"/>
          <w:bCs/>
          <w:sz w:val="20"/>
          <w:szCs w:val="20"/>
        </w:rPr>
      </w:pPr>
    </w:p>
    <w:p w:rsidR="0024472A" w:rsidRDefault="0024472A" w:rsidP="0024472A">
      <w:pPr>
        <w:rPr>
          <w:rFonts w:ascii="Arial" w:hAnsi="Arial" w:cs="Arial"/>
          <w:b/>
          <w:sz w:val="36"/>
        </w:rPr>
      </w:pPr>
    </w:p>
    <w:p w:rsidR="0024472A" w:rsidRDefault="0024472A" w:rsidP="0024472A">
      <w:pPr>
        <w:rPr>
          <w:rFonts w:ascii="Arial" w:hAnsi="Arial" w:cs="Arial"/>
          <w:b/>
          <w:lang w:val="en-IN"/>
        </w:rPr>
      </w:pPr>
      <w:r w:rsidRPr="00F24BE4">
        <w:rPr>
          <w:rFonts w:ascii="Arial" w:hAnsi="Arial" w:cs="Arial"/>
          <w:b/>
          <w:lang w:val="en-IN"/>
        </w:rPr>
        <w:t>ABSTRACT</w:t>
      </w:r>
    </w:p>
    <w:p w:rsidR="008B20FF" w:rsidRDefault="008B20FF" w:rsidP="0024472A">
      <w:pPr>
        <w:rPr>
          <w:rFonts w:ascii="Arial" w:hAnsi="Arial" w:cs="Arial"/>
          <w:b/>
          <w:lang w:val="en-IN"/>
        </w:rPr>
      </w:pPr>
    </w:p>
    <w:p w:rsidR="008B20FF" w:rsidRDefault="008B20FF" w:rsidP="0024472A">
      <w:pPr>
        <w:rPr>
          <w:rFonts w:ascii="Arial" w:hAnsi="Arial" w:cs="Arial"/>
          <w:b/>
          <w:lang w:val="en-IN"/>
        </w:rPr>
      </w:pPr>
    </w:p>
    <w:p w:rsidR="00F24BE4" w:rsidRDefault="00F24BE4" w:rsidP="0024472A">
      <w:pPr>
        <w:rPr>
          <w:rFonts w:ascii="Arial" w:hAnsi="Arial" w:cs="Arial"/>
          <w:b/>
          <w:lang w:val="en-IN"/>
        </w:rPr>
      </w:pPr>
    </w:p>
    <w:p w:rsidR="008B20FF" w:rsidRPr="00F24BE4" w:rsidRDefault="008B20FF" w:rsidP="008B20FF">
      <w:pPr>
        <w:jc w:val="both"/>
        <w:rPr>
          <w:rFonts w:ascii="Arial" w:hAnsi="Arial" w:cs="Arial"/>
          <w:sz w:val="20"/>
          <w:szCs w:val="20"/>
        </w:rPr>
      </w:pPr>
      <w:proofErr w:type="spellStart"/>
      <w:r w:rsidRPr="00F24BE4">
        <w:rPr>
          <w:rFonts w:ascii="Arial" w:hAnsi="Arial" w:cs="Arial"/>
          <w:sz w:val="20"/>
          <w:szCs w:val="20"/>
        </w:rPr>
        <w:t>Tasar</w:t>
      </w:r>
      <w:proofErr w:type="spellEnd"/>
      <w:r w:rsidRPr="00F24BE4">
        <w:rPr>
          <w:rFonts w:ascii="Arial" w:hAnsi="Arial" w:cs="Arial"/>
          <w:sz w:val="20"/>
          <w:szCs w:val="20"/>
        </w:rPr>
        <w:t xml:space="preserve"> silkworm (</w:t>
      </w:r>
      <w:proofErr w:type="spellStart"/>
      <w:r w:rsidRPr="00F24BE4">
        <w:rPr>
          <w:rStyle w:val="Emphasis"/>
          <w:rFonts w:ascii="Arial" w:hAnsi="Arial" w:cs="Arial"/>
          <w:sz w:val="20"/>
          <w:szCs w:val="20"/>
        </w:rPr>
        <w:t>Antheraeamylitta</w:t>
      </w:r>
      <w:proofErr w:type="spellEnd"/>
      <w:r w:rsidRPr="00F24BE4">
        <w:rPr>
          <w:rFonts w:ascii="Arial" w:hAnsi="Arial" w:cs="Arial"/>
          <w:sz w:val="20"/>
          <w:szCs w:val="20"/>
        </w:rPr>
        <w:t xml:space="preserve">) pupal oil (TPO) is emerging as a novel </w:t>
      </w:r>
      <w:proofErr w:type="spellStart"/>
      <w:r w:rsidRPr="00F24BE4">
        <w:rPr>
          <w:rFonts w:ascii="Arial" w:hAnsi="Arial" w:cs="Arial"/>
          <w:sz w:val="20"/>
          <w:szCs w:val="20"/>
        </w:rPr>
        <w:t>biofunctional</w:t>
      </w:r>
      <w:proofErr w:type="spellEnd"/>
      <w:r w:rsidRPr="00F24BE4">
        <w:rPr>
          <w:rFonts w:ascii="Arial" w:hAnsi="Arial" w:cs="Arial"/>
          <w:sz w:val="20"/>
          <w:szCs w:val="20"/>
        </w:rPr>
        <w:t xml:space="preserve"> lipid with significant potential in food, nutraceutical, cosmetic, and pharmaceutical sectors. This review synthesizes current knowledge on the origin, extraction methods, physicochemical properties, fatty acid composition, and therapeutic potential of TPO. Rich in alpha-linolenic acid (ALA), tocopherols, phytosterols, and phenolic compounds, TPO exhibits remarkable antioxidant, anti-inflammatory, antihyperlipidemic, and anticancer properties. Compared to other silkworm pupal oils such as </w:t>
      </w:r>
      <w:proofErr w:type="spellStart"/>
      <w:r w:rsidRPr="00F24BE4">
        <w:rPr>
          <w:rStyle w:val="Emphasis"/>
          <w:rFonts w:ascii="Arial" w:hAnsi="Arial" w:cs="Arial"/>
          <w:sz w:val="20"/>
          <w:szCs w:val="20"/>
        </w:rPr>
        <w:t>Bombyxmori</w:t>
      </w:r>
      <w:proofErr w:type="spellEnd"/>
      <w:r w:rsidRPr="00F24BE4">
        <w:rPr>
          <w:rFonts w:ascii="Arial" w:hAnsi="Arial" w:cs="Arial"/>
          <w:sz w:val="20"/>
          <w:szCs w:val="20"/>
        </w:rPr>
        <w:t xml:space="preserve">, </w:t>
      </w:r>
      <w:proofErr w:type="spellStart"/>
      <w:r w:rsidRPr="00F24BE4">
        <w:rPr>
          <w:rStyle w:val="Emphasis"/>
          <w:rFonts w:ascii="Arial" w:hAnsi="Arial" w:cs="Arial"/>
          <w:sz w:val="20"/>
          <w:szCs w:val="20"/>
        </w:rPr>
        <w:t>Samiaricini</w:t>
      </w:r>
      <w:proofErr w:type="spellEnd"/>
      <w:r w:rsidRPr="00F24BE4">
        <w:rPr>
          <w:rFonts w:ascii="Arial" w:hAnsi="Arial" w:cs="Arial"/>
          <w:sz w:val="20"/>
          <w:szCs w:val="20"/>
        </w:rPr>
        <w:t xml:space="preserve">, and </w:t>
      </w:r>
      <w:proofErr w:type="spellStart"/>
      <w:r w:rsidRPr="00F24BE4">
        <w:rPr>
          <w:rStyle w:val="Emphasis"/>
          <w:rFonts w:ascii="Arial" w:hAnsi="Arial" w:cs="Arial"/>
          <w:sz w:val="20"/>
          <w:szCs w:val="20"/>
        </w:rPr>
        <w:t>Antheraeaproylei</w:t>
      </w:r>
      <w:proofErr w:type="spellEnd"/>
      <w:r w:rsidRPr="00F24BE4">
        <w:rPr>
          <w:rFonts w:ascii="Arial" w:hAnsi="Arial" w:cs="Arial"/>
          <w:sz w:val="20"/>
          <w:szCs w:val="20"/>
        </w:rPr>
        <w:t>, TPO contains a superior omega-3 profile and balanced omega-6 to omega-3 ratio, making it a valuable dietary lipid. Physicochemical characteristics including refractive index, specific gravity, saponification, and peroxide values further support its oxidative stability and functional performance. A recent in vivo study in streptozotocin-induced diabetic rats demonstrated that TPO supplementation significantly improved lipid profiles, reduced oxidative stress, and ameliorated hepatic and renal tissue damage. Despite its bioactivity, the underutilization of TPO and lack of clinical trials remain critical bottlenecks. This review highlights the nutraceutical potential of TPO, its role in sustainable resource valorization, and the need for future research in formulation development, clinical validation, and industrial integration.</w:t>
      </w:r>
    </w:p>
    <w:p w:rsidR="00F24BE4" w:rsidRDefault="00F24BE4" w:rsidP="0024472A">
      <w:pPr>
        <w:rPr>
          <w:rFonts w:ascii="Arial" w:hAnsi="Arial" w:cs="Arial"/>
          <w:b/>
          <w:lang w:val="en-IN"/>
        </w:rPr>
      </w:pPr>
    </w:p>
    <w:p w:rsidR="00F24BE4" w:rsidRDefault="00F24BE4" w:rsidP="0024472A">
      <w:pPr>
        <w:rPr>
          <w:rFonts w:ascii="Arial" w:hAnsi="Arial" w:cs="Arial"/>
          <w:b/>
          <w:lang w:val="en-IN"/>
        </w:rPr>
      </w:pPr>
    </w:p>
    <w:p w:rsidR="00F24BE4" w:rsidRDefault="00F24BE4" w:rsidP="0024472A">
      <w:pPr>
        <w:rPr>
          <w:rFonts w:ascii="Arial" w:hAnsi="Arial" w:cs="Arial"/>
          <w:b/>
          <w:lang w:val="en-IN"/>
        </w:rPr>
      </w:pPr>
    </w:p>
    <w:p w:rsidR="00F24BE4" w:rsidRDefault="00F24BE4" w:rsidP="0024472A">
      <w:pPr>
        <w:rPr>
          <w:rFonts w:ascii="Arial" w:hAnsi="Arial" w:cs="Arial"/>
          <w:b/>
          <w:lang w:val="en-IN"/>
        </w:rPr>
      </w:pPr>
    </w:p>
    <w:p w:rsidR="00F24BE4" w:rsidRDefault="00F24BE4" w:rsidP="0024472A">
      <w:pPr>
        <w:rPr>
          <w:rFonts w:ascii="Arial" w:hAnsi="Arial" w:cs="Arial"/>
          <w:b/>
          <w:lang w:val="en-IN"/>
        </w:rPr>
      </w:pPr>
    </w:p>
    <w:p w:rsidR="00F24BE4" w:rsidRDefault="00F24BE4" w:rsidP="0024472A">
      <w:pPr>
        <w:rPr>
          <w:rFonts w:ascii="Arial" w:hAnsi="Arial" w:cs="Arial"/>
          <w:b/>
          <w:lang w:val="en-IN"/>
        </w:rPr>
      </w:pPr>
    </w:p>
    <w:p w:rsidR="00F24BE4" w:rsidRDefault="00F24BE4" w:rsidP="0024472A">
      <w:pPr>
        <w:rPr>
          <w:rFonts w:ascii="Arial" w:hAnsi="Arial" w:cs="Arial"/>
          <w:b/>
          <w:lang w:val="en-IN"/>
        </w:rPr>
      </w:pPr>
    </w:p>
    <w:p w:rsidR="00F24BE4" w:rsidRPr="00F24BE4" w:rsidRDefault="00F24BE4" w:rsidP="0024472A">
      <w:pPr>
        <w:rPr>
          <w:rFonts w:ascii="Arial" w:hAnsi="Arial" w:cs="Arial"/>
          <w:b/>
          <w:lang w:val="en-IN"/>
        </w:rPr>
      </w:pPr>
    </w:p>
    <w:p w:rsidR="0024472A" w:rsidRPr="00F24BE4" w:rsidRDefault="0024472A" w:rsidP="0024472A">
      <w:pPr>
        <w:pStyle w:val="NormalWeb"/>
        <w:rPr>
          <w:rFonts w:ascii="Arial" w:hAnsi="Arial" w:cs="Arial"/>
          <w:b/>
          <w:i/>
          <w:sz w:val="20"/>
          <w:szCs w:val="20"/>
        </w:rPr>
      </w:pPr>
      <w:r w:rsidRPr="00F24BE4">
        <w:rPr>
          <w:rFonts w:ascii="Arial" w:hAnsi="Arial" w:cs="Arial"/>
          <w:i/>
          <w:sz w:val="20"/>
          <w:szCs w:val="20"/>
        </w:rPr>
        <w:t xml:space="preserve">Keywords: </w:t>
      </w:r>
      <w:proofErr w:type="spellStart"/>
      <w:r w:rsidRPr="00F24BE4">
        <w:rPr>
          <w:rFonts w:ascii="Arial" w:hAnsi="Arial" w:cs="Arial"/>
          <w:i/>
          <w:sz w:val="20"/>
          <w:szCs w:val="20"/>
        </w:rPr>
        <w:t>Tasar</w:t>
      </w:r>
      <w:proofErr w:type="spellEnd"/>
      <w:r w:rsidRPr="00F24BE4">
        <w:rPr>
          <w:rFonts w:ascii="Arial" w:hAnsi="Arial" w:cs="Arial"/>
          <w:i/>
          <w:sz w:val="20"/>
          <w:szCs w:val="20"/>
        </w:rPr>
        <w:t xml:space="preserve"> silkworm, Pupal oil, Alpha-linolenic acid (ALA</w:t>
      </w:r>
      <w:proofErr w:type="gramStart"/>
      <w:r w:rsidRPr="00F24BE4">
        <w:rPr>
          <w:rFonts w:ascii="Arial" w:hAnsi="Arial" w:cs="Arial"/>
          <w:i/>
          <w:sz w:val="20"/>
          <w:szCs w:val="20"/>
        </w:rPr>
        <w:t>),</w:t>
      </w:r>
      <w:r w:rsidRPr="00F24BE4">
        <w:rPr>
          <w:rStyle w:val="Strong"/>
          <w:rFonts w:ascii="Arial" w:hAnsi="Arial" w:cs="Arial"/>
          <w:b w:val="0"/>
          <w:i/>
          <w:sz w:val="20"/>
          <w:szCs w:val="20"/>
        </w:rPr>
        <w:t>Polyunsaturated</w:t>
      </w:r>
      <w:proofErr w:type="gramEnd"/>
      <w:r w:rsidRPr="00F24BE4">
        <w:rPr>
          <w:rStyle w:val="Strong"/>
          <w:rFonts w:ascii="Arial" w:hAnsi="Arial" w:cs="Arial"/>
          <w:b w:val="0"/>
          <w:i/>
          <w:sz w:val="20"/>
          <w:szCs w:val="20"/>
        </w:rPr>
        <w:t xml:space="preserve"> Fatty Acids (PUFA)</w:t>
      </w:r>
      <w:r w:rsidRPr="00F24BE4">
        <w:rPr>
          <w:rStyle w:val="Strong"/>
          <w:rFonts w:ascii="Arial" w:hAnsi="Arial" w:cs="Arial"/>
          <w:i/>
          <w:sz w:val="20"/>
          <w:szCs w:val="20"/>
        </w:rPr>
        <w:t>,</w:t>
      </w:r>
      <w:r w:rsidRPr="00F24BE4">
        <w:rPr>
          <w:rFonts w:ascii="Arial" w:hAnsi="Arial" w:cs="Arial"/>
          <w:i/>
          <w:sz w:val="20"/>
          <w:szCs w:val="20"/>
        </w:rPr>
        <w:t xml:space="preserve"> Omega-3 fatty acids, Bioactive lipids, Antioxidant </w:t>
      </w:r>
      <w:proofErr w:type="spellStart"/>
      <w:r w:rsidRPr="00F24BE4">
        <w:rPr>
          <w:rFonts w:ascii="Arial" w:hAnsi="Arial" w:cs="Arial"/>
          <w:i/>
          <w:sz w:val="20"/>
          <w:szCs w:val="20"/>
        </w:rPr>
        <w:t>activity,</w:t>
      </w:r>
      <w:r w:rsidRPr="00F24BE4">
        <w:rPr>
          <w:rStyle w:val="Strong"/>
          <w:rFonts w:ascii="Arial" w:hAnsi="Arial" w:cs="Arial"/>
          <w:b w:val="0"/>
          <w:i/>
          <w:sz w:val="20"/>
          <w:szCs w:val="20"/>
        </w:rPr>
        <w:t>Edible</w:t>
      </w:r>
      <w:proofErr w:type="spellEnd"/>
      <w:r w:rsidRPr="00F24BE4">
        <w:rPr>
          <w:rStyle w:val="Strong"/>
          <w:rFonts w:ascii="Arial" w:hAnsi="Arial" w:cs="Arial"/>
          <w:b w:val="0"/>
          <w:i/>
          <w:sz w:val="20"/>
          <w:szCs w:val="20"/>
        </w:rPr>
        <w:t xml:space="preserve"> insect oil</w:t>
      </w:r>
    </w:p>
    <w:p w:rsidR="00243510" w:rsidRPr="00F24BE4" w:rsidRDefault="00244512" w:rsidP="00F24BE4">
      <w:pPr>
        <w:pStyle w:val="ListParagraph"/>
        <w:numPr>
          <w:ilvl w:val="0"/>
          <w:numId w:val="3"/>
        </w:numPr>
        <w:ind w:left="284" w:hanging="284"/>
        <w:jc w:val="both"/>
        <w:rPr>
          <w:rFonts w:ascii="Arial" w:hAnsi="Arial" w:cs="Arial"/>
          <w:b/>
          <w:lang w:val="en-IN"/>
        </w:rPr>
      </w:pPr>
      <w:r w:rsidRPr="00F24BE4">
        <w:rPr>
          <w:rFonts w:ascii="Arial" w:hAnsi="Arial" w:cs="Arial"/>
          <w:b/>
          <w:lang w:val="en-IN"/>
        </w:rPr>
        <w:t>INTRODUCTION</w:t>
      </w:r>
    </w:p>
    <w:p w:rsidR="00802887" w:rsidRPr="00232E7D" w:rsidRDefault="00802887" w:rsidP="00802887">
      <w:pPr>
        <w:pStyle w:val="NormalWeb"/>
        <w:jc w:val="both"/>
        <w:rPr>
          <w:rFonts w:ascii="Arial" w:hAnsi="Arial" w:cs="Arial"/>
          <w:sz w:val="20"/>
        </w:rPr>
      </w:pPr>
      <w:r w:rsidRPr="005472D3">
        <w:rPr>
          <w:rFonts w:ascii="Arial" w:hAnsi="Arial" w:cs="Arial"/>
          <w:sz w:val="20"/>
        </w:rPr>
        <w:t xml:space="preserve">India holds a unique position as the only country producing all major silk varieties- Mulberry, Eri, </w:t>
      </w:r>
      <w:proofErr w:type="spellStart"/>
      <w:r w:rsidRPr="005472D3">
        <w:rPr>
          <w:rFonts w:ascii="Arial" w:hAnsi="Arial" w:cs="Arial"/>
          <w:sz w:val="20"/>
        </w:rPr>
        <w:t>Muga</w:t>
      </w:r>
      <w:proofErr w:type="spellEnd"/>
      <w:r w:rsidRPr="005472D3">
        <w:rPr>
          <w:rFonts w:ascii="Arial" w:hAnsi="Arial" w:cs="Arial"/>
          <w:sz w:val="20"/>
        </w:rPr>
        <w:t xml:space="preserve">, and both Tropical and Temperate </w:t>
      </w:r>
      <w:proofErr w:type="spellStart"/>
      <w:r w:rsidRPr="005472D3">
        <w:rPr>
          <w:rFonts w:ascii="Arial" w:hAnsi="Arial" w:cs="Arial"/>
          <w:sz w:val="20"/>
        </w:rPr>
        <w:t>Tasar</w:t>
      </w:r>
      <w:proofErr w:type="spellEnd"/>
      <w:r w:rsidRPr="005472D3">
        <w:rPr>
          <w:rFonts w:ascii="Arial" w:hAnsi="Arial" w:cs="Arial"/>
          <w:sz w:val="20"/>
        </w:rPr>
        <w:t xml:space="preserve">. Among these, the </w:t>
      </w:r>
      <w:proofErr w:type="spellStart"/>
      <w:r w:rsidRPr="005472D3">
        <w:rPr>
          <w:rFonts w:ascii="Arial" w:hAnsi="Arial" w:cs="Arial"/>
          <w:sz w:val="20"/>
        </w:rPr>
        <w:t>Tasar</w:t>
      </w:r>
      <w:proofErr w:type="spellEnd"/>
      <w:r w:rsidRPr="005472D3">
        <w:rPr>
          <w:rFonts w:ascii="Arial" w:hAnsi="Arial" w:cs="Arial"/>
          <w:sz w:val="20"/>
        </w:rPr>
        <w:t xml:space="preserve"> silkworm (</w:t>
      </w:r>
      <w:proofErr w:type="spellStart"/>
      <w:r w:rsidRPr="005472D3">
        <w:rPr>
          <w:rStyle w:val="Emphasis"/>
          <w:rFonts w:ascii="Arial" w:hAnsi="Arial" w:cs="Arial"/>
          <w:sz w:val="20"/>
        </w:rPr>
        <w:t>Antheraeamylitta</w:t>
      </w:r>
      <w:proofErr w:type="spellEnd"/>
      <w:r w:rsidRPr="005472D3">
        <w:rPr>
          <w:rFonts w:ascii="Arial" w:hAnsi="Arial" w:cs="Arial"/>
          <w:sz w:val="20"/>
        </w:rPr>
        <w:t xml:space="preserve">), a </w:t>
      </w:r>
      <w:proofErr w:type="spellStart"/>
      <w:r w:rsidRPr="005472D3">
        <w:rPr>
          <w:rStyle w:val="Emphasis"/>
          <w:rFonts w:ascii="Arial" w:hAnsi="Arial" w:cs="Arial"/>
          <w:i w:val="0"/>
          <w:sz w:val="20"/>
        </w:rPr>
        <w:t>vanya</w:t>
      </w:r>
      <w:proofErr w:type="spellEnd"/>
      <w:r w:rsidRPr="005472D3">
        <w:rPr>
          <w:rFonts w:ascii="Arial" w:hAnsi="Arial" w:cs="Arial"/>
          <w:sz w:val="20"/>
        </w:rPr>
        <w:t xml:space="preserve"> species, is particularly notable for its comparatively large body size throughout its developmental stages: egg (9–10 mg), larva (35–50 g), pupa (9–16 g), and cocoon (10–14 g or more) (</w:t>
      </w:r>
      <w:proofErr w:type="spellStart"/>
      <w:r w:rsidRPr="00232E7D">
        <w:rPr>
          <w:rFonts w:ascii="Arial" w:hAnsi="Arial" w:cs="Arial"/>
          <w:sz w:val="20"/>
        </w:rPr>
        <w:t>Barsagade</w:t>
      </w:r>
      <w:proofErr w:type="spellEnd"/>
      <w:r w:rsidRPr="00232E7D">
        <w:rPr>
          <w:rFonts w:ascii="Arial" w:hAnsi="Arial" w:cs="Arial"/>
          <w:sz w:val="20"/>
        </w:rPr>
        <w:t xml:space="preserve">, 2017). The tropical </w:t>
      </w:r>
      <w:proofErr w:type="spellStart"/>
      <w:r w:rsidRPr="00232E7D">
        <w:rPr>
          <w:rFonts w:ascii="Arial" w:hAnsi="Arial" w:cs="Arial"/>
          <w:sz w:val="20"/>
        </w:rPr>
        <w:t>Tasar</w:t>
      </w:r>
      <w:proofErr w:type="spellEnd"/>
      <w:r w:rsidRPr="00232E7D">
        <w:rPr>
          <w:rFonts w:ascii="Arial" w:hAnsi="Arial" w:cs="Arial"/>
          <w:sz w:val="20"/>
        </w:rPr>
        <w:t xml:space="preserve"> silkworm (</w:t>
      </w:r>
      <w:r w:rsidRPr="00232E7D">
        <w:rPr>
          <w:rStyle w:val="Emphasis"/>
          <w:rFonts w:ascii="Arial" w:hAnsi="Arial" w:cs="Arial"/>
          <w:sz w:val="20"/>
        </w:rPr>
        <w:t xml:space="preserve">A. </w:t>
      </w:r>
      <w:proofErr w:type="spellStart"/>
      <w:r w:rsidRPr="00232E7D">
        <w:rPr>
          <w:rStyle w:val="Emphasis"/>
          <w:rFonts w:ascii="Arial" w:hAnsi="Arial" w:cs="Arial"/>
          <w:sz w:val="20"/>
        </w:rPr>
        <w:t>mylitta</w:t>
      </w:r>
      <w:proofErr w:type="spellEnd"/>
      <w:r w:rsidRPr="00232E7D">
        <w:rPr>
          <w:rStyle w:val="Emphasis"/>
          <w:rFonts w:ascii="Arial" w:hAnsi="Arial" w:cs="Arial"/>
          <w:sz w:val="20"/>
        </w:rPr>
        <w:t xml:space="preserve"> Drury</w:t>
      </w:r>
      <w:r w:rsidRPr="00232E7D">
        <w:rPr>
          <w:rFonts w:ascii="Arial" w:hAnsi="Arial" w:cs="Arial"/>
          <w:sz w:val="20"/>
        </w:rPr>
        <w:t xml:space="preserve">) is polyphagous, thriving in forest habitats and feeding primarily on host plants such as </w:t>
      </w:r>
      <w:r w:rsidRPr="00232E7D">
        <w:rPr>
          <w:rStyle w:val="Emphasis"/>
          <w:rFonts w:ascii="Arial" w:hAnsi="Arial" w:cs="Arial"/>
          <w:sz w:val="20"/>
        </w:rPr>
        <w:t>Terminalia arjuna</w:t>
      </w:r>
      <w:r w:rsidRPr="00232E7D">
        <w:rPr>
          <w:rFonts w:ascii="Arial" w:hAnsi="Arial" w:cs="Arial"/>
          <w:sz w:val="20"/>
        </w:rPr>
        <w:t xml:space="preserve">, </w:t>
      </w:r>
      <w:r w:rsidRPr="00232E7D">
        <w:rPr>
          <w:rStyle w:val="Emphasis"/>
          <w:rFonts w:ascii="Arial" w:hAnsi="Arial" w:cs="Arial"/>
          <w:sz w:val="20"/>
        </w:rPr>
        <w:t xml:space="preserve">Terminalia </w:t>
      </w:r>
      <w:proofErr w:type="spellStart"/>
      <w:r w:rsidRPr="00232E7D">
        <w:rPr>
          <w:rStyle w:val="Emphasis"/>
          <w:rFonts w:ascii="Arial" w:hAnsi="Arial" w:cs="Arial"/>
          <w:sz w:val="20"/>
        </w:rPr>
        <w:t>tomentosa</w:t>
      </w:r>
      <w:proofErr w:type="spellEnd"/>
      <w:r w:rsidRPr="00232E7D">
        <w:rPr>
          <w:rFonts w:ascii="Arial" w:hAnsi="Arial" w:cs="Arial"/>
          <w:sz w:val="20"/>
        </w:rPr>
        <w:t xml:space="preserve">, and </w:t>
      </w:r>
      <w:proofErr w:type="spellStart"/>
      <w:r w:rsidRPr="00232E7D">
        <w:rPr>
          <w:rStyle w:val="Emphasis"/>
          <w:rFonts w:ascii="Arial" w:hAnsi="Arial" w:cs="Arial"/>
          <w:sz w:val="20"/>
        </w:rPr>
        <w:t>Shorearobusta</w:t>
      </w:r>
      <w:proofErr w:type="spellEnd"/>
      <w:r w:rsidRPr="00232E7D">
        <w:rPr>
          <w:rFonts w:ascii="Arial" w:hAnsi="Arial" w:cs="Arial"/>
          <w:sz w:val="20"/>
        </w:rPr>
        <w:t>, among others</w:t>
      </w:r>
      <w:r w:rsidR="002A52A3" w:rsidRPr="00232E7D">
        <w:rPr>
          <w:rFonts w:ascii="Arial" w:hAnsi="Arial" w:cs="Arial"/>
          <w:sz w:val="20"/>
        </w:rPr>
        <w:t xml:space="preserve"> (Ananta </w:t>
      </w:r>
      <w:r w:rsidR="002A52A3" w:rsidRPr="00232E7D">
        <w:rPr>
          <w:rFonts w:ascii="Arial" w:hAnsi="Arial" w:cs="Arial"/>
          <w:i/>
          <w:sz w:val="20"/>
        </w:rPr>
        <w:t>et al.,</w:t>
      </w:r>
      <w:r w:rsidR="002A52A3" w:rsidRPr="00232E7D">
        <w:rPr>
          <w:rFonts w:ascii="Arial" w:hAnsi="Arial" w:cs="Arial"/>
          <w:sz w:val="20"/>
        </w:rPr>
        <w:t xml:space="preserve"> 2023)</w:t>
      </w:r>
      <w:r w:rsidRPr="00232E7D">
        <w:rPr>
          <w:rFonts w:ascii="Arial" w:hAnsi="Arial" w:cs="Arial"/>
          <w:sz w:val="20"/>
        </w:rPr>
        <w:t xml:space="preserve">. Approximately 44 distinct </w:t>
      </w:r>
      <w:proofErr w:type="spellStart"/>
      <w:r w:rsidRPr="00232E7D">
        <w:rPr>
          <w:rFonts w:ascii="Arial" w:hAnsi="Arial" w:cs="Arial"/>
          <w:sz w:val="20"/>
        </w:rPr>
        <w:t>ecoraces</w:t>
      </w:r>
      <w:proofErr w:type="spellEnd"/>
      <w:r w:rsidRPr="00232E7D">
        <w:rPr>
          <w:rFonts w:ascii="Arial" w:hAnsi="Arial" w:cs="Arial"/>
          <w:sz w:val="20"/>
        </w:rPr>
        <w:t xml:space="preserve"> of </w:t>
      </w:r>
      <w:r w:rsidRPr="00232E7D">
        <w:rPr>
          <w:rStyle w:val="Emphasis"/>
          <w:rFonts w:ascii="Arial" w:hAnsi="Arial" w:cs="Arial"/>
          <w:sz w:val="20"/>
        </w:rPr>
        <w:t xml:space="preserve">A. </w:t>
      </w:r>
      <w:proofErr w:type="spellStart"/>
      <w:r w:rsidRPr="00232E7D">
        <w:rPr>
          <w:rStyle w:val="Emphasis"/>
          <w:rFonts w:ascii="Arial" w:hAnsi="Arial" w:cs="Arial"/>
          <w:sz w:val="20"/>
        </w:rPr>
        <w:t>mylitta</w:t>
      </w:r>
      <w:proofErr w:type="spellEnd"/>
      <w:r w:rsidRPr="00232E7D">
        <w:rPr>
          <w:rFonts w:ascii="Arial" w:hAnsi="Arial" w:cs="Arial"/>
          <w:sz w:val="20"/>
        </w:rPr>
        <w:t xml:space="preserve"> are found across various Indian states including Jharkhand, Odisha, Chhattisgarh, Bihar, Madhya Pradesh, Andhra Pradesh, Uttar Pradesh, West Bengal, and Maharashtra (Ojha </w:t>
      </w:r>
      <w:r w:rsidRPr="00232E7D">
        <w:rPr>
          <w:rFonts w:ascii="Arial" w:hAnsi="Arial" w:cs="Arial"/>
          <w:i/>
          <w:sz w:val="20"/>
        </w:rPr>
        <w:t>et al.,</w:t>
      </w:r>
      <w:r w:rsidRPr="00232E7D">
        <w:rPr>
          <w:rFonts w:ascii="Arial" w:hAnsi="Arial" w:cs="Arial"/>
          <w:sz w:val="20"/>
        </w:rPr>
        <w:t xml:space="preserve"> 2009).</w:t>
      </w:r>
    </w:p>
    <w:p w:rsidR="00802887" w:rsidRPr="005472D3" w:rsidRDefault="00802887" w:rsidP="00802887">
      <w:pPr>
        <w:pStyle w:val="NormalWeb"/>
        <w:jc w:val="both"/>
        <w:rPr>
          <w:rFonts w:ascii="Arial" w:hAnsi="Arial" w:cs="Arial"/>
          <w:sz w:val="20"/>
        </w:rPr>
      </w:pPr>
      <w:r w:rsidRPr="00232E7D">
        <w:rPr>
          <w:rFonts w:ascii="Arial" w:hAnsi="Arial" w:cs="Arial"/>
          <w:sz w:val="20"/>
        </w:rPr>
        <w:t xml:space="preserve">In recent years, India's </w:t>
      </w:r>
      <w:proofErr w:type="spellStart"/>
      <w:r w:rsidRPr="00232E7D">
        <w:rPr>
          <w:rFonts w:ascii="Arial" w:hAnsi="Arial" w:cs="Arial"/>
          <w:sz w:val="20"/>
        </w:rPr>
        <w:t>Tasar</w:t>
      </w:r>
      <w:proofErr w:type="spellEnd"/>
      <w:r w:rsidRPr="00232E7D">
        <w:rPr>
          <w:rFonts w:ascii="Arial" w:hAnsi="Arial" w:cs="Arial"/>
          <w:sz w:val="20"/>
        </w:rPr>
        <w:t xml:space="preserve"> silk sector has witnessed notable growth, with raw silk output </w:t>
      </w:r>
      <w:r w:rsidR="002A52A3" w:rsidRPr="00232E7D">
        <w:rPr>
          <w:rFonts w:ascii="Arial" w:hAnsi="Arial" w:cs="Arial"/>
          <w:sz w:val="20"/>
        </w:rPr>
        <w:t xml:space="preserve">of </w:t>
      </w:r>
      <w:r w:rsidRPr="00232E7D">
        <w:rPr>
          <w:rFonts w:ascii="Arial" w:hAnsi="Arial" w:cs="Arial"/>
          <w:sz w:val="20"/>
        </w:rPr>
        <w:t>1586</w:t>
      </w:r>
      <w:r w:rsidR="002A52A3" w:rsidRPr="00232E7D">
        <w:rPr>
          <w:rFonts w:ascii="Arial" w:hAnsi="Arial" w:cs="Arial"/>
          <w:sz w:val="20"/>
        </w:rPr>
        <w:t xml:space="preserve"> MT by 2023–2024 (</w:t>
      </w:r>
      <w:r w:rsidR="00232E7D" w:rsidRPr="00232E7D">
        <w:rPr>
          <w:rFonts w:ascii="Arial" w:hAnsi="Arial" w:cs="Arial"/>
          <w:sz w:val="20"/>
        </w:rPr>
        <w:t>Rai, 2022</w:t>
      </w:r>
      <w:r w:rsidRPr="00232E7D">
        <w:rPr>
          <w:rFonts w:ascii="Arial" w:hAnsi="Arial" w:cs="Arial"/>
          <w:sz w:val="20"/>
        </w:rPr>
        <w:t xml:space="preserve">). This growth has significantly contributed to rural development and livelihood generation, particularly empowering women in tribal and remote areas. </w:t>
      </w:r>
      <w:r w:rsidR="00885250" w:rsidRPr="00885250">
        <w:rPr>
          <w:rFonts w:ascii="Arial" w:hAnsi="Arial" w:cs="Arial"/>
          <w:sz w:val="20"/>
          <w:highlight w:val="yellow"/>
        </w:rPr>
        <w:t>Simultaneously</w:t>
      </w:r>
      <w:r w:rsidRPr="00232E7D">
        <w:rPr>
          <w:rFonts w:ascii="Arial" w:hAnsi="Arial" w:cs="Arial"/>
          <w:sz w:val="20"/>
        </w:rPr>
        <w:t xml:space="preserve">, silkworm pupae previously treated as waste are increasingly acknowledged for their high nutritional value and potential applications. Research indicates that they are rich in proteins, fats, carbohydrates, vitamins, minerals, and antioxidants (Sadat </w:t>
      </w:r>
      <w:r w:rsidRPr="00232E7D">
        <w:rPr>
          <w:rFonts w:ascii="Arial" w:hAnsi="Arial" w:cs="Arial"/>
          <w:i/>
          <w:sz w:val="20"/>
        </w:rPr>
        <w:t>et al.,</w:t>
      </w:r>
      <w:r w:rsidRPr="00232E7D">
        <w:rPr>
          <w:rFonts w:ascii="Arial" w:hAnsi="Arial" w:cs="Arial"/>
          <w:sz w:val="20"/>
        </w:rPr>
        <w:t xml:space="preserve"> 2022).</w:t>
      </w:r>
    </w:p>
    <w:p w:rsidR="00802887" w:rsidRPr="005472D3" w:rsidRDefault="00802887" w:rsidP="005472D3">
      <w:pPr>
        <w:pStyle w:val="NormalWeb"/>
        <w:jc w:val="both"/>
        <w:rPr>
          <w:rFonts w:ascii="Arial" w:hAnsi="Arial" w:cs="Arial"/>
          <w:sz w:val="20"/>
        </w:rPr>
      </w:pPr>
      <w:r w:rsidRPr="005472D3">
        <w:rPr>
          <w:rFonts w:ascii="Arial" w:hAnsi="Arial" w:cs="Arial"/>
          <w:sz w:val="20"/>
        </w:rPr>
        <w:t xml:space="preserve">Silkworm pupae have long been consumed as traditional food in </w:t>
      </w:r>
      <w:r w:rsidRPr="00232E7D">
        <w:rPr>
          <w:rFonts w:ascii="Arial" w:hAnsi="Arial" w:cs="Arial"/>
          <w:sz w:val="20"/>
        </w:rPr>
        <w:t>countries such as India, China, Japan, and Thailand. Notably, China has classified them as a “novel food resource” (</w:t>
      </w:r>
      <w:r w:rsidR="00232E7D">
        <w:rPr>
          <w:rFonts w:ascii="Arial" w:hAnsi="Arial" w:cs="Arial"/>
          <w:sz w:val="20"/>
        </w:rPr>
        <w:t>Lei et al., 2024</w:t>
      </w:r>
      <w:r w:rsidRPr="00232E7D">
        <w:rPr>
          <w:rFonts w:ascii="Arial" w:hAnsi="Arial" w:cs="Arial"/>
          <w:sz w:val="20"/>
        </w:rPr>
        <w:t xml:space="preserve">). Their nutritional richness, especially the presence of proteins and fats, makes them suitable for animal feed, particularly in poultry, aquaculture, and pig farming (Sheikh </w:t>
      </w:r>
      <w:r w:rsidRPr="00232E7D">
        <w:rPr>
          <w:rFonts w:ascii="Arial" w:hAnsi="Arial" w:cs="Arial"/>
          <w:i/>
          <w:sz w:val="20"/>
        </w:rPr>
        <w:t>et al.,</w:t>
      </w:r>
      <w:r w:rsidRPr="00232E7D">
        <w:rPr>
          <w:rFonts w:ascii="Arial" w:hAnsi="Arial" w:cs="Arial"/>
          <w:sz w:val="20"/>
        </w:rPr>
        <w:t xml:space="preserve"> 2018). The high levels of unsaturated fats notably omega-3 fatty acids like alpha-linolenic acid (ALA) also contribute to their recognized health benefits (Kumar </w:t>
      </w:r>
      <w:r w:rsidRPr="00232E7D">
        <w:rPr>
          <w:rFonts w:ascii="Arial" w:hAnsi="Arial" w:cs="Arial"/>
          <w:i/>
          <w:sz w:val="20"/>
        </w:rPr>
        <w:t>et al.,</w:t>
      </w:r>
      <w:r w:rsidRPr="00232E7D">
        <w:rPr>
          <w:rFonts w:ascii="Arial" w:hAnsi="Arial" w:cs="Arial"/>
          <w:sz w:val="20"/>
        </w:rPr>
        <w:t xml:space="preserve"> 2020). Large volumes of spent pupae are generated during silk reeling, often discarded or marginally used as fertilizers or aquaculture feed (</w:t>
      </w:r>
      <w:r w:rsidR="0090515A">
        <w:rPr>
          <w:rFonts w:ascii="Arial" w:hAnsi="Arial" w:cs="Arial"/>
          <w:sz w:val="20"/>
        </w:rPr>
        <w:t xml:space="preserve">Dash </w:t>
      </w:r>
      <w:r w:rsidRPr="00232E7D">
        <w:rPr>
          <w:rFonts w:ascii="Arial" w:hAnsi="Arial" w:cs="Arial"/>
          <w:i/>
          <w:sz w:val="20"/>
        </w:rPr>
        <w:t>et al.,</w:t>
      </w:r>
      <w:r w:rsidR="0090515A">
        <w:rPr>
          <w:rFonts w:ascii="Arial" w:hAnsi="Arial" w:cs="Arial"/>
          <w:sz w:val="20"/>
        </w:rPr>
        <w:t xml:space="preserve"> 2025</w:t>
      </w:r>
      <w:r w:rsidRPr="00232E7D">
        <w:rPr>
          <w:rFonts w:ascii="Arial" w:hAnsi="Arial" w:cs="Arial"/>
          <w:sz w:val="20"/>
        </w:rPr>
        <w:t xml:space="preserve">; Ashoka </w:t>
      </w:r>
      <w:r w:rsidRPr="00232E7D">
        <w:rPr>
          <w:rFonts w:ascii="Arial" w:hAnsi="Arial" w:cs="Arial"/>
          <w:i/>
          <w:sz w:val="20"/>
        </w:rPr>
        <w:t>et al.,</w:t>
      </w:r>
      <w:r w:rsidRPr="00232E7D">
        <w:rPr>
          <w:rFonts w:ascii="Arial" w:hAnsi="Arial" w:cs="Arial"/>
          <w:sz w:val="20"/>
        </w:rPr>
        <w:t xml:space="preserve"> 1997; Wei </w:t>
      </w:r>
      <w:r w:rsidRPr="00232E7D">
        <w:rPr>
          <w:rFonts w:ascii="Arial" w:hAnsi="Arial" w:cs="Arial"/>
          <w:i/>
          <w:sz w:val="20"/>
        </w:rPr>
        <w:t>et al.,</w:t>
      </w:r>
      <w:r w:rsidRPr="00232E7D">
        <w:rPr>
          <w:rFonts w:ascii="Arial" w:hAnsi="Arial" w:cs="Arial"/>
          <w:sz w:val="20"/>
        </w:rPr>
        <w:t xml:space="preserve"> 2009). However, poor disposal practices can lead to environmental concerns (Jun </w:t>
      </w:r>
      <w:r w:rsidRPr="00232E7D">
        <w:rPr>
          <w:rFonts w:ascii="Arial" w:hAnsi="Arial" w:cs="Arial"/>
          <w:i/>
          <w:sz w:val="20"/>
        </w:rPr>
        <w:t>et al.,</w:t>
      </w:r>
      <w:r w:rsidRPr="00232E7D">
        <w:rPr>
          <w:rFonts w:ascii="Arial" w:hAnsi="Arial" w:cs="Arial"/>
          <w:sz w:val="20"/>
        </w:rPr>
        <w:t xml:space="preserve"> 2010). Despite being highly nutrit</w:t>
      </w:r>
      <w:r w:rsidR="002A52A3" w:rsidRPr="00232E7D">
        <w:rPr>
          <w:rFonts w:ascii="Arial" w:hAnsi="Arial" w:cs="Arial"/>
          <w:sz w:val="20"/>
        </w:rPr>
        <w:t xml:space="preserve">ious </w:t>
      </w:r>
      <w:r w:rsidRPr="00232E7D">
        <w:rPr>
          <w:rFonts w:ascii="Arial" w:hAnsi="Arial" w:cs="Arial"/>
          <w:sz w:val="20"/>
        </w:rPr>
        <w:t>with protein containing all essential amino acids per FAO/WHO standards and lipids makin</w:t>
      </w:r>
      <w:r w:rsidR="002A52A3" w:rsidRPr="00232E7D">
        <w:rPr>
          <w:rFonts w:ascii="Arial" w:hAnsi="Arial" w:cs="Arial"/>
          <w:sz w:val="20"/>
        </w:rPr>
        <w:t xml:space="preserve">g up around 30% of dry weight </w:t>
      </w:r>
      <w:r w:rsidRPr="00232E7D">
        <w:rPr>
          <w:rFonts w:ascii="Arial" w:hAnsi="Arial" w:cs="Arial"/>
          <w:sz w:val="20"/>
        </w:rPr>
        <w:t>the full potential of p</w:t>
      </w:r>
      <w:r w:rsidR="00C84B73">
        <w:rPr>
          <w:rFonts w:ascii="Arial" w:hAnsi="Arial" w:cs="Arial"/>
          <w:sz w:val="20"/>
        </w:rPr>
        <w:t>upae remains largely untapped (</w:t>
      </w:r>
      <w:proofErr w:type="spellStart"/>
      <w:r w:rsidR="00C84B73">
        <w:rPr>
          <w:rFonts w:ascii="Arial" w:hAnsi="Arial" w:cs="Arial"/>
          <w:sz w:val="20"/>
        </w:rPr>
        <w:t>Beniwal</w:t>
      </w:r>
      <w:r w:rsidRPr="00232E7D">
        <w:rPr>
          <w:rFonts w:ascii="Arial" w:hAnsi="Arial" w:cs="Arial"/>
          <w:i/>
          <w:sz w:val="20"/>
        </w:rPr>
        <w:t>et</w:t>
      </w:r>
      <w:proofErr w:type="spellEnd"/>
      <w:r w:rsidRPr="00232E7D">
        <w:rPr>
          <w:rFonts w:ascii="Arial" w:hAnsi="Arial" w:cs="Arial"/>
          <w:i/>
          <w:sz w:val="20"/>
        </w:rPr>
        <w:t xml:space="preserve"> al., </w:t>
      </w:r>
      <w:r w:rsidR="00C84B73">
        <w:rPr>
          <w:rFonts w:ascii="Arial" w:hAnsi="Arial" w:cs="Arial"/>
          <w:sz w:val="20"/>
        </w:rPr>
        <w:t>2024</w:t>
      </w:r>
      <w:r w:rsidRPr="00232E7D">
        <w:rPr>
          <w:rFonts w:ascii="Arial" w:hAnsi="Arial" w:cs="Arial"/>
          <w:sz w:val="20"/>
        </w:rPr>
        <w:t>).</w:t>
      </w:r>
    </w:p>
    <w:p w:rsidR="00802887" w:rsidRPr="005472D3" w:rsidRDefault="00802887" w:rsidP="00802887">
      <w:pPr>
        <w:pStyle w:val="NormalWeb"/>
        <w:jc w:val="both"/>
        <w:rPr>
          <w:rFonts w:ascii="Arial" w:hAnsi="Arial" w:cs="Arial"/>
          <w:sz w:val="20"/>
        </w:rPr>
      </w:pPr>
      <w:proofErr w:type="spellStart"/>
      <w:r w:rsidRPr="005472D3">
        <w:rPr>
          <w:rFonts w:ascii="Arial" w:hAnsi="Arial" w:cs="Arial"/>
          <w:sz w:val="20"/>
        </w:rPr>
        <w:t>Tasar</w:t>
      </w:r>
      <w:proofErr w:type="spellEnd"/>
      <w:r w:rsidRPr="005472D3">
        <w:rPr>
          <w:rFonts w:ascii="Arial" w:hAnsi="Arial" w:cs="Arial"/>
          <w:sz w:val="20"/>
        </w:rPr>
        <w:t xml:space="preserve"> silkworm pupal oil is particularly rich in unsaturated fatty acids, exceeding 75%, with ALA contributing up to 34.27</w:t>
      </w:r>
      <w:r w:rsidR="002A52A3" w:rsidRPr="005472D3">
        <w:rPr>
          <w:rFonts w:ascii="Arial" w:hAnsi="Arial" w:cs="Arial"/>
          <w:sz w:val="20"/>
        </w:rPr>
        <w:t xml:space="preserve">% (Tao </w:t>
      </w:r>
      <w:r w:rsidR="002A52A3" w:rsidRPr="00FC3A07">
        <w:rPr>
          <w:rFonts w:ascii="Arial" w:hAnsi="Arial" w:cs="Arial"/>
          <w:i/>
          <w:sz w:val="20"/>
        </w:rPr>
        <w:t>et al.,</w:t>
      </w:r>
      <w:r w:rsidR="002A52A3" w:rsidRPr="00FC3A07">
        <w:rPr>
          <w:rFonts w:ascii="Arial" w:hAnsi="Arial" w:cs="Arial"/>
          <w:sz w:val="20"/>
        </w:rPr>
        <w:t xml:space="preserve"> 2014). The </w:t>
      </w:r>
      <w:r w:rsidRPr="00FC3A07">
        <w:rPr>
          <w:rFonts w:ascii="Arial" w:hAnsi="Arial" w:cs="Arial"/>
          <w:sz w:val="20"/>
        </w:rPr>
        <w:t xml:space="preserve">composition </w:t>
      </w:r>
      <w:r w:rsidR="002A52A3" w:rsidRPr="00FC3A07">
        <w:rPr>
          <w:rFonts w:ascii="Arial" w:hAnsi="Arial" w:cs="Arial"/>
          <w:sz w:val="20"/>
        </w:rPr>
        <w:t xml:space="preserve">of the oil </w:t>
      </w:r>
      <w:r w:rsidRPr="00FC3A07">
        <w:rPr>
          <w:rFonts w:ascii="Arial" w:hAnsi="Arial" w:cs="Arial"/>
          <w:sz w:val="20"/>
        </w:rPr>
        <w:t xml:space="preserve">includes α-linolenic, oleic, linoleic, palmitic, and palmitoleic acids, and it exhibits remarkable antioxidant, cholesterol-reducing, and neuroprotective properties (Wei </w:t>
      </w:r>
      <w:r w:rsidRPr="00FC3A07">
        <w:rPr>
          <w:rFonts w:ascii="Arial" w:hAnsi="Arial" w:cs="Arial"/>
          <w:i/>
          <w:sz w:val="20"/>
        </w:rPr>
        <w:t>et al.,</w:t>
      </w:r>
      <w:r w:rsidRPr="00FC3A07">
        <w:rPr>
          <w:rFonts w:ascii="Arial" w:hAnsi="Arial" w:cs="Arial"/>
          <w:sz w:val="20"/>
        </w:rPr>
        <w:t xml:space="preserve"> 2009; Jun </w:t>
      </w:r>
      <w:r w:rsidRPr="00FC3A07">
        <w:rPr>
          <w:rFonts w:ascii="Arial" w:hAnsi="Arial" w:cs="Arial"/>
          <w:i/>
          <w:sz w:val="20"/>
        </w:rPr>
        <w:t>et al.,</w:t>
      </w:r>
      <w:r w:rsidRPr="00FC3A07">
        <w:rPr>
          <w:rFonts w:ascii="Arial" w:hAnsi="Arial" w:cs="Arial"/>
          <w:sz w:val="20"/>
        </w:rPr>
        <w:t xml:space="preserve"> 2010). These bioactivities have encouraged its incorporation into cosmetics, soap production, and anti-aging products (</w:t>
      </w:r>
      <w:proofErr w:type="spellStart"/>
      <w:r w:rsidRPr="00FC3A07">
        <w:rPr>
          <w:rFonts w:ascii="Arial" w:hAnsi="Arial" w:cs="Arial"/>
          <w:sz w:val="20"/>
        </w:rPr>
        <w:t>Kotake</w:t>
      </w:r>
      <w:proofErr w:type="spellEnd"/>
      <w:r w:rsidRPr="00FC3A07">
        <w:rPr>
          <w:rFonts w:ascii="Arial" w:hAnsi="Arial" w:cs="Arial"/>
          <w:sz w:val="20"/>
        </w:rPr>
        <w:t xml:space="preserve">-Nara </w:t>
      </w:r>
      <w:r w:rsidRPr="00FC3A07">
        <w:rPr>
          <w:rFonts w:ascii="Arial" w:hAnsi="Arial" w:cs="Arial"/>
          <w:i/>
          <w:sz w:val="20"/>
        </w:rPr>
        <w:t>et al.,</w:t>
      </w:r>
      <w:r w:rsidRPr="00FC3A07">
        <w:rPr>
          <w:rFonts w:ascii="Arial" w:hAnsi="Arial" w:cs="Arial"/>
          <w:sz w:val="20"/>
        </w:rPr>
        <w:t xml:space="preserve"> 2002). In terms of amino acid content, pupae are rich in glutamic acid (18.3%), histidine (14.6%), and alanine (10.2%). Together with its beneficial lipid profile, this positions pupal oil as a valuable functional ingredient. Ongoing research into omega-3 polyunsaturated fatty acids (EPA, DHA, and ALA) has highlighted their effectiveness in managing conditions such as cardiovascular diseases, cancer, diabetes, and neurodegenerative disorders (Iwase </w:t>
      </w:r>
      <w:r w:rsidRPr="00FC3A07">
        <w:rPr>
          <w:rFonts w:ascii="Arial" w:hAnsi="Arial" w:cs="Arial"/>
          <w:i/>
          <w:sz w:val="20"/>
        </w:rPr>
        <w:t>et al.,</w:t>
      </w:r>
      <w:r w:rsidRPr="00FC3A07">
        <w:rPr>
          <w:rFonts w:ascii="Arial" w:hAnsi="Arial" w:cs="Arial"/>
          <w:sz w:val="20"/>
        </w:rPr>
        <w:t xml:space="preserve"> 2015; Khan </w:t>
      </w:r>
      <w:r w:rsidRPr="00FC3A07">
        <w:rPr>
          <w:rFonts w:ascii="Arial" w:hAnsi="Arial" w:cs="Arial"/>
          <w:i/>
          <w:sz w:val="20"/>
        </w:rPr>
        <w:t>et al.,</w:t>
      </w:r>
      <w:r w:rsidRPr="00FC3A07">
        <w:rPr>
          <w:rFonts w:ascii="Arial" w:hAnsi="Arial" w:cs="Arial"/>
          <w:sz w:val="20"/>
        </w:rPr>
        <w:t xml:space="preserve"> 2021; Srivastava </w:t>
      </w:r>
      <w:r w:rsidRPr="00FC3A07">
        <w:rPr>
          <w:rFonts w:ascii="Arial" w:hAnsi="Arial" w:cs="Arial"/>
          <w:i/>
          <w:sz w:val="20"/>
        </w:rPr>
        <w:t>et al.,</w:t>
      </w:r>
      <w:r w:rsidRPr="00FC3A07">
        <w:rPr>
          <w:rFonts w:ascii="Arial" w:hAnsi="Arial" w:cs="Arial"/>
          <w:sz w:val="20"/>
        </w:rPr>
        <w:t xml:space="preserve"> 2021).</w:t>
      </w:r>
    </w:p>
    <w:p w:rsidR="00802887" w:rsidRPr="00F70D33" w:rsidRDefault="00802887" w:rsidP="00802887">
      <w:pPr>
        <w:pStyle w:val="NormalWeb"/>
        <w:jc w:val="both"/>
        <w:rPr>
          <w:rFonts w:ascii="Arial" w:hAnsi="Arial" w:cs="Arial"/>
          <w:sz w:val="20"/>
        </w:rPr>
      </w:pPr>
      <w:r w:rsidRPr="005472D3">
        <w:rPr>
          <w:rFonts w:ascii="Arial" w:hAnsi="Arial" w:cs="Arial"/>
          <w:sz w:val="20"/>
        </w:rPr>
        <w:t xml:space="preserve">Recent studies have spotlighted </w:t>
      </w:r>
      <w:proofErr w:type="spellStart"/>
      <w:r w:rsidRPr="005472D3">
        <w:rPr>
          <w:rFonts w:ascii="Arial" w:hAnsi="Arial" w:cs="Arial"/>
          <w:sz w:val="20"/>
        </w:rPr>
        <w:t>Tasar</w:t>
      </w:r>
      <w:proofErr w:type="spellEnd"/>
      <w:r w:rsidRPr="005472D3">
        <w:rPr>
          <w:rFonts w:ascii="Arial" w:hAnsi="Arial" w:cs="Arial"/>
          <w:sz w:val="20"/>
        </w:rPr>
        <w:t xml:space="preserve"> pupal oil (TPO) as a potent source of omega-3 fatty acids, with ALA levels </w:t>
      </w:r>
      <w:r w:rsidRPr="00F70D33">
        <w:rPr>
          <w:rFonts w:ascii="Arial" w:hAnsi="Arial" w:cs="Arial"/>
          <w:sz w:val="20"/>
        </w:rPr>
        <w:t xml:space="preserve">reaching up to 38%. Comparative research has shown that TPO offers stronger antioxidant, antibacterial, and anticancer effects than pupal oils derived from Mulberry and other silkworm species (Srivastava </w:t>
      </w:r>
      <w:r w:rsidRPr="00F70D33">
        <w:rPr>
          <w:rFonts w:ascii="Arial" w:hAnsi="Arial" w:cs="Arial"/>
          <w:i/>
          <w:sz w:val="20"/>
        </w:rPr>
        <w:t>et al.,</w:t>
      </w:r>
      <w:r w:rsidR="00901DB3" w:rsidRPr="00F70D33">
        <w:rPr>
          <w:rFonts w:ascii="Arial" w:hAnsi="Arial" w:cs="Arial"/>
          <w:sz w:val="20"/>
        </w:rPr>
        <w:t xml:space="preserve"> 2023</w:t>
      </w:r>
      <w:r w:rsidR="005472D3" w:rsidRPr="00F70D33">
        <w:rPr>
          <w:rFonts w:ascii="Arial" w:hAnsi="Arial" w:cs="Arial"/>
          <w:sz w:val="20"/>
        </w:rPr>
        <w:t>,</w:t>
      </w:r>
      <w:r w:rsidR="00901DB3" w:rsidRPr="00F70D33">
        <w:rPr>
          <w:rFonts w:ascii="Arial" w:hAnsi="Arial" w:cs="Arial"/>
          <w:sz w:val="20"/>
        </w:rPr>
        <w:t xml:space="preserve"> 2024a</w:t>
      </w:r>
      <w:r w:rsidRPr="00F70D33">
        <w:rPr>
          <w:rFonts w:ascii="Arial" w:hAnsi="Arial" w:cs="Arial"/>
          <w:sz w:val="20"/>
        </w:rPr>
        <w:t xml:space="preserve">; </w:t>
      </w:r>
      <w:proofErr w:type="spellStart"/>
      <w:r w:rsidRPr="00F70D33">
        <w:rPr>
          <w:rFonts w:ascii="Arial" w:hAnsi="Arial" w:cs="Arial"/>
          <w:sz w:val="20"/>
        </w:rPr>
        <w:t>Ramappa</w:t>
      </w:r>
      <w:r w:rsidRPr="00F70D33">
        <w:rPr>
          <w:rFonts w:ascii="Arial" w:hAnsi="Arial" w:cs="Arial"/>
          <w:i/>
          <w:sz w:val="20"/>
        </w:rPr>
        <w:t>et</w:t>
      </w:r>
      <w:proofErr w:type="spellEnd"/>
      <w:r w:rsidRPr="00F70D33">
        <w:rPr>
          <w:rFonts w:ascii="Arial" w:hAnsi="Arial" w:cs="Arial"/>
          <w:i/>
          <w:sz w:val="20"/>
        </w:rPr>
        <w:t xml:space="preserve"> al.,</w:t>
      </w:r>
      <w:r w:rsidRPr="00F70D33">
        <w:rPr>
          <w:rFonts w:ascii="Arial" w:hAnsi="Arial" w:cs="Arial"/>
          <w:sz w:val="20"/>
        </w:rPr>
        <w:t xml:space="preserve"> 2020; </w:t>
      </w:r>
      <w:proofErr w:type="spellStart"/>
      <w:r w:rsidRPr="00F70D33">
        <w:rPr>
          <w:rFonts w:ascii="Arial" w:hAnsi="Arial" w:cs="Arial"/>
          <w:sz w:val="20"/>
        </w:rPr>
        <w:t>Yeruva</w:t>
      </w:r>
      <w:proofErr w:type="spellEnd"/>
      <w:r w:rsidRPr="00F70D33">
        <w:rPr>
          <w:rFonts w:ascii="Arial" w:hAnsi="Arial" w:cs="Arial"/>
          <w:sz w:val="20"/>
        </w:rPr>
        <w:t xml:space="preserve"> </w:t>
      </w:r>
      <w:r w:rsidRPr="00F70D33">
        <w:rPr>
          <w:rFonts w:ascii="Arial" w:hAnsi="Arial" w:cs="Arial"/>
          <w:i/>
          <w:sz w:val="20"/>
        </w:rPr>
        <w:t>et al.,</w:t>
      </w:r>
      <w:r w:rsidRPr="00F70D33">
        <w:rPr>
          <w:rFonts w:ascii="Arial" w:hAnsi="Arial" w:cs="Arial"/>
          <w:sz w:val="20"/>
        </w:rPr>
        <w:t xml:space="preserve"> 2023). Additionally, silkworm pupae </w:t>
      </w:r>
      <w:r w:rsidRPr="00F70D33">
        <w:rPr>
          <w:rFonts w:ascii="Arial" w:hAnsi="Arial" w:cs="Arial"/>
          <w:sz w:val="20"/>
        </w:rPr>
        <w:lastRenderedPageBreak/>
        <w:t xml:space="preserve">are universally rich in vital nutrients like proteins, vitamins, and minerals, making pupal oil a safe candidate for human dietary use (Mahanta </w:t>
      </w:r>
      <w:r w:rsidRPr="00F70D33">
        <w:rPr>
          <w:rFonts w:ascii="Arial" w:hAnsi="Arial" w:cs="Arial"/>
          <w:i/>
          <w:sz w:val="20"/>
        </w:rPr>
        <w:t>et al.,</w:t>
      </w:r>
      <w:r w:rsidRPr="00F70D33">
        <w:rPr>
          <w:rFonts w:ascii="Arial" w:hAnsi="Arial" w:cs="Arial"/>
          <w:sz w:val="20"/>
        </w:rPr>
        <w:t xml:space="preserve"> 2023; </w:t>
      </w:r>
      <w:proofErr w:type="spellStart"/>
      <w:r w:rsidRPr="00F70D33">
        <w:rPr>
          <w:rFonts w:ascii="Arial" w:hAnsi="Arial" w:cs="Arial"/>
          <w:sz w:val="20"/>
        </w:rPr>
        <w:t>Susirirut</w:t>
      </w:r>
      <w:r w:rsidRPr="00F70D33">
        <w:rPr>
          <w:rFonts w:ascii="Arial" w:hAnsi="Arial" w:cs="Arial"/>
          <w:i/>
          <w:sz w:val="20"/>
        </w:rPr>
        <w:t>et</w:t>
      </w:r>
      <w:proofErr w:type="spellEnd"/>
      <w:r w:rsidRPr="00F70D33">
        <w:rPr>
          <w:rFonts w:ascii="Arial" w:hAnsi="Arial" w:cs="Arial"/>
          <w:i/>
          <w:sz w:val="20"/>
        </w:rPr>
        <w:t xml:space="preserve"> al.,</w:t>
      </w:r>
      <w:r w:rsidRPr="00F70D33">
        <w:rPr>
          <w:rFonts w:ascii="Arial" w:hAnsi="Arial" w:cs="Arial"/>
          <w:sz w:val="20"/>
        </w:rPr>
        <w:t xml:space="preserve"> 2023).</w:t>
      </w:r>
    </w:p>
    <w:p w:rsidR="00802887" w:rsidRPr="005472D3" w:rsidRDefault="00802887" w:rsidP="00802887">
      <w:pPr>
        <w:pStyle w:val="NormalWeb"/>
        <w:jc w:val="both"/>
        <w:rPr>
          <w:rFonts w:ascii="Arial" w:hAnsi="Arial" w:cs="Arial"/>
          <w:sz w:val="20"/>
        </w:rPr>
      </w:pPr>
      <w:r w:rsidRPr="00F70D33">
        <w:rPr>
          <w:rFonts w:ascii="Arial" w:hAnsi="Arial" w:cs="Arial"/>
          <w:sz w:val="20"/>
        </w:rPr>
        <w:t>Advanced analytical techniques such as refractometry, NMR spectroscopy, and rheological assessments have been used to study TPO, confirming the presence of bioactive compounds like ste</w:t>
      </w:r>
      <w:r w:rsidR="002A52A3" w:rsidRPr="00F70D33">
        <w:rPr>
          <w:rFonts w:ascii="Arial" w:hAnsi="Arial" w:cs="Arial"/>
          <w:sz w:val="20"/>
        </w:rPr>
        <w:t>aric acid and linolenic chains</w:t>
      </w:r>
      <w:r w:rsidRPr="00F70D33">
        <w:rPr>
          <w:rFonts w:ascii="Arial" w:hAnsi="Arial" w:cs="Arial"/>
          <w:sz w:val="20"/>
        </w:rPr>
        <w:t xml:space="preserve"> key to its health-promoting e</w:t>
      </w:r>
      <w:r w:rsidR="00FD5A8C" w:rsidRPr="00F70D33">
        <w:rPr>
          <w:rFonts w:ascii="Arial" w:hAnsi="Arial" w:cs="Arial"/>
          <w:sz w:val="20"/>
        </w:rPr>
        <w:t xml:space="preserve">ffects (Srivastava </w:t>
      </w:r>
      <w:r w:rsidR="00FD5A8C" w:rsidRPr="00F70D33">
        <w:rPr>
          <w:rFonts w:ascii="Arial" w:hAnsi="Arial" w:cs="Arial"/>
          <w:i/>
          <w:sz w:val="20"/>
        </w:rPr>
        <w:t>et al.,</w:t>
      </w:r>
      <w:r w:rsidR="00FD5A8C" w:rsidRPr="00F70D33">
        <w:rPr>
          <w:rFonts w:ascii="Arial" w:hAnsi="Arial" w:cs="Arial"/>
          <w:sz w:val="20"/>
        </w:rPr>
        <w:t xml:space="preserve"> 2024</w:t>
      </w:r>
      <w:r w:rsidR="00901DB3" w:rsidRPr="00F70D33">
        <w:rPr>
          <w:rFonts w:ascii="Arial" w:hAnsi="Arial" w:cs="Arial"/>
          <w:sz w:val="20"/>
        </w:rPr>
        <w:t>b</w:t>
      </w:r>
      <w:r w:rsidRPr="00F70D33">
        <w:rPr>
          <w:rFonts w:ascii="Arial" w:hAnsi="Arial" w:cs="Arial"/>
          <w:sz w:val="20"/>
        </w:rPr>
        <w:t>). However</w:t>
      </w:r>
      <w:r w:rsidRPr="005472D3">
        <w:rPr>
          <w:rFonts w:ascii="Arial" w:hAnsi="Arial" w:cs="Arial"/>
          <w:sz w:val="20"/>
        </w:rPr>
        <w:t xml:space="preserve">, research examining the medicinal efficacy of TPO, especially in diseases like diabetes, remains limited, underscoring the need for further </w:t>
      </w:r>
      <w:proofErr w:type="spellStart"/>
      <w:proofErr w:type="gramStart"/>
      <w:r w:rsidRPr="005472D3">
        <w:rPr>
          <w:rFonts w:ascii="Arial" w:hAnsi="Arial" w:cs="Arial"/>
          <w:sz w:val="20"/>
        </w:rPr>
        <w:t>investigation.This</w:t>
      </w:r>
      <w:proofErr w:type="spellEnd"/>
      <w:proofErr w:type="gramEnd"/>
      <w:r w:rsidRPr="005472D3">
        <w:rPr>
          <w:rFonts w:ascii="Arial" w:hAnsi="Arial" w:cs="Arial"/>
          <w:sz w:val="20"/>
        </w:rPr>
        <w:t xml:space="preserve"> review endeavors to provide an in-depth overview of </w:t>
      </w:r>
      <w:proofErr w:type="spellStart"/>
      <w:r w:rsidRPr="005472D3">
        <w:rPr>
          <w:rFonts w:ascii="Arial" w:hAnsi="Arial" w:cs="Arial"/>
          <w:sz w:val="20"/>
        </w:rPr>
        <w:t>Tasar</w:t>
      </w:r>
      <w:proofErr w:type="spellEnd"/>
      <w:r w:rsidRPr="005472D3">
        <w:rPr>
          <w:rFonts w:ascii="Arial" w:hAnsi="Arial" w:cs="Arial"/>
          <w:sz w:val="20"/>
        </w:rPr>
        <w:t xml:space="preserve"> pupal oil, focusing on its biological source, extraction methods, biochemical profile, and therapeutic benefits. It also highlights its advantages over other silkworm pupal oils and explores its potential applications in the food, pharmaceutical, and personal care industries.</w:t>
      </w:r>
    </w:p>
    <w:p w:rsidR="008B12F5"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PROXIMATE AND BIOCHEMICAL COMPOSITION OF TASAR PUPAE</w:t>
      </w:r>
    </w:p>
    <w:p w:rsidR="008B12F5" w:rsidRPr="00285245" w:rsidRDefault="008B12F5" w:rsidP="008B12F5">
      <w:pPr>
        <w:pStyle w:val="NormalWeb"/>
        <w:jc w:val="both"/>
        <w:rPr>
          <w:rFonts w:ascii="Arial" w:hAnsi="Arial" w:cs="Arial"/>
          <w:sz w:val="20"/>
        </w:rPr>
      </w:pPr>
      <w:r w:rsidRPr="005472D3">
        <w:rPr>
          <w:rFonts w:ascii="Arial" w:hAnsi="Arial" w:cs="Arial"/>
          <w:sz w:val="20"/>
        </w:rPr>
        <w:t xml:space="preserve">The proximate composition of </w:t>
      </w:r>
      <w:proofErr w:type="spellStart"/>
      <w:r w:rsidRPr="005472D3">
        <w:rPr>
          <w:rFonts w:ascii="Arial" w:hAnsi="Arial" w:cs="Arial"/>
          <w:i/>
          <w:sz w:val="20"/>
        </w:rPr>
        <w:t>Antheraea</w:t>
      </w:r>
      <w:proofErr w:type="spellEnd"/>
      <w:r w:rsidRPr="005472D3">
        <w:rPr>
          <w:rFonts w:ascii="Arial" w:hAnsi="Arial" w:cs="Arial"/>
          <w:i/>
          <w:sz w:val="20"/>
        </w:rPr>
        <w:t xml:space="preserve"> </w:t>
      </w:r>
      <w:proofErr w:type="spellStart"/>
      <w:r w:rsidRPr="005472D3">
        <w:rPr>
          <w:rFonts w:ascii="Arial" w:hAnsi="Arial" w:cs="Arial"/>
          <w:i/>
          <w:sz w:val="20"/>
        </w:rPr>
        <w:t>mylitta</w:t>
      </w:r>
      <w:proofErr w:type="spellEnd"/>
      <w:r w:rsidRPr="005472D3">
        <w:rPr>
          <w:rFonts w:ascii="Arial" w:hAnsi="Arial" w:cs="Arial"/>
          <w:sz w:val="20"/>
        </w:rPr>
        <w:t xml:space="preserve"> pupae underscores their significant nutritional and industrial potential</w:t>
      </w:r>
      <w:r w:rsidR="005472D3" w:rsidRPr="005472D3">
        <w:rPr>
          <w:rFonts w:ascii="Arial" w:hAnsi="Arial" w:cs="Arial"/>
          <w:sz w:val="20"/>
        </w:rPr>
        <w:t xml:space="preserve"> (Table 1)</w:t>
      </w:r>
      <w:r w:rsidRPr="005472D3">
        <w:rPr>
          <w:rFonts w:ascii="Arial" w:hAnsi="Arial" w:cs="Arial"/>
          <w:sz w:val="20"/>
        </w:rPr>
        <w:t>. Proximate analysis offers critical insight into the nutritional makeup and gross energy values of feed ingredients and functional food sources (</w:t>
      </w:r>
      <w:r w:rsidRPr="00285245">
        <w:rPr>
          <w:rFonts w:ascii="Arial" w:hAnsi="Arial" w:cs="Arial"/>
          <w:sz w:val="20"/>
        </w:rPr>
        <w:t>Jobling, 2001</w:t>
      </w:r>
      <w:r w:rsidRPr="005472D3">
        <w:rPr>
          <w:rFonts w:ascii="Arial" w:hAnsi="Arial" w:cs="Arial"/>
          <w:sz w:val="20"/>
        </w:rPr>
        <w:t xml:space="preserve">). </w:t>
      </w:r>
      <w:r w:rsidRPr="005472D3">
        <w:rPr>
          <w:rFonts w:ascii="Arial" w:hAnsi="Arial" w:cs="Arial"/>
          <w:i/>
          <w:sz w:val="20"/>
        </w:rPr>
        <w:t xml:space="preserve">A. </w:t>
      </w:r>
      <w:proofErr w:type="spellStart"/>
      <w:r w:rsidRPr="005472D3">
        <w:rPr>
          <w:rFonts w:ascii="Arial" w:hAnsi="Arial" w:cs="Arial"/>
          <w:i/>
          <w:sz w:val="20"/>
        </w:rPr>
        <w:t>mylitta</w:t>
      </w:r>
      <w:proofErr w:type="spellEnd"/>
      <w:r w:rsidRPr="005472D3">
        <w:rPr>
          <w:rFonts w:ascii="Arial" w:hAnsi="Arial" w:cs="Arial"/>
          <w:sz w:val="20"/>
        </w:rPr>
        <w:t xml:space="preserve"> pupae exhibit an impressive crude protein content of 60.67% on a dry weight basis (</w:t>
      </w:r>
      <w:r w:rsidRPr="00285245">
        <w:rPr>
          <w:rFonts w:ascii="Arial" w:hAnsi="Arial" w:cs="Arial"/>
          <w:sz w:val="20"/>
        </w:rPr>
        <w:t>Ananta e</w:t>
      </w:r>
      <w:r w:rsidRPr="00285245">
        <w:rPr>
          <w:rFonts w:ascii="Arial" w:hAnsi="Arial" w:cs="Arial"/>
          <w:i/>
          <w:sz w:val="20"/>
        </w:rPr>
        <w:t>t al.,</w:t>
      </w:r>
      <w:r w:rsidRPr="00285245">
        <w:rPr>
          <w:rFonts w:ascii="Arial" w:hAnsi="Arial" w:cs="Arial"/>
          <w:sz w:val="20"/>
        </w:rPr>
        <w:t xml:space="preserve">2023), comparable to </w:t>
      </w:r>
      <w:proofErr w:type="spellStart"/>
      <w:r w:rsidRPr="00285245">
        <w:rPr>
          <w:rFonts w:ascii="Arial" w:hAnsi="Arial" w:cs="Arial"/>
          <w:sz w:val="20"/>
        </w:rPr>
        <w:t>Muga</w:t>
      </w:r>
      <w:proofErr w:type="spellEnd"/>
      <w:r w:rsidRPr="00285245">
        <w:rPr>
          <w:rFonts w:ascii="Arial" w:hAnsi="Arial" w:cs="Arial"/>
          <w:sz w:val="20"/>
        </w:rPr>
        <w:t xml:space="preserve"> (59.66%) and </w:t>
      </w:r>
      <w:r w:rsidRPr="00285245">
        <w:rPr>
          <w:rFonts w:ascii="Arial" w:hAnsi="Arial" w:cs="Arial"/>
          <w:i/>
          <w:sz w:val="20"/>
        </w:rPr>
        <w:t>Bombyx mori</w:t>
      </w:r>
      <w:r w:rsidR="00285245">
        <w:rPr>
          <w:rFonts w:ascii="Arial" w:hAnsi="Arial" w:cs="Arial"/>
          <w:sz w:val="20"/>
        </w:rPr>
        <w:t xml:space="preserve"> (60.7%) (</w:t>
      </w:r>
      <w:proofErr w:type="spellStart"/>
      <w:r w:rsidR="00285245">
        <w:rPr>
          <w:rFonts w:ascii="Arial" w:hAnsi="Arial" w:cs="Arial"/>
          <w:sz w:val="20"/>
        </w:rPr>
        <w:t>Bandy</w:t>
      </w:r>
      <w:r w:rsidRPr="00285245">
        <w:rPr>
          <w:rFonts w:ascii="Arial" w:hAnsi="Arial" w:cs="Arial"/>
          <w:i/>
          <w:sz w:val="20"/>
        </w:rPr>
        <w:t>et</w:t>
      </w:r>
      <w:proofErr w:type="spellEnd"/>
      <w:r w:rsidRPr="00285245">
        <w:rPr>
          <w:rFonts w:ascii="Arial" w:hAnsi="Arial" w:cs="Arial"/>
          <w:i/>
          <w:sz w:val="20"/>
        </w:rPr>
        <w:t xml:space="preserve"> al.,</w:t>
      </w:r>
      <w:r w:rsidR="00285245">
        <w:rPr>
          <w:rFonts w:ascii="Arial" w:hAnsi="Arial" w:cs="Arial"/>
          <w:sz w:val="20"/>
        </w:rPr>
        <w:t xml:space="preserve"> 2023</w:t>
      </w:r>
      <w:r w:rsidRPr="00285245">
        <w:rPr>
          <w:rFonts w:ascii="Arial" w:hAnsi="Arial" w:cs="Arial"/>
          <w:sz w:val="20"/>
        </w:rPr>
        <w:t xml:space="preserve">; Sheikh </w:t>
      </w:r>
      <w:r w:rsidRPr="00285245">
        <w:rPr>
          <w:rFonts w:ascii="Arial" w:hAnsi="Arial" w:cs="Arial"/>
          <w:i/>
          <w:sz w:val="20"/>
        </w:rPr>
        <w:t>et al.,</w:t>
      </w:r>
      <w:r w:rsidRPr="00285245">
        <w:rPr>
          <w:rFonts w:ascii="Arial" w:hAnsi="Arial" w:cs="Arial"/>
          <w:sz w:val="20"/>
        </w:rPr>
        <w:t xml:space="preserve"> 2018). </w:t>
      </w:r>
      <w:r w:rsidRPr="00885250">
        <w:rPr>
          <w:rFonts w:ascii="Arial" w:hAnsi="Arial" w:cs="Arial"/>
          <w:sz w:val="20"/>
          <w:highlight w:val="yellow"/>
        </w:rPr>
        <w:t>Such high protein content is indicative of its role as a promising alternative pro</w:t>
      </w:r>
      <w:r w:rsidR="00885250" w:rsidRPr="00885250">
        <w:rPr>
          <w:rFonts w:ascii="Arial" w:hAnsi="Arial" w:cs="Arial"/>
          <w:sz w:val="20"/>
          <w:highlight w:val="yellow"/>
        </w:rPr>
        <w:t>tein supplement, comparable to</w:t>
      </w:r>
      <w:r w:rsidRPr="00885250">
        <w:rPr>
          <w:rFonts w:ascii="Arial" w:hAnsi="Arial" w:cs="Arial"/>
          <w:sz w:val="20"/>
          <w:highlight w:val="yellow"/>
        </w:rPr>
        <w:t xml:space="preserve"> several edible insects, including </w:t>
      </w:r>
      <w:proofErr w:type="spellStart"/>
      <w:r w:rsidRPr="00885250">
        <w:rPr>
          <w:rFonts w:ascii="Arial" w:hAnsi="Arial" w:cs="Arial"/>
          <w:i/>
          <w:sz w:val="20"/>
          <w:highlight w:val="yellow"/>
        </w:rPr>
        <w:t>Gonimbrasia</w:t>
      </w:r>
      <w:proofErr w:type="spellEnd"/>
      <w:r w:rsidRPr="00885250">
        <w:rPr>
          <w:rFonts w:ascii="Arial" w:hAnsi="Arial" w:cs="Arial"/>
          <w:sz w:val="20"/>
          <w:highlight w:val="yellow"/>
        </w:rPr>
        <w:t xml:space="preserve"> species (79%) (Ramos-</w:t>
      </w:r>
      <w:proofErr w:type="spellStart"/>
      <w:r w:rsidRPr="00885250">
        <w:rPr>
          <w:rFonts w:ascii="Arial" w:hAnsi="Arial" w:cs="Arial"/>
          <w:sz w:val="20"/>
          <w:highlight w:val="yellow"/>
        </w:rPr>
        <w:t>Elorduy</w:t>
      </w:r>
      <w:r w:rsidRPr="00885250">
        <w:rPr>
          <w:rFonts w:ascii="Arial" w:hAnsi="Arial" w:cs="Arial"/>
          <w:i/>
          <w:sz w:val="20"/>
          <w:highlight w:val="yellow"/>
        </w:rPr>
        <w:t>et</w:t>
      </w:r>
      <w:proofErr w:type="spellEnd"/>
      <w:r w:rsidRPr="00885250">
        <w:rPr>
          <w:rFonts w:ascii="Arial" w:hAnsi="Arial" w:cs="Arial"/>
          <w:i/>
          <w:sz w:val="20"/>
          <w:highlight w:val="yellow"/>
        </w:rPr>
        <w:t xml:space="preserve"> al.,</w:t>
      </w:r>
      <w:r w:rsidRPr="00885250">
        <w:rPr>
          <w:rFonts w:ascii="Arial" w:hAnsi="Arial" w:cs="Arial"/>
          <w:sz w:val="20"/>
          <w:highlight w:val="yellow"/>
        </w:rPr>
        <w:t xml:space="preserve"> 1997).</w:t>
      </w:r>
    </w:p>
    <w:p w:rsidR="008B12F5" w:rsidRPr="005472D3" w:rsidRDefault="008B12F5" w:rsidP="008B12F5">
      <w:pPr>
        <w:pStyle w:val="NormalWeb"/>
        <w:jc w:val="both"/>
        <w:rPr>
          <w:rFonts w:ascii="Arial" w:hAnsi="Arial" w:cs="Arial"/>
          <w:sz w:val="20"/>
        </w:rPr>
      </w:pPr>
      <w:r w:rsidRPr="00285245">
        <w:rPr>
          <w:rFonts w:ascii="Arial" w:hAnsi="Arial" w:cs="Arial"/>
          <w:sz w:val="20"/>
        </w:rPr>
        <w:t xml:space="preserve">Moisture content in </w:t>
      </w:r>
      <w:proofErr w:type="spellStart"/>
      <w:r w:rsidRPr="00285245">
        <w:rPr>
          <w:rFonts w:ascii="Arial" w:hAnsi="Arial" w:cs="Arial"/>
          <w:sz w:val="20"/>
        </w:rPr>
        <w:t>Tasar</w:t>
      </w:r>
      <w:proofErr w:type="spellEnd"/>
      <w:r w:rsidRPr="00285245">
        <w:rPr>
          <w:rFonts w:ascii="Arial" w:hAnsi="Arial" w:cs="Arial"/>
          <w:sz w:val="20"/>
        </w:rPr>
        <w:t xml:space="preserve"> pupae was 11.23%, slightly exceeding that of </w:t>
      </w:r>
      <w:r w:rsidRPr="00285245">
        <w:rPr>
          <w:rFonts w:ascii="Arial" w:hAnsi="Arial" w:cs="Arial"/>
          <w:i/>
          <w:sz w:val="20"/>
        </w:rPr>
        <w:t>B. mori</w:t>
      </w:r>
      <w:r w:rsidRPr="00285245">
        <w:rPr>
          <w:rFonts w:ascii="Arial" w:hAnsi="Arial" w:cs="Arial"/>
          <w:sz w:val="20"/>
        </w:rPr>
        <w:t xml:space="preserve"> pupae (7.18%) (Bose and Mazumdar, 1990), yet remaining within limits conducive for drying and oil extraction. The total ash content, reflecting mineral presence, was found to be </w:t>
      </w:r>
      <w:r w:rsidR="005570AE" w:rsidRPr="00285245">
        <w:rPr>
          <w:rFonts w:ascii="Arial" w:hAnsi="Arial" w:cs="Arial"/>
          <w:sz w:val="20"/>
        </w:rPr>
        <w:t xml:space="preserve">5.1%, marginally below that of </w:t>
      </w:r>
      <w:r w:rsidR="005570AE" w:rsidRPr="00285245">
        <w:rPr>
          <w:rFonts w:ascii="Arial" w:hAnsi="Arial" w:cs="Arial"/>
          <w:i/>
          <w:sz w:val="20"/>
        </w:rPr>
        <w:t xml:space="preserve">B. </w:t>
      </w:r>
      <w:proofErr w:type="gramStart"/>
      <w:r w:rsidR="005570AE" w:rsidRPr="00285245">
        <w:rPr>
          <w:rFonts w:ascii="Arial" w:hAnsi="Arial" w:cs="Arial"/>
          <w:i/>
          <w:sz w:val="20"/>
        </w:rPr>
        <w:t>mori</w:t>
      </w:r>
      <w:r w:rsidR="005570AE" w:rsidRPr="00285245">
        <w:rPr>
          <w:rFonts w:ascii="Arial" w:hAnsi="Arial" w:cs="Arial"/>
          <w:sz w:val="20"/>
        </w:rPr>
        <w:t>(</w:t>
      </w:r>
      <w:proofErr w:type="gramEnd"/>
      <w:r w:rsidRPr="00285245">
        <w:rPr>
          <w:rFonts w:ascii="Arial" w:hAnsi="Arial" w:cs="Arial"/>
          <w:sz w:val="20"/>
        </w:rPr>
        <w:t>5.8%</w:t>
      </w:r>
      <w:r w:rsidR="005570AE" w:rsidRPr="00285245">
        <w:rPr>
          <w:rFonts w:ascii="Arial" w:hAnsi="Arial" w:cs="Arial"/>
          <w:sz w:val="20"/>
        </w:rPr>
        <w:t>)</w:t>
      </w:r>
      <w:r w:rsidRPr="00285245">
        <w:rPr>
          <w:rFonts w:ascii="Arial" w:hAnsi="Arial" w:cs="Arial"/>
          <w:sz w:val="20"/>
        </w:rPr>
        <w:t xml:space="preserve"> (Sheikh </w:t>
      </w:r>
      <w:r w:rsidRPr="00285245">
        <w:rPr>
          <w:rFonts w:ascii="Arial" w:hAnsi="Arial" w:cs="Arial"/>
          <w:i/>
          <w:sz w:val="20"/>
        </w:rPr>
        <w:t>et al.,</w:t>
      </w:r>
      <w:r w:rsidRPr="00285245">
        <w:rPr>
          <w:rFonts w:ascii="Arial" w:hAnsi="Arial" w:cs="Arial"/>
          <w:sz w:val="20"/>
        </w:rPr>
        <w:t xml:space="preserve"> 2018), and consistent with insect by-product standards (Rashmi </w:t>
      </w:r>
      <w:r w:rsidRPr="00285245">
        <w:rPr>
          <w:rFonts w:ascii="Arial" w:hAnsi="Arial" w:cs="Arial"/>
          <w:i/>
          <w:sz w:val="20"/>
        </w:rPr>
        <w:t>et al.,</w:t>
      </w:r>
      <w:r w:rsidRPr="00285245">
        <w:rPr>
          <w:rFonts w:ascii="Arial" w:hAnsi="Arial" w:cs="Arial"/>
          <w:sz w:val="20"/>
        </w:rPr>
        <w:t xml:space="preserve"> 2023). The lipid content of </w:t>
      </w:r>
      <w:proofErr w:type="spellStart"/>
      <w:r w:rsidRPr="00285245">
        <w:rPr>
          <w:rFonts w:ascii="Arial" w:hAnsi="Arial" w:cs="Arial"/>
          <w:sz w:val="20"/>
        </w:rPr>
        <w:t>Tasar</w:t>
      </w:r>
      <w:proofErr w:type="spellEnd"/>
      <w:r w:rsidRPr="00285245">
        <w:rPr>
          <w:rFonts w:ascii="Arial" w:hAnsi="Arial" w:cs="Arial"/>
          <w:sz w:val="20"/>
        </w:rPr>
        <w:t xml:space="preserve"> pupae, recorded at 23.83%, falls within the range of 25.75% to 32.2% reported for </w:t>
      </w:r>
      <w:r w:rsidRPr="00285245">
        <w:rPr>
          <w:rFonts w:ascii="Arial" w:hAnsi="Arial" w:cs="Arial"/>
          <w:i/>
          <w:sz w:val="20"/>
        </w:rPr>
        <w:t>B. mori</w:t>
      </w:r>
      <w:r w:rsidRPr="00285245">
        <w:rPr>
          <w:rFonts w:ascii="Arial" w:hAnsi="Arial" w:cs="Arial"/>
          <w:sz w:val="20"/>
        </w:rPr>
        <w:t xml:space="preserve"> pupae (Bose and Mazumdar, 1990; </w:t>
      </w:r>
      <w:proofErr w:type="spellStart"/>
      <w:r w:rsidRPr="00285245">
        <w:rPr>
          <w:rFonts w:ascii="Arial" w:hAnsi="Arial" w:cs="Arial"/>
          <w:sz w:val="20"/>
        </w:rPr>
        <w:t>Tomotake</w:t>
      </w:r>
      <w:r w:rsidRPr="00285245">
        <w:rPr>
          <w:rFonts w:ascii="Arial" w:hAnsi="Arial" w:cs="Arial"/>
          <w:i/>
          <w:sz w:val="20"/>
        </w:rPr>
        <w:t>et</w:t>
      </w:r>
      <w:proofErr w:type="spellEnd"/>
      <w:r w:rsidRPr="00285245">
        <w:rPr>
          <w:rFonts w:ascii="Arial" w:hAnsi="Arial" w:cs="Arial"/>
          <w:i/>
          <w:sz w:val="20"/>
        </w:rPr>
        <w:t xml:space="preserve"> al.,</w:t>
      </w:r>
      <w:r w:rsidRPr="00285245">
        <w:rPr>
          <w:rFonts w:ascii="Arial" w:hAnsi="Arial" w:cs="Arial"/>
          <w:sz w:val="20"/>
        </w:rPr>
        <w:t xml:space="preserve"> 2010). Lipidomic analysis shows high levels of palmitic acid (6.57 mg/g), stearic acid (1.68 mg/g), and alpha-linolenic acid (0.51 mg/g), confirming its potential as a source of essential fatty acids. Importantly, the saturated fat levels were well within the permissible dietary limits recommended by the Dietary Guidelines Advisory Committee (1977), which recommends keeping saturated fat intake below 10% of total caloric intake to minimize cardiovascular risk (</w:t>
      </w:r>
      <w:proofErr w:type="spellStart"/>
      <w:r w:rsidRPr="00285245">
        <w:rPr>
          <w:rFonts w:ascii="Arial" w:hAnsi="Arial" w:cs="Arial"/>
          <w:sz w:val="20"/>
        </w:rPr>
        <w:t>Astrup</w:t>
      </w:r>
      <w:proofErr w:type="spellEnd"/>
      <w:r w:rsidRPr="00285245">
        <w:rPr>
          <w:rFonts w:ascii="Arial" w:hAnsi="Arial" w:cs="Arial"/>
          <w:sz w:val="20"/>
        </w:rPr>
        <w:t xml:space="preserve"> </w:t>
      </w:r>
      <w:r w:rsidRPr="00285245">
        <w:rPr>
          <w:rFonts w:ascii="Arial" w:hAnsi="Arial" w:cs="Arial"/>
          <w:i/>
          <w:sz w:val="20"/>
        </w:rPr>
        <w:t>et al.,</w:t>
      </w:r>
      <w:r w:rsidRPr="00285245">
        <w:rPr>
          <w:rFonts w:ascii="Arial" w:hAnsi="Arial" w:cs="Arial"/>
          <w:sz w:val="20"/>
        </w:rPr>
        <w:t xml:space="preserve"> 2020).</w:t>
      </w:r>
    </w:p>
    <w:p w:rsidR="005570AE" w:rsidRPr="005472D3" w:rsidRDefault="005570AE" w:rsidP="008B12F5">
      <w:pPr>
        <w:pStyle w:val="NormalWeb"/>
        <w:jc w:val="both"/>
        <w:rPr>
          <w:rFonts w:ascii="Arial" w:hAnsi="Arial" w:cs="Arial"/>
          <w:b/>
          <w:sz w:val="20"/>
          <w:szCs w:val="20"/>
        </w:rPr>
      </w:pPr>
      <w:r w:rsidRPr="005472D3">
        <w:rPr>
          <w:rFonts w:ascii="Arial" w:hAnsi="Arial" w:cs="Arial"/>
          <w:b/>
          <w:sz w:val="20"/>
          <w:szCs w:val="20"/>
        </w:rPr>
        <w:t>Table 1. Comparative Proximate Composition of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843"/>
        <w:gridCol w:w="1843"/>
        <w:gridCol w:w="1701"/>
        <w:gridCol w:w="2126"/>
      </w:tblGrid>
      <w:tr w:rsidR="008B12F5" w:rsidRPr="005472D3" w:rsidTr="008E6494">
        <w:tc>
          <w:tcPr>
            <w:tcW w:w="1951" w:type="dxa"/>
            <w:tcBorders>
              <w:top w:val="single" w:sz="4" w:space="0" w:color="auto"/>
              <w:bottom w:val="single" w:sz="4" w:space="0" w:color="auto"/>
            </w:tcBorders>
          </w:tcPr>
          <w:p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Proximate components</w:t>
            </w:r>
          </w:p>
        </w:tc>
        <w:tc>
          <w:tcPr>
            <w:tcW w:w="1843" w:type="dxa"/>
            <w:tcBorders>
              <w:top w:val="single" w:sz="4" w:space="0" w:color="auto"/>
              <w:bottom w:val="single" w:sz="4" w:space="0" w:color="auto"/>
            </w:tcBorders>
          </w:tcPr>
          <w:p w:rsidR="008B12F5" w:rsidRPr="005472D3" w:rsidRDefault="008B12F5" w:rsidP="005472D3">
            <w:pPr>
              <w:pStyle w:val="NormalWeb"/>
              <w:spacing w:line="480" w:lineRule="auto"/>
              <w:jc w:val="both"/>
              <w:rPr>
                <w:rFonts w:ascii="Arial" w:hAnsi="Arial" w:cs="Arial"/>
                <w:b/>
                <w:sz w:val="20"/>
                <w:szCs w:val="20"/>
              </w:rPr>
            </w:pPr>
            <w:proofErr w:type="spellStart"/>
            <w:r w:rsidRPr="005472D3">
              <w:rPr>
                <w:rFonts w:ascii="Arial" w:hAnsi="Arial" w:cs="Arial"/>
                <w:b/>
                <w:sz w:val="20"/>
                <w:szCs w:val="20"/>
              </w:rPr>
              <w:t>Tasar</w:t>
            </w:r>
            <w:proofErr w:type="spellEnd"/>
          </w:p>
        </w:tc>
        <w:tc>
          <w:tcPr>
            <w:tcW w:w="1843" w:type="dxa"/>
            <w:tcBorders>
              <w:top w:val="single" w:sz="4" w:space="0" w:color="auto"/>
              <w:bottom w:val="single" w:sz="4" w:space="0" w:color="auto"/>
            </w:tcBorders>
          </w:tcPr>
          <w:p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Mulberry</w:t>
            </w:r>
          </w:p>
        </w:tc>
        <w:tc>
          <w:tcPr>
            <w:tcW w:w="1701" w:type="dxa"/>
            <w:tcBorders>
              <w:top w:val="single" w:sz="4" w:space="0" w:color="auto"/>
              <w:bottom w:val="single" w:sz="4" w:space="0" w:color="auto"/>
            </w:tcBorders>
          </w:tcPr>
          <w:p w:rsidR="008B12F5" w:rsidRPr="005472D3" w:rsidRDefault="008B12F5" w:rsidP="005472D3">
            <w:pPr>
              <w:pStyle w:val="NormalWeb"/>
              <w:spacing w:line="480" w:lineRule="auto"/>
              <w:jc w:val="both"/>
              <w:rPr>
                <w:rFonts w:ascii="Arial" w:hAnsi="Arial" w:cs="Arial"/>
                <w:b/>
                <w:sz w:val="20"/>
                <w:szCs w:val="20"/>
              </w:rPr>
            </w:pPr>
            <w:proofErr w:type="spellStart"/>
            <w:r w:rsidRPr="005472D3">
              <w:rPr>
                <w:rFonts w:ascii="Arial" w:hAnsi="Arial" w:cs="Arial"/>
                <w:b/>
                <w:sz w:val="20"/>
                <w:szCs w:val="20"/>
              </w:rPr>
              <w:t>Muga</w:t>
            </w:r>
            <w:proofErr w:type="spellEnd"/>
          </w:p>
        </w:tc>
        <w:tc>
          <w:tcPr>
            <w:tcW w:w="2126" w:type="dxa"/>
            <w:tcBorders>
              <w:top w:val="single" w:sz="4" w:space="0" w:color="auto"/>
              <w:bottom w:val="single" w:sz="4" w:space="0" w:color="auto"/>
            </w:tcBorders>
          </w:tcPr>
          <w:p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Eri</w:t>
            </w:r>
          </w:p>
        </w:tc>
      </w:tr>
      <w:tr w:rsidR="008B12F5" w:rsidRPr="005472D3" w:rsidTr="008E6494">
        <w:tc>
          <w:tcPr>
            <w:tcW w:w="1951" w:type="dxa"/>
            <w:tcBorders>
              <w:top w:val="single" w:sz="4" w:space="0" w:color="auto"/>
              <w:bottom w:val="nil"/>
            </w:tcBorders>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Moisture (%)</w:t>
            </w:r>
          </w:p>
        </w:tc>
        <w:tc>
          <w:tcPr>
            <w:tcW w:w="1843" w:type="dxa"/>
            <w:tcBorders>
              <w:top w:val="single" w:sz="4" w:space="0" w:color="auto"/>
              <w:bottom w:val="nil"/>
            </w:tcBorders>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8.86-</w:t>
            </w:r>
            <w:r w:rsidR="008B12F5" w:rsidRPr="005472D3">
              <w:rPr>
                <w:rFonts w:ascii="Arial" w:hAnsi="Arial" w:cs="Arial"/>
                <w:sz w:val="20"/>
                <w:szCs w:val="20"/>
              </w:rPr>
              <w:t>11.23</w:t>
            </w:r>
          </w:p>
        </w:tc>
        <w:tc>
          <w:tcPr>
            <w:tcW w:w="1843" w:type="dxa"/>
            <w:tcBorders>
              <w:top w:val="single" w:sz="4" w:space="0" w:color="auto"/>
              <w:bottom w:val="nil"/>
            </w:tcBorders>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7.18</w:t>
            </w:r>
            <w:r w:rsidR="001A4D34" w:rsidRPr="005472D3">
              <w:rPr>
                <w:rFonts w:ascii="Arial" w:hAnsi="Arial" w:cs="Arial"/>
                <w:sz w:val="20"/>
                <w:szCs w:val="20"/>
              </w:rPr>
              <w:t>- 9.77</w:t>
            </w:r>
          </w:p>
        </w:tc>
        <w:tc>
          <w:tcPr>
            <w:tcW w:w="1701" w:type="dxa"/>
            <w:tcBorders>
              <w:top w:val="single" w:sz="4" w:space="0" w:color="auto"/>
              <w:bottom w:val="nil"/>
            </w:tcBorders>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7.</w:t>
            </w:r>
            <w:r w:rsidR="001A4D34" w:rsidRPr="005472D3">
              <w:rPr>
                <w:rFonts w:ascii="Arial" w:hAnsi="Arial" w:cs="Arial"/>
                <w:sz w:val="20"/>
                <w:szCs w:val="20"/>
              </w:rPr>
              <w:t>86</w:t>
            </w:r>
          </w:p>
        </w:tc>
        <w:tc>
          <w:tcPr>
            <w:tcW w:w="2126" w:type="dxa"/>
            <w:tcBorders>
              <w:top w:val="single" w:sz="4" w:space="0" w:color="auto"/>
              <w:bottom w:val="nil"/>
            </w:tcBorders>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14.88-19.00</w:t>
            </w:r>
          </w:p>
        </w:tc>
      </w:tr>
      <w:tr w:rsidR="008B12F5" w:rsidRPr="005472D3" w:rsidTr="008E6494">
        <w:tc>
          <w:tcPr>
            <w:tcW w:w="1951" w:type="dxa"/>
            <w:tcBorders>
              <w:top w:val="nil"/>
            </w:tcBorders>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Protein (%)</w:t>
            </w:r>
          </w:p>
        </w:tc>
        <w:tc>
          <w:tcPr>
            <w:tcW w:w="1843" w:type="dxa"/>
            <w:tcBorders>
              <w:top w:val="nil"/>
            </w:tcBorders>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50.82-</w:t>
            </w:r>
            <w:r w:rsidR="008B12F5" w:rsidRPr="005472D3">
              <w:rPr>
                <w:rFonts w:ascii="Arial" w:hAnsi="Arial" w:cs="Arial"/>
                <w:sz w:val="20"/>
                <w:szCs w:val="20"/>
              </w:rPr>
              <w:t>60.67</w:t>
            </w:r>
          </w:p>
        </w:tc>
        <w:tc>
          <w:tcPr>
            <w:tcW w:w="1843" w:type="dxa"/>
            <w:tcBorders>
              <w:top w:val="nil"/>
            </w:tcBorders>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55.87-</w:t>
            </w:r>
            <w:r w:rsidR="008B12F5" w:rsidRPr="005472D3">
              <w:rPr>
                <w:rFonts w:ascii="Arial" w:hAnsi="Arial" w:cs="Arial"/>
                <w:sz w:val="20"/>
                <w:szCs w:val="20"/>
              </w:rPr>
              <w:t>60.70</w:t>
            </w:r>
          </w:p>
        </w:tc>
        <w:tc>
          <w:tcPr>
            <w:tcW w:w="1701" w:type="dxa"/>
            <w:tcBorders>
              <w:top w:val="nil"/>
            </w:tcBorders>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 xml:space="preserve">52.65- </w:t>
            </w:r>
            <w:r w:rsidR="008B12F5" w:rsidRPr="005472D3">
              <w:rPr>
                <w:rFonts w:ascii="Arial" w:hAnsi="Arial" w:cs="Arial"/>
                <w:sz w:val="20"/>
                <w:szCs w:val="20"/>
              </w:rPr>
              <w:t>59.66</w:t>
            </w:r>
          </w:p>
        </w:tc>
        <w:tc>
          <w:tcPr>
            <w:tcW w:w="2126" w:type="dxa"/>
            <w:tcBorders>
              <w:top w:val="nil"/>
            </w:tcBorders>
          </w:tcPr>
          <w:p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49.25-68.01</w:t>
            </w:r>
          </w:p>
        </w:tc>
      </w:tr>
      <w:tr w:rsidR="008B12F5" w:rsidRPr="005472D3" w:rsidTr="008E6494">
        <w:tc>
          <w:tcPr>
            <w:tcW w:w="1951"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Fat (%)</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23.83</w:t>
            </w:r>
            <w:r w:rsidR="001A4D34" w:rsidRPr="005472D3">
              <w:rPr>
                <w:rFonts w:ascii="Arial" w:hAnsi="Arial" w:cs="Arial"/>
                <w:sz w:val="20"/>
                <w:szCs w:val="20"/>
              </w:rPr>
              <w:t>-28.56</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25.75-32.2</w:t>
            </w:r>
          </w:p>
        </w:tc>
        <w:tc>
          <w:tcPr>
            <w:tcW w:w="1701"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16.98</w:t>
            </w:r>
            <w:r w:rsidR="001A4D34" w:rsidRPr="005472D3">
              <w:rPr>
                <w:rFonts w:ascii="Arial" w:hAnsi="Arial" w:cs="Arial"/>
                <w:sz w:val="20"/>
                <w:szCs w:val="20"/>
              </w:rPr>
              <w:t>-28.66</w:t>
            </w:r>
          </w:p>
        </w:tc>
        <w:tc>
          <w:tcPr>
            <w:tcW w:w="2126"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w:t>
            </w:r>
            <w:r w:rsidR="001A4D34" w:rsidRPr="005472D3">
              <w:rPr>
                <w:rFonts w:ascii="Arial" w:hAnsi="Arial" w:cs="Arial"/>
                <w:sz w:val="20"/>
                <w:szCs w:val="20"/>
              </w:rPr>
              <w:t>8.37-22.91</w:t>
            </w:r>
          </w:p>
        </w:tc>
      </w:tr>
      <w:tr w:rsidR="008B12F5" w:rsidRPr="005472D3" w:rsidTr="008E6494">
        <w:tc>
          <w:tcPr>
            <w:tcW w:w="1951"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Carbohydrate (%)</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3.29</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1.80</w:t>
            </w:r>
          </w:p>
        </w:tc>
        <w:tc>
          <w:tcPr>
            <w:tcW w:w="1701"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1.32</w:t>
            </w:r>
            <w:r w:rsidR="001A4D34" w:rsidRPr="005472D3">
              <w:rPr>
                <w:rFonts w:ascii="Arial" w:hAnsi="Arial" w:cs="Arial"/>
                <w:sz w:val="20"/>
                <w:szCs w:val="20"/>
              </w:rPr>
              <w:t>- 3.99</w:t>
            </w:r>
          </w:p>
        </w:tc>
        <w:tc>
          <w:tcPr>
            <w:tcW w:w="2126" w:type="dxa"/>
          </w:tcPr>
          <w:p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1.2</w:t>
            </w:r>
          </w:p>
        </w:tc>
      </w:tr>
      <w:tr w:rsidR="008B12F5" w:rsidRPr="005472D3" w:rsidTr="008E6494">
        <w:tc>
          <w:tcPr>
            <w:tcW w:w="1951"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Ash (%)</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5.1</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5.8</w:t>
            </w:r>
          </w:p>
        </w:tc>
        <w:tc>
          <w:tcPr>
            <w:tcW w:w="1701" w:type="dxa"/>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3.65</w:t>
            </w:r>
          </w:p>
        </w:tc>
        <w:tc>
          <w:tcPr>
            <w:tcW w:w="2126"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1.36</w:t>
            </w:r>
          </w:p>
        </w:tc>
      </w:tr>
      <w:tr w:rsidR="008B12F5" w:rsidRPr="005472D3" w:rsidTr="008E6494">
        <w:tc>
          <w:tcPr>
            <w:tcW w:w="1951"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Energy (kcal/ 100 gm)</w:t>
            </w:r>
          </w:p>
        </w:tc>
        <w:tc>
          <w:tcPr>
            <w:tcW w:w="1843" w:type="dxa"/>
          </w:tcPr>
          <w:p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470.31</w:t>
            </w:r>
            <w:r w:rsidR="001A4D34" w:rsidRPr="005472D3">
              <w:rPr>
                <w:rFonts w:ascii="Arial" w:hAnsi="Arial" w:cs="Arial"/>
                <w:sz w:val="20"/>
                <w:szCs w:val="20"/>
              </w:rPr>
              <w:t>- 473</w:t>
            </w:r>
          </w:p>
        </w:tc>
        <w:tc>
          <w:tcPr>
            <w:tcW w:w="1843" w:type="dxa"/>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442- 445</w:t>
            </w:r>
          </w:p>
        </w:tc>
        <w:tc>
          <w:tcPr>
            <w:tcW w:w="1701" w:type="dxa"/>
          </w:tcPr>
          <w:p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484</w:t>
            </w:r>
          </w:p>
        </w:tc>
        <w:tc>
          <w:tcPr>
            <w:tcW w:w="2126" w:type="dxa"/>
          </w:tcPr>
          <w:p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3</w:t>
            </w:r>
            <w:r w:rsidR="008B12F5" w:rsidRPr="005472D3">
              <w:rPr>
                <w:rFonts w:ascii="Arial" w:hAnsi="Arial" w:cs="Arial"/>
                <w:sz w:val="20"/>
                <w:szCs w:val="20"/>
              </w:rPr>
              <w:t xml:space="preserve">68.67 </w:t>
            </w:r>
          </w:p>
        </w:tc>
      </w:tr>
    </w:tbl>
    <w:p w:rsidR="008B12F5" w:rsidRPr="00740AEA" w:rsidRDefault="005570AE" w:rsidP="005570AE">
      <w:pPr>
        <w:pStyle w:val="NormalWeb"/>
        <w:rPr>
          <w:rFonts w:ascii="Arial" w:hAnsi="Arial" w:cs="Arial"/>
          <w:b/>
          <w:bCs/>
          <w:sz w:val="20"/>
          <w:szCs w:val="20"/>
        </w:rPr>
      </w:pPr>
      <w:r w:rsidRPr="00674758">
        <w:rPr>
          <w:rStyle w:val="Strong"/>
          <w:rFonts w:ascii="Arial" w:hAnsi="Arial" w:cs="Arial"/>
          <w:b w:val="0"/>
          <w:sz w:val="20"/>
          <w:szCs w:val="20"/>
        </w:rPr>
        <w:lastRenderedPageBreak/>
        <w:t xml:space="preserve">(Ananta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2023; Mishra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2003; </w:t>
      </w:r>
      <w:proofErr w:type="spellStart"/>
      <w:r w:rsidRPr="00674758">
        <w:rPr>
          <w:rStyle w:val="Strong"/>
          <w:rFonts w:ascii="Arial" w:hAnsi="Arial" w:cs="Arial"/>
          <w:b w:val="0"/>
          <w:sz w:val="20"/>
          <w:szCs w:val="20"/>
        </w:rPr>
        <w:t>Deori</w:t>
      </w:r>
      <w:r w:rsidRPr="00674758">
        <w:rPr>
          <w:rStyle w:val="Strong"/>
          <w:rFonts w:ascii="Arial" w:hAnsi="Arial" w:cs="Arial"/>
          <w:b w:val="0"/>
          <w:i/>
          <w:sz w:val="20"/>
          <w:szCs w:val="20"/>
        </w:rPr>
        <w:t>et</w:t>
      </w:r>
      <w:proofErr w:type="spellEnd"/>
      <w:r w:rsidRPr="00674758">
        <w:rPr>
          <w:rStyle w:val="Strong"/>
          <w:rFonts w:ascii="Arial" w:hAnsi="Arial" w:cs="Arial"/>
          <w:b w:val="0"/>
          <w:i/>
          <w:sz w:val="20"/>
          <w:szCs w:val="20"/>
        </w:rPr>
        <w:t xml:space="preserve"> al.,</w:t>
      </w:r>
      <w:r w:rsidRPr="00674758">
        <w:rPr>
          <w:rStyle w:val="Strong"/>
          <w:rFonts w:ascii="Arial" w:hAnsi="Arial" w:cs="Arial"/>
          <w:b w:val="0"/>
          <w:sz w:val="20"/>
          <w:szCs w:val="20"/>
        </w:rPr>
        <w:t xml:space="preserve"> 2016</w:t>
      </w:r>
      <w:r w:rsidRPr="00740AEA">
        <w:rPr>
          <w:rStyle w:val="Strong"/>
          <w:rFonts w:ascii="Arial" w:hAnsi="Arial" w:cs="Arial"/>
          <w:b w:val="0"/>
          <w:sz w:val="20"/>
          <w:szCs w:val="20"/>
        </w:rPr>
        <w:t xml:space="preserve">; Ghosh </w:t>
      </w:r>
      <w:r w:rsidRPr="00740AEA">
        <w:rPr>
          <w:rStyle w:val="Strong"/>
          <w:rFonts w:ascii="Arial" w:hAnsi="Arial" w:cs="Arial"/>
          <w:b w:val="0"/>
          <w:i/>
          <w:sz w:val="20"/>
          <w:szCs w:val="20"/>
        </w:rPr>
        <w:t>et al.,</w:t>
      </w:r>
      <w:r w:rsidRPr="00740AEA">
        <w:rPr>
          <w:rStyle w:val="Strong"/>
          <w:rFonts w:ascii="Arial" w:hAnsi="Arial" w:cs="Arial"/>
          <w:b w:val="0"/>
          <w:sz w:val="20"/>
          <w:szCs w:val="20"/>
        </w:rPr>
        <w:t xml:space="preserve"> 2020)</w:t>
      </w:r>
    </w:p>
    <w:p w:rsidR="008B12F5" w:rsidRPr="00740AEA" w:rsidRDefault="008B12F5" w:rsidP="008B12F5">
      <w:pPr>
        <w:pStyle w:val="NormalWeb"/>
        <w:jc w:val="both"/>
        <w:rPr>
          <w:rFonts w:ascii="Arial" w:hAnsi="Arial" w:cs="Arial"/>
          <w:sz w:val="20"/>
        </w:rPr>
      </w:pPr>
      <w:r w:rsidRPr="00740AEA">
        <w:rPr>
          <w:rFonts w:ascii="Arial" w:hAnsi="Arial" w:cs="Arial"/>
          <w:sz w:val="20"/>
        </w:rPr>
        <w:t xml:space="preserve">The chitin content in </w:t>
      </w:r>
      <w:proofErr w:type="spellStart"/>
      <w:r w:rsidRPr="00740AEA">
        <w:rPr>
          <w:rFonts w:ascii="Arial" w:hAnsi="Arial" w:cs="Arial"/>
          <w:sz w:val="20"/>
        </w:rPr>
        <w:t>Tasar</w:t>
      </w:r>
      <w:proofErr w:type="spellEnd"/>
      <w:r w:rsidRPr="00740AEA">
        <w:rPr>
          <w:rFonts w:ascii="Arial" w:hAnsi="Arial" w:cs="Arial"/>
          <w:sz w:val="20"/>
        </w:rPr>
        <w:t xml:space="preserve"> pupae was 3.87%, comparable to </w:t>
      </w:r>
      <w:r w:rsidRPr="00740AEA">
        <w:rPr>
          <w:rFonts w:ascii="Arial" w:hAnsi="Arial" w:cs="Arial"/>
          <w:i/>
          <w:sz w:val="20"/>
        </w:rPr>
        <w:t>B. mori</w:t>
      </w:r>
      <w:r w:rsidRPr="00740AEA">
        <w:rPr>
          <w:rFonts w:ascii="Arial" w:hAnsi="Arial" w:cs="Arial"/>
          <w:sz w:val="20"/>
        </w:rPr>
        <w:t xml:space="preserve"> (3.5–4.7%) (</w:t>
      </w:r>
      <w:proofErr w:type="spellStart"/>
      <w:r w:rsidR="00740AEA" w:rsidRPr="00740AEA">
        <w:rPr>
          <w:rFonts w:ascii="Arial" w:hAnsi="Arial" w:cs="Arial"/>
          <w:color w:val="222222"/>
          <w:sz w:val="20"/>
          <w:szCs w:val="18"/>
          <w:shd w:val="clear" w:color="auto" w:fill="FFFFFF"/>
        </w:rPr>
        <w:t>Oynavod</w:t>
      </w:r>
      <w:r w:rsidRPr="00740AEA">
        <w:rPr>
          <w:rFonts w:ascii="Arial" w:hAnsi="Arial" w:cs="Arial"/>
          <w:i/>
          <w:sz w:val="20"/>
        </w:rPr>
        <w:t>et</w:t>
      </w:r>
      <w:proofErr w:type="spellEnd"/>
      <w:r w:rsidRPr="00740AEA">
        <w:rPr>
          <w:rFonts w:ascii="Arial" w:hAnsi="Arial" w:cs="Arial"/>
          <w:i/>
          <w:sz w:val="20"/>
        </w:rPr>
        <w:t xml:space="preserve"> al.,</w:t>
      </w:r>
      <w:r w:rsidRPr="00740AEA">
        <w:rPr>
          <w:rFonts w:ascii="Arial" w:hAnsi="Arial" w:cs="Arial"/>
          <w:sz w:val="20"/>
        </w:rPr>
        <w:t xml:space="preserve"> 2020). Tannin content, a potential anti-nutritional factor, was found to be relatively lo</w:t>
      </w:r>
      <w:r w:rsidR="005570AE" w:rsidRPr="00740AEA">
        <w:rPr>
          <w:rFonts w:ascii="Arial" w:hAnsi="Arial" w:cs="Arial"/>
          <w:sz w:val="20"/>
        </w:rPr>
        <w:t xml:space="preserve">w at 0.067% compared to that of </w:t>
      </w:r>
      <w:r w:rsidR="005570AE" w:rsidRPr="00740AEA">
        <w:rPr>
          <w:rFonts w:ascii="Arial" w:hAnsi="Arial" w:cs="Arial"/>
          <w:i/>
          <w:sz w:val="20"/>
        </w:rPr>
        <w:t xml:space="preserve">B. </w:t>
      </w:r>
      <w:proofErr w:type="gramStart"/>
      <w:r w:rsidR="005570AE" w:rsidRPr="00740AEA">
        <w:rPr>
          <w:rFonts w:ascii="Arial" w:hAnsi="Arial" w:cs="Arial"/>
          <w:i/>
          <w:sz w:val="20"/>
        </w:rPr>
        <w:t>mori</w:t>
      </w:r>
      <w:r w:rsidR="005570AE" w:rsidRPr="00740AEA">
        <w:rPr>
          <w:rFonts w:ascii="Arial" w:hAnsi="Arial" w:cs="Arial"/>
          <w:sz w:val="20"/>
        </w:rPr>
        <w:t>(</w:t>
      </w:r>
      <w:proofErr w:type="gramEnd"/>
      <w:r w:rsidRPr="00740AEA">
        <w:rPr>
          <w:rFonts w:ascii="Arial" w:hAnsi="Arial" w:cs="Arial"/>
          <w:sz w:val="20"/>
        </w:rPr>
        <w:t>2.04%</w:t>
      </w:r>
      <w:r w:rsidR="005570AE" w:rsidRPr="00740AEA">
        <w:rPr>
          <w:rFonts w:ascii="Arial" w:hAnsi="Arial" w:cs="Arial"/>
          <w:sz w:val="20"/>
        </w:rPr>
        <w:t>)</w:t>
      </w:r>
      <w:r w:rsidRPr="00740AEA">
        <w:rPr>
          <w:rFonts w:ascii="Arial" w:hAnsi="Arial" w:cs="Arial"/>
          <w:sz w:val="20"/>
        </w:rPr>
        <w:t xml:space="preserve"> (</w:t>
      </w:r>
      <w:proofErr w:type="spellStart"/>
      <w:r w:rsidRPr="00740AEA">
        <w:rPr>
          <w:rFonts w:ascii="Arial" w:hAnsi="Arial" w:cs="Arial"/>
          <w:sz w:val="20"/>
        </w:rPr>
        <w:t>Omotoso</w:t>
      </w:r>
      <w:proofErr w:type="spellEnd"/>
      <w:r w:rsidRPr="00740AEA">
        <w:rPr>
          <w:rFonts w:ascii="Arial" w:hAnsi="Arial" w:cs="Arial"/>
          <w:sz w:val="20"/>
        </w:rPr>
        <w:t xml:space="preserve">, 2015), enhancing its digestibility and nutritional efficiency. Carbohydrate content was recorded at 3.29%, notably higher than those in Eri (1.2%), </w:t>
      </w:r>
      <w:proofErr w:type="spellStart"/>
      <w:r w:rsidRPr="00740AEA">
        <w:rPr>
          <w:rFonts w:ascii="Arial" w:hAnsi="Arial" w:cs="Arial"/>
          <w:sz w:val="20"/>
        </w:rPr>
        <w:t>Muga</w:t>
      </w:r>
      <w:proofErr w:type="spellEnd"/>
      <w:r w:rsidRPr="00740AEA">
        <w:rPr>
          <w:rFonts w:ascii="Arial" w:hAnsi="Arial" w:cs="Arial"/>
          <w:sz w:val="20"/>
        </w:rPr>
        <w:t xml:space="preserve"> (1.32%), and </w:t>
      </w:r>
      <w:r w:rsidRPr="00740AEA">
        <w:rPr>
          <w:rFonts w:ascii="Arial" w:hAnsi="Arial" w:cs="Arial"/>
          <w:i/>
          <w:sz w:val="20"/>
        </w:rPr>
        <w:t>B. mori</w:t>
      </w:r>
      <w:r w:rsidRPr="00740AEA">
        <w:rPr>
          <w:rFonts w:ascii="Arial" w:hAnsi="Arial" w:cs="Arial"/>
          <w:sz w:val="20"/>
        </w:rPr>
        <w:t xml:space="preserve"> (1.8%) (Mishra </w:t>
      </w:r>
      <w:r w:rsidRPr="00740AEA">
        <w:rPr>
          <w:rFonts w:ascii="Arial" w:hAnsi="Arial" w:cs="Arial"/>
          <w:i/>
          <w:sz w:val="20"/>
        </w:rPr>
        <w:t>et al.,</w:t>
      </w:r>
      <w:r w:rsidRPr="00740AEA">
        <w:rPr>
          <w:rFonts w:ascii="Arial" w:hAnsi="Arial" w:cs="Arial"/>
          <w:sz w:val="20"/>
        </w:rPr>
        <w:t xml:space="preserve"> 2003), and energy content was found to be 470.31 kcal/100g, demonstrating its utility as a dense energy source. The amino acid profile revealed a diverse and balanced spectrum, including high levels of serine (5.28 mg/g), alanine (5.07 mg/g), glutamic acid (4.03 mg/g), leucine (3.85 mg/g), and methionine (2.18 mg/g) (Ananta </w:t>
      </w:r>
      <w:r w:rsidRPr="00740AEA">
        <w:rPr>
          <w:rFonts w:ascii="Arial" w:hAnsi="Arial" w:cs="Arial"/>
          <w:i/>
          <w:sz w:val="20"/>
        </w:rPr>
        <w:t>et al.,</w:t>
      </w:r>
      <w:r w:rsidRPr="00740AEA">
        <w:rPr>
          <w:rFonts w:ascii="Arial" w:hAnsi="Arial" w:cs="Arial"/>
          <w:sz w:val="20"/>
        </w:rPr>
        <w:t xml:space="preserve"> 2023). Compared to </w:t>
      </w:r>
      <w:r w:rsidRPr="00740AEA">
        <w:rPr>
          <w:rFonts w:ascii="Arial" w:hAnsi="Arial" w:cs="Arial"/>
          <w:i/>
          <w:sz w:val="20"/>
        </w:rPr>
        <w:t>B. mori</w:t>
      </w:r>
      <w:r w:rsidRPr="00740AEA">
        <w:rPr>
          <w:rFonts w:ascii="Arial" w:hAnsi="Arial" w:cs="Arial"/>
          <w:sz w:val="20"/>
        </w:rPr>
        <w:t xml:space="preserve">, </w:t>
      </w:r>
      <w:proofErr w:type="spellStart"/>
      <w:r w:rsidRPr="00740AEA">
        <w:rPr>
          <w:rFonts w:ascii="Arial" w:hAnsi="Arial" w:cs="Arial"/>
          <w:sz w:val="20"/>
        </w:rPr>
        <w:t>Tasar</w:t>
      </w:r>
      <w:proofErr w:type="spellEnd"/>
      <w:r w:rsidRPr="00740AEA">
        <w:rPr>
          <w:rFonts w:ascii="Arial" w:hAnsi="Arial" w:cs="Arial"/>
          <w:sz w:val="20"/>
        </w:rPr>
        <w:t xml:space="preserve"> pupae demonstrated higher levels of essential amino acids such as valine, leucine, and phenylalanine (Paul and Dey, 2014), reinforcing their potential as a supplementary protein source in human and animal diets.</w:t>
      </w:r>
    </w:p>
    <w:p w:rsidR="008B12F5" w:rsidRPr="005472D3" w:rsidRDefault="008B12F5" w:rsidP="005570AE">
      <w:pPr>
        <w:pStyle w:val="NormalWeb"/>
        <w:jc w:val="both"/>
        <w:rPr>
          <w:rFonts w:ascii="Arial" w:hAnsi="Arial" w:cs="Arial"/>
          <w:sz w:val="20"/>
        </w:rPr>
      </w:pPr>
      <w:r w:rsidRPr="00740AEA">
        <w:rPr>
          <w:rFonts w:ascii="Arial" w:hAnsi="Arial" w:cs="Arial"/>
          <w:sz w:val="20"/>
        </w:rPr>
        <w:t>Micronutrient analysis confirmed the presence of essential vitamins and minerals</w:t>
      </w:r>
      <w:r w:rsidR="005472D3" w:rsidRPr="00740AEA">
        <w:rPr>
          <w:rFonts w:ascii="Arial" w:hAnsi="Arial" w:cs="Arial"/>
          <w:sz w:val="20"/>
        </w:rPr>
        <w:t xml:space="preserve"> (Table 2)</w:t>
      </w:r>
      <w:r w:rsidRPr="00740AEA">
        <w:rPr>
          <w:rFonts w:ascii="Arial" w:hAnsi="Arial" w:cs="Arial"/>
          <w:sz w:val="20"/>
        </w:rPr>
        <w:t xml:space="preserve">. Tocopherol (13.23 µg/100g) was found to be the predominant vitamin, consistent with findings by Wu </w:t>
      </w:r>
      <w:r w:rsidRPr="00740AEA">
        <w:rPr>
          <w:rFonts w:ascii="Arial" w:hAnsi="Arial" w:cs="Arial"/>
          <w:i/>
          <w:sz w:val="20"/>
        </w:rPr>
        <w:t>et al.</w:t>
      </w:r>
      <w:r w:rsidRPr="00740AEA">
        <w:rPr>
          <w:rFonts w:ascii="Arial" w:hAnsi="Arial" w:cs="Arial"/>
          <w:sz w:val="20"/>
        </w:rPr>
        <w:t xml:space="preserve"> (2021), while the mineral profile included sodium (32.31 mg/100g), calcium (47.79 mg/100g), magnesium (208.7 mg/100g), iron (37.72 mg/100g), and zinc (24.88 mg/100g) (Ananta </w:t>
      </w:r>
      <w:r w:rsidRPr="00740AEA">
        <w:rPr>
          <w:rFonts w:ascii="Arial" w:hAnsi="Arial" w:cs="Arial"/>
          <w:i/>
          <w:sz w:val="20"/>
        </w:rPr>
        <w:t xml:space="preserve">et al., </w:t>
      </w:r>
      <w:r w:rsidRPr="00740AEA">
        <w:rPr>
          <w:rFonts w:ascii="Arial" w:hAnsi="Arial" w:cs="Arial"/>
          <w:sz w:val="20"/>
        </w:rPr>
        <w:t xml:space="preserve">2023). Mineral variability may depend on geographic, seasonal, and dietary differences, as noted in related studies on </w:t>
      </w:r>
      <w:r w:rsidRPr="00740AEA">
        <w:rPr>
          <w:rFonts w:ascii="Arial" w:hAnsi="Arial" w:cs="Arial"/>
          <w:i/>
          <w:sz w:val="20"/>
        </w:rPr>
        <w:t xml:space="preserve">A. </w:t>
      </w:r>
      <w:proofErr w:type="spellStart"/>
      <w:r w:rsidRPr="00740AEA">
        <w:rPr>
          <w:rFonts w:ascii="Arial" w:hAnsi="Arial" w:cs="Arial"/>
          <w:i/>
          <w:sz w:val="20"/>
        </w:rPr>
        <w:t>pernyi</w:t>
      </w:r>
      <w:proofErr w:type="spellEnd"/>
      <w:r w:rsidRPr="00740AEA">
        <w:rPr>
          <w:rFonts w:ascii="Arial" w:hAnsi="Arial" w:cs="Arial"/>
          <w:sz w:val="20"/>
        </w:rPr>
        <w:t xml:space="preserve"> (Zhou and Han, 2006). In addition to these macro- and micronutrients, </w:t>
      </w:r>
      <w:proofErr w:type="spellStart"/>
      <w:r w:rsidRPr="00740AEA">
        <w:rPr>
          <w:rFonts w:ascii="Arial" w:hAnsi="Arial" w:cs="Arial"/>
          <w:sz w:val="20"/>
        </w:rPr>
        <w:t>Tasar</w:t>
      </w:r>
      <w:proofErr w:type="spellEnd"/>
      <w:r w:rsidRPr="00740AEA">
        <w:rPr>
          <w:rFonts w:ascii="Arial" w:hAnsi="Arial" w:cs="Arial"/>
          <w:sz w:val="20"/>
        </w:rPr>
        <w:t xml:space="preserve"> pupae are rich in phenolic acids and flavonoids. Polyphenolic compounds such as ferulic acid (1317.5 µg/g), p-coumaric acid (730.96 µg/g), and caffeic acid (55.81 µg/g), and flavonoids like catechin (40.77 µg/g), myricetin (12.47 µg/g), and quercetin (4.24 µg/g) contribute to their potent antioxidant potential (Ananta </w:t>
      </w:r>
      <w:r w:rsidRPr="00740AEA">
        <w:rPr>
          <w:rFonts w:ascii="Arial" w:hAnsi="Arial" w:cs="Arial"/>
          <w:i/>
          <w:sz w:val="20"/>
        </w:rPr>
        <w:t xml:space="preserve">et al., </w:t>
      </w:r>
      <w:r w:rsidRPr="00740AEA">
        <w:rPr>
          <w:rFonts w:ascii="Arial" w:hAnsi="Arial" w:cs="Arial"/>
          <w:sz w:val="20"/>
        </w:rPr>
        <w:t xml:space="preserve">2023; </w:t>
      </w:r>
      <w:proofErr w:type="spellStart"/>
      <w:r w:rsidRPr="00740AEA">
        <w:rPr>
          <w:rFonts w:ascii="Arial" w:hAnsi="Arial" w:cs="Arial"/>
          <w:sz w:val="20"/>
        </w:rPr>
        <w:t>Tungmunnithum</w:t>
      </w:r>
      <w:r w:rsidRPr="00740AEA">
        <w:rPr>
          <w:rFonts w:ascii="Arial" w:hAnsi="Arial" w:cs="Arial"/>
          <w:i/>
          <w:sz w:val="20"/>
        </w:rPr>
        <w:t>et</w:t>
      </w:r>
      <w:proofErr w:type="spellEnd"/>
      <w:r w:rsidRPr="00740AEA">
        <w:rPr>
          <w:rFonts w:ascii="Arial" w:hAnsi="Arial" w:cs="Arial"/>
          <w:i/>
          <w:sz w:val="20"/>
        </w:rPr>
        <w:t xml:space="preserve"> al.,</w:t>
      </w:r>
      <w:r w:rsidRPr="00740AEA">
        <w:rPr>
          <w:rFonts w:ascii="Arial" w:hAnsi="Arial" w:cs="Arial"/>
          <w:sz w:val="20"/>
        </w:rPr>
        <w:t xml:space="preserve"> 2018). DPPH scavenging activity assays confirmed the radical-quenching capacity of </w:t>
      </w:r>
      <w:proofErr w:type="spellStart"/>
      <w:r w:rsidRPr="00740AEA">
        <w:rPr>
          <w:rFonts w:ascii="Arial" w:hAnsi="Arial" w:cs="Arial"/>
          <w:sz w:val="20"/>
        </w:rPr>
        <w:t>Tasar</w:t>
      </w:r>
      <w:proofErr w:type="spellEnd"/>
      <w:r w:rsidRPr="00740AEA">
        <w:rPr>
          <w:rFonts w:ascii="Arial" w:hAnsi="Arial" w:cs="Arial"/>
          <w:sz w:val="20"/>
        </w:rPr>
        <w:t xml:space="preserve"> pupal extracts in a dose-dependent manner (Pari and Amarnath, 2004).</w:t>
      </w:r>
    </w:p>
    <w:p w:rsidR="008B12F5" w:rsidRPr="005472D3" w:rsidRDefault="008B12F5" w:rsidP="008B12F5">
      <w:pPr>
        <w:pStyle w:val="NormalWeb"/>
        <w:jc w:val="both"/>
        <w:rPr>
          <w:rFonts w:ascii="Arial" w:hAnsi="Arial" w:cs="Arial"/>
          <w:sz w:val="20"/>
        </w:rPr>
      </w:pPr>
      <w:r w:rsidRPr="005472D3">
        <w:rPr>
          <w:rFonts w:ascii="Arial" w:hAnsi="Arial" w:cs="Arial"/>
          <w:sz w:val="20"/>
        </w:rPr>
        <w:t xml:space="preserve">These nutritional and biochemical features make </w:t>
      </w:r>
      <w:proofErr w:type="spellStart"/>
      <w:r w:rsidRPr="005472D3">
        <w:rPr>
          <w:rFonts w:ascii="Arial" w:hAnsi="Arial" w:cs="Arial"/>
          <w:sz w:val="20"/>
        </w:rPr>
        <w:t>Tasar</w:t>
      </w:r>
      <w:proofErr w:type="spellEnd"/>
      <w:r w:rsidRPr="005472D3">
        <w:rPr>
          <w:rFonts w:ascii="Arial" w:hAnsi="Arial" w:cs="Arial"/>
          <w:sz w:val="20"/>
        </w:rPr>
        <w:t xml:space="preserve"> pupae an ideal candidate for deriving high-value </w:t>
      </w:r>
      <w:proofErr w:type="spellStart"/>
      <w:r w:rsidRPr="005472D3">
        <w:rPr>
          <w:rFonts w:ascii="Arial" w:hAnsi="Arial" w:cs="Arial"/>
          <w:sz w:val="20"/>
        </w:rPr>
        <w:t>Tasar</w:t>
      </w:r>
      <w:proofErr w:type="spellEnd"/>
      <w:r w:rsidRPr="005472D3">
        <w:rPr>
          <w:rFonts w:ascii="Arial" w:hAnsi="Arial" w:cs="Arial"/>
          <w:sz w:val="20"/>
        </w:rPr>
        <w:t xml:space="preserve"> pupal oil. This oil, rich in unsaturated fatty acids and bioactive antioxidants, is increasingly recognized for its roles in modulating oxidative stress, supporting cardiovascular health, and improving metabolic function. Additionally, its application in food, pharmaceutical, and cosmetic industries exemplifies its multifunctional potential. Promoting </w:t>
      </w:r>
      <w:proofErr w:type="spellStart"/>
      <w:r w:rsidRPr="005472D3">
        <w:rPr>
          <w:rFonts w:ascii="Arial" w:hAnsi="Arial" w:cs="Arial"/>
          <w:sz w:val="20"/>
        </w:rPr>
        <w:t>Tasar</w:t>
      </w:r>
      <w:proofErr w:type="spellEnd"/>
      <w:r w:rsidRPr="005472D3">
        <w:rPr>
          <w:rFonts w:ascii="Arial" w:hAnsi="Arial" w:cs="Arial"/>
          <w:sz w:val="20"/>
        </w:rPr>
        <w:t xml:space="preserve"> pupal oil extraction not only supports circular </w:t>
      </w:r>
      <w:proofErr w:type="spellStart"/>
      <w:r w:rsidRPr="005472D3">
        <w:rPr>
          <w:rFonts w:ascii="Arial" w:hAnsi="Arial" w:cs="Arial"/>
          <w:sz w:val="20"/>
        </w:rPr>
        <w:t>bioeconomy</w:t>
      </w:r>
      <w:proofErr w:type="spellEnd"/>
      <w:r w:rsidRPr="005472D3">
        <w:rPr>
          <w:rFonts w:ascii="Arial" w:hAnsi="Arial" w:cs="Arial"/>
          <w:sz w:val="20"/>
        </w:rPr>
        <w:t xml:space="preserve"> models by valorizing </w:t>
      </w:r>
      <w:proofErr w:type="spellStart"/>
      <w:r w:rsidRPr="005472D3">
        <w:rPr>
          <w:rFonts w:ascii="Arial" w:hAnsi="Arial" w:cs="Arial"/>
          <w:sz w:val="20"/>
        </w:rPr>
        <w:t>sericultural</w:t>
      </w:r>
      <w:proofErr w:type="spellEnd"/>
      <w:r w:rsidRPr="005472D3">
        <w:rPr>
          <w:rFonts w:ascii="Arial" w:hAnsi="Arial" w:cs="Arial"/>
          <w:sz w:val="20"/>
        </w:rPr>
        <w:t xml:space="preserve"> by-products but also provides an opportunity for economic empowerment among rural and tribal communities, particularly women engaged in reeling and cocoon processing.</w:t>
      </w:r>
    </w:p>
    <w:p w:rsidR="005570AE" w:rsidRPr="005472D3" w:rsidRDefault="005570AE" w:rsidP="008B12F5">
      <w:pPr>
        <w:pStyle w:val="NormalWeb"/>
        <w:jc w:val="both"/>
        <w:rPr>
          <w:rFonts w:ascii="Arial" w:hAnsi="Arial" w:cs="Arial"/>
          <w:b/>
          <w:sz w:val="20"/>
        </w:rPr>
      </w:pPr>
      <w:r w:rsidRPr="005472D3">
        <w:rPr>
          <w:rFonts w:ascii="Arial" w:hAnsi="Arial" w:cs="Arial"/>
          <w:b/>
          <w:sz w:val="20"/>
        </w:rPr>
        <w:t xml:space="preserve">Table 2. Comprehensive Nutrient and Bioactive Profiling of </w:t>
      </w:r>
      <w:proofErr w:type="spellStart"/>
      <w:r w:rsidRPr="005472D3">
        <w:rPr>
          <w:rFonts w:ascii="Arial" w:hAnsi="Arial" w:cs="Arial"/>
          <w:b/>
          <w:sz w:val="20"/>
        </w:rPr>
        <w:t>Tasar</w:t>
      </w:r>
      <w:proofErr w:type="spellEnd"/>
      <w:r w:rsidRPr="005472D3">
        <w:rPr>
          <w:rFonts w:ascii="Arial" w:hAnsi="Arial" w:cs="Arial"/>
          <w:b/>
          <w:sz w:val="20"/>
        </w:rPr>
        <w:t xml:space="preserve">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35"/>
        <w:gridCol w:w="2127"/>
      </w:tblGrid>
      <w:tr w:rsidR="00EB0B65" w:rsidRPr="005472D3" w:rsidTr="008E6494">
        <w:tc>
          <w:tcPr>
            <w:tcW w:w="4077" w:type="dxa"/>
            <w:tcBorders>
              <w:top w:val="single" w:sz="4" w:space="0" w:color="auto"/>
              <w:bottom w:val="single" w:sz="4" w:space="0" w:color="auto"/>
            </w:tcBorders>
            <w:hideMark/>
          </w:tcPr>
          <w:p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Category</w:t>
            </w:r>
          </w:p>
        </w:tc>
        <w:tc>
          <w:tcPr>
            <w:tcW w:w="2835" w:type="dxa"/>
            <w:tcBorders>
              <w:top w:val="single" w:sz="4" w:space="0" w:color="auto"/>
              <w:bottom w:val="single" w:sz="4" w:space="0" w:color="auto"/>
            </w:tcBorders>
            <w:hideMark/>
          </w:tcPr>
          <w:p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Component</w:t>
            </w:r>
          </w:p>
        </w:tc>
        <w:tc>
          <w:tcPr>
            <w:tcW w:w="2127" w:type="dxa"/>
            <w:tcBorders>
              <w:top w:val="single" w:sz="4" w:space="0" w:color="auto"/>
              <w:bottom w:val="single" w:sz="4" w:space="0" w:color="auto"/>
            </w:tcBorders>
            <w:hideMark/>
          </w:tcPr>
          <w:p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Content</w:t>
            </w:r>
          </w:p>
        </w:tc>
      </w:tr>
      <w:tr w:rsidR="00EB0B65" w:rsidRPr="005472D3" w:rsidTr="008E6494">
        <w:tc>
          <w:tcPr>
            <w:tcW w:w="407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Fatty Acids (mg /g of dry weight)</w:t>
            </w:r>
          </w:p>
        </w:tc>
        <w:tc>
          <w:tcPr>
            <w:tcW w:w="2835"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Lauric acid (C12:0)</w:t>
            </w:r>
          </w:p>
        </w:tc>
        <w:tc>
          <w:tcPr>
            <w:tcW w:w="212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0.043</w:t>
            </w:r>
          </w:p>
        </w:tc>
      </w:tr>
      <w:tr w:rsidR="00EB0B65" w:rsidRPr="005472D3" w:rsidTr="008E6494">
        <w:tc>
          <w:tcPr>
            <w:tcW w:w="4077" w:type="dxa"/>
            <w:tcBorders>
              <w:top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Myristic acid (C14:0)</w:t>
            </w:r>
          </w:p>
        </w:tc>
        <w:tc>
          <w:tcPr>
            <w:tcW w:w="2127"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0.181</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Palmitoleic acid (C16:1)</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0.075</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Palmitic acid (C16:0)</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6.565</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Linolenic acid (C18:3)</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0.505</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Linoleic acid (C18:2)</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0.191</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jc w:val="both"/>
              <w:rPr>
                <w:rFonts w:ascii="Arial" w:eastAsia="Times New Roman" w:hAnsi="Arial" w:cs="Arial"/>
                <w:sz w:val="20"/>
                <w:szCs w:val="20"/>
              </w:rPr>
            </w:pPr>
            <w:r w:rsidRPr="005472D3">
              <w:rPr>
                <w:rFonts w:ascii="Arial" w:eastAsia="Times New Roman" w:hAnsi="Arial" w:cs="Arial"/>
                <w:sz w:val="20"/>
                <w:szCs w:val="20"/>
              </w:rPr>
              <w:t>Stearic acid (C18:0)</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1.682</w:t>
            </w:r>
          </w:p>
        </w:tc>
      </w:tr>
      <w:tr w:rsidR="00EB0B65" w:rsidRPr="005472D3" w:rsidTr="008E6494">
        <w:tc>
          <w:tcPr>
            <w:tcW w:w="407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rsidR="00EB0B65" w:rsidRPr="005472D3" w:rsidRDefault="00EB0B65" w:rsidP="005472D3">
            <w:pPr>
              <w:spacing w:line="480" w:lineRule="auto"/>
              <w:rPr>
                <w:rFonts w:ascii="Arial" w:eastAsia="Times New Roman" w:hAnsi="Arial" w:cs="Arial"/>
                <w:sz w:val="20"/>
                <w:szCs w:val="20"/>
              </w:rPr>
            </w:pPr>
            <w:proofErr w:type="spellStart"/>
            <w:r w:rsidRPr="005472D3">
              <w:rPr>
                <w:rFonts w:ascii="Arial" w:eastAsia="Times New Roman" w:hAnsi="Arial" w:cs="Arial"/>
                <w:sz w:val="20"/>
                <w:szCs w:val="20"/>
              </w:rPr>
              <w:t>Eicosenoic</w:t>
            </w:r>
            <w:proofErr w:type="spellEnd"/>
            <w:r w:rsidRPr="005472D3">
              <w:rPr>
                <w:rFonts w:ascii="Arial" w:eastAsia="Times New Roman" w:hAnsi="Arial" w:cs="Arial"/>
                <w:sz w:val="20"/>
                <w:szCs w:val="20"/>
              </w:rPr>
              <w:t xml:space="preserve"> acid (C20:1)</w:t>
            </w:r>
          </w:p>
        </w:tc>
        <w:tc>
          <w:tcPr>
            <w:tcW w:w="212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0.053</w:t>
            </w:r>
          </w:p>
        </w:tc>
      </w:tr>
      <w:tr w:rsidR="00EB0B65" w:rsidRPr="005472D3" w:rsidTr="008E6494">
        <w:tc>
          <w:tcPr>
            <w:tcW w:w="407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Behenic acid (C22:0)</w:t>
            </w:r>
          </w:p>
        </w:tc>
        <w:tc>
          <w:tcPr>
            <w:tcW w:w="212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0.007</w:t>
            </w:r>
          </w:p>
        </w:tc>
      </w:tr>
      <w:tr w:rsidR="00EB0B65" w:rsidRPr="005472D3" w:rsidTr="008E6494">
        <w:tc>
          <w:tcPr>
            <w:tcW w:w="407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Amino Acids (mg/g)-</w:t>
            </w:r>
            <w:proofErr w:type="gramStart"/>
            <w:r w:rsidRPr="005472D3">
              <w:rPr>
                <w:rFonts w:ascii="Arial" w:eastAsia="Times New Roman" w:hAnsi="Arial" w:cs="Arial"/>
                <w:b/>
                <w:bCs/>
                <w:sz w:val="20"/>
                <w:szCs w:val="20"/>
              </w:rPr>
              <w:t>Non essential</w:t>
            </w:r>
            <w:proofErr w:type="gramEnd"/>
          </w:p>
        </w:tc>
        <w:tc>
          <w:tcPr>
            <w:tcW w:w="2835"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Glycine</w:t>
            </w:r>
          </w:p>
        </w:tc>
        <w:tc>
          <w:tcPr>
            <w:tcW w:w="212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0.146± 0.001</w:t>
            </w:r>
          </w:p>
        </w:tc>
      </w:tr>
      <w:tr w:rsidR="00EB0B65" w:rsidRPr="005472D3" w:rsidTr="008E6494">
        <w:tc>
          <w:tcPr>
            <w:tcW w:w="4077" w:type="dxa"/>
            <w:tcBorders>
              <w:top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Alanine</w:t>
            </w:r>
          </w:p>
        </w:tc>
        <w:tc>
          <w:tcPr>
            <w:tcW w:w="2127"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5.066± 0.252</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Serine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5.279± 0.092</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Proline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3.439± 0.042</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Cysteine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1.23± 0.011</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Asparagine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0.164± 0.020</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Aspartic acid</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3.520± 0.280</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Glutamic acid</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4.025±0.411</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Arginine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2.588± 0.019</w:t>
            </w:r>
          </w:p>
        </w:tc>
      </w:tr>
      <w:tr w:rsidR="00EB0B65" w:rsidRPr="005472D3" w:rsidTr="008E6494">
        <w:tc>
          <w:tcPr>
            <w:tcW w:w="407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Citrulline</w:t>
            </w:r>
          </w:p>
        </w:tc>
        <w:tc>
          <w:tcPr>
            <w:tcW w:w="212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0.363± 0.001</w:t>
            </w:r>
          </w:p>
        </w:tc>
      </w:tr>
      <w:tr w:rsidR="00EB0B65" w:rsidRPr="005472D3" w:rsidTr="008E6494">
        <w:tc>
          <w:tcPr>
            <w:tcW w:w="407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Tyrosine</w:t>
            </w:r>
          </w:p>
        </w:tc>
        <w:tc>
          <w:tcPr>
            <w:tcW w:w="212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2.741± 0.093</w:t>
            </w:r>
          </w:p>
        </w:tc>
      </w:tr>
      <w:tr w:rsidR="00EB0B65" w:rsidRPr="005472D3" w:rsidTr="008E6494">
        <w:tc>
          <w:tcPr>
            <w:tcW w:w="407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Amino Acids (mg/g)-Essential</w:t>
            </w:r>
          </w:p>
        </w:tc>
        <w:tc>
          <w:tcPr>
            <w:tcW w:w="2835"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Leucine </w:t>
            </w:r>
          </w:p>
        </w:tc>
        <w:tc>
          <w:tcPr>
            <w:tcW w:w="212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3.853± 0.004</w:t>
            </w:r>
          </w:p>
        </w:tc>
      </w:tr>
      <w:tr w:rsidR="00EB0B65" w:rsidRPr="005472D3" w:rsidTr="008E6494">
        <w:tc>
          <w:tcPr>
            <w:tcW w:w="4077" w:type="dxa"/>
            <w:tcBorders>
              <w:top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Lysine </w:t>
            </w:r>
          </w:p>
        </w:tc>
        <w:tc>
          <w:tcPr>
            <w:tcW w:w="2127"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2.097± 0.009</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Valine </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2.519± 0.092</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Threonine </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1.060± 0.023</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Isoleucine </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3.853± 0.004</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Methionine </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2.178± 0.666</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Histidine </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1.100± 0.044</w:t>
            </w:r>
          </w:p>
        </w:tc>
      </w:tr>
      <w:tr w:rsidR="00EB0B65" w:rsidRPr="005472D3" w:rsidTr="008E6494">
        <w:tc>
          <w:tcPr>
            <w:tcW w:w="407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Phenylalanine </w:t>
            </w:r>
          </w:p>
        </w:tc>
        <w:tc>
          <w:tcPr>
            <w:tcW w:w="212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1.759± 0.008</w:t>
            </w:r>
          </w:p>
        </w:tc>
      </w:tr>
      <w:tr w:rsidR="00EB0B65" w:rsidRPr="005472D3" w:rsidTr="008E6494">
        <w:tc>
          <w:tcPr>
            <w:tcW w:w="407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Tryptophan </w:t>
            </w:r>
          </w:p>
        </w:tc>
        <w:tc>
          <w:tcPr>
            <w:tcW w:w="212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0.036± 0.000</w:t>
            </w:r>
          </w:p>
        </w:tc>
      </w:tr>
      <w:tr w:rsidR="00EB0B65" w:rsidRPr="005472D3" w:rsidTr="008E6494">
        <w:tc>
          <w:tcPr>
            <w:tcW w:w="407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Vitamins (</w:t>
            </w:r>
            <w:r w:rsidRPr="005472D3">
              <w:rPr>
                <w:rFonts w:ascii="Arial" w:eastAsia="Times New Roman" w:hAnsi="Arial" w:cs="Arial"/>
                <w:b/>
                <w:sz w:val="20"/>
                <w:szCs w:val="20"/>
              </w:rPr>
              <w:t>µg/100 g)</w:t>
            </w:r>
            <w:r w:rsidRPr="005472D3">
              <w:rPr>
                <w:rFonts w:ascii="Arial" w:eastAsia="Times New Roman" w:hAnsi="Arial" w:cs="Arial"/>
                <w:b/>
                <w:bCs/>
                <w:sz w:val="20"/>
                <w:szCs w:val="20"/>
              </w:rPr>
              <w:t xml:space="preserve"> - Water soluble</w:t>
            </w:r>
          </w:p>
        </w:tc>
        <w:tc>
          <w:tcPr>
            <w:tcW w:w="2835"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Niacin</w:t>
            </w:r>
          </w:p>
        </w:tc>
        <w:tc>
          <w:tcPr>
            <w:tcW w:w="212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0.43± 0.109</w:t>
            </w:r>
          </w:p>
        </w:tc>
      </w:tr>
      <w:tr w:rsidR="00EB0B65" w:rsidRPr="005472D3" w:rsidTr="008E6494">
        <w:tc>
          <w:tcPr>
            <w:tcW w:w="4077" w:type="dxa"/>
            <w:tcBorders>
              <w:top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Pyridoxin</w:t>
            </w:r>
          </w:p>
        </w:tc>
        <w:tc>
          <w:tcPr>
            <w:tcW w:w="2127"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0.54± 0.010</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Pantothenic acid</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2.34± 0.143</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Biotin</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0.6± 0.016</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Thiamine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7.68± 0.128</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Riboflavin</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1.57± 0.027</w:t>
            </w:r>
          </w:p>
        </w:tc>
      </w:tr>
      <w:tr w:rsidR="00EB0B65" w:rsidRPr="005472D3" w:rsidTr="008E6494">
        <w:tc>
          <w:tcPr>
            <w:tcW w:w="407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Folic acid</w:t>
            </w:r>
          </w:p>
        </w:tc>
        <w:tc>
          <w:tcPr>
            <w:tcW w:w="2127" w:type="dxa"/>
            <w:tcBorders>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0.027± 0.002</w:t>
            </w:r>
          </w:p>
        </w:tc>
      </w:tr>
      <w:tr w:rsidR="00EB0B65" w:rsidRPr="005472D3" w:rsidTr="008E6494">
        <w:tc>
          <w:tcPr>
            <w:tcW w:w="407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proofErr w:type="spellStart"/>
            <w:r w:rsidRPr="005472D3">
              <w:rPr>
                <w:rFonts w:ascii="Arial" w:eastAsia="Times New Roman" w:hAnsi="Arial" w:cs="Arial"/>
                <w:sz w:val="20"/>
                <w:szCs w:val="20"/>
              </w:rPr>
              <w:t>Cyanocobalamine</w:t>
            </w:r>
            <w:proofErr w:type="spellEnd"/>
          </w:p>
        </w:tc>
        <w:tc>
          <w:tcPr>
            <w:tcW w:w="2127" w:type="dxa"/>
            <w:tcBorders>
              <w:top w:val="nil"/>
              <w:bottom w:val="single" w:sz="4" w:space="0" w:color="auto"/>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0.032± 0.004</w:t>
            </w:r>
          </w:p>
        </w:tc>
      </w:tr>
      <w:tr w:rsidR="00EB0B65" w:rsidRPr="005472D3" w:rsidTr="008E6494">
        <w:trPr>
          <w:trHeight w:val="355"/>
        </w:trPr>
        <w:tc>
          <w:tcPr>
            <w:tcW w:w="407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Vitamins (</w:t>
            </w:r>
            <w:r w:rsidRPr="005472D3">
              <w:rPr>
                <w:rFonts w:ascii="Arial" w:eastAsia="Times New Roman" w:hAnsi="Arial" w:cs="Arial"/>
                <w:b/>
                <w:sz w:val="20"/>
                <w:szCs w:val="20"/>
              </w:rPr>
              <w:t>µg/100 g)</w:t>
            </w:r>
            <w:r w:rsidRPr="005472D3">
              <w:rPr>
                <w:rFonts w:ascii="Arial" w:eastAsia="Times New Roman" w:hAnsi="Arial" w:cs="Arial"/>
                <w:b/>
                <w:bCs/>
                <w:sz w:val="20"/>
                <w:szCs w:val="20"/>
              </w:rPr>
              <w:t xml:space="preserve"> - Fat soluble</w:t>
            </w:r>
          </w:p>
        </w:tc>
        <w:tc>
          <w:tcPr>
            <w:tcW w:w="2835"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D1</w:t>
            </w:r>
          </w:p>
        </w:tc>
        <w:tc>
          <w:tcPr>
            <w:tcW w:w="2127" w:type="dxa"/>
            <w:tcBorders>
              <w:top w:val="single" w:sz="4" w:space="0" w:color="auto"/>
              <w:bottom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0.007± 0.00</w:t>
            </w:r>
          </w:p>
        </w:tc>
      </w:tr>
      <w:tr w:rsidR="00EB0B65" w:rsidRPr="005472D3" w:rsidTr="008E6494">
        <w:tc>
          <w:tcPr>
            <w:tcW w:w="4077" w:type="dxa"/>
            <w:tcBorders>
              <w:top w:val="nil"/>
            </w:tcBorders>
            <w:hideMark/>
          </w:tcPr>
          <w:p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D2</w:t>
            </w:r>
          </w:p>
        </w:tc>
        <w:tc>
          <w:tcPr>
            <w:tcW w:w="2127" w:type="dxa"/>
            <w:tcBorders>
              <w:top w:val="nil"/>
            </w:tcBorders>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0.216± 0.018</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Tocopherol (Vitamin E)</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13.23± 0.794</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K2</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0.051± 0.005</w:t>
            </w:r>
          </w:p>
        </w:tc>
      </w:tr>
      <w:tr w:rsidR="00EB0B65" w:rsidRPr="005472D3" w:rsidTr="008E6494">
        <w:tc>
          <w:tcPr>
            <w:tcW w:w="4077" w:type="dxa"/>
            <w:hideMark/>
          </w:tcPr>
          <w:p w:rsidR="00EB0B65" w:rsidRPr="005472D3" w:rsidRDefault="00EB0B65" w:rsidP="005472D3">
            <w:pPr>
              <w:spacing w:line="480" w:lineRule="auto"/>
              <w:rPr>
                <w:rFonts w:ascii="Arial" w:eastAsia="Times New Roman" w:hAnsi="Arial" w:cs="Arial"/>
                <w:sz w:val="20"/>
                <w:szCs w:val="20"/>
              </w:rPr>
            </w:pPr>
          </w:p>
        </w:tc>
        <w:tc>
          <w:tcPr>
            <w:tcW w:w="2835"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K1</w:t>
            </w:r>
          </w:p>
        </w:tc>
        <w:tc>
          <w:tcPr>
            <w:tcW w:w="2127" w:type="dxa"/>
            <w:hideMark/>
          </w:tcPr>
          <w:p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0.033± 0.004</w:t>
            </w:r>
          </w:p>
        </w:tc>
      </w:tr>
    </w:tbl>
    <w:p w:rsidR="009E6167" w:rsidRPr="00674758" w:rsidRDefault="00197856" w:rsidP="005D035B">
      <w:pPr>
        <w:pStyle w:val="NormalWeb"/>
        <w:rPr>
          <w:rStyle w:val="Strong"/>
          <w:rFonts w:ascii="Arial" w:hAnsi="Arial" w:cs="Arial"/>
          <w:b w:val="0"/>
          <w:sz w:val="20"/>
          <w:szCs w:val="20"/>
        </w:rPr>
      </w:pPr>
      <w:r w:rsidRPr="00674758">
        <w:rPr>
          <w:rStyle w:val="Strong"/>
          <w:rFonts w:ascii="Arial" w:hAnsi="Arial" w:cs="Arial"/>
          <w:b w:val="0"/>
          <w:sz w:val="20"/>
          <w:szCs w:val="20"/>
        </w:rPr>
        <w:t xml:space="preserve">(Ananta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2023</w:t>
      </w:r>
      <w:r w:rsidR="005570AE" w:rsidRPr="00674758">
        <w:rPr>
          <w:rStyle w:val="Strong"/>
          <w:rFonts w:ascii="Arial" w:hAnsi="Arial" w:cs="Arial"/>
          <w:b w:val="0"/>
          <w:sz w:val="20"/>
          <w:szCs w:val="20"/>
        </w:rPr>
        <w:t xml:space="preserve">; </w:t>
      </w:r>
      <w:r w:rsidR="005570AE" w:rsidRPr="00674758">
        <w:rPr>
          <w:rFonts w:ascii="Arial" w:hAnsi="Arial" w:cs="Arial"/>
          <w:sz w:val="20"/>
          <w:szCs w:val="20"/>
        </w:rPr>
        <w:t>Paul and Dey, 2014</w:t>
      </w:r>
      <w:r w:rsidRPr="00674758">
        <w:rPr>
          <w:rStyle w:val="Strong"/>
          <w:rFonts w:ascii="Arial" w:hAnsi="Arial" w:cs="Arial"/>
          <w:b w:val="0"/>
          <w:sz w:val="20"/>
          <w:szCs w:val="20"/>
        </w:rPr>
        <w:t>)</w:t>
      </w:r>
    </w:p>
    <w:p w:rsidR="005D035B" w:rsidRPr="00F24BE4" w:rsidRDefault="00F24BE4" w:rsidP="00F24BE4">
      <w:pPr>
        <w:pStyle w:val="NormalWeb"/>
        <w:numPr>
          <w:ilvl w:val="0"/>
          <w:numId w:val="3"/>
        </w:numPr>
        <w:ind w:left="284" w:hanging="284"/>
        <w:rPr>
          <w:rStyle w:val="Strong"/>
          <w:rFonts w:ascii="Arial" w:hAnsi="Arial" w:cs="Arial"/>
          <w:sz w:val="22"/>
          <w:szCs w:val="22"/>
        </w:rPr>
      </w:pPr>
      <w:r w:rsidRPr="00F24BE4">
        <w:rPr>
          <w:rStyle w:val="Strong"/>
          <w:rFonts w:ascii="Arial" w:hAnsi="Arial" w:cs="Arial"/>
          <w:sz w:val="22"/>
          <w:szCs w:val="22"/>
        </w:rPr>
        <w:t>SOURCES AND EXTRACTION OF TASAR PUPAL OIL</w:t>
      </w:r>
    </w:p>
    <w:p w:rsidR="00B516D9" w:rsidRPr="00674758" w:rsidRDefault="00B516D9" w:rsidP="00B516D9">
      <w:pPr>
        <w:pStyle w:val="NormalWeb"/>
        <w:jc w:val="both"/>
        <w:rPr>
          <w:rFonts w:ascii="Arial" w:hAnsi="Arial" w:cs="Arial"/>
          <w:sz w:val="20"/>
        </w:rPr>
      </w:pPr>
      <w:proofErr w:type="spellStart"/>
      <w:r w:rsidRPr="00674758">
        <w:rPr>
          <w:rFonts w:ascii="Arial" w:hAnsi="Arial" w:cs="Arial"/>
          <w:sz w:val="20"/>
        </w:rPr>
        <w:t>Tasar</w:t>
      </w:r>
      <w:proofErr w:type="spellEnd"/>
      <w:r w:rsidRPr="00674758">
        <w:rPr>
          <w:rFonts w:ascii="Arial" w:hAnsi="Arial" w:cs="Arial"/>
          <w:sz w:val="20"/>
        </w:rPr>
        <w:t xml:space="preserve"> silkworm (</w:t>
      </w:r>
      <w:proofErr w:type="spellStart"/>
      <w:r w:rsidRPr="00674758">
        <w:rPr>
          <w:rFonts w:ascii="Arial" w:hAnsi="Arial" w:cs="Arial"/>
          <w:i/>
          <w:sz w:val="20"/>
        </w:rPr>
        <w:t>Antheraeamylitta</w:t>
      </w:r>
      <w:proofErr w:type="spellEnd"/>
      <w:r w:rsidRPr="00674758">
        <w:rPr>
          <w:rFonts w:ascii="Arial" w:hAnsi="Arial" w:cs="Arial"/>
          <w:sz w:val="20"/>
        </w:rPr>
        <w:t xml:space="preserve">) undergoes complete metamorphosis through four distinct stages: egg, larva, pupa, and adult. The pupal stage, typically weighing between 9–16 grams, is especially significant for its lipid-rich profile and serves as the primary source for pupal oil </w:t>
      </w:r>
      <w:r w:rsidRPr="00413E6C">
        <w:rPr>
          <w:rFonts w:ascii="Arial" w:hAnsi="Arial" w:cs="Arial"/>
          <w:sz w:val="20"/>
        </w:rPr>
        <w:t>extraction (</w:t>
      </w:r>
      <w:proofErr w:type="spellStart"/>
      <w:r w:rsidRPr="00413E6C">
        <w:rPr>
          <w:rFonts w:ascii="Arial" w:hAnsi="Arial" w:cs="Arial"/>
          <w:sz w:val="20"/>
        </w:rPr>
        <w:t>Barsagade</w:t>
      </w:r>
      <w:proofErr w:type="spellEnd"/>
      <w:r w:rsidRPr="00413E6C">
        <w:rPr>
          <w:rFonts w:ascii="Arial" w:hAnsi="Arial" w:cs="Arial"/>
          <w:sz w:val="20"/>
        </w:rPr>
        <w:t>, 2017). After the silk has been reeled from the cocoon, the residual pupae, referred to as “spent pupae” are collected as a major by-product of</w:t>
      </w:r>
      <w:r w:rsidR="0090515A" w:rsidRPr="00413E6C">
        <w:rPr>
          <w:rFonts w:ascii="Arial" w:hAnsi="Arial" w:cs="Arial"/>
          <w:sz w:val="20"/>
        </w:rPr>
        <w:t xml:space="preserve"> the sericulture industry (</w:t>
      </w:r>
      <w:proofErr w:type="spellStart"/>
      <w:r w:rsidR="0090515A" w:rsidRPr="00413E6C">
        <w:rPr>
          <w:rFonts w:ascii="Arial" w:hAnsi="Arial" w:cs="Arial"/>
          <w:sz w:val="20"/>
        </w:rPr>
        <w:t>Dash</w:t>
      </w:r>
      <w:r w:rsidRPr="00413E6C">
        <w:rPr>
          <w:rFonts w:ascii="Arial" w:hAnsi="Arial" w:cs="Arial"/>
          <w:i/>
          <w:sz w:val="20"/>
        </w:rPr>
        <w:t>et</w:t>
      </w:r>
      <w:proofErr w:type="spellEnd"/>
      <w:r w:rsidRPr="00413E6C">
        <w:rPr>
          <w:rFonts w:ascii="Arial" w:hAnsi="Arial" w:cs="Arial"/>
          <w:i/>
          <w:sz w:val="20"/>
        </w:rPr>
        <w:t xml:space="preserve"> al.,</w:t>
      </w:r>
      <w:r w:rsidR="0090515A" w:rsidRPr="00413E6C">
        <w:rPr>
          <w:rFonts w:ascii="Arial" w:hAnsi="Arial" w:cs="Arial"/>
          <w:sz w:val="20"/>
        </w:rPr>
        <w:t xml:space="preserve"> 2025</w:t>
      </w:r>
      <w:r w:rsidRPr="00413E6C">
        <w:rPr>
          <w:rFonts w:ascii="Arial" w:hAnsi="Arial" w:cs="Arial"/>
          <w:sz w:val="20"/>
        </w:rPr>
        <w:t xml:space="preserve">). To extract oil from the pupae, it is essential to first reduce their moisture content. This is achieved through various drying methods, including traditional sun-drying, oven-drying at controlled temperatures, and modern techniques like freeze-drying. Freeze-drying, although more expensive, is particularly effective in preserving heat-sensitive </w:t>
      </w:r>
      <w:proofErr w:type="spellStart"/>
      <w:r w:rsidRPr="00413E6C">
        <w:rPr>
          <w:rFonts w:ascii="Arial" w:hAnsi="Arial" w:cs="Arial"/>
          <w:sz w:val="20"/>
        </w:rPr>
        <w:t>bioactives</w:t>
      </w:r>
      <w:proofErr w:type="spellEnd"/>
      <w:r w:rsidRPr="00413E6C">
        <w:rPr>
          <w:rFonts w:ascii="Arial" w:hAnsi="Arial" w:cs="Arial"/>
          <w:sz w:val="20"/>
        </w:rPr>
        <w:t xml:space="preserve"> and ensuring high oil stability (</w:t>
      </w:r>
      <w:proofErr w:type="spellStart"/>
      <w:r w:rsidRPr="00413E6C">
        <w:rPr>
          <w:rFonts w:ascii="Arial" w:hAnsi="Arial" w:cs="Arial"/>
          <w:sz w:val="20"/>
        </w:rPr>
        <w:t>Habeanu</w:t>
      </w:r>
      <w:r w:rsidRPr="00413E6C">
        <w:rPr>
          <w:rFonts w:ascii="Arial" w:hAnsi="Arial" w:cs="Arial"/>
          <w:i/>
          <w:sz w:val="20"/>
        </w:rPr>
        <w:t>et</w:t>
      </w:r>
      <w:proofErr w:type="spellEnd"/>
      <w:r w:rsidRPr="00413E6C">
        <w:rPr>
          <w:rFonts w:ascii="Arial" w:hAnsi="Arial" w:cs="Arial"/>
          <w:i/>
          <w:sz w:val="20"/>
        </w:rPr>
        <w:t xml:space="preserve"> al.,</w:t>
      </w:r>
      <w:r w:rsidRPr="00413E6C">
        <w:rPr>
          <w:rFonts w:ascii="Arial" w:hAnsi="Arial" w:cs="Arial"/>
          <w:sz w:val="20"/>
        </w:rPr>
        <w:t xml:space="preserve"> 2023).</w:t>
      </w:r>
    </w:p>
    <w:p w:rsidR="00B516D9" w:rsidRPr="00E2697F" w:rsidRDefault="00B516D9" w:rsidP="00B516D9">
      <w:pPr>
        <w:pStyle w:val="NormalWeb"/>
        <w:jc w:val="both"/>
        <w:rPr>
          <w:rFonts w:ascii="Arial" w:hAnsi="Arial" w:cs="Arial"/>
          <w:sz w:val="20"/>
        </w:rPr>
      </w:pPr>
      <w:r w:rsidRPr="00674758">
        <w:rPr>
          <w:rFonts w:ascii="Arial" w:hAnsi="Arial" w:cs="Arial"/>
          <w:sz w:val="20"/>
        </w:rPr>
        <w:t xml:space="preserve">Oil extraction methodologies substantially influence both the yield and quality of </w:t>
      </w:r>
      <w:proofErr w:type="spellStart"/>
      <w:r w:rsidRPr="00674758">
        <w:rPr>
          <w:rFonts w:ascii="Arial" w:hAnsi="Arial" w:cs="Arial"/>
          <w:sz w:val="20"/>
        </w:rPr>
        <w:t>Tasar</w:t>
      </w:r>
      <w:proofErr w:type="spellEnd"/>
      <w:r w:rsidRPr="00674758">
        <w:rPr>
          <w:rFonts w:ascii="Arial" w:hAnsi="Arial" w:cs="Arial"/>
          <w:sz w:val="20"/>
        </w:rPr>
        <w:t xml:space="preserve"> pupal oil. Conventional Soxhlet extraction, which employs solvents such as </w:t>
      </w:r>
      <w:r w:rsidRPr="00885250">
        <w:rPr>
          <w:rFonts w:ascii="Arial" w:hAnsi="Arial" w:cs="Arial"/>
          <w:sz w:val="20"/>
          <w:highlight w:val="yellow"/>
        </w:rPr>
        <w:t>hex</w:t>
      </w:r>
      <w:r w:rsidR="00885250" w:rsidRPr="00885250">
        <w:rPr>
          <w:rFonts w:ascii="Arial" w:hAnsi="Arial" w:cs="Arial"/>
          <w:sz w:val="20"/>
          <w:highlight w:val="yellow"/>
        </w:rPr>
        <w:t>ane</w:t>
      </w:r>
      <w:r w:rsidRPr="00674758">
        <w:rPr>
          <w:rFonts w:ascii="Arial" w:hAnsi="Arial" w:cs="Arial"/>
          <w:sz w:val="20"/>
        </w:rPr>
        <w:t xml:space="preserve"> or petroleum ether, is the most widely adopted technique due to its high efficiency. However, concerns regarding solvent residues have led to the growing popularity of solvent-free alternatives such as cold press and mechanical pressing methods. While these yield slightly lower quantities of oil, they are preferred for food-grade and nutraceutical purposes due to the absence of chemical contaminan</w:t>
      </w:r>
      <w:r w:rsidR="00E2697F">
        <w:rPr>
          <w:rFonts w:ascii="Arial" w:hAnsi="Arial" w:cs="Arial"/>
          <w:sz w:val="20"/>
        </w:rPr>
        <w:t xml:space="preserve">ts </w:t>
      </w:r>
      <w:r w:rsidR="00E2697F" w:rsidRPr="00E2697F">
        <w:rPr>
          <w:rFonts w:ascii="Arial" w:hAnsi="Arial" w:cs="Arial"/>
          <w:sz w:val="20"/>
        </w:rPr>
        <w:t>(</w:t>
      </w:r>
      <w:proofErr w:type="spellStart"/>
      <w:r w:rsidR="00E2697F" w:rsidRPr="00E2697F">
        <w:rPr>
          <w:rFonts w:ascii="Arial" w:hAnsi="Arial" w:cs="Arial"/>
          <w:sz w:val="20"/>
        </w:rPr>
        <w:t>Zhao</w:t>
      </w:r>
      <w:r w:rsidRPr="00E2697F">
        <w:rPr>
          <w:rFonts w:ascii="Arial" w:hAnsi="Arial" w:cs="Arial"/>
          <w:i/>
          <w:sz w:val="20"/>
        </w:rPr>
        <w:t>et</w:t>
      </w:r>
      <w:proofErr w:type="spellEnd"/>
      <w:r w:rsidRPr="00E2697F">
        <w:rPr>
          <w:rFonts w:ascii="Arial" w:hAnsi="Arial" w:cs="Arial"/>
          <w:i/>
          <w:sz w:val="20"/>
        </w:rPr>
        <w:t xml:space="preserve"> al.,</w:t>
      </w:r>
      <w:r w:rsidRPr="00E2697F">
        <w:rPr>
          <w:rFonts w:ascii="Arial" w:hAnsi="Arial" w:cs="Arial"/>
          <w:sz w:val="20"/>
        </w:rPr>
        <w:t xml:space="preserve"> 2022</w:t>
      </w:r>
      <w:proofErr w:type="gramStart"/>
      <w:r w:rsidRPr="00E2697F">
        <w:rPr>
          <w:rFonts w:ascii="Arial" w:hAnsi="Arial" w:cs="Arial"/>
          <w:sz w:val="20"/>
        </w:rPr>
        <w:t>).</w:t>
      </w:r>
      <w:r w:rsidR="005D035B" w:rsidRPr="00E2697F">
        <w:rPr>
          <w:rFonts w:ascii="Arial" w:hAnsi="Arial" w:cs="Arial"/>
          <w:sz w:val="20"/>
        </w:rPr>
        <w:t>Supercritical</w:t>
      </w:r>
      <w:proofErr w:type="gramEnd"/>
      <w:r w:rsidR="005D035B" w:rsidRPr="00E2697F">
        <w:rPr>
          <w:rFonts w:ascii="Arial" w:hAnsi="Arial" w:cs="Arial"/>
          <w:sz w:val="20"/>
        </w:rPr>
        <w:t xml:space="preserve"> CO</w:t>
      </w:r>
      <w:r w:rsidR="005D035B" w:rsidRPr="00E2697F">
        <w:rPr>
          <w:rFonts w:cs="Arial"/>
          <w:sz w:val="20"/>
        </w:rPr>
        <w:t>₂</w:t>
      </w:r>
      <w:r w:rsidR="005D035B" w:rsidRPr="00E2697F">
        <w:rPr>
          <w:rFonts w:ascii="Arial" w:hAnsi="Arial" w:cs="Arial"/>
          <w:sz w:val="20"/>
        </w:rPr>
        <w:t xml:space="preserve"> extraction is another advanced technique that offers high selectivity, minimal solvent residues, and better preservation of heat-sensitive </w:t>
      </w:r>
      <w:proofErr w:type="spellStart"/>
      <w:r w:rsidR="005D035B" w:rsidRPr="00E2697F">
        <w:rPr>
          <w:rFonts w:ascii="Arial" w:hAnsi="Arial" w:cs="Arial"/>
          <w:sz w:val="20"/>
        </w:rPr>
        <w:t>bioactives</w:t>
      </w:r>
      <w:proofErr w:type="spellEnd"/>
      <w:r w:rsidR="005D035B" w:rsidRPr="00E2697F">
        <w:rPr>
          <w:rFonts w:ascii="Arial" w:hAnsi="Arial" w:cs="Arial"/>
          <w:sz w:val="20"/>
        </w:rPr>
        <w:t xml:space="preserve">. </w:t>
      </w:r>
      <w:r w:rsidRPr="00E2697F">
        <w:rPr>
          <w:rFonts w:ascii="Arial" w:hAnsi="Arial" w:cs="Arial"/>
          <w:sz w:val="20"/>
        </w:rPr>
        <w:t xml:space="preserve">This method offers enhanced selectivity, leaves no solvent residue, and enables better retention of bioactive components like tocopherols, sterols, and polyunsaturated fatty acids (Tao </w:t>
      </w:r>
      <w:r w:rsidRPr="00E2697F">
        <w:rPr>
          <w:rFonts w:ascii="Arial" w:hAnsi="Arial" w:cs="Arial"/>
          <w:i/>
          <w:sz w:val="20"/>
        </w:rPr>
        <w:t>et al.,</w:t>
      </w:r>
      <w:r w:rsidRPr="00E2697F">
        <w:rPr>
          <w:rFonts w:ascii="Arial" w:hAnsi="Arial" w:cs="Arial"/>
          <w:sz w:val="20"/>
        </w:rPr>
        <w:t xml:space="preserve"> 2014; Jun </w:t>
      </w:r>
      <w:r w:rsidRPr="00E2697F">
        <w:rPr>
          <w:rFonts w:ascii="Arial" w:hAnsi="Arial" w:cs="Arial"/>
          <w:i/>
          <w:sz w:val="20"/>
        </w:rPr>
        <w:t>et al.,</w:t>
      </w:r>
      <w:r w:rsidRPr="00E2697F">
        <w:rPr>
          <w:rFonts w:ascii="Arial" w:hAnsi="Arial" w:cs="Arial"/>
          <w:sz w:val="20"/>
        </w:rPr>
        <w:t xml:space="preserve"> 2010). Despite its high setup costs, it is gaining traction for the extraction of high-value oils destined for pharmaceutical and cosmetic applications.</w:t>
      </w:r>
    </w:p>
    <w:p w:rsidR="00EB20B2" w:rsidRPr="00674758" w:rsidRDefault="00B516D9" w:rsidP="00674758">
      <w:pPr>
        <w:pStyle w:val="NormalWeb"/>
        <w:jc w:val="both"/>
        <w:rPr>
          <w:rFonts w:ascii="Arial" w:hAnsi="Arial" w:cs="Arial"/>
          <w:sz w:val="20"/>
        </w:rPr>
      </w:pPr>
      <w:r w:rsidRPr="00E2697F">
        <w:rPr>
          <w:rFonts w:ascii="Arial" w:hAnsi="Arial" w:cs="Arial"/>
          <w:sz w:val="20"/>
        </w:rPr>
        <w:t xml:space="preserve">Several variables affect the oil yield from </w:t>
      </w:r>
      <w:proofErr w:type="spellStart"/>
      <w:r w:rsidRPr="00E2697F">
        <w:rPr>
          <w:rFonts w:ascii="Arial" w:hAnsi="Arial" w:cs="Arial"/>
          <w:sz w:val="20"/>
        </w:rPr>
        <w:t>Tasar</w:t>
      </w:r>
      <w:proofErr w:type="spellEnd"/>
      <w:r w:rsidRPr="00E2697F">
        <w:rPr>
          <w:rFonts w:ascii="Arial" w:hAnsi="Arial" w:cs="Arial"/>
          <w:sz w:val="20"/>
        </w:rPr>
        <w:t xml:space="preserve"> pupae, including the moisture level at the time of drying, solvent polarity, temperature, and extraction duration. Re</w:t>
      </w:r>
      <w:r w:rsidR="00674758" w:rsidRPr="00E2697F">
        <w:rPr>
          <w:rFonts w:ascii="Arial" w:hAnsi="Arial" w:cs="Arial"/>
          <w:sz w:val="20"/>
        </w:rPr>
        <w:t xml:space="preserve">ported yields range from 20% to </w:t>
      </w:r>
      <w:r w:rsidR="00EB20B2" w:rsidRPr="00E2697F">
        <w:rPr>
          <w:rFonts w:ascii="Arial" w:hAnsi="Arial" w:cs="Arial"/>
          <w:sz w:val="20"/>
        </w:rPr>
        <w:t>32.2% of the pupal dry weight (</w:t>
      </w:r>
      <w:proofErr w:type="spellStart"/>
      <w:r w:rsidR="00EB20B2" w:rsidRPr="00E2697F">
        <w:rPr>
          <w:rFonts w:ascii="Arial" w:hAnsi="Arial" w:cs="Arial"/>
          <w:sz w:val="20"/>
        </w:rPr>
        <w:t>Habeanu</w:t>
      </w:r>
      <w:r w:rsidR="00EB20B2" w:rsidRPr="00E2697F">
        <w:rPr>
          <w:rFonts w:ascii="Arial" w:hAnsi="Arial" w:cs="Arial"/>
          <w:i/>
          <w:sz w:val="20"/>
        </w:rPr>
        <w:t>et</w:t>
      </w:r>
      <w:proofErr w:type="spellEnd"/>
      <w:r w:rsidR="00EB20B2" w:rsidRPr="00E2697F">
        <w:rPr>
          <w:rFonts w:ascii="Arial" w:hAnsi="Arial" w:cs="Arial"/>
          <w:i/>
          <w:sz w:val="20"/>
        </w:rPr>
        <w:t xml:space="preserve"> al.,</w:t>
      </w:r>
      <w:r w:rsidR="00EB20B2" w:rsidRPr="00E2697F">
        <w:rPr>
          <w:rFonts w:ascii="Arial" w:hAnsi="Arial" w:cs="Arial"/>
          <w:sz w:val="20"/>
        </w:rPr>
        <w:t xml:space="preserve"> 2023). The extracted oil is typically golden-yellow with a mild nutty aroma. Its oxidative stability is attributed to its high content of antioxidants such as tocopherols and carotenoids (Srivastava </w:t>
      </w:r>
      <w:r w:rsidR="00EB20B2" w:rsidRPr="00E2697F">
        <w:rPr>
          <w:rFonts w:ascii="Arial" w:hAnsi="Arial" w:cs="Arial"/>
          <w:i/>
          <w:sz w:val="20"/>
        </w:rPr>
        <w:t>et al.,</w:t>
      </w:r>
      <w:r w:rsidR="00EB20B2" w:rsidRPr="00E2697F">
        <w:rPr>
          <w:rFonts w:ascii="Arial" w:hAnsi="Arial" w:cs="Arial"/>
          <w:sz w:val="20"/>
        </w:rPr>
        <w:t xml:space="preserve"> 2023a). Continued optimization of extraction parameters and standardization across commercial scales remain vital to maximizing</w:t>
      </w:r>
      <w:r w:rsidR="00EB20B2" w:rsidRPr="00674758">
        <w:rPr>
          <w:rFonts w:ascii="Arial" w:hAnsi="Arial" w:cs="Arial"/>
          <w:sz w:val="20"/>
        </w:rPr>
        <w:t xml:space="preserve"> yield while preserving the </w:t>
      </w:r>
      <w:proofErr w:type="spellStart"/>
      <w:r w:rsidR="00EB20B2" w:rsidRPr="00674758">
        <w:rPr>
          <w:rFonts w:ascii="Arial" w:hAnsi="Arial" w:cs="Arial"/>
          <w:sz w:val="20"/>
        </w:rPr>
        <w:t>biofunctional</w:t>
      </w:r>
      <w:proofErr w:type="spellEnd"/>
      <w:r w:rsidR="00EB20B2" w:rsidRPr="00674758">
        <w:rPr>
          <w:rFonts w:ascii="Arial" w:hAnsi="Arial" w:cs="Arial"/>
          <w:sz w:val="20"/>
        </w:rPr>
        <w:t xml:space="preserve"> components of </w:t>
      </w:r>
      <w:proofErr w:type="spellStart"/>
      <w:r w:rsidR="00EB20B2" w:rsidRPr="00674758">
        <w:rPr>
          <w:rFonts w:ascii="Arial" w:hAnsi="Arial" w:cs="Arial"/>
          <w:sz w:val="20"/>
        </w:rPr>
        <w:t>Tasar</w:t>
      </w:r>
      <w:proofErr w:type="spellEnd"/>
      <w:r w:rsidR="00EB20B2" w:rsidRPr="00674758">
        <w:rPr>
          <w:rFonts w:ascii="Arial" w:hAnsi="Arial" w:cs="Arial"/>
          <w:sz w:val="20"/>
        </w:rPr>
        <w:t xml:space="preserve"> pupal oil. These improvements are crucial for elevating the economic and industrial viability of TPO in the food, health, and cosmetic sectors.</w:t>
      </w:r>
    </w:p>
    <w:p w:rsidR="00EB20B2" w:rsidRDefault="00EB20B2" w:rsidP="00B516D9">
      <w:pPr>
        <w:pStyle w:val="NormalWeb"/>
        <w:jc w:val="both"/>
        <w:rPr>
          <w:noProof/>
        </w:rPr>
      </w:pPr>
      <w:r>
        <w:rPr>
          <w:noProof/>
        </w:rPr>
        <w:lastRenderedPageBreak/>
        <w:drawing>
          <wp:inline distT="0" distB="0" distL="0" distR="0">
            <wp:extent cx="2761926" cy="2862112"/>
            <wp:effectExtent l="19050" t="0" r="32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t="1600"/>
                    <a:stretch>
                      <a:fillRect/>
                    </a:stretch>
                  </pic:blipFill>
                  <pic:spPr bwMode="auto">
                    <a:xfrm>
                      <a:off x="0" y="0"/>
                      <a:ext cx="2765977" cy="2866310"/>
                    </a:xfrm>
                    <a:prstGeom prst="rect">
                      <a:avLst/>
                    </a:prstGeom>
                    <a:noFill/>
                    <a:ln w="9525">
                      <a:noFill/>
                      <a:miter lim="800000"/>
                      <a:headEnd/>
                      <a:tailEnd/>
                    </a:ln>
                  </pic:spPr>
                </pic:pic>
              </a:graphicData>
            </a:graphic>
          </wp:inline>
        </w:drawing>
      </w:r>
    </w:p>
    <w:p w:rsidR="00EB20B2" w:rsidRPr="00674758" w:rsidRDefault="005570AE" w:rsidP="00B516D9">
      <w:pPr>
        <w:pStyle w:val="NormalWeb"/>
        <w:jc w:val="both"/>
        <w:rPr>
          <w:rFonts w:ascii="Arial" w:hAnsi="Arial" w:cs="Arial"/>
          <w:b/>
          <w:sz w:val="20"/>
        </w:rPr>
      </w:pPr>
      <w:r w:rsidRPr="00674758">
        <w:rPr>
          <w:rFonts w:ascii="Arial" w:hAnsi="Arial" w:cs="Arial"/>
          <w:b/>
          <w:noProof/>
          <w:sz w:val="20"/>
        </w:rPr>
        <w:t xml:space="preserve">Fig. 1. </w:t>
      </w:r>
      <w:r w:rsidRPr="00674758">
        <w:rPr>
          <w:rFonts w:ascii="Arial" w:hAnsi="Arial" w:cs="Arial"/>
          <w:b/>
          <w:sz w:val="20"/>
        </w:rPr>
        <w:t xml:space="preserve">Flowchart Illustrating the Extraction Process of </w:t>
      </w:r>
      <w:proofErr w:type="spellStart"/>
      <w:r w:rsidRPr="00674758">
        <w:rPr>
          <w:rFonts w:ascii="Arial" w:hAnsi="Arial" w:cs="Arial"/>
          <w:b/>
          <w:sz w:val="20"/>
        </w:rPr>
        <w:t>Tasar</w:t>
      </w:r>
      <w:proofErr w:type="spellEnd"/>
      <w:r w:rsidRPr="00674758">
        <w:rPr>
          <w:rFonts w:ascii="Arial" w:hAnsi="Arial" w:cs="Arial"/>
          <w:b/>
          <w:sz w:val="20"/>
        </w:rPr>
        <w:t xml:space="preserve"> Silkworm (</w:t>
      </w:r>
      <w:proofErr w:type="spellStart"/>
      <w:r w:rsidRPr="00674758">
        <w:rPr>
          <w:rStyle w:val="Emphasis"/>
          <w:rFonts w:ascii="Arial" w:hAnsi="Arial" w:cs="Arial"/>
          <w:b/>
          <w:sz w:val="20"/>
        </w:rPr>
        <w:t>Antheraeamylitta</w:t>
      </w:r>
      <w:proofErr w:type="spellEnd"/>
      <w:r w:rsidRPr="00674758">
        <w:rPr>
          <w:rFonts w:ascii="Arial" w:hAnsi="Arial" w:cs="Arial"/>
          <w:b/>
          <w:sz w:val="20"/>
        </w:rPr>
        <w:t>) Pupal Oil</w:t>
      </w:r>
    </w:p>
    <w:p w:rsidR="00F72D4B"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PHYSICOCHEMICAL AND NUTRITIONAL COMPOSITION</w:t>
      </w:r>
    </w:p>
    <w:p w:rsidR="00F72D4B" w:rsidRPr="00674758" w:rsidRDefault="00F72D4B" w:rsidP="00625DC9">
      <w:pPr>
        <w:pStyle w:val="NormalWeb"/>
        <w:jc w:val="both"/>
        <w:rPr>
          <w:rFonts w:ascii="Arial" w:hAnsi="Arial" w:cs="Arial"/>
          <w:sz w:val="20"/>
        </w:rPr>
      </w:pPr>
      <w:proofErr w:type="spellStart"/>
      <w:r w:rsidRPr="00674758">
        <w:rPr>
          <w:rFonts w:ascii="Arial" w:hAnsi="Arial" w:cs="Arial"/>
          <w:sz w:val="20"/>
        </w:rPr>
        <w:t>Tasar</w:t>
      </w:r>
      <w:proofErr w:type="spellEnd"/>
      <w:r w:rsidRPr="00674758">
        <w:rPr>
          <w:rFonts w:ascii="Arial" w:hAnsi="Arial" w:cs="Arial"/>
          <w:sz w:val="20"/>
        </w:rPr>
        <w:t xml:space="preserve"> pupal oil (TPO) possesses a unique chemical composition that imparts nutritional and therapeutic benefits. The primary constituents include triglycerides, free fatty acids, phospholipids, sterols, tocopherols, and minor </w:t>
      </w:r>
      <w:proofErr w:type="spellStart"/>
      <w:r w:rsidRPr="00674758">
        <w:rPr>
          <w:rFonts w:ascii="Arial" w:hAnsi="Arial" w:cs="Arial"/>
          <w:sz w:val="20"/>
        </w:rPr>
        <w:t>bioactives</w:t>
      </w:r>
      <w:proofErr w:type="spellEnd"/>
      <w:r w:rsidRPr="00674758">
        <w:rPr>
          <w:rFonts w:ascii="Arial" w:hAnsi="Arial" w:cs="Arial"/>
          <w:sz w:val="20"/>
        </w:rPr>
        <w:t xml:space="preserve"> such as carotenoids and phenolic compounds. These components influence its stability, health-promoting properties, and suitability for industrial applications.</w:t>
      </w:r>
    </w:p>
    <w:p w:rsidR="00625DC9" w:rsidRPr="00F24BE4" w:rsidRDefault="00F24BE4" w:rsidP="00625DC9">
      <w:pPr>
        <w:pStyle w:val="Heading3"/>
        <w:rPr>
          <w:rFonts w:ascii="Arial" w:hAnsi="Arial" w:cs="Arial"/>
          <w:sz w:val="22"/>
          <w:szCs w:val="22"/>
        </w:rPr>
      </w:pPr>
      <w:r w:rsidRPr="00F24BE4">
        <w:rPr>
          <w:rFonts w:ascii="Arial" w:hAnsi="Arial" w:cs="Arial"/>
          <w:sz w:val="22"/>
          <w:szCs w:val="22"/>
        </w:rPr>
        <w:t>4</w:t>
      </w:r>
      <w:r w:rsidR="00625DC9" w:rsidRPr="00F24BE4">
        <w:rPr>
          <w:rFonts w:ascii="Arial" w:hAnsi="Arial" w:cs="Arial"/>
          <w:sz w:val="22"/>
          <w:szCs w:val="22"/>
        </w:rPr>
        <w:t>.1 Physicochemical Properties</w:t>
      </w:r>
    </w:p>
    <w:p w:rsidR="00625DC9" w:rsidRPr="00E2697F" w:rsidRDefault="00625DC9" w:rsidP="00E2697F">
      <w:pPr>
        <w:pStyle w:val="NormalWeb"/>
        <w:jc w:val="both"/>
        <w:rPr>
          <w:rFonts w:ascii="Arial" w:hAnsi="Arial" w:cs="Arial"/>
          <w:sz w:val="20"/>
        </w:rPr>
      </w:pPr>
      <w:r w:rsidRPr="00674758">
        <w:rPr>
          <w:rFonts w:ascii="Arial" w:hAnsi="Arial" w:cs="Arial"/>
          <w:sz w:val="20"/>
        </w:rPr>
        <w:t>The physicochemical parameters of oils are important indicators of their quality, nutritional value, and potential applications. The refractive index of TPO (1.468) is comparable to that of maize and sunflower oil, which also exhibit values of 1.468. Specific gravity, a dimensionless unit representing the ratio of the density of a substance to that of water, was measured at 0.9156 in TPO. This value aligns with the range reported for olive oil (0.915–0.928), confirming the identity and physical consistency of TPO (</w:t>
      </w:r>
      <w:proofErr w:type="spellStart"/>
      <w:r w:rsidR="00674758" w:rsidRPr="00E2697F">
        <w:rPr>
          <w:rFonts w:ascii="Arial" w:hAnsi="Arial" w:cs="Arial"/>
          <w:sz w:val="20"/>
        </w:rPr>
        <w:t>Ichu</w:t>
      </w:r>
      <w:proofErr w:type="spellEnd"/>
      <w:r w:rsidR="00674758" w:rsidRPr="00E2697F">
        <w:rPr>
          <w:rFonts w:ascii="Arial" w:hAnsi="Arial" w:cs="Arial"/>
          <w:sz w:val="20"/>
        </w:rPr>
        <w:t xml:space="preserve"> and</w:t>
      </w:r>
      <w:r w:rsidRPr="00E2697F">
        <w:rPr>
          <w:rFonts w:ascii="Arial" w:hAnsi="Arial" w:cs="Arial"/>
          <w:sz w:val="20"/>
        </w:rPr>
        <w:t xml:space="preserve"> </w:t>
      </w:r>
      <w:proofErr w:type="spellStart"/>
      <w:r w:rsidRPr="00E2697F">
        <w:rPr>
          <w:rFonts w:ascii="Arial" w:hAnsi="Arial" w:cs="Arial"/>
          <w:sz w:val="20"/>
        </w:rPr>
        <w:t>Nwakanma</w:t>
      </w:r>
      <w:proofErr w:type="spellEnd"/>
      <w:r w:rsidRPr="00E2697F">
        <w:rPr>
          <w:rFonts w:ascii="Arial" w:hAnsi="Arial" w:cs="Arial"/>
          <w:sz w:val="20"/>
        </w:rPr>
        <w:t xml:space="preserve">, 2019; Yahaya </w:t>
      </w:r>
      <w:r w:rsidRPr="00E2697F">
        <w:rPr>
          <w:rFonts w:ascii="Arial" w:hAnsi="Arial" w:cs="Arial"/>
          <w:i/>
          <w:sz w:val="20"/>
        </w:rPr>
        <w:t>et al.,</w:t>
      </w:r>
      <w:r w:rsidRPr="00E2697F">
        <w:rPr>
          <w:rFonts w:ascii="Arial" w:hAnsi="Arial" w:cs="Arial"/>
          <w:sz w:val="20"/>
        </w:rPr>
        <w:t xml:space="preserve"> 2012).</w:t>
      </w:r>
    </w:p>
    <w:p w:rsidR="00625DC9" w:rsidRPr="00E2697F" w:rsidRDefault="00094F7B" w:rsidP="00E2697F">
      <w:pPr>
        <w:pStyle w:val="NormalWeb"/>
        <w:jc w:val="both"/>
        <w:rPr>
          <w:rFonts w:ascii="Arial" w:hAnsi="Arial" w:cs="Arial"/>
          <w:sz w:val="20"/>
        </w:rPr>
      </w:pPr>
      <w:r w:rsidRPr="00E2697F">
        <w:rPr>
          <w:rFonts w:ascii="Arial" w:hAnsi="Arial" w:cs="Arial"/>
          <w:sz w:val="20"/>
        </w:rPr>
        <w:t>The saponification value (SV) indicates the amount of alkali required to saponify a given quantity of fat or oil, reflecting the average molecular weig</w:t>
      </w:r>
      <w:r w:rsidR="00674758" w:rsidRPr="00E2697F">
        <w:rPr>
          <w:rFonts w:ascii="Arial" w:hAnsi="Arial" w:cs="Arial"/>
          <w:sz w:val="20"/>
        </w:rPr>
        <w:t>ht of the fatty acids present (R</w:t>
      </w:r>
      <w:r w:rsidRPr="00E2697F">
        <w:rPr>
          <w:rFonts w:ascii="Arial" w:hAnsi="Arial" w:cs="Arial"/>
          <w:sz w:val="20"/>
        </w:rPr>
        <w:t xml:space="preserve">avinder </w:t>
      </w:r>
      <w:r w:rsidRPr="00E2697F">
        <w:rPr>
          <w:rFonts w:ascii="Arial" w:hAnsi="Arial" w:cs="Arial"/>
          <w:i/>
          <w:sz w:val="20"/>
        </w:rPr>
        <w:t>et al.,</w:t>
      </w:r>
      <w:r w:rsidR="008D2B00" w:rsidRPr="00E2697F">
        <w:rPr>
          <w:rFonts w:ascii="Arial" w:hAnsi="Arial" w:cs="Arial"/>
          <w:sz w:val="20"/>
        </w:rPr>
        <w:t>2016</w:t>
      </w:r>
      <w:r w:rsidR="008D2B00" w:rsidRPr="00674758">
        <w:rPr>
          <w:rFonts w:ascii="Arial" w:hAnsi="Arial" w:cs="Arial"/>
          <w:sz w:val="20"/>
        </w:rPr>
        <w:t>)</w:t>
      </w:r>
      <w:r w:rsidRPr="00674758">
        <w:rPr>
          <w:rFonts w:ascii="Arial" w:hAnsi="Arial" w:cs="Arial"/>
          <w:sz w:val="20"/>
        </w:rPr>
        <w:t xml:space="preserve">. </w:t>
      </w:r>
      <w:proofErr w:type="spellStart"/>
      <w:r w:rsidRPr="00674758">
        <w:rPr>
          <w:rFonts w:ascii="Arial" w:hAnsi="Arial" w:cs="Arial"/>
          <w:sz w:val="20"/>
        </w:rPr>
        <w:t>Tasar</w:t>
      </w:r>
      <w:proofErr w:type="spellEnd"/>
      <w:r w:rsidRPr="00674758">
        <w:rPr>
          <w:rFonts w:ascii="Arial" w:hAnsi="Arial" w:cs="Arial"/>
          <w:sz w:val="20"/>
        </w:rPr>
        <w:t xml:space="preserve"> Pupal Oil (TPO) exhibited an SV of 154.75 mg KOH/g, suggesting the predominance of long-chain fatty acids. </w:t>
      </w:r>
      <w:r w:rsidR="00625DC9" w:rsidRPr="00674758">
        <w:rPr>
          <w:rFonts w:ascii="Arial" w:hAnsi="Arial" w:cs="Arial"/>
          <w:sz w:val="20"/>
        </w:rPr>
        <w:t xml:space="preserve">In comparison, mulberry pupal oil displayed a higher SV (187.78–201), suggesting shorter chain lengths. The peroxide value (PV) of </w:t>
      </w:r>
      <w:r w:rsidR="00625DC9" w:rsidRPr="00E2697F">
        <w:rPr>
          <w:rFonts w:ascii="Arial" w:hAnsi="Arial" w:cs="Arial"/>
          <w:sz w:val="20"/>
        </w:rPr>
        <w:t xml:space="preserve">TPO (16.20 </w:t>
      </w:r>
      <w:proofErr w:type="spellStart"/>
      <w:r w:rsidR="00625DC9" w:rsidRPr="00E2697F">
        <w:rPr>
          <w:rFonts w:ascii="Arial" w:hAnsi="Arial" w:cs="Arial"/>
          <w:sz w:val="20"/>
        </w:rPr>
        <w:t>meq</w:t>
      </w:r>
      <w:proofErr w:type="spellEnd"/>
      <w:r w:rsidR="00625DC9" w:rsidRPr="00E2697F">
        <w:rPr>
          <w:rFonts w:ascii="Arial" w:hAnsi="Arial" w:cs="Arial"/>
          <w:sz w:val="20"/>
        </w:rPr>
        <w:t>/kg) falls within acceptable oxidative stability ranges and is comparable to earlier findings (</w:t>
      </w:r>
      <w:proofErr w:type="spellStart"/>
      <w:r w:rsidR="00625DC9" w:rsidRPr="00E2697F">
        <w:rPr>
          <w:rFonts w:ascii="Arial" w:hAnsi="Arial" w:cs="Arial"/>
          <w:sz w:val="20"/>
        </w:rPr>
        <w:t>Yeasmin</w:t>
      </w:r>
      <w:proofErr w:type="spellEnd"/>
      <w:r w:rsidR="00625DC9" w:rsidRPr="00E2697F">
        <w:rPr>
          <w:rFonts w:ascii="Arial" w:hAnsi="Arial" w:cs="Arial"/>
          <w:sz w:val="20"/>
        </w:rPr>
        <w:t xml:space="preserve"> </w:t>
      </w:r>
      <w:r w:rsidR="00625DC9" w:rsidRPr="00E2697F">
        <w:rPr>
          <w:rFonts w:ascii="Arial" w:hAnsi="Arial" w:cs="Arial"/>
          <w:i/>
          <w:sz w:val="20"/>
        </w:rPr>
        <w:t>et al.,</w:t>
      </w:r>
      <w:r w:rsidR="00625DC9" w:rsidRPr="00E2697F">
        <w:rPr>
          <w:rFonts w:ascii="Arial" w:hAnsi="Arial" w:cs="Arial"/>
          <w:sz w:val="20"/>
        </w:rPr>
        <w:t xml:space="preserve"> 2024). Acid value (AV), an indicator of </w:t>
      </w:r>
      <w:r w:rsidRPr="00E2697F">
        <w:rPr>
          <w:rFonts w:ascii="Arial" w:hAnsi="Arial" w:cs="Arial"/>
          <w:sz w:val="20"/>
        </w:rPr>
        <w:t>the amount of oxidation and rancidity in oil</w:t>
      </w:r>
      <w:r w:rsidR="00625DC9" w:rsidRPr="00E2697F">
        <w:rPr>
          <w:rFonts w:ascii="Arial" w:hAnsi="Arial" w:cs="Arial"/>
          <w:sz w:val="20"/>
        </w:rPr>
        <w:t>, was 6.24 mg KOH/g for TPO, significantly lower than FAO's permissible limits for edib</w:t>
      </w:r>
      <w:r w:rsidRPr="00E2697F">
        <w:rPr>
          <w:rFonts w:ascii="Arial" w:hAnsi="Arial" w:cs="Arial"/>
          <w:sz w:val="20"/>
        </w:rPr>
        <w:t>le oils (</w:t>
      </w:r>
      <w:proofErr w:type="spellStart"/>
      <w:r w:rsidRPr="00E2697F">
        <w:rPr>
          <w:rFonts w:ascii="Arial" w:hAnsi="Arial" w:cs="Arial"/>
          <w:sz w:val="20"/>
        </w:rPr>
        <w:t>Arasakumar</w:t>
      </w:r>
      <w:r w:rsidRPr="00E2697F">
        <w:rPr>
          <w:rFonts w:ascii="Arial" w:hAnsi="Arial" w:cs="Arial"/>
          <w:i/>
          <w:sz w:val="20"/>
        </w:rPr>
        <w:t>et</w:t>
      </w:r>
      <w:proofErr w:type="spellEnd"/>
      <w:r w:rsidRPr="00E2697F">
        <w:rPr>
          <w:rFonts w:ascii="Arial" w:hAnsi="Arial" w:cs="Arial"/>
          <w:i/>
          <w:sz w:val="20"/>
        </w:rPr>
        <w:t xml:space="preserve"> al.,</w:t>
      </w:r>
      <w:r w:rsidRPr="00E2697F">
        <w:rPr>
          <w:rFonts w:ascii="Arial" w:hAnsi="Arial" w:cs="Arial"/>
          <w:sz w:val="20"/>
        </w:rPr>
        <w:t xml:space="preserve"> 202</w:t>
      </w:r>
      <w:r w:rsidR="00674758" w:rsidRPr="00E2697F">
        <w:rPr>
          <w:rFonts w:ascii="Arial" w:hAnsi="Arial" w:cs="Arial"/>
          <w:sz w:val="20"/>
        </w:rPr>
        <w:t>1</w:t>
      </w:r>
      <w:r w:rsidRPr="00E2697F">
        <w:rPr>
          <w:rFonts w:ascii="Arial" w:hAnsi="Arial" w:cs="Arial"/>
          <w:sz w:val="20"/>
        </w:rPr>
        <w:t xml:space="preserve">; Parthasarathy </w:t>
      </w:r>
      <w:r w:rsidRPr="00E2697F">
        <w:rPr>
          <w:rFonts w:ascii="Arial" w:hAnsi="Arial" w:cs="Arial"/>
          <w:i/>
          <w:sz w:val="20"/>
        </w:rPr>
        <w:t>et al.,</w:t>
      </w:r>
      <w:r w:rsidRPr="00E2697F">
        <w:rPr>
          <w:rFonts w:ascii="Arial" w:hAnsi="Arial" w:cs="Arial"/>
          <w:sz w:val="20"/>
        </w:rPr>
        <w:t xml:space="preserve"> 2014</w:t>
      </w:r>
      <w:r w:rsidR="00625DC9" w:rsidRPr="00E2697F">
        <w:rPr>
          <w:rFonts w:ascii="Arial" w:hAnsi="Arial" w:cs="Arial"/>
          <w:sz w:val="20"/>
        </w:rPr>
        <w:t>).</w:t>
      </w:r>
    </w:p>
    <w:p w:rsidR="00625DC9" w:rsidRPr="00674758" w:rsidRDefault="00625DC9" w:rsidP="00625DC9">
      <w:pPr>
        <w:pStyle w:val="NormalWeb"/>
        <w:jc w:val="both"/>
        <w:rPr>
          <w:rFonts w:ascii="Arial" w:hAnsi="Arial" w:cs="Arial"/>
          <w:sz w:val="20"/>
        </w:rPr>
      </w:pPr>
      <w:r w:rsidRPr="00E2697F">
        <w:rPr>
          <w:rFonts w:ascii="Arial" w:hAnsi="Arial" w:cs="Arial"/>
          <w:sz w:val="20"/>
        </w:rPr>
        <w:t>Iodine value (IV), denoting the degree of unsaturation, was 40.33 g/100 g in TPO, indicating a moderate level of unsaturated bonds and oxidation potential</w:t>
      </w:r>
      <w:r w:rsidR="00094F7B" w:rsidRPr="00E2697F">
        <w:rPr>
          <w:rFonts w:ascii="Arial" w:hAnsi="Arial" w:cs="Arial"/>
          <w:sz w:val="20"/>
        </w:rPr>
        <w:t xml:space="preserve"> (Sanders, 2003)</w:t>
      </w:r>
      <w:r w:rsidRPr="00E2697F">
        <w:rPr>
          <w:rFonts w:ascii="Arial" w:hAnsi="Arial" w:cs="Arial"/>
          <w:sz w:val="20"/>
        </w:rPr>
        <w:t>. Ash content, representing the mineral composition, was 0.338%, higher than that of mulberry pupae oil (0.</w:t>
      </w:r>
      <w:r w:rsidRPr="00674758">
        <w:rPr>
          <w:rFonts w:ascii="Arial" w:hAnsi="Arial" w:cs="Arial"/>
          <w:sz w:val="20"/>
        </w:rPr>
        <w:t>147%). Overall, these parameters reflect the good oxidative stability and nutritional potential of TPO for industrial, dietary, and therapeutic uses.</w:t>
      </w:r>
    </w:p>
    <w:p w:rsidR="00C1789B" w:rsidRPr="00674758" w:rsidRDefault="00C1789B" w:rsidP="00F72D4B">
      <w:pPr>
        <w:pStyle w:val="NormalWeb"/>
        <w:rPr>
          <w:rFonts w:ascii="Arial" w:hAnsi="Arial" w:cs="Arial"/>
          <w:sz w:val="20"/>
        </w:rPr>
      </w:pPr>
      <w:r w:rsidRPr="00674758">
        <w:rPr>
          <w:rFonts w:ascii="Arial" w:hAnsi="Arial" w:cs="Arial"/>
          <w:b/>
          <w:sz w:val="20"/>
        </w:rPr>
        <w:lastRenderedPageBreak/>
        <w:t xml:space="preserve">Table 3. </w:t>
      </w:r>
      <w:r w:rsidR="00625DC9" w:rsidRPr="00674758">
        <w:rPr>
          <w:rStyle w:val="Strong"/>
          <w:rFonts w:ascii="Arial" w:hAnsi="Arial" w:cs="Arial"/>
          <w:sz w:val="20"/>
        </w:rPr>
        <w:t xml:space="preserve">Comparative Physicochemical Indicators Reflecting the Quality and Stability of </w:t>
      </w:r>
      <w:proofErr w:type="spellStart"/>
      <w:r w:rsidR="00625DC9" w:rsidRPr="00674758">
        <w:rPr>
          <w:rStyle w:val="Strong"/>
          <w:rFonts w:ascii="Arial" w:hAnsi="Arial" w:cs="Arial"/>
          <w:sz w:val="20"/>
        </w:rPr>
        <w:t>Tasar</w:t>
      </w:r>
      <w:proofErr w:type="spellEnd"/>
      <w:r w:rsidR="00625DC9" w:rsidRPr="00674758">
        <w:rPr>
          <w:rStyle w:val="Strong"/>
          <w:rFonts w:ascii="Arial" w:hAnsi="Arial" w:cs="Arial"/>
          <w:sz w:val="20"/>
        </w:rPr>
        <w:t xml:space="preserve"> and Mulberry Silkworm Pupal Oils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F29B6" w:rsidRPr="00674758" w:rsidTr="008E6494">
        <w:tc>
          <w:tcPr>
            <w:tcW w:w="3192" w:type="dxa"/>
            <w:tcBorders>
              <w:top w:val="single" w:sz="4" w:space="0" w:color="auto"/>
              <w:bottom w:val="single" w:sz="4" w:space="0" w:color="auto"/>
            </w:tcBorders>
          </w:tcPr>
          <w:p w:rsidR="007F29B6" w:rsidRPr="00674758" w:rsidRDefault="00C1789B" w:rsidP="00674758">
            <w:pPr>
              <w:pStyle w:val="NormalWeb"/>
              <w:spacing w:line="480" w:lineRule="auto"/>
              <w:rPr>
                <w:rFonts w:ascii="Arial" w:hAnsi="Arial" w:cs="Arial"/>
                <w:b/>
                <w:sz w:val="20"/>
              </w:rPr>
            </w:pPr>
            <w:r w:rsidRPr="00674758">
              <w:rPr>
                <w:rFonts w:ascii="Arial" w:hAnsi="Arial" w:cs="Arial"/>
                <w:b/>
                <w:sz w:val="20"/>
              </w:rPr>
              <w:t>Parameters</w:t>
            </w:r>
          </w:p>
        </w:tc>
        <w:tc>
          <w:tcPr>
            <w:tcW w:w="3192" w:type="dxa"/>
            <w:tcBorders>
              <w:top w:val="single" w:sz="4" w:space="0" w:color="auto"/>
              <w:bottom w:val="single" w:sz="4" w:space="0" w:color="auto"/>
            </w:tcBorders>
          </w:tcPr>
          <w:p w:rsidR="007F29B6" w:rsidRPr="00674758" w:rsidRDefault="007F29B6" w:rsidP="00674758">
            <w:pPr>
              <w:pStyle w:val="NormalWeb"/>
              <w:spacing w:line="480" w:lineRule="auto"/>
              <w:rPr>
                <w:rFonts w:ascii="Arial" w:hAnsi="Arial" w:cs="Arial"/>
                <w:b/>
                <w:sz w:val="20"/>
              </w:rPr>
            </w:pPr>
            <w:proofErr w:type="spellStart"/>
            <w:r w:rsidRPr="00674758">
              <w:rPr>
                <w:rFonts w:ascii="Arial" w:hAnsi="Arial" w:cs="Arial"/>
                <w:b/>
                <w:sz w:val="20"/>
              </w:rPr>
              <w:t>Tasar</w:t>
            </w:r>
            <w:proofErr w:type="spellEnd"/>
            <w:r w:rsidRPr="00674758">
              <w:rPr>
                <w:rFonts w:ascii="Arial" w:hAnsi="Arial" w:cs="Arial"/>
                <w:b/>
                <w:sz w:val="20"/>
              </w:rPr>
              <w:t xml:space="preserve"> Pupal oil</w:t>
            </w:r>
          </w:p>
        </w:tc>
        <w:tc>
          <w:tcPr>
            <w:tcW w:w="3192" w:type="dxa"/>
            <w:tcBorders>
              <w:top w:val="single" w:sz="4" w:space="0" w:color="auto"/>
              <w:bottom w:val="single" w:sz="4" w:space="0" w:color="auto"/>
            </w:tcBorders>
          </w:tcPr>
          <w:p w:rsidR="007F29B6" w:rsidRPr="00674758" w:rsidRDefault="007F29B6" w:rsidP="00674758">
            <w:pPr>
              <w:pStyle w:val="NormalWeb"/>
              <w:spacing w:line="480" w:lineRule="auto"/>
              <w:rPr>
                <w:rFonts w:ascii="Arial" w:hAnsi="Arial" w:cs="Arial"/>
                <w:b/>
                <w:sz w:val="20"/>
              </w:rPr>
            </w:pPr>
            <w:r w:rsidRPr="00674758">
              <w:rPr>
                <w:rFonts w:ascii="Arial" w:hAnsi="Arial" w:cs="Arial"/>
                <w:b/>
                <w:sz w:val="20"/>
              </w:rPr>
              <w:t>Mulberry pupal oil</w:t>
            </w:r>
          </w:p>
        </w:tc>
      </w:tr>
      <w:tr w:rsidR="007F29B6" w:rsidRPr="00674758" w:rsidTr="008E6494">
        <w:tc>
          <w:tcPr>
            <w:tcW w:w="3192" w:type="dxa"/>
            <w:tcBorders>
              <w:top w:val="single" w:sz="4" w:space="0" w:color="auto"/>
              <w:bottom w:val="nil"/>
            </w:tcBorders>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 xml:space="preserve">Oil </w:t>
            </w:r>
            <w:proofErr w:type="spellStart"/>
            <w:r w:rsidRPr="00674758">
              <w:rPr>
                <w:rFonts w:ascii="Arial" w:hAnsi="Arial" w:cs="Arial"/>
                <w:sz w:val="20"/>
              </w:rPr>
              <w:t>colour</w:t>
            </w:r>
            <w:proofErr w:type="spellEnd"/>
          </w:p>
        </w:tc>
        <w:tc>
          <w:tcPr>
            <w:tcW w:w="3192" w:type="dxa"/>
            <w:tcBorders>
              <w:top w:val="single" w:sz="4" w:space="0" w:color="auto"/>
              <w:bottom w:val="nil"/>
            </w:tcBorders>
          </w:tcPr>
          <w:p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 xml:space="preserve">Orange </w:t>
            </w:r>
            <w:proofErr w:type="spellStart"/>
            <w:r w:rsidRPr="00674758">
              <w:rPr>
                <w:rFonts w:ascii="Arial" w:hAnsi="Arial" w:cs="Arial"/>
                <w:sz w:val="20"/>
              </w:rPr>
              <w:t>colour</w:t>
            </w:r>
            <w:proofErr w:type="spellEnd"/>
          </w:p>
        </w:tc>
        <w:tc>
          <w:tcPr>
            <w:tcW w:w="3192" w:type="dxa"/>
            <w:tcBorders>
              <w:top w:val="single" w:sz="4" w:space="0" w:color="auto"/>
              <w:bottom w:val="nil"/>
            </w:tcBorders>
          </w:tcPr>
          <w:p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 xml:space="preserve">Brownish tinge </w:t>
            </w:r>
            <w:proofErr w:type="spellStart"/>
            <w:r w:rsidRPr="00674758">
              <w:rPr>
                <w:rFonts w:ascii="Arial" w:hAnsi="Arial" w:cs="Arial"/>
                <w:sz w:val="20"/>
              </w:rPr>
              <w:t>colour</w:t>
            </w:r>
            <w:proofErr w:type="spellEnd"/>
          </w:p>
        </w:tc>
      </w:tr>
      <w:tr w:rsidR="00C97AD7" w:rsidRPr="00674758" w:rsidTr="008E6494">
        <w:tc>
          <w:tcPr>
            <w:tcW w:w="3192" w:type="dxa"/>
            <w:tcBorders>
              <w:top w:val="nil"/>
            </w:tcBorders>
          </w:tcPr>
          <w:p w:rsidR="00C97AD7" w:rsidRPr="00674758" w:rsidRDefault="00C97AD7" w:rsidP="00674758">
            <w:pPr>
              <w:pStyle w:val="NormalWeb"/>
              <w:spacing w:line="480" w:lineRule="auto"/>
              <w:rPr>
                <w:rFonts w:ascii="Arial" w:hAnsi="Arial" w:cs="Arial"/>
                <w:sz w:val="20"/>
              </w:rPr>
            </w:pPr>
            <w:r w:rsidRPr="00674758">
              <w:rPr>
                <w:rFonts w:ascii="Arial" w:hAnsi="Arial" w:cs="Arial"/>
                <w:sz w:val="20"/>
              </w:rPr>
              <w:t>pH</w:t>
            </w:r>
          </w:p>
        </w:tc>
        <w:tc>
          <w:tcPr>
            <w:tcW w:w="3192" w:type="dxa"/>
            <w:tcBorders>
              <w:top w:val="nil"/>
            </w:tcBorders>
          </w:tcPr>
          <w:p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6.17</w:t>
            </w:r>
          </w:p>
        </w:tc>
        <w:tc>
          <w:tcPr>
            <w:tcW w:w="3192" w:type="dxa"/>
            <w:tcBorders>
              <w:top w:val="nil"/>
            </w:tcBorders>
          </w:tcPr>
          <w:p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6.28</w:t>
            </w:r>
          </w:p>
        </w:tc>
      </w:tr>
      <w:tr w:rsidR="00C97AD7" w:rsidRPr="00674758" w:rsidTr="008E6494">
        <w:tc>
          <w:tcPr>
            <w:tcW w:w="3192" w:type="dxa"/>
          </w:tcPr>
          <w:p w:rsidR="00C97AD7" w:rsidRPr="00674758" w:rsidRDefault="00C97AD7" w:rsidP="00674758">
            <w:pPr>
              <w:pStyle w:val="NormalWeb"/>
              <w:spacing w:line="480" w:lineRule="auto"/>
              <w:rPr>
                <w:rFonts w:ascii="Arial" w:hAnsi="Arial" w:cs="Arial"/>
                <w:sz w:val="20"/>
              </w:rPr>
            </w:pPr>
            <w:r w:rsidRPr="00674758">
              <w:rPr>
                <w:rFonts w:ascii="Arial" w:hAnsi="Arial" w:cs="Arial"/>
                <w:sz w:val="20"/>
              </w:rPr>
              <w:t>Refractive index</w:t>
            </w:r>
          </w:p>
        </w:tc>
        <w:tc>
          <w:tcPr>
            <w:tcW w:w="3192" w:type="dxa"/>
          </w:tcPr>
          <w:p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1.468</w:t>
            </w:r>
          </w:p>
        </w:tc>
        <w:tc>
          <w:tcPr>
            <w:tcW w:w="3192" w:type="dxa"/>
          </w:tcPr>
          <w:p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1.452</w:t>
            </w:r>
          </w:p>
        </w:tc>
      </w:tr>
      <w:tr w:rsidR="007F29B6" w:rsidRPr="00674758" w:rsidTr="008E6494">
        <w:tc>
          <w:tcPr>
            <w:tcW w:w="3192" w:type="dxa"/>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Specific gravity</w:t>
            </w:r>
          </w:p>
        </w:tc>
        <w:tc>
          <w:tcPr>
            <w:tcW w:w="3192" w:type="dxa"/>
          </w:tcPr>
          <w:p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0.9156</w:t>
            </w:r>
          </w:p>
        </w:tc>
        <w:tc>
          <w:tcPr>
            <w:tcW w:w="3192" w:type="dxa"/>
          </w:tcPr>
          <w:p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0.9170</w:t>
            </w:r>
          </w:p>
        </w:tc>
      </w:tr>
      <w:tr w:rsidR="007F29B6" w:rsidRPr="00674758" w:rsidTr="008E6494">
        <w:tc>
          <w:tcPr>
            <w:tcW w:w="3192" w:type="dxa"/>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Saponification value</w:t>
            </w:r>
            <w:r w:rsidR="00C1789B" w:rsidRPr="00674758">
              <w:rPr>
                <w:rFonts w:ascii="Arial" w:hAnsi="Arial" w:cs="Arial"/>
                <w:sz w:val="20"/>
              </w:rPr>
              <w:t xml:space="preserve"> (mg KOH/g)</w:t>
            </w:r>
          </w:p>
        </w:tc>
        <w:tc>
          <w:tcPr>
            <w:tcW w:w="3192" w:type="dxa"/>
          </w:tcPr>
          <w:p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154.75</w:t>
            </w:r>
          </w:p>
        </w:tc>
        <w:tc>
          <w:tcPr>
            <w:tcW w:w="3192" w:type="dxa"/>
          </w:tcPr>
          <w:p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187.78-201</w:t>
            </w:r>
          </w:p>
        </w:tc>
      </w:tr>
      <w:tr w:rsidR="007F29B6" w:rsidRPr="00674758" w:rsidTr="008E6494">
        <w:tc>
          <w:tcPr>
            <w:tcW w:w="3192" w:type="dxa"/>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Peroxide value</w:t>
            </w:r>
            <w:r w:rsidR="00C1789B" w:rsidRPr="00674758">
              <w:rPr>
                <w:rFonts w:ascii="Arial" w:hAnsi="Arial" w:cs="Arial"/>
                <w:sz w:val="20"/>
              </w:rPr>
              <w:t xml:space="preserve"> (</w:t>
            </w:r>
            <w:proofErr w:type="spellStart"/>
            <w:r w:rsidR="00C1789B" w:rsidRPr="00674758">
              <w:rPr>
                <w:rFonts w:ascii="Arial" w:hAnsi="Arial" w:cs="Arial"/>
                <w:sz w:val="20"/>
              </w:rPr>
              <w:t>meq</w:t>
            </w:r>
            <w:proofErr w:type="spellEnd"/>
            <w:r w:rsidR="00C1789B" w:rsidRPr="00674758">
              <w:rPr>
                <w:rFonts w:ascii="Arial" w:hAnsi="Arial" w:cs="Arial"/>
                <w:sz w:val="20"/>
              </w:rPr>
              <w:t>/kg)</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16.20</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6.61- 16.42</w:t>
            </w:r>
          </w:p>
        </w:tc>
      </w:tr>
      <w:tr w:rsidR="007F29B6" w:rsidRPr="00674758" w:rsidTr="008E6494">
        <w:tc>
          <w:tcPr>
            <w:tcW w:w="3192" w:type="dxa"/>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Iodine value</w:t>
            </w:r>
            <w:r w:rsidR="00C1789B" w:rsidRPr="00674758">
              <w:rPr>
                <w:rFonts w:ascii="Arial" w:hAnsi="Arial" w:cs="Arial"/>
                <w:sz w:val="20"/>
              </w:rPr>
              <w:t xml:space="preserve"> (g /100 g oil)</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40.33</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43.61</w:t>
            </w:r>
          </w:p>
        </w:tc>
      </w:tr>
      <w:tr w:rsidR="007F29B6" w:rsidRPr="00674758" w:rsidTr="008E6494">
        <w:tc>
          <w:tcPr>
            <w:tcW w:w="3192" w:type="dxa"/>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 xml:space="preserve">Acid </w:t>
            </w:r>
            <w:r w:rsidR="00C1789B" w:rsidRPr="00674758">
              <w:rPr>
                <w:rFonts w:ascii="Arial" w:hAnsi="Arial" w:cs="Arial"/>
                <w:sz w:val="20"/>
              </w:rPr>
              <w:t>value (mg KOH/g)</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6.24</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1.97</w:t>
            </w:r>
          </w:p>
        </w:tc>
      </w:tr>
      <w:tr w:rsidR="007F29B6" w:rsidRPr="00674758" w:rsidTr="008E6494">
        <w:tc>
          <w:tcPr>
            <w:tcW w:w="3192" w:type="dxa"/>
          </w:tcPr>
          <w:p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Ash content</w:t>
            </w:r>
            <w:r w:rsidR="00C1789B" w:rsidRPr="00674758">
              <w:rPr>
                <w:rFonts w:ascii="Arial" w:hAnsi="Arial" w:cs="Arial"/>
                <w:sz w:val="20"/>
              </w:rPr>
              <w:t xml:space="preserve"> (%)</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0.338</w:t>
            </w:r>
          </w:p>
        </w:tc>
        <w:tc>
          <w:tcPr>
            <w:tcW w:w="3192" w:type="dxa"/>
          </w:tcPr>
          <w:p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0.147</w:t>
            </w:r>
          </w:p>
        </w:tc>
      </w:tr>
    </w:tbl>
    <w:p w:rsidR="007F29B6" w:rsidRPr="00674758" w:rsidRDefault="00784A89" w:rsidP="00F72D4B">
      <w:pPr>
        <w:pStyle w:val="NormalWeb"/>
        <w:rPr>
          <w:rFonts w:ascii="Arial" w:hAnsi="Arial" w:cs="Arial"/>
          <w:sz w:val="20"/>
        </w:rPr>
      </w:pPr>
      <w:r w:rsidRPr="00674758">
        <w:rPr>
          <w:rFonts w:ascii="Arial" w:hAnsi="Arial" w:cs="Arial"/>
          <w:sz w:val="20"/>
        </w:rPr>
        <w:t>(</w:t>
      </w:r>
      <w:proofErr w:type="spellStart"/>
      <w:r w:rsidRPr="00674758">
        <w:rPr>
          <w:rFonts w:ascii="Arial" w:hAnsi="Arial" w:cs="Arial"/>
          <w:sz w:val="20"/>
        </w:rPr>
        <w:t>Arasakumar</w:t>
      </w:r>
      <w:r w:rsidRPr="00674758">
        <w:rPr>
          <w:rFonts w:ascii="Arial" w:hAnsi="Arial" w:cs="Arial"/>
          <w:i/>
          <w:sz w:val="20"/>
        </w:rPr>
        <w:t>et</w:t>
      </w:r>
      <w:proofErr w:type="spellEnd"/>
      <w:r w:rsidRPr="00674758">
        <w:rPr>
          <w:rFonts w:ascii="Arial" w:hAnsi="Arial" w:cs="Arial"/>
          <w:i/>
          <w:sz w:val="20"/>
        </w:rPr>
        <w:t xml:space="preserve"> al.,</w:t>
      </w:r>
      <w:r w:rsidRPr="00674758">
        <w:rPr>
          <w:rFonts w:ascii="Arial" w:hAnsi="Arial" w:cs="Arial"/>
          <w:sz w:val="20"/>
        </w:rPr>
        <w:t xml:space="preserve"> 2021; </w:t>
      </w:r>
      <w:proofErr w:type="spellStart"/>
      <w:r w:rsidR="00C1789B" w:rsidRPr="00674758">
        <w:rPr>
          <w:rFonts w:ascii="Arial" w:hAnsi="Arial" w:cs="Arial"/>
          <w:sz w:val="20"/>
        </w:rPr>
        <w:t>Yeasmin</w:t>
      </w:r>
      <w:proofErr w:type="spellEnd"/>
      <w:r w:rsidR="00C1789B" w:rsidRPr="00674758">
        <w:rPr>
          <w:rFonts w:ascii="Arial" w:hAnsi="Arial" w:cs="Arial"/>
          <w:sz w:val="20"/>
        </w:rPr>
        <w:t xml:space="preserve"> </w:t>
      </w:r>
      <w:r w:rsidR="00C1789B" w:rsidRPr="00674758">
        <w:rPr>
          <w:rFonts w:ascii="Arial" w:hAnsi="Arial" w:cs="Arial"/>
          <w:i/>
          <w:sz w:val="20"/>
        </w:rPr>
        <w:t>et al.,</w:t>
      </w:r>
      <w:r w:rsidR="00C1789B" w:rsidRPr="00674758">
        <w:rPr>
          <w:rFonts w:ascii="Arial" w:hAnsi="Arial" w:cs="Arial"/>
          <w:sz w:val="20"/>
        </w:rPr>
        <w:t xml:space="preserve"> 2024; Suman </w:t>
      </w:r>
      <w:r w:rsidR="00C1789B" w:rsidRPr="00674758">
        <w:rPr>
          <w:rFonts w:ascii="Arial" w:hAnsi="Arial" w:cs="Arial"/>
          <w:i/>
          <w:sz w:val="20"/>
        </w:rPr>
        <w:t>et al.,</w:t>
      </w:r>
      <w:r w:rsidR="00C1789B" w:rsidRPr="00674758">
        <w:rPr>
          <w:rFonts w:ascii="Arial" w:hAnsi="Arial" w:cs="Arial"/>
          <w:sz w:val="20"/>
        </w:rPr>
        <w:t xml:space="preserve"> 2024)</w:t>
      </w:r>
    </w:p>
    <w:p w:rsidR="000E1393" w:rsidRPr="00F24BE4" w:rsidRDefault="00F24BE4" w:rsidP="00F72D4B">
      <w:pPr>
        <w:pStyle w:val="NormalWeb"/>
        <w:rPr>
          <w:rFonts w:ascii="Arial" w:hAnsi="Arial" w:cs="Arial"/>
          <w:sz w:val="22"/>
          <w:szCs w:val="22"/>
        </w:rPr>
      </w:pPr>
      <w:r w:rsidRPr="00F24BE4">
        <w:rPr>
          <w:rStyle w:val="Strong"/>
          <w:rFonts w:ascii="Arial" w:hAnsi="Arial" w:cs="Arial"/>
          <w:sz w:val="22"/>
          <w:szCs w:val="22"/>
        </w:rPr>
        <w:t>4.2</w:t>
      </w:r>
      <w:r w:rsidR="00F72D4B" w:rsidRPr="00F24BE4">
        <w:rPr>
          <w:rStyle w:val="Strong"/>
          <w:rFonts w:ascii="Arial" w:hAnsi="Arial" w:cs="Arial"/>
          <w:sz w:val="22"/>
          <w:szCs w:val="22"/>
        </w:rPr>
        <w:t xml:space="preserve"> Fatty Acid Profile</w:t>
      </w:r>
    </w:p>
    <w:p w:rsidR="007F29B6" w:rsidRPr="00674758" w:rsidRDefault="00F72D4B" w:rsidP="00901DB3">
      <w:pPr>
        <w:pStyle w:val="NormalWeb"/>
        <w:tabs>
          <w:tab w:val="left" w:pos="851"/>
        </w:tabs>
        <w:jc w:val="both"/>
        <w:rPr>
          <w:rFonts w:ascii="Arial" w:hAnsi="Arial" w:cs="Arial"/>
          <w:sz w:val="20"/>
        </w:rPr>
      </w:pPr>
      <w:r w:rsidRPr="00E2697F">
        <w:rPr>
          <w:rFonts w:ascii="Arial" w:hAnsi="Arial" w:cs="Arial"/>
          <w:sz w:val="20"/>
        </w:rPr>
        <w:t xml:space="preserve">TPO is predominantly composed of unsaturated fatty acids (UFAs), comprising more than 75% of total lipids. Alpha-linolenic acid (ALA) is the most abundant, constituting up to 38% of total fatty acids, followed by oleic acid (C18:1), linoleic acid (C18:2), palmitic acid (C16:0), and stearic acid (C18:0) (Srivastava </w:t>
      </w:r>
      <w:r w:rsidRPr="00E2697F">
        <w:rPr>
          <w:rFonts w:ascii="Arial" w:hAnsi="Arial" w:cs="Arial"/>
          <w:i/>
          <w:sz w:val="20"/>
        </w:rPr>
        <w:t>et al.,</w:t>
      </w:r>
      <w:r w:rsidR="00901DB3" w:rsidRPr="00E2697F">
        <w:rPr>
          <w:rFonts w:ascii="Arial" w:hAnsi="Arial" w:cs="Arial"/>
          <w:sz w:val="20"/>
        </w:rPr>
        <w:t xml:space="preserve"> 2024a</w:t>
      </w:r>
      <w:r w:rsidRPr="00E2697F">
        <w:rPr>
          <w:rFonts w:ascii="Arial" w:hAnsi="Arial" w:cs="Arial"/>
          <w:sz w:val="20"/>
        </w:rPr>
        <w:t xml:space="preserve">; Tao </w:t>
      </w:r>
      <w:r w:rsidRPr="00E2697F">
        <w:rPr>
          <w:rFonts w:ascii="Arial" w:hAnsi="Arial" w:cs="Arial"/>
          <w:i/>
          <w:sz w:val="20"/>
        </w:rPr>
        <w:t>et al.,</w:t>
      </w:r>
      <w:r w:rsidRPr="00E2697F">
        <w:rPr>
          <w:rFonts w:ascii="Arial" w:hAnsi="Arial" w:cs="Arial"/>
          <w:sz w:val="20"/>
        </w:rPr>
        <w:t xml:space="preserve"> 2014). </w:t>
      </w:r>
      <w:r w:rsidR="007F29B6" w:rsidRPr="00E2697F">
        <w:rPr>
          <w:rFonts w:ascii="Arial" w:hAnsi="Arial" w:cs="Arial"/>
          <w:sz w:val="20"/>
        </w:rPr>
        <w:t>The ALA content was determined using Gas Chromatography-Mass Spectrometry (GC-MS), a widely employed technique in food analysis for the qualitative and quantitative ass</w:t>
      </w:r>
      <w:r w:rsidR="00674758" w:rsidRPr="00E2697F">
        <w:rPr>
          <w:rFonts w:ascii="Arial" w:hAnsi="Arial" w:cs="Arial"/>
          <w:sz w:val="20"/>
        </w:rPr>
        <w:t>essment of oils and fats (Pico</w:t>
      </w:r>
      <w:r w:rsidR="007F29B6" w:rsidRPr="00E2697F">
        <w:rPr>
          <w:rFonts w:ascii="Arial" w:hAnsi="Arial" w:cs="Arial"/>
          <w:sz w:val="20"/>
        </w:rPr>
        <w:t>, 2015).</w:t>
      </w:r>
      <w:r w:rsidRPr="00E2697F">
        <w:rPr>
          <w:rFonts w:ascii="Arial" w:hAnsi="Arial" w:cs="Arial"/>
          <w:sz w:val="20"/>
        </w:rPr>
        <w:t xml:space="preserve">This high ALA content gives TPO a </w:t>
      </w:r>
      <w:r w:rsidR="00885250">
        <w:rPr>
          <w:rFonts w:ascii="Arial" w:hAnsi="Arial" w:cs="Arial"/>
          <w:sz w:val="20"/>
        </w:rPr>
        <w:t xml:space="preserve">competitive advantage as </w:t>
      </w:r>
      <w:proofErr w:type="spellStart"/>
      <w:r w:rsidR="00885250">
        <w:rPr>
          <w:rFonts w:ascii="Arial" w:hAnsi="Arial" w:cs="Arial"/>
          <w:sz w:val="20"/>
        </w:rPr>
        <w:t>a</w:t>
      </w:r>
      <w:proofErr w:type="spellEnd"/>
      <w:r w:rsidR="00885250">
        <w:rPr>
          <w:rFonts w:ascii="Arial" w:hAnsi="Arial" w:cs="Arial"/>
          <w:sz w:val="20"/>
        </w:rPr>
        <w:t xml:space="preserve"> </w:t>
      </w:r>
      <w:r w:rsidR="00885250" w:rsidRPr="00885250">
        <w:rPr>
          <w:rFonts w:ascii="Arial" w:hAnsi="Arial" w:cs="Arial"/>
          <w:sz w:val="20"/>
          <w:highlight w:val="yellow"/>
        </w:rPr>
        <w:t>animal</w:t>
      </w:r>
      <w:r w:rsidRPr="00885250">
        <w:rPr>
          <w:rFonts w:ascii="Arial" w:hAnsi="Arial" w:cs="Arial"/>
          <w:sz w:val="20"/>
          <w:highlight w:val="yellow"/>
        </w:rPr>
        <w:t>-based</w:t>
      </w:r>
      <w:r w:rsidRPr="00E2697F">
        <w:rPr>
          <w:rFonts w:ascii="Arial" w:hAnsi="Arial" w:cs="Arial"/>
          <w:sz w:val="20"/>
        </w:rPr>
        <w:t xml:space="preserve"> source of omega-3 fatty </w:t>
      </w:r>
      <w:proofErr w:type="spellStart"/>
      <w:r w:rsidRPr="00E2697F">
        <w:rPr>
          <w:rFonts w:ascii="Arial" w:hAnsi="Arial" w:cs="Arial"/>
          <w:sz w:val="20"/>
        </w:rPr>
        <w:t>acids.The</w:t>
      </w:r>
      <w:proofErr w:type="spellEnd"/>
      <w:r w:rsidRPr="00E2697F">
        <w:rPr>
          <w:rFonts w:ascii="Arial" w:hAnsi="Arial" w:cs="Arial"/>
          <w:sz w:val="20"/>
        </w:rPr>
        <w:t xml:space="preserve"> presence of ALA is particularly relevant for human health due to its role as a precursor to long-chain n-3 fatty acids like EPA and DHA, which contribute to cardiovascular, cognitive, and inflammatory disease prevention (Khan </w:t>
      </w:r>
      <w:r w:rsidRPr="00E2697F">
        <w:rPr>
          <w:rFonts w:ascii="Arial" w:hAnsi="Arial" w:cs="Arial"/>
          <w:i/>
          <w:sz w:val="20"/>
        </w:rPr>
        <w:t>et al.,</w:t>
      </w:r>
      <w:r w:rsidRPr="00E2697F">
        <w:rPr>
          <w:rFonts w:ascii="Arial" w:hAnsi="Arial" w:cs="Arial"/>
          <w:sz w:val="20"/>
        </w:rPr>
        <w:t xml:space="preserve"> 2021; Iwase </w:t>
      </w:r>
      <w:r w:rsidRPr="00E2697F">
        <w:rPr>
          <w:rFonts w:ascii="Arial" w:hAnsi="Arial" w:cs="Arial"/>
          <w:i/>
          <w:sz w:val="20"/>
        </w:rPr>
        <w:t>et al.,</w:t>
      </w:r>
      <w:r w:rsidRPr="00E2697F">
        <w:rPr>
          <w:rFonts w:ascii="Arial" w:hAnsi="Arial" w:cs="Arial"/>
          <w:sz w:val="20"/>
        </w:rPr>
        <w:t xml:space="preserve"> 2015).</w:t>
      </w:r>
    </w:p>
    <w:p w:rsidR="000E1393" w:rsidRPr="00F24BE4" w:rsidRDefault="00674758" w:rsidP="00F72D4B">
      <w:pPr>
        <w:pStyle w:val="NormalWeb"/>
        <w:rPr>
          <w:rFonts w:ascii="Arial" w:hAnsi="Arial" w:cs="Arial"/>
          <w:sz w:val="22"/>
          <w:szCs w:val="22"/>
        </w:rPr>
      </w:pPr>
      <w:r w:rsidRPr="00F24BE4">
        <w:rPr>
          <w:rStyle w:val="Strong"/>
          <w:rFonts w:ascii="Arial" w:hAnsi="Arial" w:cs="Arial"/>
          <w:sz w:val="22"/>
          <w:szCs w:val="22"/>
        </w:rPr>
        <w:t>4.3 Minor</w:t>
      </w:r>
      <w:r w:rsidR="00F72D4B" w:rsidRPr="00F24BE4">
        <w:rPr>
          <w:rStyle w:val="Strong"/>
          <w:rFonts w:ascii="Arial" w:hAnsi="Arial" w:cs="Arial"/>
          <w:sz w:val="22"/>
          <w:szCs w:val="22"/>
        </w:rPr>
        <w:t xml:space="preserve"> Bioactive Components</w:t>
      </w:r>
    </w:p>
    <w:p w:rsidR="000E1393" w:rsidRPr="00674758" w:rsidRDefault="00F72D4B" w:rsidP="00E2697F">
      <w:pPr>
        <w:pStyle w:val="NormalWeb"/>
        <w:jc w:val="both"/>
        <w:rPr>
          <w:rFonts w:ascii="Arial" w:hAnsi="Arial" w:cs="Arial"/>
          <w:sz w:val="20"/>
        </w:rPr>
      </w:pPr>
      <w:r w:rsidRPr="00674758">
        <w:rPr>
          <w:rFonts w:ascii="Arial" w:hAnsi="Arial" w:cs="Arial"/>
          <w:sz w:val="20"/>
        </w:rPr>
        <w:t xml:space="preserve">In addition to fatty acids, TPO contains a variety of minor </w:t>
      </w:r>
      <w:proofErr w:type="spellStart"/>
      <w:r w:rsidRPr="00674758">
        <w:rPr>
          <w:rFonts w:ascii="Arial" w:hAnsi="Arial" w:cs="Arial"/>
          <w:sz w:val="20"/>
        </w:rPr>
        <w:t>bioactives</w:t>
      </w:r>
      <w:proofErr w:type="spellEnd"/>
      <w:r w:rsidRPr="00674758">
        <w:rPr>
          <w:rFonts w:ascii="Arial" w:hAnsi="Arial" w:cs="Arial"/>
          <w:sz w:val="20"/>
        </w:rPr>
        <w:t>. Tocopherols (vitamin E analogs), particularly α-tocopherol, are present in significant amounts and contribute to oxidative stability and antioxidant activity (</w:t>
      </w:r>
      <w:r w:rsidRPr="00E2697F">
        <w:rPr>
          <w:rFonts w:ascii="Arial" w:hAnsi="Arial" w:cs="Arial"/>
          <w:sz w:val="20"/>
        </w:rPr>
        <w:t xml:space="preserve">Zhou </w:t>
      </w:r>
      <w:r w:rsidRPr="00E2697F">
        <w:rPr>
          <w:rFonts w:ascii="Arial" w:hAnsi="Arial" w:cs="Arial"/>
          <w:i/>
          <w:sz w:val="20"/>
        </w:rPr>
        <w:t>et al.,</w:t>
      </w:r>
      <w:r w:rsidRPr="00E2697F">
        <w:rPr>
          <w:rFonts w:ascii="Arial" w:hAnsi="Arial" w:cs="Arial"/>
          <w:sz w:val="20"/>
        </w:rPr>
        <w:t xml:space="preserve"> 2022; Jun </w:t>
      </w:r>
      <w:r w:rsidRPr="00E2697F">
        <w:rPr>
          <w:rFonts w:ascii="Arial" w:hAnsi="Arial" w:cs="Arial"/>
          <w:i/>
          <w:sz w:val="20"/>
        </w:rPr>
        <w:t>et al.,</w:t>
      </w:r>
      <w:r w:rsidRPr="00E2697F">
        <w:rPr>
          <w:rFonts w:ascii="Arial" w:hAnsi="Arial" w:cs="Arial"/>
          <w:sz w:val="20"/>
        </w:rPr>
        <w:t xml:space="preserve"> 2010). Phytosterols, including β-sitosterol and </w:t>
      </w:r>
      <w:proofErr w:type="spellStart"/>
      <w:r w:rsidRPr="00E2697F">
        <w:rPr>
          <w:rFonts w:ascii="Arial" w:hAnsi="Arial" w:cs="Arial"/>
          <w:sz w:val="20"/>
        </w:rPr>
        <w:t>campesterol</w:t>
      </w:r>
      <w:proofErr w:type="spellEnd"/>
      <w:r w:rsidRPr="00E2697F">
        <w:rPr>
          <w:rFonts w:ascii="Arial" w:hAnsi="Arial" w:cs="Arial"/>
          <w:sz w:val="20"/>
        </w:rPr>
        <w:t xml:space="preserve">, further enhance its health-promoting potential, particularly in regulating cholesterol </w:t>
      </w:r>
      <w:proofErr w:type="spellStart"/>
      <w:proofErr w:type="gramStart"/>
      <w:r w:rsidRPr="00E2697F">
        <w:rPr>
          <w:rFonts w:ascii="Arial" w:hAnsi="Arial" w:cs="Arial"/>
          <w:sz w:val="20"/>
        </w:rPr>
        <w:t>metabolism.Carotenoids</w:t>
      </w:r>
      <w:proofErr w:type="spellEnd"/>
      <w:proofErr w:type="gramEnd"/>
      <w:r w:rsidRPr="00E2697F">
        <w:rPr>
          <w:rFonts w:ascii="Arial" w:hAnsi="Arial" w:cs="Arial"/>
          <w:sz w:val="20"/>
        </w:rPr>
        <w:t xml:space="preserve"> impart a characteristic golden-yellow color to the oil and may contribute to antioxidative activity and visual health benefits. Other compounds such as flavonoids and phenolic acids have also been reported in pupal oil extracts and may synergize with fatty acids in exerting bioactivity (Mahanta </w:t>
      </w:r>
      <w:r w:rsidRPr="00E2697F">
        <w:rPr>
          <w:rFonts w:ascii="Arial" w:hAnsi="Arial" w:cs="Arial"/>
          <w:i/>
          <w:sz w:val="20"/>
        </w:rPr>
        <w:t>et al.,</w:t>
      </w:r>
      <w:r w:rsidRPr="00E2697F">
        <w:rPr>
          <w:rFonts w:ascii="Arial" w:hAnsi="Arial" w:cs="Arial"/>
          <w:sz w:val="20"/>
        </w:rPr>
        <w:t xml:space="preserve"> 2023).</w:t>
      </w:r>
    </w:p>
    <w:p w:rsidR="000E1393" w:rsidRPr="00F24BE4" w:rsidRDefault="00F24BE4" w:rsidP="00F72D4B">
      <w:pPr>
        <w:pStyle w:val="NormalWeb"/>
        <w:rPr>
          <w:rFonts w:ascii="Arial" w:hAnsi="Arial" w:cs="Arial"/>
          <w:sz w:val="22"/>
          <w:szCs w:val="22"/>
        </w:rPr>
      </w:pPr>
      <w:r w:rsidRPr="00F24BE4">
        <w:rPr>
          <w:rStyle w:val="Strong"/>
          <w:rFonts w:ascii="Arial" w:hAnsi="Arial" w:cs="Arial"/>
          <w:sz w:val="22"/>
          <w:szCs w:val="22"/>
        </w:rPr>
        <w:t>4.4 Nutritional</w:t>
      </w:r>
      <w:r w:rsidR="00F72D4B" w:rsidRPr="00F24BE4">
        <w:rPr>
          <w:rStyle w:val="Strong"/>
          <w:rFonts w:ascii="Arial" w:hAnsi="Arial" w:cs="Arial"/>
          <w:sz w:val="22"/>
          <w:szCs w:val="22"/>
        </w:rPr>
        <w:t xml:space="preserve"> Comparison with Other Silkworm Oils</w:t>
      </w:r>
    </w:p>
    <w:p w:rsidR="00F72D4B" w:rsidRPr="00674758" w:rsidRDefault="00F72D4B" w:rsidP="000A78EA">
      <w:pPr>
        <w:pStyle w:val="NormalWeb"/>
        <w:jc w:val="both"/>
        <w:rPr>
          <w:rFonts w:ascii="Arial" w:hAnsi="Arial" w:cs="Arial"/>
          <w:sz w:val="20"/>
        </w:rPr>
      </w:pPr>
      <w:r w:rsidRPr="00674758">
        <w:rPr>
          <w:rFonts w:ascii="Arial" w:hAnsi="Arial" w:cs="Arial"/>
          <w:sz w:val="20"/>
        </w:rPr>
        <w:t xml:space="preserve">When compared to oils from other silkworms such as </w:t>
      </w:r>
      <w:proofErr w:type="spellStart"/>
      <w:r w:rsidRPr="00674758">
        <w:rPr>
          <w:rFonts w:ascii="Arial" w:hAnsi="Arial" w:cs="Arial"/>
          <w:i/>
          <w:sz w:val="20"/>
        </w:rPr>
        <w:t>Bombyxmori</w:t>
      </w:r>
      <w:proofErr w:type="spellEnd"/>
      <w:r w:rsidRPr="00674758">
        <w:rPr>
          <w:rFonts w:ascii="Arial" w:hAnsi="Arial" w:cs="Arial"/>
          <w:sz w:val="20"/>
        </w:rPr>
        <w:t xml:space="preserve"> (mulberry), </w:t>
      </w:r>
      <w:proofErr w:type="spellStart"/>
      <w:r w:rsidRPr="00674758">
        <w:rPr>
          <w:rFonts w:ascii="Arial" w:hAnsi="Arial" w:cs="Arial"/>
          <w:i/>
          <w:sz w:val="20"/>
        </w:rPr>
        <w:t>Samiaricini</w:t>
      </w:r>
      <w:proofErr w:type="spellEnd"/>
      <w:r w:rsidRPr="00674758">
        <w:rPr>
          <w:rFonts w:ascii="Arial" w:hAnsi="Arial" w:cs="Arial"/>
          <w:sz w:val="20"/>
        </w:rPr>
        <w:t xml:space="preserve"> (</w:t>
      </w:r>
      <w:proofErr w:type="spellStart"/>
      <w:r w:rsidRPr="00674758">
        <w:rPr>
          <w:rFonts w:ascii="Arial" w:hAnsi="Arial" w:cs="Arial"/>
          <w:sz w:val="20"/>
        </w:rPr>
        <w:t>eri</w:t>
      </w:r>
      <w:proofErr w:type="spellEnd"/>
      <w:r w:rsidRPr="00674758">
        <w:rPr>
          <w:rFonts w:ascii="Arial" w:hAnsi="Arial" w:cs="Arial"/>
          <w:sz w:val="20"/>
        </w:rPr>
        <w:t xml:space="preserve">), and </w:t>
      </w:r>
      <w:proofErr w:type="spellStart"/>
      <w:r w:rsidRPr="00674758">
        <w:rPr>
          <w:rFonts w:ascii="Arial" w:hAnsi="Arial" w:cs="Arial"/>
          <w:i/>
          <w:sz w:val="20"/>
        </w:rPr>
        <w:t>Antheraeaproylei</w:t>
      </w:r>
      <w:proofErr w:type="spellEnd"/>
      <w:r w:rsidRPr="00674758">
        <w:rPr>
          <w:rFonts w:ascii="Arial" w:hAnsi="Arial" w:cs="Arial"/>
          <w:sz w:val="20"/>
        </w:rPr>
        <w:t xml:space="preserve"> (oak </w:t>
      </w:r>
      <w:proofErr w:type="spellStart"/>
      <w:r w:rsidRPr="00674758">
        <w:rPr>
          <w:rFonts w:ascii="Arial" w:hAnsi="Arial" w:cs="Arial"/>
          <w:sz w:val="20"/>
        </w:rPr>
        <w:t>tasar</w:t>
      </w:r>
      <w:proofErr w:type="spellEnd"/>
      <w:r w:rsidRPr="00674758">
        <w:rPr>
          <w:rFonts w:ascii="Arial" w:hAnsi="Arial" w:cs="Arial"/>
          <w:sz w:val="20"/>
        </w:rPr>
        <w:t xml:space="preserve">), TPO stands out for its higher ALA and unsaturation index. While mulberry pupal oil is also rich in linoleic and oleic acids, it contains lower levels of ALA (~20–25%). Oak </w:t>
      </w:r>
      <w:proofErr w:type="spellStart"/>
      <w:r w:rsidRPr="00674758">
        <w:rPr>
          <w:rFonts w:ascii="Arial" w:hAnsi="Arial" w:cs="Arial"/>
          <w:sz w:val="20"/>
        </w:rPr>
        <w:t>tasar</w:t>
      </w:r>
      <w:proofErr w:type="spellEnd"/>
      <w:r w:rsidRPr="00674758">
        <w:rPr>
          <w:rFonts w:ascii="Arial" w:hAnsi="Arial" w:cs="Arial"/>
          <w:sz w:val="20"/>
        </w:rPr>
        <w:t xml:space="preserve"> </w:t>
      </w:r>
      <w:r w:rsidRPr="00674758">
        <w:rPr>
          <w:rFonts w:ascii="Arial" w:hAnsi="Arial" w:cs="Arial"/>
          <w:sz w:val="20"/>
        </w:rPr>
        <w:lastRenderedPageBreak/>
        <w:t>pupae oil contains more saturated fatty acids and exhibits comparatively reduced</w:t>
      </w:r>
      <w:r w:rsidR="00C84B73">
        <w:rPr>
          <w:rFonts w:ascii="Arial" w:hAnsi="Arial" w:cs="Arial"/>
          <w:sz w:val="20"/>
        </w:rPr>
        <w:t xml:space="preserve"> oxidative stability (</w:t>
      </w:r>
      <w:proofErr w:type="spellStart"/>
      <w:r w:rsidR="00C84B73" w:rsidRPr="00E2697F">
        <w:rPr>
          <w:rFonts w:ascii="Arial" w:hAnsi="Arial" w:cs="Arial"/>
          <w:sz w:val="20"/>
        </w:rPr>
        <w:t>Beniwal</w:t>
      </w:r>
      <w:r w:rsidRPr="00E2697F">
        <w:rPr>
          <w:rFonts w:ascii="Arial" w:hAnsi="Arial" w:cs="Arial"/>
          <w:i/>
          <w:sz w:val="20"/>
        </w:rPr>
        <w:t>et</w:t>
      </w:r>
      <w:proofErr w:type="spellEnd"/>
      <w:r w:rsidRPr="00E2697F">
        <w:rPr>
          <w:rFonts w:ascii="Arial" w:hAnsi="Arial" w:cs="Arial"/>
          <w:i/>
          <w:sz w:val="20"/>
        </w:rPr>
        <w:t xml:space="preserve"> al.,</w:t>
      </w:r>
      <w:r w:rsidR="00C84B73" w:rsidRPr="00E2697F">
        <w:rPr>
          <w:rFonts w:ascii="Arial" w:hAnsi="Arial" w:cs="Arial"/>
          <w:sz w:val="20"/>
        </w:rPr>
        <w:t xml:space="preserve"> 2024</w:t>
      </w:r>
      <w:r w:rsidRPr="00E2697F">
        <w:rPr>
          <w:rFonts w:ascii="Arial" w:hAnsi="Arial" w:cs="Arial"/>
          <w:sz w:val="20"/>
        </w:rPr>
        <w:t xml:space="preserve">; </w:t>
      </w:r>
      <w:proofErr w:type="spellStart"/>
      <w:r w:rsidRPr="00E2697F">
        <w:rPr>
          <w:rFonts w:ascii="Arial" w:hAnsi="Arial" w:cs="Arial"/>
          <w:sz w:val="20"/>
        </w:rPr>
        <w:t>Ramappa</w:t>
      </w:r>
      <w:r w:rsidRPr="00E2697F">
        <w:rPr>
          <w:rFonts w:ascii="Arial" w:hAnsi="Arial" w:cs="Arial"/>
          <w:i/>
          <w:sz w:val="20"/>
        </w:rPr>
        <w:t>et</w:t>
      </w:r>
      <w:proofErr w:type="spellEnd"/>
      <w:r w:rsidRPr="00E2697F">
        <w:rPr>
          <w:rFonts w:ascii="Arial" w:hAnsi="Arial" w:cs="Arial"/>
          <w:i/>
          <w:sz w:val="20"/>
        </w:rPr>
        <w:t xml:space="preserve"> al.,</w:t>
      </w:r>
      <w:r w:rsidRPr="00E2697F">
        <w:rPr>
          <w:rFonts w:ascii="Arial" w:hAnsi="Arial" w:cs="Arial"/>
          <w:sz w:val="20"/>
        </w:rPr>
        <w:t xml:space="preserve"> 2020</w:t>
      </w:r>
      <w:proofErr w:type="gramStart"/>
      <w:r w:rsidRPr="00E2697F">
        <w:rPr>
          <w:rFonts w:ascii="Arial" w:hAnsi="Arial" w:cs="Arial"/>
          <w:sz w:val="20"/>
        </w:rPr>
        <w:t>).The</w:t>
      </w:r>
      <w:proofErr w:type="gramEnd"/>
      <w:r w:rsidRPr="00E2697F">
        <w:rPr>
          <w:rFonts w:ascii="Arial" w:hAnsi="Arial" w:cs="Arial"/>
          <w:sz w:val="20"/>
        </w:rPr>
        <w:t xml:space="preserve"> overall nutritional value of TPO is superior due to its optimal omega-6 to omega-3 ratio, which is increasingly recommended for human dietary formulations (</w:t>
      </w:r>
      <w:proofErr w:type="spellStart"/>
      <w:r w:rsidRPr="00E2697F">
        <w:rPr>
          <w:rFonts w:ascii="Arial" w:hAnsi="Arial" w:cs="Arial"/>
          <w:sz w:val="20"/>
        </w:rPr>
        <w:t>Yeruva</w:t>
      </w:r>
      <w:proofErr w:type="spellEnd"/>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2023). The</w:t>
      </w:r>
      <w:r w:rsidRPr="00674758">
        <w:rPr>
          <w:rFonts w:ascii="Arial" w:hAnsi="Arial" w:cs="Arial"/>
          <w:sz w:val="20"/>
        </w:rPr>
        <w:t xml:space="preserve"> combined presence of high-quality proteins and bioactive lipids makes </w:t>
      </w:r>
      <w:proofErr w:type="spellStart"/>
      <w:r w:rsidRPr="00674758">
        <w:rPr>
          <w:rFonts w:ascii="Arial" w:hAnsi="Arial" w:cs="Arial"/>
          <w:sz w:val="20"/>
        </w:rPr>
        <w:t>Tasar</w:t>
      </w:r>
      <w:proofErr w:type="spellEnd"/>
      <w:r w:rsidRPr="00674758">
        <w:rPr>
          <w:rFonts w:ascii="Arial" w:hAnsi="Arial" w:cs="Arial"/>
          <w:sz w:val="20"/>
        </w:rPr>
        <w:t xml:space="preserve"> pupal oil a promising candidate for nutraceutical formulations.</w:t>
      </w:r>
    </w:p>
    <w:p w:rsidR="007F29B6" w:rsidRPr="00F24BE4" w:rsidRDefault="00F24BE4" w:rsidP="00F24BE4">
      <w:pPr>
        <w:pStyle w:val="ListParagraph"/>
        <w:numPr>
          <w:ilvl w:val="0"/>
          <w:numId w:val="3"/>
        </w:numPr>
        <w:spacing w:before="100" w:beforeAutospacing="1" w:after="100" w:afterAutospacing="1" w:line="240" w:lineRule="auto"/>
        <w:ind w:left="284" w:hanging="284"/>
        <w:jc w:val="both"/>
        <w:outlineLvl w:val="2"/>
        <w:rPr>
          <w:rFonts w:ascii="Arial" w:eastAsia="Times New Roman" w:hAnsi="Arial" w:cs="Arial"/>
          <w:b/>
          <w:bCs/>
        </w:rPr>
      </w:pPr>
      <w:r w:rsidRPr="00F24BE4">
        <w:rPr>
          <w:rFonts w:ascii="Arial" w:eastAsia="Times New Roman" w:hAnsi="Arial" w:cs="Arial"/>
          <w:b/>
          <w:bCs/>
        </w:rPr>
        <w:t>BIOACTIVE AND THERAPEUTIC PROPERTIES OF TASAR PUPAL OIL</w:t>
      </w:r>
    </w:p>
    <w:p w:rsidR="007F29B6" w:rsidRPr="00E2697F" w:rsidRDefault="007F29B6" w:rsidP="000A78EA">
      <w:pPr>
        <w:spacing w:before="100" w:beforeAutospacing="1" w:after="100" w:afterAutospacing="1" w:line="240" w:lineRule="auto"/>
        <w:jc w:val="both"/>
        <w:rPr>
          <w:rFonts w:ascii="Arial" w:eastAsia="Times New Roman" w:hAnsi="Arial" w:cs="Arial"/>
          <w:sz w:val="20"/>
          <w:szCs w:val="20"/>
        </w:rPr>
      </w:pPr>
      <w:r w:rsidRPr="00E2697F">
        <w:rPr>
          <w:rFonts w:ascii="Arial" w:eastAsia="Times New Roman" w:hAnsi="Arial" w:cs="Arial"/>
          <w:sz w:val="20"/>
          <w:szCs w:val="20"/>
        </w:rPr>
        <w:t xml:space="preserve">The bioactive profile of </w:t>
      </w:r>
      <w:proofErr w:type="spellStart"/>
      <w:r w:rsidRPr="00E2697F">
        <w:rPr>
          <w:rFonts w:ascii="Arial" w:eastAsia="Times New Roman" w:hAnsi="Arial" w:cs="Arial"/>
          <w:sz w:val="20"/>
          <w:szCs w:val="20"/>
        </w:rPr>
        <w:t>Tasar</w:t>
      </w:r>
      <w:proofErr w:type="spellEnd"/>
      <w:r w:rsidRPr="00E2697F">
        <w:rPr>
          <w:rFonts w:ascii="Arial" w:eastAsia="Times New Roman" w:hAnsi="Arial" w:cs="Arial"/>
          <w:sz w:val="20"/>
          <w:szCs w:val="20"/>
        </w:rPr>
        <w:t xml:space="preserve"> silkworm (</w:t>
      </w:r>
      <w:proofErr w:type="spellStart"/>
      <w:r w:rsidRPr="00E2697F">
        <w:rPr>
          <w:rFonts w:ascii="Arial" w:eastAsia="Times New Roman" w:hAnsi="Arial" w:cs="Arial"/>
          <w:i/>
          <w:iCs/>
          <w:sz w:val="20"/>
          <w:szCs w:val="20"/>
        </w:rPr>
        <w:t>Antheraeamylitta</w:t>
      </w:r>
      <w:proofErr w:type="spellEnd"/>
      <w:r w:rsidRPr="00E2697F">
        <w:rPr>
          <w:rFonts w:ascii="Arial" w:eastAsia="Times New Roman" w:hAnsi="Arial" w:cs="Arial"/>
          <w:sz w:val="20"/>
          <w:szCs w:val="20"/>
        </w:rPr>
        <w:t xml:space="preserve">) pupal oil (TPO) reveals a potent combination of fatty acids, polyphenols, and other phytochemicals that contribute to a wide spectrum of therapeutic effects. Recent scientific interest in insect-derived oils stems from their rich unsaturated lipid content and functional health benefits, notably in oxidative stress reduction, lipid modulation, inflammation control, and disease prevention (Srivastava </w:t>
      </w:r>
      <w:r w:rsidRPr="00E2697F">
        <w:rPr>
          <w:rFonts w:ascii="Arial" w:eastAsia="Times New Roman" w:hAnsi="Arial" w:cs="Arial"/>
          <w:i/>
          <w:sz w:val="20"/>
          <w:szCs w:val="20"/>
        </w:rPr>
        <w:t>et al.,</w:t>
      </w:r>
      <w:r w:rsidRPr="00E2697F">
        <w:rPr>
          <w:rFonts w:ascii="Arial" w:eastAsia="Times New Roman" w:hAnsi="Arial" w:cs="Arial"/>
          <w:sz w:val="20"/>
          <w:szCs w:val="20"/>
        </w:rPr>
        <w:t xml:space="preserve"> 2023a; </w:t>
      </w:r>
      <w:proofErr w:type="spellStart"/>
      <w:r w:rsidRPr="00E2697F">
        <w:rPr>
          <w:rFonts w:ascii="Arial" w:eastAsia="Times New Roman" w:hAnsi="Arial" w:cs="Arial"/>
          <w:sz w:val="20"/>
          <w:szCs w:val="20"/>
        </w:rPr>
        <w:t>Habeanu</w:t>
      </w:r>
      <w:r w:rsidRPr="00E2697F">
        <w:rPr>
          <w:rFonts w:ascii="Arial" w:eastAsia="Times New Roman" w:hAnsi="Arial" w:cs="Arial"/>
          <w:i/>
          <w:sz w:val="20"/>
          <w:szCs w:val="20"/>
        </w:rPr>
        <w:t>et</w:t>
      </w:r>
      <w:proofErr w:type="spellEnd"/>
      <w:r w:rsidRPr="00E2697F">
        <w:rPr>
          <w:rFonts w:ascii="Arial" w:eastAsia="Times New Roman" w:hAnsi="Arial" w:cs="Arial"/>
          <w:i/>
          <w:sz w:val="20"/>
          <w:szCs w:val="20"/>
        </w:rPr>
        <w:t xml:space="preserve"> al.,</w:t>
      </w:r>
      <w:r w:rsidRPr="00E2697F">
        <w:rPr>
          <w:rFonts w:ascii="Arial" w:eastAsia="Times New Roman" w:hAnsi="Arial" w:cs="Arial"/>
          <w:sz w:val="20"/>
          <w:szCs w:val="20"/>
        </w:rPr>
        <w:t xml:space="preserve"> 2023).</w:t>
      </w:r>
    </w:p>
    <w:p w:rsidR="008D2B00" w:rsidRDefault="008D2B00" w:rsidP="007F29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3200400"/>
            <wp:effectExtent l="0" t="3810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A78EA" w:rsidRPr="00674758" w:rsidRDefault="000A78EA" w:rsidP="007F29B6">
      <w:pPr>
        <w:spacing w:before="100" w:beforeAutospacing="1" w:after="100" w:afterAutospacing="1" w:line="240" w:lineRule="auto"/>
        <w:jc w:val="both"/>
        <w:rPr>
          <w:rFonts w:ascii="Arial" w:eastAsia="Times New Roman" w:hAnsi="Arial" w:cs="Arial"/>
          <w:b/>
          <w:szCs w:val="24"/>
        </w:rPr>
      </w:pPr>
      <w:r w:rsidRPr="00674758">
        <w:rPr>
          <w:rFonts w:ascii="Arial" w:hAnsi="Arial" w:cs="Arial"/>
          <w:b/>
          <w:sz w:val="20"/>
        </w:rPr>
        <w:t>Fig.2</w:t>
      </w:r>
      <w:r w:rsidR="00674758" w:rsidRPr="00674758">
        <w:rPr>
          <w:rFonts w:ascii="Arial" w:hAnsi="Arial" w:cs="Arial"/>
          <w:b/>
          <w:sz w:val="20"/>
        </w:rPr>
        <w:t>.</w:t>
      </w:r>
      <w:r w:rsidRPr="00674758">
        <w:rPr>
          <w:rFonts w:ascii="Arial" w:hAnsi="Arial" w:cs="Arial"/>
          <w:b/>
          <w:sz w:val="20"/>
        </w:rPr>
        <w:t xml:space="preserve"> Diagrammatic Illustration of the Multidimensional Bioactivities of </w:t>
      </w:r>
      <w:proofErr w:type="spellStart"/>
      <w:r w:rsidRPr="00674758">
        <w:rPr>
          <w:rFonts w:ascii="Arial" w:hAnsi="Arial" w:cs="Arial"/>
          <w:b/>
          <w:sz w:val="20"/>
        </w:rPr>
        <w:t>Tasar</w:t>
      </w:r>
      <w:proofErr w:type="spellEnd"/>
      <w:r w:rsidRPr="00674758">
        <w:rPr>
          <w:rFonts w:ascii="Arial" w:hAnsi="Arial" w:cs="Arial"/>
          <w:b/>
          <w:sz w:val="20"/>
        </w:rPr>
        <w:t xml:space="preserve"> Pupal Oil</w:t>
      </w:r>
    </w:p>
    <w:p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.1 Antioxidant Potential</w:t>
      </w:r>
    </w:p>
    <w:p w:rsidR="007F29B6" w:rsidRPr="00674758" w:rsidRDefault="007F29B6" w:rsidP="007F29B6">
      <w:pPr>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 xml:space="preserve">The antioxidant activity of </w:t>
      </w:r>
      <w:proofErr w:type="spellStart"/>
      <w:r w:rsidRPr="00674758">
        <w:rPr>
          <w:rFonts w:ascii="Arial" w:eastAsia="Times New Roman" w:hAnsi="Arial" w:cs="Arial"/>
          <w:sz w:val="20"/>
          <w:szCs w:val="24"/>
        </w:rPr>
        <w:t>Tasar</w:t>
      </w:r>
      <w:proofErr w:type="spellEnd"/>
      <w:r w:rsidRPr="00674758">
        <w:rPr>
          <w:rFonts w:ascii="Arial" w:eastAsia="Times New Roman" w:hAnsi="Arial" w:cs="Arial"/>
          <w:sz w:val="20"/>
          <w:szCs w:val="24"/>
        </w:rPr>
        <w:t xml:space="preserve"> pupal oil is primarily attributed to its high levels of polyunsaturated fatty acids (PUFAs), tocopherols, and phenolic compounds. Compounds such as α-linolenic acid, p-coumaric acid, ferulic acid, catechin, and quercetin have demonstrated free radical scavenging potential through DPPH and FRAP assays (</w:t>
      </w:r>
      <w:r w:rsidRPr="00E2697F">
        <w:rPr>
          <w:rFonts w:ascii="Arial" w:eastAsia="Times New Roman" w:hAnsi="Arial" w:cs="Arial"/>
          <w:sz w:val="20"/>
          <w:szCs w:val="24"/>
        </w:rPr>
        <w:t xml:space="preserve">Pari and Amarnath, 2004; </w:t>
      </w:r>
      <w:proofErr w:type="spellStart"/>
      <w:r w:rsidRPr="00E2697F">
        <w:rPr>
          <w:rFonts w:ascii="Arial" w:eastAsia="Times New Roman" w:hAnsi="Arial" w:cs="Arial"/>
          <w:sz w:val="20"/>
          <w:szCs w:val="24"/>
        </w:rPr>
        <w:t>Tungmunnithum</w:t>
      </w:r>
      <w:r w:rsidRPr="00E2697F">
        <w:rPr>
          <w:rFonts w:ascii="Arial" w:eastAsia="Times New Roman" w:hAnsi="Arial" w:cs="Arial"/>
          <w:i/>
          <w:sz w:val="20"/>
          <w:szCs w:val="24"/>
        </w:rPr>
        <w:t>et</w:t>
      </w:r>
      <w:proofErr w:type="spellEnd"/>
      <w:r w:rsidRPr="00E2697F">
        <w:rPr>
          <w:rFonts w:ascii="Arial" w:eastAsia="Times New Roman" w:hAnsi="Arial" w:cs="Arial"/>
          <w:i/>
          <w:sz w:val="20"/>
          <w:szCs w:val="24"/>
        </w:rPr>
        <w:t xml:space="preserve"> al.,</w:t>
      </w:r>
      <w:r w:rsidRPr="00E2697F">
        <w:rPr>
          <w:rFonts w:ascii="Arial" w:eastAsia="Times New Roman" w:hAnsi="Arial" w:cs="Arial"/>
          <w:sz w:val="20"/>
          <w:szCs w:val="24"/>
        </w:rPr>
        <w:t xml:space="preserve"> 2018).</w:t>
      </w:r>
      <w:r w:rsidRPr="00674758">
        <w:rPr>
          <w:rFonts w:ascii="Arial" w:eastAsia="Times New Roman" w:hAnsi="Arial" w:cs="Arial"/>
          <w:sz w:val="20"/>
          <w:szCs w:val="24"/>
        </w:rPr>
        <w:t xml:space="preserve"> These </w:t>
      </w:r>
      <w:proofErr w:type="spellStart"/>
      <w:r w:rsidRPr="00674758">
        <w:rPr>
          <w:rFonts w:ascii="Arial" w:eastAsia="Times New Roman" w:hAnsi="Arial" w:cs="Arial"/>
          <w:sz w:val="20"/>
          <w:szCs w:val="24"/>
        </w:rPr>
        <w:t>bioactives</w:t>
      </w:r>
      <w:proofErr w:type="spellEnd"/>
      <w:r w:rsidRPr="00674758">
        <w:rPr>
          <w:rFonts w:ascii="Arial" w:eastAsia="Times New Roman" w:hAnsi="Arial" w:cs="Arial"/>
          <w:sz w:val="20"/>
          <w:szCs w:val="24"/>
        </w:rPr>
        <w:t xml:space="preserve"> mitigate lipid peroxidation and support cellular redox balance, which are crucial in the prevention of degenerative diseases such as diabetes, cancer, and neurodegenerative disorders (Iwase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2015; Srivastava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2021).</w:t>
      </w:r>
    </w:p>
    <w:p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.2 Antihyperlipidemic Effects</w:t>
      </w:r>
    </w:p>
    <w:p w:rsidR="007F29B6" w:rsidRPr="00674758" w:rsidRDefault="007F29B6" w:rsidP="007F29B6">
      <w:pPr>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TPO has shown promising antihyperlipidemic properties due to its favorable ratio of unsaturated to saturated fatty acids</w:t>
      </w:r>
      <w:r w:rsidR="00674758">
        <w:rPr>
          <w:rFonts w:ascii="Arial" w:eastAsia="Times New Roman" w:hAnsi="Arial" w:cs="Arial"/>
          <w:sz w:val="20"/>
          <w:szCs w:val="24"/>
        </w:rPr>
        <w:t xml:space="preserve"> (Table 3)</w:t>
      </w:r>
      <w:r w:rsidRPr="00674758">
        <w:rPr>
          <w:rFonts w:ascii="Arial" w:eastAsia="Times New Roman" w:hAnsi="Arial" w:cs="Arial"/>
          <w:sz w:val="20"/>
          <w:szCs w:val="24"/>
        </w:rPr>
        <w:t xml:space="preserve">. Notably, the presence of omega-3 fatty acids, particularly α-linolenic acid </w:t>
      </w:r>
      <w:r w:rsidRPr="00674758">
        <w:rPr>
          <w:rFonts w:ascii="Arial" w:eastAsia="Times New Roman" w:hAnsi="Arial" w:cs="Arial"/>
          <w:sz w:val="20"/>
          <w:szCs w:val="24"/>
        </w:rPr>
        <w:lastRenderedPageBreak/>
        <w:t xml:space="preserve">(ALA), contributes to reduced serum triglycerides, LDL-cholesterol, and total cholesterol while improving HDL levels (Zhou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2022; Kumar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2020). These effects suggest that </w:t>
      </w:r>
      <w:proofErr w:type="spellStart"/>
      <w:r w:rsidRPr="00674758">
        <w:rPr>
          <w:rFonts w:ascii="Arial" w:eastAsia="Times New Roman" w:hAnsi="Arial" w:cs="Arial"/>
          <w:sz w:val="20"/>
          <w:szCs w:val="24"/>
        </w:rPr>
        <w:t>Tasar</w:t>
      </w:r>
      <w:proofErr w:type="spellEnd"/>
      <w:r w:rsidRPr="00674758">
        <w:rPr>
          <w:rFonts w:ascii="Arial" w:eastAsia="Times New Roman" w:hAnsi="Arial" w:cs="Arial"/>
          <w:sz w:val="20"/>
          <w:szCs w:val="24"/>
        </w:rPr>
        <w:t xml:space="preserve"> pupal oil could be a valuable dietary supplement in managing metabolic syndrome and cardiovascular health.</w:t>
      </w:r>
    </w:p>
    <w:p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.3 Anticancer Activity</w:t>
      </w:r>
    </w:p>
    <w:p w:rsidR="007F29B6" w:rsidRPr="00674758" w:rsidRDefault="007F29B6" w:rsidP="00901DB3">
      <w:pPr>
        <w:tabs>
          <w:tab w:val="left" w:pos="851"/>
        </w:tabs>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 xml:space="preserve">Several fatty acid derivatives present in TPO, including decanoic acid, methyl </w:t>
      </w:r>
      <w:proofErr w:type="spellStart"/>
      <w:r w:rsidRPr="00674758">
        <w:rPr>
          <w:rFonts w:ascii="Arial" w:eastAsia="Times New Roman" w:hAnsi="Arial" w:cs="Arial"/>
          <w:sz w:val="20"/>
          <w:szCs w:val="24"/>
        </w:rPr>
        <w:t>linolenate</w:t>
      </w:r>
      <w:proofErr w:type="spellEnd"/>
      <w:r w:rsidRPr="00674758">
        <w:rPr>
          <w:rFonts w:ascii="Arial" w:eastAsia="Times New Roman" w:hAnsi="Arial" w:cs="Arial"/>
          <w:sz w:val="20"/>
          <w:szCs w:val="24"/>
        </w:rPr>
        <w:t xml:space="preserve">, and tridecanoic acid, possess documented cytotoxicity against tumor cells through apoptosis induction and inhibition of cell proliferation (Long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2019; Srivastava </w:t>
      </w:r>
      <w:r w:rsidRPr="00674758">
        <w:rPr>
          <w:rFonts w:ascii="Arial" w:eastAsia="Times New Roman" w:hAnsi="Arial" w:cs="Arial"/>
          <w:i/>
          <w:sz w:val="20"/>
          <w:szCs w:val="24"/>
        </w:rPr>
        <w:t>et al.,</w:t>
      </w:r>
      <w:r w:rsidR="00901DB3">
        <w:rPr>
          <w:rFonts w:ascii="Arial" w:eastAsia="Times New Roman" w:hAnsi="Arial" w:cs="Arial"/>
          <w:sz w:val="20"/>
          <w:szCs w:val="24"/>
        </w:rPr>
        <w:t xml:space="preserve"> 2024a</w:t>
      </w:r>
      <w:r w:rsidRPr="00674758">
        <w:rPr>
          <w:rFonts w:ascii="Arial" w:eastAsia="Times New Roman" w:hAnsi="Arial" w:cs="Arial"/>
          <w:sz w:val="20"/>
          <w:szCs w:val="24"/>
        </w:rPr>
        <w:t>). The polyunsaturated compound 9,12,15-octadecatrienoic acid (</w:t>
      </w:r>
      <w:proofErr w:type="gramStart"/>
      <w:r w:rsidRPr="00674758">
        <w:rPr>
          <w:rFonts w:ascii="Arial" w:eastAsia="Times New Roman" w:hAnsi="Arial" w:cs="Arial"/>
          <w:sz w:val="20"/>
          <w:szCs w:val="24"/>
        </w:rPr>
        <w:t>Z,Z</w:t>
      </w:r>
      <w:proofErr w:type="gramEnd"/>
      <w:r w:rsidRPr="00674758">
        <w:rPr>
          <w:rFonts w:ascii="Arial" w:eastAsia="Times New Roman" w:hAnsi="Arial" w:cs="Arial"/>
          <w:sz w:val="20"/>
          <w:szCs w:val="24"/>
        </w:rPr>
        <w:t xml:space="preserve">,Z) and other phytochemicals in TPO have been shown to exert anti-proliferative effects on cancer cell lines, with potential applications in breast, liver, and colon cancers </w:t>
      </w:r>
      <w:r w:rsidR="004E29C4">
        <w:rPr>
          <w:rFonts w:ascii="Arial" w:eastAsia="Times New Roman" w:hAnsi="Arial" w:cs="Arial"/>
          <w:sz w:val="20"/>
          <w:szCs w:val="24"/>
        </w:rPr>
        <w:t>(</w:t>
      </w:r>
      <w:proofErr w:type="spellStart"/>
      <w:r w:rsidR="004E29C4">
        <w:rPr>
          <w:rFonts w:ascii="Arial" w:eastAsia="Times New Roman" w:hAnsi="Arial" w:cs="Arial"/>
          <w:sz w:val="20"/>
          <w:szCs w:val="24"/>
        </w:rPr>
        <w:t>Sharma</w:t>
      </w:r>
      <w:r w:rsidRPr="004E29C4">
        <w:rPr>
          <w:rFonts w:ascii="Arial" w:eastAsia="Times New Roman" w:hAnsi="Arial" w:cs="Arial"/>
          <w:i/>
          <w:sz w:val="20"/>
          <w:szCs w:val="24"/>
        </w:rPr>
        <w:t>et</w:t>
      </w:r>
      <w:proofErr w:type="spellEnd"/>
      <w:r w:rsidRPr="004E29C4">
        <w:rPr>
          <w:rFonts w:ascii="Arial" w:eastAsia="Times New Roman" w:hAnsi="Arial" w:cs="Arial"/>
          <w:i/>
          <w:sz w:val="20"/>
          <w:szCs w:val="24"/>
        </w:rPr>
        <w:t xml:space="preserve"> al.,</w:t>
      </w:r>
      <w:r w:rsidR="004E29C4" w:rsidRPr="004E29C4">
        <w:rPr>
          <w:rFonts w:ascii="Arial" w:eastAsia="Times New Roman" w:hAnsi="Arial" w:cs="Arial"/>
          <w:sz w:val="20"/>
          <w:szCs w:val="24"/>
        </w:rPr>
        <w:t xml:space="preserve"> 20</w:t>
      </w:r>
      <w:r w:rsidR="004E29C4">
        <w:rPr>
          <w:rFonts w:ascii="Arial" w:eastAsia="Times New Roman" w:hAnsi="Arial" w:cs="Arial"/>
          <w:sz w:val="20"/>
          <w:szCs w:val="24"/>
        </w:rPr>
        <w:t>22</w:t>
      </w:r>
      <w:r w:rsidRPr="00674758">
        <w:rPr>
          <w:rFonts w:ascii="Arial" w:eastAsia="Times New Roman" w:hAnsi="Arial" w:cs="Arial"/>
          <w:sz w:val="20"/>
          <w:szCs w:val="24"/>
        </w:rPr>
        <w:t xml:space="preserve">; Zhao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2022).</w:t>
      </w:r>
    </w:p>
    <w:p w:rsidR="007F29B6" w:rsidRPr="007F29B6" w:rsidRDefault="007F29B6" w:rsidP="007F29B6">
      <w:pPr>
        <w:pStyle w:val="NormalWeb"/>
        <w:rPr>
          <w:b/>
        </w:rPr>
      </w:pPr>
      <w:r w:rsidRPr="00362758">
        <w:rPr>
          <w:b/>
        </w:rPr>
        <w:t>T</w:t>
      </w:r>
      <w:r w:rsidRPr="00674758">
        <w:rPr>
          <w:rFonts w:ascii="Arial" w:hAnsi="Arial" w:cs="Arial"/>
          <w:b/>
          <w:sz w:val="20"/>
        </w:rPr>
        <w:t xml:space="preserve">able </w:t>
      </w:r>
      <w:r w:rsidR="008B20FF">
        <w:rPr>
          <w:rFonts w:ascii="Arial" w:hAnsi="Arial" w:cs="Arial"/>
          <w:b/>
          <w:sz w:val="20"/>
        </w:rPr>
        <w:t>4</w:t>
      </w:r>
      <w:r w:rsidRPr="00674758">
        <w:rPr>
          <w:rFonts w:ascii="Arial" w:hAnsi="Arial" w:cs="Arial"/>
          <w:b/>
          <w:sz w:val="20"/>
        </w:rPr>
        <w:t xml:space="preserve">. Fatty Acid Derivatives and Their Therapeutic Potentials in </w:t>
      </w:r>
      <w:proofErr w:type="spellStart"/>
      <w:r w:rsidRPr="00674758">
        <w:rPr>
          <w:rFonts w:ascii="Arial" w:hAnsi="Arial" w:cs="Arial"/>
          <w:b/>
          <w:sz w:val="20"/>
        </w:rPr>
        <w:t>Tasar</w:t>
      </w:r>
      <w:proofErr w:type="spellEnd"/>
      <w:r w:rsidRPr="00674758">
        <w:rPr>
          <w:rFonts w:ascii="Arial" w:hAnsi="Arial" w:cs="Arial"/>
          <w:b/>
          <w:sz w:val="20"/>
        </w:rPr>
        <w:t xml:space="preserve"> Pupal Oil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9"/>
        <w:gridCol w:w="2455"/>
        <w:gridCol w:w="1888"/>
        <w:gridCol w:w="2759"/>
        <w:gridCol w:w="1895"/>
      </w:tblGrid>
      <w:tr w:rsidR="007F29B6" w:rsidRPr="00674758" w:rsidTr="008E6494">
        <w:tc>
          <w:tcPr>
            <w:tcW w:w="0" w:type="auto"/>
            <w:tcBorders>
              <w:top w:val="single" w:sz="4" w:space="0" w:color="auto"/>
              <w:bottom w:val="single" w:sz="4" w:space="0" w:color="auto"/>
            </w:tcBorders>
            <w:hideMark/>
          </w:tcPr>
          <w:p w:rsidR="007F29B6" w:rsidRPr="00674758" w:rsidRDefault="007F29B6" w:rsidP="00674758">
            <w:pPr>
              <w:spacing w:line="480" w:lineRule="auto"/>
              <w:jc w:val="right"/>
              <w:rPr>
                <w:rFonts w:ascii="Arial" w:eastAsia="Times New Roman" w:hAnsi="Arial" w:cs="Arial"/>
                <w:b/>
                <w:bCs/>
                <w:sz w:val="20"/>
                <w:szCs w:val="20"/>
              </w:rPr>
            </w:pPr>
            <w:r w:rsidRPr="00674758">
              <w:rPr>
                <w:rFonts w:ascii="Arial" w:eastAsia="Times New Roman" w:hAnsi="Arial" w:cs="Arial"/>
                <w:b/>
                <w:bCs/>
                <w:sz w:val="20"/>
                <w:szCs w:val="20"/>
              </w:rPr>
              <w:t>Sl. No.</w:t>
            </w:r>
          </w:p>
        </w:tc>
        <w:tc>
          <w:tcPr>
            <w:tcW w:w="0" w:type="auto"/>
            <w:tcBorders>
              <w:top w:val="single" w:sz="4" w:space="0" w:color="auto"/>
              <w:bottom w:val="single" w:sz="4" w:space="0" w:color="auto"/>
            </w:tcBorders>
            <w:hideMark/>
          </w:tcPr>
          <w:p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Compound Name</w:t>
            </w:r>
          </w:p>
        </w:tc>
        <w:tc>
          <w:tcPr>
            <w:tcW w:w="0" w:type="auto"/>
            <w:tcBorders>
              <w:top w:val="single" w:sz="4" w:space="0" w:color="auto"/>
              <w:bottom w:val="single" w:sz="4" w:space="0" w:color="auto"/>
            </w:tcBorders>
            <w:hideMark/>
          </w:tcPr>
          <w:p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Class</w:t>
            </w:r>
          </w:p>
        </w:tc>
        <w:tc>
          <w:tcPr>
            <w:tcW w:w="0" w:type="auto"/>
            <w:tcBorders>
              <w:top w:val="single" w:sz="4" w:space="0" w:color="auto"/>
              <w:bottom w:val="single" w:sz="4" w:space="0" w:color="auto"/>
            </w:tcBorders>
            <w:hideMark/>
          </w:tcPr>
          <w:p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Biological Activity</w:t>
            </w:r>
          </w:p>
        </w:tc>
        <w:tc>
          <w:tcPr>
            <w:tcW w:w="0" w:type="auto"/>
            <w:tcBorders>
              <w:top w:val="single" w:sz="4" w:space="0" w:color="auto"/>
              <w:bottom w:val="single" w:sz="4" w:space="0" w:color="auto"/>
            </w:tcBorders>
            <w:hideMark/>
          </w:tcPr>
          <w:p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References</w:t>
            </w:r>
          </w:p>
        </w:tc>
      </w:tr>
      <w:tr w:rsidR="007F29B6" w:rsidRPr="00674758" w:rsidTr="008E6494">
        <w:tc>
          <w:tcPr>
            <w:tcW w:w="0" w:type="auto"/>
            <w:tcBorders>
              <w:top w:val="single" w:sz="4" w:space="0" w:color="auto"/>
              <w:bottom w:val="nil"/>
            </w:tcBorders>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w:t>
            </w:r>
          </w:p>
        </w:tc>
        <w:tc>
          <w:tcPr>
            <w:tcW w:w="0" w:type="auto"/>
            <w:tcBorders>
              <w:top w:val="single" w:sz="4" w:space="0" w:color="auto"/>
              <w:bottom w:val="nil"/>
            </w:tcBorders>
            <w:hideMark/>
          </w:tcPr>
          <w:p w:rsidR="007F29B6" w:rsidRPr="00674758" w:rsidRDefault="007F29B6" w:rsidP="00674758">
            <w:pPr>
              <w:spacing w:line="480" w:lineRule="auto"/>
              <w:rPr>
                <w:rFonts w:ascii="Arial" w:eastAsia="Times New Roman" w:hAnsi="Arial" w:cs="Arial"/>
                <w:sz w:val="20"/>
                <w:szCs w:val="20"/>
              </w:rPr>
            </w:pPr>
            <w:proofErr w:type="spellStart"/>
            <w:r w:rsidRPr="00674758">
              <w:rPr>
                <w:rFonts w:ascii="Arial" w:hAnsi="Arial" w:cs="Arial"/>
                <w:sz w:val="20"/>
                <w:szCs w:val="20"/>
              </w:rPr>
              <w:t>Tetradecanoic</w:t>
            </w:r>
            <w:proofErr w:type="spellEnd"/>
            <w:r w:rsidRPr="00674758">
              <w:rPr>
                <w:rFonts w:ascii="Arial" w:hAnsi="Arial" w:cs="Arial"/>
                <w:sz w:val="20"/>
                <w:szCs w:val="20"/>
              </w:rPr>
              <w:t xml:space="preserve"> acid</w:t>
            </w:r>
          </w:p>
        </w:tc>
        <w:tc>
          <w:tcPr>
            <w:tcW w:w="0" w:type="auto"/>
            <w:tcBorders>
              <w:top w:val="single" w:sz="4" w:space="0" w:color="auto"/>
              <w:bottom w:val="nil"/>
            </w:tcBorders>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tcBorders>
              <w:top w:val="single" w:sz="4" w:space="0" w:color="auto"/>
              <w:bottom w:val="nil"/>
            </w:tcBorders>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Larvicidal, antifungal, antiviral, anticancer, antiparasitic, and immune-modulating activities</w:t>
            </w:r>
          </w:p>
        </w:tc>
        <w:tc>
          <w:tcPr>
            <w:tcW w:w="0" w:type="auto"/>
            <w:tcBorders>
              <w:top w:val="single" w:sz="4" w:space="0" w:color="auto"/>
              <w:bottom w:val="nil"/>
            </w:tcBorders>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(Sivakumar </w:t>
            </w:r>
            <w:r w:rsidRPr="005C26DA">
              <w:rPr>
                <w:rFonts w:ascii="Arial" w:eastAsia="Times New Roman" w:hAnsi="Arial" w:cs="Arial"/>
                <w:i/>
                <w:sz w:val="20"/>
                <w:szCs w:val="20"/>
              </w:rPr>
              <w:t xml:space="preserve">et al., </w:t>
            </w:r>
            <w:r w:rsidRPr="005C26DA">
              <w:rPr>
                <w:rFonts w:ascii="Arial" w:eastAsia="Times New Roman" w:hAnsi="Arial" w:cs="Arial"/>
                <w:sz w:val="20"/>
                <w:szCs w:val="20"/>
              </w:rPr>
              <w:t xml:space="preserve">2011; Javid </w:t>
            </w:r>
            <w:r w:rsidRPr="005C26DA">
              <w:rPr>
                <w:rFonts w:ascii="Arial" w:eastAsia="Times New Roman" w:hAnsi="Arial" w:cs="Arial"/>
                <w:i/>
                <w:sz w:val="20"/>
                <w:szCs w:val="20"/>
              </w:rPr>
              <w:t>et al.,</w:t>
            </w:r>
            <w:r w:rsidRPr="005C26DA">
              <w:rPr>
                <w:rFonts w:ascii="Arial" w:eastAsia="Times New Roman" w:hAnsi="Arial" w:cs="Arial"/>
                <w:sz w:val="20"/>
                <w:szCs w:val="20"/>
              </w:rPr>
              <w:t xml:space="preserve"> 2020)</w:t>
            </w:r>
          </w:p>
        </w:tc>
      </w:tr>
      <w:tr w:rsidR="007F29B6" w:rsidRPr="00674758" w:rsidTr="008E6494">
        <w:tc>
          <w:tcPr>
            <w:tcW w:w="0" w:type="auto"/>
            <w:tcBorders>
              <w:top w:val="nil"/>
            </w:tcBorders>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2</w:t>
            </w:r>
          </w:p>
        </w:tc>
        <w:tc>
          <w:tcPr>
            <w:tcW w:w="0" w:type="auto"/>
            <w:tcBorders>
              <w:top w:val="nil"/>
            </w:tcBorders>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Methyl hexadec-9-enoate</w:t>
            </w:r>
          </w:p>
        </w:tc>
        <w:tc>
          <w:tcPr>
            <w:tcW w:w="0" w:type="auto"/>
            <w:tcBorders>
              <w:top w:val="nil"/>
            </w:tcBorders>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tcBorders>
              <w:top w:val="nil"/>
            </w:tcBorders>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Antibacterial</w:t>
            </w:r>
          </w:p>
        </w:tc>
        <w:tc>
          <w:tcPr>
            <w:tcW w:w="0" w:type="auto"/>
            <w:tcBorders>
              <w:top w:val="nil"/>
            </w:tcBorders>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w:t>
            </w:r>
            <w:proofErr w:type="spellStart"/>
            <w:r w:rsidRPr="005C26DA">
              <w:rPr>
                <w:rFonts w:ascii="Arial" w:hAnsi="Arial" w:cs="Arial"/>
                <w:sz w:val="20"/>
                <w:szCs w:val="20"/>
              </w:rPr>
              <w:t>Batalha</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2020)</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3</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Pentadecanoic acid, 14-methyl-, methyl ester</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Lubricants, antifungal, antibacterial</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(Sivakumar </w:t>
            </w:r>
            <w:r w:rsidRPr="005C26DA">
              <w:rPr>
                <w:rFonts w:ascii="Arial" w:eastAsia="Times New Roman" w:hAnsi="Arial" w:cs="Arial"/>
                <w:i/>
                <w:sz w:val="20"/>
                <w:szCs w:val="20"/>
              </w:rPr>
              <w:t xml:space="preserve">et al., </w:t>
            </w:r>
            <w:proofErr w:type="gramStart"/>
            <w:r w:rsidRPr="005C26DA">
              <w:rPr>
                <w:rFonts w:ascii="Arial" w:eastAsia="Times New Roman" w:hAnsi="Arial" w:cs="Arial"/>
                <w:sz w:val="20"/>
                <w:szCs w:val="20"/>
              </w:rPr>
              <w:t>2011;</w:t>
            </w:r>
            <w:r w:rsidRPr="005C26DA">
              <w:rPr>
                <w:rFonts w:ascii="Arial" w:hAnsi="Arial" w:cs="Arial"/>
                <w:sz w:val="20"/>
                <w:szCs w:val="20"/>
              </w:rPr>
              <w:t>Ferdosi</w:t>
            </w:r>
            <w:r w:rsidRPr="005C26DA">
              <w:rPr>
                <w:rFonts w:ascii="Arial" w:hAnsi="Arial" w:cs="Arial"/>
                <w:i/>
                <w:sz w:val="20"/>
                <w:szCs w:val="20"/>
              </w:rPr>
              <w:t>et</w:t>
            </w:r>
            <w:proofErr w:type="gramEnd"/>
            <w:r w:rsidRPr="005C26DA">
              <w:rPr>
                <w:rFonts w:ascii="Arial" w:hAnsi="Arial" w:cs="Arial"/>
                <w:i/>
                <w:sz w:val="20"/>
                <w:szCs w:val="20"/>
              </w:rPr>
              <w:t xml:space="preserve"> al., </w:t>
            </w:r>
            <w:r w:rsidRPr="005C26DA">
              <w:rPr>
                <w:rFonts w:ascii="Arial" w:hAnsi="Arial" w:cs="Arial"/>
                <w:sz w:val="20"/>
                <w:szCs w:val="20"/>
              </w:rPr>
              <w:t>2021)</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4</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Decanoic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Anticancer, antibacterial, antiviral</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 xml:space="preserve">(Yang </w:t>
            </w:r>
            <w:r w:rsidRPr="005C26DA">
              <w:rPr>
                <w:rFonts w:ascii="Arial" w:hAnsi="Arial" w:cs="Arial"/>
                <w:i/>
                <w:sz w:val="20"/>
                <w:szCs w:val="20"/>
              </w:rPr>
              <w:t>et al.,</w:t>
            </w:r>
            <w:r w:rsidRPr="005C26DA">
              <w:rPr>
                <w:rFonts w:ascii="Arial" w:hAnsi="Arial" w:cs="Arial"/>
                <w:sz w:val="20"/>
                <w:szCs w:val="20"/>
              </w:rPr>
              <w:t xml:space="preserve"> 2018)</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5</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n-</w:t>
            </w:r>
            <w:proofErr w:type="spellStart"/>
            <w:r w:rsidRPr="00674758">
              <w:rPr>
                <w:rFonts w:ascii="Arial" w:eastAsia="Times New Roman" w:hAnsi="Arial" w:cs="Arial"/>
                <w:sz w:val="20"/>
                <w:szCs w:val="20"/>
              </w:rPr>
              <w:t>Hexadecanoic</w:t>
            </w:r>
            <w:proofErr w:type="spellEnd"/>
            <w:r w:rsidRPr="00674758">
              <w:rPr>
                <w:rFonts w:ascii="Arial" w:eastAsia="Times New Roman" w:hAnsi="Arial" w:cs="Arial"/>
                <w:sz w:val="20"/>
                <w:szCs w:val="20"/>
              </w:rPr>
              <w:t xml:space="preserve">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Antioxidant, antibacterial</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Pr="005C26DA">
              <w:rPr>
                <w:rFonts w:ascii="Arial" w:hAnsi="Arial" w:cs="Arial"/>
                <w:sz w:val="20"/>
                <w:szCs w:val="20"/>
              </w:rPr>
              <w:t>Gsan</w:t>
            </w:r>
            <w:r w:rsidRPr="005C26DA">
              <w:rPr>
                <w:rFonts w:ascii="Arial" w:hAnsi="Arial" w:cs="Arial"/>
                <w:i/>
                <w:sz w:val="20"/>
                <w:szCs w:val="20"/>
              </w:rPr>
              <w:t>et</w:t>
            </w:r>
            <w:proofErr w:type="spellEnd"/>
            <w:r w:rsidRPr="005C26DA">
              <w:rPr>
                <w:rFonts w:ascii="Arial" w:hAnsi="Arial" w:cs="Arial"/>
                <w:i/>
                <w:sz w:val="20"/>
                <w:szCs w:val="20"/>
              </w:rPr>
              <w:t xml:space="preserve"> al.,</w:t>
            </w:r>
            <w:r w:rsidRPr="005C26DA">
              <w:rPr>
                <w:rFonts w:ascii="Arial" w:hAnsi="Arial" w:cs="Arial"/>
                <w:sz w:val="20"/>
                <w:szCs w:val="20"/>
              </w:rPr>
              <w:t xml:space="preserve"> 2022)</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6</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9,12,15-Octadecatrienoic acid, methyl ester (</w:t>
            </w:r>
            <w:proofErr w:type="gramStart"/>
            <w:r w:rsidRPr="00674758">
              <w:rPr>
                <w:rFonts w:ascii="Arial" w:eastAsia="Times New Roman" w:hAnsi="Arial" w:cs="Arial"/>
                <w:sz w:val="20"/>
                <w:szCs w:val="20"/>
              </w:rPr>
              <w:t>Z,Z</w:t>
            </w:r>
            <w:proofErr w:type="gramEnd"/>
            <w:r w:rsidRPr="00674758">
              <w:rPr>
                <w:rFonts w:ascii="Arial" w:eastAsia="Times New Roman" w:hAnsi="Arial" w:cs="Arial"/>
                <w:sz w:val="20"/>
                <w:szCs w:val="20"/>
              </w:rPr>
              <w:t>,Z)-</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Polyunsaturated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 xml:space="preserve">Antihyperlipidemic, antioxidant, </w:t>
            </w:r>
            <w:proofErr w:type="spellStart"/>
            <w:r w:rsidRPr="00674758">
              <w:rPr>
                <w:rFonts w:ascii="Arial" w:eastAsia="Times New Roman" w:hAnsi="Arial" w:cs="Arial"/>
                <w:sz w:val="20"/>
                <w:szCs w:val="20"/>
              </w:rPr>
              <w:t>vasoprotective</w:t>
            </w:r>
            <w:proofErr w:type="spellEnd"/>
            <w:r w:rsidRPr="00674758">
              <w:rPr>
                <w:rFonts w:ascii="Arial" w:eastAsia="Times New Roman" w:hAnsi="Arial" w:cs="Arial"/>
                <w:sz w:val="20"/>
                <w:szCs w:val="20"/>
              </w:rPr>
              <w:t>, tyrosinase inhibitor, anticancer, antibacterial</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Pr="005C26DA">
              <w:rPr>
                <w:rFonts w:ascii="Arial" w:hAnsi="Arial" w:cs="Arial"/>
                <w:sz w:val="20"/>
                <w:szCs w:val="20"/>
              </w:rPr>
              <w:t>Shawer</w:t>
            </w:r>
            <w:r w:rsidRPr="005C26DA">
              <w:rPr>
                <w:rFonts w:ascii="Arial" w:hAnsi="Arial" w:cs="Arial"/>
                <w:i/>
                <w:sz w:val="20"/>
                <w:szCs w:val="20"/>
              </w:rPr>
              <w:t>et</w:t>
            </w:r>
            <w:proofErr w:type="spellEnd"/>
            <w:r w:rsidRPr="005C26DA">
              <w:rPr>
                <w:rFonts w:ascii="Arial" w:hAnsi="Arial" w:cs="Arial"/>
                <w:i/>
                <w:sz w:val="20"/>
                <w:szCs w:val="20"/>
              </w:rPr>
              <w:t xml:space="preserve"> al.,</w:t>
            </w:r>
            <w:r w:rsidRPr="005C26DA">
              <w:rPr>
                <w:rFonts w:ascii="Arial" w:hAnsi="Arial" w:cs="Arial"/>
                <w:sz w:val="20"/>
                <w:szCs w:val="20"/>
              </w:rPr>
              <w:t xml:space="preserve"> 2022)</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7</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6-Octadecenoic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 xml:space="preserve">Monounsaturated </w:t>
            </w:r>
            <w:r w:rsidRPr="00674758">
              <w:rPr>
                <w:rFonts w:ascii="Arial" w:eastAsia="Times New Roman" w:hAnsi="Arial" w:cs="Arial"/>
                <w:sz w:val="20"/>
                <w:szCs w:val="20"/>
              </w:rPr>
              <w:lastRenderedPageBreak/>
              <w:t>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lastRenderedPageBreak/>
              <w:t>Anti-cancer</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r w:rsidRPr="005C26DA">
              <w:rPr>
                <w:rFonts w:ascii="Arial" w:hAnsi="Arial" w:cs="Arial"/>
                <w:sz w:val="20"/>
                <w:szCs w:val="20"/>
              </w:rPr>
              <w:t xml:space="preserve">Karthikeyan </w:t>
            </w:r>
            <w:r w:rsidRPr="005C26DA">
              <w:rPr>
                <w:rFonts w:ascii="Arial" w:hAnsi="Arial" w:cs="Arial"/>
                <w:i/>
                <w:sz w:val="20"/>
                <w:szCs w:val="20"/>
              </w:rPr>
              <w:t>et al.,</w:t>
            </w:r>
            <w:r w:rsidRPr="005C26DA">
              <w:rPr>
                <w:rFonts w:ascii="Arial" w:hAnsi="Arial" w:cs="Arial"/>
                <w:sz w:val="20"/>
                <w:szCs w:val="20"/>
              </w:rPr>
              <w:t xml:space="preserve"> </w:t>
            </w:r>
            <w:r w:rsidRPr="005C26DA">
              <w:rPr>
                <w:rFonts w:ascii="Arial" w:hAnsi="Arial" w:cs="Arial"/>
                <w:sz w:val="20"/>
                <w:szCs w:val="20"/>
              </w:rPr>
              <w:lastRenderedPageBreak/>
              <w:t>2014)</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lastRenderedPageBreak/>
              <w:t>8</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9-Hexadecenoic acid, methyl ester (Z)-</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Pesticide and antibiotic, anti-inflammatory</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proofErr w:type="spellStart"/>
            <w:r w:rsidRPr="005C26DA">
              <w:rPr>
                <w:rFonts w:ascii="Arial" w:hAnsi="Arial" w:cs="Arial"/>
                <w:sz w:val="20"/>
                <w:szCs w:val="20"/>
              </w:rPr>
              <w:t>Shettima</w:t>
            </w:r>
            <w:r w:rsidRPr="005C26DA">
              <w:rPr>
                <w:rFonts w:ascii="Arial" w:hAnsi="Arial" w:cs="Arial"/>
                <w:i/>
                <w:sz w:val="20"/>
                <w:szCs w:val="20"/>
              </w:rPr>
              <w:t>et</w:t>
            </w:r>
            <w:proofErr w:type="spellEnd"/>
            <w:r w:rsidRPr="005C26DA">
              <w:rPr>
                <w:rFonts w:ascii="Arial" w:hAnsi="Arial" w:cs="Arial"/>
                <w:i/>
                <w:sz w:val="20"/>
                <w:szCs w:val="20"/>
              </w:rPr>
              <w:t xml:space="preserve"> al.,</w:t>
            </w:r>
            <w:r w:rsidRPr="005C26DA">
              <w:rPr>
                <w:rFonts w:ascii="Arial" w:hAnsi="Arial" w:cs="Arial"/>
                <w:sz w:val="20"/>
                <w:szCs w:val="20"/>
              </w:rPr>
              <w:t xml:space="preserve"> 2013; </w:t>
            </w:r>
            <w:proofErr w:type="spellStart"/>
            <w:r w:rsidRPr="005C26DA">
              <w:rPr>
                <w:rFonts w:ascii="Arial" w:hAnsi="Arial" w:cs="Arial"/>
                <w:sz w:val="20"/>
                <w:szCs w:val="20"/>
              </w:rPr>
              <w:t>Astudillo</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2018)</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9</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Tridecanoic acid, 12-methyl-, methyl ester</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Anthelminthic, anti-inflammatory, antimicrobial, anti-cancerous</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 xml:space="preserve">(Chowdhury </w:t>
            </w:r>
            <w:r w:rsidRPr="005C26DA">
              <w:rPr>
                <w:rFonts w:ascii="Arial" w:hAnsi="Arial" w:cs="Arial"/>
                <w:i/>
                <w:sz w:val="20"/>
                <w:szCs w:val="20"/>
              </w:rPr>
              <w:t>et al.</w:t>
            </w:r>
            <w:r w:rsidRPr="005C26DA">
              <w:rPr>
                <w:rFonts w:ascii="Arial" w:hAnsi="Arial" w:cs="Arial"/>
                <w:sz w:val="20"/>
                <w:szCs w:val="20"/>
              </w:rPr>
              <w:t>, 2021)</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10</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 xml:space="preserve">1-Hexadecanaminium, </w:t>
            </w:r>
            <w:proofErr w:type="gramStart"/>
            <w:r w:rsidRPr="00674758">
              <w:rPr>
                <w:rFonts w:ascii="Arial" w:eastAsia="Times New Roman" w:hAnsi="Arial" w:cs="Arial"/>
                <w:sz w:val="20"/>
                <w:szCs w:val="20"/>
              </w:rPr>
              <w:t>N,N</w:t>
            </w:r>
            <w:proofErr w:type="gramEnd"/>
            <w:r w:rsidRPr="00674758">
              <w:rPr>
                <w:rFonts w:ascii="Arial" w:eastAsia="Times New Roman" w:hAnsi="Arial" w:cs="Arial"/>
                <w:sz w:val="20"/>
                <w:szCs w:val="20"/>
              </w:rPr>
              <w:t xml:space="preserve">,N-trimethyl-, </w:t>
            </w:r>
            <w:proofErr w:type="spellStart"/>
            <w:r w:rsidRPr="00674758">
              <w:rPr>
                <w:rFonts w:ascii="Arial" w:eastAsia="Times New Roman" w:hAnsi="Arial" w:cs="Arial"/>
                <w:sz w:val="20"/>
                <w:szCs w:val="20"/>
              </w:rPr>
              <w:t>octadecanoate</w:t>
            </w:r>
            <w:proofErr w:type="spellEnd"/>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Antiseptic</w:t>
            </w:r>
          </w:p>
        </w:tc>
        <w:tc>
          <w:tcPr>
            <w:tcW w:w="0" w:type="auto"/>
            <w:hideMark/>
          </w:tcPr>
          <w:p w:rsidR="007F29B6" w:rsidRPr="005C26DA" w:rsidRDefault="00674758"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005C26DA" w:rsidRPr="005C26DA">
              <w:rPr>
                <w:rFonts w:ascii="Arial" w:hAnsi="Arial" w:cs="Arial"/>
                <w:color w:val="222222"/>
                <w:sz w:val="20"/>
                <w:szCs w:val="20"/>
                <w:shd w:val="clear" w:color="auto" w:fill="FFFFFF"/>
              </w:rPr>
              <w:t>Longkumer</w:t>
            </w:r>
            <w:r w:rsidR="005C26DA" w:rsidRPr="005C26DA">
              <w:rPr>
                <w:rFonts w:ascii="Arial" w:hAnsi="Arial" w:cs="Arial"/>
                <w:i/>
                <w:color w:val="222222"/>
                <w:sz w:val="20"/>
                <w:szCs w:val="20"/>
                <w:shd w:val="clear" w:color="auto" w:fill="FFFFFF"/>
              </w:rPr>
              <w:t>et</w:t>
            </w:r>
            <w:proofErr w:type="spellEnd"/>
            <w:r w:rsidR="005C26DA" w:rsidRPr="005C26DA">
              <w:rPr>
                <w:rFonts w:ascii="Arial" w:hAnsi="Arial" w:cs="Arial"/>
                <w:i/>
                <w:color w:val="222222"/>
                <w:sz w:val="20"/>
                <w:szCs w:val="20"/>
                <w:shd w:val="clear" w:color="auto" w:fill="FFFFFF"/>
              </w:rPr>
              <w:t xml:space="preserve"> al., </w:t>
            </w:r>
            <w:r w:rsidR="005C26DA" w:rsidRPr="005C26DA">
              <w:rPr>
                <w:rFonts w:ascii="Arial" w:hAnsi="Arial" w:cs="Arial"/>
                <w:color w:val="222222"/>
                <w:sz w:val="20"/>
                <w:szCs w:val="20"/>
                <w:shd w:val="clear" w:color="auto" w:fill="FFFFFF"/>
              </w:rPr>
              <w:t>2023</w:t>
            </w:r>
            <w:r w:rsidR="007F29B6" w:rsidRPr="005C26DA">
              <w:rPr>
                <w:rFonts w:ascii="Arial" w:hAnsi="Arial" w:cs="Arial"/>
                <w:sz w:val="20"/>
                <w:szCs w:val="20"/>
              </w:rPr>
              <w:t xml:space="preserve">) </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11</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Methyl stearate</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Antimicrobial</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proofErr w:type="spellStart"/>
            <w:r w:rsidRPr="005C26DA">
              <w:rPr>
                <w:rFonts w:ascii="Arial" w:hAnsi="Arial" w:cs="Arial"/>
                <w:sz w:val="20"/>
                <w:szCs w:val="20"/>
              </w:rPr>
              <w:t>Nakaziba</w:t>
            </w:r>
            <w:r w:rsidRPr="005C26DA">
              <w:rPr>
                <w:rFonts w:ascii="Arial" w:hAnsi="Arial" w:cs="Arial"/>
                <w:i/>
                <w:sz w:val="20"/>
                <w:szCs w:val="20"/>
              </w:rPr>
              <w:t>et</w:t>
            </w:r>
            <w:proofErr w:type="spellEnd"/>
            <w:r w:rsidRPr="005C26DA">
              <w:rPr>
                <w:rFonts w:ascii="Arial" w:hAnsi="Arial" w:cs="Arial"/>
                <w:i/>
                <w:sz w:val="20"/>
                <w:szCs w:val="20"/>
              </w:rPr>
              <w:t xml:space="preserve"> al., </w:t>
            </w:r>
            <w:r w:rsidRPr="005C26DA">
              <w:rPr>
                <w:rFonts w:ascii="Arial" w:hAnsi="Arial" w:cs="Arial"/>
                <w:sz w:val="20"/>
                <w:szCs w:val="20"/>
              </w:rPr>
              <w:t>2022)</w:t>
            </w:r>
          </w:p>
        </w:tc>
      </w:tr>
      <w:tr w:rsidR="007F29B6" w:rsidRPr="00674758" w:rsidTr="008E6494">
        <w:tc>
          <w:tcPr>
            <w:tcW w:w="0" w:type="auto"/>
            <w:hideMark/>
          </w:tcPr>
          <w:p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12</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Nonanoic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Antifungal, antibacterial</w:t>
            </w:r>
          </w:p>
        </w:tc>
        <w:tc>
          <w:tcPr>
            <w:tcW w:w="0" w:type="auto"/>
            <w:hideMark/>
          </w:tcPr>
          <w:p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r w:rsidR="00674758" w:rsidRPr="005C26DA">
              <w:rPr>
                <w:rFonts w:ascii="Arial" w:hAnsi="Arial" w:cs="Arial"/>
                <w:sz w:val="20"/>
                <w:szCs w:val="20"/>
              </w:rPr>
              <w:t>Biswas and</w:t>
            </w:r>
            <w:r w:rsidRPr="005C26DA">
              <w:rPr>
                <w:rFonts w:ascii="Arial" w:hAnsi="Arial" w:cs="Arial"/>
                <w:sz w:val="20"/>
                <w:szCs w:val="20"/>
              </w:rPr>
              <w:t xml:space="preserve"> Jana, 2010)</w:t>
            </w:r>
          </w:p>
        </w:tc>
      </w:tr>
    </w:tbl>
    <w:p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.4 Antibacterial Properties</w:t>
      </w:r>
    </w:p>
    <w:p w:rsidR="007F29B6" w:rsidRPr="006B025A" w:rsidRDefault="007F29B6" w:rsidP="007F29B6">
      <w:pPr>
        <w:spacing w:before="100" w:beforeAutospacing="1" w:after="100" w:afterAutospacing="1" w:line="240" w:lineRule="auto"/>
        <w:jc w:val="both"/>
        <w:rPr>
          <w:rFonts w:ascii="Arial" w:eastAsia="Times New Roman" w:hAnsi="Arial" w:cs="Arial"/>
          <w:sz w:val="20"/>
          <w:szCs w:val="24"/>
        </w:rPr>
      </w:pPr>
      <w:r w:rsidRPr="006B025A">
        <w:rPr>
          <w:rFonts w:ascii="Arial" w:eastAsia="Times New Roman" w:hAnsi="Arial" w:cs="Arial"/>
          <w:sz w:val="20"/>
          <w:szCs w:val="24"/>
        </w:rPr>
        <w:t>TPO exhibits antibacterial ac</w:t>
      </w:r>
      <w:r w:rsidR="006B025A" w:rsidRPr="006B025A">
        <w:rPr>
          <w:rFonts w:ascii="Arial" w:eastAsia="Times New Roman" w:hAnsi="Arial" w:cs="Arial"/>
          <w:sz w:val="20"/>
          <w:szCs w:val="24"/>
        </w:rPr>
        <w:t>tivity against a wide range of gram-positive and g</w:t>
      </w:r>
      <w:r w:rsidRPr="006B025A">
        <w:rPr>
          <w:rFonts w:ascii="Arial" w:eastAsia="Times New Roman" w:hAnsi="Arial" w:cs="Arial"/>
          <w:sz w:val="20"/>
          <w:szCs w:val="24"/>
        </w:rPr>
        <w:t xml:space="preserve">ram-negative bacteria. Fatty acids such as palmitic, oleic, and lauric acids interfere with bacterial </w:t>
      </w:r>
      <w:r w:rsidRPr="00885250">
        <w:rPr>
          <w:rFonts w:ascii="Arial" w:eastAsia="Times New Roman" w:hAnsi="Arial" w:cs="Arial"/>
          <w:sz w:val="20"/>
          <w:szCs w:val="24"/>
          <w:highlight w:val="yellow"/>
        </w:rPr>
        <w:t>memb</w:t>
      </w:r>
      <w:r w:rsidR="00885250" w:rsidRPr="00885250">
        <w:rPr>
          <w:rFonts w:ascii="Arial" w:eastAsia="Times New Roman" w:hAnsi="Arial" w:cs="Arial"/>
          <w:sz w:val="20"/>
          <w:szCs w:val="24"/>
          <w:highlight w:val="yellow"/>
        </w:rPr>
        <w:t>rane</w:t>
      </w:r>
      <w:r w:rsidRPr="006B025A">
        <w:rPr>
          <w:rFonts w:ascii="Arial" w:eastAsia="Times New Roman" w:hAnsi="Arial" w:cs="Arial"/>
          <w:sz w:val="20"/>
          <w:szCs w:val="24"/>
        </w:rPr>
        <w:t xml:space="preserve"> integrity and metabolic pathways, leading to growth inhibition </w:t>
      </w:r>
      <w:r w:rsidRPr="004E29C4">
        <w:rPr>
          <w:rFonts w:ascii="Arial" w:eastAsia="Times New Roman" w:hAnsi="Arial" w:cs="Arial"/>
          <w:sz w:val="20"/>
          <w:szCs w:val="24"/>
        </w:rPr>
        <w:t xml:space="preserve">(Zhou and Han, 2006; Srivastava </w:t>
      </w:r>
      <w:r w:rsidRPr="004E29C4">
        <w:rPr>
          <w:rFonts w:ascii="Arial" w:eastAsia="Times New Roman" w:hAnsi="Arial" w:cs="Arial"/>
          <w:i/>
          <w:sz w:val="20"/>
          <w:szCs w:val="24"/>
        </w:rPr>
        <w:t>et al.,</w:t>
      </w:r>
      <w:r w:rsidR="00901DB3" w:rsidRPr="004E29C4">
        <w:rPr>
          <w:rFonts w:ascii="Arial" w:eastAsia="Times New Roman" w:hAnsi="Arial" w:cs="Arial"/>
          <w:sz w:val="20"/>
          <w:szCs w:val="24"/>
        </w:rPr>
        <w:t xml:space="preserve"> 2024a</w:t>
      </w:r>
      <w:r w:rsidRPr="004E29C4">
        <w:rPr>
          <w:rFonts w:ascii="Arial" w:eastAsia="Times New Roman" w:hAnsi="Arial" w:cs="Arial"/>
          <w:sz w:val="20"/>
          <w:szCs w:val="24"/>
        </w:rPr>
        <w:t xml:space="preserve">). Studies on methyl </w:t>
      </w:r>
      <w:proofErr w:type="spellStart"/>
      <w:r w:rsidRPr="004E29C4">
        <w:rPr>
          <w:rFonts w:ascii="Arial" w:eastAsia="Times New Roman" w:hAnsi="Arial" w:cs="Arial"/>
          <w:sz w:val="20"/>
          <w:szCs w:val="24"/>
        </w:rPr>
        <w:t>hexadecenoate</w:t>
      </w:r>
      <w:proofErr w:type="spellEnd"/>
      <w:r w:rsidRPr="004E29C4">
        <w:rPr>
          <w:rFonts w:ascii="Arial" w:eastAsia="Times New Roman" w:hAnsi="Arial" w:cs="Arial"/>
          <w:sz w:val="20"/>
          <w:szCs w:val="24"/>
        </w:rPr>
        <w:t xml:space="preserve"> and decanoic acid from </w:t>
      </w:r>
      <w:proofErr w:type="spellStart"/>
      <w:r w:rsidRPr="004E29C4">
        <w:rPr>
          <w:rFonts w:ascii="Arial" w:eastAsia="Times New Roman" w:hAnsi="Arial" w:cs="Arial"/>
          <w:sz w:val="20"/>
          <w:szCs w:val="24"/>
        </w:rPr>
        <w:t>Tasar</w:t>
      </w:r>
      <w:proofErr w:type="spellEnd"/>
      <w:r w:rsidRPr="004E29C4">
        <w:rPr>
          <w:rFonts w:ascii="Arial" w:eastAsia="Times New Roman" w:hAnsi="Arial" w:cs="Arial"/>
          <w:sz w:val="20"/>
          <w:szCs w:val="24"/>
        </w:rPr>
        <w:t xml:space="preserve"> oil demonstrate</w:t>
      </w:r>
      <w:r w:rsidRPr="006B025A">
        <w:rPr>
          <w:rFonts w:ascii="Arial" w:eastAsia="Times New Roman" w:hAnsi="Arial" w:cs="Arial"/>
          <w:sz w:val="20"/>
          <w:szCs w:val="24"/>
        </w:rPr>
        <w:t xml:space="preserve"> strong antibacterial activity with measurable inhibition zones and low MIC values, indicating potential use in pharmaceutical formulations and wound healing products.</w:t>
      </w:r>
    </w:p>
    <w:p w:rsidR="000A78EA"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INDUSTRIAL AND NUTRACEUTICAL APPLICATIONS</w:t>
      </w:r>
    </w:p>
    <w:p w:rsidR="000A78EA" w:rsidRPr="006B025A" w:rsidRDefault="000A78EA" w:rsidP="000A78EA">
      <w:pPr>
        <w:pStyle w:val="NormalWeb"/>
        <w:jc w:val="both"/>
        <w:rPr>
          <w:rFonts w:ascii="Arial" w:hAnsi="Arial" w:cs="Arial"/>
          <w:sz w:val="20"/>
        </w:rPr>
      </w:pPr>
      <w:proofErr w:type="spellStart"/>
      <w:r w:rsidRPr="006B025A">
        <w:rPr>
          <w:rFonts w:ascii="Arial" w:hAnsi="Arial" w:cs="Arial"/>
          <w:sz w:val="20"/>
        </w:rPr>
        <w:t>Tasar</w:t>
      </w:r>
      <w:proofErr w:type="spellEnd"/>
      <w:r w:rsidRPr="006B025A">
        <w:rPr>
          <w:rFonts w:ascii="Arial" w:hAnsi="Arial" w:cs="Arial"/>
          <w:sz w:val="20"/>
        </w:rPr>
        <w:t xml:space="preserve"> pupal oil (TPO) presents versatile opportunities in industrial and nutraceutical domains due to its rich content of essential fatty acids, tocopherols, and phytosterols. Its high oxidative stability and balanced fatty acid profile make it a suitable alternative to conventional edible oils. TPO has been proposed for use in the formulation of dietary supplements, functional foods, cosmetics (anti-aging creams, moisturizers), biodegradable lubricants, and even bio-based surfactants.</w:t>
      </w:r>
    </w:p>
    <w:p w:rsidR="000A78EA" w:rsidRPr="006B025A" w:rsidRDefault="000A78EA" w:rsidP="000A78EA">
      <w:pPr>
        <w:pStyle w:val="NormalWeb"/>
        <w:jc w:val="both"/>
        <w:rPr>
          <w:rFonts w:ascii="Arial" w:hAnsi="Arial" w:cs="Arial"/>
          <w:sz w:val="20"/>
        </w:rPr>
      </w:pPr>
      <w:r w:rsidRPr="006B025A">
        <w:rPr>
          <w:rFonts w:ascii="Arial" w:hAnsi="Arial" w:cs="Arial"/>
          <w:sz w:val="20"/>
        </w:rPr>
        <w:t>In the food industry, TPO’s high α-linolenic acid content (up to 38%) positions it as a sustainable omega-3 source suitable for cholesterol management and inflammation control. In cosmetics, its natural tocopherols and carotenoids protect skin cells against oxidative stress and UV damage. In pharmaceuticals, the oil’s unsaturated fatty acids and phenolics contribute to anti-inflammatory, antioxidant, and hepatoprotective effects.</w:t>
      </w:r>
    </w:p>
    <w:p w:rsidR="000A78EA" w:rsidRDefault="00683735" w:rsidP="000A78EA">
      <w:pPr>
        <w:pStyle w:val="NormalWeb"/>
        <w:jc w:val="both"/>
        <w:rPr>
          <w:noProof/>
        </w:rPr>
      </w:pPr>
      <w:r>
        <w:rPr>
          <w:noProof/>
        </w:rPr>
        <w:lastRenderedPageBreak/>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83735" w:rsidRPr="006B025A" w:rsidRDefault="00683735" w:rsidP="000A78EA">
      <w:pPr>
        <w:pStyle w:val="NormalWeb"/>
        <w:jc w:val="both"/>
        <w:rPr>
          <w:rFonts w:ascii="Arial" w:hAnsi="Arial" w:cs="Arial"/>
          <w:b/>
          <w:sz w:val="20"/>
        </w:rPr>
      </w:pPr>
      <w:r w:rsidRPr="006B025A">
        <w:rPr>
          <w:rFonts w:ascii="Arial" w:hAnsi="Arial" w:cs="Arial"/>
          <w:b/>
          <w:sz w:val="20"/>
        </w:rPr>
        <w:t>Fig. 3</w:t>
      </w:r>
      <w:r w:rsidR="006B025A">
        <w:rPr>
          <w:rFonts w:ascii="Arial" w:hAnsi="Arial" w:cs="Arial"/>
          <w:b/>
          <w:sz w:val="20"/>
        </w:rPr>
        <w:t>.</w:t>
      </w:r>
      <w:r w:rsidRPr="006B025A">
        <w:rPr>
          <w:rFonts w:ascii="Arial" w:hAnsi="Arial" w:cs="Arial"/>
          <w:b/>
          <w:sz w:val="20"/>
        </w:rPr>
        <w:t xml:space="preserve"> Overview of the Health Benefits of α -Linolenic Acid</w:t>
      </w:r>
    </w:p>
    <w:p w:rsidR="000A78EA"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CASE STUDY: ANTI-DIABETIC POTENTIAL OF TPO IN RAT MODEL</w:t>
      </w:r>
    </w:p>
    <w:p w:rsidR="00CB2247" w:rsidRPr="006B025A" w:rsidRDefault="00CB2247" w:rsidP="00CB2247">
      <w:pPr>
        <w:pStyle w:val="NormalWeb"/>
        <w:jc w:val="both"/>
        <w:rPr>
          <w:rFonts w:ascii="Arial" w:hAnsi="Arial" w:cs="Arial"/>
          <w:sz w:val="20"/>
        </w:rPr>
      </w:pPr>
      <w:r w:rsidRPr="006B025A">
        <w:rPr>
          <w:rFonts w:ascii="Arial" w:hAnsi="Arial" w:cs="Arial"/>
          <w:sz w:val="20"/>
        </w:rPr>
        <w:t xml:space="preserve">A recent study by Srivastava </w:t>
      </w:r>
      <w:r w:rsidRPr="006B025A">
        <w:rPr>
          <w:rFonts w:ascii="Arial" w:hAnsi="Arial" w:cs="Arial"/>
          <w:i/>
          <w:sz w:val="20"/>
        </w:rPr>
        <w:t>et al.</w:t>
      </w:r>
      <w:r w:rsidRPr="006B025A">
        <w:rPr>
          <w:rFonts w:ascii="Arial" w:hAnsi="Arial" w:cs="Arial"/>
          <w:sz w:val="20"/>
        </w:rPr>
        <w:t xml:space="preserve"> (2024</w:t>
      </w:r>
      <w:r w:rsidR="00901DB3">
        <w:rPr>
          <w:rFonts w:ascii="Arial" w:hAnsi="Arial" w:cs="Arial"/>
          <w:sz w:val="20"/>
        </w:rPr>
        <w:t>b</w:t>
      </w:r>
      <w:r w:rsidRPr="006B025A">
        <w:rPr>
          <w:rFonts w:ascii="Arial" w:hAnsi="Arial" w:cs="Arial"/>
          <w:sz w:val="20"/>
        </w:rPr>
        <w:t>) explored the dietary and therapeutic effects of TPO in a streptozotocin-induced diabetic rat model. The study employed various biophysical and analytical techniques to assess the oil’s physicochemical characteristics and bioactivity. Nuclear Magnetic Resonance (NMR) spectroscopy confirmed the presence of stearic acid and linolenic chains in TPO. When administered to diabetic rats, TPO significantly reduced serum glucose, total cholesterol, triglycerides, and LDL-C levels, while increasing HDL-C. Additionally, hepatic antioxidant enzyme levels, such as catalase and superoxide dismutase improved markedly in TPO-treated groups, suggesting its efficacy in mitigating oxidative stress. Histological analysis of liver and kidney tissues demonstrated reduced inflammation and structural preservation, further supporting its protective role. These findings reinforce TPO’s potential as a novel dietary lipid source with functional and therapeutic value.</w:t>
      </w:r>
    </w:p>
    <w:p w:rsidR="00F738C0"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CONCLUSION</w:t>
      </w:r>
    </w:p>
    <w:p w:rsidR="00F738C0" w:rsidRDefault="00F738C0" w:rsidP="003946FE">
      <w:pPr>
        <w:pStyle w:val="NormalWeb"/>
        <w:jc w:val="both"/>
        <w:rPr>
          <w:rFonts w:ascii="Arial" w:hAnsi="Arial" w:cs="Arial"/>
          <w:sz w:val="20"/>
        </w:rPr>
      </w:pPr>
      <w:proofErr w:type="spellStart"/>
      <w:r w:rsidRPr="006B025A">
        <w:rPr>
          <w:rFonts w:ascii="Arial" w:hAnsi="Arial" w:cs="Arial"/>
          <w:sz w:val="20"/>
        </w:rPr>
        <w:t>Tasar</w:t>
      </w:r>
      <w:proofErr w:type="spellEnd"/>
      <w:r w:rsidRPr="006B025A">
        <w:rPr>
          <w:rFonts w:ascii="Arial" w:hAnsi="Arial" w:cs="Arial"/>
          <w:sz w:val="20"/>
        </w:rPr>
        <w:t xml:space="preserve"> pupal oil (TPO), derived from the wild silkworm </w:t>
      </w:r>
      <w:proofErr w:type="spellStart"/>
      <w:r w:rsidRPr="006B025A">
        <w:rPr>
          <w:rStyle w:val="Emphasis"/>
          <w:rFonts w:ascii="Arial" w:hAnsi="Arial" w:cs="Arial"/>
          <w:sz w:val="20"/>
        </w:rPr>
        <w:t>Antheraea</w:t>
      </w:r>
      <w:proofErr w:type="spellEnd"/>
      <w:r w:rsidRPr="006B025A">
        <w:rPr>
          <w:rStyle w:val="Emphasis"/>
          <w:rFonts w:ascii="Arial" w:hAnsi="Arial" w:cs="Arial"/>
          <w:sz w:val="20"/>
        </w:rPr>
        <w:t xml:space="preserve"> </w:t>
      </w:r>
      <w:proofErr w:type="spellStart"/>
      <w:r w:rsidRPr="006B025A">
        <w:rPr>
          <w:rStyle w:val="Emphasis"/>
          <w:rFonts w:ascii="Arial" w:hAnsi="Arial" w:cs="Arial"/>
          <w:sz w:val="20"/>
        </w:rPr>
        <w:t>mylitta</w:t>
      </w:r>
      <w:proofErr w:type="spellEnd"/>
      <w:r w:rsidRPr="006B025A">
        <w:rPr>
          <w:rFonts w:ascii="Arial" w:hAnsi="Arial" w:cs="Arial"/>
          <w:sz w:val="20"/>
        </w:rPr>
        <w:t xml:space="preserve">, represents a promising and sustainable lipid resource with multifaceted applications. </w:t>
      </w:r>
      <w:r w:rsidR="003946FE" w:rsidRPr="006B025A">
        <w:rPr>
          <w:rFonts w:ascii="Arial" w:hAnsi="Arial" w:cs="Arial"/>
          <w:sz w:val="20"/>
        </w:rPr>
        <w:t xml:space="preserve">Rich in unsaturated fatty acids, </w:t>
      </w:r>
      <w:r w:rsidRPr="006B025A">
        <w:rPr>
          <w:rFonts w:ascii="Arial" w:hAnsi="Arial" w:cs="Arial"/>
          <w:sz w:val="20"/>
        </w:rPr>
        <w:t>particularly alpha-l</w:t>
      </w:r>
      <w:r w:rsidR="003946FE" w:rsidRPr="006B025A">
        <w:rPr>
          <w:rFonts w:ascii="Arial" w:hAnsi="Arial" w:cs="Arial"/>
          <w:sz w:val="20"/>
        </w:rPr>
        <w:t xml:space="preserve">inolenic acid (ALA) </w:t>
      </w:r>
      <w:r w:rsidRPr="006B025A">
        <w:rPr>
          <w:rFonts w:ascii="Arial" w:hAnsi="Arial" w:cs="Arial"/>
          <w:sz w:val="20"/>
        </w:rPr>
        <w:t xml:space="preserve">alongside a spectrum of antioxidants, vitamins, and bioactive compounds, TPO has demonstrated notable therapeutic potential in preclinical studies. Its antioxidant, antihyperlipidemic, anti-inflammatory, and cytoprotective properties render it a compelling candidate for functional foods, nutraceuticals, pharmaceuticals, and </w:t>
      </w:r>
      <w:proofErr w:type="spellStart"/>
      <w:proofErr w:type="gramStart"/>
      <w:r w:rsidRPr="006B025A">
        <w:rPr>
          <w:rFonts w:ascii="Arial" w:hAnsi="Arial" w:cs="Arial"/>
          <w:sz w:val="20"/>
        </w:rPr>
        <w:t>cosmeceuticals.Despite</w:t>
      </w:r>
      <w:proofErr w:type="spellEnd"/>
      <w:proofErr w:type="gramEnd"/>
      <w:r w:rsidRPr="006B025A">
        <w:rPr>
          <w:rFonts w:ascii="Arial" w:hAnsi="Arial" w:cs="Arial"/>
          <w:sz w:val="20"/>
        </w:rPr>
        <w:t xml:space="preserve"> these attributes, TPO remains an underexploited by-product of sericulture. With increasing global interest in insect-based foods and oils for sustainable health and nutrition, there is an urgent need to elevate awareness, develop regulatory clarity, and validate health claims through human clinical trials. The valorization of </w:t>
      </w:r>
      <w:proofErr w:type="spellStart"/>
      <w:r w:rsidRPr="006B025A">
        <w:rPr>
          <w:rFonts w:ascii="Arial" w:hAnsi="Arial" w:cs="Arial"/>
          <w:sz w:val="20"/>
        </w:rPr>
        <w:t>Tasar</w:t>
      </w:r>
      <w:proofErr w:type="spellEnd"/>
      <w:r w:rsidRPr="006B025A">
        <w:rPr>
          <w:rFonts w:ascii="Arial" w:hAnsi="Arial" w:cs="Arial"/>
          <w:sz w:val="20"/>
        </w:rPr>
        <w:t xml:space="preserve"> pupae through scientific innovation and industrial integration can contribute to tribal livelihoods, women's empowerment, and the broader goal of sustainable resource </w:t>
      </w:r>
      <w:proofErr w:type="spellStart"/>
      <w:proofErr w:type="gramStart"/>
      <w:r w:rsidRPr="006B025A">
        <w:rPr>
          <w:rFonts w:ascii="Arial" w:hAnsi="Arial" w:cs="Arial"/>
          <w:sz w:val="20"/>
        </w:rPr>
        <w:t>utilization.By</w:t>
      </w:r>
      <w:proofErr w:type="spellEnd"/>
      <w:proofErr w:type="gramEnd"/>
      <w:r w:rsidRPr="006B025A">
        <w:rPr>
          <w:rFonts w:ascii="Arial" w:hAnsi="Arial" w:cs="Arial"/>
          <w:sz w:val="20"/>
        </w:rPr>
        <w:t xml:space="preserve"> consolidating current knowledge and highlighting its comparative advantages over other silkworm pupal oils, this review underscores the need for focused research, standardization, and commercialization strategies. With further scientific validation and policy support, </w:t>
      </w:r>
      <w:proofErr w:type="spellStart"/>
      <w:r w:rsidRPr="006B025A">
        <w:rPr>
          <w:rFonts w:ascii="Arial" w:hAnsi="Arial" w:cs="Arial"/>
          <w:sz w:val="20"/>
        </w:rPr>
        <w:t>Tasar</w:t>
      </w:r>
      <w:proofErr w:type="spellEnd"/>
      <w:r w:rsidRPr="006B025A">
        <w:rPr>
          <w:rFonts w:ascii="Arial" w:hAnsi="Arial" w:cs="Arial"/>
          <w:sz w:val="20"/>
        </w:rPr>
        <w:t xml:space="preserve"> pupal oil has the potential to transition from a niche extract to a mainstream functional lipid source in the global </w:t>
      </w:r>
      <w:proofErr w:type="spellStart"/>
      <w:r w:rsidRPr="006B025A">
        <w:rPr>
          <w:rFonts w:ascii="Arial" w:hAnsi="Arial" w:cs="Arial"/>
          <w:sz w:val="20"/>
        </w:rPr>
        <w:t>bioeconomy</w:t>
      </w:r>
      <w:proofErr w:type="spellEnd"/>
      <w:r w:rsidRPr="006B025A">
        <w:rPr>
          <w:rFonts w:ascii="Arial" w:hAnsi="Arial" w:cs="Arial"/>
          <w:sz w:val="20"/>
        </w:rPr>
        <w:t>.</w:t>
      </w:r>
    </w:p>
    <w:p w:rsidR="007D2EDD" w:rsidRPr="00F24BE4" w:rsidRDefault="007D2EDD" w:rsidP="007D2EDD">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lastRenderedPageBreak/>
        <w:t>LIMITATIONS AND FUTURE PROSPECTS</w:t>
      </w:r>
    </w:p>
    <w:p w:rsidR="007D2EDD" w:rsidRPr="006B025A" w:rsidRDefault="007D2EDD" w:rsidP="007D2EDD">
      <w:pPr>
        <w:pStyle w:val="NormalWeb"/>
        <w:jc w:val="both"/>
        <w:rPr>
          <w:rFonts w:ascii="Arial" w:hAnsi="Arial" w:cs="Arial"/>
          <w:sz w:val="20"/>
        </w:rPr>
      </w:pPr>
      <w:r w:rsidRPr="006B025A">
        <w:rPr>
          <w:rFonts w:ascii="Arial" w:hAnsi="Arial" w:cs="Arial"/>
          <w:sz w:val="20"/>
        </w:rPr>
        <w:t xml:space="preserve">Despite its promising properties, </w:t>
      </w:r>
      <w:proofErr w:type="spellStart"/>
      <w:r w:rsidRPr="006B025A">
        <w:rPr>
          <w:rFonts w:ascii="Arial" w:hAnsi="Arial" w:cs="Arial"/>
          <w:sz w:val="20"/>
        </w:rPr>
        <w:t>Tasar</w:t>
      </w:r>
      <w:proofErr w:type="spellEnd"/>
      <w:r w:rsidRPr="006B025A">
        <w:rPr>
          <w:rFonts w:ascii="Arial" w:hAnsi="Arial" w:cs="Arial"/>
          <w:sz w:val="20"/>
        </w:rPr>
        <w:t xml:space="preserve"> pupal oil (TPO) remains underutilized in mainstream applications due to several limitations. Firstly, variability in oil yield and composition due to silkworm species, rearing conditions, and extraction methods may affect its consistency. Standardized protocols for oil processing and quality control are necessary to ensure reproducibility and market viability.</w:t>
      </w:r>
    </w:p>
    <w:p w:rsidR="007D2EDD" w:rsidRDefault="007D2EDD" w:rsidP="007D2EDD">
      <w:pPr>
        <w:pStyle w:val="NormalWeb"/>
        <w:jc w:val="both"/>
      </w:pPr>
      <w:r w:rsidRPr="006B025A">
        <w:rPr>
          <w:rFonts w:ascii="Arial" w:hAnsi="Arial" w:cs="Arial"/>
          <w:sz w:val="20"/>
        </w:rPr>
        <w:t xml:space="preserve">Secondly, most of the reported therapeutic effects are based on in vitro or animal studies. Clinical validation through human trials is crucial to establish the safety, efficacy, dosage guidelines, and long-term impacts of TPO consumption. Regulatory frameworks for edible insect oils are still evolving in many countries, creating uncertainty around commercialization. There is also a lack of awareness and technical expertise among rural producers to harness TPO for high-value markets. Empowering tribal and women sericulture workers through training, technology transfer, and policy support could transform pupae from a low-value by-product into a profitable commodity. Future research should explore </w:t>
      </w:r>
      <w:proofErr w:type="spellStart"/>
      <w:r w:rsidRPr="006B025A">
        <w:rPr>
          <w:rFonts w:ascii="Arial" w:hAnsi="Arial" w:cs="Arial"/>
          <w:sz w:val="20"/>
        </w:rPr>
        <w:t>nano</w:t>
      </w:r>
      <w:proofErr w:type="spellEnd"/>
      <w:r w:rsidRPr="006B025A">
        <w:rPr>
          <w:rFonts w:ascii="Arial" w:hAnsi="Arial" w:cs="Arial"/>
          <w:sz w:val="20"/>
        </w:rPr>
        <w:t xml:space="preserve">-formulation, microencapsulation, and emulsion-based delivery systems to enhance TPO’s bioavailability and functional performance. Investigations into its synergistic interactions with other </w:t>
      </w:r>
      <w:proofErr w:type="spellStart"/>
      <w:r w:rsidRPr="006B025A">
        <w:rPr>
          <w:rFonts w:ascii="Arial" w:hAnsi="Arial" w:cs="Arial"/>
          <w:sz w:val="20"/>
        </w:rPr>
        <w:t>bioactives</w:t>
      </w:r>
      <w:proofErr w:type="spellEnd"/>
      <w:r w:rsidRPr="006B025A">
        <w:rPr>
          <w:rFonts w:ascii="Arial" w:hAnsi="Arial" w:cs="Arial"/>
          <w:sz w:val="20"/>
        </w:rPr>
        <w:t xml:space="preserve">, and its potential use in metabolic syndrome, neurodegeneration, and immune modulation, will open new frontiers. Overall, integrating TPO into food, health, and industrial systems aligns with the global push toward sustainable, circular </w:t>
      </w:r>
      <w:proofErr w:type="spellStart"/>
      <w:r w:rsidRPr="006B025A">
        <w:rPr>
          <w:rFonts w:ascii="Arial" w:hAnsi="Arial" w:cs="Arial"/>
          <w:sz w:val="20"/>
        </w:rPr>
        <w:t>bioeconomy</w:t>
      </w:r>
      <w:proofErr w:type="spellEnd"/>
      <w:r w:rsidRPr="006B025A">
        <w:rPr>
          <w:rFonts w:ascii="Arial" w:hAnsi="Arial" w:cs="Arial"/>
          <w:sz w:val="20"/>
        </w:rPr>
        <w:t xml:space="preserve"> models</w:t>
      </w:r>
      <w:r>
        <w:t>.</w:t>
      </w:r>
    </w:p>
    <w:p w:rsidR="007D2EDD" w:rsidRDefault="007D2EDD" w:rsidP="003946FE">
      <w:pPr>
        <w:pStyle w:val="NormalWeb"/>
        <w:jc w:val="both"/>
        <w:rPr>
          <w:rFonts w:ascii="Arial" w:hAnsi="Arial" w:cs="Arial"/>
          <w:sz w:val="20"/>
        </w:rPr>
      </w:pPr>
    </w:p>
    <w:p w:rsidR="0037000B" w:rsidRPr="007A4135" w:rsidRDefault="0037000B" w:rsidP="0037000B">
      <w:pPr>
        <w:rPr>
          <w:highlight w:val="yellow"/>
        </w:rPr>
      </w:pPr>
      <w:r w:rsidRPr="007A4135">
        <w:rPr>
          <w:highlight w:val="yellow"/>
        </w:rPr>
        <w:t>Disclaimer (Artificial intelligence)</w:t>
      </w:r>
    </w:p>
    <w:p w:rsidR="0037000B" w:rsidRPr="007A4135" w:rsidRDefault="0037000B" w:rsidP="0037000B">
      <w:pPr>
        <w:rPr>
          <w:highlight w:val="yellow"/>
        </w:rPr>
      </w:pPr>
      <w:r w:rsidRPr="007A4135">
        <w:rPr>
          <w:highlight w:val="yellow"/>
        </w:rPr>
        <w:t xml:space="preserve">Option 1: </w:t>
      </w:r>
    </w:p>
    <w:p w:rsidR="0037000B" w:rsidRPr="007A4135" w:rsidRDefault="0037000B" w:rsidP="0037000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7000B" w:rsidRPr="007A4135" w:rsidRDefault="0037000B" w:rsidP="0037000B">
      <w:pPr>
        <w:rPr>
          <w:highlight w:val="yellow"/>
        </w:rPr>
      </w:pPr>
      <w:r w:rsidRPr="007A4135">
        <w:rPr>
          <w:highlight w:val="yellow"/>
        </w:rPr>
        <w:t xml:space="preserve">Option 2: </w:t>
      </w:r>
    </w:p>
    <w:p w:rsidR="0037000B" w:rsidRPr="007A4135" w:rsidRDefault="0037000B" w:rsidP="0037000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7000B" w:rsidRPr="007A4135" w:rsidRDefault="0037000B" w:rsidP="0037000B">
      <w:pPr>
        <w:rPr>
          <w:highlight w:val="yellow"/>
        </w:rPr>
      </w:pPr>
      <w:r w:rsidRPr="007A4135">
        <w:rPr>
          <w:highlight w:val="yellow"/>
        </w:rPr>
        <w:t>Details of the AI usage are given below:</w:t>
      </w:r>
    </w:p>
    <w:p w:rsidR="0037000B" w:rsidRPr="007A4135" w:rsidRDefault="0037000B" w:rsidP="0037000B">
      <w:pPr>
        <w:rPr>
          <w:highlight w:val="yellow"/>
        </w:rPr>
      </w:pPr>
      <w:r w:rsidRPr="007A4135">
        <w:rPr>
          <w:highlight w:val="yellow"/>
        </w:rPr>
        <w:t>1.</w:t>
      </w:r>
    </w:p>
    <w:p w:rsidR="0037000B" w:rsidRPr="007A4135" w:rsidRDefault="0037000B" w:rsidP="0037000B">
      <w:pPr>
        <w:rPr>
          <w:highlight w:val="yellow"/>
        </w:rPr>
      </w:pPr>
      <w:r w:rsidRPr="007A4135">
        <w:rPr>
          <w:highlight w:val="yellow"/>
        </w:rPr>
        <w:t>2.</w:t>
      </w:r>
    </w:p>
    <w:p w:rsidR="0037000B" w:rsidRPr="00D047BB" w:rsidRDefault="0037000B" w:rsidP="0037000B">
      <w:r w:rsidRPr="007A4135">
        <w:rPr>
          <w:highlight w:val="yellow"/>
        </w:rPr>
        <w:t>3.</w:t>
      </w:r>
    </w:p>
    <w:p w:rsidR="0037000B" w:rsidRDefault="0037000B" w:rsidP="003946FE">
      <w:pPr>
        <w:pStyle w:val="NormalWeb"/>
        <w:jc w:val="both"/>
        <w:rPr>
          <w:rFonts w:ascii="Arial" w:hAnsi="Arial" w:cs="Arial"/>
          <w:sz w:val="20"/>
        </w:rPr>
      </w:pPr>
      <w:bookmarkStart w:id="0" w:name="_GoBack"/>
      <w:bookmarkEnd w:id="0"/>
    </w:p>
    <w:p w:rsidR="00B13290" w:rsidRDefault="006B025A" w:rsidP="00B13290">
      <w:pPr>
        <w:pStyle w:val="NormalWeb"/>
        <w:rPr>
          <w:rFonts w:ascii="Arial" w:hAnsi="Arial" w:cs="Arial"/>
          <w:b/>
          <w:sz w:val="22"/>
          <w:szCs w:val="22"/>
        </w:rPr>
      </w:pPr>
      <w:r w:rsidRPr="00E01734">
        <w:rPr>
          <w:rFonts w:ascii="Arial" w:hAnsi="Arial" w:cs="Arial"/>
          <w:b/>
          <w:sz w:val="22"/>
          <w:szCs w:val="22"/>
        </w:rPr>
        <w:t>REFERENCES</w:t>
      </w:r>
    </w:p>
    <w:p w:rsidR="00F738C0" w:rsidRPr="004E29C4" w:rsidRDefault="00B13290" w:rsidP="004E29C4">
      <w:pPr>
        <w:pStyle w:val="NormalWeb"/>
        <w:numPr>
          <w:ilvl w:val="0"/>
          <w:numId w:val="5"/>
        </w:numPr>
        <w:ind w:left="284" w:hanging="284"/>
        <w:jc w:val="both"/>
        <w:rPr>
          <w:rFonts w:ascii="Arial" w:hAnsi="Arial" w:cs="Arial"/>
          <w:sz w:val="20"/>
          <w:szCs w:val="20"/>
        </w:rPr>
      </w:pPr>
      <w:proofErr w:type="spellStart"/>
      <w:r w:rsidRPr="004E29C4">
        <w:rPr>
          <w:rFonts w:ascii="Arial" w:hAnsi="Arial" w:cs="Arial"/>
          <w:color w:val="222222"/>
          <w:sz w:val="20"/>
          <w:szCs w:val="20"/>
          <w:shd w:val="clear" w:color="auto" w:fill="FFFFFF"/>
        </w:rPr>
        <w:lastRenderedPageBreak/>
        <w:t>Barsagade</w:t>
      </w:r>
      <w:proofErr w:type="spellEnd"/>
      <w:r w:rsidRPr="004E29C4">
        <w:rPr>
          <w:rFonts w:ascii="Arial" w:hAnsi="Arial" w:cs="Arial"/>
          <w:color w:val="222222"/>
          <w:sz w:val="20"/>
          <w:szCs w:val="20"/>
          <w:shd w:val="clear" w:color="auto" w:fill="FFFFFF"/>
        </w:rPr>
        <w:t xml:space="preserve">, D.D. (2017). Tropical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Sericulture. In: Omkar (eds) Industrial Entomology. Springer, Singapore. </w:t>
      </w:r>
      <w:hyperlink r:id="rId19" w:history="1">
        <w:r w:rsidRPr="004E29C4">
          <w:rPr>
            <w:rStyle w:val="Hyperlink"/>
            <w:rFonts w:ascii="Arial" w:hAnsi="Arial" w:cs="Arial"/>
            <w:sz w:val="20"/>
            <w:szCs w:val="20"/>
            <w:shd w:val="clear" w:color="auto" w:fill="FFFFFF"/>
          </w:rPr>
          <w:t>https://doi.org/10.1007/978-981-10-3304-9_10</w:t>
        </w:r>
      </w:hyperlink>
      <w:r w:rsidRPr="004E29C4">
        <w:rPr>
          <w:rFonts w:ascii="Arial" w:hAnsi="Arial" w:cs="Arial"/>
          <w:sz w:val="20"/>
          <w:szCs w:val="20"/>
        </w:rPr>
        <w:t>.</w:t>
      </w:r>
    </w:p>
    <w:p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Ananta, S., Jena, K., Das, S., Singh, J., Sinha, A., &amp; </w:t>
      </w:r>
      <w:proofErr w:type="spellStart"/>
      <w:r w:rsidRPr="004E29C4">
        <w:rPr>
          <w:rFonts w:ascii="Arial" w:hAnsi="Arial" w:cs="Arial"/>
          <w:color w:val="222222"/>
          <w:sz w:val="20"/>
          <w:szCs w:val="20"/>
          <w:shd w:val="clear" w:color="auto" w:fill="FFFFFF"/>
        </w:rPr>
        <w:t>Sathyanarayana</w:t>
      </w:r>
      <w:proofErr w:type="spellEnd"/>
      <w:r w:rsidRPr="004E29C4">
        <w:rPr>
          <w:rFonts w:ascii="Arial" w:hAnsi="Arial" w:cs="Arial"/>
          <w:color w:val="222222"/>
          <w:sz w:val="20"/>
          <w:szCs w:val="20"/>
          <w:shd w:val="clear" w:color="auto" w:fill="FFFFFF"/>
        </w:rPr>
        <w:t xml:space="preserve">, K. (2023). Evaluation of proximate compositions and profiling of nutritional aspects in pupae of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w:t>
      </w:r>
      <w:proofErr w:type="spellStart"/>
      <w:r w:rsidRPr="004E29C4">
        <w:rPr>
          <w:rFonts w:ascii="Arial" w:hAnsi="Arial" w:cs="Arial"/>
          <w:i/>
          <w:color w:val="222222"/>
          <w:sz w:val="20"/>
          <w:szCs w:val="20"/>
          <w:shd w:val="clear" w:color="auto" w:fill="FFFFFF"/>
        </w:rPr>
        <w:t>Antheraeamylitta</w:t>
      </w:r>
      <w:proofErr w:type="spellEnd"/>
      <w:r w:rsidRPr="004E29C4">
        <w:rPr>
          <w:rFonts w:ascii="Arial" w:hAnsi="Arial" w:cs="Arial"/>
          <w:color w:val="222222"/>
          <w:sz w:val="20"/>
          <w:szCs w:val="20"/>
          <w:shd w:val="clear" w:color="auto" w:fill="FFFFFF"/>
        </w:rPr>
        <w:t xml:space="preserve"> (Drury) as potential for food and feed resources. </w:t>
      </w:r>
      <w:r w:rsidRPr="004E29C4">
        <w:rPr>
          <w:rFonts w:ascii="Arial" w:hAnsi="Arial" w:cs="Arial"/>
          <w:iCs/>
          <w:color w:val="222222"/>
          <w:sz w:val="20"/>
          <w:szCs w:val="20"/>
          <w:shd w:val="clear" w:color="auto" w:fill="FFFFFF"/>
        </w:rPr>
        <w:t>Journal of Environmental Biology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44</w:t>
      </w:r>
      <w:r w:rsidRPr="004E29C4">
        <w:rPr>
          <w:rFonts w:ascii="Arial" w:hAnsi="Arial" w:cs="Arial"/>
          <w:color w:val="222222"/>
          <w:sz w:val="20"/>
          <w:szCs w:val="20"/>
          <w:shd w:val="clear" w:color="auto" w:fill="FFFFFF"/>
        </w:rPr>
        <w:t>, 485-490.</w:t>
      </w:r>
      <w:hyperlink r:id="rId20" w:history="1">
        <w:r w:rsidRPr="004E29C4">
          <w:rPr>
            <w:rStyle w:val="Hyperlink"/>
            <w:rFonts w:ascii="Arial" w:hAnsi="Arial" w:cs="Arial"/>
            <w:sz w:val="20"/>
            <w:szCs w:val="20"/>
            <w:shd w:val="clear" w:color="auto" w:fill="FFFFFF"/>
          </w:rPr>
          <w:t>http://doi.org/10.22438/jeb/44/3(SI)/JEB-13</w:t>
        </w:r>
      </w:hyperlink>
    </w:p>
    <w:p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Ojha, N. G., Reddy, R. M., </w:t>
      </w:r>
      <w:proofErr w:type="spellStart"/>
      <w:r w:rsidRPr="004E29C4">
        <w:rPr>
          <w:rFonts w:ascii="Arial" w:hAnsi="Arial" w:cs="Arial"/>
          <w:color w:val="222222"/>
          <w:sz w:val="20"/>
          <w:szCs w:val="20"/>
          <w:shd w:val="clear" w:color="auto" w:fill="FFFFFF"/>
        </w:rPr>
        <w:t>Hansda</w:t>
      </w:r>
      <w:proofErr w:type="spellEnd"/>
      <w:r w:rsidRPr="004E29C4">
        <w:rPr>
          <w:rFonts w:ascii="Arial" w:hAnsi="Arial" w:cs="Arial"/>
          <w:color w:val="222222"/>
          <w:sz w:val="20"/>
          <w:szCs w:val="20"/>
          <w:shd w:val="clear" w:color="auto" w:fill="FFFFFF"/>
        </w:rPr>
        <w:t xml:space="preserve">, G., Sinha, M. K., Suryanarayana, N., &amp; Prakash, N. V. (2009). Status and potential of </w:t>
      </w:r>
      <w:proofErr w:type="spellStart"/>
      <w:r w:rsidRPr="004E29C4">
        <w:rPr>
          <w:rFonts w:ascii="Arial" w:hAnsi="Arial" w:cs="Arial"/>
          <w:color w:val="222222"/>
          <w:sz w:val="20"/>
          <w:szCs w:val="20"/>
          <w:shd w:val="clear" w:color="auto" w:fill="FFFFFF"/>
        </w:rPr>
        <w:t>Jata</w:t>
      </w:r>
      <w:proofErr w:type="spellEnd"/>
      <w:r w:rsidRPr="004E29C4">
        <w:rPr>
          <w:rFonts w:ascii="Arial" w:hAnsi="Arial" w:cs="Arial"/>
          <w:color w:val="222222"/>
          <w:sz w:val="20"/>
          <w:szCs w:val="20"/>
          <w:shd w:val="clear" w:color="auto" w:fill="FFFFFF"/>
        </w:rPr>
        <w:t xml:space="preserve">, a new race of Indian tropical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w:t>
      </w:r>
      <w:proofErr w:type="spellStart"/>
      <w:r w:rsidRPr="004E29C4">
        <w:rPr>
          <w:rFonts w:ascii="Arial" w:hAnsi="Arial" w:cs="Arial"/>
          <w:i/>
          <w:color w:val="222222"/>
          <w:sz w:val="20"/>
          <w:szCs w:val="20"/>
          <w:shd w:val="clear" w:color="auto" w:fill="FFFFFF"/>
        </w:rPr>
        <w:t>Antheraeamylitta</w:t>
      </w:r>
      <w:proofErr w:type="spellEnd"/>
      <w:r w:rsidRPr="004E29C4">
        <w:rPr>
          <w:rFonts w:ascii="Arial" w:hAnsi="Arial" w:cs="Arial"/>
          <w:color w:val="222222"/>
          <w:sz w:val="20"/>
          <w:szCs w:val="20"/>
          <w:shd w:val="clear" w:color="auto" w:fill="FFFFFF"/>
        </w:rPr>
        <w:t xml:space="preserve"> Drury). </w:t>
      </w:r>
      <w:r w:rsidRPr="004E29C4">
        <w:rPr>
          <w:rFonts w:ascii="Arial" w:hAnsi="Arial" w:cs="Arial"/>
          <w:iCs/>
          <w:color w:val="222222"/>
          <w:sz w:val="20"/>
          <w:szCs w:val="20"/>
          <w:shd w:val="clear" w:color="auto" w:fill="FFFFFF"/>
        </w:rPr>
        <w:t>Academic journal of entomology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w:t>
      </w:r>
      <w:r w:rsidRPr="004E29C4">
        <w:rPr>
          <w:rFonts w:ascii="Arial" w:hAnsi="Arial" w:cs="Arial"/>
          <w:color w:val="222222"/>
          <w:sz w:val="20"/>
          <w:szCs w:val="20"/>
          <w:shd w:val="clear" w:color="auto" w:fill="FFFFFF"/>
        </w:rPr>
        <w:t>(2), 80-84.</w:t>
      </w:r>
    </w:p>
    <w:p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Rai, S. (2022). TREND OF TASAR SILK INDUSTRY IN INDIA-A STATISTICAL APPROACH. </w:t>
      </w:r>
      <w:r w:rsidRPr="004E29C4">
        <w:rPr>
          <w:rFonts w:ascii="Arial" w:hAnsi="Arial" w:cs="Arial"/>
          <w:iCs/>
          <w:color w:val="222222"/>
          <w:sz w:val="20"/>
          <w:szCs w:val="20"/>
          <w:shd w:val="clear" w:color="auto" w:fill="FFFFFF"/>
        </w:rPr>
        <w:t>Plant Archiv</w:t>
      </w:r>
      <w:r w:rsidR="00232E7D" w:rsidRPr="004E29C4">
        <w:rPr>
          <w:rFonts w:ascii="Arial" w:hAnsi="Arial" w:cs="Arial"/>
          <w:iCs/>
          <w:color w:val="222222"/>
          <w:sz w:val="20"/>
          <w:szCs w:val="20"/>
          <w:shd w:val="clear" w:color="auto" w:fill="FFFFFF"/>
        </w:rPr>
        <w:t xml:space="preserve">es, 22(Special issue), </w:t>
      </w:r>
      <w:r w:rsidR="00232E7D" w:rsidRPr="004E29C4">
        <w:rPr>
          <w:rFonts w:ascii="Arial" w:hAnsi="Arial" w:cs="Arial"/>
          <w:sz w:val="20"/>
          <w:szCs w:val="20"/>
        </w:rPr>
        <w:t xml:space="preserve">265-273. </w:t>
      </w:r>
      <w:hyperlink r:id="rId21" w:history="1">
        <w:r w:rsidR="00232E7D" w:rsidRPr="004E29C4">
          <w:rPr>
            <w:rStyle w:val="Hyperlink"/>
            <w:rFonts w:ascii="Arial" w:hAnsi="Arial" w:cs="Arial"/>
            <w:sz w:val="20"/>
            <w:szCs w:val="20"/>
          </w:rPr>
          <w:t>https://doi.org/10.51470/PLANTARCHIVES.2022.v22.splecialissue.048</w:t>
        </w:r>
      </w:hyperlink>
    </w:p>
    <w:p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Sadat, A., Biswas, T., Cardoso, M. H., Mondal, R., Ghosh, A., Dam, P., et al. (2022). Silkworm pupae as a future food with nutritional and medicinal benefits. </w:t>
      </w:r>
      <w:r w:rsidRPr="004E29C4">
        <w:rPr>
          <w:rFonts w:ascii="Arial" w:hAnsi="Arial" w:cs="Arial"/>
          <w:iCs/>
          <w:color w:val="222222"/>
          <w:sz w:val="20"/>
          <w:szCs w:val="20"/>
          <w:shd w:val="clear" w:color="auto" w:fill="FFFFFF"/>
        </w:rPr>
        <w:t>Current Opinion in Food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44</w:t>
      </w:r>
      <w:r w:rsidRPr="004E29C4">
        <w:rPr>
          <w:rFonts w:ascii="Arial" w:hAnsi="Arial" w:cs="Arial"/>
          <w:color w:val="222222"/>
          <w:sz w:val="20"/>
          <w:szCs w:val="20"/>
          <w:shd w:val="clear" w:color="auto" w:fill="FFFFFF"/>
        </w:rPr>
        <w:t>, 100818.</w:t>
      </w:r>
      <w:hyperlink r:id="rId22" w:history="1">
        <w:r w:rsidRPr="004E29C4">
          <w:rPr>
            <w:rStyle w:val="Hyperlink"/>
            <w:rFonts w:ascii="Arial" w:hAnsi="Arial" w:cs="Arial"/>
            <w:sz w:val="20"/>
            <w:szCs w:val="20"/>
            <w:shd w:val="clear" w:color="auto" w:fill="FFFFFF"/>
          </w:rPr>
          <w:t>https://doi.org/10.1016/j.cofs.2022.100818</w:t>
        </w:r>
      </w:hyperlink>
    </w:p>
    <w:p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Lei, X., Qian, Z., Zhu, X., Zhang, N., He, J., Xiao, J., et al. (2024). Fitness effects of synthetic and natural diet preservatives on the edible insect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proofErr w:type="spellStart"/>
      <w:r w:rsidRPr="004E29C4">
        <w:rPr>
          <w:rFonts w:ascii="Arial" w:hAnsi="Arial" w:cs="Arial"/>
          <w:iCs/>
          <w:color w:val="222222"/>
          <w:sz w:val="20"/>
          <w:szCs w:val="20"/>
          <w:shd w:val="clear" w:color="auto" w:fill="FFFFFF"/>
        </w:rPr>
        <w:t>npj</w:t>
      </w:r>
      <w:proofErr w:type="spellEnd"/>
      <w:r w:rsidRPr="004E29C4">
        <w:rPr>
          <w:rFonts w:ascii="Arial" w:hAnsi="Arial" w:cs="Arial"/>
          <w:iCs/>
          <w:color w:val="222222"/>
          <w:sz w:val="20"/>
          <w:szCs w:val="20"/>
          <w:shd w:val="clear" w:color="auto" w:fill="FFFFFF"/>
        </w:rPr>
        <w:t xml:space="preserve"> Science of Food</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 xml:space="preserve">(1), 39. </w:t>
      </w:r>
      <w:hyperlink r:id="rId23" w:history="1">
        <w:r w:rsidRPr="004E29C4">
          <w:rPr>
            <w:rStyle w:val="Hyperlink"/>
            <w:rFonts w:ascii="Arial" w:hAnsi="Arial" w:cs="Arial"/>
            <w:sz w:val="20"/>
            <w:szCs w:val="20"/>
            <w:shd w:val="clear" w:color="auto" w:fill="FFFFFF"/>
          </w:rPr>
          <w:t>https://doi.org/10.1038/s41538-024-00284-9</w:t>
        </w:r>
      </w:hyperlink>
    </w:p>
    <w:p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Sheikh, I. U., </w:t>
      </w:r>
      <w:proofErr w:type="spellStart"/>
      <w:r w:rsidRPr="004E29C4">
        <w:rPr>
          <w:rFonts w:ascii="Arial" w:hAnsi="Arial" w:cs="Arial"/>
          <w:color w:val="222222"/>
          <w:sz w:val="20"/>
          <w:szCs w:val="20"/>
          <w:shd w:val="clear" w:color="auto" w:fill="FFFFFF"/>
        </w:rPr>
        <w:t>Banday</w:t>
      </w:r>
      <w:proofErr w:type="spellEnd"/>
      <w:r w:rsidRPr="004E29C4">
        <w:rPr>
          <w:rFonts w:ascii="Arial" w:hAnsi="Arial" w:cs="Arial"/>
          <w:color w:val="222222"/>
          <w:sz w:val="20"/>
          <w:szCs w:val="20"/>
          <w:shd w:val="clear" w:color="auto" w:fill="FFFFFF"/>
        </w:rPr>
        <w:t xml:space="preserve">, M. T., Baba, I. A., Adil, S., </w:t>
      </w:r>
      <w:proofErr w:type="spellStart"/>
      <w:r w:rsidRPr="004E29C4">
        <w:rPr>
          <w:rFonts w:ascii="Arial" w:hAnsi="Arial" w:cs="Arial"/>
          <w:color w:val="222222"/>
          <w:sz w:val="20"/>
          <w:szCs w:val="20"/>
          <w:shd w:val="clear" w:color="auto" w:fill="FFFFFF"/>
        </w:rPr>
        <w:t>Nissa</w:t>
      </w:r>
      <w:proofErr w:type="spellEnd"/>
      <w:r w:rsidRPr="004E29C4">
        <w:rPr>
          <w:rFonts w:ascii="Arial" w:hAnsi="Arial" w:cs="Arial"/>
          <w:color w:val="222222"/>
          <w:sz w:val="20"/>
          <w:szCs w:val="20"/>
          <w:shd w:val="clear" w:color="auto" w:fill="FFFFFF"/>
        </w:rPr>
        <w:t xml:space="preserve">, S. S., </w:t>
      </w:r>
      <w:proofErr w:type="spellStart"/>
      <w:r w:rsidRPr="004E29C4">
        <w:rPr>
          <w:rFonts w:ascii="Arial" w:hAnsi="Arial" w:cs="Arial"/>
          <w:color w:val="222222"/>
          <w:sz w:val="20"/>
          <w:szCs w:val="20"/>
          <w:shd w:val="clear" w:color="auto" w:fill="FFFFFF"/>
        </w:rPr>
        <w:t>Zaffer</w:t>
      </w:r>
      <w:proofErr w:type="spellEnd"/>
      <w:r w:rsidRPr="004E29C4">
        <w:rPr>
          <w:rFonts w:ascii="Arial" w:hAnsi="Arial" w:cs="Arial"/>
          <w:color w:val="222222"/>
          <w:sz w:val="20"/>
          <w:szCs w:val="20"/>
          <w:shd w:val="clear" w:color="auto" w:fill="FFFFFF"/>
        </w:rPr>
        <w:t>, B., &amp; Bulbul, K. H. (2018). Utilization of silkworm pupae meal as an alternative source of protein in the diet of livestock and poultry: A review. </w:t>
      </w:r>
      <w:r w:rsidR="0090515A" w:rsidRPr="004E29C4">
        <w:rPr>
          <w:rFonts w:ascii="Arial" w:hAnsi="Arial" w:cs="Arial"/>
          <w:iCs/>
          <w:color w:val="222222"/>
          <w:sz w:val="20"/>
          <w:szCs w:val="20"/>
          <w:shd w:val="clear" w:color="auto" w:fill="FFFFFF"/>
        </w:rPr>
        <w:t>Journal of Entomology and zoology Studies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w:t>
      </w:r>
      <w:r w:rsidRPr="004E29C4">
        <w:rPr>
          <w:rFonts w:ascii="Arial" w:hAnsi="Arial" w:cs="Arial"/>
          <w:color w:val="222222"/>
          <w:sz w:val="20"/>
          <w:szCs w:val="20"/>
          <w:shd w:val="clear" w:color="auto" w:fill="FFFFFF"/>
        </w:rPr>
        <w:t>(4), 1010-1016.</w:t>
      </w:r>
    </w:p>
    <w:p w:rsidR="0090515A" w:rsidRPr="004E29C4" w:rsidRDefault="0090515A"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Kumar, R., Srivastava, D., Kumar, U., Kumar, M., &amp; Singh, P. (2020). Bioprospecting of omega 3 fatty acid from silkworm pupal oil: from molecular mechanism to biological activities</w:t>
      </w:r>
      <w:r w:rsidRPr="004E29C4">
        <w:rPr>
          <w:rFonts w:ascii="Arial" w:hAnsi="Arial" w:cs="Arial"/>
          <w:i/>
          <w:color w:val="222222"/>
          <w:sz w:val="20"/>
          <w:szCs w:val="20"/>
          <w:shd w:val="clear" w:color="auto" w:fill="FFFFFF"/>
        </w:rPr>
        <w:t>. </w:t>
      </w:r>
      <w:r w:rsidRPr="004E29C4">
        <w:rPr>
          <w:rFonts w:ascii="Arial" w:hAnsi="Arial" w:cs="Arial"/>
          <w:iCs/>
          <w:color w:val="222222"/>
          <w:sz w:val="20"/>
          <w:szCs w:val="20"/>
          <w:shd w:val="clear" w:color="auto" w:fill="FFFFFF"/>
        </w:rPr>
        <w:t>Journal of Biologically Active Products from Nature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(6), 495-506.</w:t>
      </w:r>
      <w:hyperlink r:id="rId24" w:history="1">
        <w:r w:rsidRPr="004E29C4">
          <w:rPr>
            <w:rStyle w:val="Hyperlink"/>
            <w:rFonts w:ascii="Arial" w:hAnsi="Arial" w:cs="Arial"/>
            <w:sz w:val="20"/>
            <w:szCs w:val="20"/>
            <w:shd w:val="clear" w:color="auto" w:fill="FFFFFF"/>
          </w:rPr>
          <w:t>https://doi.org/10.1080/22311866.2020.1862704</w:t>
        </w:r>
      </w:hyperlink>
    </w:p>
    <w:p w:rsidR="0090515A" w:rsidRPr="004E29C4" w:rsidRDefault="0090515A"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Dash, S., </w:t>
      </w:r>
      <w:proofErr w:type="spellStart"/>
      <w:r w:rsidRPr="004E29C4">
        <w:rPr>
          <w:rFonts w:ascii="Arial" w:hAnsi="Arial" w:cs="Arial"/>
          <w:color w:val="222222"/>
          <w:sz w:val="20"/>
          <w:szCs w:val="20"/>
          <w:shd w:val="clear" w:color="auto" w:fill="FFFFFF"/>
        </w:rPr>
        <w:t>Baig</w:t>
      </w:r>
      <w:proofErr w:type="spellEnd"/>
      <w:r w:rsidRPr="004E29C4">
        <w:rPr>
          <w:rFonts w:ascii="Arial" w:hAnsi="Arial" w:cs="Arial"/>
          <w:color w:val="222222"/>
          <w:sz w:val="20"/>
          <w:szCs w:val="20"/>
          <w:shd w:val="clear" w:color="auto" w:fill="FFFFFF"/>
        </w:rPr>
        <w:t xml:space="preserve">, M. M., </w:t>
      </w:r>
      <w:proofErr w:type="spellStart"/>
      <w:r w:rsidRPr="004E29C4">
        <w:rPr>
          <w:rFonts w:ascii="Arial" w:hAnsi="Arial" w:cs="Arial"/>
          <w:color w:val="222222"/>
          <w:sz w:val="20"/>
          <w:szCs w:val="20"/>
          <w:shd w:val="clear" w:color="auto" w:fill="FFFFFF"/>
        </w:rPr>
        <w:t>Bhoi</w:t>
      </w:r>
      <w:proofErr w:type="spellEnd"/>
      <w:r w:rsidRPr="004E29C4">
        <w:rPr>
          <w:rFonts w:ascii="Arial" w:hAnsi="Arial" w:cs="Arial"/>
          <w:color w:val="222222"/>
          <w:sz w:val="20"/>
          <w:szCs w:val="20"/>
          <w:shd w:val="clear" w:color="auto" w:fill="FFFFFF"/>
        </w:rPr>
        <w:t xml:space="preserve">, T. K., </w:t>
      </w:r>
      <w:proofErr w:type="spellStart"/>
      <w:r w:rsidRPr="004E29C4">
        <w:rPr>
          <w:rFonts w:ascii="Arial" w:hAnsi="Arial" w:cs="Arial"/>
          <w:color w:val="222222"/>
          <w:sz w:val="20"/>
          <w:szCs w:val="20"/>
          <w:shd w:val="clear" w:color="auto" w:fill="FFFFFF"/>
        </w:rPr>
        <w:t>Lagoriya</w:t>
      </w:r>
      <w:proofErr w:type="spellEnd"/>
      <w:r w:rsidRPr="004E29C4">
        <w:rPr>
          <w:rFonts w:ascii="Arial" w:hAnsi="Arial" w:cs="Arial"/>
          <w:color w:val="222222"/>
          <w:sz w:val="20"/>
          <w:szCs w:val="20"/>
          <w:shd w:val="clear" w:color="auto" w:fill="FFFFFF"/>
        </w:rPr>
        <w:t xml:space="preserve">, D. S., &amp; KS, R. (2025). Strategies for Diversifying By-Product </w:t>
      </w:r>
      <w:proofErr w:type="spellStart"/>
      <w:r w:rsidRPr="004E29C4">
        <w:rPr>
          <w:rFonts w:ascii="Arial" w:hAnsi="Arial" w:cs="Arial"/>
          <w:color w:val="222222"/>
          <w:sz w:val="20"/>
          <w:szCs w:val="20"/>
          <w:shd w:val="clear" w:color="auto" w:fill="FFFFFF"/>
        </w:rPr>
        <w:t>Utilisation</w:t>
      </w:r>
      <w:proofErr w:type="spellEnd"/>
      <w:r w:rsidRPr="004E29C4">
        <w:rPr>
          <w:rFonts w:ascii="Arial" w:hAnsi="Arial" w:cs="Arial"/>
          <w:color w:val="222222"/>
          <w:sz w:val="20"/>
          <w:szCs w:val="20"/>
          <w:shd w:val="clear" w:color="auto" w:fill="FFFFFF"/>
        </w:rPr>
        <w:t xml:space="preserve"> in Mulberry and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Sericulture: Current Scenario and Future Prospects. </w:t>
      </w:r>
      <w:r w:rsidRPr="004E29C4">
        <w:rPr>
          <w:rFonts w:ascii="Arial" w:hAnsi="Arial" w:cs="Arial"/>
          <w:iCs/>
          <w:color w:val="222222"/>
          <w:sz w:val="20"/>
          <w:szCs w:val="20"/>
          <w:shd w:val="clear" w:color="auto" w:fill="FFFFFF"/>
        </w:rPr>
        <w:t>Entomological News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132</w:t>
      </w:r>
      <w:r w:rsidRPr="004E29C4">
        <w:rPr>
          <w:rFonts w:ascii="Arial" w:hAnsi="Arial" w:cs="Arial"/>
          <w:color w:val="222222"/>
          <w:sz w:val="20"/>
          <w:szCs w:val="20"/>
          <w:shd w:val="clear" w:color="auto" w:fill="FFFFFF"/>
        </w:rPr>
        <w:t>(3), 290-310.</w:t>
      </w:r>
      <w:hyperlink r:id="rId25" w:history="1">
        <w:r w:rsidRPr="004E29C4">
          <w:rPr>
            <w:rStyle w:val="Hyperlink"/>
            <w:rFonts w:ascii="Arial" w:hAnsi="Arial" w:cs="Arial"/>
            <w:sz w:val="20"/>
            <w:szCs w:val="20"/>
            <w:shd w:val="clear" w:color="auto" w:fill="FFFFFF"/>
          </w:rPr>
          <w:t>https://doi.org/10.3157/021.132.0304</w:t>
        </w:r>
      </w:hyperlink>
    </w:p>
    <w:p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sz w:val="20"/>
          <w:szCs w:val="20"/>
        </w:rPr>
        <w:t xml:space="preserve">Ashoka, J., &amp; </w:t>
      </w:r>
      <w:proofErr w:type="spellStart"/>
      <w:r w:rsidRPr="004E29C4">
        <w:rPr>
          <w:rFonts w:ascii="Arial" w:hAnsi="Arial" w:cs="Arial"/>
          <w:sz w:val="20"/>
          <w:szCs w:val="20"/>
        </w:rPr>
        <w:t>Sivashankar</w:t>
      </w:r>
      <w:proofErr w:type="spellEnd"/>
      <w:r w:rsidRPr="004E29C4">
        <w:rPr>
          <w:rFonts w:ascii="Arial" w:hAnsi="Arial" w:cs="Arial"/>
          <w:sz w:val="20"/>
          <w:szCs w:val="20"/>
        </w:rPr>
        <w:t>, N. (1997). Use of silkworm rearing waste in freshwater prawn culture. Indian Journal of Sericulture, 36(2),161-163.</w:t>
      </w:r>
    </w:p>
    <w:p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Wei, Z. J., Liao, A. M., Zhang, H. X., Liu, J., &amp; Jiang, S. T. (2009). Optimization of supercritical carbon dioxide extraction of silkworm pupal oil applying the response surface methodology. </w:t>
      </w:r>
      <w:r w:rsidRPr="004E29C4">
        <w:rPr>
          <w:rFonts w:ascii="Arial" w:hAnsi="Arial" w:cs="Arial"/>
          <w:iCs/>
          <w:color w:val="222222"/>
          <w:sz w:val="20"/>
          <w:szCs w:val="20"/>
          <w:shd w:val="clear" w:color="auto" w:fill="FFFFFF"/>
        </w:rPr>
        <w:t>Bioresource Technology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100</w:t>
      </w:r>
      <w:r w:rsidRPr="004E29C4">
        <w:rPr>
          <w:rFonts w:ascii="Arial" w:hAnsi="Arial" w:cs="Arial"/>
          <w:color w:val="222222"/>
          <w:sz w:val="20"/>
          <w:szCs w:val="20"/>
          <w:shd w:val="clear" w:color="auto" w:fill="FFFFFF"/>
        </w:rPr>
        <w:t>(18), 4214-4219.</w:t>
      </w:r>
      <w:hyperlink r:id="rId26" w:history="1">
        <w:r w:rsidRPr="004E29C4">
          <w:rPr>
            <w:rStyle w:val="Hyperlink"/>
            <w:rFonts w:ascii="Arial" w:hAnsi="Arial" w:cs="Arial"/>
            <w:sz w:val="20"/>
            <w:szCs w:val="20"/>
            <w:shd w:val="clear" w:color="auto" w:fill="FFFFFF"/>
          </w:rPr>
          <w:t>https://doi.org/10.1016/j.biortech.2009.04.010</w:t>
        </w:r>
      </w:hyperlink>
    </w:p>
    <w:p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Wang Jun, W. J., Wu </w:t>
      </w:r>
      <w:proofErr w:type="spellStart"/>
      <w:r w:rsidRPr="004E29C4">
        <w:rPr>
          <w:rFonts w:ascii="Arial" w:hAnsi="Arial" w:cs="Arial"/>
          <w:color w:val="222222"/>
          <w:sz w:val="20"/>
          <w:szCs w:val="20"/>
          <w:shd w:val="clear" w:color="auto" w:fill="FFFFFF"/>
        </w:rPr>
        <w:t>FuAn</w:t>
      </w:r>
      <w:proofErr w:type="spellEnd"/>
      <w:r w:rsidRPr="004E29C4">
        <w:rPr>
          <w:rFonts w:ascii="Arial" w:hAnsi="Arial" w:cs="Arial"/>
          <w:color w:val="222222"/>
          <w:sz w:val="20"/>
          <w:szCs w:val="20"/>
          <w:shd w:val="clear" w:color="auto" w:fill="FFFFFF"/>
        </w:rPr>
        <w:t xml:space="preserve">, W. F., Liang Yao, L. Y., &amp; Wang Meng, W. M. (2010). Process optimization for the enrichment of α-linolenic acid from silkworm pupal oil using response surface methodology. African Journal of Biotechnology, </w:t>
      </w:r>
      <w:r w:rsidR="00C84B73" w:rsidRPr="004E29C4">
        <w:rPr>
          <w:rFonts w:ascii="Arial" w:hAnsi="Arial" w:cs="Arial"/>
          <w:color w:val="222222"/>
          <w:sz w:val="20"/>
          <w:szCs w:val="20"/>
          <w:shd w:val="clear" w:color="auto" w:fill="FFFFFF"/>
        </w:rPr>
        <w:t>9(20), 2956-2964.</w:t>
      </w:r>
    </w:p>
    <w:p w:rsidR="00C84B73" w:rsidRPr="004E29C4" w:rsidRDefault="00C84B7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Beniwal</w:t>
      </w:r>
      <w:proofErr w:type="spellEnd"/>
      <w:r w:rsidRPr="004E29C4">
        <w:rPr>
          <w:rFonts w:ascii="Arial" w:hAnsi="Arial" w:cs="Arial"/>
          <w:color w:val="222222"/>
          <w:sz w:val="20"/>
          <w:szCs w:val="20"/>
          <w:shd w:val="clear" w:color="auto" w:fill="FFFFFF"/>
        </w:rPr>
        <w:t xml:space="preserve">, A., </w:t>
      </w:r>
      <w:proofErr w:type="spellStart"/>
      <w:r w:rsidRPr="004E29C4">
        <w:rPr>
          <w:rFonts w:ascii="Arial" w:hAnsi="Arial" w:cs="Arial"/>
          <w:color w:val="222222"/>
          <w:sz w:val="20"/>
          <w:szCs w:val="20"/>
          <w:shd w:val="clear" w:color="auto" w:fill="FFFFFF"/>
        </w:rPr>
        <w:t>Mahapatara</w:t>
      </w:r>
      <w:proofErr w:type="spellEnd"/>
      <w:r w:rsidRPr="004E29C4">
        <w:rPr>
          <w:rFonts w:ascii="Arial" w:hAnsi="Arial" w:cs="Arial"/>
          <w:color w:val="222222"/>
          <w:sz w:val="20"/>
          <w:szCs w:val="20"/>
          <w:shd w:val="clear" w:color="auto" w:fill="FFFFFF"/>
        </w:rPr>
        <w:t xml:space="preserve">, D., Das, M., </w:t>
      </w:r>
      <w:proofErr w:type="spellStart"/>
      <w:r w:rsidRPr="004E29C4">
        <w:rPr>
          <w:rFonts w:ascii="Arial" w:hAnsi="Arial" w:cs="Arial"/>
          <w:color w:val="222222"/>
          <w:sz w:val="20"/>
          <w:szCs w:val="20"/>
          <w:shd w:val="clear" w:color="auto" w:fill="FFFFFF"/>
        </w:rPr>
        <w:t>Acharjee</w:t>
      </w:r>
      <w:proofErr w:type="spellEnd"/>
      <w:r w:rsidRPr="004E29C4">
        <w:rPr>
          <w:rFonts w:ascii="Arial" w:hAnsi="Arial" w:cs="Arial"/>
          <w:color w:val="222222"/>
          <w:sz w:val="20"/>
          <w:szCs w:val="20"/>
          <w:shd w:val="clear" w:color="auto" w:fill="FFFFFF"/>
        </w:rPr>
        <w:t xml:space="preserve">, S., </w:t>
      </w:r>
      <w:proofErr w:type="spellStart"/>
      <w:r w:rsidRPr="004E29C4">
        <w:rPr>
          <w:rFonts w:ascii="Arial" w:hAnsi="Arial" w:cs="Arial"/>
          <w:color w:val="222222"/>
          <w:sz w:val="20"/>
          <w:szCs w:val="20"/>
          <w:shd w:val="clear" w:color="auto" w:fill="FFFFFF"/>
        </w:rPr>
        <w:t>Sarma</w:t>
      </w:r>
      <w:proofErr w:type="spellEnd"/>
      <w:r w:rsidRPr="004E29C4">
        <w:rPr>
          <w:rFonts w:ascii="Arial" w:hAnsi="Arial" w:cs="Arial"/>
          <w:color w:val="222222"/>
          <w:sz w:val="20"/>
          <w:szCs w:val="20"/>
          <w:shd w:val="clear" w:color="auto" w:fill="FFFFFF"/>
        </w:rPr>
        <w:t xml:space="preserve">, J., </w:t>
      </w:r>
      <w:proofErr w:type="spellStart"/>
      <w:r w:rsidRPr="004E29C4">
        <w:rPr>
          <w:rFonts w:ascii="Arial" w:hAnsi="Arial" w:cs="Arial"/>
          <w:color w:val="222222"/>
          <w:sz w:val="20"/>
          <w:szCs w:val="20"/>
          <w:shd w:val="clear" w:color="auto" w:fill="FFFFFF"/>
        </w:rPr>
        <w:t>Shome</w:t>
      </w:r>
      <w:proofErr w:type="spellEnd"/>
      <w:r w:rsidRPr="004E29C4">
        <w:rPr>
          <w:rFonts w:ascii="Arial" w:hAnsi="Arial" w:cs="Arial"/>
          <w:color w:val="222222"/>
          <w:sz w:val="20"/>
          <w:szCs w:val="20"/>
          <w:shd w:val="clear" w:color="auto" w:fill="FFFFFF"/>
        </w:rPr>
        <w:t>, A., &amp; Baruah, A. M. (2024). A comprehensive review on the multifaceted applications of mulberry silkworm pupae: A sustainable resource. </w:t>
      </w:r>
      <w:r w:rsidRPr="004E29C4">
        <w:rPr>
          <w:rFonts w:ascii="Arial" w:hAnsi="Arial" w:cs="Arial"/>
          <w:i/>
          <w:iCs/>
          <w:color w:val="222222"/>
          <w:sz w:val="20"/>
          <w:szCs w:val="20"/>
          <w:shd w:val="clear" w:color="auto" w:fill="FFFFFF"/>
        </w:rPr>
        <w:t>Journal of Asia-Pacific Entomology</w:t>
      </w:r>
      <w:r w:rsidRPr="004E29C4">
        <w:rPr>
          <w:rFonts w:ascii="Arial" w:hAnsi="Arial" w:cs="Arial"/>
          <w:color w:val="222222"/>
          <w:sz w:val="20"/>
          <w:szCs w:val="20"/>
          <w:shd w:val="clear" w:color="auto" w:fill="FFFFFF"/>
        </w:rPr>
        <w:t>, </w:t>
      </w:r>
      <w:r w:rsidRPr="004E29C4">
        <w:rPr>
          <w:rFonts w:ascii="Arial" w:hAnsi="Arial" w:cs="Arial"/>
          <w:i/>
          <w:iCs/>
          <w:color w:val="222222"/>
          <w:sz w:val="20"/>
          <w:szCs w:val="20"/>
          <w:shd w:val="clear" w:color="auto" w:fill="FFFFFF"/>
        </w:rPr>
        <w:t>27</w:t>
      </w:r>
      <w:r w:rsidRPr="004E29C4">
        <w:rPr>
          <w:rFonts w:ascii="Arial" w:hAnsi="Arial" w:cs="Arial"/>
          <w:color w:val="222222"/>
          <w:sz w:val="20"/>
          <w:szCs w:val="20"/>
          <w:shd w:val="clear" w:color="auto" w:fill="FFFFFF"/>
        </w:rPr>
        <w:t>(4), 102312.</w:t>
      </w:r>
      <w:hyperlink r:id="rId27" w:history="1">
        <w:r w:rsidRPr="004E29C4">
          <w:rPr>
            <w:rStyle w:val="Hyperlink"/>
            <w:rFonts w:ascii="Arial" w:hAnsi="Arial" w:cs="Arial"/>
            <w:sz w:val="20"/>
            <w:szCs w:val="20"/>
            <w:shd w:val="clear" w:color="auto" w:fill="FFFFFF"/>
          </w:rPr>
          <w:t>https://doi.org/10.1016/j.aspen.2024.102312</w:t>
        </w:r>
      </w:hyperlink>
    </w:p>
    <w:p w:rsidR="00C84B73"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 Tao, L. T., Pan </w:t>
      </w:r>
      <w:proofErr w:type="spellStart"/>
      <w:r w:rsidRPr="004E29C4">
        <w:rPr>
          <w:rFonts w:ascii="Arial" w:hAnsi="Arial" w:cs="Arial"/>
          <w:color w:val="222222"/>
          <w:sz w:val="20"/>
          <w:szCs w:val="20"/>
          <w:shd w:val="clear" w:color="auto" w:fill="FFFFFF"/>
        </w:rPr>
        <w:t>WenJuan</w:t>
      </w:r>
      <w:proofErr w:type="spellEnd"/>
      <w:r w:rsidRPr="004E29C4">
        <w:rPr>
          <w:rFonts w:ascii="Arial" w:hAnsi="Arial" w:cs="Arial"/>
          <w:color w:val="222222"/>
          <w:sz w:val="20"/>
          <w:szCs w:val="20"/>
          <w:shd w:val="clear" w:color="auto" w:fill="FFFFFF"/>
        </w:rPr>
        <w:t xml:space="preserve">, P. W., Zhang </w:t>
      </w:r>
      <w:proofErr w:type="spellStart"/>
      <w:r w:rsidRPr="004E29C4">
        <w:rPr>
          <w:rFonts w:ascii="Arial" w:hAnsi="Arial" w:cs="Arial"/>
          <w:color w:val="222222"/>
          <w:sz w:val="20"/>
          <w:szCs w:val="20"/>
          <w:shd w:val="clear" w:color="auto" w:fill="FFFFFF"/>
        </w:rPr>
        <w:t>JianGuo</w:t>
      </w:r>
      <w:proofErr w:type="spellEnd"/>
      <w:r w:rsidRPr="004E29C4">
        <w:rPr>
          <w:rFonts w:ascii="Arial" w:hAnsi="Arial" w:cs="Arial"/>
          <w:color w:val="222222"/>
          <w:sz w:val="20"/>
          <w:szCs w:val="20"/>
          <w:shd w:val="clear" w:color="auto" w:fill="FFFFFF"/>
        </w:rPr>
        <w:t xml:space="preserve">, Z. J., &amp; Wei </w:t>
      </w:r>
      <w:proofErr w:type="spellStart"/>
      <w:r w:rsidRPr="004E29C4">
        <w:rPr>
          <w:rFonts w:ascii="Arial" w:hAnsi="Arial" w:cs="Arial"/>
          <w:color w:val="222222"/>
          <w:sz w:val="20"/>
          <w:szCs w:val="20"/>
          <w:shd w:val="clear" w:color="auto" w:fill="FFFFFF"/>
        </w:rPr>
        <w:t>ZhaoJun</w:t>
      </w:r>
      <w:proofErr w:type="spellEnd"/>
      <w:r w:rsidRPr="004E29C4">
        <w:rPr>
          <w:rFonts w:ascii="Arial" w:hAnsi="Arial" w:cs="Arial"/>
          <w:color w:val="222222"/>
          <w:sz w:val="20"/>
          <w:szCs w:val="20"/>
          <w:shd w:val="clear" w:color="auto" w:fill="FFFFFF"/>
        </w:rPr>
        <w:t>, W. Z. (2014). Microencapsulation and properties of the silkworm pupal oil with soybean protein isolate/β-cyclodextrin. Journal of Chemical and Pharmaceutical Research, 6 (7), 295-301.</w:t>
      </w:r>
    </w:p>
    <w:p w:rsidR="00FC3A07" w:rsidRPr="004E29C4" w:rsidRDefault="00FC3A07"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Kotake</w:t>
      </w:r>
      <w:proofErr w:type="spellEnd"/>
      <w:r w:rsidRPr="004E29C4">
        <w:rPr>
          <w:rFonts w:ascii="Arial" w:hAnsi="Arial" w:cs="Arial"/>
          <w:color w:val="222222"/>
          <w:sz w:val="20"/>
          <w:szCs w:val="20"/>
          <w:shd w:val="clear" w:color="auto" w:fill="FFFFFF"/>
        </w:rPr>
        <w:t>-Nara, E., Yamamoto, K., Nozawa, M., Miyashita, K., &amp; MURAKAMI, T. (2002). Lipid profiles and oxidative stability of silkworm pupal oil. </w:t>
      </w:r>
      <w:r w:rsidRPr="004E29C4">
        <w:rPr>
          <w:rFonts w:ascii="Arial" w:hAnsi="Arial" w:cs="Arial"/>
          <w:iCs/>
          <w:color w:val="222222"/>
          <w:sz w:val="20"/>
          <w:szCs w:val="20"/>
          <w:shd w:val="clear" w:color="auto" w:fill="FFFFFF"/>
        </w:rPr>
        <w:t>Journal of Oleo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51</w:t>
      </w:r>
      <w:r w:rsidRPr="004E29C4">
        <w:rPr>
          <w:rFonts w:ascii="Arial" w:hAnsi="Arial" w:cs="Arial"/>
          <w:color w:val="222222"/>
          <w:sz w:val="20"/>
          <w:szCs w:val="20"/>
          <w:shd w:val="clear" w:color="auto" w:fill="FFFFFF"/>
        </w:rPr>
        <w:t>(11), 681-690.</w:t>
      </w:r>
      <w:hyperlink r:id="rId28" w:history="1">
        <w:r w:rsidRPr="004E29C4">
          <w:rPr>
            <w:rStyle w:val="Hyperlink"/>
            <w:rFonts w:ascii="Arial" w:hAnsi="Arial" w:cs="Arial"/>
            <w:sz w:val="20"/>
            <w:szCs w:val="20"/>
            <w:shd w:val="clear" w:color="auto" w:fill="FFFFFF"/>
          </w:rPr>
          <w:t>https://doi.org/10.5650/jos.51.681</w:t>
        </w:r>
      </w:hyperlink>
    </w:p>
    <w:p w:rsidR="00FC3A07"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Iwase, Y., Kamei, N., &amp; Takeda-</w:t>
      </w:r>
      <w:proofErr w:type="spellStart"/>
      <w:r w:rsidRPr="004E29C4">
        <w:rPr>
          <w:rFonts w:ascii="Arial" w:hAnsi="Arial" w:cs="Arial"/>
          <w:color w:val="222222"/>
          <w:sz w:val="20"/>
          <w:szCs w:val="20"/>
          <w:shd w:val="clear" w:color="auto" w:fill="FFFFFF"/>
        </w:rPr>
        <w:t>Morishita</w:t>
      </w:r>
      <w:proofErr w:type="spellEnd"/>
      <w:r w:rsidRPr="004E29C4">
        <w:rPr>
          <w:rFonts w:ascii="Arial" w:hAnsi="Arial" w:cs="Arial"/>
          <w:color w:val="222222"/>
          <w:sz w:val="20"/>
          <w:szCs w:val="20"/>
          <w:shd w:val="clear" w:color="auto" w:fill="FFFFFF"/>
        </w:rPr>
        <w:t>, M. (2015). Antidiabetic effects of omega-3 polyunsaturated fatty acids: from mechanism to therapeutic possibilities. </w:t>
      </w:r>
      <w:r w:rsidRPr="004E29C4">
        <w:rPr>
          <w:rFonts w:ascii="Arial" w:hAnsi="Arial" w:cs="Arial"/>
          <w:iCs/>
          <w:color w:val="222222"/>
          <w:sz w:val="20"/>
          <w:szCs w:val="20"/>
          <w:shd w:val="clear" w:color="auto" w:fill="FFFFFF"/>
        </w:rPr>
        <w:t>Pharmacology &amp; Pharmacy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w:t>
      </w:r>
      <w:r w:rsidRPr="004E29C4">
        <w:rPr>
          <w:rFonts w:ascii="Arial" w:hAnsi="Arial" w:cs="Arial"/>
          <w:color w:val="222222"/>
          <w:sz w:val="20"/>
          <w:szCs w:val="20"/>
          <w:shd w:val="clear" w:color="auto" w:fill="FFFFFF"/>
        </w:rPr>
        <w:t>(3), 190-200.</w:t>
      </w:r>
      <w:hyperlink r:id="rId29" w:history="1">
        <w:r w:rsidR="00901DB3" w:rsidRPr="004E29C4">
          <w:rPr>
            <w:rStyle w:val="Hyperlink"/>
            <w:rFonts w:ascii="Arial" w:hAnsi="Arial" w:cs="Arial"/>
            <w:sz w:val="20"/>
            <w:szCs w:val="20"/>
            <w:shd w:val="clear" w:color="auto" w:fill="FFFFFF"/>
          </w:rPr>
          <w:t>http://dx.doi.org/10.4236/pp.2015.63020</w:t>
        </w:r>
      </w:hyperlink>
    </w:p>
    <w:p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Khan, S. U., Lone, A. N., Khan, M. S., Virani, S. S., Blumenthal, R. S., Nasir, K., et al. (2021). Effect of omega-3 fatty acids on cardiovascular outcomes: a systematic review and meta-analysis</w:t>
      </w:r>
      <w:r w:rsidRPr="004E29C4">
        <w:rPr>
          <w:rFonts w:ascii="Arial" w:hAnsi="Arial" w:cs="Arial"/>
          <w:i/>
          <w:color w:val="222222"/>
          <w:sz w:val="20"/>
          <w:szCs w:val="20"/>
          <w:shd w:val="clear" w:color="auto" w:fill="FFFFFF"/>
        </w:rPr>
        <w:t>. </w:t>
      </w:r>
      <w:proofErr w:type="spellStart"/>
      <w:r w:rsidRPr="004E29C4">
        <w:rPr>
          <w:rFonts w:ascii="Arial" w:hAnsi="Arial" w:cs="Arial"/>
          <w:iCs/>
          <w:color w:val="222222"/>
          <w:sz w:val="20"/>
          <w:szCs w:val="20"/>
          <w:shd w:val="clear" w:color="auto" w:fill="FFFFFF"/>
        </w:rPr>
        <w:t>EClinicalMedicine</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 xml:space="preserve">38 (2021), </w:t>
      </w:r>
      <w:r w:rsidRPr="004E29C4">
        <w:rPr>
          <w:rFonts w:ascii="Arial" w:hAnsi="Arial" w:cs="Arial"/>
          <w:sz w:val="20"/>
          <w:szCs w:val="20"/>
        </w:rPr>
        <w:t>100997</w:t>
      </w:r>
      <w:r w:rsidRPr="004E29C4">
        <w:rPr>
          <w:rFonts w:ascii="Arial" w:hAnsi="Arial" w:cs="Arial"/>
          <w:color w:val="222222"/>
          <w:sz w:val="20"/>
          <w:szCs w:val="20"/>
          <w:shd w:val="clear" w:color="auto" w:fill="FFFFFF"/>
        </w:rPr>
        <w:t>.</w:t>
      </w:r>
      <w:hyperlink r:id="rId30" w:history="1">
        <w:r w:rsidRPr="004E29C4">
          <w:rPr>
            <w:rStyle w:val="Hyperlink"/>
            <w:rFonts w:ascii="Arial" w:hAnsi="Arial" w:cs="Arial"/>
            <w:sz w:val="20"/>
            <w:szCs w:val="20"/>
            <w:shd w:val="clear" w:color="auto" w:fill="FFFFFF"/>
          </w:rPr>
          <w:t>https://doi.org/10.1016/j.eclinm.2021.100997</w:t>
        </w:r>
      </w:hyperlink>
    </w:p>
    <w:p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Srivastava, D., Singh, V., Kumar, U., &amp; Venkatesh, K. R. (2021). Alpha-linolenic acid: a pharmacologically active ingredient from nature.</w:t>
      </w:r>
      <w:r w:rsidRPr="004E29C4">
        <w:rPr>
          <w:rFonts w:ascii="Arial" w:hAnsi="Arial" w:cs="Arial"/>
          <w:sz w:val="20"/>
          <w:szCs w:val="20"/>
        </w:rPr>
        <w:t xml:space="preserve"> The Indian Journal of Nutrition and Dietetics, 58(4), 534–553. </w:t>
      </w:r>
      <w:hyperlink r:id="rId31" w:history="1">
        <w:r w:rsidRPr="004E29C4">
          <w:rPr>
            <w:rStyle w:val="Hyperlink"/>
            <w:rFonts w:ascii="Arial" w:hAnsi="Arial" w:cs="Arial"/>
            <w:sz w:val="20"/>
            <w:szCs w:val="20"/>
          </w:rPr>
          <w:t>https://doi.org/10.21048/IJND.2021.58.4.28086</w:t>
        </w:r>
      </w:hyperlink>
    </w:p>
    <w:p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 xml:space="preserve">Srivastava, D., Singh, V., &amp; Kumar, M. (2023a). Isolation of Alpha-linolenic acid (ALA) from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Anthereamylitta</w:t>
      </w:r>
      <w:r w:rsidRPr="004E29C4">
        <w:rPr>
          <w:rFonts w:ascii="Arial" w:hAnsi="Arial" w:cs="Arial"/>
          <w:color w:val="222222"/>
          <w:sz w:val="20"/>
          <w:szCs w:val="20"/>
          <w:shd w:val="clear" w:color="auto" w:fill="FFFFFF"/>
        </w:rPr>
        <w:t>pupal</w:t>
      </w:r>
      <w:proofErr w:type="spellEnd"/>
      <w:r w:rsidRPr="004E29C4">
        <w:rPr>
          <w:rFonts w:ascii="Arial" w:hAnsi="Arial" w:cs="Arial"/>
          <w:color w:val="222222"/>
          <w:sz w:val="20"/>
          <w:szCs w:val="20"/>
          <w:shd w:val="clear" w:color="auto" w:fill="FFFFFF"/>
        </w:rPr>
        <w:t xml:space="preserve"> oil and its anticancer activity. </w:t>
      </w:r>
      <w:r w:rsidRPr="004E29C4">
        <w:rPr>
          <w:rFonts w:ascii="Arial" w:hAnsi="Arial" w:cs="Arial"/>
          <w:iCs/>
          <w:color w:val="222222"/>
          <w:sz w:val="20"/>
          <w:szCs w:val="20"/>
          <w:shd w:val="clear" w:color="auto" w:fill="FFFFFF"/>
        </w:rPr>
        <w:t>Journal of Drug Delivery &amp; Therapeutics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 xml:space="preserve">(5), 53-59. </w:t>
      </w:r>
      <w:hyperlink r:id="rId32" w:history="1">
        <w:r w:rsidRPr="004E29C4">
          <w:rPr>
            <w:rStyle w:val="Hyperlink"/>
            <w:rFonts w:ascii="Arial" w:hAnsi="Arial" w:cs="Arial"/>
            <w:sz w:val="20"/>
            <w:szCs w:val="20"/>
            <w:shd w:val="clear" w:color="auto" w:fill="FFFFFF"/>
          </w:rPr>
          <w:t>http://dx.doi.org/10.22270/jddt.v13i5.5823</w:t>
        </w:r>
      </w:hyperlink>
    </w:p>
    <w:p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Srivastava, D., Tripathi, D. K., Singh, V., &amp;</w:t>
      </w:r>
      <w:proofErr w:type="spellStart"/>
      <w:r w:rsidRPr="004E29C4">
        <w:rPr>
          <w:rFonts w:ascii="Arial" w:hAnsi="Arial" w:cs="Arial"/>
          <w:color w:val="222222"/>
          <w:sz w:val="20"/>
          <w:szCs w:val="20"/>
          <w:shd w:val="clear" w:color="auto" w:fill="FFFFFF"/>
        </w:rPr>
        <w:t>Poluri</w:t>
      </w:r>
      <w:proofErr w:type="spellEnd"/>
      <w:r w:rsidRPr="004E29C4">
        <w:rPr>
          <w:rFonts w:ascii="Arial" w:hAnsi="Arial" w:cs="Arial"/>
          <w:color w:val="222222"/>
          <w:sz w:val="20"/>
          <w:szCs w:val="20"/>
          <w:shd w:val="clear" w:color="auto" w:fill="FFFFFF"/>
        </w:rPr>
        <w:t xml:space="preserve">, K. M. (2024). Insights into the characterization and therapeutic potential of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pupal oil. </w:t>
      </w:r>
      <w:proofErr w:type="spellStart"/>
      <w:r w:rsidRPr="004E29C4">
        <w:rPr>
          <w:rFonts w:ascii="Arial" w:hAnsi="Arial" w:cs="Arial"/>
          <w:iCs/>
          <w:color w:val="222222"/>
          <w:sz w:val="20"/>
          <w:szCs w:val="20"/>
          <w:shd w:val="clear" w:color="auto" w:fill="FFFFFF"/>
        </w:rPr>
        <w:t>Biocatalysis</w:t>
      </w:r>
      <w:proofErr w:type="spellEnd"/>
      <w:r w:rsidRPr="004E29C4">
        <w:rPr>
          <w:rFonts w:ascii="Arial" w:hAnsi="Arial" w:cs="Arial"/>
          <w:iCs/>
          <w:color w:val="222222"/>
          <w:sz w:val="20"/>
          <w:szCs w:val="20"/>
          <w:shd w:val="clear" w:color="auto" w:fill="FFFFFF"/>
        </w:rPr>
        <w:t xml:space="preserve"> and Agricultural Biotechnology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55</w:t>
      </w:r>
      <w:r w:rsidRPr="004E29C4">
        <w:rPr>
          <w:rFonts w:ascii="Arial" w:hAnsi="Arial" w:cs="Arial"/>
          <w:color w:val="222222"/>
          <w:sz w:val="20"/>
          <w:szCs w:val="20"/>
          <w:shd w:val="clear" w:color="auto" w:fill="FFFFFF"/>
        </w:rPr>
        <w:t>, 102985.</w:t>
      </w:r>
      <w:hyperlink r:id="rId33" w:history="1">
        <w:r w:rsidRPr="004E29C4">
          <w:rPr>
            <w:rStyle w:val="Hyperlink"/>
            <w:rFonts w:ascii="Arial" w:hAnsi="Arial" w:cs="Arial"/>
            <w:sz w:val="20"/>
            <w:szCs w:val="20"/>
            <w:shd w:val="clear" w:color="auto" w:fill="FFFFFF"/>
          </w:rPr>
          <w:t>https://doi.org/10.1016/j.bcab.2023.102985</w:t>
        </w:r>
      </w:hyperlink>
    </w:p>
    <w:p w:rsidR="00901DB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Ramappa</w:t>
      </w:r>
      <w:proofErr w:type="spellEnd"/>
      <w:r w:rsidRPr="004E29C4">
        <w:rPr>
          <w:rFonts w:ascii="Arial" w:hAnsi="Arial" w:cs="Arial"/>
          <w:color w:val="222222"/>
          <w:sz w:val="20"/>
          <w:szCs w:val="20"/>
          <w:shd w:val="clear" w:color="auto" w:fill="FFFFFF"/>
        </w:rPr>
        <w:t xml:space="preserve">, V. K., Singh, V., Srivastava, D., Kumar, D., Verma, A., Verma, D. et al. (2023). Fabrication of mulberry leaf extract (MLE)-and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pupal oil (TPO)-loaded silk fibroin (SF) hydrogels and their antimicrobial properties. </w:t>
      </w:r>
      <w:r w:rsidRPr="004E29C4">
        <w:rPr>
          <w:rFonts w:ascii="Arial" w:hAnsi="Arial" w:cs="Arial"/>
          <w:iCs/>
          <w:color w:val="222222"/>
          <w:sz w:val="20"/>
          <w:szCs w:val="20"/>
          <w:shd w:val="clear" w:color="auto" w:fill="FFFFFF"/>
        </w:rPr>
        <w:t>3 Biotech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 xml:space="preserve">(2), 37. </w:t>
      </w:r>
      <w:hyperlink r:id="rId34" w:history="1">
        <w:r w:rsidRPr="004E29C4">
          <w:rPr>
            <w:rStyle w:val="Hyperlink"/>
            <w:rFonts w:ascii="Arial" w:hAnsi="Arial" w:cs="Arial"/>
            <w:sz w:val="20"/>
            <w:szCs w:val="20"/>
            <w:shd w:val="clear" w:color="auto" w:fill="FFFFFF"/>
          </w:rPr>
          <w:t>https://doi.org/10.1007/s13205-022-03443-5</w:t>
        </w:r>
      </w:hyperlink>
    </w:p>
    <w:p w:rsidR="00F70D3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Yeruva</w:t>
      </w:r>
      <w:proofErr w:type="spellEnd"/>
      <w:r w:rsidRPr="004E29C4">
        <w:rPr>
          <w:rFonts w:ascii="Arial" w:hAnsi="Arial" w:cs="Arial"/>
          <w:color w:val="222222"/>
          <w:sz w:val="20"/>
          <w:szCs w:val="20"/>
          <w:shd w:val="clear" w:color="auto" w:fill="FFFFFF"/>
        </w:rPr>
        <w:t xml:space="preserve">, T., Jayaram, H., </w:t>
      </w:r>
      <w:proofErr w:type="spellStart"/>
      <w:r w:rsidRPr="004E29C4">
        <w:rPr>
          <w:rFonts w:ascii="Arial" w:hAnsi="Arial" w:cs="Arial"/>
          <w:color w:val="222222"/>
          <w:sz w:val="20"/>
          <w:szCs w:val="20"/>
          <w:shd w:val="clear" w:color="auto" w:fill="FFFFFF"/>
        </w:rPr>
        <w:t>Aurade</w:t>
      </w:r>
      <w:proofErr w:type="spellEnd"/>
      <w:r w:rsidRPr="004E29C4">
        <w:rPr>
          <w:rFonts w:ascii="Arial" w:hAnsi="Arial" w:cs="Arial"/>
          <w:color w:val="222222"/>
          <w:sz w:val="20"/>
          <w:szCs w:val="20"/>
          <w:shd w:val="clear" w:color="auto" w:fill="FFFFFF"/>
        </w:rPr>
        <w:t xml:space="preserve">, R., </w:t>
      </w:r>
      <w:proofErr w:type="spellStart"/>
      <w:r w:rsidRPr="004E29C4">
        <w:rPr>
          <w:rFonts w:ascii="Arial" w:hAnsi="Arial" w:cs="Arial"/>
          <w:color w:val="222222"/>
          <w:sz w:val="20"/>
          <w:szCs w:val="20"/>
          <w:shd w:val="clear" w:color="auto" w:fill="FFFFFF"/>
        </w:rPr>
        <w:t>Shunmugam</w:t>
      </w:r>
      <w:proofErr w:type="spellEnd"/>
      <w:r w:rsidRPr="004E29C4">
        <w:rPr>
          <w:rFonts w:ascii="Arial" w:hAnsi="Arial" w:cs="Arial"/>
          <w:color w:val="222222"/>
          <w:sz w:val="20"/>
          <w:szCs w:val="20"/>
          <w:shd w:val="clear" w:color="auto" w:fill="FFFFFF"/>
        </w:rPr>
        <w:t xml:space="preserve">, M. M., Shinde, V. S., </w:t>
      </w:r>
      <w:proofErr w:type="spellStart"/>
      <w:r w:rsidRPr="004E29C4">
        <w:rPr>
          <w:rFonts w:ascii="Arial" w:hAnsi="Arial" w:cs="Arial"/>
          <w:color w:val="222222"/>
          <w:sz w:val="20"/>
          <w:szCs w:val="20"/>
          <w:shd w:val="clear" w:color="auto" w:fill="FFFFFF"/>
        </w:rPr>
        <w:t>Venkatesharao</w:t>
      </w:r>
      <w:proofErr w:type="spellEnd"/>
      <w:r w:rsidRPr="004E29C4">
        <w:rPr>
          <w:rFonts w:ascii="Arial" w:hAnsi="Arial" w:cs="Arial"/>
          <w:color w:val="222222"/>
          <w:sz w:val="20"/>
          <w:szCs w:val="20"/>
          <w:shd w:val="clear" w:color="auto" w:fill="FFFFFF"/>
        </w:rPr>
        <w:t>, S. R. B., &amp;</w:t>
      </w:r>
      <w:proofErr w:type="spellStart"/>
      <w:r w:rsidRPr="004E29C4">
        <w:rPr>
          <w:rFonts w:ascii="Arial" w:hAnsi="Arial" w:cs="Arial"/>
          <w:color w:val="222222"/>
          <w:sz w:val="20"/>
          <w:szCs w:val="20"/>
          <w:shd w:val="clear" w:color="auto" w:fill="FFFFFF"/>
        </w:rPr>
        <w:t>Azhiyakathu</w:t>
      </w:r>
      <w:proofErr w:type="spellEnd"/>
      <w:r w:rsidRPr="004E29C4">
        <w:rPr>
          <w:rFonts w:ascii="Arial" w:hAnsi="Arial" w:cs="Arial"/>
          <w:color w:val="222222"/>
          <w:sz w:val="20"/>
          <w:szCs w:val="20"/>
          <w:shd w:val="clear" w:color="auto" w:fill="FFFFFF"/>
        </w:rPr>
        <w:t xml:space="preserve">, M. J. (2023). Profiling of nutrients and bioactive compounds in the pupae of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Food Chemistry Advances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 100382. </w:t>
      </w:r>
      <w:hyperlink r:id="rId35" w:history="1">
        <w:r w:rsidRPr="004E29C4">
          <w:rPr>
            <w:rStyle w:val="Hyperlink"/>
            <w:rFonts w:ascii="Arial" w:hAnsi="Arial" w:cs="Arial"/>
            <w:sz w:val="20"/>
            <w:szCs w:val="20"/>
            <w:shd w:val="clear" w:color="auto" w:fill="FFFFFF"/>
          </w:rPr>
          <w:t>https://doi.org/10.1016/j.focha.2023.100382</w:t>
        </w:r>
      </w:hyperlink>
    </w:p>
    <w:p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Mahanta, D. K., </w:t>
      </w:r>
      <w:proofErr w:type="spellStart"/>
      <w:r w:rsidRPr="004E29C4">
        <w:rPr>
          <w:rFonts w:ascii="Arial" w:hAnsi="Arial" w:cs="Arial"/>
          <w:color w:val="222222"/>
          <w:sz w:val="20"/>
          <w:szCs w:val="20"/>
          <w:shd w:val="clear" w:color="auto" w:fill="FFFFFF"/>
        </w:rPr>
        <w:t>Komal</w:t>
      </w:r>
      <w:proofErr w:type="spellEnd"/>
      <w:r w:rsidRPr="004E29C4">
        <w:rPr>
          <w:rFonts w:ascii="Arial" w:hAnsi="Arial" w:cs="Arial"/>
          <w:color w:val="222222"/>
          <w:sz w:val="20"/>
          <w:szCs w:val="20"/>
          <w:shd w:val="clear" w:color="auto" w:fill="FFFFFF"/>
        </w:rPr>
        <w:t xml:space="preserve">, J., </w:t>
      </w:r>
      <w:proofErr w:type="spellStart"/>
      <w:r w:rsidRPr="004E29C4">
        <w:rPr>
          <w:rFonts w:ascii="Arial" w:hAnsi="Arial" w:cs="Arial"/>
          <w:color w:val="222222"/>
          <w:sz w:val="20"/>
          <w:szCs w:val="20"/>
          <w:shd w:val="clear" w:color="auto" w:fill="FFFFFF"/>
        </w:rPr>
        <w:t>Samal</w:t>
      </w:r>
      <w:proofErr w:type="spellEnd"/>
      <w:r w:rsidRPr="004E29C4">
        <w:rPr>
          <w:rFonts w:ascii="Arial" w:hAnsi="Arial" w:cs="Arial"/>
          <w:color w:val="222222"/>
          <w:sz w:val="20"/>
          <w:szCs w:val="20"/>
          <w:shd w:val="clear" w:color="auto" w:fill="FFFFFF"/>
        </w:rPr>
        <w:t xml:space="preserve">, I., </w:t>
      </w:r>
      <w:proofErr w:type="spellStart"/>
      <w:r w:rsidRPr="004E29C4">
        <w:rPr>
          <w:rFonts w:ascii="Arial" w:hAnsi="Arial" w:cs="Arial"/>
          <w:color w:val="222222"/>
          <w:sz w:val="20"/>
          <w:szCs w:val="20"/>
          <w:shd w:val="clear" w:color="auto" w:fill="FFFFFF"/>
        </w:rPr>
        <w:t>Bhoi</w:t>
      </w:r>
      <w:proofErr w:type="spellEnd"/>
      <w:r w:rsidRPr="004E29C4">
        <w:rPr>
          <w:rFonts w:ascii="Arial" w:hAnsi="Arial" w:cs="Arial"/>
          <w:color w:val="222222"/>
          <w:sz w:val="20"/>
          <w:szCs w:val="20"/>
          <w:shd w:val="clear" w:color="auto" w:fill="FFFFFF"/>
        </w:rPr>
        <w:t>, T. K., Dubey, V. K., Pradhan, K. et al. (2023). Nutritional aspects and dietary benefits of “Silkworms”: Current scenario and future outlook. </w:t>
      </w:r>
      <w:r w:rsidRPr="004E29C4">
        <w:rPr>
          <w:rFonts w:ascii="Arial" w:hAnsi="Arial" w:cs="Arial"/>
          <w:iCs/>
          <w:color w:val="222222"/>
          <w:sz w:val="20"/>
          <w:szCs w:val="20"/>
          <w:shd w:val="clear" w:color="auto" w:fill="FFFFFF"/>
        </w:rPr>
        <w:t>Frontiers in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 1121508.</w:t>
      </w:r>
      <w:hyperlink r:id="rId36" w:history="1">
        <w:r w:rsidRPr="004E29C4">
          <w:rPr>
            <w:rStyle w:val="Hyperlink"/>
            <w:rFonts w:ascii="Arial" w:hAnsi="Arial" w:cs="Arial"/>
            <w:sz w:val="20"/>
            <w:szCs w:val="20"/>
            <w:shd w:val="clear" w:color="auto" w:fill="FFFFFF"/>
          </w:rPr>
          <w:t>https://doi.org/10.3389/fnut.2023.1121508</w:t>
        </w:r>
      </w:hyperlink>
    </w:p>
    <w:p w:rsidR="00F70D3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Susirirut</w:t>
      </w:r>
      <w:proofErr w:type="spellEnd"/>
      <w:r w:rsidRPr="004E29C4">
        <w:rPr>
          <w:rFonts w:ascii="Arial" w:hAnsi="Arial" w:cs="Arial"/>
          <w:color w:val="222222"/>
          <w:sz w:val="20"/>
          <w:szCs w:val="20"/>
          <w:shd w:val="clear" w:color="auto" w:fill="FFFFFF"/>
        </w:rPr>
        <w:t xml:space="preserve">, P., </w:t>
      </w:r>
      <w:proofErr w:type="spellStart"/>
      <w:r w:rsidRPr="004E29C4">
        <w:rPr>
          <w:rFonts w:ascii="Arial" w:hAnsi="Arial" w:cs="Arial"/>
          <w:color w:val="222222"/>
          <w:sz w:val="20"/>
          <w:szCs w:val="20"/>
          <w:shd w:val="clear" w:color="auto" w:fill="FFFFFF"/>
        </w:rPr>
        <w:t>Thitipramote</w:t>
      </w:r>
      <w:proofErr w:type="spellEnd"/>
      <w:r w:rsidRPr="004E29C4">
        <w:rPr>
          <w:rFonts w:ascii="Arial" w:hAnsi="Arial" w:cs="Arial"/>
          <w:color w:val="222222"/>
          <w:sz w:val="20"/>
          <w:szCs w:val="20"/>
          <w:shd w:val="clear" w:color="auto" w:fill="FFFFFF"/>
        </w:rPr>
        <w:t>, N., &amp;</w:t>
      </w:r>
      <w:proofErr w:type="spellStart"/>
      <w:r w:rsidRPr="004E29C4">
        <w:rPr>
          <w:rFonts w:ascii="Arial" w:hAnsi="Arial" w:cs="Arial"/>
          <w:color w:val="222222"/>
          <w:sz w:val="20"/>
          <w:szCs w:val="20"/>
          <w:shd w:val="clear" w:color="auto" w:fill="FFFFFF"/>
        </w:rPr>
        <w:t>Chaiwut</w:t>
      </w:r>
      <w:proofErr w:type="spellEnd"/>
      <w:r w:rsidRPr="004E29C4">
        <w:rPr>
          <w:rFonts w:ascii="Arial" w:hAnsi="Arial" w:cs="Arial"/>
          <w:color w:val="222222"/>
          <w:sz w:val="20"/>
          <w:szCs w:val="20"/>
          <w:shd w:val="clear" w:color="auto" w:fill="FFFFFF"/>
        </w:rPr>
        <w:t xml:space="preserve">, P. (2023). </w:t>
      </w:r>
      <w:proofErr w:type="spellStart"/>
      <w:r w:rsidRPr="004E29C4">
        <w:rPr>
          <w:rFonts w:ascii="Arial" w:hAnsi="Arial" w:cs="Arial"/>
          <w:color w:val="222222"/>
          <w:sz w:val="20"/>
          <w:szCs w:val="20"/>
          <w:shd w:val="clear" w:color="auto" w:fill="FFFFFF"/>
        </w:rPr>
        <w:t>Simultous</w:t>
      </w:r>
      <w:proofErr w:type="spellEnd"/>
      <w:r w:rsidRPr="004E29C4">
        <w:rPr>
          <w:rFonts w:ascii="Arial" w:hAnsi="Arial" w:cs="Arial"/>
          <w:color w:val="222222"/>
          <w:sz w:val="20"/>
          <w:szCs w:val="20"/>
          <w:shd w:val="clear" w:color="auto" w:fill="FFFFFF"/>
        </w:rPr>
        <w:t xml:space="preserve"> Extraction of Oil and Protein from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L.) Pupae (</w:t>
      </w:r>
      <w:proofErr w:type="spellStart"/>
      <w:r w:rsidRPr="004E29C4">
        <w:rPr>
          <w:rFonts w:ascii="Arial" w:hAnsi="Arial" w:cs="Arial"/>
          <w:i/>
          <w:color w:val="222222"/>
          <w:sz w:val="20"/>
          <w:szCs w:val="20"/>
          <w:shd w:val="clear" w:color="auto" w:fill="FFFFFF"/>
        </w:rPr>
        <w:t>LuengParroj</w:t>
      </w:r>
      <w:proofErr w:type="spellEnd"/>
      <w:r w:rsidRPr="004E29C4">
        <w:rPr>
          <w:rFonts w:ascii="Arial" w:hAnsi="Arial" w:cs="Arial"/>
          <w:color w:val="222222"/>
          <w:sz w:val="20"/>
          <w:szCs w:val="20"/>
          <w:shd w:val="clear" w:color="auto" w:fill="FFFFFF"/>
        </w:rPr>
        <w:t xml:space="preserve"> var.) and Their In Vitro Skin Moisturization. </w:t>
      </w:r>
      <w:r w:rsidRPr="004E29C4">
        <w:rPr>
          <w:rFonts w:ascii="Arial" w:hAnsi="Arial" w:cs="Arial"/>
          <w:iCs/>
          <w:color w:val="222222"/>
          <w:sz w:val="20"/>
          <w:szCs w:val="20"/>
          <w:shd w:val="clear" w:color="auto" w:fill="FFFFFF"/>
        </w:rPr>
        <w:t>Molecules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28</w:t>
      </w:r>
      <w:r w:rsidRPr="004E29C4">
        <w:rPr>
          <w:rFonts w:ascii="Arial" w:hAnsi="Arial" w:cs="Arial"/>
          <w:color w:val="222222"/>
          <w:sz w:val="20"/>
          <w:szCs w:val="20"/>
          <w:shd w:val="clear" w:color="auto" w:fill="FFFFFF"/>
        </w:rPr>
        <w:t xml:space="preserve">(20), 7032. </w:t>
      </w:r>
      <w:hyperlink r:id="rId37" w:history="1">
        <w:r w:rsidRPr="004E29C4">
          <w:rPr>
            <w:rStyle w:val="Hyperlink"/>
            <w:rFonts w:ascii="Arial" w:hAnsi="Arial" w:cs="Arial"/>
            <w:sz w:val="20"/>
            <w:szCs w:val="20"/>
            <w:shd w:val="clear" w:color="auto" w:fill="FFFFFF"/>
          </w:rPr>
          <w:t>https://doi.org/10.3390/molecules28207032</w:t>
        </w:r>
      </w:hyperlink>
    </w:p>
    <w:p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Pandey, P., Tripathi, D. K., Yadav, J. P., Ali, B., Singh, V. et al. (2024b).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Pupae oil: A potential therapeutic and edible lipid source to mitigate the oxidative stress and cholesterol complications associated with diabetes. </w:t>
      </w:r>
      <w:r w:rsidRPr="004E29C4">
        <w:rPr>
          <w:rFonts w:ascii="Arial" w:hAnsi="Arial" w:cs="Arial"/>
          <w:iCs/>
          <w:color w:val="222222"/>
          <w:sz w:val="20"/>
          <w:szCs w:val="20"/>
          <w:shd w:val="clear" w:color="auto" w:fill="FFFFFF"/>
        </w:rPr>
        <w:t>Food and Humanity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 100418. </w:t>
      </w:r>
      <w:hyperlink r:id="rId38" w:history="1">
        <w:r w:rsidRPr="004E29C4">
          <w:rPr>
            <w:rStyle w:val="Hyperlink"/>
            <w:rFonts w:ascii="Arial" w:hAnsi="Arial" w:cs="Arial"/>
            <w:sz w:val="20"/>
            <w:szCs w:val="20"/>
            <w:shd w:val="clear" w:color="auto" w:fill="FFFFFF"/>
          </w:rPr>
          <w:t>https://doi.org/10.1016/j.foohum.2024.100418</w:t>
        </w:r>
      </w:hyperlink>
    </w:p>
    <w:p w:rsidR="00285245" w:rsidRPr="004E29C4" w:rsidRDefault="00F70D33" w:rsidP="004E29C4">
      <w:pPr>
        <w:pStyle w:val="NormalWeb"/>
        <w:numPr>
          <w:ilvl w:val="0"/>
          <w:numId w:val="5"/>
        </w:numPr>
        <w:ind w:left="426" w:hanging="426"/>
        <w:jc w:val="both"/>
        <w:rPr>
          <w:rFonts w:ascii="Arial" w:hAnsi="Arial" w:cs="Arial"/>
          <w:sz w:val="20"/>
          <w:szCs w:val="20"/>
        </w:rPr>
      </w:pPr>
      <w:r w:rsidRPr="004E29C4">
        <w:rPr>
          <w:rStyle w:val="Strong"/>
          <w:rFonts w:ascii="Arial" w:hAnsi="Arial" w:cs="Arial"/>
          <w:b w:val="0"/>
          <w:sz w:val="20"/>
          <w:szCs w:val="20"/>
        </w:rPr>
        <w:t>Jobling, M.</w:t>
      </w:r>
      <w:r w:rsidRPr="004E29C4">
        <w:rPr>
          <w:rFonts w:ascii="Arial" w:hAnsi="Arial" w:cs="Arial"/>
          <w:sz w:val="20"/>
          <w:szCs w:val="20"/>
        </w:rPr>
        <w:t xml:space="preserve"> (2001). </w:t>
      </w:r>
      <w:r w:rsidRPr="004E29C4">
        <w:rPr>
          <w:rStyle w:val="Emphasis"/>
          <w:rFonts w:ascii="Arial" w:hAnsi="Arial" w:cs="Arial"/>
          <w:i w:val="0"/>
          <w:sz w:val="20"/>
          <w:szCs w:val="20"/>
        </w:rPr>
        <w:t>Feed composition and analysis</w:t>
      </w:r>
      <w:r w:rsidRPr="004E29C4">
        <w:rPr>
          <w:rFonts w:ascii="Arial" w:hAnsi="Arial" w:cs="Arial"/>
          <w:sz w:val="20"/>
          <w:szCs w:val="20"/>
        </w:rPr>
        <w:t xml:space="preserve">. In D. Houlihan, T. </w:t>
      </w:r>
      <w:proofErr w:type="spellStart"/>
      <w:r w:rsidRPr="004E29C4">
        <w:rPr>
          <w:rFonts w:ascii="Arial" w:hAnsi="Arial" w:cs="Arial"/>
          <w:sz w:val="20"/>
          <w:szCs w:val="20"/>
        </w:rPr>
        <w:t>Boujard</w:t>
      </w:r>
      <w:proofErr w:type="spellEnd"/>
      <w:r w:rsidRPr="004E29C4">
        <w:rPr>
          <w:rFonts w:ascii="Arial" w:hAnsi="Arial" w:cs="Arial"/>
          <w:sz w:val="20"/>
          <w:szCs w:val="20"/>
        </w:rPr>
        <w:t xml:space="preserve">, &amp; M. Jobling (Eds.), </w:t>
      </w:r>
      <w:r w:rsidRPr="004E29C4">
        <w:rPr>
          <w:rStyle w:val="Emphasis"/>
          <w:rFonts w:ascii="Arial" w:hAnsi="Arial" w:cs="Arial"/>
          <w:i w:val="0"/>
          <w:sz w:val="20"/>
          <w:szCs w:val="20"/>
        </w:rPr>
        <w:t>Food intake in fish</w:t>
      </w:r>
      <w:r w:rsidRPr="004E29C4">
        <w:rPr>
          <w:rFonts w:ascii="Arial" w:hAnsi="Arial" w:cs="Arial"/>
          <w:sz w:val="20"/>
          <w:szCs w:val="20"/>
        </w:rPr>
        <w:t xml:space="preserve"> (pp. 1-24</w:t>
      </w:r>
      <w:r w:rsidR="00285245" w:rsidRPr="004E29C4">
        <w:rPr>
          <w:rFonts w:ascii="Arial" w:hAnsi="Arial" w:cs="Arial"/>
          <w:sz w:val="20"/>
          <w:szCs w:val="20"/>
        </w:rPr>
        <w:t>),</w:t>
      </w:r>
      <w:r w:rsidRPr="004E29C4">
        <w:rPr>
          <w:rFonts w:ascii="Arial" w:hAnsi="Arial" w:cs="Arial"/>
          <w:sz w:val="20"/>
          <w:szCs w:val="20"/>
        </w:rPr>
        <w:t xml:space="preserve"> Blackwell </w:t>
      </w:r>
      <w:proofErr w:type="spellStart"/>
      <w:r w:rsidRPr="004E29C4">
        <w:rPr>
          <w:rFonts w:ascii="Arial" w:hAnsi="Arial" w:cs="Arial"/>
          <w:sz w:val="20"/>
          <w:szCs w:val="20"/>
        </w:rPr>
        <w:t>Science.</w:t>
      </w:r>
      <w:hyperlink r:id="rId39" w:history="1">
        <w:r w:rsidR="00285245" w:rsidRPr="004E29C4">
          <w:rPr>
            <w:rStyle w:val="Hyperlink"/>
            <w:rFonts w:ascii="Arial" w:hAnsi="Arial" w:cs="Arial"/>
            <w:sz w:val="20"/>
            <w:szCs w:val="20"/>
            <w:shd w:val="clear" w:color="auto" w:fill="FFFFFF"/>
          </w:rPr>
          <w:t>http</w:t>
        </w:r>
        <w:proofErr w:type="spellEnd"/>
        <w:r w:rsidR="00285245" w:rsidRPr="004E29C4">
          <w:rPr>
            <w:rStyle w:val="Hyperlink"/>
            <w:rFonts w:ascii="Arial" w:hAnsi="Arial" w:cs="Arial"/>
            <w:sz w:val="20"/>
            <w:szCs w:val="20"/>
            <w:shd w:val="clear" w:color="auto" w:fill="FFFFFF"/>
          </w:rPr>
          <w:t>://dx.doi.org/10.1002/9780470999516</w:t>
        </w:r>
      </w:hyperlink>
    </w:p>
    <w:p w:rsidR="00EB20B2" w:rsidRPr="004E29C4" w:rsidRDefault="00285245"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Banday</w:t>
      </w:r>
      <w:proofErr w:type="spellEnd"/>
      <w:r w:rsidRPr="004E29C4">
        <w:rPr>
          <w:rFonts w:ascii="Arial" w:hAnsi="Arial" w:cs="Arial"/>
          <w:color w:val="222222"/>
          <w:sz w:val="20"/>
          <w:szCs w:val="20"/>
          <w:shd w:val="clear" w:color="auto" w:fill="FFFFFF"/>
        </w:rPr>
        <w:t xml:space="preserve">, M. T., Adil, S., Sheikh, I. U., </w:t>
      </w:r>
      <w:proofErr w:type="spellStart"/>
      <w:r w:rsidRPr="004E29C4">
        <w:rPr>
          <w:rFonts w:ascii="Arial" w:hAnsi="Arial" w:cs="Arial"/>
          <w:color w:val="222222"/>
          <w:sz w:val="20"/>
          <w:szCs w:val="20"/>
          <w:shd w:val="clear" w:color="auto" w:fill="FFFFFF"/>
        </w:rPr>
        <w:t>Hamadani</w:t>
      </w:r>
      <w:proofErr w:type="spellEnd"/>
      <w:r w:rsidRPr="004E29C4">
        <w:rPr>
          <w:rFonts w:ascii="Arial" w:hAnsi="Arial" w:cs="Arial"/>
          <w:color w:val="222222"/>
          <w:sz w:val="20"/>
          <w:szCs w:val="20"/>
          <w:shd w:val="clear" w:color="auto" w:fill="FFFFFF"/>
        </w:rPr>
        <w:t xml:space="preserve">, H., </w:t>
      </w:r>
      <w:proofErr w:type="spellStart"/>
      <w:r w:rsidRPr="004E29C4">
        <w:rPr>
          <w:rFonts w:ascii="Arial" w:hAnsi="Arial" w:cs="Arial"/>
          <w:color w:val="222222"/>
          <w:sz w:val="20"/>
          <w:szCs w:val="20"/>
          <w:shd w:val="clear" w:color="auto" w:fill="FFFFFF"/>
        </w:rPr>
        <w:t>Qadri</w:t>
      </w:r>
      <w:proofErr w:type="spellEnd"/>
      <w:r w:rsidRPr="004E29C4">
        <w:rPr>
          <w:rFonts w:ascii="Arial" w:hAnsi="Arial" w:cs="Arial"/>
          <w:color w:val="222222"/>
          <w:sz w:val="20"/>
          <w:szCs w:val="20"/>
          <w:shd w:val="clear" w:color="auto" w:fill="FFFFFF"/>
        </w:rPr>
        <w:t xml:space="preserve">, F. I., </w:t>
      </w:r>
      <w:proofErr w:type="spellStart"/>
      <w:r w:rsidRPr="004E29C4">
        <w:rPr>
          <w:rFonts w:ascii="Arial" w:hAnsi="Arial" w:cs="Arial"/>
          <w:color w:val="222222"/>
          <w:sz w:val="20"/>
          <w:szCs w:val="20"/>
          <w:shd w:val="clear" w:color="auto" w:fill="FFFFFF"/>
        </w:rPr>
        <w:t>Sahfi</w:t>
      </w:r>
      <w:proofErr w:type="spellEnd"/>
      <w:r w:rsidRPr="004E29C4">
        <w:rPr>
          <w:rFonts w:ascii="Arial" w:hAnsi="Arial" w:cs="Arial"/>
          <w:color w:val="222222"/>
          <w:sz w:val="20"/>
          <w:szCs w:val="20"/>
          <w:shd w:val="clear" w:color="auto" w:fill="FFFFFF"/>
        </w:rPr>
        <w:t>, M. E. et al. (2023). The use of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meal as an alternative protein source for poultry. </w:t>
      </w:r>
      <w:r w:rsidRPr="004E29C4">
        <w:rPr>
          <w:rFonts w:ascii="Arial" w:hAnsi="Arial" w:cs="Arial"/>
          <w:iCs/>
          <w:color w:val="222222"/>
          <w:sz w:val="20"/>
          <w:szCs w:val="20"/>
          <w:shd w:val="clear" w:color="auto" w:fill="FFFFFF"/>
        </w:rPr>
        <w:t>World's Poultry Science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79</w:t>
      </w:r>
      <w:r w:rsidRPr="004E29C4">
        <w:rPr>
          <w:rFonts w:ascii="Arial" w:hAnsi="Arial" w:cs="Arial"/>
          <w:color w:val="222222"/>
          <w:sz w:val="20"/>
          <w:szCs w:val="20"/>
          <w:shd w:val="clear" w:color="auto" w:fill="FFFFFF"/>
        </w:rPr>
        <w:t xml:space="preserve">(1), 119-134. </w:t>
      </w:r>
      <w:hyperlink r:id="rId40" w:history="1">
        <w:r w:rsidRPr="004E29C4">
          <w:rPr>
            <w:rStyle w:val="Hyperlink"/>
            <w:rFonts w:ascii="Arial" w:hAnsi="Arial" w:cs="Arial"/>
            <w:sz w:val="20"/>
            <w:szCs w:val="20"/>
            <w:shd w:val="clear" w:color="auto" w:fill="FFFFFF"/>
          </w:rPr>
          <w:t>https://doi.org/10.1080/00439339.2023.2163955</w:t>
        </w:r>
      </w:hyperlink>
    </w:p>
    <w:p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Ramos</w:t>
      </w:r>
      <w:r w:rsidRPr="004E29C4">
        <w:rPr>
          <w:rFonts w:ascii="Cambria Math" w:hAnsi="Cambria Math" w:cs="Arial"/>
          <w:color w:val="222222"/>
          <w:sz w:val="20"/>
          <w:szCs w:val="20"/>
          <w:shd w:val="clear" w:color="auto" w:fill="FFFFFF"/>
        </w:rPr>
        <w:t>‐</w:t>
      </w:r>
      <w:proofErr w:type="spellStart"/>
      <w:r w:rsidRPr="004E29C4">
        <w:rPr>
          <w:rFonts w:ascii="Arial" w:hAnsi="Arial" w:cs="Arial"/>
          <w:color w:val="222222"/>
          <w:sz w:val="20"/>
          <w:szCs w:val="20"/>
          <w:shd w:val="clear" w:color="auto" w:fill="FFFFFF"/>
        </w:rPr>
        <w:t>Elorduy</w:t>
      </w:r>
      <w:proofErr w:type="spellEnd"/>
      <w:r w:rsidRPr="004E29C4">
        <w:rPr>
          <w:rFonts w:ascii="Arial" w:hAnsi="Arial" w:cs="Arial"/>
          <w:color w:val="222222"/>
          <w:sz w:val="20"/>
          <w:szCs w:val="20"/>
          <w:shd w:val="clear" w:color="auto" w:fill="FFFFFF"/>
        </w:rPr>
        <w:t>, B. J. (1997). The importance of edible insects in the nutrition and economy of people of the rural areas of Mexico. </w:t>
      </w:r>
      <w:r w:rsidRPr="004E29C4">
        <w:rPr>
          <w:rFonts w:ascii="Arial" w:hAnsi="Arial" w:cs="Arial"/>
          <w:iCs/>
          <w:color w:val="222222"/>
          <w:sz w:val="20"/>
          <w:szCs w:val="20"/>
          <w:shd w:val="clear" w:color="auto" w:fill="FFFFFF"/>
        </w:rPr>
        <w:t>Ecology of food and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36</w:t>
      </w:r>
      <w:r w:rsidRPr="004E29C4">
        <w:rPr>
          <w:rFonts w:ascii="Arial" w:hAnsi="Arial" w:cs="Arial"/>
          <w:color w:val="222222"/>
          <w:sz w:val="20"/>
          <w:szCs w:val="20"/>
          <w:shd w:val="clear" w:color="auto" w:fill="FFFFFF"/>
        </w:rPr>
        <w:t xml:space="preserve">(5), 347-366. </w:t>
      </w:r>
      <w:hyperlink r:id="rId41" w:history="1">
        <w:r w:rsidRPr="004E29C4">
          <w:rPr>
            <w:rStyle w:val="Hyperlink"/>
            <w:rFonts w:ascii="Arial" w:hAnsi="Arial" w:cs="Arial"/>
            <w:sz w:val="20"/>
            <w:szCs w:val="20"/>
            <w:shd w:val="clear" w:color="auto" w:fill="FFFFFF"/>
          </w:rPr>
          <w:t>https://doi.org/10.1080/03670244.1997.9991524</w:t>
        </w:r>
      </w:hyperlink>
    </w:p>
    <w:p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Bose, P. C., &amp; Majumder, S. K. (1990). Biochemical composition of pupae waste and utilization. </w:t>
      </w:r>
      <w:r w:rsidRPr="004E29C4">
        <w:rPr>
          <w:rFonts w:ascii="Arial" w:hAnsi="Arial" w:cs="Arial"/>
          <w:iCs/>
          <w:color w:val="222222"/>
          <w:sz w:val="20"/>
          <w:szCs w:val="20"/>
          <w:shd w:val="clear" w:color="auto" w:fill="FFFFFF"/>
        </w:rPr>
        <w:t>Indian silk</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29</w:t>
      </w:r>
      <w:r w:rsidRPr="004E29C4">
        <w:rPr>
          <w:rFonts w:ascii="Arial" w:hAnsi="Arial" w:cs="Arial"/>
          <w:color w:val="222222"/>
          <w:sz w:val="20"/>
          <w:szCs w:val="20"/>
          <w:shd w:val="clear" w:color="auto" w:fill="FFFFFF"/>
        </w:rPr>
        <w:t>(2), 45-46.</w:t>
      </w:r>
    </w:p>
    <w:p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Rashmi, K. M., </w:t>
      </w:r>
      <w:proofErr w:type="spellStart"/>
      <w:r w:rsidRPr="004E29C4">
        <w:rPr>
          <w:rFonts w:ascii="Arial" w:hAnsi="Arial" w:cs="Arial"/>
          <w:color w:val="222222"/>
          <w:sz w:val="20"/>
          <w:szCs w:val="20"/>
          <w:shd w:val="clear" w:color="auto" w:fill="FFFFFF"/>
        </w:rPr>
        <w:t>Chandrasekharaiah</w:t>
      </w:r>
      <w:proofErr w:type="spellEnd"/>
      <w:r w:rsidRPr="004E29C4">
        <w:rPr>
          <w:rFonts w:ascii="Arial" w:hAnsi="Arial" w:cs="Arial"/>
          <w:color w:val="222222"/>
          <w:sz w:val="20"/>
          <w:szCs w:val="20"/>
          <w:shd w:val="clear" w:color="auto" w:fill="FFFFFF"/>
        </w:rPr>
        <w:t xml:space="preserve">, M., Soren, N. M., Prasad, K. S., David, C. G., </w:t>
      </w:r>
      <w:proofErr w:type="spellStart"/>
      <w:r w:rsidRPr="004E29C4">
        <w:rPr>
          <w:rFonts w:ascii="Arial" w:hAnsi="Arial" w:cs="Arial"/>
          <w:color w:val="222222"/>
          <w:sz w:val="20"/>
          <w:szCs w:val="20"/>
          <w:shd w:val="clear" w:color="auto" w:fill="FFFFFF"/>
        </w:rPr>
        <w:t>Thirupathaiah</w:t>
      </w:r>
      <w:proofErr w:type="spellEnd"/>
      <w:r w:rsidRPr="004E29C4">
        <w:rPr>
          <w:rFonts w:ascii="Arial" w:hAnsi="Arial" w:cs="Arial"/>
          <w:color w:val="222222"/>
          <w:sz w:val="20"/>
          <w:szCs w:val="20"/>
          <w:shd w:val="clear" w:color="auto" w:fill="FFFFFF"/>
        </w:rPr>
        <w:t xml:space="preserve">, Y., &amp; </w:t>
      </w:r>
      <w:proofErr w:type="spellStart"/>
      <w:r w:rsidRPr="004E29C4">
        <w:rPr>
          <w:rFonts w:ascii="Arial" w:hAnsi="Arial" w:cs="Arial"/>
          <w:color w:val="222222"/>
          <w:sz w:val="20"/>
          <w:szCs w:val="20"/>
          <w:shd w:val="clear" w:color="auto" w:fill="FFFFFF"/>
        </w:rPr>
        <w:t>Shivaprasad</w:t>
      </w:r>
      <w:proofErr w:type="spellEnd"/>
      <w:r w:rsidRPr="004E29C4">
        <w:rPr>
          <w:rFonts w:ascii="Arial" w:hAnsi="Arial" w:cs="Arial"/>
          <w:color w:val="222222"/>
          <w:sz w:val="20"/>
          <w:szCs w:val="20"/>
          <w:shd w:val="clear" w:color="auto" w:fill="FFFFFF"/>
        </w:rPr>
        <w:t>, V. (2022). Defatted silkworm pupae meal as an alternative protein source for cattle. </w:t>
      </w:r>
      <w:r w:rsidRPr="004E29C4">
        <w:rPr>
          <w:rFonts w:ascii="Arial" w:hAnsi="Arial" w:cs="Arial"/>
          <w:iCs/>
          <w:color w:val="222222"/>
          <w:sz w:val="20"/>
          <w:szCs w:val="20"/>
          <w:shd w:val="clear" w:color="auto" w:fill="FFFFFF"/>
        </w:rPr>
        <w:t>Tropical Animal Health and Production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54</w:t>
      </w:r>
      <w:r w:rsidRPr="004E29C4">
        <w:rPr>
          <w:rFonts w:ascii="Arial" w:hAnsi="Arial" w:cs="Arial"/>
          <w:color w:val="222222"/>
          <w:sz w:val="20"/>
          <w:szCs w:val="20"/>
          <w:shd w:val="clear" w:color="auto" w:fill="FFFFFF"/>
        </w:rPr>
        <w:t xml:space="preserve">(5), 327. </w:t>
      </w:r>
      <w:hyperlink r:id="rId42" w:history="1">
        <w:r w:rsidRPr="004E29C4">
          <w:rPr>
            <w:rStyle w:val="Hyperlink"/>
            <w:rFonts w:ascii="Arial" w:hAnsi="Arial" w:cs="Arial"/>
            <w:sz w:val="20"/>
            <w:szCs w:val="20"/>
            <w:shd w:val="clear" w:color="auto" w:fill="FFFFFF"/>
          </w:rPr>
          <w:t>https://doi.org/10.1007/s11250-022-03323-3</w:t>
        </w:r>
      </w:hyperlink>
    </w:p>
    <w:p w:rsidR="00285245" w:rsidRPr="004E29C4" w:rsidRDefault="00285245"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Tomotake</w:t>
      </w:r>
      <w:proofErr w:type="spellEnd"/>
      <w:r w:rsidRPr="004E29C4">
        <w:rPr>
          <w:rFonts w:ascii="Arial" w:hAnsi="Arial" w:cs="Arial"/>
          <w:color w:val="222222"/>
          <w:sz w:val="20"/>
          <w:szCs w:val="20"/>
          <w:shd w:val="clear" w:color="auto" w:fill="FFFFFF"/>
        </w:rPr>
        <w:t xml:space="preserve">, H., </w:t>
      </w:r>
      <w:proofErr w:type="spellStart"/>
      <w:r w:rsidRPr="004E29C4">
        <w:rPr>
          <w:rFonts w:ascii="Arial" w:hAnsi="Arial" w:cs="Arial"/>
          <w:color w:val="222222"/>
          <w:sz w:val="20"/>
          <w:szCs w:val="20"/>
          <w:shd w:val="clear" w:color="auto" w:fill="FFFFFF"/>
        </w:rPr>
        <w:t>Katagiri</w:t>
      </w:r>
      <w:proofErr w:type="spellEnd"/>
      <w:r w:rsidRPr="004E29C4">
        <w:rPr>
          <w:rFonts w:ascii="Arial" w:hAnsi="Arial" w:cs="Arial"/>
          <w:color w:val="222222"/>
          <w:sz w:val="20"/>
          <w:szCs w:val="20"/>
          <w:shd w:val="clear" w:color="auto" w:fill="FFFFFF"/>
        </w:rPr>
        <w:t>, M., &amp; Yamato, M. (2010).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are new sources of </w:t>
      </w:r>
      <w:proofErr w:type="gramStart"/>
      <w:r w:rsidRPr="004E29C4">
        <w:rPr>
          <w:rFonts w:ascii="Arial" w:hAnsi="Arial" w:cs="Arial"/>
          <w:color w:val="222222"/>
          <w:sz w:val="20"/>
          <w:szCs w:val="20"/>
          <w:shd w:val="clear" w:color="auto" w:fill="FFFFFF"/>
        </w:rPr>
        <w:t>high quality</w:t>
      </w:r>
      <w:proofErr w:type="gramEnd"/>
      <w:r w:rsidRPr="004E29C4">
        <w:rPr>
          <w:rFonts w:ascii="Arial" w:hAnsi="Arial" w:cs="Arial"/>
          <w:color w:val="222222"/>
          <w:sz w:val="20"/>
          <w:szCs w:val="20"/>
          <w:shd w:val="clear" w:color="auto" w:fill="FFFFFF"/>
        </w:rPr>
        <w:t xml:space="preserve"> protein and lipid. </w:t>
      </w:r>
      <w:r w:rsidRPr="004E29C4">
        <w:rPr>
          <w:rFonts w:ascii="Arial" w:hAnsi="Arial" w:cs="Arial"/>
          <w:iCs/>
          <w:color w:val="222222"/>
          <w:sz w:val="20"/>
          <w:szCs w:val="20"/>
          <w:shd w:val="clear" w:color="auto" w:fill="FFFFFF"/>
        </w:rPr>
        <w:t xml:space="preserve">Journal of nutritional science and </w:t>
      </w:r>
      <w:proofErr w:type="spellStart"/>
      <w:r w:rsidRPr="004E29C4">
        <w:rPr>
          <w:rFonts w:ascii="Arial" w:hAnsi="Arial" w:cs="Arial"/>
          <w:iCs/>
          <w:color w:val="222222"/>
          <w:sz w:val="20"/>
          <w:szCs w:val="20"/>
          <w:shd w:val="clear" w:color="auto" w:fill="FFFFFF"/>
        </w:rPr>
        <w:t>vitaminology</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56</w:t>
      </w:r>
      <w:r w:rsidRPr="004E29C4">
        <w:rPr>
          <w:rFonts w:ascii="Arial" w:hAnsi="Arial" w:cs="Arial"/>
          <w:color w:val="222222"/>
          <w:sz w:val="20"/>
          <w:szCs w:val="20"/>
          <w:shd w:val="clear" w:color="auto" w:fill="FFFFFF"/>
        </w:rPr>
        <w:t xml:space="preserve">(6), 446-448. </w:t>
      </w:r>
      <w:hyperlink r:id="rId43" w:history="1">
        <w:r w:rsidRPr="004E29C4">
          <w:rPr>
            <w:rStyle w:val="Hyperlink"/>
            <w:rFonts w:ascii="Arial" w:hAnsi="Arial" w:cs="Arial"/>
            <w:sz w:val="20"/>
            <w:szCs w:val="20"/>
            <w:shd w:val="clear" w:color="auto" w:fill="FFFFFF"/>
          </w:rPr>
          <w:t>https://doi.org/10.3177/jnsv.56.446</w:t>
        </w:r>
      </w:hyperlink>
    </w:p>
    <w:p w:rsidR="00285245" w:rsidRPr="004E29C4" w:rsidRDefault="00285245"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Astrup</w:t>
      </w:r>
      <w:proofErr w:type="spellEnd"/>
      <w:r w:rsidRPr="004E29C4">
        <w:rPr>
          <w:rFonts w:ascii="Arial" w:hAnsi="Arial" w:cs="Arial"/>
          <w:color w:val="222222"/>
          <w:sz w:val="20"/>
          <w:szCs w:val="20"/>
          <w:shd w:val="clear" w:color="auto" w:fill="FFFFFF"/>
        </w:rPr>
        <w:t xml:space="preserve">, A., </w:t>
      </w:r>
      <w:proofErr w:type="spellStart"/>
      <w:r w:rsidRPr="004E29C4">
        <w:rPr>
          <w:rFonts w:ascii="Arial" w:hAnsi="Arial" w:cs="Arial"/>
          <w:color w:val="222222"/>
          <w:sz w:val="20"/>
          <w:szCs w:val="20"/>
          <w:shd w:val="clear" w:color="auto" w:fill="FFFFFF"/>
        </w:rPr>
        <w:t>Magkos</w:t>
      </w:r>
      <w:proofErr w:type="spellEnd"/>
      <w:r w:rsidRPr="004E29C4">
        <w:rPr>
          <w:rFonts w:ascii="Arial" w:hAnsi="Arial" w:cs="Arial"/>
          <w:color w:val="222222"/>
          <w:sz w:val="20"/>
          <w:szCs w:val="20"/>
          <w:shd w:val="clear" w:color="auto" w:fill="FFFFFF"/>
        </w:rPr>
        <w:t>, F., Bier, D. M., Brenna, J. T., de Oliveira Otto, M. C., Hill, J. O. et al. (2020). Saturated fats and health: a reassessment and proposal for food-based recommendations: JACC state-of-the-art review. </w:t>
      </w:r>
      <w:r w:rsidRPr="004E29C4">
        <w:rPr>
          <w:rFonts w:ascii="Arial" w:hAnsi="Arial" w:cs="Arial"/>
          <w:iCs/>
          <w:color w:val="222222"/>
          <w:sz w:val="20"/>
          <w:szCs w:val="20"/>
          <w:shd w:val="clear" w:color="auto" w:fill="FFFFFF"/>
        </w:rPr>
        <w:t>Journal of the American College of Cardiology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76</w:t>
      </w:r>
      <w:r w:rsidRPr="004E29C4">
        <w:rPr>
          <w:rFonts w:ascii="Arial" w:hAnsi="Arial" w:cs="Arial"/>
          <w:color w:val="222222"/>
          <w:sz w:val="20"/>
          <w:szCs w:val="20"/>
          <w:shd w:val="clear" w:color="auto" w:fill="FFFFFF"/>
        </w:rPr>
        <w:t>(7), 844-857.</w:t>
      </w:r>
      <w:hyperlink r:id="rId44" w:history="1">
        <w:r w:rsidRPr="004E29C4">
          <w:rPr>
            <w:rStyle w:val="Hyperlink"/>
            <w:rFonts w:ascii="Arial" w:hAnsi="Arial" w:cs="Arial"/>
            <w:sz w:val="20"/>
            <w:szCs w:val="20"/>
            <w:shd w:val="clear" w:color="auto" w:fill="FFFFFF"/>
          </w:rPr>
          <w:t>https://doi.org/10.1016/j.jacc.2020.05.077</w:t>
        </w:r>
      </w:hyperlink>
    </w:p>
    <w:p w:rsidR="00285245" w:rsidRPr="004E29C4" w:rsidRDefault="00740AE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Mishra, N., Hazarika, N. C., </w:t>
      </w:r>
      <w:proofErr w:type="spellStart"/>
      <w:r w:rsidRPr="004E29C4">
        <w:rPr>
          <w:rFonts w:ascii="Arial" w:hAnsi="Arial" w:cs="Arial"/>
          <w:color w:val="222222"/>
          <w:sz w:val="20"/>
          <w:szCs w:val="20"/>
          <w:shd w:val="clear" w:color="auto" w:fill="FFFFFF"/>
        </w:rPr>
        <w:t>Narain</w:t>
      </w:r>
      <w:proofErr w:type="spellEnd"/>
      <w:r w:rsidRPr="004E29C4">
        <w:rPr>
          <w:rFonts w:ascii="Arial" w:hAnsi="Arial" w:cs="Arial"/>
          <w:color w:val="222222"/>
          <w:sz w:val="20"/>
          <w:szCs w:val="20"/>
          <w:shd w:val="clear" w:color="auto" w:fill="FFFFFF"/>
        </w:rPr>
        <w:t>, K., &amp; Mahanta, J. (2003). Nutritive value of non-mulberry and mulberry silkworm pupae and consumption pattern in Assam, India. </w:t>
      </w:r>
      <w:r w:rsidRPr="004E29C4">
        <w:rPr>
          <w:rFonts w:ascii="Arial" w:hAnsi="Arial" w:cs="Arial"/>
          <w:iCs/>
          <w:color w:val="222222"/>
          <w:sz w:val="20"/>
          <w:szCs w:val="20"/>
          <w:shd w:val="clear" w:color="auto" w:fill="FFFFFF"/>
        </w:rPr>
        <w:t>Nutrition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23</w:t>
      </w:r>
      <w:r w:rsidRPr="004E29C4">
        <w:rPr>
          <w:rFonts w:ascii="Arial" w:hAnsi="Arial" w:cs="Arial"/>
          <w:color w:val="222222"/>
          <w:sz w:val="20"/>
          <w:szCs w:val="20"/>
          <w:shd w:val="clear" w:color="auto" w:fill="FFFFFF"/>
        </w:rPr>
        <w:t>(10), 1303-1311.</w:t>
      </w:r>
      <w:hyperlink r:id="rId45" w:history="1">
        <w:r w:rsidRPr="004E29C4">
          <w:rPr>
            <w:rStyle w:val="Hyperlink"/>
            <w:rFonts w:ascii="Arial" w:hAnsi="Arial" w:cs="Arial"/>
            <w:sz w:val="20"/>
            <w:szCs w:val="20"/>
            <w:shd w:val="clear" w:color="auto" w:fill="FFFFFF"/>
          </w:rPr>
          <w:t>https://doi.org/10.1016/S0271-5317(03)00132-5</w:t>
        </w:r>
      </w:hyperlink>
    </w:p>
    <w:p w:rsidR="00740AEA" w:rsidRPr="004E29C4" w:rsidRDefault="00740AE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Deori</w:t>
      </w:r>
      <w:proofErr w:type="spellEnd"/>
      <w:r w:rsidRPr="004E29C4">
        <w:rPr>
          <w:rFonts w:ascii="Arial" w:hAnsi="Arial" w:cs="Arial"/>
          <w:color w:val="222222"/>
          <w:sz w:val="20"/>
          <w:szCs w:val="20"/>
          <w:shd w:val="clear" w:color="auto" w:fill="FFFFFF"/>
        </w:rPr>
        <w:t xml:space="preserve">, G., </w:t>
      </w:r>
      <w:proofErr w:type="spellStart"/>
      <w:r w:rsidRPr="004E29C4">
        <w:rPr>
          <w:rFonts w:ascii="Arial" w:hAnsi="Arial" w:cs="Arial"/>
          <w:color w:val="222222"/>
          <w:sz w:val="20"/>
          <w:szCs w:val="20"/>
          <w:shd w:val="clear" w:color="auto" w:fill="FFFFFF"/>
        </w:rPr>
        <w:t>Khanikor</w:t>
      </w:r>
      <w:proofErr w:type="spellEnd"/>
      <w:r w:rsidRPr="004E29C4">
        <w:rPr>
          <w:rFonts w:ascii="Arial" w:hAnsi="Arial" w:cs="Arial"/>
          <w:color w:val="222222"/>
          <w:sz w:val="20"/>
          <w:szCs w:val="20"/>
          <w:shd w:val="clear" w:color="auto" w:fill="FFFFFF"/>
        </w:rPr>
        <w:t xml:space="preserve">, D. P., &amp; Sarkar, C. R. (2016). Evaluation of proximate composition of </w:t>
      </w:r>
      <w:proofErr w:type="spellStart"/>
      <w:r w:rsidRPr="004E29C4">
        <w:rPr>
          <w:rFonts w:ascii="Arial" w:hAnsi="Arial" w:cs="Arial"/>
          <w:color w:val="222222"/>
          <w:sz w:val="20"/>
          <w:szCs w:val="20"/>
          <w:shd w:val="clear" w:color="auto" w:fill="FFFFFF"/>
        </w:rPr>
        <w:t>eri</w:t>
      </w:r>
      <w:proofErr w:type="spellEnd"/>
      <w:r w:rsidRPr="004E29C4">
        <w:rPr>
          <w:rFonts w:ascii="Arial" w:hAnsi="Arial" w:cs="Arial"/>
          <w:color w:val="222222"/>
          <w:sz w:val="20"/>
          <w:szCs w:val="20"/>
          <w:shd w:val="clear" w:color="auto" w:fill="FFFFFF"/>
        </w:rPr>
        <w:t xml:space="preserve"> silkworm pupae fed on </w:t>
      </w:r>
      <w:r w:rsidRPr="004E29C4">
        <w:rPr>
          <w:rFonts w:ascii="Arial" w:hAnsi="Arial" w:cs="Arial"/>
          <w:i/>
          <w:color w:val="222222"/>
          <w:sz w:val="20"/>
          <w:szCs w:val="20"/>
          <w:shd w:val="clear" w:color="auto" w:fill="FFFFFF"/>
        </w:rPr>
        <w:t xml:space="preserve">Ailanthus </w:t>
      </w:r>
      <w:proofErr w:type="spellStart"/>
      <w:r w:rsidRPr="004E29C4">
        <w:rPr>
          <w:rFonts w:ascii="Arial" w:hAnsi="Arial" w:cs="Arial"/>
          <w:i/>
          <w:color w:val="222222"/>
          <w:sz w:val="20"/>
          <w:szCs w:val="20"/>
          <w:shd w:val="clear" w:color="auto" w:fill="FFFFFF"/>
        </w:rPr>
        <w:t>grandis</w:t>
      </w:r>
      <w:proofErr w:type="spellEnd"/>
      <w:r w:rsidRPr="004E29C4">
        <w:rPr>
          <w:rFonts w:ascii="Arial" w:hAnsi="Arial" w:cs="Arial"/>
          <w:color w:val="222222"/>
          <w:sz w:val="20"/>
          <w:szCs w:val="20"/>
          <w:shd w:val="clear" w:color="auto" w:fill="FFFFFF"/>
        </w:rPr>
        <w:t xml:space="preserve"> and </w:t>
      </w:r>
      <w:r w:rsidRPr="004E29C4">
        <w:rPr>
          <w:rFonts w:ascii="Arial" w:hAnsi="Arial" w:cs="Arial"/>
          <w:i/>
          <w:color w:val="222222"/>
          <w:sz w:val="20"/>
          <w:szCs w:val="20"/>
          <w:shd w:val="clear" w:color="auto" w:fill="FFFFFF"/>
        </w:rPr>
        <w:t>Ailanthus excels</w:t>
      </w:r>
      <w:r w:rsidRPr="004E29C4">
        <w:rPr>
          <w:rFonts w:ascii="Arial" w:hAnsi="Arial" w:cs="Arial"/>
          <w:color w:val="222222"/>
          <w:sz w:val="20"/>
          <w:szCs w:val="20"/>
          <w:shd w:val="clear" w:color="auto" w:fill="FFFFFF"/>
        </w:rPr>
        <w:t xml:space="preserve"> leaves. Journal of Experimental Zoology, 19 (1), 515-516. </w:t>
      </w:r>
    </w:p>
    <w:p w:rsidR="00740AEA" w:rsidRPr="004E29C4" w:rsidRDefault="00740AE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Ghosh, A., Ray, M., &amp; </w:t>
      </w:r>
      <w:proofErr w:type="spellStart"/>
      <w:r w:rsidRPr="004E29C4">
        <w:rPr>
          <w:rFonts w:ascii="Arial" w:hAnsi="Arial" w:cs="Arial"/>
          <w:color w:val="222222"/>
          <w:sz w:val="20"/>
          <w:szCs w:val="20"/>
          <w:shd w:val="clear" w:color="auto" w:fill="FFFFFF"/>
        </w:rPr>
        <w:t>Gangopadhyay</w:t>
      </w:r>
      <w:proofErr w:type="spellEnd"/>
      <w:r w:rsidRPr="004E29C4">
        <w:rPr>
          <w:rFonts w:ascii="Arial" w:hAnsi="Arial" w:cs="Arial"/>
          <w:color w:val="222222"/>
          <w:sz w:val="20"/>
          <w:szCs w:val="20"/>
          <w:shd w:val="clear" w:color="auto" w:fill="FFFFFF"/>
        </w:rPr>
        <w:t>, D. (2020). Evaluation of proximate composition and antioxidant properties in silk-industrial byproduct. </w:t>
      </w:r>
      <w:proofErr w:type="spellStart"/>
      <w:r w:rsidRPr="004E29C4">
        <w:rPr>
          <w:rFonts w:ascii="Arial" w:hAnsi="Arial" w:cs="Arial"/>
          <w:i/>
          <w:iCs/>
          <w:color w:val="222222"/>
          <w:sz w:val="20"/>
          <w:szCs w:val="20"/>
          <w:shd w:val="clear" w:color="auto" w:fill="FFFFFF"/>
        </w:rPr>
        <w:t>Lwt</w:t>
      </w:r>
      <w:proofErr w:type="spellEnd"/>
      <w:r w:rsidRPr="004E29C4">
        <w:rPr>
          <w:rFonts w:ascii="Arial" w:hAnsi="Arial" w:cs="Arial"/>
          <w:color w:val="222222"/>
          <w:sz w:val="20"/>
          <w:szCs w:val="20"/>
          <w:shd w:val="clear" w:color="auto" w:fill="FFFFFF"/>
        </w:rPr>
        <w:t>, </w:t>
      </w:r>
      <w:r w:rsidRPr="004E29C4">
        <w:rPr>
          <w:rFonts w:ascii="Arial" w:hAnsi="Arial" w:cs="Arial"/>
          <w:i/>
          <w:iCs/>
          <w:color w:val="222222"/>
          <w:sz w:val="20"/>
          <w:szCs w:val="20"/>
          <w:shd w:val="clear" w:color="auto" w:fill="FFFFFF"/>
        </w:rPr>
        <w:t>132</w:t>
      </w:r>
      <w:r w:rsidRPr="004E29C4">
        <w:rPr>
          <w:rFonts w:ascii="Arial" w:hAnsi="Arial" w:cs="Arial"/>
          <w:color w:val="222222"/>
          <w:sz w:val="20"/>
          <w:szCs w:val="20"/>
          <w:shd w:val="clear" w:color="auto" w:fill="FFFFFF"/>
        </w:rPr>
        <w:t>, 109900.</w:t>
      </w:r>
      <w:hyperlink r:id="rId46" w:history="1">
        <w:r w:rsidRPr="004E29C4">
          <w:rPr>
            <w:rStyle w:val="Hyperlink"/>
            <w:rFonts w:ascii="Arial" w:hAnsi="Arial" w:cs="Arial"/>
            <w:sz w:val="20"/>
            <w:szCs w:val="20"/>
            <w:shd w:val="clear" w:color="auto" w:fill="FFFFFF"/>
          </w:rPr>
          <w:t>https://doi.org/10.1016/j.lwt.2020.109900</w:t>
        </w:r>
      </w:hyperlink>
    </w:p>
    <w:p w:rsidR="00740AEA" w:rsidRPr="004E29C4" w:rsidRDefault="00740AE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Oynavod</w:t>
      </w:r>
      <w:proofErr w:type="spellEnd"/>
      <w:r w:rsidRPr="004E29C4">
        <w:rPr>
          <w:rFonts w:ascii="Arial" w:hAnsi="Arial" w:cs="Arial"/>
          <w:color w:val="222222"/>
          <w:sz w:val="20"/>
          <w:szCs w:val="20"/>
          <w:shd w:val="clear" w:color="auto" w:fill="FFFFFF"/>
        </w:rPr>
        <w:t xml:space="preserve">, A., Sveta, Y., &amp; </w:t>
      </w:r>
      <w:proofErr w:type="spellStart"/>
      <w:r w:rsidRPr="004E29C4">
        <w:rPr>
          <w:rFonts w:ascii="Arial" w:hAnsi="Arial" w:cs="Arial"/>
          <w:color w:val="222222"/>
          <w:sz w:val="20"/>
          <w:szCs w:val="20"/>
          <w:shd w:val="clear" w:color="auto" w:fill="FFFFFF"/>
        </w:rPr>
        <w:t>Sayora</w:t>
      </w:r>
      <w:proofErr w:type="spellEnd"/>
      <w:r w:rsidRPr="004E29C4">
        <w:rPr>
          <w:rFonts w:ascii="Arial" w:hAnsi="Arial" w:cs="Arial"/>
          <w:color w:val="222222"/>
          <w:sz w:val="20"/>
          <w:szCs w:val="20"/>
          <w:shd w:val="clear" w:color="auto" w:fill="FFFFFF"/>
        </w:rPr>
        <w:t xml:space="preserve">, R. (2020). Effective oil extraction from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silkworm pupae and its structural characteristics. </w:t>
      </w:r>
      <w:r w:rsidRPr="004E29C4">
        <w:rPr>
          <w:rFonts w:ascii="Arial" w:hAnsi="Arial" w:cs="Arial"/>
          <w:iCs/>
          <w:color w:val="222222"/>
          <w:sz w:val="20"/>
          <w:szCs w:val="20"/>
          <w:shd w:val="clear" w:color="auto" w:fill="FFFFFF"/>
        </w:rPr>
        <w:t>CHEMISTRY AND CHEMICAL ENGINEERING</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18</w:t>
      </w:r>
      <w:r w:rsidRPr="004E29C4">
        <w:rPr>
          <w:rFonts w:ascii="Arial" w:hAnsi="Arial" w:cs="Arial"/>
          <w:color w:val="222222"/>
          <w:sz w:val="20"/>
          <w:szCs w:val="20"/>
          <w:shd w:val="clear" w:color="auto" w:fill="FFFFFF"/>
        </w:rPr>
        <w:t>(1), 5.</w:t>
      </w:r>
      <w:hyperlink r:id="rId47" w:history="1">
        <w:r w:rsidR="00413E6C" w:rsidRPr="004E29C4">
          <w:rPr>
            <w:rStyle w:val="Hyperlink"/>
            <w:rFonts w:ascii="Arial" w:hAnsi="Arial" w:cs="Arial"/>
            <w:sz w:val="20"/>
            <w:szCs w:val="20"/>
            <w:shd w:val="clear" w:color="auto" w:fill="FFFFFF"/>
          </w:rPr>
          <w:t>https://doi.org/10.70189/1992-9498.1246</w:t>
        </w:r>
      </w:hyperlink>
    </w:p>
    <w:p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lastRenderedPageBreak/>
        <w:t>Omotoso</w:t>
      </w:r>
      <w:proofErr w:type="spellEnd"/>
      <w:r w:rsidRPr="004E29C4">
        <w:rPr>
          <w:rFonts w:ascii="Arial" w:hAnsi="Arial" w:cs="Arial"/>
          <w:color w:val="222222"/>
          <w:sz w:val="20"/>
          <w:szCs w:val="20"/>
          <w:shd w:val="clear" w:color="auto" w:fill="FFFFFF"/>
        </w:rPr>
        <w:t xml:space="preserve">, O. T. (2015). An Evaluation of the Nutrients and Some Anti-nutrients in Silkworm, </w:t>
      </w:r>
      <w:r w:rsidRPr="004E29C4">
        <w:rPr>
          <w:rFonts w:ascii="Arial" w:hAnsi="Arial" w:cs="Arial"/>
          <w:i/>
          <w:color w:val="222222"/>
          <w:sz w:val="20"/>
          <w:szCs w:val="20"/>
          <w:shd w:val="clear" w:color="auto" w:fill="FFFFFF"/>
        </w:rPr>
        <w:t xml:space="preserve">Bombyx </w:t>
      </w:r>
      <w:proofErr w:type="spellStart"/>
      <w:proofErr w:type="gramStart"/>
      <w:r w:rsidRPr="004E29C4">
        <w:rPr>
          <w:rFonts w:ascii="Arial" w:hAnsi="Arial" w:cs="Arial"/>
          <w:i/>
          <w:color w:val="222222"/>
          <w:sz w:val="20"/>
          <w:szCs w:val="20"/>
          <w:shd w:val="clear" w:color="auto" w:fill="FFFFFF"/>
        </w:rPr>
        <w:t>mori</w:t>
      </w:r>
      <w:r w:rsidRPr="004E29C4">
        <w:rPr>
          <w:rFonts w:ascii="Arial" w:hAnsi="Arial" w:cs="Arial"/>
          <w:color w:val="222222"/>
          <w:sz w:val="20"/>
          <w:szCs w:val="20"/>
          <w:shd w:val="clear" w:color="auto" w:fill="FFFFFF"/>
        </w:rPr>
        <w:t>L</w:t>
      </w:r>
      <w:proofErr w:type="spellEnd"/>
      <w:r w:rsidRPr="004E29C4">
        <w:rPr>
          <w:rFonts w:ascii="Arial" w:hAnsi="Arial" w:cs="Arial"/>
          <w:color w:val="222222"/>
          <w:sz w:val="20"/>
          <w:szCs w:val="20"/>
          <w:shd w:val="clear" w:color="auto" w:fill="FFFFFF"/>
        </w:rPr>
        <w:t>.(</w:t>
      </w:r>
      <w:proofErr w:type="spellStart"/>
      <w:proofErr w:type="gramEnd"/>
      <w:r w:rsidRPr="004E29C4">
        <w:rPr>
          <w:rFonts w:ascii="Arial" w:hAnsi="Arial" w:cs="Arial"/>
          <w:color w:val="222222"/>
          <w:sz w:val="20"/>
          <w:szCs w:val="20"/>
          <w:shd w:val="clear" w:color="auto" w:fill="FFFFFF"/>
        </w:rPr>
        <w:t>Bombycidae</w:t>
      </w:r>
      <w:proofErr w:type="spellEnd"/>
      <w:r w:rsidRPr="004E29C4">
        <w:rPr>
          <w:rFonts w:ascii="Arial" w:hAnsi="Arial" w:cs="Arial"/>
          <w:color w:val="222222"/>
          <w:sz w:val="20"/>
          <w:szCs w:val="20"/>
          <w:shd w:val="clear" w:color="auto" w:fill="FFFFFF"/>
        </w:rPr>
        <w:t>: Lepidoptera). </w:t>
      </w:r>
      <w:r w:rsidRPr="004E29C4">
        <w:rPr>
          <w:rFonts w:ascii="Arial" w:hAnsi="Arial" w:cs="Arial"/>
          <w:iCs/>
          <w:color w:val="222222"/>
          <w:sz w:val="20"/>
          <w:szCs w:val="20"/>
          <w:shd w:val="clear" w:color="auto" w:fill="FFFFFF"/>
        </w:rPr>
        <w:t>Jordan Journal of Biological Sciences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(1), 45-50.</w:t>
      </w:r>
    </w:p>
    <w:p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Paul, D., &amp; Dey, S. (2014). Essential amino acids, lipid profile and fat-soluble vitamins of the edible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(Lepidoptera: </w:t>
      </w:r>
      <w:proofErr w:type="spellStart"/>
      <w:r w:rsidRPr="004E29C4">
        <w:rPr>
          <w:rFonts w:ascii="Arial" w:hAnsi="Arial" w:cs="Arial"/>
          <w:color w:val="222222"/>
          <w:sz w:val="20"/>
          <w:szCs w:val="20"/>
          <w:shd w:val="clear" w:color="auto" w:fill="FFFFFF"/>
        </w:rPr>
        <w:t>Bombycidae</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International Journal of Tropical Insect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34</w:t>
      </w:r>
      <w:r w:rsidRPr="004E29C4">
        <w:rPr>
          <w:rFonts w:ascii="Arial" w:hAnsi="Arial" w:cs="Arial"/>
          <w:color w:val="222222"/>
          <w:sz w:val="20"/>
          <w:szCs w:val="20"/>
          <w:shd w:val="clear" w:color="auto" w:fill="FFFFFF"/>
        </w:rPr>
        <w:t xml:space="preserve">(4), 239-247. </w:t>
      </w:r>
      <w:hyperlink r:id="rId48" w:history="1">
        <w:r w:rsidRPr="004E29C4">
          <w:rPr>
            <w:rStyle w:val="Hyperlink"/>
            <w:rFonts w:ascii="Arial" w:hAnsi="Arial" w:cs="Arial"/>
            <w:sz w:val="20"/>
            <w:szCs w:val="20"/>
            <w:shd w:val="clear" w:color="auto" w:fill="FFFFFF"/>
          </w:rPr>
          <w:t>https://doi.org/10.1017/S1742758414000526</w:t>
        </w:r>
      </w:hyperlink>
    </w:p>
    <w:p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Wu, X., He, K., </w:t>
      </w:r>
      <w:proofErr w:type="spellStart"/>
      <w:r w:rsidRPr="004E29C4">
        <w:rPr>
          <w:rFonts w:ascii="Arial" w:hAnsi="Arial" w:cs="Arial"/>
          <w:color w:val="222222"/>
          <w:sz w:val="20"/>
          <w:szCs w:val="20"/>
          <w:shd w:val="clear" w:color="auto" w:fill="FFFFFF"/>
        </w:rPr>
        <w:t>Velickovic</w:t>
      </w:r>
      <w:proofErr w:type="spellEnd"/>
      <w:r w:rsidRPr="004E29C4">
        <w:rPr>
          <w:rFonts w:ascii="Arial" w:hAnsi="Arial" w:cs="Arial"/>
          <w:color w:val="222222"/>
          <w:sz w:val="20"/>
          <w:szCs w:val="20"/>
          <w:shd w:val="clear" w:color="auto" w:fill="FFFFFF"/>
        </w:rPr>
        <w:t>, T. C., &amp; Liu, Z. (2021). Nutritional, functional, and allergenic properties of silkworm pupae. </w:t>
      </w:r>
      <w:r w:rsidRPr="004E29C4">
        <w:rPr>
          <w:rFonts w:ascii="Arial" w:hAnsi="Arial" w:cs="Arial"/>
          <w:iCs/>
          <w:color w:val="222222"/>
          <w:sz w:val="20"/>
          <w:szCs w:val="20"/>
          <w:shd w:val="clear" w:color="auto" w:fill="FFFFFF"/>
        </w:rPr>
        <w:t>Food Science &amp;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9</w:t>
      </w:r>
      <w:r w:rsidRPr="004E29C4">
        <w:rPr>
          <w:rFonts w:ascii="Arial" w:hAnsi="Arial" w:cs="Arial"/>
          <w:color w:val="222222"/>
          <w:sz w:val="20"/>
          <w:szCs w:val="20"/>
          <w:shd w:val="clear" w:color="auto" w:fill="FFFFFF"/>
        </w:rPr>
        <w:t xml:space="preserve">(8), 4655-4665. </w:t>
      </w:r>
      <w:hyperlink r:id="rId49" w:history="1">
        <w:r w:rsidRPr="004E29C4">
          <w:rPr>
            <w:rStyle w:val="Hyperlink"/>
            <w:rFonts w:ascii="Arial" w:hAnsi="Arial" w:cs="Arial"/>
            <w:sz w:val="20"/>
            <w:szCs w:val="20"/>
            <w:shd w:val="clear" w:color="auto" w:fill="FFFFFF"/>
          </w:rPr>
          <w:t>https://doi.org/10.1002/fsn3.2428</w:t>
        </w:r>
      </w:hyperlink>
    </w:p>
    <w:p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Zhou, J., &amp; Han, D. (2006). Proximate, amino acid and mineral composition of pupae of the silkworm </w:t>
      </w:r>
      <w:proofErr w:type="spellStart"/>
      <w:r w:rsidRPr="004E29C4">
        <w:rPr>
          <w:rFonts w:ascii="Arial" w:hAnsi="Arial" w:cs="Arial"/>
          <w:i/>
          <w:color w:val="222222"/>
          <w:sz w:val="20"/>
          <w:szCs w:val="20"/>
          <w:shd w:val="clear" w:color="auto" w:fill="FFFFFF"/>
        </w:rPr>
        <w:t>Antheraeapernyi</w:t>
      </w:r>
      <w:proofErr w:type="spellEnd"/>
      <w:r w:rsidRPr="004E29C4">
        <w:rPr>
          <w:rFonts w:ascii="Arial" w:hAnsi="Arial" w:cs="Arial"/>
          <w:color w:val="222222"/>
          <w:sz w:val="20"/>
          <w:szCs w:val="20"/>
          <w:shd w:val="clear" w:color="auto" w:fill="FFFFFF"/>
        </w:rPr>
        <w:t xml:space="preserve"> in China. </w:t>
      </w:r>
      <w:r w:rsidRPr="004E29C4">
        <w:rPr>
          <w:rFonts w:ascii="Arial" w:hAnsi="Arial" w:cs="Arial"/>
          <w:iCs/>
          <w:color w:val="222222"/>
          <w:sz w:val="20"/>
          <w:szCs w:val="20"/>
          <w:shd w:val="clear" w:color="auto" w:fill="FFFFFF"/>
        </w:rPr>
        <w:t>Journal of Food Composition and Analysis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19</w:t>
      </w:r>
      <w:r w:rsidRPr="004E29C4">
        <w:rPr>
          <w:rFonts w:ascii="Arial" w:hAnsi="Arial" w:cs="Arial"/>
          <w:color w:val="222222"/>
          <w:sz w:val="20"/>
          <w:szCs w:val="20"/>
          <w:shd w:val="clear" w:color="auto" w:fill="FFFFFF"/>
        </w:rPr>
        <w:t>(8), 850-853.</w:t>
      </w:r>
      <w:hyperlink r:id="rId50" w:history="1">
        <w:r w:rsidRPr="004E29C4">
          <w:rPr>
            <w:rStyle w:val="Hyperlink"/>
            <w:rFonts w:ascii="Arial" w:hAnsi="Arial" w:cs="Arial"/>
            <w:sz w:val="20"/>
            <w:szCs w:val="20"/>
            <w:shd w:val="clear" w:color="auto" w:fill="FFFFFF"/>
          </w:rPr>
          <w:t>https://doi.org/10.1016/j.jfca.2006.04.008</w:t>
        </w:r>
      </w:hyperlink>
    </w:p>
    <w:p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Tungmunnithum</w:t>
      </w:r>
      <w:proofErr w:type="spellEnd"/>
      <w:r w:rsidRPr="004E29C4">
        <w:rPr>
          <w:rFonts w:ascii="Arial" w:hAnsi="Arial" w:cs="Arial"/>
          <w:color w:val="222222"/>
          <w:sz w:val="20"/>
          <w:szCs w:val="20"/>
          <w:shd w:val="clear" w:color="auto" w:fill="FFFFFF"/>
        </w:rPr>
        <w:t xml:space="preserve">, D., </w:t>
      </w:r>
      <w:proofErr w:type="spellStart"/>
      <w:r w:rsidRPr="004E29C4">
        <w:rPr>
          <w:rFonts w:ascii="Arial" w:hAnsi="Arial" w:cs="Arial"/>
          <w:color w:val="222222"/>
          <w:sz w:val="20"/>
          <w:szCs w:val="20"/>
          <w:shd w:val="clear" w:color="auto" w:fill="FFFFFF"/>
        </w:rPr>
        <w:t>Thongboonyou</w:t>
      </w:r>
      <w:proofErr w:type="spellEnd"/>
      <w:r w:rsidRPr="004E29C4">
        <w:rPr>
          <w:rFonts w:ascii="Arial" w:hAnsi="Arial" w:cs="Arial"/>
          <w:color w:val="222222"/>
          <w:sz w:val="20"/>
          <w:szCs w:val="20"/>
          <w:shd w:val="clear" w:color="auto" w:fill="FFFFFF"/>
        </w:rPr>
        <w:t xml:space="preserve">, A., </w:t>
      </w:r>
      <w:proofErr w:type="spellStart"/>
      <w:r w:rsidRPr="004E29C4">
        <w:rPr>
          <w:rFonts w:ascii="Arial" w:hAnsi="Arial" w:cs="Arial"/>
          <w:color w:val="222222"/>
          <w:sz w:val="20"/>
          <w:szCs w:val="20"/>
          <w:shd w:val="clear" w:color="auto" w:fill="FFFFFF"/>
        </w:rPr>
        <w:t>Pholboon</w:t>
      </w:r>
      <w:proofErr w:type="spellEnd"/>
      <w:r w:rsidRPr="004E29C4">
        <w:rPr>
          <w:rFonts w:ascii="Arial" w:hAnsi="Arial" w:cs="Arial"/>
          <w:color w:val="222222"/>
          <w:sz w:val="20"/>
          <w:szCs w:val="20"/>
          <w:shd w:val="clear" w:color="auto" w:fill="FFFFFF"/>
        </w:rPr>
        <w:t>, A., &amp;</w:t>
      </w:r>
      <w:proofErr w:type="spellStart"/>
      <w:r w:rsidRPr="004E29C4">
        <w:rPr>
          <w:rFonts w:ascii="Arial" w:hAnsi="Arial" w:cs="Arial"/>
          <w:color w:val="222222"/>
          <w:sz w:val="20"/>
          <w:szCs w:val="20"/>
          <w:shd w:val="clear" w:color="auto" w:fill="FFFFFF"/>
        </w:rPr>
        <w:t>Yangsabai</w:t>
      </w:r>
      <w:proofErr w:type="spellEnd"/>
      <w:r w:rsidRPr="004E29C4">
        <w:rPr>
          <w:rFonts w:ascii="Arial" w:hAnsi="Arial" w:cs="Arial"/>
          <w:color w:val="222222"/>
          <w:sz w:val="20"/>
          <w:szCs w:val="20"/>
          <w:shd w:val="clear" w:color="auto" w:fill="FFFFFF"/>
        </w:rPr>
        <w:t>, A. (2018). Flavonoids and other phenolic compounds from medicinal plants for pharmaceutical and medical aspects: An overview. </w:t>
      </w:r>
      <w:r w:rsidRPr="004E29C4">
        <w:rPr>
          <w:rFonts w:ascii="Arial" w:hAnsi="Arial" w:cs="Arial"/>
          <w:iCs/>
          <w:color w:val="222222"/>
          <w:sz w:val="20"/>
          <w:szCs w:val="20"/>
          <w:shd w:val="clear" w:color="auto" w:fill="FFFFFF"/>
        </w:rPr>
        <w:t>Medicines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w:t>
      </w:r>
      <w:r w:rsidRPr="004E29C4">
        <w:rPr>
          <w:rFonts w:ascii="Arial" w:hAnsi="Arial" w:cs="Arial"/>
          <w:color w:val="222222"/>
          <w:sz w:val="20"/>
          <w:szCs w:val="20"/>
          <w:shd w:val="clear" w:color="auto" w:fill="FFFFFF"/>
        </w:rPr>
        <w:t xml:space="preserve">(3), 93. </w:t>
      </w:r>
      <w:hyperlink r:id="rId51" w:history="1">
        <w:r w:rsidRPr="004E29C4">
          <w:rPr>
            <w:rStyle w:val="Hyperlink"/>
            <w:rFonts w:ascii="Arial" w:hAnsi="Arial" w:cs="Arial"/>
            <w:sz w:val="20"/>
            <w:szCs w:val="20"/>
            <w:shd w:val="clear" w:color="auto" w:fill="FFFFFF"/>
          </w:rPr>
          <w:t>https://doi.org/10.3390/medicines5030093</w:t>
        </w:r>
      </w:hyperlink>
    </w:p>
    <w:p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Pari, L., &amp; Satheesh, M. A. (2004). Antidiabetic activity of </w:t>
      </w:r>
      <w:proofErr w:type="spellStart"/>
      <w:r w:rsidRPr="004E29C4">
        <w:rPr>
          <w:rFonts w:ascii="Arial" w:hAnsi="Arial" w:cs="Arial"/>
          <w:i/>
          <w:color w:val="222222"/>
          <w:sz w:val="20"/>
          <w:szCs w:val="20"/>
          <w:shd w:val="clear" w:color="auto" w:fill="FFFFFF"/>
        </w:rPr>
        <w:t>Boerhaaviadiffusa</w:t>
      </w:r>
      <w:proofErr w:type="spellEnd"/>
      <w:r w:rsidRPr="004E29C4">
        <w:rPr>
          <w:rFonts w:ascii="Arial" w:hAnsi="Arial" w:cs="Arial"/>
          <w:color w:val="222222"/>
          <w:sz w:val="20"/>
          <w:szCs w:val="20"/>
          <w:shd w:val="clear" w:color="auto" w:fill="FFFFFF"/>
        </w:rPr>
        <w:t xml:space="preserve"> L.: effect on hepatic key enzymes in experimental diabetes. </w:t>
      </w:r>
      <w:r w:rsidRPr="004E29C4">
        <w:rPr>
          <w:rFonts w:ascii="Arial" w:hAnsi="Arial" w:cs="Arial"/>
          <w:iCs/>
          <w:color w:val="222222"/>
          <w:sz w:val="20"/>
          <w:szCs w:val="20"/>
          <w:shd w:val="clear" w:color="auto" w:fill="FFFFFF"/>
        </w:rPr>
        <w:t>Journal of ethnopharmacology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91</w:t>
      </w:r>
      <w:r w:rsidRPr="004E29C4">
        <w:rPr>
          <w:rFonts w:ascii="Arial" w:hAnsi="Arial" w:cs="Arial"/>
          <w:color w:val="222222"/>
          <w:sz w:val="20"/>
          <w:szCs w:val="20"/>
          <w:shd w:val="clear" w:color="auto" w:fill="FFFFFF"/>
        </w:rPr>
        <w:t xml:space="preserve">(1), 109-113. </w:t>
      </w:r>
      <w:hyperlink r:id="rId52" w:history="1">
        <w:r w:rsidRPr="004E29C4">
          <w:rPr>
            <w:rStyle w:val="Hyperlink"/>
            <w:rFonts w:ascii="Arial" w:hAnsi="Arial" w:cs="Arial"/>
            <w:sz w:val="20"/>
            <w:szCs w:val="20"/>
            <w:shd w:val="clear" w:color="auto" w:fill="FFFFFF"/>
          </w:rPr>
          <w:t>https://doi.org/10.1016/j.jep.2003.12.013</w:t>
        </w:r>
      </w:hyperlink>
    </w:p>
    <w:p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Hăbeanu</w:t>
      </w:r>
      <w:proofErr w:type="spellEnd"/>
      <w:r w:rsidRPr="004E29C4">
        <w:rPr>
          <w:rFonts w:ascii="Arial" w:hAnsi="Arial" w:cs="Arial"/>
          <w:color w:val="222222"/>
          <w:sz w:val="20"/>
          <w:szCs w:val="20"/>
          <w:shd w:val="clear" w:color="auto" w:fill="FFFFFF"/>
        </w:rPr>
        <w:t xml:space="preserve">, M., Gheorghe, A., &amp; </w:t>
      </w:r>
      <w:proofErr w:type="spellStart"/>
      <w:r w:rsidRPr="004E29C4">
        <w:rPr>
          <w:rFonts w:ascii="Arial" w:hAnsi="Arial" w:cs="Arial"/>
          <w:color w:val="222222"/>
          <w:sz w:val="20"/>
          <w:szCs w:val="20"/>
          <w:shd w:val="clear" w:color="auto" w:fill="FFFFFF"/>
        </w:rPr>
        <w:t>Mihalcea</w:t>
      </w:r>
      <w:proofErr w:type="spellEnd"/>
      <w:r w:rsidRPr="004E29C4">
        <w:rPr>
          <w:rFonts w:ascii="Arial" w:hAnsi="Arial" w:cs="Arial"/>
          <w:color w:val="222222"/>
          <w:sz w:val="20"/>
          <w:szCs w:val="20"/>
          <w:shd w:val="clear" w:color="auto" w:fill="FFFFFF"/>
        </w:rPr>
        <w:t>, T. (2023). Nutritional value of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with emphases on fatty acids profile and their potential applications for humans and animals. </w:t>
      </w:r>
      <w:r w:rsidRPr="004E29C4">
        <w:rPr>
          <w:rFonts w:ascii="Arial" w:hAnsi="Arial" w:cs="Arial"/>
          <w:iCs/>
          <w:color w:val="222222"/>
          <w:sz w:val="20"/>
          <w:szCs w:val="20"/>
          <w:shd w:val="clear" w:color="auto" w:fill="FFFFFF"/>
        </w:rPr>
        <w:t>Insects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14</w:t>
      </w:r>
      <w:r w:rsidRPr="004E29C4">
        <w:rPr>
          <w:rFonts w:ascii="Arial" w:hAnsi="Arial" w:cs="Arial"/>
          <w:color w:val="222222"/>
          <w:sz w:val="20"/>
          <w:szCs w:val="20"/>
          <w:shd w:val="clear" w:color="auto" w:fill="FFFFFF"/>
        </w:rPr>
        <w:t xml:space="preserve">(3), 254. </w:t>
      </w:r>
      <w:hyperlink r:id="rId53" w:history="1">
        <w:r w:rsidRPr="004E29C4">
          <w:rPr>
            <w:rStyle w:val="Hyperlink"/>
            <w:rFonts w:ascii="Arial" w:hAnsi="Arial" w:cs="Arial"/>
            <w:sz w:val="20"/>
            <w:szCs w:val="20"/>
            <w:shd w:val="clear" w:color="auto" w:fill="FFFFFF"/>
          </w:rPr>
          <w:t>https://doi.org/10.3390/insects14030254</w:t>
        </w:r>
      </w:hyperlink>
    </w:p>
    <w:p w:rsidR="00413E6C"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Zhao, L., Wu, B., Liang, S., Min, D., &amp; Jiang, H. (2022). Insight of silkworm pupa oil regulating oxidative stress and lipid metabolism in </w:t>
      </w:r>
      <w:r w:rsidRPr="004E29C4">
        <w:rPr>
          <w:rFonts w:ascii="Arial" w:hAnsi="Arial" w:cs="Arial"/>
          <w:i/>
          <w:color w:val="222222"/>
          <w:sz w:val="20"/>
          <w:szCs w:val="20"/>
          <w:shd w:val="clear" w:color="auto" w:fill="FFFFFF"/>
        </w:rPr>
        <w:t>Caenorhabditis elegans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Foods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 xml:space="preserve">(24), 4084. </w:t>
      </w:r>
      <w:hyperlink r:id="rId54" w:history="1">
        <w:r w:rsidRPr="004E29C4">
          <w:rPr>
            <w:rStyle w:val="Hyperlink"/>
            <w:rFonts w:ascii="Arial" w:hAnsi="Arial" w:cs="Arial"/>
            <w:sz w:val="20"/>
            <w:szCs w:val="20"/>
            <w:shd w:val="clear" w:color="auto" w:fill="FFFFFF"/>
          </w:rPr>
          <w:t>https://doi.org/10.3390/foods11244084</w:t>
        </w:r>
      </w:hyperlink>
    </w:p>
    <w:p w:rsidR="00E2697F" w:rsidRPr="004E29C4" w:rsidRDefault="00E2697F"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Ichu</w:t>
      </w:r>
      <w:proofErr w:type="spellEnd"/>
      <w:r w:rsidRPr="004E29C4">
        <w:rPr>
          <w:rFonts w:ascii="Arial" w:hAnsi="Arial" w:cs="Arial"/>
          <w:color w:val="222222"/>
          <w:sz w:val="20"/>
          <w:szCs w:val="20"/>
          <w:shd w:val="clear" w:color="auto" w:fill="FFFFFF"/>
        </w:rPr>
        <w:t xml:space="preserve">, C. B., &amp; </w:t>
      </w:r>
      <w:proofErr w:type="spellStart"/>
      <w:r w:rsidRPr="004E29C4">
        <w:rPr>
          <w:rFonts w:ascii="Arial" w:hAnsi="Arial" w:cs="Arial"/>
          <w:color w:val="222222"/>
          <w:sz w:val="20"/>
          <w:szCs w:val="20"/>
          <w:shd w:val="clear" w:color="auto" w:fill="FFFFFF"/>
        </w:rPr>
        <w:t>Nwakanma</w:t>
      </w:r>
      <w:proofErr w:type="spellEnd"/>
      <w:r w:rsidRPr="004E29C4">
        <w:rPr>
          <w:rFonts w:ascii="Arial" w:hAnsi="Arial" w:cs="Arial"/>
          <w:color w:val="222222"/>
          <w:sz w:val="20"/>
          <w:szCs w:val="20"/>
          <w:shd w:val="clear" w:color="auto" w:fill="FFFFFF"/>
        </w:rPr>
        <w:t>, H. O. (2019). Comparative Study of the physicochemical characterization and quality of edible vegetable oils. </w:t>
      </w:r>
      <w:r w:rsidRPr="004E29C4">
        <w:rPr>
          <w:rFonts w:ascii="Arial" w:hAnsi="Arial" w:cs="Arial"/>
          <w:iCs/>
          <w:color w:val="222222"/>
          <w:sz w:val="20"/>
          <w:szCs w:val="20"/>
          <w:shd w:val="clear" w:color="auto" w:fill="FFFFFF"/>
        </w:rPr>
        <w:t>International Journal of Research in Informative Science Application &amp; Techniques (IJRISAT)</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(2), 1-9. </w:t>
      </w:r>
      <w:hyperlink r:id="rId55" w:history="1">
        <w:r w:rsidRPr="004E29C4">
          <w:rPr>
            <w:rStyle w:val="Hyperlink"/>
            <w:rFonts w:ascii="Arial" w:hAnsi="Arial" w:cs="Arial"/>
            <w:sz w:val="20"/>
            <w:szCs w:val="20"/>
            <w:shd w:val="clear" w:color="auto" w:fill="FFFFFF"/>
          </w:rPr>
          <w:t>https://doi.org/10.46828/ijrisat.v3i2.56</w:t>
        </w:r>
      </w:hyperlink>
    </w:p>
    <w:p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Yahaya, A. T., Taiwo, O., Shittu, T. R., Yahaya, L. E., &amp;</w:t>
      </w:r>
      <w:proofErr w:type="spellStart"/>
      <w:r w:rsidRPr="004E29C4">
        <w:rPr>
          <w:rFonts w:ascii="Arial" w:hAnsi="Arial" w:cs="Arial"/>
          <w:color w:val="222222"/>
          <w:sz w:val="20"/>
          <w:szCs w:val="20"/>
          <w:shd w:val="clear" w:color="auto" w:fill="FFFFFF"/>
        </w:rPr>
        <w:t>Jayeola</w:t>
      </w:r>
      <w:proofErr w:type="spellEnd"/>
      <w:r w:rsidRPr="004E29C4">
        <w:rPr>
          <w:rFonts w:ascii="Arial" w:hAnsi="Arial" w:cs="Arial"/>
          <w:color w:val="222222"/>
          <w:sz w:val="20"/>
          <w:szCs w:val="20"/>
          <w:shd w:val="clear" w:color="auto" w:fill="FFFFFF"/>
        </w:rPr>
        <w:t>, C. O. (2012). Investment in cashew kernel oil production; cost and return analysis of three processing methods. </w:t>
      </w:r>
      <w:r w:rsidRPr="004E29C4">
        <w:rPr>
          <w:rFonts w:ascii="Arial" w:hAnsi="Arial" w:cs="Arial"/>
          <w:iCs/>
          <w:color w:val="222222"/>
          <w:sz w:val="20"/>
          <w:szCs w:val="20"/>
          <w:shd w:val="clear" w:color="auto" w:fill="FFFFFF"/>
        </w:rPr>
        <w:t>American Journal of Economics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w:t>
      </w:r>
      <w:r w:rsidRPr="004E29C4">
        <w:rPr>
          <w:rFonts w:ascii="Arial" w:hAnsi="Arial" w:cs="Arial"/>
          <w:color w:val="222222"/>
          <w:sz w:val="20"/>
          <w:szCs w:val="20"/>
          <w:shd w:val="clear" w:color="auto" w:fill="FFFFFF"/>
        </w:rPr>
        <w:t xml:space="preserve">(3), 45-49. </w:t>
      </w:r>
      <w:hyperlink r:id="rId56" w:history="1">
        <w:r w:rsidRPr="004E29C4">
          <w:rPr>
            <w:rStyle w:val="Hyperlink"/>
            <w:rFonts w:ascii="Arial" w:hAnsi="Arial" w:cs="Arial"/>
            <w:sz w:val="20"/>
            <w:szCs w:val="20"/>
            <w:shd w:val="clear" w:color="auto" w:fill="FFFFFF"/>
          </w:rPr>
          <w:t>http://dx.doi.org/10.5923/j.economics.20120203.04</w:t>
        </w:r>
      </w:hyperlink>
    </w:p>
    <w:p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Ravinder, T., Kaki, S. S., </w:t>
      </w:r>
      <w:proofErr w:type="spellStart"/>
      <w:r w:rsidRPr="004E29C4">
        <w:rPr>
          <w:rFonts w:ascii="Arial" w:hAnsi="Arial" w:cs="Arial"/>
          <w:color w:val="222222"/>
          <w:sz w:val="20"/>
          <w:szCs w:val="20"/>
          <w:shd w:val="clear" w:color="auto" w:fill="FFFFFF"/>
        </w:rPr>
        <w:t>Kunduru</w:t>
      </w:r>
      <w:proofErr w:type="spellEnd"/>
      <w:r w:rsidRPr="004E29C4">
        <w:rPr>
          <w:rFonts w:ascii="Arial" w:hAnsi="Arial" w:cs="Arial"/>
          <w:color w:val="222222"/>
          <w:sz w:val="20"/>
          <w:szCs w:val="20"/>
          <w:shd w:val="clear" w:color="auto" w:fill="FFFFFF"/>
        </w:rPr>
        <w:t xml:space="preserve">, K. R., </w:t>
      </w:r>
      <w:proofErr w:type="spellStart"/>
      <w:r w:rsidRPr="004E29C4">
        <w:rPr>
          <w:rFonts w:ascii="Arial" w:hAnsi="Arial" w:cs="Arial"/>
          <w:color w:val="222222"/>
          <w:sz w:val="20"/>
          <w:szCs w:val="20"/>
          <w:shd w:val="clear" w:color="auto" w:fill="FFFFFF"/>
        </w:rPr>
        <w:t>Kanjilal</w:t>
      </w:r>
      <w:proofErr w:type="spellEnd"/>
      <w:r w:rsidRPr="004E29C4">
        <w:rPr>
          <w:rFonts w:ascii="Arial" w:hAnsi="Arial" w:cs="Arial"/>
          <w:color w:val="222222"/>
          <w:sz w:val="20"/>
          <w:szCs w:val="20"/>
          <w:shd w:val="clear" w:color="auto" w:fill="FFFFFF"/>
        </w:rPr>
        <w:t xml:space="preserve">, S., Rao, B. V. S. K., Swain, S., &amp; Prasad, R. B. N. (2016). </w:t>
      </w:r>
      <w:proofErr w:type="spellStart"/>
      <w:r w:rsidRPr="004E29C4">
        <w:rPr>
          <w:rFonts w:ascii="Arial" w:hAnsi="Arial" w:cs="Arial"/>
          <w:color w:val="222222"/>
          <w:sz w:val="20"/>
          <w:szCs w:val="20"/>
          <w:shd w:val="clear" w:color="auto" w:fill="FFFFFF"/>
        </w:rPr>
        <w:t>Physico</w:t>
      </w:r>
      <w:proofErr w:type="spellEnd"/>
      <w:r w:rsidRPr="004E29C4">
        <w:rPr>
          <w:rFonts w:ascii="Arial" w:hAnsi="Arial" w:cs="Arial"/>
          <w:color w:val="222222"/>
          <w:sz w:val="20"/>
          <w:szCs w:val="20"/>
          <w:shd w:val="clear" w:color="auto" w:fill="FFFFFF"/>
        </w:rPr>
        <w:t xml:space="preserve">-chemical characterization and oxidative stability studies of </w:t>
      </w:r>
      <w:proofErr w:type="spellStart"/>
      <w:r w:rsidRPr="004E29C4">
        <w:rPr>
          <w:rFonts w:ascii="Arial" w:hAnsi="Arial" w:cs="Arial"/>
          <w:color w:val="222222"/>
          <w:sz w:val="20"/>
          <w:szCs w:val="20"/>
          <w:shd w:val="clear" w:color="auto" w:fill="FFFFFF"/>
        </w:rPr>
        <w:t>eri</w:t>
      </w:r>
      <w:proofErr w:type="spellEnd"/>
      <w:r w:rsidRPr="004E29C4">
        <w:rPr>
          <w:rFonts w:ascii="Arial" w:hAnsi="Arial" w:cs="Arial"/>
          <w:color w:val="222222"/>
          <w:sz w:val="20"/>
          <w:szCs w:val="20"/>
          <w:shd w:val="clear" w:color="auto" w:fill="FFFFFF"/>
        </w:rPr>
        <w:t xml:space="preserve"> silkworm oils. </w:t>
      </w:r>
      <w:r w:rsidRPr="004E29C4">
        <w:rPr>
          <w:rFonts w:ascii="Arial" w:hAnsi="Arial" w:cs="Arial"/>
          <w:sz w:val="20"/>
          <w:szCs w:val="20"/>
        </w:rPr>
        <w:t>International Journal of Modern Chemistry and Applied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 (1)</w:t>
      </w:r>
      <w:r w:rsidRPr="004E29C4">
        <w:rPr>
          <w:rFonts w:ascii="Arial" w:hAnsi="Arial" w:cs="Arial"/>
          <w:color w:val="222222"/>
          <w:sz w:val="20"/>
          <w:szCs w:val="20"/>
          <w:shd w:val="clear" w:color="auto" w:fill="FFFFFF"/>
        </w:rPr>
        <w:t>, 293-300.</w:t>
      </w:r>
    </w:p>
    <w:p w:rsidR="00E2697F" w:rsidRPr="004E29C4" w:rsidRDefault="00E2697F"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Yeasmin</w:t>
      </w:r>
      <w:proofErr w:type="spellEnd"/>
      <w:r w:rsidRPr="004E29C4">
        <w:rPr>
          <w:rFonts w:ascii="Arial" w:hAnsi="Arial" w:cs="Arial"/>
          <w:color w:val="222222"/>
          <w:sz w:val="20"/>
          <w:szCs w:val="20"/>
          <w:shd w:val="clear" w:color="auto" w:fill="FFFFFF"/>
        </w:rPr>
        <w:t xml:space="preserve">, M. S., </w:t>
      </w:r>
      <w:proofErr w:type="spellStart"/>
      <w:r w:rsidRPr="004E29C4">
        <w:rPr>
          <w:rFonts w:ascii="Arial" w:hAnsi="Arial" w:cs="Arial"/>
          <w:color w:val="222222"/>
          <w:sz w:val="20"/>
          <w:szCs w:val="20"/>
          <w:shd w:val="clear" w:color="auto" w:fill="FFFFFF"/>
        </w:rPr>
        <w:t>Ferdousi</w:t>
      </w:r>
      <w:proofErr w:type="spellEnd"/>
      <w:r w:rsidRPr="004E29C4">
        <w:rPr>
          <w:rFonts w:ascii="Arial" w:hAnsi="Arial" w:cs="Arial"/>
          <w:color w:val="222222"/>
          <w:sz w:val="20"/>
          <w:szCs w:val="20"/>
          <w:shd w:val="clear" w:color="auto" w:fill="FFFFFF"/>
        </w:rPr>
        <w:t>, L., Dey, S. S., Uddin, M. J., Chowdhury, T. A., Rana, M. et al. (2024). Sustainable production of liquid phenyl using oil extracted from discarded pupae of mulberry silk worms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Journal of the Indian Chemical Society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101</w:t>
      </w:r>
      <w:r w:rsidRPr="004E29C4">
        <w:rPr>
          <w:rFonts w:ascii="Arial" w:hAnsi="Arial" w:cs="Arial"/>
          <w:color w:val="222222"/>
          <w:sz w:val="20"/>
          <w:szCs w:val="20"/>
          <w:shd w:val="clear" w:color="auto" w:fill="FFFFFF"/>
        </w:rPr>
        <w:t xml:space="preserve">(9), 101248. </w:t>
      </w:r>
      <w:hyperlink r:id="rId57" w:history="1">
        <w:r w:rsidRPr="004E29C4">
          <w:rPr>
            <w:rStyle w:val="Hyperlink"/>
            <w:rFonts w:ascii="Arial" w:hAnsi="Arial" w:cs="Arial"/>
            <w:sz w:val="20"/>
            <w:szCs w:val="20"/>
            <w:shd w:val="clear" w:color="auto" w:fill="FFFFFF"/>
          </w:rPr>
          <w:t>https://doi.org/10.1016/j.jics.2024.101248</w:t>
        </w:r>
      </w:hyperlink>
    </w:p>
    <w:p w:rsidR="00E2697F" w:rsidRPr="004E29C4" w:rsidRDefault="00E2697F"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Arasakumar</w:t>
      </w:r>
      <w:proofErr w:type="spellEnd"/>
      <w:r w:rsidRPr="004E29C4">
        <w:rPr>
          <w:rFonts w:ascii="Arial" w:hAnsi="Arial" w:cs="Arial"/>
          <w:color w:val="222222"/>
          <w:sz w:val="20"/>
          <w:szCs w:val="20"/>
          <w:shd w:val="clear" w:color="auto" w:fill="FFFFFF"/>
        </w:rPr>
        <w:t xml:space="preserve">, E., </w:t>
      </w:r>
      <w:proofErr w:type="spellStart"/>
      <w:r w:rsidRPr="004E29C4">
        <w:rPr>
          <w:rFonts w:ascii="Arial" w:hAnsi="Arial" w:cs="Arial"/>
          <w:color w:val="222222"/>
          <w:sz w:val="20"/>
          <w:szCs w:val="20"/>
          <w:shd w:val="clear" w:color="auto" w:fill="FFFFFF"/>
        </w:rPr>
        <w:t>Manimegalai</w:t>
      </w:r>
      <w:proofErr w:type="spellEnd"/>
      <w:r w:rsidRPr="004E29C4">
        <w:rPr>
          <w:rFonts w:ascii="Arial" w:hAnsi="Arial" w:cs="Arial"/>
          <w:color w:val="222222"/>
          <w:sz w:val="20"/>
          <w:szCs w:val="20"/>
          <w:shd w:val="clear" w:color="auto" w:fill="FFFFFF"/>
        </w:rPr>
        <w:t xml:space="preserve">, S., &amp; </w:t>
      </w:r>
      <w:proofErr w:type="spellStart"/>
      <w:r w:rsidRPr="004E29C4">
        <w:rPr>
          <w:rFonts w:ascii="Arial" w:hAnsi="Arial" w:cs="Arial"/>
          <w:color w:val="222222"/>
          <w:sz w:val="20"/>
          <w:szCs w:val="20"/>
          <w:shd w:val="clear" w:color="auto" w:fill="FFFFFF"/>
        </w:rPr>
        <w:t>Priyadharshini</w:t>
      </w:r>
      <w:proofErr w:type="spellEnd"/>
      <w:r w:rsidRPr="004E29C4">
        <w:rPr>
          <w:rFonts w:ascii="Arial" w:hAnsi="Arial" w:cs="Arial"/>
          <w:color w:val="222222"/>
          <w:sz w:val="20"/>
          <w:szCs w:val="20"/>
          <w:shd w:val="clear" w:color="auto" w:fill="FFFFFF"/>
        </w:rPr>
        <w:t>, P. (2021). Extraction of Oil from Mulberry and Eri Silkworm Pupae and Analyzing the Physio-Chemical Properties for Commercial Utilization. </w:t>
      </w:r>
      <w:r w:rsidRPr="004E29C4">
        <w:rPr>
          <w:rFonts w:ascii="Arial" w:hAnsi="Arial" w:cs="Arial"/>
          <w:iCs/>
          <w:color w:val="222222"/>
          <w:sz w:val="20"/>
          <w:szCs w:val="20"/>
          <w:shd w:val="clear" w:color="auto" w:fill="FFFFFF"/>
        </w:rPr>
        <w:t>Madras Agricultural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108 (7-9), 389- 392</w:t>
      </w:r>
      <w:r w:rsidRPr="004E29C4">
        <w:rPr>
          <w:rFonts w:ascii="Arial" w:hAnsi="Arial" w:cs="Arial"/>
          <w:color w:val="222222"/>
          <w:sz w:val="20"/>
          <w:szCs w:val="20"/>
          <w:shd w:val="clear" w:color="auto" w:fill="FFFFFF"/>
        </w:rPr>
        <w:t xml:space="preserve">. </w:t>
      </w:r>
      <w:hyperlink r:id="rId58" w:history="1">
        <w:r w:rsidRPr="004E29C4">
          <w:rPr>
            <w:rStyle w:val="Hyperlink"/>
            <w:rFonts w:ascii="Arial" w:hAnsi="Arial" w:cs="Arial"/>
            <w:sz w:val="20"/>
            <w:szCs w:val="20"/>
            <w:shd w:val="clear" w:color="auto" w:fill="FFFFFF"/>
          </w:rPr>
          <w:t>http://dx.doi.org/10.29321/MAJ.10.000523</w:t>
        </w:r>
      </w:hyperlink>
    </w:p>
    <w:p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Parthasarathy, U., &amp; </w:t>
      </w:r>
      <w:proofErr w:type="spellStart"/>
      <w:r w:rsidRPr="004E29C4">
        <w:rPr>
          <w:rFonts w:ascii="Arial" w:hAnsi="Arial" w:cs="Arial"/>
          <w:color w:val="222222"/>
          <w:sz w:val="20"/>
          <w:szCs w:val="20"/>
          <w:shd w:val="clear" w:color="auto" w:fill="FFFFFF"/>
        </w:rPr>
        <w:t>Nandakishore</w:t>
      </w:r>
      <w:proofErr w:type="spellEnd"/>
      <w:r w:rsidRPr="004E29C4">
        <w:rPr>
          <w:rFonts w:ascii="Arial" w:hAnsi="Arial" w:cs="Arial"/>
          <w:color w:val="222222"/>
          <w:sz w:val="20"/>
          <w:szCs w:val="20"/>
          <w:shd w:val="clear" w:color="auto" w:fill="FFFFFF"/>
        </w:rPr>
        <w:t xml:space="preserve">, O. P. (2014). Morphological </w:t>
      </w:r>
      <w:proofErr w:type="spellStart"/>
      <w:r w:rsidRPr="004E29C4">
        <w:rPr>
          <w:rFonts w:ascii="Arial" w:hAnsi="Arial" w:cs="Arial"/>
          <w:color w:val="222222"/>
          <w:sz w:val="20"/>
          <w:szCs w:val="20"/>
          <w:shd w:val="clear" w:color="auto" w:fill="FFFFFF"/>
        </w:rPr>
        <w:t>characterisation</w:t>
      </w:r>
      <w:proofErr w:type="spellEnd"/>
      <w:r w:rsidRPr="004E29C4">
        <w:rPr>
          <w:rFonts w:ascii="Arial" w:hAnsi="Arial" w:cs="Arial"/>
          <w:color w:val="222222"/>
          <w:sz w:val="20"/>
          <w:szCs w:val="20"/>
          <w:shd w:val="clear" w:color="auto" w:fill="FFFFFF"/>
        </w:rPr>
        <w:t xml:space="preserve"> of some important Indian </w:t>
      </w:r>
      <w:r w:rsidRPr="004E29C4">
        <w:rPr>
          <w:rFonts w:ascii="Arial" w:hAnsi="Arial" w:cs="Arial"/>
          <w:i/>
          <w:color w:val="222222"/>
          <w:sz w:val="20"/>
          <w:szCs w:val="20"/>
          <w:shd w:val="clear" w:color="auto" w:fill="FFFFFF"/>
        </w:rPr>
        <w:t xml:space="preserve">Garcinia </w:t>
      </w:r>
      <w:r w:rsidRPr="004E29C4">
        <w:rPr>
          <w:rFonts w:ascii="Arial" w:hAnsi="Arial" w:cs="Arial"/>
          <w:color w:val="222222"/>
          <w:sz w:val="20"/>
          <w:szCs w:val="20"/>
          <w:shd w:val="clear" w:color="auto" w:fill="FFFFFF"/>
        </w:rPr>
        <w:t>species. </w:t>
      </w:r>
      <w:r w:rsidRPr="004E29C4">
        <w:rPr>
          <w:rFonts w:ascii="Arial" w:hAnsi="Arial" w:cs="Arial"/>
          <w:iCs/>
          <w:color w:val="222222"/>
          <w:sz w:val="20"/>
          <w:szCs w:val="20"/>
          <w:shd w:val="clear" w:color="auto" w:fill="FFFFFF"/>
        </w:rPr>
        <w:t>Dataset Papers in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2014</w:t>
      </w:r>
      <w:r w:rsidRPr="004E29C4">
        <w:rPr>
          <w:rFonts w:ascii="Arial" w:hAnsi="Arial" w:cs="Arial"/>
          <w:color w:val="222222"/>
          <w:sz w:val="20"/>
          <w:szCs w:val="20"/>
          <w:shd w:val="clear" w:color="auto" w:fill="FFFFFF"/>
        </w:rPr>
        <w:t xml:space="preserve">(1), 823705. </w:t>
      </w:r>
      <w:hyperlink r:id="rId59" w:history="1">
        <w:r w:rsidRPr="004E29C4">
          <w:rPr>
            <w:rStyle w:val="Hyperlink"/>
            <w:rFonts w:ascii="Arial" w:hAnsi="Arial" w:cs="Arial"/>
            <w:sz w:val="20"/>
            <w:szCs w:val="20"/>
            <w:shd w:val="clear" w:color="auto" w:fill="FFFFFF"/>
          </w:rPr>
          <w:t>https://doi.org/10.1155/2014/823705</w:t>
        </w:r>
      </w:hyperlink>
    </w:p>
    <w:p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Sanders, T. H. (2003). Groundnut (peanut) oil. In </w:t>
      </w:r>
      <w:r w:rsidRPr="004E29C4">
        <w:rPr>
          <w:rFonts w:ascii="Arial" w:hAnsi="Arial" w:cs="Arial"/>
          <w:sz w:val="20"/>
          <w:szCs w:val="20"/>
        </w:rPr>
        <w:t xml:space="preserve">GUNSTONE, F. D. (Ed), </w:t>
      </w:r>
      <w:r w:rsidRPr="004E29C4">
        <w:rPr>
          <w:rFonts w:ascii="Arial" w:hAnsi="Arial" w:cs="Arial"/>
          <w:iCs/>
          <w:color w:val="222222"/>
          <w:sz w:val="20"/>
          <w:szCs w:val="20"/>
          <w:shd w:val="clear" w:color="auto" w:fill="FFFFFF"/>
        </w:rPr>
        <w:t>Vegetable Oils in Food Technology. Composition, Properties, and Uses, Blackwell Publishing Ltd, Oxford, UK</w:t>
      </w:r>
      <w:r w:rsidRPr="004E29C4">
        <w:rPr>
          <w:rFonts w:ascii="Arial" w:hAnsi="Arial" w:cs="Arial"/>
          <w:color w:val="222222"/>
          <w:sz w:val="20"/>
          <w:szCs w:val="20"/>
          <w:shd w:val="clear" w:color="auto" w:fill="FFFFFF"/>
        </w:rPr>
        <w:t>, 231-243.</w:t>
      </w:r>
    </w:p>
    <w:p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Suman, K. (2024). A comparative analysis of the characterization, antibacterial and antioxidant properties of oak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Antheraeaproylei</w:t>
      </w:r>
      <w:proofErr w:type="spellEnd"/>
      <w:r w:rsidRPr="004E29C4">
        <w:rPr>
          <w:rFonts w:ascii="Arial" w:hAnsi="Arial" w:cs="Arial"/>
          <w:color w:val="222222"/>
          <w:sz w:val="20"/>
          <w:szCs w:val="20"/>
          <w:shd w:val="clear" w:color="auto" w:fill="FFFFFF"/>
        </w:rPr>
        <w:t>) and mulberry (</w:t>
      </w:r>
      <w:r w:rsidRPr="004E29C4">
        <w:rPr>
          <w:rFonts w:ascii="Arial" w:hAnsi="Arial" w:cs="Arial"/>
          <w:i/>
          <w:color w:val="222222"/>
          <w:sz w:val="20"/>
          <w:szCs w:val="20"/>
          <w:shd w:val="clear" w:color="auto" w:fill="FFFFFF"/>
        </w:rPr>
        <w:t>Bombyx mor</w:t>
      </w:r>
      <w:r w:rsidRPr="004E29C4">
        <w:rPr>
          <w:rFonts w:ascii="Arial" w:hAnsi="Arial" w:cs="Arial"/>
          <w:color w:val="222222"/>
          <w:sz w:val="20"/>
          <w:szCs w:val="20"/>
          <w:shd w:val="clear" w:color="auto" w:fill="FFFFFF"/>
        </w:rPr>
        <w:t>i) pupae oils. </w:t>
      </w:r>
      <w:r w:rsidRPr="004E29C4">
        <w:rPr>
          <w:rFonts w:ascii="Arial" w:hAnsi="Arial" w:cs="Arial"/>
          <w:iCs/>
          <w:color w:val="222222"/>
          <w:sz w:val="20"/>
          <w:szCs w:val="20"/>
          <w:shd w:val="clear" w:color="auto" w:fill="FFFFFF"/>
        </w:rPr>
        <w:t>Pharmacological Research-Natural Products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w:t>
      </w:r>
      <w:r w:rsidRPr="004E29C4">
        <w:rPr>
          <w:rFonts w:ascii="Arial" w:hAnsi="Arial" w:cs="Arial"/>
          <w:color w:val="222222"/>
          <w:sz w:val="20"/>
          <w:szCs w:val="20"/>
          <w:shd w:val="clear" w:color="auto" w:fill="FFFFFF"/>
        </w:rPr>
        <w:t xml:space="preserve">, 100086. </w:t>
      </w:r>
      <w:hyperlink r:id="rId60" w:history="1">
        <w:r w:rsidRPr="004E29C4">
          <w:rPr>
            <w:rStyle w:val="Hyperlink"/>
            <w:rFonts w:ascii="Arial" w:hAnsi="Arial" w:cs="Arial"/>
            <w:sz w:val="20"/>
            <w:szCs w:val="20"/>
            <w:shd w:val="clear" w:color="auto" w:fill="FFFFFF"/>
          </w:rPr>
          <w:t>https://doi.org/10.1016/j.prenap.2024.100086</w:t>
        </w:r>
      </w:hyperlink>
    </w:p>
    <w:p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Style w:val="Strong"/>
          <w:rFonts w:ascii="Arial" w:hAnsi="Arial" w:cs="Arial"/>
          <w:b w:val="0"/>
          <w:sz w:val="20"/>
          <w:szCs w:val="20"/>
        </w:rPr>
        <w:t>Pico, Y.</w:t>
      </w:r>
      <w:r w:rsidRPr="004E29C4">
        <w:rPr>
          <w:rFonts w:ascii="Arial" w:hAnsi="Arial" w:cs="Arial"/>
          <w:sz w:val="20"/>
          <w:szCs w:val="20"/>
        </w:rPr>
        <w:t xml:space="preserve"> (2015). </w:t>
      </w:r>
      <w:r w:rsidRPr="004E29C4">
        <w:rPr>
          <w:rStyle w:val="Emphasis"/>
          <w:rFonts w:ascii="Arial" w:hAnsi="Arial" w:cs="Arial"/>
          <w:i w:val="0"/>
          <w:sz w:val="20"/>
          <w:szCs w:val="20"/>
        </w:rPr>
        <w:t>Chemical analysis of food: Techniques and applications</w:t>
      </w:r>
      <w:r w:rsidRPr="004E29C4">
        <w:rPr>
          <w:rFonts w:ascii="Arial" w:hAnsi="Arial" w:cs="Arial"/>
          <w:sz w:val="20"/>
          <w:szCs w:val="20"/>
        </w:rPr>
        <w:t xml:space="preserve"> (348 pp.). Rio de Jiro, Elsevier.</w:t>
      </w:r>
    </w:p>
    <w:p w:rsidR="00E2697F"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Sivakumar, R., </w:t>
      </w:r>
      <w:proofErr w:type="spellStart"/>
      <w:r w:rsidRPr="004E29C4">
        <w:rPr>
          <w:rFonts w:ascii="Arial" w:hAnsi="Arial" w:cs="Arial"/>
          <w:color w:val="222222"/>
          <w:sz w:val="20"/>
          <w:szCs w:val="20"/>
          <w:shd w:val="clear" w:color="auto" w:fill="FFFFFF"/>
        </w:rPr>
        <w:t>Jebsan</w:t>
      </w:r>
      <w:proofErr w:type="spellEnd"/>
      <w:r w:rsidRPr="004E29C4">
        <w:rPr>
          <w:rFonts w:ascii="Arial" w:hAnsi="Arial" w:cs="Arial"/>
          <w:color w:val="222222"/>
          <w:sz w:val="20"/>
          <w:szCs w:val="20"/>
          <w:shd w:val="clear" w:color="auto" w:fill="FFFFFF"/>
        </w:rPr>
        <w:t xml:space="preserve">, A., Govindarajan, M., &amp; Rajasekar, P. (2011). Larvicidal and repellent activity of </w:t>
      </w:r>
      <w:proofErr w:type="spellStart"/>
      <w:r w:rsidRPr="004E29C4">
        <w:rPr>
          <w:rFonts w:ascii="Arial" w:hAnsi="Arial" w:cs="Arial"/>
          <w:color w:val="222222"/>
          <w:sz w:val="20"/>
          <w:szCs w:val="20"/>
          <w:shd w:val="clear" w:color="auto" w:fill="FFFFFF"/>
        </w:rPr>
        <w:t>tetradecanoic</w:t>
      </w:r>
      <w:proofErr w:type="spellEnd"/>
      <w:r w:rsidRPr="004E29C4">
        <w:rPr>
          <w:rFonts w:ascii="Arial" w:hAnsi="Arial" w:cs="Arial"/>
          <w:color w:val="222222"/>
          <w:sz w:val="20"/>
          <w:szCs w:val="20"/>
          <w:shd w:val="clear" w:color="auto" w:fill="FFFFFF"/>
        </w:rPr>
        <w:t xml:space="preserve"> acid against </w:t>
      </w:r>
      <w:r w:rsidRPr="004E29C4">
        <w:rPr>
          <w:rFonts w:ascii="Arial" w:hAnsi="Arial" w:cs="Arial"/>
          <w:i/>
          <w:color w:val="222222"/>
          <w:sz w:val="20"/>
          <w:szCs w:val="20"/>
          <w:shd w:val="clear" w:color="auto" w:fill="FFFFFF"/>
        </w:rPr>
        <w:t>Aedes aegypti</w:t>
      </w:r>
      <w:r w:rsidRPr="004E29C4">
        <w:rPr>
          <w:rFonts w:ascii="Arial" w:hAnsi="Arial" w:cs="Arial"/>
          <w:color w:val="222222"/>
          <w:sz w:val="20"/>
          <w:szCs w:val="20"/>
          <w:shd w:val="clear" w:color="auto" w:fill="FFFFFF"/>
        </w:rPr>
        <w:t xml:space="preserve"> (Linn.) </w:t>
      </w:r>
      <w:r w:rsidRPr="004E29C4">
        <w:rPr>
          <w:rFonts w:ascii="Arial" w:hAnsi="Arial" w:cs="Arial"/>
          <w:i/>
          <w:color w:val="222222"/>
          <w:sz w:val="20"/>
          <w:szCs w:val="20"/>
          <w:shd w:val="clear" w:color="auto" w:fill="FFFFFF"/>
        </w:rPr>
        <w:t xml:space="preserve">and </w:t>
      </w:r>
      <w:proofErr w:type="spellStart"/>
      <w:r w:rsidRPr="004E29C4">
        <w:rPr>
          <w:rFonts w:ascii="Arial" w:hAnsi="Arial" w:cs="Arial"/>
          <w:i/>
          <w:color w:val="222222"/>
          <w:sz w:val="20"/>
          <w:szCs w:val="20"/>
          <w:shd w:val="clear" w:color="auto" w:fill="FFFFFF"/>
        </w:rPr>
        <w:t>Culexquinquefasciatus</w:t>
      </w:r>
      <w:proofErr w:type="spellEnd"/>
      <w:r w:rsidRPr="004E29C4">
        <w:rPr>
          <w:rFonts w:ascii="Arial" w:hAnsi="Arial" w:cs="Arial"/>
          <w:color w:val="222222"/>
          <w:sz w:val="20"/>
          <w:szCs w:val="20"/>
          <w:shd w:val="clear" w:color="auto" w:fill="FFFFFF"/>
        </w:rPr>
        <w:t xml:space="preserve"> (Say</w:t>
      </w:r>
      <w:proofErr w:type="gramStart"/>
      <w:r w:rsidRPr="004E29C4">
        <w:rPr>
          <w:rFonts w:ascii="Arial" w:hAnsi="Arial" w:cs="Arial"/>
          <w:color w:val="222222"/>
          <w:sz w:val="20"/>
          <w:szCs w:val="20"/>
          <w:shd w:val="clear" w:color="auto" w:fill="FFFFFF"/>
        </w:rPr>
        <w:t>.)(</w:t>
      </w:r>
      <w:proofErr w:type="spellStart"/>
      <w:proofErr w:type="gramEnd"/>
      <w:r w:rsidRPr="004E29C4">
        <w:rPr>
          <w:rFonts w:ascii="Arial" w:hAnsi="Arial" w:cs="Arial"/>
          <w:color w:val="222222"/>
          <w:sz w:val="20"/>
          <w:szCs w:val="20"/>
          <w:shd w:val="clear" w:color="auto" w:fill="FFFFFF"/>
        </w:rPr>
        <w:t>Diptera</w:t>
      </w:r>
      <w:proofErr w:type="spellEnd"/>
      <w:r w:rsidRPr="004E29C4">
        <w:rPr>
          <w:rFonts w:ascii="Arial" w:hAnsi="Arial" w:cs="Arial"/>
          <w:color w:val="222222"/>
          <w:sz w:val="20"/>
          <w:szCs w:val="20"/>
          <w:shd w:val="clear" w:color="auto" w:fill="FFFFFF"/>
        </w:rPr>
        <w:t>: Culicidae). </w:t>
      </w:r>
      <w:r w:rsidRPr="004E29C4">
        <w:rPr>
          <w:rFonts w:ascii="Arial" w:hAnsi="Arial" w:cs="Arial"/>
          <w:iCs/>
          <w:color w:val="222222"/>
          <w:sz w:val="20"/>
          <w:szCs w:val="20"/>
          <w:shd w:val="clear" w:color="auto" w:fill="FFFFFF"/>
        </w:rPr>
        <w:t>Asian Pacific journal of tropical medicine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w:t>
      </w:r>
      <w:r w:rsidRPr="004E29C4">
        <w:rPr>
          <w:rFonts w:ascii="Arial" w:hAnsi="Arial" w:cs="Arial"/>
          <w:color w:val="222222"/>
          <w:sz w:val="20"/>
          <w:szCs w:val="20"/>
          <w:shd w:val="clear" w:color="auto" w:fill="FFFFFF"/>
        </w:rPr>
        <w:t>(9), 706-710.</w:t>
      </w:r>
      <w:hyperlink r:id="rId61" w:history="1">
        <w:r w:rsidRPr="004E29C4">
          <w:rPr>
            <w:rStyle w:val="Hyperlink"/>
            <w:rFonts w:ascii="Arial" w:hAnsi="Arial" w:cs="Arial"/>
            <w:sz w:val="20"/>
            <w:szCs w:val="20"/>
            <w:shd w:val="clear" w:color="auto" w:fill="FFFFFF"/>
          </w:rPr>
          <w:t>https://doi.org/10.1016/S1995-7645(11)60178-8</w:t>
        </w:r>
      </w:hyperlink>
    </w:p>
    <w:p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Javid, S., Purohit, M. N., </w:t>
      </w:r>
      <w:proofErr w:type="spellStart"/>
      <w:r w:rsidRPr="004E29C4">
        <w:rPr>
          <w:rFonts w:ascii="Arial" w:hAnsi="Arial" w:cs="Arial"/>
          <w:color w:val="222222"/>
          <w:sz w:val="20"/>
          <w:szCs w:val="20"/>
          <w:shd w:val="clear" w:color="auto" w:fill="FFFFFF"/>
        </w:rPr>
        <w:t>Yogish</w:t>
      </w:r>
      <w:proofErr w:type="spellEnd"/>
      <w:r w:rsidRPr="004E29C4">
        <w:rPr>
          <w:rFonts w:ascii="Arial" w:hAnsi="Arial" w:cs="Arial"/>
          <w:color w:val="222222"/>
          <w:sz w:val="20"/>
          <w:szCs w:val="20"/>
          <w:shd w:val="clear" w:color="auto" w:fill="FFFFFF"/>
        </w:rPr>
        <w:t xml:space="preserve"> Kumar, H., Ramya, K., </w:t>
      </w:r>
      <w:proofErr w:type="spellStart"/>
      <w:r w:rsidRPr="004E29C4">
        <w:rPr>
          <w:rFonts w:ascii="Arial" w:hAnsi="Arial" w:cs="Arial"/>
          <w:color w:val="222222"/>
          <w:sz w:val="20"/>
          <w:szCs w:val="20"/>
          <w:shd w:val="clear" w:color="auto" w:fill="FFFFFF"/>
        </w:rPr>
        <w:t>Mithuna</w:t>
      </w:r>
      <w:proofErr w:type="spellEnd"/>
      <w:r w:rsidRPr="004E29C4">
        <w:rPr>
          <w:rFonts w:ascii="Arial" w:hAnsi="Arial" w:cs="Arial"/>
          <w:color w:val="222222"/>
          <w:sz w:val="20"/>
          <w:szCs w:val="20"/>
          <w:shd w:val="clear" w:color="auto" w:fill="FFFFFF"/>
        </w:rPr>
        <w:t xml:space="preserve">, N. F. A., Salahuddin, M. D., &amp; </w:t>
      </w:r>
      <w:proofErr w:type="spellStart"/>
      <w:r w:rsidRPr="004E29C4">
        <w:rPr>
          <w:rFonts w:ascii="Arial" w:hAnsi="Arial" w:cs="Arial"/>
          <w:color w:val="222222"/>
          <w:sz w:val="20"/>
          <w:szCs w:val="20"/>
          <w:shd w:val="clear" w:color="auto" w:fill="FFFFFF"/>
        </w:rPr>
        <w:t>Prashantha</w:t>
      </w:r>
      <w:proofErr w:type="spellEnd"/>
      <w:r w:rsidRPr="004E29C4">
        <w:rPr>
          <w:rFonts w:ascii="Arial" w:hAnsi="Arial" w:cs="Arial"/>
          <w:color w:val="222222"/>
          <w:sz w:val="20"/>
          <w:szCs w:val="20"/>
          <w:shd w:val="clear" w:color="auto" w:fill="FFFFFF"/>
        </w:rPr>
        <w:t xml:space="preserve"> Kumar, B. R. (2020). </w:t>
      </w:r>
      <w:proofErr w:type="spellStart"/>
      <w:r w:rsidRPr="004E29C4">
        <w:rPr>
          <w:rFonts w:ascii="Arial" w:hAnsi="Arial" w:cs="Arial"/>
          <w:color w:val="222222"/>
          <w:sz w:val="20"/>
          <w:szCs w:val="20"/>
          <w:shd w:val="clear" w:color="auto" w:fill="FFFFFF"/>
        </w:rPr>
        <w:t>Semisynthesis</w:t>
      </w:r>
      <w:proofErr w:type="spellEnd"/>
      <w:r w:rsidRPr="004E29C4">
        <w:rPr>
          <w:rFonts w:ascii="Arial" w:hAnsi="Arial" w:cs="Arial"/>
          <w:color w:val="222222"/>
          <w:sz w:val="20"/>
          <w:szCs w:val="20"/>
          <w:shd w:val="clear" w:color="auto" w:fill="FFFFFF"/>
        </w:rPr>
        <w:t xml:space="preserve"> of myristic acid derivatives and their biological activities: A critical insight. </w:t>
      </w:r>
      <w:r w:rsidRPr="004E29C4">
        <w:rPr>
          <w:rFonts w:ascii="Arial" w:hAnsi="Arial" w:cs="Arial"/>
          <w:iCs/>
          <w:color w:val="222222"/>
          <w:sz w:val="20"/>
          <w:szCs w:val="20"/>
          <w:shd w:val="clear" w:color="auto" w:fill="FFFFFF"/>
        </w:rPr>
        <w:t>Journal of Biologically Active Products from Nature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 xml:space="preserve">(6), 455-472. </w:t>
      </w:r>
      <w:hyperlink r:id="rId62" w:history="1">
        <w:r w:rsidRPr="004E29C4">
          <w:rPr>
            <w:rStyle w:val="Hyperlink"/>
            <w:rFonts w:ascii="Arial" w:hAnsi="Arial" w:cs="Arial"/>
            <w:sz w:val="20"/>
            <w:szCs w:val="20"/>
            <w:shd w:val="clear" w:color="auto" w:fill="FFFFFF"/>
          </w:rPr>
          <w:t>https://doi.org/10.1080/22311866.2020.1865836</w:t>
        </w:r>
      </w:hyperlink>
    </w:p>
    <w:p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lastRenderedPageBreak/>
        <w:t>Batalha</w:t>
      </w:r>
      <w:proofErr w:type="spellEnd"/>
      <w:r w:rsidRPr="004E29C4">
        <w:rPr>
          <w:rFonts w:ascii="Arial" w:hAnsi="Arial" w:cs="Arial"/>
          <w:color w:val="222222"/>
          <w:sz w:val="20"/>
          <w:szCs w:val="20"/>
          <w:shd w:val="clear" w:color="auto" w:fill="FFFFFF"/>
        </w:rPr>
        <w:t xml:space="preserve">, M. D. M., Goulart, H. F., Santana, A. E., Barbosa, L. A., Nascimento, T. G., da Silva, M. K., et al. (2020). Chemical composition and antimicrobial activity of cuticular and internal lipids of the insect </w:t>
      </w:r>
      <w:proofErr w:type="spellStart"/>
      <w:r w:rsidRPr="004E29C4">
        <w:rPr>
          <w:rFonts w:ascii="Arial" w:hAnsi="Arial" w:cs="Arial"/>
          <w:i/>
          <w:color w:val="222222"/>
          <w:sz w:val="20"/>
          <w:szCs w:val="20"/>
          <w:shd w:val="clear" w:color="auto" w:fill="FFFFFF"/>
        </w:rPr>
        <w:t>Rhynchophoruspalmarum</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Archives of Insect Biochemistry and Physiology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105</w:t>
      </w:r>
      <w:r w:rsidRPr="004E29C4">
        <w:rPr>
          <w:rFonts w:ascii="Arial" w:hAnsi="Arial" w:cs="Arial"/>
          <w:color w:val="222222"/>
          <w:sz w:val="20"/>
          <w:szCs w:val="20"/>
          <w:shd w:val="clear" w:color="auto" w:fill="FFFFFF"/>
        </w:rPr>
        <w:t xml:space="preserve">(1), e21723. </w:t>
      </w:r>
      <w:hyperlink r:id="rId63" w:history="1">
        <w:r w:rsidRPr="004E29C4">
          <w:rPr>
            <w:rStyle w:val="Hyperlink"/>
            <w:rFonts w:ascii="Arial" w:hAnsi="Arial" w:cs="Arial"/>
            <w:sz w:val="20"/>
            <w:szCs w:val="20"/>
            <w:shd w:val="clear" w:color="auto" w:fill="FFFFFF"/>
          </w:rPr>
          <w:t>https://doi.org/10.1002/arch.21723</w:t>
        </w:r>
      </w:hyperlink>
    </w:p>
    <w:p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Ferdosi</w:t>
      </w:r>
      <w:proofErr w:type="spellEnd"/>
      <w:r w:rsidRPr="004E29C4">
        <w:rPr>
          <w:rFonts w:ascii="Arial" w:hAnsi="Arial" w:cs="Arial"/>
          <w:color w:val="222222"/>
          <w:sz w:val="20"/>
          <w:szCs w:val="20"/>
          <w:shd w:val="clear" w:color="auto" w:fill="FFFFFF"/>
        </w:rPr>
        <w:t xml:space="preserve">, M. F., Khan, I. H., </w:t>
      </w:r>
      <w:proofErr w:type="spellStart"/>
      <w:r w:rsidRPr="004E29C4">
        <w:rPr>
          <w:rFonts w:ascii="Arial" w:hAnsi="Arial" w:cs="Arial"/>
          <w:color w:val="222222"/>
          <w:sz w:val="20"/>
          <w:szCs w:val="20"/>
          <w:shd w:val="clear" w:color="auto" w:fill="FFFFFF"/>
        </w:rPr>
        <w:t>Javaid</w:t>
      </w:r>
      <w:proofErr w:type="spellEnd"/>
      <w:r w:rsidRPr="004E29C4">
        <w:rPr>
          <w:rFonts w:ascii="Arial" w:hAnsi="Arial" w:cs="Arial"/>
          <w:color w:val="222222"/>
          <w:sz w:val="20"/>
          <w:szCs w:val="20"/>
          <w:shd w:val="clear" w:color="auto" w:fill="FFFFFF"/>
        </w:rPr>
        <w:t xml:space="preserve">, A., Hafiz, M. S., Butt, I., &amp; Munir, A. (2021). GC-MS analysis and bioactive components of flowers of </w:t>
      </w:r>
      <w:proofErr w:type="spellStart"/>
      <w:r w:rsidRPr="004E29C4">
        <w:rPr>
          <w:rFonts w:ascii="Arial" w:hAnsi="Arial" w:cs="Arial"/>
          <w:i/>
          <w:color w:val="222222"/>
          <w:sz w:val="20"/>
          <w:szCs w:val="20"/>
          <w:shd w:val="clear" w:color="auto" w:fill="FFFFFF"/>
        </w:rPr>
        <w:t>Bergeniaciliata</w:t>
      </w:r>
      <w:proofErr w:type="spellEnd"/>
      <w:r w:rsidRPr="004E29C4">
        <w:rPr>
          <w:rFonts w:ascii="Arial" w:hAnsi="Arial" w:cs="Arial"/>
          <w:color w:val="222222"/>
          <w:sz w:val="20"/>
          <w:szCs w:val="20"/>
          <w:shd w:val="clear" w:color="auto" w:fill="FFFFFF"/>
        </w:rPr>
        <w:t>, a weed of rock crevices in Pakistan. </w:t>
      </w:r>
      <w:r w:rsidRPr="004E29C4">
        <w:rPr>
          <w:rFonts w:ascii="Arial" w:hAnsi="Arial" w:cs="Arial"/>
          <w:iCs/>
          <w:color w:val="222222"/>
          <w:sz w:val="20"/>
          <w:szCs w:val="20"/>
          <w:shd w:val="clear" w:color="auto" w:fill="FFFFFF"/>
        </w:rPr>
        <w:t>Pakistan Journal of Weed Science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27</w:t>
      </w:r>
      <w:r w:rsidRPr="004E29C4">
        <w:rPr>
          <w:rFonts w:ascii="Arial" w:hAnsi="Arial" w:cs="Arial"/>
          <w:color w:val="222222"/>
          <w:sz w:val="20"/>
          <w:szCs w:val="20"/>
          <w:shd w:val="clear" w:color="auto" w:fill="FFFFFF"/>
        </w:rPr>
        <w:t xml:space="preserve">(4), 527. </w:t>
      </w:r>
      <w:hyperlink r:id="rId64" w:history="1">
        <w:r w:rsidRPr="004E29C4">
          <w:rPr>
            <w:rStyle w:val="Hyperlink"/>
            <w:rFonts w:ascii="Arial" w:hAnsi="Arial" w:cs="Arial"/>
            <w:sz w:val="20"/>
            <w:szCs w:val="20"/>
            <w:shd w:val="clear" w:color="auto" w:fill="FFFFFF"/>
          </w:rPr>
          <w:t>https://doi.org/10.28941/pjwsr.v27i4.1012</w:t>
        </w:r>
      </w:hyperlink>
    </w:p>
    <w:p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Yang, C., Lim, W., </w:t>
      </w:r>
      <w:proofErr w:type="spellStart"/>
      <w:r w:rsidRPr="004E29C4">
        <w:rPr>
          <w:rFonts w:ascii="Arial" w:hAnsi="Arial" w:cs="Arial"/>
          <w:color w:val="222222"/>
          <w:sz w:val="20"/>
          <w:szCs w:val="20"/>
          <w:shd w:val="clear" w:color="auto" w:fill="FFFFFF"/>
        </w:rPr>
        <w:t>Bazer</w:t>
      </w:r>
      <w:proofErr w:type="spellEnd"/>
      <w:r w:rsidRPr="004E29C4">
        <w:rPr>
          <w:rFonts w:ascii="Arial" w:hAnsi="Arial" w:cs="Arial"/>
          <w:color w:val="222222"/>
          <w:sz w:val="20"/>
          <w:szCs w:val="20"/>
          <w:shd w:val="clear" w:color="auto" w:fill="FFFFFF"/>
        </w:rPr>
        <w:t>, F. W., &amp; Song, G. (2018). Decanoic acid suppresses proliferation and invasiveness of human trophoblast cells by disrupting mitochondrial function. </w:t>
      </w:r>
      <w:r w:rsidRPr="004E29C4">
        <w:rPr>
          <w:rFonts w:ascii="Arial" w:hAnsi="Arial" w:cs="Arial"/>
          <w:iCs/>
          <w:color w:val="222222"/>
          <w:sz w:val="20"/>
          <w:szCs w:val="20"/>
          <w:shd w:val="clear" w:color="auto" w:fill="FFFFFF"/>
        </w:rPr>
        <w:t>Toxicology and Applied Pharmacology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339</w:t>
      </w:r>
      <w:r w:rsidRPr="004E29C4">
        <w:rPr>
          <w:rFonts w:ascii="Arial" w:hAnsi="Arial" w:cs="Arial"/>
          <w:color w:val="222222"/>
          <w:sz w:val="20"/>
          <w:szCs w:val="20"/>
          <w:shd w:val="clear" w:color="auto" w:fill="FFFFFF"/>
        </w:rPr>
        <w:t xml:space="preserve">, 121-132. </w:t>
      </w:r>
      <w:hyperlink r:id="rId65" w:history="1">
        <w:r w:rsidRPr="004E29C4">
          <w:rPr>
            <w:rStyle w:val="Hyperlink"/>
            <w:rFonts w:ascii="Arial" w:hAnsi="Arial" w:cs="Arial"/>
            <w:sz w:val="20"/>
            <w:szCs w:val="20"/>
            <w:shd w:val="clear" w:color="auto" w:fill="FFFFFF"/>
          </w:rPr>
          <w:t>https://doi.org/10.1016/j.taap.2017.12.009</w:t>
        </w:r>
      </w:hyperlink>
    </w:p>
    <w:p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Gsan</w:t>
      </w:r>
      <w:proofErr w:type="spellEnd"/>
      <w:r w:rsidRPr="004E29C4">
        <w:rPr>
          <w:rFonts w:ascii="Arial" w:hAnsi="Arial" w:cs="Arial"/>
          <w:color w:val="222222"/>
          <w:sz w:val="20"/>
          <w:szCs w:val="20"/>
          <w:shd w:val="clear" w:color="auto" w:fill="FFFFFF"/>
        </w:rPr>
        <w:t xml:space="preserve">, T., </w:t>
      </w:r>
      <w:proofErr w:type="spellStart"/>
      <w:r w:rsidRPr="004E29C4">
        <w:rPr>
          <w:rFonts w:ascii="Arial" w:hAnsi="Arial" w:cs="Arial"/>
          <w:color w:val="222222"/>
          <w:sz w:val="20"/>
          <w:szCs w:val="20"/>
          <w:shd w:val="clear" w:color="auto" w:fill="FFFFFF"/>
        </w:rPr>
        <w:t>Subban</w:t>
      </w:r>
      <w:proofErr w:type="spellEnd"/>
      <w:r w:rsidRPr="004E29C4">
        <w:rPr>
          <w:rFonts w:ascii="Arial" w:hAnsi="Arial" w:cs="Arial"/>
          <w:color w:val="222222"/>
          <w:sz w:val="20"/>
          <w:szCs w:val="20"/>
          <w:shd w:val="clear" w:color="auto" w:fill="FFFFFF"/>
        </w:rPr>
        <w:t xml:space="preserve">, M., Christopher </w:t>
      </w:r>
      <w:proofErr w:type="spellStart"/>
      <w:r w:rsidRPr="004E29C4">
        <w:rPr>
          <w:rFonts w:ascii="Arial" w:hAnsi="Arial" w:cs="Arial"/>
          <w:color w:val="222222"/>
          <w:sz w:val="20"/>
          <w:szCs w:val="20"/>
          <w:shd w:val="clear" w:color="auto" w:fill="FFFFFF"/>
        </w:rPr>
        <w:t>Leslee</w:t>
      </w:r>
      <w:proofErr w:type="spellEnd"/>
      <w:r w:rsidRPr="004E29C4">
        <w:rPr>
          <w:rFonts w:ascii="Arial" w:hAnsi="Arial" w:cs="Arial"/>
          <w:color w:val="222222"/>
          <w:sz w:val="20"/>
          <w:szCs w:val="20"/>
          <w:shd w:val="clear" w:color="auto" w:fill="FFFFFF"/>
        </w:rPr>
        <w:t xml:space="preserve">, D. B., </w:t>
      </w:r>
      <w:proofErr w:type="spellStart"/>
      <w:r w:rsidRPr="004E29C4">
        <w:rPr>
          <w:rFonts w:ascii="Arial" w:hAnsi="Arial" w:cs="Arial"/>
          <w:color w:val="222222"/>
          <w:sz w:val="20"/>
          <w:szCs w:val="20"/>
          <w:shd w:val="clear" w:color="auto" w:fill="FFFFFF"/>
        </w:rPr>
        <w:t>Kuppannan</w:t>
      </w:r>
      <w:proofErr w:type="spellEnd"/>
      <w:r w:rsidRPr="004E29C4">
        <w:rPr>
          <w:rFonts w:ascii="Arial" w:hAnsi="Arial" w:cs="Arial"/>
          <w:color w:val="222222"/>
          <w:sz w:val="20"/>
          <w:szCs w:val="20"/>
          <w:shd w:val="clear" w:color="auto" w:fill="FFFFFF"/>
        </w:rPr>
        <w:t>, S. B., &amp;</w:t>
      </w:r>
      <w:proofErr w:type="spellStart"/>
      <w:r w:rsidRPr="004E29C4">
        <w:rPr>
          <w:rFonts w:ascii="Arial" w:hAnsi="Arial" w:cs="Arial"/>
          <w:color w:val="222222"/>
          <w:sz w:val="20"/>
          <w:szCs w:val="20"/>
          <w:shd w:val="clear" w:color="auto" w:fill="FFFFFF"/>
        </w:rPr>
        <w:t>Seedevi</w:t>
      </w:r>
      <w:proofErr w:type="spellEnd"/>
      <w:r w:rsidRPr="004E29C4">
        <w:rPr>
          <w:rFonts w:ascii="Arial" w:hAnsi="Arial" w:cs="Arial"/>
          <w:color w:val="222222"/>
          <w:sz w:val="20"/>
          <w:szCs w:val="20"/>
          <w:shd w:val="clear" w:color="auto" w:fill="FFFFFF"/>
        </w:rPr>
        <w:t>, P. (2024). Structural characterization of n-</w:t>
      </w:r>
      <w:proofErr w:type="spellStart"/>
      <w:r w:rsidRPr="004E29C4">
        <w:rPr>
          <w:rFonts w:ascii="Arial" w:hAnsi="Arial" w:cs="Arial"/>
          <w:color w:val="222222"/>
          <w:sz w:val="20"/>
          <w:szCs w:val="20"/>
          <w:shd w:val="clear" w:color="auto" w:fill="FFFFFF"/>
        </w:rPr>
        <w:t>hexadecanoic</w:t>
      </w:r>
      <w:proofErr w:type="spellEnd"/>
      <w:r w:rsidRPr="004E29C4">
        <w:rPr>
          <w:rFonts w:ascii="Arial" w:hAnsi="Arial" w:cs="Arial"/>
          <w:color w:val="222222"/>
          <w:sz w:val="20"/>
          <w:szCs w:val="20"/>
          <w:shd w:val="clear" w:color="auto" w:fill="FFFFFF"/>
        </w:rPr>
        <w:t xml:space="preserve"> acid from the leaves of </w:t>
      </w:r>
      <w:r w:rsidRPr="004E29C4">
        <w:rPr>
          <w:rFonts w:ascii="Arial" w:hAnsi="Arial" w:cs="Arial"/>
          <w:i/>
          <w:color w:val="222222"/>
          <w:sz w:val="20"/>
          <w:szCs w:val="20"/>
          <w:shd w:val="clear" w:color="auto" w:fill="FFFFFF"/>
        </w:rPr>
        <w:t xml:space="preserve">Ipomoea </w:t>
      </w:r>
      <w:proofErr w:type="spellStart"/>
      <w:r w:rsidRPr="004E29C4">
        <w:rPr>
          <w:rFonts w:ascii="Arial" w:hAnsi="Arial" w:cs="Arial"/>
          <w:i/>
          <w:color w:val="222222"/>
          <w:sz w:val="20"/>
          <w:szCs w:val="20"/>
          <w:shd w:val="clear" w:color="auto" w:fill="FFFFFF"/>
        </w:rPr>
        <w:t>eriocarpa</w:t>
      </w:r>
      <w:proofErr w:type="spellEnd"/>
      <w:r w:rsidRPr="004E29C4">
        <w:rPr>
          <w:rFonts w:ascii="Arial" w:hAnsi="Arial" w:cs="Arial"/>
          <w:color w:val="222222"/>
          <w:sz w:val="20"/>
          <w:szCs w:val="20"/>
          <w:shd w:val="clear" w:color="auto" w:fill="FFFFFF"/>
        </w:rPr>
        <w:t xml:space="preserve"> and its antioxidant and antibacterial activities. </w:t>
      </w:r>
      <w:r w:rsidRPr="004E29C4">
        <w:rPr>
          <w:rFonts w:ascii="Arial" w:hAnsi="Arial" w:cs="Arial"/>
          <w:iCs/>
          <w:color w:val="222222"/>
          <w:sz w:val="20"/>
          <w:szCs w:val="20"/>
          <w:shd w:val="clear" w:color="auto" w:fill="FFFFFF"/>
        </w:rPr>
        <w:t>Biomass Conversion and Biorefinery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14</w:t>
      </w:r>
      <w:r w:rsidRPr="004E29C4">
        <w:rPr>
          <w:rFonts w:ascii="Arial" w:hAnsi="Arial" w:cs="Arial"/>
          <w:color w:val="222222"/>
          <w:sz w:val="20"/>
          <w:szCs w:val="20"/>
          <w:shd w:val="clear" w:color="auto" w:fill="FFFFFF"/>
        </w:rPr>
        <w:t xml:space="preserve">(13), 14547-14558. </w:t>
      </w:r>
      <w:hyperlink r:id="rId66" w:history="1">
        <w:r w:rsidRPr="004E29C4">
          <w:rPr>
            <w:rStyle w:val="Hyperlink"/>
            <w:rFonts w:ascii="Arial" w:hAnsi="Arial" w:cs="Arial"/>
            <w:sz w:val="20"/>
            <w:szCs w:val="20"/>
            <w:shd w:val="clear" w:color="auto" w:fill="FFFFFF"/>
          </w:rPr>
          <w:t>https://doi.org/10.1007/s13399-022-03576-w</w:t>
        </w:r>
      </w:hyperlink>
    </w:p>
    <w:p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Shawer</w:t>
      </w:r>
      <w:proofErr w:type="spellEnd"/>
      <w:r w:rsidRPr="004E29C4">
        <w:rPr>
          <w:rFonts w:ascii="Arial" w:hAnsi="Arial" w:cs="Arial"/>
          <w:color w:val="222222"/>
          <w:sz w:val="20"/>
          <w:szCs w:val="20"/>
          <w:shd w:val="clear" w:color="auto" w:fill="FFFFFF"/>
        </w:rPr>
        <w:t xml:space="preserve">, E. E. S., </w:t>
      </w:r>
      <w:proofErr w:type="spellStart"/>
      <w:r w:rsidRPr="004E29C4">
        <w:rPr>
          <w:rFonts w:ascii="Arial" w:hAnsi="Arial" w:cs="Arial"/>
          <w:color w:val="222222"/>
          <w:sz w:val="20"/>
          <w:szCs w:val="20"/>
          <w:shd w:val="clear" w:color="auto" w:fill="FFFFFF"/>
        </w:rPr>
        <w:t>Sabae</w:t>
      </w:r>
      <w:proofErr w:type="spellEnd"/>
      <w:r w:rsidRPr="004E29C4">
        <w:rPr>
          <w:rFonts w:ascii="Arial" w:hAnsi="Arial" w:cs="Arial"/>
          <w:color w:val="222222"/>
          <w:sz w:val="20"/>
          <w:szCs w:val="20"/>
          <w:shd w:val="clear" w:color="auto" w:fill="FFFFFF"/>
        </w:rPr>
        <w:t>, S. Z., El-Gamal, A. D., &amp;</w:t>
      </w:r>
      <w:proofErr w:type="spellStart"/>
      <w:r w:rsidRPr="004E29C4">
        <w:rPr>
          <w:rFonts w:ascii="Arial" w:hAnsi="Arial" w:cs="Arial"/>
          <w:color w:val="222222"/>
          <w:sz w:val="20"/>
          <w:szCs w:val="20"/>
          <w:shd w:val="clear" w:color="auto" w:fill="FFFFFF"/>
        </w:rPr>
        <w:t>Elsaied</w:t>
      </w:r>
      <w:proofErr w:type="spellEnd"/>
      <w:r w:rsidRPr="004E29C4">
        <w:rPr>
          <w:rFonts w:ascii="Arial" w:hAnsi="Arial" w:cs="Arial"/>
          <w:color w:val="222222"/>
          <w:sz w:val="20"/>
          <w:szCs w:val="20"/>
          <w:shd w:val="clear" w:color="auto" w:fill="FFFFFF"/>
        </w:rPr>
        <w:t>, H. E. (2022). Characterization of Bioactive Compounds with Antioxidant Activity and Antimicrobial Activity from Freshwater Cyanobacteria. </w:t>
      </w:r>
      <w:r w:rsidRPr="004E29C4">
        <w:rPr>
          <w:rFonts w:ascii="Arial" w:hAnsi="Arial" w:cs="Arial"/>
          <w:iCs/>
          <w:color w:val="222222"/>
          <w:sz w:val="20"/>
          <w:szCs w:val="20"/>
          <w:shd w:val="clear" w:color="auto" w:fill="FFFFFF"/>
        </w:rPr>
        <w:t>Egyptian Journal of Chemistry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65</w:t>
      </w:r>
      <w:r w:rsidRPr="004E29C4">
        <w:rPr>
          <w:rFonts w:ascii="Arial" w:hAnsi="Arial" w:cs="Arial"/>
          <w:color w:val="222222"/>
          <w:sz w:val="20"/>
          <w:szCs w:val="20"/>
          <w:shd w:val="clear" w:color="auto" w:fill="FFFFFF"/>
        </w:rPr>
        <w:t xml:space="preserve">(9), 723-735. </w:t>
      </w:r>
      <w:hyperlink r:id="rId67" w:history="1">
        <w:r w:rsidRPr="004E29C4">
          <w:rPr>
            <w:rStyle w:val="Hyperlink"/>
            <w:rFonts w:ascii="Arial" w:hAnsi="Arial" w:cs="Arial"/>
            <w:sz w:val="20"/>
            <w:szCs w:val="20"/>
            <w:shd w:val="clear" w:color="auto" w:fill="FFFFFF"/>
          </w:rPr>
          <w:t>http://dx.doi.org/10.21608/ejchem.2022.127880.5681</w:t>
        </w:r>
      </w:hyperlink>
    </w:p>
    <w:p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Karthikeyan, S. C., Velmurugan, S., </w:t>
      </w:r>
      <w:proofErr w:type="spellStart"/>
      <w:r w:rsidRPr="004E29C4">
        <w:rPr>
          <w:rFonts w:ascii="Arial" w:hAnsi="Arial" w:cs="Arial"/>
          <w:color w:val="222222"/>
          <w:sz w:val="20"/>
          <w:szCs w:val="20"/>
          <w:shd w:val="clear" w:color="auto" w:fill="FFFFFF"/>
        </w:rPr>
        <w:t>Donio</w:t>
      </w:r>
      <w:proofErr w:type="spellEnd"/>
      <w:r w:rsidRPr="004E29C4">
        <w:rPr>
          <w:rFonts w:ascii="Arial" w:hAnsi="Arial" w:cs="Arial"/>
          <w:color w:val="222222"/>
          <w:sz w:val="20"/>
          <w:szCs w:val="20"/>
          <w:shd w:val="clear" w:color="auto" w:fill="FFFFFF"/>
        </w:rPr>
        <w:t xml:space="preserve">, M. B. S., </w:t>
      </w:r>
      <w:proofErr w:type="spellStart"/>
      <w:r w:rsidRPr="004E29C4">
        <w:rPr>
          <w:rFonts w:ascii="Arial" w:hAnsi="Arial" w:cs="Arial"/>
          <w:color w:val="222222"/>
          <w:sz w:val="20"/>
          <w:szCs w:val="20"/>
          <w:shd w:val="clear" w:color="auto" w:fill="FFFFFF"/>
        </w:rPr>
        <w:t>Michaelbabu</w:t>
      </w:r>
      <w:proofErr w:type="spellEnd"/>
      <w:r w:rsidRPr="004E29C4">
        <w:rPr>
          <w:rFonts w:ascii="Arial" w:hAnsi="Arial" w:cs="Arial"/>
          <w:color w:val="222222"/>
          <w:sz w:val="20"/>
          <w:szCs w:val="20"/>
          <w:shd w:val="clear" w:color="auto" w:fill="FFFFFF"/>
        </w:rPr>
        <w:t>, M., &amp;</w:t>
      </w:r>
      <w:proofErr w:type="spellStart"/>
      <w:r w:rsidRPr="004E29C4">
        <w:rPr>
          <w:rFonts w:ascii="Arial" w:hAnsi="Arial" w:cs="Arial"/>
          <w:color w:val="222222"/>
          <w:sz w:val="20"/>
          <w:szCs w:val="20"/>
          <w:shd w:val="clear" w:color="auto" w:fill="FFFFFF"/>
        </w:rPr>
        <w:t>Citarasu</w:t>
      </w:r>
      <w:proofErr w:type="spellEnd"/>
      <w:r w:rsidRPr="004E29C4">
        <w:rPr>
          <w:rFonts w:ascii="Arial" w:hAnsi="Arial" w:cs="Arial"/>
          <w:color w:val="222222"/>
          <w:sz w:val="20"/>
          <w:szCs w:val="20"/>
          <w:shd w:val="clear" w:color="auto" w:fill="FFFFFF"/>
        </w:rPr>
        <w:t xml:space="preserve">, T. (2014). Studies on the antimicrobial potential and structural characterization of fatty acids extracted from Sydney rock oyster </w:t>
      </w:r>
      <w:r w:rsidRPr="004E29C4">
        <w:rPr>
          <w:rFonts w:ascii="Arial" w:hAnsi="Arial" w:cs="Arial"/>
          <w:i/>
          <w:color w:val="222222"/>
          <w:sz w:val="20"/>
          <w:szCs w:val="20"/>
          <w:shd w:val="clear" w:color="auto" w:fill="FFFFFF"/>
        </w:rPr>
        <w:t xml:space="preserve">Saccostrea </w:t>
      </w:r>
      <w:proofErr w:type="spellStart"/>
      <w:r w:rsidRPr="004E29C4">
        <w:rPr>
          <w:rFonts w:ascii="Arial" w:hAnsi="Arial" w:cs="Arial"/>
          <w:i/>
          <w:color w:val="222222"/>
          <w:sz w:val="20"/>
          <w:szCs w:val="20"/>
          <w:shd w:val="clear" w:color="auto" w:fill="FFFFFF"/>
        </w:rPr>
        <w:t>glomerata</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Annals of Clinical Microbiology and Antimicrobials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(1), 332.</w:t>
      </w:r>
      <w:hyperlink r:id="rId68" w:history="1">
        <w:r w:rsidR="005C26DA" w:rsidRPr="004E29C4">
          <w:rPr>
            <w:rStyle w:val="Hyperlink"/>
            <w:rFonts w:ascii="Arial" w:hAnsi="Arial" w:cs="Arial"/>
            <w:sz w:val="20"/>
            <w:szCs w:val="20"/>
            <w:shd w:val="clear" w:color="auto" w:fill="FFFFFF"/>
          </w:rPr>
          <w:t>https://doi.org/10.1186/s12941-014-0057-x</w:t>
        </w:r>
      </w:hyperlink>
    </w:p>
    <w:p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Shettima</w:t>
      </w:r>
      <w:proofErr w:type="spellEnd"/>
      <w:r w:rsidRPr="004E29C4">
        <w:rPr>
          <w:rFonts w:ascii="Arial" w:hAnsi="Arial" w:cs="Arial"/>
          <w:color w:val="222222"/>
          <w:sz w:val="20"/>
          <w:szCs w:val="20"/>
          <w:shd w:val="clear" w:color="auto" w:fill="FFFFFF"/>
        </w:rPr>
        <w:t xml:space="preserve">, A. Y., </w:t>
      </w:r>
      <w:proofErr w:type="spellStart"/>
      <w:r w:rsidRPr="004E29C4">
        <w:rPr>
          <w:rFonts w:ascii="Arial" w:hAnsi="Arial" w:cs="Arial"/>
          <w:color w:val="222222"/>
          <w:sz w:val="20"/>
          <w:szCs w:val="20"/>
          <w:shd w:val="clear" w:color="auto" w:fill="FFFFFF"/>
        </w:rPr>
        <w:t>Karumi</w:t>
      </w:r>
      <w:proofErr w:type="spellEnd"/>
      <w:r w:rsidRPr="004E29C4">
        <w:rPr>
          <w:rFonts w:ascii="Arial" w:hAnsi="Arial" w:cs="Arial"/>
          <w:color w:val="222222"/>
          <w:sz w:val="20"/>
          <w:szCs w:val="20"/>
          <w:shd w:val="clear" w:color="auto" w:fill="FFFFFF"/>
        </w:rPr>
        <w:t xml:space="preserve">, Y., </w:t>
      </w:r>
      <w:proofErr w:type="spellStart"/>
      <w:r w:rsidRPr="004E29C4">
        <w:rPr>
          <w:rFonts w:ascii="Arial" w:hAnsi="Arial" w:cs="Arial"/>
          <w:color w:val="222222"/>
          <w:sz w:val="20"/>
          <w:szCs w:val="20"/>
          <w:shd w:val="clear" w:color="auto" w:fill="FFFFFF"/>
        </w:rPr>
        <w:t>Sodipo</w:t>
      </w:r>
      <w:proofErr w:type="spellEnd"/>
      <w:r w:rsidRPr="004E29C4">
        <w:rPr>
          <w:rFonts w:ascii="Arial" w:hAnsi="Arial" w:cs="Arial"/>
          <w:color w:val="222222"/>
          <w:sz w:val="20"/>
          <w:szCs w:val="20"/>
          <w:shd w:val="clear" w:color="auto" w:fill="FFFFFF"/>
        </w:rPr>
        <w:t xml:space="preserve">, O. A., Usman, H., &amp; </w:t>
      </w:r>
      <w:proofErr w:type="spellStart"/>
      <w:r w:rsidRPr="004E29C4">
        <w:rPr>
          <w:rFonts w:ascii="Arial" w:hAnsi="Arial" w:cs="Arial"/>
          <w:color w:val="222222"/>
          <w:sz w:val="20"/>
          <w:szCs w:val="20"/>
          <w:shd w:val="clear" w:color="auto" w:fill="FFFFFF"/>
        </w:rPr>
        <w:t>Tijjani</w:t>
      </w:r>
      <w:proofErr w:type="spellEnd"/>
      <w:r w:rsidRPr="004E29C4">
        <w:rPr>
          <w:rFonts w:ascii="Arial" w:hAnsi="Arial" w:cs="Arial"/>
          <w:color w:val="222222"/>
          <w:sz w:val="20"/>
          <w:szCs w:val="20"/>
          <w:shd w:val="clear" w:color="auto" w:fill="FFFFFF"/>
        </w:rPr>
        <w:t xml:space="preserve">, M. A. (2013). Gas Chromatography-Mass Spectrometry (GC-MS) analysis of bioactive components of ethyl acetate root extract of </w:t>
      </w:r>
      <w:proofErr w:type="spellStart"/>
      <w:r w:rsidRPr="004E29C4">
        <w:rPr>
          <w:rFonts w:ascii="Arial" w:hAnsi="Arial" w:cs="Arial"/>
          <w:i/>
          <w:color w:val="222222"/>
          <w:sz w:val="20"/>
          <w:szCs w:val="20"/>
          <w:shd w:val="clear" w:color="auto" w:fill="FFFFFF"/>
        </w:rPr>
        <w:t>Guierasenegalensis</w:t>
      </w:r>
      <w:proofErr w:type="spellEnd"/>
      <w:r w:rsidRPr="004E29C4">
        <w:rPr>
          <w:rFonts w:ascii="Arial" w:hAnsi="Arial" w:cs="Arial"/>
          <w:color w:val="222222"/>
          <w:sz w:val="20"/>
          <w:szCs w:val="20"/>
          <w:shd w:val="clear" w:color="auto" w:fill="FFFFFF"/>
        </w:rPr>
        <w:t xml:space="preserve"> JF </w:t>
      </w:r>
      <w:proofErr w:type="spellStart"/>
      <w:r w:rsidRPr="004E29C4">
        <w:rPr>
          <w:rFonts w:ascii="Arial" w:hAnsi="Arial" w:cs="Arial"/>
          <w:color w:val="222222"/>
          <w:sz w:val="20"/>
          <w:szCs w:val="20"/>
          <w:shd w:val="clear" w:color="auto" w:fill="FFFFFF"/>
        </w:rPr>
        <w:t>Gmel</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Journal of Applied Pharmaceutical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(3), 146-150. </w:t>
      </w:r>
      <w:hyperlink r:id="rId69" w:history="1">
        <w:r w:rsidRPr="004E29C4">
          <w:rPr>
            <w:rStyle w:val="Hyperlink"/>
            <w:rFonts w:ascii="Arial" w:hAnsi="Arial" w:cs="Arial"/>
            <w:sz w:val="20"/>
            <w:szCs w:val="20"/>
            <w:shd w:val="clear" w:color="auto" w:fill="FFFFFF"/>
          </w:rPr>
          <w:t>https://dx.doi.org/10.7324/JAPS.2013.30328</w:t>
        </w:r>
      </w:hyperlink>
    </w:p>
    <w:p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Astudillo</w:t>
      </w:r>
      <w:proofErr w:type="spellEnd"/>
      <w:r w:rsidRPr="004E29C4">
        <w:rPr>
          <w:rFonts w:ascii="Arial" w:hAnsi="Arial" w:cs="Arial"/>
          <w:color w:val="222222"/>
          <w:sz w:val="20"/>
          <w:szCs w:val="20"/>
          <w:shd w:val="clear" w:color="auto" w:fill="FFFFFF"/>
        </w:rPr>
        <w:t xml:space="preserve">, A. M., Meana, C., </w:t>
      </w:r>
      <w:proofErr w:type="spellStart"/>
      <w:r w:rsidRPr="004E29C4">
        <w:rPr>
          <w:rFonts w:ascii="Arial" w:hAnsi="Arial" w:cs="Arial"/>
          <w:color w:val="222222"/>
          <w:sz w:val="20"/>
          <w:szCs w:val="20"/>
          <w:shd w:val="clear" w:color="auto" w:fill="FFFFFF"/>
        </w:rPr>
        <w:t>Guijas</w:t>
      </w:r>
      <w:proofErr w:type="spellEnd"/>
      <w:r w:rsidRPr="004E29C4">
        <w:rPr>
          <w:rFonts w:ascii="Arial" w:hAnsi="Arial" w:cs="Arial"/>
          <w:color w:val="222222"/>
          <w:sz w:val="20"/>
          <w:szCs w:val="20"/>
          <w:shd w:val="clear" w:color="auto" w:fill="FFFFFF"/>
        </w:rPr>
        <w:t xml:space="preserve">, C., Pereira, L., </w:t>
      </w:r>
      <w:proofErr w:type="spellStart"/>
      <w:r w:rsidRPr="004E29C4">
        <w:rPr>
          <w:rFonts w:ascii="Arial" w:hAnsi="Arial" w:cs="Arial"/>
          <w:color w:val="222222"/>
          <w:sz w:val="20"/>
          <w:szCs w:val="20"/>
          <w:shd w:val="clear" w:color="auto" w:fill="FFFFFF"/>
        </w:rPr>
        <w:t>Lebrero</w:t>
      </w:r>
      <w:proofErr w:type="spellEnd"/>
      <w:r w:rsidRPr="004E29C4">
        <w:rPr>
          <w:rFonts w:ascii="Arial" w:hAnsi="Arial" w:cs="Arial"/>
          <w:color w:val="222222"/>
          <w:sz w:val="20"/>
          <w:szCs w:val="20"/>
          <w:shd w:val="clear" w:color="auto" w:fill="FFFFFF"/>
        </w:rPr>
        <w:t xml:space="preserve">, P., Balboa, M. A., &amp; </w:t>
      </w:r>
      <w:proofErr w:type="spellStart"/>
      <w:r w:rsidRPr="004E29C4">
        <w:rPr>
          <w:rFonts w:ascii="Arial" w:hAnsi="Arial" w:cs="Arial"/>
          <w:color w:val="222222"/>
          <w:sz w:val="20"/>
          <w:szCs w:val="20"/>
          <w:shd w:val="clear" w:color="auto" w:fill="FFFFFF"/>
        </w:rPr>
        <w:t>Balsinde</w:t>
      </w:r>
      <w:proofErr w:type="spellEnd"/>
      <w:r w:rsidRPr="004E29C4">
        <w:rPr>
          <w:rFonts w:ascii="Arial" w:hAnsi="Arial" w:cs="Arial"/>
          <w:color w:val="222222"/>
          <w:sz w:val="20"/>
          <w:szCs w:val="20"/>
          <w:shd w:val="clear" w:color="auto" w:fill="FFFFFF"/>
        </w:rPr>
        <w:t>, J. (2018). Occurrence and biological activity of palmitoleic acid isomers in phagocytic cells. </w:t>
      </w:r>
      <w:r w:rsidRPr="004E29C4">
        <w:rPr>
          <w:rFonts w:ascii="Arial" w:hAnsi="Arial" w:cs="Arial"/>
          <w:iCs/>
          <w:color w:val="222222"/>
          <w:sz w:val="20"/>
          <w:szCs w:val="20"/>
          <w:shd w:val="clear" w:color="auto" w:fill="FFFFFF"/>
        </w:rPr>
        <w:t>Journal of lipid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59</w:t>
      </w:r>
      <w:r w:rsidRPr="004E29C4">
        <w:rPr>
          <w:rFonts w:ascii="Arial" w:hAnsi="Arial" w:cs="Arial"/>
          <w:color w:val="222222"/>
          <w:sz w:val="20"/>
          <w:szCs w:val="20"/>
          <w:shd w:val="clear" w:color="auto" w:fill="FFFFFF"/>
        </w:rPr>
        <w:t xml:space="preserve">(2), 237-249. </w:t>
      </w:r>
      <w:hyperlink r:id="rId70" w:history="1">
        <w:r w:rsidRPr="004E29C4">
          <w:rPr>
            <w:rStyle w:val="Hyperlink"/>
            <w:rFonts w:ascii="Arial" w:hAnsi="Arial" w:cs="Arial"/>
            <w:sz w:val="20"/>
            <w:szCs w:val="20"/>
            <w:shd w:val="clear" w:color="auto" w:fill="FFFFFF"/>
          </w:rPr>
          <w:t>http://dx.doi.org/10.1194/jlr.M079145</w:t>
        </w:r>
      </w:hyperlink>
    </w:p>
    <w:p w:rsidR="005C26DA" w:rsidRPr="004E29C4" w:rsidRDefault="005C26D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Chowdhury, S. K., Dutta, T., Chattopadhyay, A. P., Ghosh, N. N., Chowdhury, S., &amp; Mandal, V. (2021). Isolation of antimicrobial Tridecanoic acid from </w:t>
      </w:r>
      <w:r w:rsidRPr="004E29C4">
        <w:rPr>
          <w:rFonts w:ascii="Arial" w:hAnsi="Arial" w:cs="Arial"/>
          <w:i/>
          <w:color w:val="222222"/>
          <w:sz w:val="20"/>
          <w:szCs w:val="20"/>
          <w:shd w:val="clear" w:color="auto" w:fill="FFFFFF"/>
        </w:rPr>
        <w:t>Bacillus sp</w:t>
      </w:r>
      <w:r w:rsidRPr="004E29C4">
        <w:rPr>
          <w:rFonts w:ascii="Arial" w:hAnsi="Arial" w:cs="Arial"/>
          <w:color w:val="222222"/>
          <w:sz w:val="20"/>
          <w:szCs w:val="20"/>
          <w:shd w:val="clear" w:color="auto" w:fill="FFFFFF"/>
        </w:rPr>
        <w:t xml:space="preserve">. LBF-01 and its </w:t>
      </w:r>
      <w:proofErr w:type="spellStart"/>
      <w:r w:rsidRPr="004E29C4">
        <w:rPr>
          <w:rFonts w:ascii="Arial" w:hAnsi="Arial" w:cs="Arial"/>
          <w:color w:val="222222"/>
          <w:sz w:val="20"/>
          <w:szCs w:val="20"/>
          <w:shd w:val="clear" w:color="auto" w:fill="FFFFFF"/>
        </w:rPr>
        <w:t>potentialization</w:t>
      </w:r>
      <w:proofErr w:type="spellEnd"/>
      <w:r w:rsidRPr="004E29C4">
        <w:rPr>
          <w:rFonts w:ascii="Arial" w:hAnsi="Arial" w:cs="Arial"/>
          <w:color w:val="222222"/>
          <w:sz w:val="20"/>
          <w:szCs w:val="20"/>
          <w:shd w:val="clear" w:color="auto" w:fill="FFFFFF"/>
        </w:rPr>
        <w:t xml:space="preserve"> through silver nanoparticles synthesis: a combined experimental and theoretical studies. </w:t>
      </w:r>
      <w:r w:rsidRPr="004E29C4">
        <w:rPr>
          <w:rFonts w:ascii="Arial" w:hAnsi="Arial" w:cs="Arial"/>
          <w:iCs/>
          <w:color w:val="222222"/>
          <w:sz w:val="20"/>
          <w:szCs w:val="20"/>
          <w:shd w:val="clear" w:color="auto" w:fill="FFFFFF"/>
        </w:rPr>
        <w:t>Journal of Nanostructure in Chemistry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 xml:space="preserve">(4), 573-587. </w:t>
      </w:r>
      <w:hyperlink r:id="rId71" w:history="1">
        <w:r w:rsidRPr="004E29C4">
          <w:rPr>
            <w:rStyle w:val="Hyperlink"/>
            <w:rFonts w:ascii="Arial" w:hAnsi="Arial" w:cs="Arial"/>
            <w:sz w:val="20"/>
            <w:szCs w:val="20"/>
            <w:shd w:val="clear" w:color="auto" w:fill="FFFFFF"/>
          </w:rPr>
          <w:t>https://doi.org/10.1007/s40097-020-00385-3</w:t>
        </w:r>
      </w:hyperlink>
    </w:p>
    <w:p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Longkumer</w:t>
      </w:r>
      <w:proofErr w:type="spellEnd"/>
      <w:r w:rsidRPr="004E29C4">
        <w:rPr>
          <w:rFonts w:ascii="Arial" w:hAnsi="Arial" w:cs="Arial"/>
          <w:color w:val="222222"/>
          <w:sz w:val="20"/>
          <w:szCs w:val="20"/>
          <w:shd w:val="clear" w:color="auto" w:fill="FFFFFF"/>
        </w:rPr>
        <w:t xml:space="preserve">, N., Richa, K., </w:t>
      </w:r>
      <w:proofErr w:type="spellStart"/>
      <w:r w:rsidRPr="004E29C4">
        <w:rPr>
          <w:rFonts w:ascii="Arial" w:hAnsi="Arial" w:cs="Arial"/>
          <w:color w:val="222222"/>
          <w:sz w:val="20"/>
          <w:szCs w:val="20"/>
          <w:shd w:val="clear" w:color="auto" w:fill="FFFFFF"/>
        </w:rPr>
        <w:t>Karmaker</w:t>
      </w:r>
      <w:proofErr w:type="spellEnd"/>
      <w:r w:rsidRPr="004E29C4">
        <w:rPr>
          <w:rFonts w:ascii="Arial" w:hAnsi="Arial" w:cs="Arial"/>
          <w:color w:val="222222"/>
          <w:sz w:val="20"/>
          <w:szCs w:val="20"/>
          <w:shd w:val="clear" w:color="auto" w:fill="FFFFFF"/>
        </w:rPr>
        <w:t>, R., Singha, B., &amp; Sinha, U. B. (2023). Experimental and Theoretical Investigations on the Antibacterial Activity of Some Bromoaniline Compounds. </w:t>
      </w:r>
      <w:r w:rsidRPr="004E29C4">
        <w:rPr>
          <w:rFonts w:ascii="Arial" w:hAnsi="Arial" w:cs="Arial"/>
          <w:iCs/>
          <w:color w:val="222222"/>
          <w:sz w:val="20"/>
          <w:szCs w:val="20"/>
          <w:shd w:val="clear" w:color="auto" w:fill="FFFFFF"/>
        </w:rPr>
        <w:t>Anti-Infective Agents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21</w:t>
      </w:r>
      <w:r w:rsidRPr="004E29C4">
        <w:rPr>
          <w:rFonts w:ascii="Arial" w:hAnsi="Arial" w:cs="Arial"/>
          <w:color w:val="222222"/>
          <w:sz w:val="20"/>
          <w:szCs w:val="20"/>
          <w:shd w:val="clear" w:color="auto" w:fill="FFFFFF"/>
        </w:rPr>
        <w:t xml:space="preserve">(3), 12-25. </w:t>
      </w:r>
      <w:hyperlink r:id="rId72" w:history="1">
        <w:r w:rsidRPr="004E29C4">
          <w:rPr>
            <w:rStyle w:val="Hyperlink"/>
            <w:rFonts w:ascii="Arial" w:hAnsi="Arial" w:cs="Arial"/>
            <w:sz w:val="20"/>
            <w:szCs w:val="20"/>
            <w:shd w:val="clear" w:color="auto" w:fill="FFFFFF"/>
          </w:rPr>
          <w:t>https://doi.org/10.2174/2211352521666230126123021</w:t>
        </w:r>
      </w:hyperlink>
    </w:p>
    <w:p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Nakaziba</w:t>
      </w:r>
      <w:proofErr w:type="spellEnd"/>
      <w:r w:rsidRPr="004E29C4">
        <w:rPr>
          <w:rFonts w:ascii="Arial" w:hAnsi="Arial" w:cs="Arial"/>
          <w:color w:val="222222"/>
          <w:sz w:val="20"/>
          <w:szCs w:val="20"/>
          <w:shd w:val="clear" w:color="auto" w:fill="FFFFFF"/>
        </w:rPr>
        <w:t xml:space="preserve">, R., </w:t>
      </w:r>
      <w:proofErr w:type="spellStart"/>
      <w:r w:rsidRPr="004E29C4">
        <w:rPr>
          <w:rFonts w:ascii="Arial" w:hAnsi="Arial" w:cs="Arial"/>
          <w:color w:val="222222"/>
          <w:sz w:val="20"/>
          <w:szCs w:val="20"/>
          <w:shd w:val="clear" w:color="auto" w:fill="FFFFFF"/>
        </w:rPr>
        <w:t>Amanya</w:t>
      </w:r>
      <w:proofErr w:type="spellEnd"/>
      <w:r w:rsidRPr="004E29C4">
        <w:rPr>
          <w:rFonts w:ascii="Arial" w:hAnsi="Arial" w:cs="Arial"/>
          <w:color w:val="222222"/>
          <w:sz w:val="20"/>
          <w:szCs w:val="20"/>
          <w:shd w:val="clear" w:color="auto" w:fill="FFFFFF"/>
        </w:rPr>
        <w:t xml:space="preserve">, S. B., </w:t>
      </w:r>
      <w:proofErr w:type="spellStart"/>
      <w:r w:rsidRPr="004E29C4">
        <w:rPr>
          <w:rFonts w:ascii="Arial" w:hAnsi="Arial" w:cs="Arial"/>
          <w:color w:val="222222"/>
          <w:sz w:val="20"/>
          <w:szCs w:val="20"/>
          <w:shd w:val="clear" w:color="auto" w:fill="FFFFFF"/>
        </w:rPr>
        <w:t>Sesaazi</w:t>
      </w:r>
      <w:proofErr w:type="spellEnd"/>
      <w:r w:rsidRPr="004E29C4">
        <w:rPr>
          <w:rFonts w:ascii="Arial" w:hAnsi="Arial" w:cs="Arial"/>
          <w:color w:val="222222"/>
          <w:sz w:val="20"/>
          <w:szCs w:val="20"/>
          <w:shd w:val="clear" w:color="auto" w:fill="FFFFFF"/>
        </w:rPr>
        <w:t xml:space="preserve">, C. D., </w:t>
      </w:r>
      <w:proofErr w:type="spellStart"/>
      <w:r w:rsidRPr="004E29C4">
        <w:rPr>
          <w:rFonts w:ascii="Arial" w:hAnsi="Arial" w:cs="Arial"/>
          <w:color w:val="222222"/>
          <w:sz w:val="20"/>
          <w:szCs w:val="20"/>
          <w:shd w:val="clear" w:color="auto" w:fill="FFFFFF"/>
        </w:rPr>
        <w:t>Byarugaba</w:t>
      </w:r>
      <w:proofErr w:type="spellEnd"/>
      <w:r w:rsidRPr="004E29C4">
        <w:rPr>
          <w:rFonts w:ascii="Arial" w:hAnsi="Arial" w:cs="Arial"/>
          <w:color w:val="222222"/>
          <w:sz w:val="20"/>
          <w:szCs w:val="20"/>
          <w:shd w:val="clear" w:color="auto" w:fill="FFFFFF"/>
        </w:rPr>
        <w:t xml:space="preserve">, F., </w:t>
      </w:r>
      <w:proofErr w:type="spellStart"/>
      <w:r w:rsidRPr="004E29C4">
        <w:rPr>
          <w:rFonts w:ascii="Arial" w:hAnsi="Arial" w:cs="Arial"/>
          <w:color w:val="222222"/>
          <w:sz w:val="20"/>
          <w:szCs w:val="20"/>
          <w:shd w:val="clear" w:color="auto" w:fill="FFFFFF"/>
        </w:rPr>
        <w:t>Ogwal-Okeng</w:t>
      </w:r>
      <w:proofErr w:type="spellEnd"/>
      <w:r w:rsidRPr="004E29C4">
        <w:rPr>
          <w:rFonts w:ascii="Arial" w:hAnsi="Arial" w:cs="Arial"/>
          <w:color w:val="222222"/>
          <w:sz w:val="20"/>
          <w:szCs w:val="20"/>
          <w:shd w:val="clear" w:color="auto" w:fill="FFFFFF"/>
        </w:rPr>
        <w:t>, J., &amp;</w:t>
      </w:r>
      <w:proofErr w:type="spellStart"/>
      <w:r w:rsidRPr="004E29C4">
        <w:rPr>
          <w:rFonts w:ascii="Arial" w:hAnsi="Arial" w:cs="Arial"/>
          <w:color w:val="222222"/>
          <w:sz w:val="20"/>
          <w:szCs w:val="20"/>
          <w:shd w:val="clear" w:color="auto" w:fill="FFFFFF"/>
        </w:rPr>
        <w:t>Alele</w:t>
      </w:r>
      <w:proofErr w:type="spellEnd"/>
      <w:r w:rsidRPr="004E29C4">
        <w:rPr>
          <w:rFonts w:ascii="Arial" w:hAnsi="Arial" w:cs="Arial"/>
          <w:color w:val="222222"/>
          <w:sz w:val="20"/>
          <w:szCs w:val="20"/>
          <w:shd w:val="clear" w:color="auto" w:fill="FFFFFF"/>
        </w:rPr>
        <w:t>, P. E. (2022). Antimicrobial bioactivity and GC</w:t>
      </w:r>
      <w:r w:rsidRPr="004E29C4">
        <w:rPr>
          <w:rFonts w:ascii="Cambria Math" w:hAnsi="Cambria Math" w:cs="Arial"/>
          <w:color w:val="222222"/>
          <w:sz w:val="20"/>
          <w:szCs w:val="20"/>
          <w:shd w:val="clear" w:color="auto" w:fill="FFFFFF"/>
        </w:rPr>
        <w:t>‐</w:t>
      </w:r>
      <w:r w:rsidRPr="004E29C4">
        <w:rPr>
          <w:rFonts w:ascii="Arial" w:hAnsi="Arial" w:cs="Arial"/>
          <w:color w:val="222222"/>
          <w:sz w:val="20"/>
          <w:szCs w:val="20"/>
          <w:shd w:val="clear" w:color="auto" w:fill="FFFFFF"/>
        </w:rPr>
        <w:t xml:space="preserve">MS analysis of different extracts of </w:t>
      </w:r>
      <w:proofErr w:type="spellStart"/>
      <w:r w:rsidRPr="004E29C4">
        <w:rPr>
          <w:rFonts w:ascii="Arial" w:hAnsi="Arial" w:cs="Arial"/>
          <w:i/>
          <w:color w:val="222222"/>
          <w:sz w:val="20"/>
          <w:szCs w:val="20"/>
          <w:shd w:val="clear" w:color="auto" w:fill="FFFFFF"/>
        </w:rPr>
        <w:t>Corchorusolitorius</w:t>
      </w:r>
      <w:proofErr w:type="spellEnd"/>
      <w:r w:rsidRPr="004E29C4">
        <w:rPr>
          <w:rFonts w:ascii="Arial" w:hAnsi="Arial" w:cs="Arial"/>
          <w:color w:val="222222"/>
          <w:sz w:val="20"/>
          <w:szCs w:val="20"/>
          <w:shd w:val="clear" w:color="auto" w:fill="FFFFFF"/>
        </w:rPr>
        <w:t xml:space="preserve"> L leaves. </w:t>
      </w:r>
      <w:r w:rsidRPr="004E29C4">
        <w:rPr>
          <w:rFonts w:ascii="Arial" w:hAnsi="Arial" w:cs="Arial"/>
          <w:iCs/>
          <w:color w:val="222222"/>
          <w:sz w:val="20"/>
          <w:szCs w:val="20"/>
          <w:shd w:val="clear" w:color="auto" w:fill="FFFFFF"/>
        </w:rPr>
        <w:t>The Scientific World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2022</w:t>
      </w:r>
      <w:r w:rsidRPr="004E29C4">
        <w:rPr>
          <w:rFonts w:ascii="Arial" w:hAnsi="Arial" w:cs="Arial"/>
          <w:color w:val="222222"/>
          <w:sz w:val="20"/>
          <w:szCs w:val="20"/>
          <w:shd w:val="clear" w:color="auto" w:fill="FFFFFF"/>
        </w:rPr>
        <w:t>(1), 3382302.</w:t>
      </w:r>
      <w:hyperlink r:id="rId73" w:history="1">
        <w:r w:rsidR="004E29C4" w:rsidRPr="004E29C4">
          <w:rPr>
            <w:rStyle w:val="Hyperlink"/>
            <w:rFonts w:ascii="Arial" w:hAnsi="Arial" w:cs="Arial"/>
            <w:sz w:val="20"/>
            <w:szCs w:val="20"/>
            <w:shd w:val="clear" w:color="auto" w:fill="FFFFFF"/>
          </w:rPr>
          <w:t>https://doi.org/10.1155/2022/3382302</w:t>
        </w:r>
      </w:hyperlink>
    </w:p>
    <w:p w:rsidR="004E29C4" w:rsidRPr="004E29C4" w:rsidRDefault="004E29C4"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Biswas, S. M., &amp; Jana, A. (2010). Bioactivity of 2-amino-9-(4-oxoazetidin-2-yl) Nonanoic Acid from the Root Exudates of </w:t>
      </w:r>
      <w:r w:rsidRPr="004E29C4">
        <w:rPr>
          <w:rFonts w:ascii="Arial" w:hAnsi="Arial" w:cs="Arial"/>
          <w:i/>
          <w:color w:val="222222"/>
          <w:sz w:val="20"/>
          <w:szCs w:val="20"/>
          <w:shd w:val="clear" w:color="auto" w:fill="FFFFFF"/>
        </w:rPr>
        <w:t xml:space="preserve">Cleome </w:t>
      </w:r>
      <w:proofErr w:type="spellStart"/>
      <w:r w:rsidRPr="004E29C4">
        <w:rPr>
          <w:rFonts w:ascii="Arial" w:hAnsi="Arial" w:cs="Arial"/>
          <w:i/>
          <w:color w:val="222222"/>
          <w:sz w:val="20"/>
          <w:szCs w:val="20"/>
          <w:shd w:val="clear" w:color="auto" w:fill="FFFFFF"/>
        </w:rPr>
        <w:t>viscosa</w:t>
      </w:r>
      <w:proofErr w:type="spellEnd"/>
      <w:r w:rsidRPr="004E29C4">
        <w:rPr>
          <w:rFonts w:ascii="Arial" w:hAnsi="Arial" w:cs="Arial"/>
          <w:color w:val="222222"/>
          <w:sz w:val="20"/>
          <w:szCs w:val="20"/>
          <w:shd w:val="clear" w:color="auto" w:fill="FFFFFF"/>
        </w:rPr>
        <w:t xml:space="preserve"> L. </w:t>
      </w:r>
      <w:r w:rsidRPr="004E29C4">
        <w:rPr>
          <w:rFonts w:ascii="Arial" w:hAnsi="Arial" w:cs="Arial"/>
          <w:iCs/>
          <w:color w:val="222222"/>
          <w:sz w:val="20"/>
          <w:szCs w:val="20"/>
          <w:shd w:val="clear" w:color="auto" w:fill="FFFFFF"/>
        </w:rPr>
        <w:t>Bio-Research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 xml:space="preserve">(1), 651-656. </w:t>
      </w:r>
      <w:hyperlink r:id="rId74" w:history="1">
        <w:r w:rsidRPr="004E29C4">
          <w:rPr>
            <w:rStyle w:val="Hyperlink"/>
            <w:rFonts w:ascii="Arial" w:hAnsi="Arial" w:cs="Arial"/>
            <w:sz w:val="20"/>
            <w:szCs w:val="20"/>
            <w:shd w:val="clear" w:color="auto" w:fill="FFFFFF"/>
          </w:rPr>
          <w:t>https://doi.org/10.4314/br.v8i1.62552</w:t>
        </w:r>
      </w:hyperlink>
    </w:p>
    <w:p w:rsidR="004E29C4" w:rsidRPr="004E29C4" w:rsidRDefault="004E29C4"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Sharma, A., Gupta, R. K., Sharma, P., </w:t>
      </w:r>
      <w:proofErr w:type="spellStart"/>
      <w:r w:rsidRPr="004E29C4">
        <w:rPr>
          <w:rFonts w:ascii="Arial" w:hAnsi="Arial" w:cs="Arial"/>
          <w:color w:val="222222"/>
          <w:sz w:val="20"/>
          <w:szCs w:val="20"/>
          <w:shd w:val="clear" w:color="auto" w:fill="FFFFFF"/>
        </w:rPr>
        <w:t>Duwa</w:t>
      </w:r>
      <w:proofErr w:type="spellEnd"/>
      <w:r w:rsidRPr="004E29C4">
        <w:rPr>
          <w:rFonts w:ascii="Arial" w:hAnsi="Arial" w:cs="Arial"/>
          <w:color w:val="222222"/>
          <w:sz w:val="20"/>
          <w:szCs w:val="20"/>
          <w:shd w:val="clear" w:color="auto" w:fill="FFFFFF"/>
        </w:rPr>
        <w:t xml:space="preserve">, A. K., </w:t>
      </w:r>
      <w:proofErr w:type="spellStart"/>
      <w:r w:rsidRPr="004E29C4">
        <w:rPr>
          <w:rFonts w:ascii="Arial" w:hAnsi="Arial" w:cs="Arial"/>
          <w:color w:val="222222"/>
          <w:sz w:val="20"/>
          <w:szCs w:val="20"/>
          <w:shd w:val="clear" w:color="auto" w:fill="FFFFFF"/>
        </w:rPr>
        <w:t>Bandral</w:t>
      </w:r>
      <w:proofErr w:type="spellEnd"/>
      <w:r w:rsidRPr="004E29C4">
        <w:rPr>
          <w:rFonts w:ascii="Arial" w:hAnsi="Arial" w:cs="Arial"/>
          <w:color w:val="222222"/>
          <w:sz w:val="20"/>
          <w:szCs w:val="20"/>
          <w:shd w:val="clear" w:color="auto" w:fill="FFFFFF"/>
        </w:rPr>
        <w:t>, R. S., &amp; Bal, K. (2022). Silkworm as an edible insect: A review. </w:t>
      </w:r>
      <w:r w:rsidRPr="004E29C4">
        <w:rPr>
          <w:rFonts w:ascii="Arial" w:hAnsi="Arial" w:cs="Arial"/>
          <w:iCs/>
          <w:color w:val="222222"/>
          <w:sz w:val="20"/>
          <w:szCs w:val="20"/>
          <w:shd w:val="clear" w:color="auto" w:fill="FFFFFF"/>
        </w:rPr>
        <w:t>The Pharma Innovation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(2), 1667-74.</w:t>
      </w:r>
    </w:p>
    <w:p w:rsidR="004E29C4" w:rsidRPr="00E2697F" w:rsidRDefault="004E29C4" w:rsidP="004E29C4">
      <w:pPr>
        <w:pStyle w:val="NormalWeb"/>
        <w:jc w:val="both"/>
        <w:rPr>
          <w:rFonts w:ascii="Arial" w:hAnsi="Arial" w:cs="Arial"/>
          <w:sz w:val="18"/>
          <w:szCs w:val="18"/>
        </w:rPr>
      </w:pPr>
    </w:p>
    <w:p w:rsidR="00EB20B2" w:rsidRDefault="00EB20B2" w:rsidP="00B516D9">
      <w:pPr>
        <w:pStyle w:val="NormalWeb"/>
        <w:jc w:val="both"/>
      </w:pPr>
    </w:p>
    <w:p w:rsidR="00EB20B2" w:rsidRDefault="00EB20B2" w:rsidP="00B516D9">
      <w:pPr>
        <w:pStyle w:val="NormalWeb"/>
        <w:jc w:val="both"/>
      </w:pPr>
    </w:p>
    <w:p w:rsidR="00EB20B2" w:rsidRDefault="00EB20B2" w:rsidP="00B516D9">
      <w:pPr>
        <w:pStyle w:val="NormalWeb"/>
        <w:jc w:val="both"/>
      </w:pPr>
    </w:p>
    <w:p w:rsidR="00EB20B2" w:rsidRDefault="00EB20B2" w:rsidP="00B516D9">
      <w:pPr>
        <w:pStyle w:val="NormalWeb"/>
        <w:jc w:val="both"/>
      </w:pPr>
    </w:p>
    <w:p w:rsidR="00B12AB7" w:rsidRPr="00244512" w:rsidRDefault="00B12AB7" w:rsidP="00802887">
      <w:pPr>
        <w:rPr>
          <w:rFonts w:ascii="Times New Roman" w:hAnsi="Times New Roman" w:cs="Times New Roman"/>
          <w:b/>
          <w:sz w:val="24"/>
          <w:lang w:val="en-IN"/>
        </w:rPr>
      </w:pPr>
    </w:p>
    <w:sectPr w:rsidR="00B12AB7" w:rsidRPr="00244512" w:rsidSect="00FD3885">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4EB" w:rsidRDefault="00B674EB" w:rsidP="004E2545">
      <w:pPr>
        <w:spacing w:after="0" w:line="240" w:lineRule="auto"/>
      </w:pPr>
      <w:r>
        <w:separator/>
      </w:r>
    </w:p>
  </w:endnote>
  <w:endnote w:type="continuationSeparator" w:id="0">
    <w:p w:rsidR="00B674EB" w:rsidRDefault="00B674EB" w:rsidP="004E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A2" w:rsidRDefault="005C3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A2" w:rsidRDefault="005C3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A2" w:rsidRDefault="005C3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4EB" w:rsidRDefault="00B674EB" w:rsidP="004E2545">
      <w:pPr>
        <w:spacing w:after="0" w:line="240" w:lineRule="auto"/>
      </w:pPr>
      <w:r>
        <w:separator/>
      </w:r>
    </w:p>
  </w:footnote>
  <w:footnote w:type="continuationSeparator" w:id="0">
    <w:p w:rsidR="00B674EB" w:rsidRDefault="00B674EB" w:rsidP="004E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A2" w:rsidRDefault="00B674EB">
    <w:pPr>
      <w:pStyle w:val="Header"/>
    </w:pPr>
    <w:r>
      <w:rPr>
        <w:noProof/>
      </w:rPr>
      <w:pict w14:anchorId="1D5AB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A2" w:rsidRDefault="00B674EB">
    <w:pPr>
      <w:pStyle w:val="Header"/>
    </w:pPr>
    <w:r>
      <w:rPr>
        <w:noProof/>
      </w:rPr>
      <w:pict w14:anchorId="2DA4C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A2" w:rsidRDefault="00B674EB">
    <w:pPr>
      <w:pStyle w:val="Header"/>
    </w:pPr>
    <w:r>
      <w:rPr>
        <w:noProof/>
      </w:rPr>
      <w:pict w14:anchorId="2D9DF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519AC"/>
    <w:multiLevelType w:val="multilevel"/>
    <w:tmpl w:val="07F4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231B0"/>
    <w:multiLevelType w:val="hybridMultilevel"/>
    <w:tmpl w:val="7800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80C5A"/>
    <w:multiLevelType w:val="hybridMultilevel"/>
    <w:tmpl w:val="CDEEA48E"/>
    <w:lvl w:ilvl="0" w:tplc="857E935A">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41278"/>
    <w:multiLevelType w:val="hybridMultilevel"/>
    <w:tmpl w:val="8DD23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C66B72"/>
    <w:multiLevelType w:val="multilevel"/>
    <w:tmpl w:val="1676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160A1"/>
    <w:multiLevelType w:val="hybridMultilevel"/>
    <w:tmpl w:val="85DCCA4C"/>
    <w:lvl w:ilvl="0" w:tplc="64184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512"/>
    <w:rsid w:val="00005795"/>
    <w:rsid w:val="00005CF1"/>
    <w:rsid w:val="00010BB4"/>
    <w:rsid w:val="00017636"/>
    <w:rsid w:val="00060DF6"/>
    <w:rsid w:val="00094F7B"/>
    <w:rsid w:val="000A78EA"/>
    <w:rsid w:val="000B1E10"/>
    <w:rsid w:val="000B419E"/>
    <w:rsid w:val="000B51FF"/>
    <w:rsid w:val="000E1393"/>
    <w:rsid w:val="00102AA8"/>
    <w:rsid w:val="00151B4D"/>
    <w:rsid w:val="00197856"/>
    <w:rsid w:val="001A4D34"/>
    <w:rsid w:val="001E52B7"/>
    <w:rsid w:val="00232E7D"/>
    <w:rsid w:val="00243510"/>
    <w:rsid w:val="00244512"/>
    <w:rsid w:val="0024472A"/>
    <w:rsid w:val="00276161"/>
    <w:rsid w:val="00285245"/>
    <w:rsid w:val="00285709"/>
    <w:rsid w:val="002A52A3"/>
    <w:rsid w:val="002D6ACF"/>
    <w:rsid w:val="00302D3F"/>
    <w:rsid w:val="00314013"/>
    <w:rsid w:val="00362758"/>
    <w:rsid w:val="0037000B"/>
    <w:rsid w:val="003946FE"/>
    <w:rsid w:val="00413E6C"/>
    <w:rsid w:val="004C1E43"/>
    <w:rsid w:val="004E2545"/>
    <w:rsid w:val="004E29C4"/>
    <w:rsid w:val="004F07E1"/>
    <w:rsid w:val="005300C3"/>
    <w:rsid w:val="005472D3"/>
    <w:rsid w:val="005570AE"/>
    <w:rsid w:val="005A0DBD"/>
    <w:rsid w:val="005C26DA"/>
    <w:rsid w:val="005C3FA2"/>
    <w:rsid w:val="005D035B"/>
    <w:rsid w:val="005E4E70"/>
    <w:rsid w:val="00625DC9"/>
    <w:rsid w:val="006628CD"/>
    <w:rsid w:val="00674758"/>
    <w:rsid w:val="006824A2"/>
    <w:rsid w:val="00683735"/>
    <w:rsid w:val="006B025A"/>
    <w:rsid w:val="006D423B"/>
    <w:rsid w:val="00740AEA"/>
    <w:rsid w:val="00746702"/>
    <w:rsid w:val="007470D0"/>
    <w:rsid w:val="007637CB"/>
    <w:rsid w:val="00784A89"/>
    <w:rsid w:val="007C5BF5"/>
    <w:rsid w:val="007D2EDD"/>
    <w:rsid w:val="007E56C2"/>
    <w:rsid w:val="007E7282"/>
    <w:rsid w:val="007F29B6"/>
    <w:rsid w:val="00802887"/>
    <w:rsid w:val="00885250"/>
    <w:rsid w:val="008B12F5"/>
    <w:rsid w:val="008B20FF"/>
    <w:rsid w:val="008D2B00"/>
    <w:rsid w:val="008E6494"/>
    <w:rsid w:val="00901DB3"/>
    <w:rsid w:val="0090515A"/>
    <w:rsid w:val="009108D6"/>
    <w:rsid w:val="00915F3F"/>
    <w:rsid w:val="00924F75"/>
    <w:rsid w:val="009761C3"/>
    <w:rsid w:val="009A006A"/>
    <w:rsid w:val="009E6167"/>
    <w:rsid w:val="00A711A3"/>
    <w:rsid w:val="00B12AB7"/>
    <w:rsid w:val="00B13290"/>
    <w:rsid w:val="00B45970"/>
    <w:rsid w:val="00B516D9"/>
    <w:rsid w:val="00B54504"/>
    <w:rsid w:val="00B54E9A"/>
    <w:rsid w:val="00B674EB"/>
    <w:rsid w:val="00B67559"/>
    <w:rsid w:val="00B90D3F"/>
    <w:rsid w:val="00C1789B"/>
    <w:rsid w:val="00C540B0"/>
    <w:rsid w:val="00C8034E"/>
    <w:rsid w:val="00C84B73"/>
    <w:rsid w:val="00C861A8"/>
    <w:rsid w:val="00C97AD7"/>
    <w:rsid w:val="00CB2247"/>
    <w:rsid w:val="00CB4332"/>
    <w:rsid w:val="00D2066B"/>
    <w:rsid w:val="00D20EFD"/>
    <w:rsid w:val="00DF6141"/>
    <w:rsid w:val="00E2697F"/>
    <w:rsid w:val="00E27231"/>
    <w:rsid w:val="00E4008A"/>
    <w:rsid w:val="00E46A58"/>
    <w:rsid w:val="00EB0B65"/>
    <w:rsid w:val="00EB1D39"/>
    <w:rsid w:val="00EB20B2"/>
    <w:rsid w:val="00EB4C03"/>
    <w:rsid w:val="00ED7AF1"/>
    <w:rsid w:val="00F24BE4"/>
    <w:rsid w:val="00F70D33"/>
    <w:rsid w:val="00F72D4B"/>
    <w:rsid w:val="00F738C0"/>
    <w:rsid w:val="00F7541F"/>
    <w:rsid w:val="00FC3A07"/>
    <w:rsid w:val="00FD3885"/>
    <w:rsid w:val="00FD5A8C"/>
    <w:rsid w:val="00FE0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F3669"/>
  <w15:docId w15:val="{886D1E11-8381-4582-8C66-16786065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510"/>
  </w:style>
  <w:style w:type="paragraph" w:styleId="Heading3">
    <w:name w:val="heading 3"/>
    <w:basedOn w:val="Normal"/>
    <w:link w:val="Heading3Char"/>
    <w:uiPriority w:val="9"/>
    <w:qFormat/>
    <w:rsid w:val="007F29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29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447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47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8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887"/>
    <w:rPr>
      <w:i/>
      <w:iCs/>
    </w:rPr>
  </w:style>
  <w:style w:type="character" w:styleId="Strong">
    <w:name w:val="Strong"/>
    <w:basedOn w:val="DefaultParagraphFont"/>
    <w:uiPriority w:val="22"/>
    <w:qFormat/>
    <w:rsid w:val="005D035B"/>
    <w:rPr>
      <w:b/>
      <w:bCs/>
    </w:rPr>
  </w:style>
  <w:style w:type="paragraph" w:styleId="BalloonText">
    <w:name w:val="Balloon Text"/>
    <w:basedOn w:val="Normal"/>
    <w:link w:val="BalloonTextChar"/>
    <w:uiPriority w:val="99"/>
    <w:semiHidden/>
    <w:unhideWhenUsed/>
    <w:rsid w:val="000B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10"/>
    <w:rPr>
      <w:rFonts w:ascii="Tahoma" w:hAnsi="Tahoma" w:cs="Tahoma"/>
      <w:sz w:val="16"/>
      <w:szCs w:val="16"/>
    </w:rPr>
  </w:style>
  <w:style w:type="table" w:styleId="TableGrid">
    <w:name w:val="Table Grid"/>
    <w:basedOn w:val="TableNormal"/>
    <w:uiPriority w:val="59"/>
    <w:rsid w:val="002761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F29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29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2447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472A"/>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F24BE4"/>
  </w:style>
  <w:style w:type="paragraph" w:styleId="ListParagraph">
    <w:name w:val="List Paragraph"/>
    <w:basedOn w:val="Normal"/>
    <w:uiPriority w:val="34"/>
    <w:qFormat/>
    <w:rsid w:val="00F24BE4"/>
    <w:pPr>
      <w:ind w:left="720"/>
      <w:contextualSpacing/>
    </w:pPr>
  </w:style>
  <w:style w:type="paragraph" w:customStyle="1" w:styleId="ReferHead">
    <w:name w:val="Refer Head"/>
    <w:basedOn w:val="Normal"/>
    <w:rsid w:val="006B025A"/>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6B025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B13290"/>
    <w:rPr>
      <w:color w:val="0000FF" w:themeColor="hyperlink"/>
      <w:u w:val="single"/>
    </w:rPr>
  </w:style>
  <w:style w:type="paragraph" w:styleId="Header">
    <w:name w:val="header"/>
    <w:basedOn w:val="Normal"/>
    <w:link w:val="HeaderChar"/>
    <w:uiPriority w:val="99"/>
    <w:unhideWhenUsed/>
    <w:rsid w:val="004E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45"/>
  </w:style>
  <w:style w:type="paragraph" w:styleId="Footer">
    <w:name w:val="footer"/>
    <w:basedOn w:val="Normal"/>
    <w:link w:val="FooterChar"/>
    <w:uiPriority w:val="99"/>
    <w:unhideWhenUsed/>
    <w:rsid w:val="004E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45"/>
  </w:style>
  <w:style w:type="character" w:customStyle="1" w:styleId="UnresolvedMention1">
    <w:name w:val="Unresolved Mention1"/>
    <w:basedOn w:val="DefaultParagraphFont"/>
    <w:uiPriority w:val="99"/>
    <w:semiHidden/>
    <w:unhideWhenUsed/>
    <w:rsid w:val="00005CF1"/>
    <w:rPr>
      <w:color w:val="605E5C"/>
      <w:shd w:val="clear" w:color="auto" w:fill="E1DFDD"/>
    </w:rPr>
  </w:style>
  <w:style w:type="character" w:styleId="CommentReference">
    <w:name w:val="annotation reference"/>
    <w:basedOn w:val="DefaultParagraphFont"/>
    <w:uiPriority w:val="99"/>
    <w:semiHidden/>
    <w:unhideWhenUsed/>
    <w:rsid w:val="000B419E"/>
    <w:rPr>
      <w:sz w:val="16"/>
      <w:szCs w:val="16"/>
    </w:rPr>
  </w:style>
  <w:style w:type="paragraph" w:styleId="CommentText">
    <w:name w:val="annotation text"/>
    <w:basedOn w:val="Normal"/>
    <w:link w:val="CommentTextChar"/>
    <w:uiPriority w:val="99"/>
    <w:semiHidden/>
    <w:unhideWhenUsed/>
    <w:rsid w:val="000B419E"/>
    <w:pPr>
      <w:spacing w:line="240" w:lineRule="auto"/>
    </w:pPr>
    <w:rPr>
      <w:sz w:val="20"/>
      <w:szCs w:val="20"/>
    </w:rPr>
  </w:style>
  <w:style w:type="character" w:customStyle="1" w:styleId="CommentTextChar">
    <w:name w:val="Comment Text Char"/>
    <w:basedOn w:val="DefaultParagraphFont"/>
    <w:link w:val="CommentText"/>
    <w:uiPriority w:val="99"/>
    <w:semiHidden/>
    <w:rsid w:val="000B419E"/>
    <w:rPr>
      <w:sz w:val="20"/>
      <w:szCs w:val="20"/>
    </w:rPr>
  </w:style>
  <w:style w:type="paragraph" w:styleId="CommentSubject">
    <w:name w:val="annotation subject"/>
    <w:basedOn w:val="CommentText"/>
    <w:next w:val="CommentText"/>
    <w:link w:val="CommentSubjectChar"/>
    <w:uiPriority w:val="99"/>
    <w:semiHidden/>
    <w:unhideWhenUsed/>
    <w:rsid w:val="000B419E"/>
    <w:rPr>
      <w:b/>
      <w:bCs/>
    </w:rPr>
  </w:style>
  <w:style w:type="character" w:customStyle="1" w:styleId="CommentSubjectChar">
    <w:name w:val="Comment Subject Char"/>
    <w:basedOn w:val="CommentTextChar"/>
    <w:link w:val="CommentSubject"/>
    <w:uiPriority w:val="99"/>
    <w:semiHidden/>
    <w:rsid w:val="000B4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5985">
      <w:bodyDiv w:val="1"/>
      <w:marLeft w:val="0"/>
      <w:marRight w:val="0"/>
      <w:marTop w:val="0"/>
      <w:marBottom w:val="0"/>
      <w:divBdr>
        <w:top w:val="none" w:sz="0" w:space="0" w:color="auto"/>
        <w:left w:val="none" w:sz="0" w:space="0" w:color="auto"/>
        <w:bottom w:val="none" w:sz="0" w:space="0" w:color="auto"/>
        <w:right w:val="none" w:sz="0" w:space="0" w:color="auto"/>
      </w:divBdr>
    </w:div>
    <w:div w:id="68112904">
      <w:bodyDiv w:val="1"/>
      <w:marLeft w:val="0"/>
      <w:marRight w:val="0"/>
      <w:marTop w:val="0"/>
      <w:marBottom w:val="0"/>
      <w:divBdr>
        <w:top w:val="none" w:sz="0" w:space="0" w:color="auto"/>
        <w:left w:val="none" w:sz="0" w:space="0" w:color="auto"/>
        <w:bottom w:val="none" w:sz="0" w:space="0" w:color="auto"/>
        <w:right w:val="none" w:sz="0" w:space="0" w:color="auto"/>
      </w:divBdr>
    </w:div>
    <w:div w:id="107314515">
      <w:bodyDiv w:val="1"/>
      <w:marLeft w:val="0"/>
      <w:marRight w:val="0"/>
      <w:marTop w:val="0"/>
      <w:marBottom w:val="0"/>
      <w:divBdr>
        <w:top w:val="none" w:sz="0" w:space="0" w:color="auto"/>
        <w:left w:val="none" w:sz="0" w:space="0" w:color="auto"/>
        <w:bottom w:val="none" w:sz="0" w:space="0" w:color="auto"/>
        <w:right w:val="none" w:sz="0" w:space="0" w:color="auto"/>
      </w:divBdr>
    </w:div>
    <w:div w:id="244077366">
      <w:bodyDiv w:val="1"/>
      <w:marLeft w:val="0"/>
      <w:marRight w:val="0"/>
      <w:marTop w:val="0"/>
      <w:marBottom w:val="0"/>
      <w:divBdr>
        <w:top w:val="none" w:sz="0" w:space="0" w:color="auto"/>
        <w:left w:val="none" w:sz="0" w:space="0" w:color="auto"/>
        <w:bottom w:val="none" w:sz="0" w:space="0" w:color="auto"/>
        <w:right w:val="none" w:sz="0" w:space="0" w:color="auto"/>
      </w:divBdr>
    </w:div>
    <w:div w:id="307977685">
      <w:bodyDiv w:val="1"/>
      <w:marLeft w:val="0"/>
      <w:marRight w:val="0"/>
      <w:marTop w:val="0"/>
      <w:marBottom w:val="0"/>
      <w:divBdr>
        <w:top w:val="none" w:sz="0" w:space="0" w:color="auto"/>
        <w:left w:val="none" w:sz="0" w:space="0" w:color="auto"/>
        <w:bottom w:val="none" w:sz="0" w:space="0" w:color="auto"/>
        <w:right w:val="none" w:sz="0" w:space="0" w:color="auto"/>
      </w:divBdr>
    </w:div>
    <w:div w:id="313219822">
      <w:bodyDiv w:val="1"/>
      <w:marLeft w:val="0"/>
      <w:marRight w:val="0"/>
      <w:marTop w:val="0"/>
      <w:marBottom w:val="0"/>
      <w:divBdr>
        <w:top w:val="none" w:sz="0" w:space="0" w:color="auto"/>
        <w:left w:val="none" w:sz="0" w:space="0" w:color="auto"/>
        <w:bottom w:val="none" w:sz="0" w:space="0" w:color="auto"/>
        <w:right w:val="none" w:sz="0" w:space="0" w:color="auto"/>
      </w:divBdr>
    </w:div>
    <w:div w:id="471412077">
      <w:bodyDiv w:val="1"/>
      <w:marLeft w:val="0"/>
      <w:marRight w:val="0"/>
      <w:marTop w:val="0"/>
      <w:marBottom w:val="0"/>
      <w:divBdr>
        <w:top w:val="none" w:sz="0" w:space="0" w:color="auto"/>
        <w:left w:val="none" w:sz="0" w:space="0" w:color="auto"/>
        <w:bottom w:val="none" w:sz="0" w:space="0" w:color="auto"/>
        <w:right w:val="none" w:sz="0" w:space="0" w:color="auto"/>
      </w:divBdr>
      <w:divsChild>
        <w:div w:id="982351837">
          <w:marLeft w:val="0"/>
          <w:marRight w:val="0"/>
          <w:marTop w:val="0"/>
          <w:marBottom w:val="0"/>
          <w:divBdr>
            <w:top w:val="none" w:sz="0" w:space="0" w:color="auto"/>
            <w:left w:val="none" w:sz="0" w:space="0" w:color="auto"/>
            <w:bottom w:val="none" w:sz="0" w:space="0" w:color="auto"/>
            <w:right w:val="none" w:sz="0" w:space="0" w:color="auto"/>
          </w:divBdr>
          <w:divsChild>
            <w:div w:id="2117434952">
              <w:marLeft w:val="0"/>
              <w:marRight w:val="0"/>
              <w:marTop w:val="0"/>
              <w:marBottom w:val="0"/>
              <w:divBdr>
                <w:top w:val="none" w:sz="0" w:space="0" w:color="auto"/>
                <w:left w:val="none" w:sz="0" w:space="0" w:color="auto"/>
                <w:bottom w:val="none" w:sz="0" w:space="0" w:color="auto"/>
                <w:right w:val="none" w:sz="0" w:space="0" w:color="auto"/>
              </w:divBdr>
              <w:divsChild>
                <w:div w:id="680548385">
                  <w:marLeft w:val="0"/>
                  <w:marRight w:val="0"/>
                  <w:marTop w:val="0"/>
                  <w:marBottom w:val="0"/>
                  <w:divBdr>
                    <w:top w:val="none" w:sz="0" w:space="0" w:color="auto"/>
                    <w:left w:val="none" w:sz="0" w:space="0" w:color="auto"/>
                    <w:bottom w:val="none" w:sz="0" w:space="0" w:color="auto"/>
                    <w:right w:val="none" w:sz="0" w:space="0" w:color="auto"/>
                  </w:divBdr>
                  <w:divsChild>
                    <w:div w:id="1988629153">
                      <w:marLeft w:val="0"/>
                      <w:marRight w:val="0"/>
                      <w:marTop w:val="0"/>
                      <w:marBottom w:val="0"/>
                      <w:divBdr>
                        <w:top w:val="none" w:sz="0" w:space="0" w:color="auto"/>
                        <w:left w:val="none" w:sz="0" w:space="0" w:color="auto"/>
                        <w:bottom w:val="none" w:sz="0" w:space="0" w:color="auto"/>
                        <w:right w:val="none" w:sz="0" w:space="0" w:color="auto"/>
                      </w:divBdr>
                      <w:divsChild>
                        <w:div w:id="1568152070">
                          <w:marLeft w:val="0"/>
                          <w:marRight w:val="0"/>
                          <w:marTop w:val="0"/>
                          <w:marBottom w:val="0"/>
                          <w:divBdr>
                            <w:top w:val="none" w:sz="0" w:space="0" w:color="auto"/>
                            <w:left w:val="none" w:sz="0" w:space="0" w:color="auto"/>
                            <w:bottom w:val="none" w:sz="0" w:space="0" w:color="auto"/>
                            <w:right w:val="none" w:sz="0" w:space="0" w:color="auto"/>
                          </w:divBdr>
                          <w:divsChild>
                            <w:div w:id="1926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65362">
          <w:marLeft w:val="0"/>
          <w:marRight w:val="0"/>
          <w:marTop w:val="0"/>
          <w:marBottom w:val="0"/>
          <w:divBdr>
            <w:top w:val="none" w:sz="0" w:space="0" w:color="auto"/>
            <w:left w:val="none" w:sz="0" w:space="0" w:color="auto"/>
            <w:bottom w:val="none" w:sz="0" w:space="0" w:color="auto"/>
            <w:right w:val="none" w:sz="0" w:space="0" w:color="auto"/>
          </w:divBdr>
          <w:divsChild>
            <w:div w:id="820997503">
              <w:marLeft w:val="0"/>
              <w:marRight w:val="0"/>
              <w:marTop w:val="0"/>
              <w:marBottom w:val="0"/>
              <w:divBdr>
                <w:top w:val="none" w:sz="0" w:space="0" w:color="auto"/>
                <w:left w:val="none" w:sz="0" w:space="0" w:color="auto"/>
                <w:bottom w:val="none" w:sz="0" w:space="0" w:color="auto"/>
                <w:right w:val="none" w:sz="0" w:space="0" w:color="auto"/>
              </w:divBdr>
              <w:divsChild>
                <w:div w:id="673652646">
                  <w:marLeft w:val="0"/>
                  <w:marRight w:val="0"/>
                  <w:marTop w:val="0"/>
                  <w:marBottom w:val="0"/>
                  <w:divBdr>
                    <w:top w:val="none" w:sz="0" w:space="0" w:color="auto"/>
                    <w:left w:val="none" w:sz="0" w:space="0" w:color="auto"/>
                    <w:bottom w:val="none" w:sz="0" w:space="0" w:color="auto"/>
                    <w:right w:val="none" w:sz="0" w:space="0" w:color="auto"/>
                  </w:divBdr>
                  <w:divsChild>
                    <w:div w:id="779298546">
                      <w:marLeft w:val="0"/>
                      <w:marRight w:val="0"/>
                      <w:marTop w:val="0"/>
                      <w:marBottom w:val="0"/>
                      <w:divBdr>
                        <w:top w:val="none" w:sz="0" w:space="0" w:color="auto"/>
                        <w:left w:val="none" w:sz="0" w:space="0" w:color="auto"/>
                        <w:bottom w:val="none" w:sz="0" w:space="0" w:color="auto"/>
                        <w:right w:val="none" w:sz="0" w:space="0" w:color="auto"/>
                      </w:divBdr>
                      <w:divsChild>
                        <w:div w:id="2053571565">
                          <w:marLeft w:val="0"/>
                          <w:marRight w:val="0"/>
                          <w:marTop w:val="0"/>
                          <w:marBottom w:val="0"/>
                          <w:divBdr>
                            <w:top w:val="none" w:sz="0" w:space="0" w:color="auto"/>
                            <w:left w:val="none" w:sz="0" w:space="0" w:color="auto"/>
                            <w:bottom w:val="none" w:sz="0" w:space="0" w:color="auto"/>
                            <w:right w:val="none" w:sz="0" w:space="0" w:color="auto"/>
                          </w:divBdr>
                          <w:divsChild>
                            <w:div w:id="999621982">
                              <w:marLeft w:val="0"/>
                              <w:marRight w:val="0"/>
                              <w:marTop w:val="0"/>
                              <w:marBottom w:val="0"/>
                              <w:divBdr>
                                <w:top w:val="none" w:sz="0" w:space="0" w:color="auto"/>
                                <w:left w:val="none" w:sz="0" w:space="0" w:color="auto"/>
                                <w:bottom w:val="none" w:sz="0" w:space="0" w:color="auto"/>
                                <w:right w:val="none" w:sz="0" w:space="0" w:color="auto"/>
                              </w:divBdr>
                              <w:divsChild>
                                <w:div w:id="1660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1970">
          <w:marLeft w:val="0"/>
          <w:marRight w:val="0"/>
          <w:marTop w:val="0"/>
          <w:marBottom w:val="0"/>
          <w:divBdr>
            <w:top w:val="none" w:sz="0" w:space="0" w:color="auto"/>
            <w:left w:val="none" w:sz="0" w:space="0" w:color="auto"/>
            <w:bottom w:val="none" w:sz="0" w:space="0" w:color="auto"/>
            <w:right w:val="none" w:sz="0" w:space="0" w:color="auto"/>
          </w:divBdr>
          <w:divsChild>
            <w:div w:id="1666207936">
              <w:marLeft w:val="0"/>
              <w:marRight w:val="0"/>
              <w:marTop w:val="0"/>
              <w:marBottom w:val="0"/>
              <w:divBdr>
                <w:top w:val="none" w:sz="0" w:space="0" w:color="auto"/>
                <w:left w:val="none" w:sz="0" w:space="0" w:color="auto"/>
                <w:bottom w:val="none" w:sz="0" w:space="0" w:color="auto"/>
                <w:right w:val="none" w:sz="0" w:space="0" w:color="auto"/>
              </w:divBdr>
              <w:divsChild>
                <w:div w:id="226039642">
                  <w:marLeft w:val="0"/>
                  <w:marRight w:val="0"/>
                  <w:marTop w:val="0"/>
                  <w:marBottom w:val="0"/>
                  <w:divBdr>
                    <w:top w:val="none" w:sz="0" w:space="0" w:color="auto"/>
                    <w:left w:val="none" w:sz="0" w:space="0" w:color="auto"/>
                    <w:bottom w:val="none" w:sz="0" w:space="0" w:color="auto"/>
                    <w:right w:val="none" w:sz="0" w:space="0" w:color="auto"/>
                  </w:divBdr>
                  <w:divsChild>
                    <w:div w:id="343439672">
                      <w:marLeft w:val="0"/>
                      <w:marRight w:val="0"/>
                      <w:marTop w:val="0"/>
                      <w:marBottom w:val="0"/>
                      <w:divBdr>
                        <w:top w:val="none" w:sz="0" w:space="0" w:color="auto"/>
                        <w:left w:val="none" w:sz="0" w:space="0" w:color="auto"/>
                        <w:bottom w:val="none" w:sz="0" w:space="0" w:color="auto"/>
                        <w:right w:val="none" w:sz="0" w:space="0" w:color="auto"/>
                      </w:divBdr>
                      <w:divsChild>
                        <w:div w:id="1298415664">
                          <w:marLeft w:val="0"/>
                          <w:marRight w:val="0"/>
                          <w:marTop w:val="0"/>
                          <w:marBottom w:val="0"/>
                          <w:divBdr>
                            <w:top w:val="none" w:sz="0" w:space="0" w:color="auto"/>
                            <w:left w:val="none" w:sz="0" w:space="0" w:color="auto"/>
                            <w:bottom w:val="none" w:sz="0" w:space="0" w:color="auto"/>
                            <w:right w:val="none" w:sz="0" w:space="0" w:color="auto"/>
                          </w:divBdr>
                          <w:divsChild>
                            <w:div w:id="3366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69901">
      <w:bodyDiv w:val="1"/>
      <w:marLeft w:val="0"/>
      <w:marRight w:val="0"/>
      <w:marTop w:val="0"/>
      <w:marBottom w:val="0"/>
      <w:divBdr>
        <w:top w:val="none" w:sz="0" w:space="0" w:color="auto"/>
        <w:left w:val="none" w:sz="0" w:space="0" w:color="auto"/>
        <w:bottom w:val="none" w:sz="0" w:space="0" w:color="auto"/>
        <w:right w:val="none" w:sz="0" w:space="0" w:color="auto"/>
      </w:divBdr>
    </w:div>
    <w:div w:id="893393043">
      <w:bodyDiv w:val="1"/>
      <w:marLeft w:val="0"/>
      <w:marRight w:val="0"/>
      <w:marTop w:val="0"/>
      <w:marBottom w:val="0"/>
      <w:divBdr>
        <w:top w:val="none" w:sz="0" w:space="0" w:color="auto"/>
        <w:left w:val="none" w:sz="0" w:space="0" w:color="auto"/>
        <w:bottom w:val="none" w:sz="0" w:space="0" w:color="auto"/>
        <w:right w:val="none" w:sz="0" w:space="0" w:color="auto"/>
      </w:divBdr>
    </w:div>
    <w:div w:id="1062410354">
      <w:bodyDiv w:val="1"/>
      <w:marLeft w:val="0"/>
      <w:marRight w:val="0"/>
      <w:marTop w:val="0"/>
      <w:marBottom w:val="0"/>
      <w:divBdr>
        <w:top w:val="none" w:sz="0" w:space="0" w:color="auto"/>
        <w:left w:val="none" w:sz="0" w:space="0" w:color="auto"/>
        <w:bottom w:val="none" w:sz="0" w:space="0" w:color="auto"/>
        <w:right w:val="none" w:sz="0" w:space="0" w:color="auto"/>
      </w:divBdr>
    </w:div>
    <w:div w:id="1237279787">
      <w:bodyDiv w:val="1"/>
      <w:marLeft w:val="0"/>
      <w:marRight w:val="0"/>
      <w:marTop w:val="0"/>
      <w:marBottom w:val="0"/>
      <w:divBdr>
        <w:top w:val="none" w:sz="0" w:space="0" w:color="auto"/>
        <w:left w:val="none" w:sz="0" w:space="0" w:color="auto"/>
        <w:bottom w:val="none" w:sz="0" w:space="0" w:color="auto"/>
        <w:right w:val="none" w:sz="0" w:space="0" w:color="auto"/>
      </w:divBdr>
    </w:div>
    <w:div w:id="1251085095">
      <w:bodyDiv w:val="1"/>
      <w:marLeft w:val="0"/>
      <w:marRight w:val="0"/>
      <w:marTop w:val="0"/>
      <w:marBottom w:val="0"/>
      <w:divBdr>
        <w:top w:val="none" w:sz="0" w:space="0" w:color="auto"/>
        <w:left w:val="none" w:sz="0" w:space="0" w:color="auto"/>
        <w:bottom w:val="none" w:sz="0" w:space="0" w:color="auto"/>
        <w:right w:val="none" w:sz="0" w:space="0" w:color="auto"/>
      </w:divBdr>
    </w:div>
    <w:div w:id="1447965022">
      <w:bodyDiv w:val="1"/>
      <w:marLeft w:val="0"/>
      <w:marRight w:val="0"/>
      <w:marTop w:val="0"/>
      <w:marBottom w:val="0"/>
      <w:divBdr>
        <w:top w:val="none" w:sz="0" w:space="0" w:color="auto"/>
        <w:left w:val="none" w:sz="0" w:space="0" w:color="auto"/>
        <w:bottom w:val="none" w:sz="0" w:space="0" w:color="auto"/>
        <w:right w:val="none" w:sz="0" w:space="0" w:color="auto"/>
      </w:divBdr>
    </w:div>
    <w:div w:id="1546138774">
      <w:bodyDiv w:val="1"/>
      <w:marLeft w:val="0"/>
      <w:marRight w:val="0"/>
      <w:marTop w:val="0"/>
      <w:marBottom w:val="0"/>
      <w:divBdr>
        <w:top w:val="none" w:sz="0" w:space="0" w:color="auto"/>
        <w:left w:val="none" w:sz="0" w:space="0" w:color="auto"/>
        <w:bottom w:val="none" w:sz="0" w:space="0" w:color="auto"/>
        <w:right w:val="none" w:sz="0" w:space="0" w:color="auto"/>
      </w:divBdr>
    </w:div>
    <w:div w:id="16303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iortech.2009.04.010" TargetMode="External"/><Relationship Id="rId21" Type="http://schemas.openxmlformats.org/officeDocument/2006/relationships/hyperlink" Target="https://doi.org/10.51470/PLANTARCHIVES.2022.v22.splecialissue.048" TargetMode="External"/><Relationship Id="rId42" Type="http://schemas.openxmlformats.org/officeDocument/2006/relationships/hyperlink" Target="https://doi.org/10.1007/s11250-022-03323-3" TargetMode="External"/><Relationship Id="rId47" Type="http://schemas.openxmlformats.org/officeDocument/2006/relationships/hyperlink" Target="https://doi.org/10.70189/1992-9498.1246" TargetMode="External"/><Relationship Id="rId63" Type="http://schemas.openxmlformats.org/officeDocument/2006/relationships/hyperlink" Target="https://doi.org/10.1002/arch.21723" TargetMode="External"/><Relationship Id="rId68" Type="http://schemas.openxmlformats.org/officeDocument/2006/relationships/hyperlink" Target="https://doi.org/10.1186/s12941-014-0057-x" TargetMode="Externa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hyperlink" Target="http://dx.doi.org/10.22270/jddt.v13i5.5823" TargetMode="External"/><Relationship Id="rId37" Type="http://schemas.openxmlformats.org/officeDocument/2006/relationships/hyperlink" Target="https://doi.org/10.3390/molecules28207032" TargetMode="External"/><Relationship Id="rId53" Type="http://schemas.openxmlformats.org/officeDocument/2006/relationships/hyperlink" Target="https://doi.org/10.3390/insects14030254" TargetMode="External"/><Relationship Id="rId58" Type="http://schemas.openxmlformats.org/officeDocument/2006/relationships/hyperlink" Target="http://dx.doi.org/10.29321/MAJ.10.000523" TargetMode="External"/><Relationship Id="rId74" Type="http://schemas.openxmlformats.org/officeDocument/2006/relationships/hyperlink" Target="https://doi.org/10.4314/br.v8i1.62552"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016/S1995-7645(11)60178-8" TargetMode="External"/><Relationship Id="rId82" Type="http://schemas.openxmlformats.org/officeDocument/2006/relationships/theme" Target="theme/theme1.xml"/><Relationship Id="rId19" Type="http://schemas.openxmlformats.org/officeDocument/2006/relationships/hyperlink" Target="https://doi.org/10.1007/978-981-10-3304-9_10" TargetMode="External"/><Relationship Id="rId14" Type="http://schemas.openxmlformats.org/officeDocument/2006/relationships/diagramData" Target="diagrams/data2.xml"/><Relationship Id="rId22" Type="http://schemas.openxmlformats.org/officeDocument/2006/relationships/hyperlink" Target="https://doi.org/10.1016/j.cofs.2022.100818" TargetMode="External"/><Relationship Id="rId27" Type="http://schemas.openxmlformats.org/officeDocument/2006/relationships/hyperlink" Target="https://doi.org/10.1016/j.aspen.2024.102312" TargetMode="External"/><Relationship Id="rId30" Type="http://schemas.openxmlformats.org/officeDocument/2006/relationships/hyperlink" Target="https://doi.org/10.1016/j.eclinm.2021.100997" TargetMode="External"/><Relationship Id="rId35" Type="http://schemas.openxmlformats.org/officeDocument/2006/relationships/hyperlink" Target="https://doi.org/10.1016/j.focha.2023.100382" TargetMode="External"/><Relationship Id="rId43" Type="http://schemas.openxmlformats.org/officeDocument/2006/relationships/hyperlink" Target="https://doi.org/10.3177/jnsv.56.446" TargetMode="External"/><Relationship Id="rId48" Type="http://schemas.openxmlformats.org/officeDocument/2006/relationships/hyperlink" Target="https://doi.org/10.1017/S1742758414000526" TargetMode="External"/><Relationship Id="rId56" Type="http://schemas.openxmlformats.org/officeDocument/2006/relationships/hyperlink" Target="http://dx.doi.org/10.5923/j.economics.20120203.04" TargetMode="External"/><Relationship Id="rId64" Type="http://schemas.openxmlformats.org/officeDocument/2006/relationships/hyperlink" Target="https://doi.org/10.28941/pjwsr.v27i4.1012" TargetMode="External"/><Relationship Id="rId69" Type="http://schemas.openxmlformats.org/officeDocument/2006/relationships/hyperlink" Target="https://dx.doi.org/10.7324/JAPS.2013.30328"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3390/medicines5030093" TargetMode="External"/><Relationship Id="rId72" Type="http://schemas.openxmlformats.org/officeDocument/2006/relationships/hyperlink" Target="https://doi.org/10.2174/2211352521666230126123021"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doi.org/10.3157/021.132.0304" TargetMode="External"/><Relationship Id="rId33" Type="http://schemas.openxmlformats.org/officeDocument/2006/relationships/hyperlink" Target="https://doi.org/10.1016/j.bcab.2023.102985" TargetMode="External"/><Relationship Id="rId38" Type="http://schemas.openxmlformats.org/officeDocument/2006/relationships/hyperlink" Target="https://doi.org/10.1016/j.foohum.2024.100418" TargetMode="External"/><Relationship Id="rId46" Type="http://schemas.openxmlformats.org/officeDocument/2006/relationships/hyperlink" Target="https://doi.org/10.1016/j.lwt.2020.109900" TargetMode="External"/><Relationship Id="rId59" Type="http://schemas.openxmlformats.org/officeDocument/2006/relationships/hyperlink" Target="https://doi.org/10.1155/2014/823705" TargetMode="External"/><Relationship Id="rId67" Type="http://schemas.openxmlformats.org/officeDocument/2006/relationships/hyperlink" Target="http://dx.doi.org/10.21608/ejchem.2022.127880.5681" TargetMode="External"/><Relationship Id="rId20" Type="http://schemas.openxmlformats.org/officeDocument/2006/relationships/hyperlink" Target="http://doi.org/10.22438/jeb/44/3(SI)/JEB-13" TargetMode="External"/><Relationship Id="rId41" Type="http://schemas.openxmlformats.org/officeDocument/2006/relationships/hyperlink" Target="https://doi.org/10.1080/03670244.1997.9991524" TargetMode="External"/><Relationship Id="rId54" Type="http://schemas.openxmlformats.org/officeDocument/2006/relationships/hyperlink" Target="https://doi.org/10.3390/foods11244084" TargetMode="External"/><Relationship Id="rId62" Type="http://schemas.openxmlformats.org/officeDocument/2006/relationships/hyperlink" Target="https://doi.org/10.1080/22311866.2020.1865836" TargetMode="External"/><Relationship Id="rId70" Type="http://schemas.openxmlformats.org/officeDocument/2006/relationships/hyperlink" Target="http://dx.doi.org/10.1194/jlr.M079145"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doi.org/10.1038/s41538-024-00284-9" TargetMode="External"/><Relationship Id="rId28" Type="http://schemas.openxmlformats.org/officeDocument/2006/relationships/hyperlink" Target="https://doi.org/10.5650/jos.51.681" TargetMode="External"/><Relationship Id="rId36" Type="http://schemas.openxmlformats.org/officeDocument/2006/relationships/hyperlink" Target="https://doi.org/10.3389/fnut.2023.1121508" TargetMode="External"/><Relationship Id="rId49" Type="http://schemas.openxmlformats.org/officeDocument/2006/relationships/hyperlink" Target="https://doi.org/10.1002/fsn3.2428" TargetMode="External"/><Relationship Id="rId57" Type="http://schemas.openxmlformats.org/officeDocument/2006/relationships/hyperlink" Target="https://doi.org/10.1016/j.jics.2024.101248" TargetMode="External"/><Relationship Id="rId10" Type="http://schemas.openxmlformats.org/officeDocument/2006/relationships/diagramLayout" Target="diagrams/layout1.xml"/><Relationship Id="rId31" Type="http://schemas.openxmlformats.org/officeDocument/2006/relationships/hyperlink" Target="https://doi.org/10.21048/IJND.2021.58.4.28086" TargetMode="External"/><Relationship Id="rId44" Type="http://schemas.openxmlformats.org/officeDocument/2006/relationships/hyperlink" Target="https://doi.org/10.1016/j.jacc.2020.05.077" TargetMode="External"/><Relationship Id="rId52" Type="http://schemas.openxmlformats.org/officeDocument/2006/relationships/hyperlink" Target="https://doi.org/10.1016/j.jep.2003.12.013" TargetMode="External"/><Relationship Id="rId60" Type="http://schemas.openxmlformats.org/officeDocument/2006/relationships/hyperlink" Target="https://doi.org/10.1016/j.prenap.2024.100086" TargetMode="External"/><Relationship Id="rId65" Type="http://schemas.openxmlformats.org/officeDocument/2006/relationships/hyperlink" Target="https://doi.org/10.1016/j.taap.2017.12.009" TargetMode="External"/><Relationship Id="rId73" Type="http://schemas.openxmlformats.org/officeDocument/2006/relationships/hyperlink" Target="https://doi.org/10.1155/2022/3382302"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dx.doi.org/10.1002/9780470999516" TargetMode="External"/><Relationship Id="rId34" Type="http://schemas.openxmlformats.org/officeDocument/2006/relationships/hyperlink" Target="https://doi.org/10.1007/s13205-022-03443-5" TargetMode="External"/><Relationship Id="rId50" Type="http://schemas.openxmlformats.org/officeDocument/2006/relationships/hyperlink" Target="https://doi.org/10.1016/j.jfca.2006.04.008" TargetMode="External"/><Relationship Id="rId55" Type="http://schemas.openxmlformats.org/officeDocument/2006/relationships/hyperlink" Target="https://doi.org/10.46828/ijrisat.v3i2.56"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10.1007/s40097-020-00385-3" TargetMode="External"/><Relationship Id="rId2" Type="http://schemas.openxmlformats.org/officeDocument/2006/relationships/numbering" Target="numbering.xml"/><Relationship Id="rId29" Type="http://schemas.openxmlformats.org/officeDocument/2006/relationships/hyperlink" Target="http://dx.doi.org/10.4236/pp.2015.63020" TargetMode="External"/><Relationship Id="rId24" Type="http://schemas.openxmlformats.org/officeDocument/2006/relationships/hyperlink" Target="https://doi.org/10.1080/22311866.2020.1862704" TargetMode="External"/><Relationship Id="rId40" Type="http://schemas.openxmlformats.org/officeDocument/2006/relationships/hyperlink" Target="https://doi.org/10.1080/00439339.2023.2163955" TargetMode="External"/><Relationship Id="rId45" Type="http://schemas.openxmlformats.org/officeDocument/2006/relationships/hyperlink" Target="https://doi.org/10.1016/S0271-5317(03)00132-5" TargetMode="External"/><Relationship Id="rId66" Type="http://schemas.openxmlformats.org/officeDocument/2006/relationships/hyperlink" Target="https://doi.org/10.1007/s13399-022-03576-w"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A0621-C3FA-47E0-9A2C-628D5E74AD88}" type="doc">
      <dgm:prSet loTypeId="urn:microsoft.com/office/officeart/2005/8/layout/radial5" loCatId="cycle" qsTypeId="urn:microsoft.com/office/officeart/2005/8/quickstyle/simple4" qsCatId="simple" csTypeId="urn:microsoft.com/office/officeart/2005/8/colors/colorful1#1" csCatId="colorful" phldr="1"/>
      <dgm:spPr/>
      <dgm:t>
        <a:bodyPr/>
        <a:lstStyle/>
        <a:p>
          <a:endParaRPr lang="en-US"/>
        </a:p>
      </dgm:t>
    </dgm:pt>
    <dgm:pt modelId="{D0DDFB28-8929-4E15-BD2E-536EC7911709}">
      <dgm:prSet phldrT="[Text]" custT="1"/>
      <dgm:spPr/>
      <dgm:t>
        <a:bodyPr/>
        <a:lstStyle/>
        <a:p>
          <a:r>
            <a:rPr lang="en-US" sz="1200" b="1">
              <a:latin typeface="Arial" pitchFamily="34" charset="0"/>
              <a:cs typeface="Arial" pitchFamily="34" charset="0"/>
            </a:rPr>
            <a:t>Tasar pupal oil</a:t>
          </a:r>
        </a:p>
      </dgm:t>
    </dgm:pt>
    <dgm:pt modelId="{14A4EA4A-C9A4-4109-BB7F-97436B980EB2}" type="parTrans" cxnId="{831EFF6A-4B17-4779-B03C-728ADB4841C4}">
      <dgm:prSet/>
      <dgm:spPr/>
      <dgm:t>
        <a:bodyPr/>
        <a:lstStyle/>
        <a:p>
          <a:endParaRPr lang="en-US"/>
        </a:p>
      </dgm:t>
    </dgm:pt>
    <dgm:pt modelId="{A830A4F2-0A3A-45B6-9A8F-385CDF6ACB88}" type="sibTrans" cxnId="{831EFF6A-4B17-4779-B03C-728ADB4841C4}">
      <dgm:prSet/>
      <dgm:spPr/>
      <dgm:t>
        <a:bodyPr/>
        <a:lstStyle/>
        <a:p>
          <a:endParaRPr lang="en-US"/>
        </a:p>
      </dgm:t>
    </dgm:pt>
    <dgm:pt modelId="{C5363D82-8B8D-482E-B39B-9D21167D06E1}">
      <dgm:prSet phldrT="[Text]" custT="1"/>
      <dgm:spPr/>
      <dgm:t>
        <a:bodyPr/>
        <a:lstStyle/>
        <a:p>
          <a:r>
            <a:rPr lang="en-US" sz="900" b="1">
              <a:latin typeface="Arial" pitchFamily="34" charset="0"/>
              <a:cs typeface="Arial" pitchFamily="34" charset="0"/>
            </a:rPr>
            <a:t>Anti- bacterial</a:t>
          </a:r>
        </a:p>
      </dgm:t>
    </dgm:pt>
    <dgm:pt modelId="{8ACC1413-8665-4870-9004-CE9C512F7CD2}" type="parTrans" cxnId="{E316424C-707F-419C-B37E-139B98B0ADC6}">
      <dgm:prSet/>
      <dgm:spPr/>
      <dgm:t>
        <a:bodyPr/>
        <a:lstStyle/>
        <a:p>
          <a:endParaRPr lang="en-US"/>
        </a:p>
      </dgm:t>
    </dgm:pt>
    <dgm:pt modelId="{FE5B4595-16A1-4D1B-A8C2-F92BC5A1B160}" type="sibTrans" cxnId="{E316424C-707F-419C-B37E-139B98B0ADC6}">
      <dgm:prSet/>
      <dgm:spPr/>
      <dgm:t>
        <a:bodyPr/>
        <a:lstStyle/>
        <a:p>
          <a:endParaRPr lang="en-US"/>
        </a:p>
      </dgm:t>
    </dgm:pt>
    <dgm:pt modelId="{CF00D11E-6B1D-4F99-9864-91BB9CF223B5}">
      <dgm:prSet phldrT="[Text]" custT="1"/>
      <dgm:spPr/>
      <dgm:t>
        <a:bodyPr/>
        <a:lstStyle/>
        <a:p>
          <a:r>
            <a:rPr lang="en-US" sz="900" b="1">
              <a:latin typeface="Arial" pitchFamily="34" charset="0"/>
              <a:cs typeface="Arial" pitchFamily="34" charset="0"/>
            </a:rPr>
            <a:t>Antioxidant</a:t>
          </a:r>
          <a:endParaRPr lang="en-US" sz="900">
            <a:latin typeface="Arial" pitchFamily="34" charset="0"/>
            <a:cs typeface="Arial" pitchFamily="34" charset="0"/>
          </a:endParaRPr>
        </a:p>
      </dgm:t>
    </dgm:pt>
    <dgm:pt modelId="{DC149627-57B8-4D87-80DD-0370B5667DBC}" type="parTrans" cxnId="{436F45AF-27C5-46FB-8A77-1849BE52C903}">
      <dgm:prSet/>
      <dgm:spPr/>
      <dgm:t>
        <a:bodyPr/>
        <a:lstStyle/>
        <a:p>
          <a:endParaRPr lang="en-US"/>
        </a:p>
      </dgm:t>
    </dgm:pt>
    <dgm:pt modelId="{402E0BE2-BC3E-4D73-8D3D-3525140AB3EA}" type="sibTrans" cxnId="{436F45AF-27C5-46FB-8A77-1849BE52C903}">
      <dgm:prSet/>
      <dgm:spPr/>
      <dgm:t>
        <a:bodyPr/>
        <a:lstStyle/>
        <a:p>
          <a:endParaRPr lang="en-US"/>
        </a:p>
      </dgm:t>
    </dgm:pt>
    <dgm:pt modelId="{24D154E6-FCF4-431C-97E2-7EE439A9731C}">
      <dgm:prSet phldrT="[Text]" custT="1"/>
      <dgm:spPr/>
      <dgm:t>
        <a:bodyPr/>
        <a:lstStyle/>
        <a:p>
          <a:r>
            <a:rPr lang="en-US" sz="900" b="1">
              <a:latin typeface="Arial" pitchFamily="34" charset="0"/>
              <a:cs typeface="Arial" pitchFamily="34" charset="0"/>
            </a:rPr>
            <a:t>Anti-hyperlipidemic</a:t>
          </a:r>
          <a:endParaRPr lang="en-US" sz="900">
            <a:latin typeface="Arial" pitchFamily="34" charset="0"/>
            <a:cs typeface="Arial" pitchFamily="34" charset="0"/>
          </a:endParaRPr>
        </a:p>
      </dgm:t>
    </dgm:pt>
    <dgm:pt modelId="{3B8AA637-7DF4-40F4-9C4A-3D9807C3811D}" type="parTrans" cxnId="{D7B68C30-4BF4-4FCA-A228-783083C3C5B5}">
      <dgm:prSet/>
      <dgm:spPr/>
      <dgm:t>
        <a:bodyPr/>
        <a:lstStyle/>
        <a:p>
          <a:endParaRPr lang="en-US"/>
        </a:p>
      </dgm:t>
    </dgm:pt>
    <dgm:pt modelId="{E7F52947-3416-4730-A818-827A60A2C877}" type="sibTrans" cxnId="{D7B68C30-4BF4-4FCA-A228-783083C3C5B5}">
      <dgm:prSet/>
      <dgm:spPr/>
      <dgm:t>
        <a:bodyPr/>
        <a:lstStyle/>
        <a:p>
          <a:endParaRPr lang="en-US"/>
        </a:p>
      </dgm:t>
    </dgm:pt>
    <dgm:pt modelId="{7D16B83F-AA25-4DB0-930D-0642D704AA08}">
      <dgm:prSet phldrT="[Text]" custT="1"/>
      <dgm:spPr/>
      <dgm:t>
        <a:bodyPr/>
        <a:lstStyle/>
        <a:p>
          <a:r>
            <a:rPr lang="en-US" sz="900" b="1">
              <a:latin typeface="Arial" pitchFamily="34" charset="0"/>
              <a:cs typeface="Arial" pitchFamily="34" charset="0"/>
            </a:rPr>
            <a:t>Anticancer</a:t>
          </a:r>
          <a:endParaRPr lang="en-US" sz="900">
            <a:latin typeface="Arial" pitchFamily="34" charset="0"/>
            <a:cs typeface="Arial" pitchFamily="34" charset="0"/>
          </a:endParaRPr>
        </a:p>
      </dgm:t>
    </dgm:pt>
    <dgm:pt modelId="{0A1D8F41-5D90-4AD4-919F-5A0BA07B3522}" type="parTrans" cxnId="{22E1BF05-9A11-478A-A9CF-D1346AE5A971}">
      <dgm:prSet/>
      <dgm:spPr/>
      <dgm:t>
        <a:bodyPr/>
        <a:lstStyle/>
        <a:p>
          <a:endParaRPr lang="en-US"/>
        </a:p>
      </dgm:t>
    </dgm:pt>
    <dgm:pt modelId="{9666038D-DD23-4B95-AD45-3625F94C6C2F}" type="sibTrans" cxnId="{22E1BF05-9A11-478A-A9CF-D1346AE5A971}">
      <dgm:prSet/>
      <dgm:spPr/>
      <dgm:t>
        <a:bodyPr/>
        <a:lstStyle/>
        <a:p>
          <a:endParaRPr lang="en-US"/>
        </a:p>
      </dgm:t>
    </dgm:pt>
    <dgm:pt modelId="{C5D6C21F-9412-4BD9-BCEF-6B183466888C}">
      <dgm:prSet phldrT="[Text]" custT="1"/>
      <dgm:spPr/>
      <dgm:t>
        <a:bodyPr/>
        <a:lstStyle/>
        <a:p>
          <a:r>
            <a:rPr lang="en-US" sz="900" b="1">
              <a:latin typeface="Arial" pitchFamily="34" charset="0"/>
              <a:cs typeface="Arial" pitchFamily="34" charset="0"/>
            </a:rPr>
            <a:t>Anti- ulcerative</a:t>
          </a:r>
        </a:p>
      </dgm:t>
    </dgm:pt>
    <dgm:pt modelId="{7B9C5682-E32D-49FF-A366-AA72B6F4B094}" type="parTrans" cxnId="{D4A37B48-CDE6-43AE-BFE2-DD8D3ED46F8E}">
      <dgm:prSet/>
      <dgm:spPr/>
      <dgm:t>
        <a:bodyPr/>
        <a:lstStyle/>
        <a:p>
          <a:endParaRPr lang="en-US"/>
        </a:p>
      </dgm:t>
    </dgm:pt>
    <dgm:pt modelId="{389BBCE7-B2A3-4E11-AA64-F0F255BBE728}" type="sibTrans" cxnId="{D4A37B48-CDE6-43AE-BFE2-DD8D3ED46F8E}">
      <dgm:prSet/>
      <dgm:spPr/>
      <dgm:t>
        <a:bodyPr/>
        <a:lstStyle/>
        <a:p>
          <a:endParaRPr lang="en-US"/>
        </a:p>
      </dgm:t>
    </dgm:pt>
    <dgm:pt modelId="{A4CADD2F-44E8-4D99-AB10-BFD5049DCA5F}">
      <dgm:prSet phldrT="[Text]" custT="1"/>
      <dgm:spPr/>
      <dgm:t>
        <a:bodyPr/>
        <a:lstStyle/>
        <a:p>
          <a:r>
            <a:rPr lang="en-US" sz="900" b="1">
              <a:latin typeface="Arial" pitchFamily="34" charset="0"/>
              <a:cs typeface="Arial" pitchFamily="34" charset="0"/>
            </a:rPr>
            <a:t>Vasculoprotective</a:t>
          </a:r>
        </a:p>
      </dgm:t>
    </dgm:pt>
    <dgm:pt modelId="{62B17BE5-8F27-439A-BA30-3FAB0E72258C}" type="parTrans" cxnId="{AA104415-4968-44FF-88FE-E1806B330A13}">
      <dgm:prSet/>
      <dgm:spPr/>
      <dgm:t>
        <a:bodyPr/>
        <a:lstStyle/>
        <a:p>
          <a:endParaRPr lang="en-US"/>
        </a:p>
      </dgm:t>
    </dgm:pt>
    <dgm:pt modelId="{E6063D92-2BD5-43CB-9ADB-E7C16843E27C}" type="sibTrans" cxnId="{AA104415-4968-44FF-88FE-E1806B330A13}">
      <dgm:prSet/>
      <dgm:spPr/>
      <dgm:t>
        <a:bodyPr/>
        <a:lstStyle/>
        <a:p>
          <a:endParaRPr lang="en-US"/>
        </a:p>
      </dgm:t>
    </dgm:pt>
    <dgm:pt modelId="{E3E2FB51-41B3-4482-ACDE-47FA1F49CC09}">
      <dgm:prSet phldrT="[Text]" custT="1"/>
      <dgm:spPr/>
      <dgm:t>
        <a:bodyPr/>
        <a:lstStyle/>
        <a:p>
          <a:r>
            <a:rPr lang="en-US" sz="900" b="1">
              <a:latin typeface="Arial" pitchFamily="34" charset="0"/>
              <a:cs typeface="Arial" pitchFamily="34" charset="0"/>
            </a:rPr>
            <a:t>Hepatoprotective</a:t>
          </a:r>
        </a:p>
      </dgm:t>
    </dgm:pt>
    <dgm:pt modelId="{FB85E894-B327-451E-9584-CB09F3C259C7}" type="parTrans" cxnId="{9554C362-C13D-4268-B989-3259F1B081E1}">
      <dgm:prSet/>
      <dgm:spPr/>
      <dgm:t>
        <a:bodyPr/>
        <a:lstStyle/>
        <a:p>
          <a:endParaRPr lang="en-US"/>
        </a:p>
      </dgm:t>
    </dgm:pt>
    <dgm:pt modelId="{CD04CBFB-AAB8-47AD-BC36-B819F37C082E}" type="sibTrans" cxnId="{9554C362-C13D-4268-B989-3259F1B081E1}">
      <dgm:prSet/>
      <dgm:spPr/>
      <dgm:t>
        <a:bodyPr/>
        <a:lstStyle/>
        <a:p>
          <a:endParaRPr lang="en-US"/>
        </a:p>
      </dgm:t>
    </dgm:pt>
    <dgm:pt modelId="{5E497EF1-6F46-4E50-A8F9-2C02E69F8115}" type="pres">
      <dgm:prSet presAssocID="{FA6A0621-C3FA-47E0-9A2C-628D5E74AD88}" presName="Name0" presStyleCnt="0">
        <dgm:presLayoutVars>
          <dgm:chMax val="1"/>
          <dgm:dir/>
          <dgm:animLvl val="ctr"/>
          <dgm:resizeHandles val="exact"/>
        </dgm:presLayoutVars>
      </dgm:prSet>
      <dgm:spPr/>
    </dgm:pt>
    <dgm:pt modelId="{FC377C11-84F0-4319-A50E-8C2D8D714B38}" type="pres">
      <dgm:prSet presAssocID="{D0DDFB28-8929-4E15-BD2E-536EC7911709}" presName="centerShape" presStyleLbl="node0" presStyleIdx="0" presStyleCnt="1" custScaleX="118017" custScaleY="107548"/>
      <dgm:spPr/>
    </dgm:pt>
    <dgm:pt modelId="{3721234E-62A6-4304-B9F9-20079AFE61C1}" type="pres">
      <dgm:prSet presAssocID="{8ACC1413-8665-4870-9004-CE9C512F7CD2}" presName="parTrans" presStyleLbl="sibTrans2D1" presStyleIdx="0" presStyleCnt="7"/>
      <dgm:spPr/>
    </dgm:pt>
    <dgm:pt modelId="{0844BFC1-A82D-46E3-8E19-C4C1A57ACF1C}" type="pres">
      <dgm:prSet presAssocID="{8ACC1413-8665-4870-9004-CE9C512F7CD2}" presName="connectorText" presStyleLbl="sibTrans2D1" presStyleIdx="0" presStyleCnt="7"/>
      <dgm:spPr/>
    </dgm:pt>
    <dgm:pt modelId="{A054A105-BC2A-4EDC-BE73-FCD47C167E7D}" type="pres">
      <dgm:prSet presAssocID="{C5363D82-8B8D-482E-B39B-9D21167D06E1}" presName="node" presStyleLbl="node1" presStyleIdx="0" presStyleCnt="7" custScaleX="109569" custScaleY="101563">
        <dgm:presLayoutVars>
          <dgm:bulletEnabled val="1"/>
        </dgm:presLayoutVars>
      </dgm:prSet>
      <dgm:spPr/>
    </dgm:pt>
    <dgm:pt modelId="{7929F94B-8D50-4A52-80BD-5586FCCF529B}" type="pres">
      <dgm:prSet presAssocID="{DC149627-57B8-4D87-80DD-0370B5667DBC}" presName="parTrans" presStyleLbl="sibTrans2D1" presStyleIdx="1" presStyleCnt="7"/>
      <dgm:spPr/>
    </dgm:pt>
    <dgm:pt modelId="{8497F3B3-9177-4135-958B-8531E4382116}" type="pres">
      <dgm:prSet presAssocID="{DC149627-57B8-4D87-80DD-0370B5667DBC}" presName="connectorText" presStyleLbl="sibTrans2D1" presStyleIdx="1" presStyleCnt="7"/>
      <dgm:spPr/>
    </dgm:pt>
    <dgm:pt modelId="{149DEC05-F1C7-430E-B474-25A8878D2362}" type="pres">
      <dgm:prSet presAssocID="{CF00D11E-6B1D-4F99-9864-91BB9CF223B5}" presName="node" presStyleLbl="node1" presStyleIdx="1" presStyleCnt="7" custScaleX="115439" custScaleY="108502">
        <dgm:presLayoutVars>
          <dgm:bulletEnabled val="1"/>
        </dgm:presLayoutVars>
      </dgm:prSet>
      <dgm:spPr/>
    </dgm:pt>
    <dgm:pt modelId="{1076B71F-BC27-48A1-B604-31415EF43220}" type="pres">
      <dgm:prSet presAssocID="{3B8AA637-7DF4-40F4-9C4A-3D9807C3811D}" presName="parTrans" presStyleLbl="sibTrans2D1" presStyleIdx="2" presStyleCnt="7"/>
      <dgm:spPr/>
    </dgm:pt>
    <dgm:pt modelId="{59FF52EA-9E3E-4F44-96AE-5E32B0C3280D}" type="pres">
      <dgm:prSet presAssocID="{3B8AA637-7DF4-40F4-9C4A-3D9807C3811D}" presName="connectorText" presStyleLbl="sibTrans2D1" presStyleIdx="2" presStyleCnt="7"/>
      <dgm:spPr/>
    </dgm:pt>
    <dgm:pt modelId="{C6A8C450-9FDB-4E93-80FE-97024DB0A9B3}" type="pres">
      <dgm:prSet presAssocID="{24D154E6-FCF4-431C-97E2-7EE439A9731C}" presName="node" presStyleLbl="node1" presStyleIdx="2" presStyleCnt="7" custScaleX="117180" custScaleY="100737">
        <dgm:presLayoutVars>
          <dgm:bulletEnabled val="1"/>
        </dgm:presLayoutVars>
      </dgm:prSet>
      <dgm:spPr/>
    </dgm:pt>
    <dgm:pt modelId="{0BC0B7B8-346E-4FBF-A2FC-B6E7019F4FB2}" type="pres">
      <dgm:prSet presAssocID="{0A1D8F41-5D90-4AD4-919F-5A0BA07B3522}" presName="parTrans" presStyleLbl="sibTrans2D1" presStyleIdx="3" presStyleCnt="7"/>
      <dgm:spPr/>
    </dgm:pt>
    <dgm:pt modelId="{CBE4A9B2-83F6-4393-BBB9-66B82B9435A0}" type="pres">
      <dgm:prSet presAssocID="{0A1D8F41-5D90-4AD4-919F-5A0BA07B3522}" presName="connectorText" presStyleLbl="sibTrans2D1" presStyleIdx="3" presStyleCnt="7"/>
      <dgm:spPr/>
    </dgm:pt>
    <dgm:pt modelId="{1178CF03-9DBE-4A9A-9E38-4FDBF8378C8E}" type="pres">
      <dgm:prSet presAssocID="{7D16B83F-AA25-4DB0-930D-0642D704AA08}" presName="node" presStyleLbl="node1" presStyleIdx="3" presStyleCnt="7" custScaleX="109432" custScaleY="100491">
        <dgm:presLayoutVars>
          <dgm:bulletEnabled val="1"/>
        </dgm:presLayoutVars>
      </dgm:prSet>
      <dgm:spPr/>
    </dgm:pt>
    <dgm:pt modelId="{D5361CE1-18D1-497F-BD4C-FB410F5D1A2A}" type="pres">
      <dgm:prSet presAssocID="{7B9C5682-E32D-49FF-A366-AA72B6F4B094}" presName="parTrans" presStyleLbl="sibTrans2D1" presStyleIdx="4" presStyleCnt="7"/>
      <dgm:spPr/>
    </dgm:pt>
    <dgm:pt modelId="{9206A23D-E1AD-4239-936D-F57FCA2141BB}" type="pres">
      <dgm:prSet presAssocID="{7B9C5682-E32D-49FF-A366-AA72B6F4B094}" presName="connectorText" presStyleLbl="sibTrans2D1" presStyleIdx="4" presStyleCnt="7"/>
      <dgm:spPr/>
    </dgm:pt>
    <dgm:pt modelId="{E38864EF-8F7F-4D92-B8EF-89AAD2C3D685}" type="pres">
      <dgm:prSet presAssocID="{C5D6C21F-9412-4BD9-BCEF-6B183466888C}" presName="node" presStyleLbl="node1" presStyleIdx="4" presStyleCnt="7" custScaleX="111515" custScaleY="105994">
        <dgm:presLayoutVars>
          <dgm:bulletEnabled val="1"/>
        </dgm:presLayoutVars>
      </dgm:prSet>
      <dgm:spPr/>
    </dgm:pt>
    <dgm:pt modelId="{4258B1A2-6807-4A13-8937-5D4341C71050}" type="pres">
      <dgm:prSet presAssocID="{62B17BE5-8F27-439A-BA30-3FAB0E72258C}" presName="parTrans" presStyleLbl="sibTrans2D1" presStyleIdx="5" presStyleCnt="7"/>
      <dgm:spPr/>
    </dgm:pt>
    <dgm:pt modelId="{B9D20FB0-866A-4F45-9DCD-58B55BA1EF43}" type="pres">
      <dgm:prSet presAssocID="{62B17BE5-8F27-439A-BA30-3FAB0E72258C}" presName="connectorText" presStyleLbl="sibTrans2D1" presStyleIdx="5" presStyleCnt="7"/>
      <dgm:spPr/>
    </dgm:pt>
    <dgm:pt modelId="{5657B75D-2BCE-461E-B522-7C467F781830}" type="pres">
      <dgm:prSet presAssocID="{A4CADD2F-44E8-4D99-AB10-BFD5049DCA5F}" presName="node" presStyleLbl="node1" presStyleIdx="5" presStyleCnt="7" custScaleX="116983">
        <dgm:presLayoutVars>
          <dgm:bulletEnabled val="1"/>
        </dgm:presLayoutVars>
      </dgm:prSet>
      <dgm:spPr/>
    </dgm:pt>
    <dgm:pt modelId="{0142F93E-3B87-461E-AA90-FAE82F363AAB}" type="pres">
      <dgm:prSet presAssocID="{FB85E894-B327-451E-9584-CB09F3C259C7}" presName="parTrans" presStyleLbl="sibTrans2D1" presStyleIdx="6" presStyleCnt="7"/>
      <dgm:spPr/>
    </dgm:pt>
    <dgm:pt modelId="{518BE116-E8AB-43F8-9F78-081CF5E744CE}" type="pres">
      <dgm:prSet presAssocID="{FB85E894-B327-451E-9584-CB09F3C259C7}" presName="connectorText" presStyleLbl="sibTrans2D1" presStyleIdx="6" presStyleCnt="7"/>
      <dgm:spPr/>
    </dgm:pt>
    <dgm:pt modelId="{F281FA5E-0E32-42C0-ACBA-5AFAEE19DC95}" type="pres">
      <dgm:prSet presAssocID="{E3E2FB51-41B3-4482-ACDE-47FA1F49CC09}" presName="node" presStyleLbl="node1" presStyleIdx="6" presStyleCnt="7" custScaleX="120261">
        <dgm:presLayoutVars>
          <dgm:bulletEnabled val="1"/>
        </dgm:presLayoutVars>
      </dgm:prSet>
      <dgm:spPr/>
    </dgm:pt>
  </dgm:ptLst>
  <dgm:cxnLst>
    <dgm:cxn modelId="{22E1BF05-9A11-478A-A9CF-D1346AE5A971}" srcId="{D0DDFB28-8929-4E15-BD2E-536EC7911709}" destId="{7D16B83F-AA25-4DB0-930D-0642D704AA08}" srcOrd="3" destOrd="0" parTransId="{0A1D8F41-5D90-4AD4-919F-5A0BA07B3522}" sibTransId="{9666038D-DD23-4B95-AD45-3625F94C6C2F}"/>
    <dgm:cxn modelId="{C7C9CD0B-2953-49E7-B88E-042EBAC209AC}" type="presOf" srcId="{7D16B83F-AA25-4DB0-930D-0642D704AA08}" destId="{1178CF03-9DBE-4A9A-9E38-4FDBF8378C8E}" srcOrd="0" destOrd="0" presId="urn:microsoft.com/office/officeart/2005/8/layout/radial5"/>
    <dgm:cxn modelId="{AA104415-4968-44FF-88FE-E1806B330A13}" srcId="{D0DDFB28-8929-4E15-BD2E-536EC7911709}" destId="{A4CADD2F-44E8-4D99-AB10-BFD5049DCA5F}" srcOrd="5" destOrd="0" parTransId="{62B17BE5-8F27-439A-BA30-3FAB0E72258C}" sibTransId="{E6063D92-2BD5-43CB-9ADB-E7C16843E27C}"/>
    <dgm:cxn modelId="{FCF04122-6F58-473C-838D-3F5F4A4D9072}" type="presOf" srcId="{8ACC1413-8665-4870-9004-CE9C512F7CD2}" destId="{0844BFC1-A82D-46E3-8E19-C4C1A57ACF1C}" srcOrd="1" destOrd="0" presId="urn:microsoft.com/office/officeart/2005/8/layout/radial5"/>
    <dgm:cxn modelId="{626B3F27-8C8D-4262-A068-30EDF24BBE6F}" type="presOf" srcId="{E3E2FB51-41B3-4482-ACDE-47FA1F49CC09}" destId="{F281FA5E-0E32-42C0-ACBA-5AFAEE19DC95}" srcOrd="0" destOrd="0" presId="urn:microsoft.com/office/officeart/2005/8/layout/radial5"/>
    <dgm:cxn modelId="{D7B68C30-4BF4-4FCA-A228-783083C3C5B5}" srcId="{D0DDFB28-8929-4E15-BD2E-536EC7911709}" destId="{24D154E6-FCF4-431C-97E2-7EE439A9731C}" srcOrd="2" destOrd="0" parTransId="{3B8AA637-7DF4-40F4-9C4A-3D9807C3811D}" sibTransId="{E7F52947-3416-4730-A818-827A60A2C877}"/>
    <dgm:cxn modelId="{5B5A5A39-288C-4412-87C4-291BB423A82D}" type="presOf" srcId="{A4CADD2F-44E8-4D99-AB10-BFD5049DCA5F}" destId="{5657B75D-2BCE-461E-B522-7C467F781830}" srcOrd="0" destOrd="0" presId="urn:microsoft.com/office/officeart/2005/8/layout/radial5"/>
    <dgm:cxn modelId="{361DF93F-1C93-4F68-9785-FACD02B84072}" type="presOf" srcId="{62B17BE5-8F27-439A-BA30-3FAB0E72258C}" destId="{B9D20FB0-866A-4F45-9DCD-58B55BA1EF43}" srcOrd="1" destOrd="0" presId="urn:microsoft.com/office/officeart/2005/8/layout/radial5"/>
    <dgm:cxn modelId="{CC34985B-C3AC-4E9D-89B5-FFF35F5EF9CD}" type="presOf" srcId="{0A1D8F41-5D90-4AD4-919F-5A0BA07B3522}" destId="{CBE4A9B2-83F6-4393-BBB9-66B82B9435A0}" srcOrd="1" destOrd="0" presId="urn:microsoft.com/office/officeart/2005/8/layout/radial5"/>
    <dgm:cxn modelId="{9554C362-C13D-4268-B989-3259F1B081E1}" srcId="{D0DDFB28-8929-4E15-BD2E-536EC7911709}" destId="{E3E2FB51-41B3-4482-ACDE-47FA1F49CC09}" srcOrd="6" destOrd="0" parTransId="{FB85E894-B327-451E-9584-CB09F3C259C7}" sibTransId="{CD04CBFB-AAB8-47AD-BC36-B819F37C082E}"/>
    <dgm:cxn modelId="{79C1CB67-678A-4FF9-BD2D-31B72F186AFA}" type="presOf" srcId="{62B17BE5-8F27-439A-BA30-3FAB0E72258C}" destId="{4258B1A2-6807-4A13-8937-5D4341C71050}" srcOrd="0" destOrd="0" presId="urn:microsoft.com/office/officeart/2005/8/layout/radial5"/>
    <dgm:cxn modelId="{D4A37B48-CDE6-43AE-BFE2-DD8D3ED46F8E}" srcId="{D0DDFB28-8929-4E15-BD2E-536EC7911709}" destId="{C5D6C21F-9412-4BD9-BCEF-6B183466888C}" srcOrd="4" destOrd="0" parTransId="{7B9C5682-E32D-49FF-A366-AA72B6F4B094}" sibTransId="{389BBCE7-B2A3-4E11-AA64-F0F255BBE728}"/>
    <dgm:cxn modelId="{B8495B6A-F75F-4503-889E-1EE3B6F9D5EF}" type="presOf" srcId="{8ACC1413-8665-4870-9004-CE9C512F7CD2}" destId="{3721234E-62A6-4304-B9F9-20079AFE61C1}" srcOrd="0" destOrd="0" presId="urn:microsoft.com/office/officeart/2005/8/layout/radial5"/>
    <dgm:cxn modelId="{831EFF6A-4B17-4779-B03C-728ADB4841C4}" srcId="{FA6A0621-C3FA-47E0-9A2C-628D5E74AD88}" destId="{D0DDFB28-8929-4E15-BD2E-536EC7911709}" srcOrd="0" destOrd="0" parTransId="{14A4EA4A-C9A4-4109-BB7F-97436B980EB2}" sibTransId="{A830A4F2-0A3A-45B6-9A8F-385CDF6ACB88}"/>
    <dgm:cxn modelId="{E316424C-707F-419C-B37E-139B98B0ADC6}" srcId="{D0DDFB28-8929-4E15-BD2E-536EC7911709}" destId="{C5363D82-8B8D-482E-B39B-9D21167D06E1}" srcOrd="0" destOrd="0" parTransId="{8ACC1413-8665-4870-9004-CE9C512F7CD2}" sibTransId="{FE5B4595-16A1-4D1B-A8C2-F92BC5A1B160}"/>
    <dgm:cxn modelId="{4D188C55-3757-46E1-B49A-E3C498556E05}" type="presOf" srcId="{C5363D82-8B8D-482E-B39B-9D21167D06E1}" destId="{A054A105-BC2A-4EDC-BE73-FCD47C167E7D}" srcOrd="0" destOrd="0" presId="urn:microsoft.com/office/officeart/2005/8/layout/radial5"/>
    <dgm:cxn modelId="{4CD7D377-20AE-47E3-A498-AD730EA9FD7B}" type="presOf" srcId="{DC149627-57B8-4D87-80DD-0370B5667DBC}" destId="{8497F3B3-9177-4135-958B-8531E4382116}" srcOrd="1" destOrd="0" presId="urn:microsoft.com/office/officeart/2005/8/layout/radial5"/>
    <dgm:cxn modelId="{6122D17C-B95A-4248-8856-98DB2C92D0A7}" type="presOf" srcId="{3B8AA637-7DF4-40F4-9C4A-3D9807C3811D}" destId="{59FF52EA-9E3E-4F44-96AE-5E32B0C3280D}" srcOrd="1" destOrd="0" presId="urn:microsoft.com/office/officeart/2005/8/layout/radial5"/>
    <dgm:cxn modelId="{565FCC7D-3B4B-47CC-AEA0-1741F1F7AD7C}" type="presOf" srcId="{CF00D11E-6B1D-4F99-9864-91BB9CF223B5}" destId="{149DEC05-F1C7-430E-B474-25A8878D2362}" srcOrd="0" destOrd="0" presId="urn:microsoft.com/office/officeart/2005/8/layout/radial5"/>
    <dgm:cxn modelId="{73682794-DE94-42F3-89BA-6A039A70AF05}" type="presOf" srcId="{D0DDFB28-8929-4E15-BD2E-536EC7911709}" destId="{FC377C11-84F0-4319-A50E-8C2D8D714B38}" srcOrd="0" destOrd="0" presId="urn:microsoft.com/office/officeart/2005/8/layout/radial5"/>
    <dgm:cxn modelId="{2CEA25A5-949C-498E-95FD-E74F3C9B0A52}" type="presOf" srcId="{7B9C5682-E32D-49FF-A366-AA72B6F4B094}" destId="{9206A23D-E1AD-4239-936D-F57FCA2141BB}" srcOrd="1" destOrd="0" presId="urn:microsoft.com/office/officeart/2005/8/layout/radial5"/>
    <dgm:cxn modelId="{6CB89FAB-EF87-45AD-9DB6-1FCD85D70DF9}" type="presOf" srcId="{24D154E6-FCF4-431C-97E2-7EE439A9731C}" destId="{C6A8C450-9FDB-4E93-80FE-97024DB0A9B3}" srcOrd="0" destOrd="0" presId="urn:microsoft.com/office/officeart/2005/8/layout/radial5"/>
    <dgm:cxn modelId="{436F45AF-27C5-46FB-8A77-1849BE52C903}" srcId="{D0DDFB28-8929-4E15-BD2E-536EC7911709}" destId="{CF00D11E-6B1D-4F99-9864-91BB9CF223B5}" srcOrd="1" destOrd="0" parTransId="{DC149627-57B8-4D87-80DD-0370B5667DBC}" sibTransId="{402E0BE2-BC3E-4D73-8D3D-3525140AB3EA}"/>
    <dgm:cxn modelId="{85F238B1-7CAF-492E-B301-2FA161B297BA}" type="presOf" srcId="{0A1D8F41-5D90-4AD4-919F-5A0BA07B3522}" destId="{0BC0B7B8-346E-4FBF-A2FC-B6E7019F4FB2}" srcOrd="0" destOrd="0" presId="urn:microsoft.com/office/officeart/2005/8/layout/radial5"/>
    <dgm:cxn modelId="{122240B7-746A-4FA1-A80C-4DAC17021CF7}" type="presOf" srcId="{C5D6C21F-9412-4BD9-BCEF-6B183466888C}" destId="{E38864EF-8F7F-4D92-B8EF-89AAD2C3D685}" srcOrd="0" destOrd="0" presId="urn:microsoft.com/office/officeart/2005/8/layout/radial5"/>
    <dgm:cxn modelId="{A8F7EABA-943B-4772-A567-C4FE18055D82}" type="presOf" srcId="{7B9C5682-E32D-49FF-A366-AA72B6F4B094}" destId="{D5361CE1-18D1-497F-BD4C-FB410F5D1A2A}" srcOrd="0" destOrd="0" presId="urn:microsoft.com/office/officeart/2005/8/layout/radial5"/>
    <dgm:cxn modelId="{8650CED6-8ECF-4865-9495-40EE314E798D}" type="presOf" srcId="{FB85E894-B327-451E-9584-CB09F3C259C7}" destId="{0142F93E-3B87-461E-AA90-FAE82F363AAB}" srcOrd="0" destOrd="0" presId="urn:microsoft.com/office/officeart/2005/8/layout/radial5"/>
    <dgm:cxn modelId="{5450E3E4-90CB-4953-AAFD-8D281720760C}" type="presOf" srcId="{FB85E894-B327-451E-9584-CB09F3C259C7}" destId="{518BE116-E8AB-43F8-9F78-081CF5E744CE}" srcOrd="1" destOrd="0" presId="urn:microsoft.com/office/officeart/2005/8/layout/radial5"/>
    <dgm:cxn modelId="{13C17FE9-A5E8-42EF-986F-FF9D51A77EA1}" type="presOf" srcId="{DC149627-57B8-4D87-80DD-0370B5667DBC}" destId="{7929F94B-8D50-4A52-80BD-5586FCCF529B}" srcOrd="0" destOrd="0" presId="urn:microsoft.com/office/officeart/2005/8/layout/radial5"/>
    <dgm:cxn modelId="{16A329EF-7528-4FE8-971C-C6BCCDEA3AC4}" type="presOf" srcId="{FA6A0621-C3FA-47E0-9A2C-628D5E74AD88}" destId="{5E497EF1-6F46-4E50-A8F9-2C02E69F8115}" srcOrd="0" destOrd="0" presId="urn:microsoft.com/office/officeart/2005/8/layout/radial5"/>
    <dgm:cxn modelId="{7FE987F2-DAC5-4DA9-93DD-E8ED06439678}" type="presOf" srcId="{3B8AA637-7DF4-40F4-9C4A-3D9807C3811D}" destId="{1076B71F-BC27-48A1-B604-31415EF43220}" srcOrd="0" destOrd="0" presId="urn:microsoft.com/office/officeart/2005/8/layout/radial5"/>
    <dgm:cxn modelId="{0C578AF0-778A-4451-8F7B-6A954F0B9356}" type="presParOf" srcId="{5E497EF1-6F46-4E50-A8F9-2C02E69F8115}" destId="{FC377C11-84F0-4319-A50E-8C2D8D714B38}" srcOrd="0" destOrd="0" presId="urn:microsoft.com/office/officeart/2005/8/layout/radial5"/>
    <dgm:cxn modelId="{71EF007B-EE18-4729-B8F3-531AC50ACF24}" type="presParOf" srcId="{5E497EF1-6F46-4E50-A8F9-2C02E69F8115}" destId="{3721234E-62A6-4304-B9F9-20079AFE61C1}" srcOrd="1" destOrd="0" presId="urn:microsoft.com/office/officeart/2005/8/layout/radial5"/>
    <dgm:cxn modelId="{57DC4F75-DB2F-4C35-B4C4-8C8D3B6ECEAD}" type="presParOf" srcId="{3721234E-62A6-4304-B9F9-20079AFE61C1}" destId="{0844BFC1-A82D-46E3-8E19-C4C1A57ACF1C}" srcOrd="0" destOrd="0" presId="urn:microsoft.com/office/officeart/2005/8/layout/radial5"/>
    <dgm:cxn modelId="{07DC4F70-5EFA-486F-BD02-B36358640B15}" type="presParOf" srcId="{5E497EF1-6F46-4E50-A8F9-2C02E69F8115}" destId="{A054A105-BC2A-4EDC-BE73-FCD47C167E7D}" srcOrd="2" destOrd="0" presId="urn:microsoft.com/office/officeart/2005/8/layout/radial5"/>
    <dgm:cxn modelId="{5532C886-6F19-473D-A0CE-908D60BBC01E}" type="presParOf" srcId="{5E497EF1-6F46-4E50-A8F9-2C02E69F8115}" destId="{7929F94B-8D50-4A52-80BD-5586FCCF529B}" srcOrd="3" destOrd="0" presId="urn:microsoft.com/office/officeart/2005/8/layout/radial5"/>
    <dgm:cxn modelId="{5C69B12E-4886-4D94-8314-074853991372}" type="presParOf" srcId="{7929F94B-8D50-4A52-80BD-5586FCCF529B}" destId="{8497F3B3-9177-4135-958B-8531E4382116}" srcOrd="0" destOrd="0" presId="urn:microsoft.com/office/officeart/2005/8/layout/radial5"/>
    <dgm:cxn modelId="{C95D979D-7E7F-4DE4-BD12-092E54B07ED2}" type="presParOf" srcId="{5E497EF1-6F46-4E50-A8F9-2C02E69F8115}" destId="{149DEC05-F1C7-430E-B474-25A8878D2362}" srcOrd="4" destOrd="0" presId="urn:microsoft.com/office/officeart/2005/8/layout/radial5"/>
    <dgm:cxn modelId="{580D9690-CE33-4348-AF3B-26C071C37BF5}" type="presParOf" srcId="{5E497EF1-6F46-4E50-A8F9-2C02E69F8115}" destId="{1076B71F-BC27-48A1-B604-31415EF43220}" srcOrd="5" destOrd="0" presId="urn:microsoft.com/office/officeart/2005/8/layout/radial5"/>
    <dgm:cxn modelId="{E8282A14-5AFB-45FF-8EE1-4CB92791BBF5}" type="presParOf" srcId="{1076B71F-BC27-48A1-B604-31415EF43220}" destId="{59FF52EA-9E3E-4F44-96AE-5E32B0C3280D}" srcOrd="0" destOrd="0" presId="urn:microsoft.com/office/officeart/2005/8/layout/radial5"/>
    <dgm:cxn modelId="{76C1F284-AAC6-409F-BCDC-C2FA88202A4D}" type="presParOf" srcId="{5E497EF1-6F46-4E50-A8F9-2C02E69F8115}" destId="{C6A8C450-9FDB-4E93-80FE-97024DB0A9B3}" srcOrd="6" destOrd="0" presId="urn:microsoft.com/office/officeart/2005/8/layout/radial5"/>
    <dgm:cxn modelId="{2B6D9EF0-FC12-4901-8410-4B3295A7364D}" type="presParOf" srcId="{5E497EF1-6F46-4E50-A8F9-2C02E69F8115}" destId="{0BC0B7B8-346E-4FBF-A2FC-B6E7019F4FB2}" srcOrd="7" destOrd="0" presId="urn:microsoft.com/office/officeart/2005/8/layout/radial5"/>
    <dgm:cxn modelId="{A1B1A558-E4C0-4D45-BE4B-23160287AACE}" type="presParOf" srcId="{0BC0B7B8-346E-4FBF-A2FC-B6E7019F4FB2}" destId="{CBE4A9B2-83F6-4393-BBB9-66B82B9435A0}" srcOrd="0" destOrd="0" presId="urn:microsoft.com/office/officeart/2005/8/layout/radial5"/>
    <dgm:cxn modelId="{73AE658A-73CE-46D6-9D3C-E6069DF7DBFB}" type="presParOf" srcId="{5E497EF1-6F46-4E50-A8F9-2C02E69F8115}" destId="{1178CF03-9DBE-4A9A-9E38-4FDBF8378C8E}" srcOrd="8" destOrd="0" presId="urn:microsoft.com/office/officeart/2005/8/layout/radial5"/>
    <dgm:cxn modelId="{5C1A209B-0869-4538-AF85-83C0EB7A4A91}" type="presParOf" srcId="{5E497EF1-6F46-4E50-A8F9-2C02E69F8115}" destId="{D5361CE1-18D1-497F-BD4C-FB410F5D1A2A}" srcOrd="9" destOrd="0" presId="urn:microsoft.com/office/officeart/2005/8/layout/radial5"/>
    <dgm:cxn modelId="{A4FA80A3-E736-4365-9F62-EE22FADB59F9}" type="presParOf" srcId="{D5361CE1-18D1-497F-BD4C-FB410F5D1A2A}" destId="{9206A23D-E1AD-4239-936D-F57FCA2141BB}" srcOrd="0" destOrd="0" presId="urn:microsoft.com/office/officeart/2005/8/layout/radial5"/>
    <dgm:cxn modelId="{F0FE95BF-9CF2-4306-B382-38818C128BF4}" type="presParOf" srcId="{5E497EF1-6F46-4E50-A8F9-2C02E69F8115}" destId="{E38864EF-8F7F-4D92-B8EF-89AAD2C3D685}" srcOrd="10" destOrd="0" presId="urn:microsoft.com/office/officeart/2005/8/layout/radial5"/>
    <dgm:cxn modelId="{DA845A8A-CF00-48D8-9B16-15B07B0575D4}" type="presParOf" srcId="{5E497EF1-6F46-4E50-A8F9-2C02E69F8115}" destId="{4258B1A2-6807-4A13-8937-5D4341C71050}" srcOrd="11" destOrd="0" presId="urn:microsoft.com/office/officeart/2005/8/layout/radial5"/>
    <dgm:cxn modelId="{00279C38-490E-4C6A-9E8F-4D63B2500354}" type="presParOf" srcId="{4258B1A2-6807-4A13-8937-5D4341C71050}" destId="{B9D20FB0-866A-4F45-9DCD-58B55BA1EF43}" srcOrd="0" destOrd="0" presId="urn:microsoft.com/office/officeart/2005/8/layout/radial5"/>
    <dgm:cxn modelId="{E404B70F-3539-4C21-B05C-3AA243FF9D89}" type="presParOf" srcId="{5E497EF1-6F46-4E50-A8F9-2C02E69F8115}" destId="{5657B75D-2BCE-461E-B522-7C467F781830}" srcOrd="12" destOrd="0" presId="urn:microsoft.com/office/officeart/2005/8/layout/radial5"/>
    <dgm:cxn modelId="{6D12FDC7-2D43-4175-AAC6-CC82990B1514}" type="presParOf" srcId="{5E497EF1-6F46-4E50-A8F9-2C02E69F8115}" destId="{0142F93E-3B87-461E-AA90-FAE82F363AAB}" srcOrd="13" destOrd="0" presId="urn:microsoft.com/office/officeart/2005/8/layout/radial5"/>
    <dgm:cxn modelId="{3FAEED25-E3FA-4ED8-B5F7-7E248174AF7C}" type="presParOf" srcId="{0142F93E-3B87-461E-AA90-FAE82F363AAB}" destId="{518BE116-E8AB-43F8-9F78-081CF5E744CE}" srcOrd="0" destOrd="0" presId="urn:microsoft.com/office/officeart/2005/8/layout/radial5"/>
    <dgm:cxn modelId="{127CEA1D-2258-46FB-B222-9FAA57C1A093}" type="presParOf" srcId="{5E497EF1-6F46-4E50-A8F9-2C02E69F8115}" destId="{F281FA5E-0E32-42C0-ACBA-5AFAEE19DC95}"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78B6D-FC0A-435A-A775-D9B00CF766BA}"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FA3D4DC3-D276-44D7-AFDB-A3084389D568}">
      <dgm:prSet phldrT="[Text]"/>
      <dgm:spPr/>
      <dgm:t>
        <a:bodyPr/>
        <a:lstStyle/>
        <a:p>
          <a:r>
            <a:rPr lang="en-US" b="1"/>
            <a:t>α-linolenic acid </a:t>
          </a:r>
        </a:p>
      </dgm:t>
    </dgm:pt>
    <dgm:pt modelId="{ABAAD5BD-9F73-4C65-911B-E611035819F1}" type="parTrans" cxnId="{7DCD2A4E-21DC-4B56-9465-1B112BE5AC9A}">
      <dgm:prSet/>
      <dgm:spPr/>
      <dgm:t>
        <a:bodyPr/>
        <a:lstStyle/>
        <a:p>
          <a:endParaRPr lang="en-US"/>
        </a:p>
      </dgm:t>
    </dgm:pt>
    <dgm:pt modelId="{DB6AF878-58AA-4E36-A643-C1E290BAE068}" type="sibTrans" cxnId="{7DCD2A4E-21DC-4B56-9465-1B112BE5AC9A}">
      <dgm:prSet/>
      <dgm:spPr/>
      <dgm:t>
        <a:bodyPr/>
        <a:lstStyle/>
        <a:p>
          <a:endParaRPr lang="en-US"/>
        </a:p>
      </dgm:t>
    </dgm:pt>
    <dgm:pt modelId="{D5A502C0-7EA3-4CDA-9CED-DB2DF93D47E7}">
      <dgm:prSet phldrT="[Text]" custT="1"/>
      <dgm:spPr/>
      <dgm:t>
        <a:bodyPr/>
        <a:lstStyle/>
        <a:p>
          <a:r>
            <a:rPr lang="en-US" sz="900" b="1">
              <a:latin typeface="Arial" pitchFamily="34" charset="0"/>
              <a:cs typeface="Arial" pitchFamily="34" charset="0"/>
            </a:rPr>
            <a:t>Anticancer</a:t>
          </a:r>
        </a:p>
      </dgm:t>
    </dgm:pt>
    <dgm:pt modelId="{58BD752A-ED79-419F-A96D-D67731EB2266}" type="parTrans" cxnId="{B1FE63FC-2AEC-45A9-BFA6-7B9821551237}">
      <dgm:prSet/>
      <dgm:spPr/>
      <dgm:t>
        <a:bodyPr/>
        <a:lstStyle/>
        <a:p>
          <a:endParaRPr lang="en-US"/>
        </a:p>
      </dgm:t>
    </dgm:pt>
    <dgm:pt modelId="{850182AA-D982-4131-8522-AD0A2DFA6C7B}" type="sibTrans" cxnId="{B1FE63FC-2AEC-45A9-BFA6-7B9821551237}">
      <dgm:prSet/>
      <dgm:spPr/>
      <dgm:t>
        <a:bodyPr/>
        <a:lstStyle/>
        <a:p>
          <a:endParaRPr lang="en-US"/>
        </a:p>
      </dgm:t>
    </dgm:pt>
    <dgm:pt modelId="{1007967E-4B16-466E-8111-CFA16A9EAEE0}">
      <dgm:prSet phldrT="[Text]" custT="1"/>
      <dgm:spPr/>
      <dgm:t>
        <a:bodyPr/>
        <a:lstStyle/>
        <a:p>
          <a:r>
            <a:rPr lang="en-US" sz="900" b="1">
              <a:latin typeface="Arial" pitchFamily="34" charset="0"/>
              <a:cs typeface="Arial" pitchFamily="34" charset="0"/>
            </a:rPr>
            <a:t>Anti-oxidant</a:t>
          </a:r>
        </a:p>
      </dgm:t>
    </dgm:pt>
    <dgm:pt modelId="{08FFAD3D-71A6-4556-AFD9-368621D3FD08}" type="parTrans" cxnId="{B42C9413-A251-480A-9752-BB05D57E9DA8}">
      <dgm:prSet/>
      <dgm:spPr/>
      <dgm:t>
        <a:bodyPr/>
        <a:lstStyle/>
        <a:p>
          <a:endParaRPr lang="en-US"/>
        </a:p>
      </dgm:t>
    </dgm:pt>
    <dgm:pt modelId="{44190E6F-1640-49DF-9C08-C6725722C4DA}" type="sibTrans" cxnId="{B42C9413-A251-480A-9752-BB05D57E9DA8}">
      <dgm:prSet/>
      <dgm:spPr/>
      <dgm:t>
        <a:bodyPr/>
        <a:lstStyle/>
        <a:p>
          <a:endParaRPr lang="en-US"/>
        </a:p>
      </dgm:t>
    </dgm:pt>
    <dgm:pt modelId="{D6DCF78C-5677-42DF-AFDA-DA23FACD158B}">
      <dgm:prSet phldrT="[Text]" custT="1"/>
      <dgm:spPr/>
      <dgm:t>
        <a:bodyPr/>
        <a:lstStyle/>
        <a:p>
          <a:r>
            <a:rPr lang="en-US" sz="900" b="1">
              <a:latin typeface="Arial" pitchFamily="34" charset="0"/>
              <a:cs typeface="Arial" pitchFamily="34" charset="0"/>
            </a:rPr>
            <a:t>Anti- diabetic</a:t>
          </a:r>
        </a:p>
      </dgm:t>
    </dgm:pt>
    <dgm:pt modelId="{2AF6457D-0F1E-49FC-A57D-50CB15BE7EB6}" type="parTrans" cxnId="{45B87AED-387F-4E04-A05C-FD5FC1D362A1}">
      <dgm:prSet/>
      <dgm:spPr/>
      <dgm:t>
        <a:bodyPr/>
        <a:lstStyle/>
        <a:p>
          <a:endParaRPr lang="en-US"/>
        </a:p>
      </dgm:t>
    </dgm:pt>
    <dgm:pt modelId="{8C73A620-739B-45F0-AD32-BCC05605DEA3}" type="sibTrans" cxnId="{45B87AED-387F-4E04-A05C-FD5FC1D362A1}">
      <dgm:prSet/>
      <dgm:spPr/>
      <dgm:t>
        <a:bodyPr/>
        <a:lstStyle/>
        <a:p>
          <a:endParaRPr lang="en-US"/>
        </a:p>
      </dgm:t>
    </dgm:pt>
    <dgm:pt modelId="{F2FE4477-2EAE-4171-B970-067E9D2EF21C}">
      <dgm:prSet phldrT="[Text]" custT="1"/>
      <dgm:spPr/>
      <dgm:t>
        <a:bodyPr/>
        <a:lstStyle/>
        <a:p>
          <a:r>
            <a:rPr lang="en-US" sz="900" b="1">
              <a:latin typeface="Arial" pitchFamily="34" charset="0"/>
              <a:cs typeface="Arial" pitchFamily="34" charset="0"/>
            </a:rPr>
            <a:t>Anti-inflamatory</a:t>
          </a:r>
        </a:p>
      </dgm:t>
    </dgm:pt>
    <dgm:pt modelId="{5130B073-D055-45AD-B6DF-49FD23C5AB7E}" type="parTrans" cxnId="{7587AFF6-349A-4006-B4E1-2EAB1C293940}">
      <dgm:prSet/>
      <dgm:spPr/>
      <dgm:t>
        <a:bodyPr/>
        <a:lstStyle/>
        <a:p>
          <a:endParaRPr lang="en-US"/>
        </a:p>
      </dgm:t>
    </dgm:pt>
    <dgm:pt modelId="{C3030639-297C-4C37-ACB0-827E6F4EE21C}" type="sibTrans" cxnId="{7587AFF6-349A-4006-B4E1-2EAB1C293940}">
      <dgm:prSet/>
      <dgm:spPr/>
      <dgm:t>
        <a:bodyPr/>
        <a:lstStyle/>
        <a:p>
          <a:endParaRPr lang="en-US"/>
        </a:p>
      </dgm:t>
    </dgm:pt>
    <dgm:pt modelId="{625ACFF9-ABBE-4C94-AFCC-ECDD2790DA0A}">
      <dgm:prSet phldrT="[Text]" custT="1"/>
      <dgm:spPr/>
      <dgm:t>
        <a:bodyPr/>
        <a:lstStyle/>
        <a:p>
          <a:r>
            <a:rPr lang="en-US" sz="900" b="1">
              <a:latin typeface="Arial" pitchFamily="34" charset="0"/>
              <a:cs typeface="Arial" pitchFamily="34" charset="0"/>
            </a:rPr>
            <a:t>Neuroprotective</a:t>
          </a:r>
        </a:p>
      </dgm:t>
    </dgm:pt>
    <dgm:pt modelId="{A74D54B1-1423-4142-A18C-399263D18D49}" type="parTrans" cxnId="{80B049EE-740F-49C8-8632-4CDF64A0E756}">
      <dgm:prSet/>
      <dgm:spPr/>
      <dgm:t>
        <a:bodyPr/>
        <a:lstStyle/>
        <a:p>
          <a:endParaRPr lang="en-US"/>
        </a:p>
      </dgm:t>
    </dgm:pt>
    <dgm:pt modelId="{397D8EA6-A416-4AB4-A88F-614EC2BE0BAB}" type="sibTrans" cxnId="{80B049EE-740F-49C8-8632-4CDF64A0E756}">
      <dgm:prSet/>
      <dgm:spPr/>
      <dgm:t>
        <a:bodyPr/>
        <a:lstStyle/>
        <a:p>
          <a:endParaRPr lang="en-US"/>
        </a:p>
      </dgm:t>
    </dgm:pt>
    <dgm:pt modelId="{0F0C1D87-BF94-404F-95C2-3EF574C42825}">
      <dgm:prSet phldrT="[Text]" custT="1"/>
      <dgm:spPr/>
      <dgm:t>
        <a:bodyPr/>
        <a:lstStyle/>
        <a:p>
          <a:r>
            <a:rPr lang="en-US" sz="900" b="1">
              <a:latin typeface="Arial" pitchFamily="34" charset="0"/>
              <a:cs typeface="Arial" pitchFamily="34" charset="0"/>
            </a:rPr>
            <a:t>Cardioprotective</a:t>
          </a:r>
        </a:p>
      </dgm:t>
    </dgm:pt>
    <dgm:pt modelId="{38CE6996-7388-416E-8B85-94B36C124D69}" type="parTrans" cxnId="{87D2A4F3-F884-4899-B270-10DE1F2571EB}">
      <dgm:prSet/>
      <dgm:spPr/>
      <dgm:t>
        <a:bodyPr/>
        <a:lstStyle/>
        <a:p>
          <a:endParaRPr lang="en-US"/>
        </a:p>
      </dgm:t>
    </dgm:pt>
    <dgm:pt modelId="{511AA2B9-65B5-4326-9113-4C03E7DB5E3B}" type="sibTrans" cxnId="{87D2A4F3-F884-4899-B270-10DE1F2571EB}">
      <dgm:prSet/>
      <dgm:spPr/>
      <dgm:t>
        <a:bodyPr/>
        <a:lstStyle/>
        <a:p>
          <a:endParaRPr lang="en-US"/>
        </a:p>
      </dgm:t>
    </dgm:pt>
    <dgm:pt modelId="{62A4F984-DEF9-4A36-9DD0-DE9E833B1822}">
      <dgm:prSet phldrT="[Text]" custT="1"/>
      <dgm:spPr/>
      <dgm:t>
        <a:bodyPr/>
        <a:lstStyle/>
        <a:p>
          <a:r>
            <a:rPr lang="en-US" sz="900" b="1">
              <a:latin typeface="Arial" pitchFamily="34" charset="0"/>
              <a:cs typeface="Arial" pitchFamily="34" charset="0"/>
            </a:rPr>
            <a:t>Cholesterol management</a:t>
          </a:r>
        </a:p>
      </dgm:t>
    </dgm:pt>
    <dgm:pt modelId="{40269411-701D-4295-9C38-4E22726E1A64}" type="parTrans" cxnId="{BBEB8988-2796-4156-9EF3-0EFAE8CEA5E3}">
      <dgm:prSet/>
      <dgm:spPr/>
      <dgm:t>
        <a:bodyPr/>
        <a:lstStyle/>
        <a:p>
          <a:endParaRPr lang="en-US"/>
        </a:p>
      </dgm:t>
    </dgm:pt>
    <dgm:pt modelId="{14B00E27-66A1-4DD2-AF6D-D7594C06F0BC}" type="sibTrans" cxnId="{BBEB8988-2796-4156-9EF3-0EFAE8CEA5E3}">
      <dgm:prSet/>
      <dgm:spPr/>
      <dgm:t>
        <a:bodyPr/>
        <a:lstStyle/>
        <a:p>
          <a:endParaRPr lang="en-US"/>
        </a:p>
      </dgm:t>
    </dgm:pt>
    <dgm:pt modelId="{4AF60B7C-5F21-4306-9F97-6ED899B099A0}" type="pres">
      <dgm:prSet presAssocID="{8E378B6D-FC0A-435A-A775-D9B00CF766BA}" presName="cycle" presStyleCnt="0">
        <dgm:presLayoutVars>
          <dgm:chMax val="1"/>
          <dgm:dir/>
          <dgm:animLvl val="ctr"/>
          <dgm:resizeHandles val="exact"/>
        </dgm:presLayoutVars>
      </dgm:prSet>
      <dgm:spPr/>
    </dgm:pt>
    <dgm:pt modelId="{29A2FED6-FB9F-433D-88B2-A2B1E04411E8}" type="pres">
      <dgm:prSet presAssocID="{FA3D4DC3-D276-44D7-AFDB-A3084389D568}" presName="centerShape" presStyleLbl="node0" presStyleIdx="0" presStyleCnt="1"/>
      <dgm:spPr/>
    </dgm:pt>
    <dgm:pt modelId="{2CFA96D9-029A-4BE9-97A1-CCDA41F15CAB}" type="pres">
      <dgm:prSet presAssocID="{58BD752A-ED79-419F-A96D-D67731EB2266}" presName="Name9" presStyleLbl="parChTrans1D2" presStyleIdx="0" presStyleCnt="7"/>
      <dgm:spPr/>
    </dgm:pt>
    <dgm:pt modelId="{4022B74B-133D-4954-BB0E-08F206C5EBC6}" type="pres">
      <dgm:prSet presAssocID="{58BD752A-ED79-419F-A96D-D67731EB2266}" presName="connTx" presStyleLbl="parChTrans1D2" presStyleIdx="0" presStyleCnt="7"/>
      <dgm:spPr/>
    </dgm:pt>
    <dgm:pt modelId="{39B00F66-5311-4AB8-92DB-D654123F1DD3}" type="pres">
      <dgm:prSet presAssocID="{D5A502C0-7EA3-4CDA-9CED-DB2DF93D47E7}" presName="node" presStyleLbl="node1" presStyleIdx="0" presStyleCnt="7" custScaleX="113820" custScaleY="99757">
        <dgm:presLayoutVars>
          <dgm:bulletEnabled val="1"/>
        </dgm:presLayoutVars>
      </dgm:prSet>
      <dgm:spPr/>
    </dgm:pt>
    <dgm:pt modelId="{EA572D99-8E47-4363-8E2D-361D1538CC04}" type="pres">
      <dgm:prSet presAssocID="{08FFAD3D-71A6-4556-AFD9-368621D3FD08}" presName="Name9" presStyleLbl="parChTrans1D2" presStyleIdx="1" presStyleCnt="7"/>
      <dgm:spPr/>
    </dgm:pt>
    <dgm:pt modelId="{176CE8E3-65A3-412E-83C8-CC92A6997167}" type="pres">
      <dgm:prSet presAssocID="{08FFAD3D-71A6-4556-AFD9-368621D3FD08}" presName="connTx" presStyleLbl="parChTrans1D2" presStyleIdx="1" presStyleCnt="7"/>
      <dgm:spPr/>
    </dgm:pt>
    <dgm:pt modelId="{7E821FE7-C2E5-45AC-B087-8D7C339B4509}" type="pres">
      <dgm:prSet presAssocID="{1007967E-4B16-466E-8111-CFA16A9EAEE0}" presName="node" presStyleLbl="node1" presStyleIdx="1" presStyleCnt="7">
        <dgm:presLayoutVars>
          <dgm:bulletEnabled val="1"/>
        </dgm:presLayoutVars>
      </dgm:prSet>
      <dgm:spPr/>
    </dgm:pt>
    <dgm:pt modelId="{F264C3EB-7349-45C6-AC4A-DEF22296F417}" type="pres">
      <dgm:prSet presAssocID="{2AF6457D-0F1E-49FC-A57D-50CB15BE7EB6}" presName="Name9" presStyleLbl="parChTrans1D2" presStyleIdx="2" presStyleCnt="7"/>
      <dgm:spPr/>
    </dgm:pt>
    <dgm:pt modelId="{9F3F05DE-43BF-4048-A7B9-DD7AE295A231}" type="pres">
      <dgm:prSet presAssocID="{2AF6457D-0F1E-49FC-A57D-50CB15BE7EB6}" presName="connTx" presStyleLbl="parChTrans1D2" presStyleIdx="2" presStyleCnt="7"/>
      <dgm:spPr/>
    </dgm:pt>
    <dgm:pt modelId="{045AB4B5-5432-4DEF-9301-02108116507E}" type="pres">
      <dgm:prSet presAssocID="{D6DCF78C-5677-42DF-AFDA-DA23FACD158B}" presName="node" presStyleLbl="node1" presStyleIdx="2" presStyleCnt="7">
        <dgm:presLayoutVars>
          <dgm:bulletEnabled val="1"/>
        </dgm:presLayoutVars>
      </dgm:prSet>
      <dgm:spPr/>
    </dgm:pt>
    <dgm:pt modelId="{D39E32D8-A511-45C8-B8C1-E4AB33AAC233}" type="pres">
      <dgm:prSet presAssocID="{5130B073-D055-45AD-B6DF-49FD23C5AB7E}" presName="Name9" presStyleLbl="parChTrans1D2" presStyleIdx="3" presStyleCnt="7"/>
      <dgm:spPr/>
    </dgm:pt>
    <dgm:pt modelId="{6594C8EB-5AC2-4741-A8E5-D91BF7BA27A4}" type="pres">
      <dgm:prSet presAssocID="{5130B073-D055-45AD-B6DF-49FD23C5AB7E}" presName="connTx" presStyleLbl="parChTrans1D2" presStyleIdx="3" presStyleCnt="7"/>
      <dgm:spPr/>
    </dgm:pt>
    <dgm:pt modelId="{92612E01-E5E9-4BA8-AA9E-02C38C4B8BE6}" type="pres">
      <dgm:prSet presAssocID="{F2FE4477-2EAE-4171-B970-067E9D2EF21C}" presName="node" presStyleLbl="node1" presStyleIdx="3" presStyleCnt="7" custScaleX="112631" custScaleY="104292">
        <dgm:presLayoutVars>
          <dgm:bulletEnabled val="1"/>
        </dgm:presLayoutVars>
      </dgm:prSet>
      <dgm:spPr/>
    </dgm:pt>
    <dgm:pt modelId="{BF6FCFE7-7E74-4481-BF12-61DE7135E012}" type="pres">
      <dgm:prSet presAssocID="{A74D54B1-1423-4142-A18C-399263D18D49}" presName="Name9" presStyleLbl="parChTrans1D2" presStyleIdx="4" presStyleCnt="7"/>
      <dgm:spPr/>
    </dgm:pt>
    <dgm:pt modelId="{5662FFAF-039A-4E68-83CF-EA48613C008A}" type="pres">
      <dgm:prSet presAssocID="{A74D54B1-1423-4142-A18C-399263D18D49}" presName="connTx" presStyleLbl="parChTrans1D2" presStyleIdx="4" presStyleCnt="7"/>
      <dgm:spPr/>
    </dgm:pt>
    <dgm:pt modelId="{02E81AEF-8C13-474A-B9AE-CEBA2A9FC1EF}" type="pres">
      <dgm:prSet presAssocID="{625ACFF9-ABBE-4C94-AFCC-ECDD2790DA0A}" presName="node" presStyleLbl="node1" presStyleIdx="4" presStyleCnt="7" custScaleX="115009" custScaleY="106438">
        <dgm:presLayoutVars>
          <dgm:bulletEnabled val="1"/>
        </dgm:presLayoutVars>
      </dgm:prSet>
      <dgm:spPr/>
    </dgm:pt>
    <dgm:pt modelId="{06ACD99D-35A8-4F18-A932-E1A8ECD5CB35}" type="pres">
      <dgm:prSet presAssocID="{38CE6996-7388-416E-8B85-94B36C124D69}" presName="Name9" presStyleLbl="parChTrans1D2" presStyleIdx="5" presStyleCnt="7"/>
      <dgm:spPr/>
    </dgm:pt>
    <dgm:pt modelId="{17C50537-682B-4795-8627-7D1C2207DC29}" type="pres">
      <dgm:prSet presAssocID="{38CE6996-7388-416E-8B85-94B36C124D69}" presName="connTx" presStyleLbl="parChTrans1D2" presStyleIdx="5" presStyleCnt="7"/>
      <dgm:spPr/>
    </dgm:pt>
    <dgm:pt modelId="{3B07EDFB-65AC-4EA1-BFF6-0E3C7FE59B0F}" type="pres">
      <dgm:prSet presAssocID="{0F0C1D87-BF94-404F-95C2-3EF574C42825}" presName="node" presStyleLbl="node1" presStyleIdx="5" presStyleCnt="7" custScaleX="104720" custScaleY="94819">
        <dgm:presLayoutVars>
          <dgm:bulletEnabled val="1"/>
        </dgm:presLayoutVars>
      </dgm:prSet>
      <dgm:spPr/>
    </dgm:pt>
    <dgm:pt modelId="{7C7A1046-1FC0-438E-B1A9-FF6870FAE564}" type="pres">
      <dgm:prSet presAssocID="{40269411-701D-4295-9C38-4E22726E1A64}" presName="Name9" presStyleLbl="parChTrans1D2" presStyleIdx="6" presStyleCnt="7"/>
      <dgm:spPr/>
    </dgm:pt>
    <dgm:pt modelId="{C46DD1DF-097D-465C-A9E6-46D21E9124CB}" type="pres">
      <dgm:prSet presAssocID="{40269411-701D-4295-9C38-4E22726E1A64}" presName="connTx" presStyleLbl="parChTrans1D2" presStyleIdx="6" presStyleCnt="7"/>
      <dgm:spPr/>
    </dgm:pt>
    <dgm:pt modelId="{23C459CF-245D-4B33-B720-A3F34E412908}" type="pres">
      <dgm:prSet presAssocID="{62A4F984-DEF9-4A36-9DD0-DE9E833B1822}" presName="node" presStyleLbl="node1" presStyleIdx="6" presStyleCnt="7" custScaleX="109235" custScaleY="94462">
        <dgm:presLayoutVars>
          <dgm:bulletEnabled val="1"/>
        </dgm:presLayoutVars>
      </dgm:prSet>
      <dgm:spPr/>
    </dgm:pt>
  </dgm:ptLst>
  <dgm:cxnLst>
    <dgm:cxn modelId="{E7538903-2398-4D40-BDB0-2F1338CAD15D}" type="presOf" srcId="{38CE6996-7388-416E-8B85-94B36C124D69}" destId="{17C50537-682B-4795-8627-7D1C2207DC29}" srcOrd="1" destOrd="0" presId="urn:microsoft.com/office/officeart/2005/8/layout/radial1"/>
    <dgm:cxn modelId="{B42C9413-A251-480A-9752-BB05D57E9DA8}" srcId="{FA3D4DC3-D276-44D7-AFDB-A3084389D568}" destId="{1007967E-4B16-466E-8111-CFA16A9EAEE0}" srcOrd="1" destOrd="0" parTransId="{08FFAD3D-71A6-4556-AFD9-368621D3FD08}" sibTransId="{44190E6F-1640-49DF-9C08-C6725722C4DA}"/>
    <dgm:cxn modelId="{EA2EC01D-3A55-42C1-9C51-8DF729EF293B}" type="presOf" srcId="{58BD752A-ED79-419F-A96D-D67731EB2266}" destId="{2CFA96D9-029A-4BE9-97A1-CCDA41F15CAB}" srcOrd="0" destOrd="0" presId="urn:microsoft.com/office/officeart/2005/8/layout/radial1"/>
    <dgm:cxn modelId="{84426125-18E0-481B-90D6-42458206190D}" type="presOf" srcId="{38CE6996-7388-416E-8B85-94B36C124D69}" destId="{06ACD99D-35A8-4F18-A932-E1A8ECD5CB35}" srcOrd="0" destOrd="0" presId="urn:microsoft.com/office/officeart/2005/8/layout/radial1"/>
    <dgm:cxn modelId="{A0440627-E653-4C13-8970-24A01A25DE1A}" type="presOf" srcId="{8E378B6D-FC0A-435A-A775-D9B00CF766BA}" destId="{4AF60B7C-5F21-4306-9F97-6ED899B099A0}" srcOrd="0" destOrd="0" presId="urn:microsoft.com/office/officeart/2005/8/layout/radial1"/>
    <dgm:cxn modelId="{A530595D-F68A-4E10-BCBB-AC3DCA60249A}" type="presOf" srcId="{A74D54B1-1423-4142-A18C-399263D18D49}" destId="{BF6FCFE7-7E74-4481-BF12-61DE7135E012}" srcOrd="0" destOrd="0" presId="urn:microsoft.com/office/officeart/2005/8/layout/radial1"/>
    <dgm:cxn modelId="{76947646-8C3A-4ADE-9742-AF89F56D9C44}" type="presOf" srcId="{2AF6457D-0F1E-49FC-A57D-50CB15BE7EB6}" destId="{9F3F05DE-43BF-4048-A7B9-DD7AE295A231}" srcOrd="1" destOrd="0" presId="urn:microsoft.com/office/officeart/2005/8/layout/radial1"/>
    <dgm:cxn modelId="{8DE38E66-7BEB-48DC-8DE0-40201142B501}" type="presOf" srcId="{62A4F984-DEF9-4A36-9DD0-DE9E833B1822}" destId="{23C459CF-245D-4B33-B720-A3F34E412908}" srcOrd="0" destOrd="0" presId="urn:microsoft.com/office/officeart/2005/8/layout/radial1"/>
    <dgm:cxn modelId="{1D9B226C-D234-4DEE-9424-D1D94A193552}" type="presOf" srcId="{0F0C1D87-BF94-404F-95C2-3EF574C42825}" destId="{3B07EDFB-65AC-4EA1-BFF6-0E3C7FE59B0F}" srcOrd="0" destOrd="0" presId="urn:microsoft.com/office/officeart/2005/8/layout/radial1"/>
    <dgm:cxn modelId="{7DCD2A4E-21DC-4B56-9465-1B112BE5AC9A}" srcId="{8E378B6D-FC0A-435A-A775-D9B00CF766BA}" destId="{FA3D4DC3-D276-44D7-AFDB-A3084389D568}" srcOrd="0" destOrd="0" parTransId="{ABAAD5BD-9F73-4C65-911B-E611035819F1}" sibTransId="{DB6AF878-58AA-4E36-A643-C1E290BAE068}"/>
    <dgm:cxn modelId="{81A1964F-8E54-4351-B8F0-DABDBC29490B}" type="presOf" srcId="{625ACFF9-ABBE-4C94-AFCC-ECDD2790DA0A}" destId="{02E81AEF-8C13-474A-B9AE-CEBA2A9FC1EF}" srcOrd="0" destOrd="0" presId="urn:microsoft.com/office/officeart/2005/8/layout/radial1"/>
    <dgm:cxn modelId="{09A65183-D1B8-477A-8777-65B5E4AD18D7}" type="presOf" srcId="{D6DCF78C-5677-42DF-AFDA-DA23FACD158B}" destId="{045AB4B5-5432-4DEF-9301-02108116507E}" srcOrd="0" destOrd="0" presId="urn:microsoft.com/office/officeart/2005/8/layout/radial1"/>
    <dgm:cxn modelId="{FA376D86-445B-48E9-A6B1-23996264F639}" type="presOf" srcId="{1007967E-4B16-466E-8111-CFA16A9EAEE0}" destId="{7E821FE7-C2E5-45AC-B087-8D7C339B4509}" srcOrd="0" destOrd="0" presId="urn:microsoft.com/office/officeart/2005/8/layout/radial1"/>
    <dgm:cxn modelId="{7F5BCA87-84B1-4007-A8E3-02DF015B5117}" type="presOf" srcId="{A74D54B1-1423-4142-A18C-399263D18D49}" destId="{5662FFAF-039A-4E68-83CF-EA48613C008A}" srcOrd="1" destOrd="0" presId="urn:microsoft.com/office/officeart/2005/8/layout/radial1"/>
    <dgm:cxn modelId="{BBEB8988-2796-4156-9EF3-0EFAE8CEA5E3}" srcId="{FA3D4DC3-D276-44D7-AFDB-A3084389D568}" destId="{62A4F984-DEF9-4A36-9DD0-DE9E833B1822}" srcOrd="6" destOrd="0" parTransId="{40269411-701D-4295-9C38-4E22726E1A64}" sibTransId="{14B00E27-66A1-4DD2-AF6D-D7594C06F0BC}"/>
    <dgm:cxn modelId="{8AE09291-5E52-41C0-B2CF-28AC465870A2}" type="presOf" srcId="{FA3D4DC3-D276-44D7-AFDB-A3084389D568}" destId="{29A2FED6-FB9F-433D-88B2-A2B1E04411E8}" srcOrd="0" destOrd="0" presId="urn:microsoft.com/office/officeart/2005/8/layout/radial1"/>
    <dgm:cxn modelId="{A7CC90A8-D530-46AC-A10F-81F8F29B9C85}" type="presOf" srcId="{40269411-701D-4295-9C38-4E22726E1A64}" destId="{C46DD1DF-097D-465C-A9E6-46D21E9124CB}" srcOrd="1" destOrd="0" presId="urn:microsoft.com/office/officeart/2005/8/layout/radial1"/>
    <dgm:cxn modelId="{F7CBE8B0-3B66-49FC-807E-FBC77E389445}" type="presOf" srcId="{40269411-701D-4295-9C38-4E22726E1A64}" destId="{7C7A1046-1FC0-438E-B1A9-FF6870FAE564}" srcOrd="0" destOrd="0" presId="urn:microsoft.com/office/officeart/2005/8/layout/radial1"/>
    <dgm:cxn modelId="{79739FC0-8C0C-4C2E-8ED6-EC45FE645F7A}" type="presOf" srcId="{2AF6457D-0F1E-49FC-A57D-50CB15BE7EB6}" destId="{F264C3EB-7349-45C6-AC4A-DEF22296F417}" srcOrd="0" destOrd="0" presId="urn:microsoft.com/office/officeart/2005/8/layout/radial1"/>
    <dgm:cxn modelId="{3CAE07C1-4346-47F4-95A8-D4FC2ADB0C56}" type="presOf" srcId="{08FFAD3D-71A6-4556-AFD9-368621D3FD08}" destId="{EA572D99-8E47-4363-8E2D-361D1538CC04}" srcOrd="0" destOrd="0" presId="urn:microsoft.com/office/officeart/2005/8/layout/radial1"/>
    <dgm:cxn modelId="{451597C1-E6BC-44AE-B8B8-D514A2EDC662}" type="presOf" srcId="{5130B073-D055-45AD-B6DF-49FD23C5AB7E}" destId="{D39E32D8-A511-45C8-B8C1-E4AB33AAC233}" srcOrd="0" destOrd="0" presId="urn:microsoft.com/office/officeart/2005/8/layout/radial1"/>
    <dgm:cxn modelId="{801FADC5-8891-485A-A8F3-DA795176F5FE}" type="presOf" srcId="{08FFAD3D-71A6-4556-AFD9-368621D3FD08}" destId="{176CE8E3-65A3-412E-83C8-CC92A6997167}" srcOrd="1" destOrd="0" presId="urn:microsoft.com/office/officeart/2005/8/layout/radial1"/>
    <dgm:cxn modelId="{FFC197DB-B1AC-4705-9364-6C4789A87D0D}" type="presOf" srcId="{F2FE4477-2EAE-4171-B970-067E9D2EF21C}" destId="{92612E01-E5E9-4BA8-AA9E-02C38C4B8BE6}" srcOrd="0" destOrd="0" presId="urn:microsoft.com/office/officeart/2005/8/layout/radial1"/>
    <dgm:cxn modelId="{45B87AED-387F-4E04-A05C-FD5FC1D362A1}" srcId="{FA3D4DC3-D276-44D7-AFDB-A3084389D568}" destId="{D6DCF78C-5677-42DF-AFDA-DA23FACD158B}" srcOrd="2" destOrd="0" parTransId="{2AF6457D-0F1E-49FC-A57D-50CB15BE7EB6}" sibTransId="{8C73A620-739B-45F0-AD32-BCC05605DEA3}"/>
    <dgm:cxn modelId="{80B049EE-740F-49C8-8632-4CDF64A0E756}" srcId="{FA3D4DC3-D276-44D7-AFDB-A3084389D568}" destId="{625ACFF9-ABBE-4C94-AFCC-ECDD2790DA0A}" srcOrd="4" destOrd="0" parTransId="{A74D54B1-1423-4142-A18C-399263D18D49}" sibTransId="{397D8EA6-A416-4AB4-A88F-614EC2BE0BAB}"/>
    <dgm:cxn modelId="{E3118AF2-8757-4872-81D7-D0F041D4D271}" type="presOf" srcId="{5130B073-D055-45AD-B6DF-49FD23C5AB7E}" destId="{6594C8EB-5AC2-4741-A8E5-D91BF7BA27A4}" srcOrd="1" destOrd="0" presId="urn:microsoft.com/office/officeart/2005/8/layout/radial1"/>
    <dgm:cxn modelId="{AE49C1F2-9FA1-42B6-B274-3165544AED3E}" type="presOf" srcId="{D5A502C0-7EA3-4CDA-9CED-DB2DF93D47E7}" destId="{39B00F66-5311-4AB8-92DB-D654123F1DD3}" srcOrd="0" destOrd="0" presId="urn:microsoft.com/office/officeart/2005/8/layout/radial1"/>
    <dgm:cxn modelId="{87D2A4F3-F884-4899-B270-10DE1F2571EB}" srcId="{FA3D4DC3-D276-44D7-AFDB-A3084389D568}" destId="{0F0C1D87-BF94-404F-95C2-3EF574C42825}" srcOrd="5" destOrd="0" parTransId="{38CE6996-7388-416E-8B85-94B36C124D69}" sibTransId="{511AA2B9-65B5-4326-9113-4C03E7DB5E3B}"/>
    <dgm:cxn modelId="{7587AFF6-349A-4006-B4E1-2EAB1C293940}" srcId="{FA3D4DC3-D276-44D7-AFDB-A3084389D568}" destId="{F2FE4477-2EAE-4171-B970-067E9D2EF21C}" srcOrd="3" destOrd="0" parTransId="{5130B073-D055-45AD-B6DF-49FD23C5AB7E}" sibTransId="{C3030639-297C-4C37-ACB0-827E6F4EE21C}"/>
    <dgm:cxn modelId="{B1FE63FC-2AEC-45A9-BFA6-7B9821551237}" srcId="{FA3D4DC3-D276-44D7-AFDB-A3084389D568}" destId="{D5A502C0-7EA3-4CDA-9CED-DB2DF93D47E7}" srcOrd="0" destOrd="0" parTransId="{58BD752A-ED79-419F-A96D-D67731EB2266}" sibTransId="{850182AA-D982-4131-8522-AD0A2DFA6C7B}"/>
    <dgm:cxn modelId="{3F1706FE-18FC-49C1-B14E-D36F107056A2}" type="presOf" srcId="{58BD752A-ED79-419F-A96D-D67731EB2266}" destId="{4022B74B-133D-4954-BB0E-08F206C5EBC6}" srcOrd="1" destOrd="0" presId="urn:microsoft.com/office/officeart/2005/8/layout/radial1"/>
    <dgm:cxn modelId="{29066916-C071-437B-B2C5-BFD116F2D468}" type="presParOf" srcId="{4AF60B7C-5F21-4306-9F97-6ED899B099A0}" destId="{29A2FED6-FB9F-433D-88B2-A2B1E04411E8}" srcOrd="0" destOrd="0" presId="urn:microsoft.com/office/officeart/2005/8/layout/radial1"/>
    <dgm:cxn modelId="{25DECB83-3603-41A4-AB1D-725ABC8A1A5F}" type="presParOf" srcId="{4AF60B7C-5F21-4306-9F97-6ED899B099A0}" destId="{2CFA96D9-029A-4BE9-97A1-CCDA41F15CAB}" srcOrd="1" destOrd="0" presId="urn:microsoft.com/office/officeart/2005/8/layout/radial1"/>
    <dgm:cxn modelId="{9317C2F8-7243-498D-9B4C-7AA16D0DEDA8}" type="presParOf" srcId="{2CFA96D9-029A-4BE9-97A1-CCDA41F15CAB}" destId="{4022B74B-133D-4954-BB0E-08F206C5EBC6}" srcOrd="0" destOrd="0" presId="urn:microsoft.com/office/officeart/2005/8/layout/radial1"/>
    <dgm:cxn modelId="{5431B072-1EAD-422A-A0B9-8CCCC2D36380}" type="presParOf" srcId="{4AF60B7C-5F21-4306-9F97-6ED899B099A0}" destId="{39B00F66-5311-4AB8-92DB-D654123F1DD3}" srcOrd="2" destOrd="0" presId="urn:microsoft.com/office/officeart/2005/8/layout/radial1"/>
    <dgm:cxn modelId="{1AF15A70-253D-437B-964C-D26DD9192341}" type="presParOf" srcId="{4AF60B7C-5F21-4306-9F97-6ED899B099A0}" destId="{EA572D99-8E47-4363-8E2D-361D1538CC04}" srcOrd="3" destOrd="0" presId="urn:microsoft.com/office/officeart/2005/8/layout/radial1"/>
    <dgm:cxn modelId="{2CE752DB-671E-4DD3-8A53-BCF74D8C84F8}" type="presParOf" srcId="{EA572D99-8E47-4363-8E2D-361D1538CC04}" destId="{176CE8E3-65A3-412E-83C8-CC92A6997167}" srcOrd="0" destOrd="0" presId="urn:microsoft.com/office/officeart/2005/8/layout/radial1"/>
    <dgm:cxn modelId="{DEDEC2B0-EA90-4F2A-AC24-E693DB2BB6F6}" type="presParOf" srcId="{4AF60B7C-5F21-4306-9F97-6ED899B099A0}" destId="{7E821FE7-C2E5-45AC-B087-8D7C339B4509}" srcOrd="4" destOrd="0" presId="urn:microsoft.com/office/officeart/2005/8/layout/radial1"/>
    <dgm:cxn modelId="{2FE17374-7B75-4FB8-ADEC-3243A6C6B539}" type="presParOf" srcId="{4AF60B7C-5F21-4306-9F97-6ED899B099A0}" destId="{F264C3EB-7349-45C6-AC4A-DEF22296F417}" srcOrd="5" destOrd="0" presId="urn:microsoft.com/office/officeart/2005/8/layout/radial1"/>
    <dgm:cxn modelId="{4F2CC45C-2F91-4600-913A-51D3553A9872}" type="presParOf" srcId="{F264C3EB-7349-45C6-AC4A-DEF22296F417}" destId="{9F3F05DE-43BF-4048-A7B9-DD7AE295A231}" srcOrd="0" destOrd="0" presId="urn:microsoft.com/office/officeart/2005/8/layout/radial1"/>
    <dgm:cxn modelId="{1946CA2D-378C-406A-86C5-D828AC791722}" type="presParOf" srcId="{4AF60B7C-5F21-4306-9F97-6ED899B099A0}" destId="{045AB4B5-5432-4DEF-9301-02108116507E}" srcOrd="6" destOrd="0" presId="urn:microsoft.com/office/officeart/2005/8/layout/radial1"/>
    <dgm:cxn modelId="{8005E190-7005-49AF-AD1A-E022C4F13FF0}" type="presParOf" srcId="{4AF60B7C-5F21-4306-9F97-6ED899B099A0}" destId="{D39E32D8-A511-45C8-B8C1-E4AB33AAC233}" srcOrd="7" destOrd="0" presId="urn:microsoft.com/office/officeart/2005/8/layout/radial1"/>
    <dgm:cxn modelId="{8EC9E2BA-5764-468E-B7CA-3FFCBE05DB51}" type="presParOf" srcId="{D39E32D8-A511-45C8-B8C1-E4AB33AAC233}" destId="{6594C8EB-5AC2-4741-A8E5-D91BF7BA27A4}" srcOrd="0" destOrd="0" presId="urn:microsoft.com/office/officeart/2005/8/layout/radial1"/>
    <dgm:cxn modelId="{761EFE1E-6655-476C-8013-BB21BBE1F7CB}" type="presParOf" srcId="{4AF60B7C-5F21-4306-9F97-6ED899B099A0}" destId="{92612E01-E5E9-4BA8-AA9E-02C38C4B8BE6}" srcOrd="8" destOrd="0" presId="urn:microsoft.com/office/officeart/2005/8/layout/radial1"/>
    <dgm:cxn modelId="{2E8F96E3-DFA3-4BF3-AAD0-1A68754D4620}" type="presParOf" srcId="{4AF60B7C-5F21-4306-9F97-6ED899B099A0}" destId="{BF6FCFE7-7E74-4481-BF12-61DE7135E012}" srcOrd="9" destOrd="0" presId="urn:microsoft.com/office/officeart/2005/8/layout/radial1"/>
    <dgm:cxn modelId="{CBDC31A2-92EE-40BC-835D-865EE5E96245}" type="presParOf" srcId="{BF6FCFE7-7E74-4481-BF12-61DE7135E012}" destId="{5662FFAF-039A-4E68-83CF-EA48613C008A}" srcOrd="0" destOrd="0" presId="urn:microsoft.com/office/officeart/2005/8/layout/radial1"/>
    <dgm:cxn modelId="{10735A52-6BA3-4A36-AB6F-D53D8E30C216}" type="presParOf" srcId="{4AF60B7C-5F21-4306-9F97-6ED899B099A0}" destId="{02E81AEF-8C13-474A-B9AE-CEBA2A9FC1EF}" srcOrd="10" destOrd="0" presId="urn:microsoft.com/office/officeart/2005/8/layout/radial1"/>
    <dgm:cxn modelId="{D34ACC38-A528-4747-AEB3-DB458DFD83AA}" type="presParOf" srcId="{4AF60B7C-5F21-4306-9F97-6ED899B099A0}" destId="{06ACD99D-35A8-4F18-A932-E1A8ECD5CB35}" srcOrd="11" destOrd="0" presId="urn:microsoft.com/office/officeart/2005/8/layout/radial1"/>
    <dgm:cxn modelId="{34ABABF8-2DA9-4AB6-BD3E-DE19202A0C48}" type="presParOf" srcId="{06ACD99D-35A8-4F18-A932-E1A8ECD5CB35}" destId="{17C50537-682B-4795-8627-7D1C2207DC29}" srcOrd="0" destOrd="0" presId="urn:microsoft.com/office/officeart/2005/8/layout/radial1"/>
    <dgm:cxn modelId="{58D331F1-83D8-445E-819D-DF32B489DF48}" type="presParOf" srcId="{4AF60B7C-5F21-4306-9F97-6ED899B099A0}" destId="{3B07EDFB-65AC-4EA1-BFF6-0E3C7FE59B0F}" srcOrd="12" destOrd="0" presId="urn:microsoft.com/office/officeart/2005/8/layout/radial1"/>
    <dgm:cxn modelId="{DEBB57FD-9644-4A56-8E0A-F6846CC66730}" type="presParOf" srcId="{4AF60B7C-5F21-4306-9F97-6ED899B099A0}" destId="{7C7A1046-1FC0-438E-B1A9-FF6870FAE564}" srcOrd="13" destOrd="0" presId="urn:microsoft.com/office/officeart/2005/8/layout/radial1"/>
    <dgm:cxn modelId="{24033CAF-5FBE-4AFA-BF36-2F81E366AC37}" type="presParOf" srcId="{7C7A1046-1FC0-438E-B1A9-FF6870FAE564}" destId="{C46DD1DF-097D-465C-A9E6-46D21E9124CB}" srcOrd="0" destOrd="0" presId="urn:microsoft.com/office/officeart/2005/8/layout/radial1"/>
    <dgm:cxn modelId="{6F0799F2-A12C-4EDA-B102-7CAA180FFB80}" type="presParOf" srcId="{4AF60B7C-5F21-4306-9F97-6ED899B099A0}" destId="{23C459CF-245D-4B33-B720-A3F34E412908}" srcOrd="14"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77C11-84F0-4319-A50E-8C2D8D714B38}">
      <dsp:nvSpPr>
        <dsp:cNvPr id="0" name=""/>
        <dsp:cNvSpPr/>
      </dsp:nvSpPr>
      <dsp:spPr>
        <a:xfrm>
          <a:off x="2284770" y="1235261"/>
          <a:ext cx="916042" cy="8347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itchFamily="34" charset="0"/>
              <a:cs typeface="Arial" pitchFamily="34" charset="0"/>
            </a:rPr>
            <a:t>Tasar pupal oil</a:t>
          </a:r>
        </a:p>
      </dsp:txBody>
      <dsp:txXfrm>
        <a:off x="2418921" y="1357512"/>
        <a:ext cx="647740" cy="590280"/>
      </dsp:txXfrm>
    </dsp:sp>
    <dsp:sp modelId="{3721234E-62A6-4304-B9F9-20079AFE61C1}">
      <dsp:nvSpPr>
        <dsp:cNvPr id="0" name=""/>
        <dsp:cNvSpPr/>
      </dsp:nvSpPr>
      <dsp:spPr>
        <a:xfrm rot="16200000">
          <a:off x="2635122" y="881543"/>
          <a:ext cx="215338" cy="313324"/>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667423" y="976509"/>
        <a:ext cx="150737" cy="187994"/>
      </dsp:txXfrm>
    </dsp:sp>
    <dsp:sp modelId="{A054A105-BC2A-4EDC-BE73-FCD47C167E7D}">
      <dsp:nvSpPr>
        <dsp:cNvPr id="0" name=""/>
        <dsp:cNvSpPr/>
      </dsp:nvSpPr>
      <dsp:spPr>
        <a:xfrm>
          <a:off x="2288414" y="-13390"/>
          <a:ext cx="908753" cy="84235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 bacterial</a:t>
          </a:r>
        </a:p>
      </dsp:txBody>
      <dsp:txXfrm>
        <a:off x="2421498" y="109970"/>
        <a:ext cx="642585" cy="595632"/>
      </dsp:txXfrm>
    </dsp:sp>
    <dsp:sp modelId="{7929F94B-8D50-4A52-80BD-5586FCCF529B}">
      <dsp:nvSpPr>
        <dsp:cNvPr id="0" name=""/>
        <dsp:cNvSpPr/>
      </dsp:nvSpPr>
      <dsp:spPr>
        <a:xfrm rot="19285714">
          <a:off x="3125964" y="1119178"/>
          <a:ext cx="178669" cy="313324"/>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131811" y="1198553"/>
        <a:ext cx="125068" cy="187994"/>
      </dsp:txXfrm>
    </dsp:sp>
    <dsp:sp modelId="{149DEC05-F1C7-430E-B474-25A8878D2362}">
      <dsp:nvSpPr>
        <dsp:cNvPr id="0" name=""/>
        <dsp:cNvSpPr/>
      </dsp:nvSpPr>
      <dsp:spPr>
        <a:xfrm>
          <a:off x="3237347" y="426539"/>
          <a:ext cx="957438" cy="899904"/>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Antioxidant</a:t>
          </a:r>
          <a:endParaRPr lang="en-US" sz="900" kern="1200">
            <a:latin typeface="Arial" pitchFamily="34" charset="0"/>
            <a:cs typeface="Arial" pitchFamily="34" charset="0"/>
          </a:endParaRPr>
        </a:p>
      </dsp:txBody>
      <dsp:txXfrm>
        <a:off x="3377561" y="558327"/>
        <a:ext cx="677010" cy="636328"/>
      </dsp:txXfrm>
    </dsp:sp>
    <dsp:sp modelId="{1076B71F-BC27-48A1-B604-31415EF43220}">
      <dsp:nvSpPr>
        <dsp:cNvPr id="0" name=""/>
        <dsp:cNvSpPr/>
      </dsp:nvSpPr>
      <dsp:spPr>
        <a:xfrm rot="771429">
          <a:off x="3250978" y="1630573"/>
          <a:ext cx="162920" cy="313324"/>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251591" y="1687800"/>
        <a:ext cx="114044" cy="187994"/>
      </dsp:txXfrm>
    </dsp:sp>
    <dsp:sp modelId="{C6A8C450-9FDB-4E93-80FE-97024DB0A9B3}">
      <dsp:nvSpPr>
        <dsp:cNvPr id="0" name=""/>
        <dsp:cNvSpPr/>
      </dsp:nvSpPr>
      <dsp:spPr>
        <a:xfrm>
          <a:off x="3470507" y="1511910"/>
          <a:ext cx="971878" cy="835501"/>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Anti-hyperlipidemic</a:t>
          </a:r>
          <a:endParaRPr lang="en-US" sz="900" kern="1200">
            <a:latin typeface="Arial" pitchFamily="34" charset="0"/>
            <a:cs typeface="Arial" pitchFamily="34" charset="0"/>
          </a:endParaRPr>
        </a:p>
      </dsp:txBody>
      <dsp:txXfrm>
        <a:off x="3612835" y="1634266"/>
        <a:ext cx="687222" cy="590789"/>
      </dsp:txXfrm>
    </dsp:sp>
    <dsp:sp modelId="{0BC0B7B8-346E-4FBF-A2FC-B6E7019F4FB2}">
      <dsp:nvSpPr>
        <dsp:cNvPr id="0" name=""/>
        <dsp:cNvSpPr/>
      </dsp:nvSpPr>
      <dsp:spPr>
        <a:xfrm rot="3857143">
          <a:off x="2905154" y="2051949"/>
          <a:ext cx="210744" cy="313324"/>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923050" y="2086133"/>
        <a:ext cx="147521" cy="187994"/>
      </dsp:txXfrm>
    </dsp:sp>
    <dsp:sp modelId="{1178CF03-9DBE-4A9A-9E38-4FDBF8378C8E}">
      <dsp:nvSpPr>
        <dsp:cNvPr id="0" name=""/>
        <dsp:cNvSpPr/>
      </dsp:nvSpPr>
      <dsp:spPr>
        <a:xfrm>
          <a:off x="2829110" y="2357507"/>
          <a:ext cx="907617" cy="83346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Anticancer</a:t>
          </a:r>
          <a:endParaRPr lang="en-US" sz="900" kern="1200">
            <a:latin typeface="Arial" pitchFamily="34" charset="0"/>
            <a:cs typeface="Arial" pitchFamily="34" charset="0"/>
          </a:endParaRPr>
        </a:p>
      </dsp:txBody>
      <dsp:txXfrm>
        <a:off x="2962027" y="2479565"/>
        <a:ext cx="641783" cy="589345"/>
      </dsp:txXfrm>
    </dsp:sp>
    <dsp:sp modelId="{D5361CE1-18D1-497F-BD4C-FB410F5D1A2A}">
      <dsp:nvSpPr>
        <dsp:cNvPr id="0" name=""/>
        <dsp:cNvSpPr/>
      </dsp:nvSpPr>
      <dsp:spPr>
        <a:xfrm rot="6942857">
          <a:off x="2379469" y="2042954"/>
          <a:ext cx="199835" cy="313324"/>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2422450" y="2078612"/>
        <a:ext cx="139885" cy="187994"/>
      </dsp:txXfrm>
    </dsp:sp>
    <dsp:sp modelId="{E38864EF-8F7F-4D92-B8EF-89AAD2C3D685}">
      <dsp:nvSpPr>
        <dsp:cNvPr id="0" name=""/>
        <dsp:cNvSpPr/>
      </dsp:nvSpPr>
      <dsp:spPr>
        <a:xfrm>
          <a:off x="1740217" y="2334687"/>
          <a:ext cx="924893" cy="87910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 ulcerative</a:t>
          </a:r>
        </a:p>
      </dsp:txBody>
      <dsp:txXfrm>
        <a:off x="1875664" y="2463429"/>
        <a:ext cx="653999" cy="621618"/>
      </dsp:txXfrm>
    </dsp:sp>
    <dsp:sp modelId="{4258B1A2-6807-4A13-8937-5D4341C71050}">
      <dsp:nvSpPr>
        <dsp:cNvPr id="0" name=""/>
        <dsp:cNvSpPr/>
      </dsp:nvSpPr>
      <dsp:spPr>
        <a:xfrm rot="10028571">
          <a:off x="2070953" y="1630680"/>
          <a:ext cx="163444" cy="313324"/>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2119371" y="1687890"/>
        <a:ext cx="114411" cy="187994"/>
      </dsp:txXfrm>
    </dsp:sp>
    <dsp:sp modelId="{5657B75D-2BCE-461E-B522-7C467F781830}">
      <dsp:nvSpPr>
        <dsp:cNvPr id="0" name=""/>
        <dsp:cNvSpPr/>
      </dsp:nvSpPr>
      <dsp:spPr>
        <a:xfrm>
          <a:off x="1044014" y="1514966"/>
          <a:ext cx="970244" cy="829389"/>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Vasculoprotective</a:t>
          </a:r>
        </a:p>
      </dsp:txBody>
      <dsp:txXfrm>
        <a:off x="1186103" y="1636427"/>
        <a:ext cx="686066" cy="586467"/>
      </dsp:txXfrm>
    </dsp:sp>
    <dsp:sp modelId="{0142F93E-3B87-461E-AA90-FAE82F363AAB}">
      <dsp:nvSpPr>
        <dsp:cNvPr id="0" name=""/>
        <dsp:cNvSpPr/>
      </dsp:nvSpPr>
      <dsp:spPr>
        <a:xfrm rot="13114286">
          <a:off x="2176751" y="1117207"/>
          <a:ext cx="182122" cy="313324"/>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2225428" y="1196905"/>
        <a:ext cx="127485" cy="187994"/>
      </dsp:txXfrm>
    </dsp:sp>
    <dsp:sp modelId="{F281FA5E-0E32-42C0-ACBA-5AFAEE19DC95}">
      <dsp:nvSpPr>
        <dsp:cNvPr id="0" name=""/>
        <dsp:cNvSpPr/>
      </dsp:nvSpPr>
      <dsp:spPr>
        <a:xfrm>
          <a:off x="1270799" y="461796"/>
          <a:ext cx="997431" cy="82938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Hepatoprotective</a:t>
          </a:r>
        </a:p>
      </dsp:txBody>
      <dsp:txXfrm>
        <a:off x="1416869" y="583257"/>
        <a:ext cx="705291" cy="586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2FED6-FB9F-433D-88B2-A2B1E04411E8}">
      <dsp:nvSpPr>
        <dsp:cNvPr id="0" name=""/>
        <dsp:cNvSpPr/>
      </dsp:nvSpPr>
      <dsp:spPr>
        <a:xfrm>
          <a:off x="2340936" y="1235659"/>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α-linolenic acid </a:t>
          </a:r>
        </a:p>
      </dsp:txBody>
      <dsp:txXfrm>
        <a:off x="2461604" y="1356327"/>
        <a:ext cx="582636" cy="582636"/>
      </dsp:txXfrm>
    </dsp:sp>
    <dsp:sp modelId="{2CFA96D9-029A-4BE9-97A1-CCDA41F15CAB}">
      <dsp:nvSpPr>
        <dsp:cNvPr id="0" name=""/>
        <dsp:cNvSpPr/>
      </dsp:nvSpPr>
      <dsp:spPr>
        <a:xfrm rot="16200000">
          <a:off x="2546334" y="1015555"/>
          <a:ext cx="413176" cy="27033"/>
        </a:xfrm>
        <a:custGeom>
          <a:avLst/>
          <a:gdLst/>
          <a:ahLst/>
          <a:cxnLst/>
          <a:rect l="0" t="0" r="0" b="0"/>
          <a:pathLst>
            <a:path>
              <a:moveTo>
                <a:pt x="0" y="13516"/>
              </a:moveTo>
              <a:lnTo>
                <a:pt x="413176"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42593" y="1018742"/>
        <a:ext cx="20658" cy="20658"/>
      </dsp:txXfrm>
    </dsp:sp>
    <dsp:sp modelId="{39B00F66-5311-4AB8-92DB-D654123F1DD3}">
      <dsp:nvSpPr>
        <dsp:cNvPr id="0" name=""/>
        <dsp:cNvSpPr/>
      </dsp:nvSpPr>
      <dsp:spPr>
        <a:xfrm>
          <a:off x="2283999" y="512"/>
          <a:ext cx="937846" cy="821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Anticancer</a:t>
          </a:r>
        </a:p>
      </dsp:txBody>
      <dsp:txXfrm>
        <a:off x="2421343" y="120887"/>
        <a:ext cx="663158" cy="581220"/>
      </dsp:txXfrm>
    </dsp:sp>
    <dsp:sp modelId="{EA572D99-8E47-4363-8E2D-361D1538CC04}">
      <dsp:nvSpPr>
        <dsp:cNvPr id="0" name=""/>
        <dsp:cNvSpPr/>
      </dsp:nvSpPr>
      <dsp:spPr>
        <a:xfrm rot="19285714">
          <a:off x="3030065" y="1248766"/>
          <a:ext cx="412174" cy="27033"/>
        </a:xfrm>
        <a:custGeom>
          <a:avLst/>
          <a:gdLst/>
          <a:ahLst/>
          <a:cxnLst/>
          <a:rect l="0" t="0" r="0" b="0"/>
          <a:pathLst>
            <a:path>
              <a:moveTo>
                <a:pt x="0" y="13516"/>
              </a:moveTo>
              <a:lnTo>
                <a:pt x="412174"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25848" y="1251978"/>
        <a:ext cx="20608" cy="20608"/>
      </dsp:txXfrm>
    </dsp:sp>
    <dsp:sp modelId="{7E821FE7-C2E5-45AC-B087-8D7C339B4509}">
      <dsp:nvSpPr>
        <dsp:cNvPr id="0" name=""/>
        <dsp:cNvSpPr/>
      </dsp:nvSpPr>
      <dsp:spPr>
        <a:xfrm>
          <a:off x="3307395" y="464934"/>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Anti-oxidant</a:t>
          </a:r>
        </a:p>
      </dsp:txBody>
      <dsp:txXfrm>
        <a:off x="3428063" y="585602"/>
        <a:ext cx="582636" cy="582636"/>
      </dsp:txXfrm>
    </dsp:sp>
    <dsp:sp modelId="{F264C3EB-7349-45C6-AC4A-DEF22296F417}">
      <dsp:nvSpPr>
        <dsp:cNvPr id="0" name=""/>
        <dsp:cNvSpPr/>
      </dsp:nvSpPr>
      <dsp:spPr>
        <a:xfrm rot="771429">
          <a:off x="3149412" y="1771663"/>
          <a:ext cx="412174" cy="27033"/>
        </a:xfrm>
        <a:custGeom>
          <a:avLst/>
          <a:gdLst/>
          <a:ahLst/>
          <a:cxnLst/>
          <a:rect l="0" t="0" r="0" b="0"/>
          <a:pathLst>
            <a:path>
              <a:moveTo>
                <a:pt x="0" y="13516"/>
              </a:moveTo>
              <a:lnTo>
                <a:pt x="412174"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45196" y="1774876"/>
        <a:ext cx="20608" cy="20608"/>
      </dsp:txXfrm>
    </dsp:sp>
    <dsp:sp modelId="{045AB4B5-5432-4DEF-9301-02108116507E}">
      <dsp:nvSpPr>
        <dsp:cNvPr id="0" name=""/>
        <dsp:cNvSpPr/>
      </dsp:nvSpPr>
      <dsp:spPr>
        <a:xfrm>
          <a:off x="3546091" y="1510728"/>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 diabetic</a:t>
          </a:r>
        </a:p>
      </dsp:txBody>
      <dsp:txXfrm>
        <a:off x="3666759" y="1631396"/>
        <a:ext cx="582636" cy="582636"/>
      </dsp:txXfrm>
    </dsp:sp>
    <dsp:sp modelId="{D39E32D8-A511-45C8-B8C1-E4AB33AAC233}">
      <dsp:nvSpPr>
        <dsp:cNvPr id="0" name=""/>
        <dsp:cNvSpPr/>
      </dsp:nvSpPr>
      <dsp:spPr>
        <a:xfrm rot="3857143">
          <a:off x="2821678" y="2180377"/>
          <a:ext cx="388606" cy="27033"/>
        </a:xfrm>
        <a:custGeom>
          <a:avLst/>
          <a:gdLst/>
          <a:ahLst/>
          <a:cxnLst/>
          <a:rect l="0" t="0" r="0" b="0"/>
          <a:pathLst>
            <a:path>
              <a:moveTo>
                <a:pt x="0" y="13516"/>
              </a:moveTo>
              <a:lnTo>
                <a:pt x="388606"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06267" y="2184179"/>
        <a:ext cx="19430" cy="19430"/>
      </dsp:txXfrm>
    </dsp:sp>
    <dsp:sp modelId="{92612E01-E5E9-4BA8-AA9E-02C38C4B8BE6}">
      <dsp:nvSpPr>
        <dsp:cNvPr id="0" name=""/>
        <dsp:cNvSpPr/>
      </dsp:nvSpPr>
      <dsp:spPr>
        <a:xfrm>
          <a:off x="2825242" y="2331708"/>
          <a:ext cx="928048" cy="8593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Anti-inflamatory</a:t>
          </a:r>
        </a:p>
      </dsp:txBody>
      <dsp:txXfrm>
        <a:off x="2961151" y="2457555"/>
        <a:ext cx="656230" cy="607643"/>
      </dsp:txXfrm>
    </dsp:sp>
    <dsp:sp modelId="{BF6FCFE7-7E74-4481-BF12-61DE7135E012}">
      <dsp:nvSpPr>
        <dsp:cNvPr id="0" name=""/>
        <dsp:cNvSpPr/>
      </dsp:nvSpPr>
      <dsp:spPr>
        <a:xfrm rot="6942857">
          <a:off x="2302013" y="2176322"/>
          <a:ext cx="379605" cy="27033"/>
        </a:xfrm>
        <a:custGeom>
          <a:avLst/>
          <a:gdLst/>
          <a:ahLst/>
          <a:cxnLst/>
          <a:rect l="0" t="0" r="0" b="0"/>
          <a:pathLst>
            <a:path>
              <a:moveTo>
                <a:pt x="0" y="13516"/>
              </a:moveTo>
              <a:lnTo>
                <a:pt x="379605"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482326" y="2180349"/>
        <a:ext cx="18980" cy="18980"/>
      </dsp:txXfrm>
    </dsp:sp>
    <dsp:sp modelId="{02E81AEF-8C13-474A-B9AE-CEBA2A9FC1EF}">
      <dsp:nvSpPr>
        <dsp:cNvPr id="0" name=""/>
        <dsp:cNvSpPr/>
      </dsp:nvSpPr>
      <dsp:spPr>
        <a:xfrm>
          <a:off x="1742756" y="2322866"/>
          <a:ext cx="947643" cy="87702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Neuroprotective</a:t>
          </a:r>
        </a:p>
      </dsp:txBody>
      <dsp:txXfrm>
        <a:off x="1881535" y="2451303"/>
        <a:ext cx="670085" cy="620146"/>
      </dsp:txXfrm>
    </dsp:sp>
    <dsp:sp modelId="{06ACD99D-35A8-4F18-A932-E1A8ECD5CB35}">
      <dsp:nvSpPr>
        <dsp:cNvPr id="0" name=""/>
        <dsp:cNvSpPr/>
      </dsp:nvSpPr>
      <dsp:spPr>
        <a:xfrm rot="10028571">
          <a:off x="1961160" y="1769759"/>
          <a:ext cx="395057" cy="27033"/>
        </a:xfrm>
        <a:custGeom>
          <a:avLst/>
          <a:gdLst/>
          <a:ahLst/>
          <a:cxnLst/>
          <a:rect l="0" t="0" r="0" b="0"/>
          <a:pathLst>
            <a:path>
              <a:moveTo>
                <a:pt x="0" y="13516"/>
              </a:moveTo>
              <a:lnTo>
                <a:pt x="395057"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148813" y="1773399"/>
        <a:ext cx="19752" cy="19752"/>
      </dsp:txXfrm>
    </dsp:sp>
    <dsp:sp modelId="{3B07EDFB-65AC-4EA1-BFF6-0E3C7FE59B0F}">
      <dsp:nvSpPr>
        <dsp:cNvPr id="0" name=""/>
        <dsp:cNvSpPr/>
      </dsp:nvSpPr>
      <dsp:spPr>
        <a:xfrm>
          <a:off x="1116335" y="1532073"/>
          <a:ext cx="862864" cy="7812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Cardioprotective</a:t>
          </a:r>
        </a:p>
      </dsp:txBody>
      <dsp:txXfrm>
        <a:off x="1242699" y="1646489"/>
        <a:ext cx="610136" cy="552450"/>
      </dsp:txXfrm>
    </dsp:sp>
    <dsp:sp modelId="{7C7A1046-1FC0-438E-B1A9-FF6870FAE564}">
      <dsp:nvSpPr>
        <dsp:cNvPr id="0" name=""/>
        <dsp:cNvSpPr/>
      </dsp:nvSpPr>
      <dsp:spPr>
        <a:xfrm rot="13114286">
          <a:off x="2073551" y="1252246"/>
          <a:ext cx="401011" cy="27033"/>
        </a:xfrm>
        <a:custGeom>
          <a:avLst/>
          <a:gdLst/>
          <a:ahLst/>
          <a:cxnLst/>
          <a:rect l="0" t="0" r="0" b="0"/>
          <a:pathLst>
            <a:path>
              <a:moveTo>
                <a:pt x="0" y="13516"/>
              </a:moveTo>
              <a:lnTo>
                <a:pt x="401011"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64031" y="1255738"/>
        <a:ext cx="20050" cy="20050"/>
      </dsp:txXfrm>
    </dsp:sp>
    <dsp:sp modelId="{23C459CF-245D-4B33-B720-A3F34E412908}">
      <dsp:nvSpPr>
        <dsp:cNvPr id="0" name=""/>
        <dsp:cNvSpPr/>
      </dsp:nvSpPr>
      <dsp:spPr>
        <a:xfrm>
          <a:off x="1336430" y="487749"/>
          <a:ext cx="900066" cy="7783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Cholesterol management</a:t>
          </a:r>
        </a:p>
      </dsp:txBody>
      <dsp:txXfrm>
        <a:off x="1468242" y="601734"/>
        <a:ext cx="636442" cy="5503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6F2B-35AE-4404-AC18-3E36D291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7887</Words>
  <Characters>44960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SDI 1137</cp:lastModifiedBy>
  <cp:revision>6</cp:revision>
  <dcterms:created xsi:type="dcterms:W3CDTF">2025-07-29T14:01:00Z</dcterms:created>
  <dcterms:modified xsi:type="dcterms:W3CDTF">2025-08-01T06:04:00Z</dcterms:modified>
</cp:coreProperties>
</file>