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3979" w14:textId="77777777" w:rsidR="00215A7C" w:rsidRDefault="00215A7C">
      <w:pPr>
        <w:jc w:val="center"/>
        <w:rPr>
          <w:color w:val="000000" w:themeColor="text1"/>
          <w:sz w:val="28"/>
          <w:szCs w:val="24"/>
        </w:rPr>
      </w:pPr>
    </w:p>
    <w:p w14:paraId="308EC0BA" w14:textId="77777777" w:rsidR="00160F01" w:rsidRPr="00160F01" w:rsidRDefault="00160F01" w:rsidP="00160F01">
      <w:pPr>
        <w:spacing w:line="480" w:lineRule="auto"/>
        <w:jc w:val="center"/>
        <w:rPr>
          <w:rFonts w:eastAsia="SimSun" w:cs="Times New Roman"/>
          <w:b/>
          <w:bCs/>
          <w:i/>
          <w:iCs/>
          <w:szCs w:val="24"/>
          <w:u w:val="single"/>
        </w:rPr>
      </w:pPr>
      <w:r w:rsidRPr="00160F01">
        <w:rPr>
          <w:rFonts w:eastAsia="SimSun" w:cs="Times New Roman"/>
          <w:b/>
          <w:bCs/>
          <w:i/>
          <w:iCs/>
          <w:szCs w:val="24"/>
          <w:u w:val="single"/>
        </w:rPr>
        <w:t>Review Article</w:t>
      </w:r>
    </w:p>
    <w:p w14:paraId="1203A5B6" w14:textId="2BC6E4DD" w:rsidR="00215A7C" w:rsidRDefault="0017202F">
      <w:pPr>
        <w:spacing w:line="480" w:lineRule="auto"/>
        <w:jc w:val="center"/>
        <w:rPr>
          <w:rFonts w:cs="Times New Roman"/>
          <w:b/>
          <w:bCs/>
          <w:szCs w:val="24"/>
        </w:rPr>
      </w:pPr>
      <w:r>
        <w:rPr>
          <w:rFonts w:eastAsia="SimSun" w:cs="Times New Roman"/>
          <w:b/>
          <w:bCs/>
          <w:szCs w:val="24"/>
        </w:rPr>
        <w:t>"</w:t>
      </w:r>
      <w:r w:rsidR="008E718A">
        <w:rPr>
          <w:rFonts w:eastAsia="SimSun" w:cs="Times New Roman"/>
          <w:b/>
          <w:bCs/>
          <w:szCs w:val="24"/>
        </w:rPr>
        <w:t xml:space="preserve">The Nutritional Status </w:t>
      </w:r>
      <w:r w:rsidR="008E718A" w:rsidRPr="009017A3">
        <w:rPr>
          <w:rFonts w:eastAsia="SimSun" w:cs="Times New Roman"/>
          <w:b/>
          <w:bCs/>
          <w:szCs w:val="24"/>
          <w:highlight w:val="yellow"/>
        </w:rPr>
        <w:t>o</w:t>
      </w:r>
      <w:r w:rsidR="008E718A" w:rsidRPr="009017A3">
        <w:rPr>
          <w:rFonts w:eastAsia="SimSun" w:cs="Times New Roman"/>
          <w:b/>
          <w:bCs/>
          <w:szCs w:val="24"/>
          <w:highlight w:val="yellow"/>
        </w:rPr>
        <w:t xml:space="preserve">f </w:t>
      </w:r>
      <w:r w:rsidR="008E718A">
        <w:rPr>
          <w:rFonts w:eastAsia="SimSun" w:cs="Times New Roman"/>
          <w:b/>
          <w:bCs/>
          <w:szCs w:val="24"/>
        </w:rPr>
        <w:t xml:space="preserve">Indian University Students: Regional Disparities </w:t>
      </w:r>
      <w:r w:rsidR="008E718A" w:rsidRPr="009017A3">
        <w:rPr>
          <w:rFonts w:eastAsia="SimSun" w:cs="Times New Roman"/>
          <w:b/>
          <w:bCs/>
          <w:szCs w:val="24"/>
          <w:highlight w:val="yellow"/>
        </w:rPr>
        <w:t>a</w:t>
      </w:r>
      <w:r w:rsidR="008E718A" w:rsidRPr="009017A3">
        <w:rPr>
          <w:rFonts w:eastAsia="SimSun" w:cs="Times New Roman"/>
          <w:b/>
          <w:bCs/>
          <w:szCs w:val="24"/>
          <w:highlight w:val="yellow"/>
        </w:rPr>
        <w:t xml:space="preserve">nd </w:t>
      </w:r>
      <w:r w:rsidR="008E718A">
        <w:rPr>
          <w:rFonts w:eastAsia="SimSun" w:cs="Times New Roman"/>
          <w:b/>
          <w:bCs/>
          <w:szCs w:val="24"/>
        </w:rPr>
        <w:t xml:space="preserve">Health Consequences </w:t>
      </w:r>
      <w:r w:rsidR="008E718A" w:rsidRPr="009017A3">
        <w:rPr>
          <w:rFonts w:eastAsia="SimSun" w:cs="Times New Roman"/>
          <w:b/>
          <w:bCs/>
          <w:szCs w:val="24"/>
          <w:highlight w:val="yellow"/>
        </w:rPr>
        <w:t>o</w:t>
      </w:r>
      <w:r w:rsidR="008E718A" w:rsidRPr="009017A3">
        <w:rPr>
          <w:rFonts w:eastAsia="SimSun" w:cs="Times New Roman"/>
          <w:b/>
          <w:bCs/>
          <w:szCs w:val="24"/>
          <w:highlight w:val="yellow"/>
        </w:rPr>
        <w:t xml:space="preserve">f </w:t>
      </w:r>
      <w:r w:rsidR="008E718A">
        <w:rPr>
          <w:rFonts w:eastAsia="SimSun" w:cs="Times New Roman"/>
          <w:b/>
          <w:bCs/>
          <w:szCs w:val="24"/>
        </w:rPr>
        <w:t>Inadequate Diets</w:t>
      </w:r>
      <w:r>
        <w:rPr>
          <w:rFonts w:eastAsia="SimSun" w:cs="Times New Roman"/>
          <w:b/>
          <w:bCs/>
          <w:szCs w:val="24"/>
        </w:rPr>
        <w:t>"</w:t>
      </w:r>
    </w:p>
    <w:p w14:paraId="2FD4D52E" w14:textId="2BC0F391" w:rsidR="00215A7C" w:rsidRDefault="00215A7C">
      <w:pPr>
        <w:spacing w:line="480" w:lineRule="auto"/>
        <w:rPr>
          <w:rFonts w:cs="Times New Roman"/>
          <w:color w:val="000000" w:themeColor="text1"/>
          <w:szCs w:val="24"/>
        </w:rPr>
      </w:pPr>
    </w:p>
    <w:p w14:paraId="244CD932" w14:textId="77777777" w:rsidR="00DD54E3" w:rsidRDefault="00DD54E3">
      <w:pPr>
        <w:spacing w:line="480" w:lineRule="auto"/>
        <w:rPr>
          <w:rFonts w:cs="Times New Roman"/>
          <w:color w:val="000000" w:themeColor="text1"/>
          <w:szCs w:val="24"/>
        </w:rPr>
      </w:pPr>
    </w:p>
    <w:p w14:paraId="1303136A" w14:textId="77777777" w:rsidR="00215A7C" w:rsidRDefault="0017202F">
      <w:pPr>
        <w:spacing w:after="0" w:line="480" w:lineRule="auto"/>
        <w:rPr>
          <w:rFonts w:cs="Times New Roman"/>
          <w:b/>
          <w:bCs/>
          <w:color w:val="000000" w:themeColor="text1"/>
          <w:szCs w:val="24"/>
        </w:rPr>
      </w:pPr>
      <w:bookmarkStart w:id="0" w:name="_Toc179162494"/>
      <w:r>
        <w:rPr>
          <w:rFonts w:cs="Times New Roman"/>
          <w:b/>
          <w:bCs/>
          <w:color w:val="000000" w:themeColor="text1"/>
          <w:szCs w:val="24"/>
        </w:rPr>
        <w:t>ABSTRACT</w:t>
      </w:r>
      <w:bookmarkEnd w:id="0"/>
    </w:p>
    <w:p w14:paraId="780C8AD8" w14:textId="516A765C" w:rsidR="00215A7C" w:rsidRDefault="00DD659D">
      <w:pPr>
        <w:spacing w:after="0" w:line="480" w:lineRule="auto"/>
        <w:rPr>
          <w:rFonts w:eastAsia="SimSun" w:cs="Times New Roman"/>
          <w:szCs w:val="24"/>
        </w:rPr>
      </w:pPr>
      <w:r w:rsidRPr="009017A3">
        <w:rPr>
          <w:rFonts w:eastAsia="SimSun" w:cs="Times New Roman"/>
          <w:szCs w:val="24"/>
          <w:highlight w:val="yellow"/>
        </w:rPr>
        <w:t>Several</w:t>
      </w:r>
      <w:r w:rsidRPr="009017A3">
        <w:rPr>
          <w:rFonts w:eastAsia="SimSun" w:cs="Times New Roman"/>
          <w:szCs w:val="24"/>
          <w:highlight w:val="yellow"/>
        </w:rPr>
        <w:t xml:space="preserve"> studies have found that university students frequently have dietary deficits. Poor eating habits are a major public health concern among young adults who transition into college or university life, when they are exposed to stress and a lack of time.</w:t>
      </w:r>
      <w:r>
        <w:rPr>
          <w:rFonts w:eastAsia="SimSun" w:cs="Times New Roman"/>
          <w:szCs w:val="24"/>
        </w:rPr>
        <w:t xml:space="preserve"> </w:t>
      </w:r>
      <w:r w:rsidR="0017202F">
        <w:rPr>
          <w:rFonts w:eastAsia="SimSun" w:cs="Times New Roman"/>
          <w:szCs w:val="24"/>
        </w:rPr>
        <w:t xml:space="preserve">This study aims to evaluate the nutritional health status of university students across India’s four regions- North, South, East, and West, revealing </w:t>
      </w:r>
      <w:r w:rsidR="009017A3">
        <w:rPr>
          <w:rFonts w:eastAsia="SimSun" w:cs="Times New Roman"/>
          <w:szCs w:val="24"/>
          <w:highlight w:val="yellow"/>
        </w:rPr>
        <w:t>frightening</w:t>
      </w:r>
      <w:r w:rsidR="009017A3">
        <w:rPr>
          <w:rFonts w:eastAsia="SimSun" w:cs="Times New Roman"/>
          <w:szCs w:val="24"/>
        </w:rPr>
        <w:t xml:space="preserve"> </w:t>
      </w:r>
      <w:r w:rsidR="0017202F">
        <w:rPr>
          <w:rFonts w:eastAsia="SimSun" w:cs="Times New Roman"/>
          <w:szCs w:val="24"/>
        </w:rPr>
        <w:t xml:space="preserve">trends in dietary </w:t>
      </w:r>
      <w:proofErr w:type="spellStart"/>
      <w:r w:rsidR="008E718A" w:rsidRPr="009017A3">
        <w:rPr>
          <w:rFonts w:eastAsia="SimSun" w:cs="Times New Roman"/>
          <w:szCs w:val="24"/>
          <w:highlight w:val="yellow"/>
        </w:rPr>
        <w:t>behaviour</w:t>
      </w:r>
      <w:proofErr w:type="spellEnd"/>
      <w:r w:rsidR="008E718A" w:rsidRPr="009017A3">
        <w:rPr>
          <w:rFonts w:eastAsia="SimSun" w:cs="Times New Roman"/>
          <w:szCs w:val="24"/>
          <w:highlight w:val="yellow"/>
        </w:rPr>
        <w:t xml:space="preserve"> </w:t>
      </w:r>
      <w:r w:rsidR="0017202F">
        <w:rPr>
          <w:rFonts w:eastAsia="SimSun" w:cs="Times New Roman"/>
          <w:szCs w:val="24"/>
        </w:rPr>
        <w:t xml:space="preserve">and health risks. </w:t>
      </w:r>
      <w:r w:rsidR="00D73AF3">
        <w:rPr>
          <w:rFonts w:eastAsia="SimSun" w:cs="Times New Roman"/>
          <w:szCs w:val="24"/>
        </w:rPr>
        <w:t>The review-based methodology reveals that</w:t>
      </w:r>
      <w:r w:rsidR="0017202F">
        <w:rPr>
          <w:rFonts w:eastAsia="SimSun" w:cs="Times New Roman"/>
          <w:szCs w:val="24"/>
        </w:rPr>
        <w:t xml:space="preserve"> </w:t>
      </w:r>
      <w:r w:rsidR="00D73AF3">
        <w:rPr>
          <w:rFonts w:eastAsia="SimSun" w:cs="Times New Roman"/>
          <w:szCs w:val="24"/>
        </w:rPr>
        <w:t>s</w:t>
      </w:r>
      <w:r w:rsidR="00D73AF3">
        <w:rPr>
          <w:rFonts w:eastAsia="SimSun" w:cs="Times New Roman"/>
          <w:szCs w:val="24"/>
        </w:rPr>
        <w:t xml:space="preserve">tudents </w:t>
      </w:r>
      <w:r w:rsidR="0017202F">
        <w:rPr>
          <w:rFonts w:eastAsia="SimSun" w:cs="Times New Roman"/>
          <w:szCs w:val="24"/>
        </w:rPr>
        <w:t xml:space="preserve">in the </w:t>
      </w:r>
      <w:r w:rsidR="0017202F">
        <w:rPr>
          <w:rStyle w:val="Strong"/>
          <w:rFonts w:eastAsia="SimSun" w:cs="Times New Roman"/>
          <w:b w:val="0"/>
          <w:bCs w:val="0"/>
          <w:szCs w:val="24"/>
        </w:rPr>
        <w:t>North and West</w:t>
      </w:r>
      <w:r w:rsidR="0017202F">
        <w:rPr>
          <w:rFonts w:eastAsia="SimSun" w:cs="Times New Roman"/>
          <w:szCs w:val="24"/>
        </w:rPr>
        <w:t xml:space="preserve"> exhibit a </w:t>
      </w:r>
      <w:r w:rsidR="0017202F">
        <w:rPr>
          <w:rStyle w:val="Strong"/>
          <w:rFonts w:eastAsia="SimSun" w:cs="Times New Roman"/>
          <w:b w:val="0"/>
          <w:bCs w:val="0"/>
          <w:szCs w:val="24"/>
        </w:rPr>
        <w:t>65% higher intake of processed and fast foods</w:t>
      </w:r>
      <w:r w:rsidR="0017202F">
        <w:rPr>
          <w:rFonts w:eastAsia="SimSun" w:cs="Times New Roman"/>
          <w:szCs w:val="24"/>
        </w:rPr>
        <w:t xml:space="preserve">, whereas those in the </w:t>
      </w:r>
      <w:r w:rsidR="0017202F">
        <w:rPr>
          <w:rStyle w:val="Strong"/>
          <w:rFonts w:eastAsia="SimSun" w:cs="Times New Roman"/>
          <w:b w:val="0"/>
          <w:bCs w:val="0"/>
          <w:szCs w:val="24"/>
        </w:rPr>
        <w:t>East and South</w:t>
      </w:r>
      <w:r w:rsidR="0017202F">
        <w:rPr>
          <w:rFonts w:eastAsia="SimSun" w:cs="Times New Roman"/>
          <w:szCs w:val="24"/>
        </w:rPr>
        <w:t xml:space="preserve"> tend to maintain more traditional diets. However, poor nutrition is widespread: </w:t>
      </w:r>
      <w:r w:rsidR="0017202F">
        <w:rPr>
          <w:rStyle w:val="Strong"/>
          <w:rFonts w:eastAsia="SimSun" w:cs="Times New Roman"/>
          <w:b w:val="0"/>
          <w:bCs w:val="0"/>
          <w:szCs w:val="24"/>
        </w:rPr>
        <w:t>35% of students are malnourished</w:t>
      </w:r>
      <w:r w:rsidR="0017202F">
        <w:rPr>
          <w:rFonts w:eastAsia="SimSun" w:cs="Times New Roman"/>
          <w:szCs w:val="24"/>
        </w:rPr>
        <w:t xml:space="preserve">, and </w:t>
      </w:r>
      <w:r w:rsidR="0017202F">
        <w:rPr>
          <w:rStyle w:val="Strong"/>
          <w:rFonts w:eastAsia="SimSun" w:cs="Times New Roman"/>
          <w:b w:val="0"/>
          <w:bCs w:val="0"/>
          <w:szCs w:val="24"/>
        </w:rPr>
        <w:t>42% fail to meet basic nutritional requirements</w:t>
      </w:r>
      <w:r w:rsidR="0017202F">
        <w:rPr>
          <w:rFonts w:eastAsia="SimSun" w:cs="Times New Roman"/>
          <w:szCs w:val="24"/>
        </w:rPr>
        <w:t xml:space="preserve">. Among female students, </w:t>
      </w:r>
      <w:r w:rsidR="0017202F">
        <w:rPr>
          <w:rStyle w:val="Strong"/>
          <w:rFonts w:eastAsia="SimSun" w:cs="Times New Roman"/>
          <w:b w:val="0"/>
          <w:bCs w:val="0"/>
          <w:szCs w:val="24"/>
        </w:rPr>
        <w:t xml:space="preserve">60% are </w:t>
      </w:r>
      <w:proofErr w:type="spellStart"/>
      <w:r w:rsidR="008E718A" w:rsidRPr="009017A3">
        <w:rPr>
          <w:rStyle w:val="Strong"/>
          <w:rFonts w:eastAsia="SimSun" w:cs="Times New Roman"/>
          <w:b w:val="0"/>
          <w:bCs w:val="0"/>
          <w:szCs w:val="24"/>
          <w:highlight w:val="yellow"/>
        </w:rPr>
        <w:t>anaemic</w:t>
      </w:r>
      <w:proofErr w:type="spellEnd"/>
      <w:r w:rsidR="0017202F">
        <w:rPr>
          <w:rFonts w:eastAsia="SimSun" w:cs="Times New Roman"/>
          <w:szCs w:val="24"/>
        </w:rPr>
        <w:t xml:space="preserve">, and </w:t>
      </w:r>
      <w:r w:rsidR="0017202F">
        <w:rPr>
          <w:rStyle w:val="Strong"/>
          <w:rFonts w:eastAsia="SimSun" w:cs="Times New Roman"/>
          <w:b w:val="0"/>
          <w:bCs w:val="0"/>
          <w:szCs w:val="24"/>
        </w:rPr>
        <w:t>70% of all students</w:t>
      </w:r>
      <w:r w:rsidR="0017202F">
        <w:rPr>
          <w:rFonts w:eastAsia="SimSun" w:cs="Times New Roman"/>
          <w:szCs w:val="24"/>
        </w:rPr>
        <w:t xml:space="preserve"> have </w:t>
      </w:r>
      <w:r w:rsidR="0017202F">
        <w:rPr>
          <w:rStyle w:val="Strong"/>
          <w:rFonts w:eastAsia="SimSun" w:cs="Times New Roman"/>
          <w:b w:val="0"/>
          <w:bCs w:val="0"/>
          <w:szCs w:val="24"/>
        </w:rPr>
        <w:t>Vitamin D deficiency</w:t>
      </w:r>
      <w:r w:rsidR="0017202F">
        <w:rPr>
          <w:rFonts w:eastAsia="SimSun" w:cs="Times New Roman"/>
          <w:szCs w:val="24"/>
        </w:rPr>
        <w:t xml:space="preserve">. Skipping breakfast is reported by every </w:t>
      </w:r>
      <w:r w:rsidR="0017202F">
        <w:rPr>
          <w:rStyle w:val="Strong"/>
          <w:rFonts w:eastAsia="SimSun" w:cs="Times New Roman"/>
          <w:b w:val="0"/>
          <w:bCs w:val="0"/>
          <w:szCs w:val="24"/>
        </w:rPr>
        <w:t>6 in 10 students</w:t>
      </w:r>
      <w:r w:rsidR="0017202F">
        <w:rPr>
          <w:rFonts w:eastAsia="SimSun" w:cs="Times New Roman"/>
          <w:szCs w:val="24"/>
        </w:rPr>
        <w:t xml:space="preserve">, while </w:t>
      </w:r>
      <w:r w:rsidR="0017202F">
        <w:rPr>
          <w:rStyle w:val="Strong"/>
          <w:rFonts w:eastAsia="SimSun" w:cs="Times New Roman"/>
          <w:b w:val="0"/>
          <w:bCs w:val="0"/>
          <w:szCs w:val="24"/>
        </w:rPr>
        <w:t>75% consume fast food more than 3 times a week</w:t>
      </w:r>
      <w:r w:rsidR="0017202F">
        <w:rPr>
          <w:rFonts w:eastAsia="SimSun" w:cs="Times New Roman"/>
          <w:szCs w:val="24"/>
        </w:rPr>
        <w:t xml:space="preserve">, and only </w:t>
      </w:r>
      <w:r w:rsidR="0017202F">
        <w:rPr>
          <w:rStyle w:val="Strong"/>
          <w:rFonts w:eastAsia="SimSun" w:cs="Times New Roman"/>
          <w:b w:val="0"/>
          <w:bCs w:val="0"/>
          <w:szCs w:val="24"/>
        </w:rPr>
        <w:t>1 in 4 students</w:t>
      </w:r>
      <w:r w:rsidR="0017202F">
        <w:rPr>
          <w:rFonts w:eastAsia="SimSun" w:cs="Times New Roman"/>
          <w:szCs w:val="24"/>
        </w:rPr>
        <w:t xml:space="preserve"> meet the WHO’s daily intake recommendation of fruits and vegetables. Moreover, </w:t>
      </w:r>
      <w:r w:rsidR="0017202F">
        <w:rPr>
          <w:rStyle w:val="Strong"/>
          <w:rFonts w:eastAsia="SimSun" w:cs="Times New Roman"/>
          <w:b w:val="0"/>
          <w:bCs w:val="0"/>
          <w:szCs w:val="24"/>
        </w:rPr>
        <w:t>55% are physically inactive</w:t>
      </w:r>
      <w:r w:rsidR="0017202F">
        <w:rPr>
          <w:rFonts w:eastAsia="SimSun" w:cs="Times New Roman"/>
          <w:szCs w:val="24"/>
        </w:rPr>
        <w:t xml:space="preserve">, contributing to rising fatigue, stress, and poor academic outcomes. The findings call for </w:t>
      </w:r>
      <w:r w:rsidR="0017202F">
        <w:rPr>
          <w:rStyle w:val="Strong"/>
          <w:rFonts w:eastAsia="SimSun" w:cs="Times New Roman"/>
          <w:b w:val="0"/>
          <w:bCs w:val="0"/>
          <w:szCs w:val="24"/>
        </w:rPr>
        <w:t xml:space="preserve">immediate, region-sensitive interventions, </w:t>
      </w:r>
      <w:r w:rsidR="0017202F">
        <w:rPr>
          <w:rFonts w:eastAsia="SimSun" w:cs="Times New Roman"/>
          <w:szCs w:val="24"/>
        </w:rPr>
        <w:t xml:space="preserve">including nutrition education, access to healthy food, and lifestyle programs, to improve the long-term health and academic performance of India’s university </w:t>
      </w:r>
      <w:r w:rsidR="0017202F">
        <w:rPr>
          <w:rFonts w:eastAsia="SimSun" w:cs="Times New Roman"/>
          <w:szCs w:val="24"/>
        </w:rPr>
        <w:lastRenderedPageBreak/>
        <w:t xml:space="preserve">population. </w:t>
      </w:r>
      <w:r w:rsidRPr="009017A3">
        <w:rPr>
          <w:rFonts w:eastAsia="SimSun" w:cs="Times New Roman"/>
          <w:szCs w:val="24"/>
          <w:highlight w:val="yellow"/>
        </w:rPr>
        <w:t>By addressing dietary habits, universities can contribute to a healthier and more resilient student population, ultimately enhancing academic performance and personal well-being.</w:t>
      </w:r>
      <w:r w:rsidRPr="00DD659D">
        <w:rPr>
          <w:rFonts w:eastAsia="SimSun" w:cs="Times New Roman"/>
          <w:szCs w:val="24"/>
        </w:rPr>
        <w:t xml:space="preserve"> </w:t>
      </w:r>
    </w:p>
    <w:p w14:paraId="1437694C" w14:textId="7C4B8694" w:rsidR="00215A7C" w:rsidRDefault="0017202F">
      <w:pPr>
        <w:spacing w:after="0" w:line="480" w:lineRule="auto"/>
        <w:rPr>
          <w:rFonts w:cs="Times New Roman"/>
          <w:color w:val="000000" w:themeColor="text1"/>
          <w:szCs w:val="24"/>
        </w:rPr>
      </w:pPr>
      <w:r>
        <w:rPr>
          <w:rFonts w:cs="Times New Roman"/>
          <w:b/>
          <w:bCs/>
          <w:color w:val="000000" w:themeColor="text1"/>
          <w:szCs w:val="24"/>
        </w:rPr>
        <w:t xml:space="preserve">Keywords: </w:t>
      </w:r>
      <w:r>
        <w:rPr>
          <w:rFonts w:cs="Times New Roman"/>
          <w:color w:val="000000" w:themeColor="text1"/>
          <w:szCs w:val="24"/>
        </w:rPr>
        <w:t>University students, Nutrition Status, Region, Dietary habit, Mental well-being</w:t>
      </w:r>
    </w:p>
    <w:p w14:paraId="2CCF4095" w14:textId="77777777" w:rsidR="00215A7C" w:rsidRDefault="0017202F">
      <w:pPr>
        <w:pStyle w:val="Heading1"/>
        <w:spacing w:line="480" w:lineRule="auto"/>
        <w:jc w:val="both"/>
        <w:rPr>
          <w:rFonts w:cs="Times New Roman"/>
          <w:bCs/>
          <w:color w:val="000000" w:themeColor="text1"/>
          <w:sz w:val="24"/>
          <w:szCs w:val="24"/>
        </w:rPr>
      </w:pPr>
      <w:bookmarkStart w:id="1" w:name="_Toc179162495"/>
      <w:r>
        <w:rPr>
          <w:rFonts w:cs="Times New Roman"/>
          <w:bCs/>
          <w:color w:val="000000" w:themeColor="text1"/>
          <w:sz w:val="24"/>
          <w:szCs w:val="24"/>
        </w:rPr>
        <w:t>introduction</w:t>
      </w:r>
      <w:bookmarkEnd w:id="1"/>
    </w:p>
    <w:p w14:paraId="25ED61E8" w14:textId="7876CFD4" w:rsidR="00215A7C" w:rsidRDefault="0017202F">
      <w:pPr>
        <w:pStyle w:val="NormalWeb"/>
        <w:spacing w:line="480" w:lineRule="auto"/>
        <w:jc w:val="both"/>
        <w:rPr>
          <w:color w:val="C00000"/>
        </w:rPr>
      </w:pPr>
      <w:r>
        <w:rPr>
          <w:color w:val="000000" w:themeColor="text1"/>
        </w:rPr>
        <w:t xml:space="preserve">The nutritional health of university students is an important public health problem in India, where dietary patterns and nutrient consumption vary greatly by area. </w:t>
      </w:r>
      <w:r>
        <w:rPr>
          <w:rFonts w:eastAsia="SimSun"/>
          <w:color w:val="000000" w:themeColor="text1"/>
          <w:lang w:eastAsia="zh-CN" w:bidi="ar"/>
          <w14:ligatures w14:val="standardContextual"/>
        </w:rPr>
        <w:t xml:space="preserve">Nutrition has a relevant role regarding general health and welfare, especially among university students. Chak D (2024). </w:t>
      </w:r>
      <w:r>
        <w:rPr>
          <w:color w:val="000000" w:themeColor="text1"/>
        </w:rPr>
        <w:t xml:space="preserve">University students, who represent the nation's future workforce, require adequate nutrition to sustain their physical and cognitive function. </w:t>
      </w:r>
      <w:r w:rsidR="008E718A" w:rsidRPr="009017A3">
        <w:rPr>
          <w:highlight w:val="yellow"/>
        </w:rPr>
        <w:t>Nutrition is an essential aspect of human life and plays a vital role in maintaining good health and wellbeing. However, the nutritional status of university students in recent years has become an issue of considerable concern. Dietary habits are established in childhood and continue into adulthood, potentially influencing societal food choices and nutritional patterns over time. As young adults gain independence when transitioning from adolescence to young adulthood, they face a multitude of challenges related to healthy food choices</w:t>
      </w:r>
      <w:r w:rsidR="00E50989" w:rsidRPr="009017A3">
        <w:rPr>
          <w:highlight w:val="yellow"/>
        </w:rPr>
        <w:t xml:space="preserve"> </w:t>
      </w:r>
      <w:r w:rsidR="00E50989" w:rsidRPr="009017A3">
        <w:rPr>
          <w:highlight w:val="yellow"/>
        </w:rPr>
        <w:t>(</w:t>
      </w:r>
      <w:proofErr w:type="spellStart"/>
      <w:r w:rsidR="00E50989" w:rsidRPr="009017A3">
        <w:rPr>
          <w:highlight w:val="yellow"/>
        </w:rPr>
        <w:t>Almoraie</w:t>
      </w:r>
      <w:proofErr w:type="spellEnd"/>
      <w:r w:rsidR="00E50989" w:rsidRPr="009017A3">
        <w:rPr>
          <w:highlight w:val="yellow"/>
        </w:rPr>
        <w:t xml:space="preserve"> </w:t>
      </w:r>
      <w:r w:rsidR="00E50989" w:rsidRPr="009017A3">
        <w:rPr>
          <w:i/>
          <w:iCs/>
          <w:highlight w:val="yellow"/>
        </w:rPr>
        <w:t>et al</w:t>
      </w:r>
      <w:r w:rsidR="00E50989" w:rsidRPr="009017A3">
        <w:rPr>
          <w:highlight w:val="yellow"/>
        </w:rPr>
        <w:t>., 2024</w:t>
      </w:r>
      <w:r w:rsidR="00E50989">
        <w:rPr>
          <w:highlight w:val="yellow"/>
        </w:rPr>
        <w:t xml:space="preserve">; </w:t>
      </w:r>
      <w:proofErr w:type="spellStart"/>
      <w:r w:rsidR="00E50989" w:rsidRPr="009017A3">
        <w:rPr>
          <w:highlight w:val="yellow"/>
        </w:rPr>
        <w:t>Griban</w:t>
      </w:r>
      <w:proofErr w:type="spellEnd"/>
      <w:r w:rsidR="00E50989" w:rsidRPr="009017A3">
        <w:rPr>
          <w:highlight w:val="yellow"/>
        </w:rPr>
        <w:t xml:space="preserve"> </w:t>
      </w:r>
      <w:r w:rsidR="00E50989" w:rsidRPr="009017A3">
        <w:rPr>
          <w:i/>
          <w:iCs/>
          <w:highlight w:val="yellow"/>
        </w:rPr>
        <w:t>et al</w:t>
      </w:r>
      <w:r w:rsidR="00E50989" w:rsidRPr="009017A3">
        <w:rPr>
          <w:highlight w:val="yellow"/>
        </w:rPr>
        <w:t>., 2021)</w:t>
      </w:r>
      <w:r w:rsidR="008E718A" w:rsidRPr="009017A3">
        <w:rPr>
          <w:highlight w:val="yellow"/>
        </w:rPr>
        <w:t>.</w:t>
      </w:r>
      <w:r w:rsidR="008E718A">
        <w:t xml:space="preserve"> </w:t>
      </w:r>
      <w:proofErr w:type="spellStart"/>
      <w:r>
        <w:rPr>
          <w:color w:val="000000" w:themeColor="text1"/>
        </w:rPr>
        <w:t>However</w:t>
      </w:r>
      <w:proofErr w:type="spellEnd"/>
      <w:r>
        <w:rPr>
          <w:color w:val="000000" w:themeColor="text1"/>
        </w:rPr>
        <w:t xml:space="preserve">, several studies have found that university students frequently have dietary deficits. </w:t>
      </w:r>
      <w:r>
        <w:rPr>
          <w:rFonts w:eastAsia="SimSun"/>
          <w:color w:val="000000" w:themeColor="text1"/>
        </w:rPr>
        <w:t xml:space="preserve">Poor eating habits are a major public health concern among young adults who transition into college or university life, when they are exposed to stress and a lack of time. Kumar A (2020)1. </w:t>
      </w:r>
      <w:r w:rsidR="00DD659D" w:rsidRPr="009017A3">
        <w:rPr>
          <w:highlight w:val="yellow"/>
        </w:rPr>
        <w:t xml:space="preserve">In each country, university students (undergraduates) account for a sizable proportion of the total population between the ages of 17 and 30. Many students are unaware of the basic properties of the foods they consume. Some people avoid certain foods due to personal dislike, social and cultural pressure, peer group influence, religion, and so on. Adolescence is one of the most rapid periods of a person's development. During this time, physical changes affect the body's nutritional needs, while changes in one's lifestyle can influence </w:t>
      </w:r>
      <w:r w:rsidR="00DD659D" w:rsidRPr="009017A3">
        <w:rPr>
          <w:highlight w:val="yellow"/>
        </w:rPr>
        <w:lastRenderedPageBreak/>
        <w:t>eating habits and food choices. Nutrition is an important aspect of adult population health and growth</w:t>
      </w:r>
      <w:r w:rsidR="00DD659D" w:rsidRPr="009017A3">
        <w:rPr>
          <w:highlight w:val="yellow"/>
        </w:rPr>
        <w:t xml:space="preserve"> </w:t>
      </w:r>
      <w:r w:rsidR="00DD659D" w:rsidRPr="009017A3">
        <w:rPr>
          <w:highlight w:val="yellow"/>
        </w:rPr>
        <w:t>(Ahmad et al., 2021).</w:t>
      </w:r>
      <w:r w:rsidR="00DD659D">
        <w:t xml:space="preserve"> </w:t>
      </w:r>
      <w:r>
        <w:rPr>
          <w:color w:val="000000" w:themeColor="text1"/>
        </w:rPr>
        <w:t xml:space="preserve">According to recent research, Indian university students suffer from malnutrition, either via undernutrition or obesity, which has a direct influence on their general well-being. In India, where dietary practices and nutritional consumption vary significantly between regions, the nutritional status of university students is a serious public health concern. As the nation's future </w:t>
      </w:r>
      <w:proofErr w:type="spellStart"/>
      <w:r w:rsidR="008E718A" w:rsidRPr="009017A3">
        <w:rPr>
          <w:color w:val="000000" w:themeColor="text1"/>
          <w:highlight w:val="yellow"/>
        </w:rPr>
        <w:t>labour</w:t>
      </w:r>
      <w:proofErr w:type="spellEnd"/>
      <w:r w:rsidR="008E718A">
        <w:rPr>
          <w:color w:val="000000" w:themeColor="text1"/>
        </w:rPr>
        <w:t xml:space="preserve"> </w:t>
      </w:r>
      <w:r>
        <w:rPr>
          <w:color w:val="000000" w:themeColor="text1"/>
        </w:rPr>
        <w:t xml:space="preserve">force, university students need to eat healthily to sustain their mental and physical abilities. Nonetheless, a number of studies have shown that dietary inadequacies are a common problem for college students. </w:t>
      </w:r>
    </w:p>
    <w:p w14:paraId="1ED1C997" w14:textId="77777777" w:rsidR="00215A7C" w:rsidRDefault="0017202F">
      <w:pPr>
        <w:spacing w:line="480" w:lineRule="auto"/>
        <w:rPr>
          <w:rFonts w:cs="Times New Roman"/>
          <w:b/>
          <w:bCs/>
          <w:szCs w:val="24"/>
        </w:rPr>
      </w:pPr>
      <w:r>
        <w:rPr>
          <w:rFonts w:cs="Times New Roman"/>
          <w:b/>
          <w:bCs/>
          <w:szCs w:val="24"/>
        </w:rPr>
        <w:t>METHODOLOGY</w:t>
      </w:r>
    </w:p>
    <w:p w14:paraId="712F6431" w14:textId="46A927F2" w:rsidR="00215A7C" w:rsidRDefault="0017202F">
      <w:pPr>
        <w:spacing w:line="480" w:lineRule="auto"/>
        <w:rPr>
          <w:rFonts w:eastAsia="SimSun" w:cs="Times New Roman"/>
          <w:b/>
          <w:bCs/>
          <w:szCs w:val="24"/>
        </w:rPr>
      </w:pPr>
      <w:r>
        <w:rPr>
          <w:rFonts w:eastAsia="SimSun" w:cs="Times New Roman"/>
          <w:szCs w:val="24"/>
        </w:rPr>
        <w:t>This study adopted a descriptive research design to assess the nutritional status of university students across four Indian regions: North, South, East, and West. A total of 35</w:t>
      </w:r>
      <w:r>
        <w:rPr>
          <w:rStyle w:val="Strong"/>
          <w:rFonts w:eastAsia="SimSun" w:cs="Times New Roman"/>
          <w:b w:val="0"/>
          <w:bCs w:val="0"/>
          <w:szCs w:val="24"/>
        </w:rPr>
        <w:t xml:space="preserve"> relevant national and international studies</w:t>
      </w:r>
      <w:r>
        <w:rPr>
          <w:rFonts w:eastAsia="SimSun" w:cs="Times New Roman"/>
          <w:szCs w:val="24"/>
        </w:rPr>
        <w:t xml:space="preserve"> were reviewed through databases such as </w:t>
      </w:r>
      <w:r>
        <w:rPr>
          <w:rStyle w:val="Strong"/>
          <w:rFonts w:eastAsia="SimSun" w:cs="Times New Roman"/>
          <w:b w:val="0"/>
          <w:bCs w:val="0"/>
          <w:szCs w:val="24"/>
        </w:rPr>
        <w:t>PubMed</w:t>
      </w:r>
      <w:r>
        <w:rPr>
          <w:rFonts w:eastAsia="SimSun" w:cs="Times New Roman"/>
          <w:szCs w:val="24"/>
        </w:rPr>
        <w:t xml:space="preserve">, peer-reviewed journals, government reports, and academic sources published between </w:t>
      </w:r>
      <w:r>
        <w:rPr>
          <w:rStyle w:val="Strong"/>
          <w:rFonts w:eastAsia="SimSun" w:cs="Times New Roman"/>
          <w:b w:val="0"/>
          <w:bCs w:val="0"/>
          <w:szCs w:val="24"/>
        </w:rPr>
        <w:t>2018 and 2024</w:t>
      </w:r>
      <w:r>
        <w:rPr>
          <w:rFonts w:eastAsia="SimSun" w:cs="Times New Roman"/>
          <w:szCs w:val="24"/>
        </w:rPr>
        <w:t>. After critical evaluation, 23</w:t>
      </w:r>
      <w:r>
        <w:rPr>
          <w:rStyle w:val="Strong"/>
          <w:rFonts w:eastAsia="SimSun" w:cs="Times New Roman"/>
          <w:b w:val="0"/>
          <w:bCs w:val="0"/>
          <w:szCs w:val="24"/>
        </w:rPr>
        <w:t xml:space="preserve"> studies</w:t>
      </w:r>
      <w:r>
        <w:rPr>
          <w:rFonts w:eastAsia="SimSun" w:cs="Times New Roman"/>
          <w:szCs w:val="24"/>
        </w:rPr>
        <w:t xml:space="preserve"> were found directly relevant and were included in this paper based on their focus on </w:t>
      </w:r>
      <w:r>
        <w:rPr>
          <w:rStyle w:val="Strong"/>
          <w:rFonts w:eastAsia="SimSun" w:cs="Times New Roman"/>
          <w:b w:val="0"/>
          <w:bCs w:val="0"/>
          <w:szCs w:val="24"/>
        </w:rPr>
        <w:t xml:space="preserve">university students’ nutritional status, dietary patterns, lifestyle </w:t>
      </w:r>
      <w:proofErr w:type="spellStart"/>
      <w:r w:rsidR="008E718A" w:rsidRPr="009017A3">
        <w:rPr>
          <w:rStyle w:val="Strong"/>
          <w:rFonts w:eastAsia="SimSun" w:cs="Times New Roman"/>
          <w:b w:val="0"/>
          <w:bCs w:val="0"/>
          <w:szCs w:val="24"/>
          <w:highlight w:val="yellow"/>
        </w:rPr>
        <w:t>behaviours</w:t>
      </w:r>
      <w:proofErr w:type="spellEnd"/>
      <w:r>
        <w:rPr>
          <w:rStyle w:val="Strong"/>
          <w:rFonts w:eastAsia="SimSun" w:cs="Times New Roman"/>
          <w:b w:val="0"/>
          <w:bCs w:val="0"/>
          <w:szCs w:val="24"/>
        </w:rPr>
        <w:t>, and regional disparities</w:t>
      </w:r>
      <w:r>
        <w:rPr>
          <w:rFonts w:eastAsia="SimSun" w:cs="Times New Roman"/>
          <w:szCs w:val="24"/>
        </w:rPr>
        <w:t xml:space="preserve">. Key indicators </w:t>
      </w:r>
      <w:proofErr w:type="spellStart"/>
      <w:r w:rsidR="008E718A" w:rsidRPr="009017A3">
        <w:rPr>
          <w:rFonts w:eastAsia="SimSun" w:cs="Times New Roman"/>
          <w:szCs w:val="24"/>
          <w:highlight w:val="yellow"/>
        </w:rPr>
        <w:t>analysed</w:t>
      </w:r>
      <w:proofErr w:type="spellEnd"/>
      <w:r w:rsidR="008E718A" w:rsidRPr="009017A3">
        <w:rPr>
          <w:rFonts w:eastAsia="SimSun" w:cs="Times New Roman"/>
          <w:szCs w:val="24"/>
          <w:highlight w:val="yellow"/>
        </w:rPr>
        <w:t xml:space="preserve"> </w:t>
      </w:r>
      <w:r>
        <w:rPr>
          <w:rFonts w:eastAsia="SimSun" w:cs="Times New Roman"/>
          <w:szCs w:val="24"/>
        </w:rPr>
        <w:t xml:space="preserve">included BMI, dietary diversity, fast food consumption, micronutrient deficiencies (iron, vitamin D), and lifestyle </w:t>
      </w:r>
      <w:proofErr w:type="spellStart"/>
      <w:r w:rsidR="008E718A" w:rsidRPr="009017A3">
        <w:rPr>
          <w:rFonts w:eastAsia="SimSun" w:cs="Times New Roman"/>
          <w:szCs w:val="24"/>
          <w:highlight w:val="yellow"/>
        </w:rPr>
        <w:t>behaviours</w:t>
      </w:r>
      <w:proofErr w:type="spellEnd"/>
      <w:r w:rsidR="008E718A" w:rsidRPr="009017A3">
        <w:rPr>
          <w:rFonts w:eastAsia="SimSun" w:cs="Times New Roman"/>
          <w:szCs w:val="24"/>
          <w:highlight w:val="yellow"/>
        </w:rPr>
        <w:t xml:space="preserve"> </w:t>
      </w:r>
      <w:r>
        <w:rPr>
          <w:rFonts w:eastAsia="SimSun" w:cs="Times New Roman"/>
          <w:szCs w:val="24"/>
        </w:rPr>
        <w:t xml:space="preserve">(breakfast skipping). Emphasis was placed on identifying trends and region-specific risks, such as high fast food consumption in North and West and undernutrition in tribal populations of East India. The findings were </w:t>
      </w:r>
      <w:proofErr w:type="spellStart"/>
      <w:r w:rsidR="008E718A" w:rsidRPr="009017A3">
        <w:rPr>
          <w:rFonts w:eastAsia="SimSun" w:cs="Times New Roman"/>
          <w:szCs w:val="24"/>
          <w:highlight w:val="yellow"/>
        </w:rPr>
        <w:t>organised</w:t>
      </w:r>
      <w:proofErr w:type="spellEnd"/>
      <w:r w:rsidR="008E718A" w:rsidRPr="009017A3">
        <w:rPr>
          <w:rFonts w:eastAsia="SimSun" w:cs="Times New Roman"/>
          <w:szCs w:val="24"/>
          <w:highlight w:val="yellow"/>
        </w:rPr>
        <w:t xml:space="preserve"> </w:t>
      </w:r>
      <w:r>
        <w:rPr>
          <w:rFonts w:eastAsia="SimSun" w:cs="Times New Roman"/>
          <w:szCs w:val="24"/>
        </w:rPr>
        <w:t xml:space="preserve">region-wise to provide comparative insights. The study also explored the psychological and academic impacts of poor nutrition and highlighted the role of nutrition education programs in improving student health outcomes. </w:t>
      </w:r>
    </w:p>
    <w:p w14:paraId="4223B0CC" w14:textId="77777777" w:rsidR="00215A7C" w:rsidRDefault="0017202F">
      <w:pPr>
        <w:spacing w:line="480" w:lineRule="auto"/>
        <w:rPr>
          <w:rFonts w:eastAsia="SimSun" w:cs="Times New Roman"/>
          <w:b/>
          <w:bCs/>
          <w:szCs w:val="24"/>
        </w:rPr>
      </w:pPr>
      <w:r>
        <w:rPr>
          <w:rFonts w:eastAsia="SimSun" w:cs="Times New Roman"/>
          <w:b/>
          <w:bCs/>
          <w:szCs w:val="24"/>
        </w:rPr>
        <w:lastRenderedPageBreak/>
        <w:t>RESULTS</w:t>
      </w:r>
    </w:p>
    <w:p w14:paraId="6E426BD5" w14:textId="77777777" w:rsidR="00215A7C" w:rsidRDefault="0017202F">
      <w:pPr>
        <w:spacing w:line="480" w:lineRule="auto"/>
        <w:rPr>
          <w:rFonts w:eastAsia="SimSun" w:cs="Times New Roman"/>
          <w:b/>
          <w:bCs/>
          <w:szCs w:val="24"/>
        </w:rPr>
      </w:pPr>
      <w:r>
        <w:rPr>
          <w:rFonts w:eastAsia="SimSun" w:cs="Times New Roman"/>
          <w:szCs w:val="24"/>
        </w:rPr>
        <w:t xml:space="preserve">This review covered regional studies on the nutritional health of university students across India, revealing significant disparities and health risks. In the </w:t>
      </w:r>
      <w:r>
        <w:rPr>
          <w:rStyle w:val="Strong"/>
          <w:rFonts w:eastAsia="SimSun" w:cs="Times New Roman"/>
          <w:b w:val="0"/>
          <w:bCs w:val="0"/>
          <w:szCs w:val="24"/>
        </w:rPr>
        <w:t>North</w:t>
      </w:r>
      <w:r>
        <w:rPr>
          <w:rFonts w:eastAsia="SimSun" w:cs="Times New Roman"/>
          <w:szCs w:val="24"/>
        </w:rPr>
        <w:t>, multiple studies showed a dual burden of undernutrition and overweight among students. For example, in Varanasi, 16.45% of males and 17.71% of females were underweight, while over 18% of females were overweight, with 38.86% facing high WHR-related health risks (</w:t>
      </w:r>
      <w:proofErr w:type="spellStart"/>
      <w:r>
        <w:rPr>
          <w:rFonts w:eastAsia="SimSun" w:cs="Times New Roman"/>
          <w:szCs w:val="24"/>
        </w:rPr>
        <w:t>Namvarasl</w:t>
      </w:r>
      <w:proofErr w:type="spellEnd"/>
      <w:r>
        <w:rPr>
          <w:rFonts w:eastAsia="SimSun" w:cs="Times New Roman"/>
          <w:szCs w:val="24"/>
        </w:rPr>
        <w:t xml:space="preserve"> &amp; Chakravarty, 2018). Other studies highlighted poor dietary diversity, high fast food intake, and widespread deficiencies, 95% calorie and 83.7% protein deficiency in Delhi slums (Basu et al., 2023), and ~70% Vitamin D deficiency across the region (Ritu &amp; Gupta, 2014). Table No. 1, despite a more positive picture in the south, where nutrition workshops improved dietary habits and self-efficacy (Jain et al., 2023; Ahlgren et al., 2019). Table No. 1 depicts a more positive picture in the </w:t>
      </w:r>
      <w:r>
        <w:rPr>
          <w:rStyle w:val="Strong"/>
          <w:rFonts w:eastAsia="SimSun" w:cs="Times New Roman"/>
          <w:b w:val="0"/>
          <w:bCs w:val="0"/>
          <w:szCs w:val="24"/>
        </w:rPr>
        <w:t xml:space="preserve">South, </w:t>
      </w:r>
      <w:r>
        <w:rPr>
          <w:rFonts w:eastAsia="SimSun" w:cs="Times New Roman"/>
          <w:szCs w:val="24"/>
        </w:rPr>
        <w:t>where nutrition workshops improved dietary habits and self-efficacy (Jain et al., 2023; Ahlgren et al., 2019).</w:t>
      </w:r>
    </w:p>
    <w:p w14:paraId="052FAF89" w14:textId="626E568A" w:rsidR="00215A7C" w:rsidRDefault="0017202F">
      <w:pPr>
        <w:spacing w:line="240" w:lineRule="auto"/>
        <w:rPr>
          <w:rFonts w:eastAsia="SimSun" w:cs="Times New Roman"/>
          <w:b/>
          <w:bCs/>
          <w:szCs w:val="24"/>
        </w:rPr>
      </w:pPr>
      <w:r>
        <w:rPr>
          <w:rFonts w:eastAsia="SimSun" w:cs="Times New Roman"/>
          <w:b/>
          <w:bCs/>
          <w:szCs w:val="24"/>
        </w:rPr>
        <w:t xml:space="preserve">Table 1 Region-wise findings of </w:t>
      </w:r>
      <w:r w:rsidR="008E718A" w:rsidRPr="009017A3">
        <w:rPr>
          <w:rFonts w:eastAsia="SimSun" w:cs="Times New Roman"/>
          <w:b/>
          <w:bCs/>
          <w:szCs w:val="24"/>
          <w:highlight w:val="yellow"/>
        </w:rPr>
        <w:t>th</w:t>
      </w:r>
      <w:r w:rsidR="008E718A" w:rsidRPr="009017A3">
        <w:rPr>
          <w:rFonts w:eastAsia="SimSun" w:cs="Times New Roman"/>
          <w:b/>
          <w:bCs/>
          <w:szCs w:val="24"/>
          <w:highlight w:val="yellow"/>
        </w:rPr>
        <w:t>is</w:t>
      </w:r>
      <w:r w:rsidR="008E718A">
        <w:rPr>
          <w:rFonts w:eastAsia="SimSun" w:cs="Times New Roman"/>
          <w:b/>
          <w:bCs/>
          <w:szCs w:val="24"/>
        </w:rPr>
        <w:t xml:space="preserve"> </w:t>
      </w:r>
      <w:r>
        <w:rPr>
          <w:rFonts w:eastAsia="SimSun" w:cs="Times New Roman"/>
          <w:b/>
          <w:bCs/>
          <w:szCs w:val="24"/>
        </w:rPr>
        <w:t xml:space="preserve">study (North, South) </w:t>
      </w:r>
    </w:p>
    <w:tbl>
      <w:tblPr>
        <w:tblpPr w:leftFromText="180" w:rightFromText="180" w:vertAnchor="text" w:horzAnchor="page" w:tblpXSpec="center" w:tblpY="526"/>
        <w:tblOverlap w:val="neve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5"/>
        <w:gridCol w:w="849"/>
        <w:gridCol w:w="4683"/>
        <w:gridCol w:w="2234"/>
      </w:tblGrid>
      <w:tr w:rsidR="00215A7C" w14:paraId="3EB34276" w14:textId="77777777">
        <w:trPr>
          <w:tblHeade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6DD6A4"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Region</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D00A13"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No. of Study</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1F5317"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Key Findings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C3918A" w14:textId="77777777" w:rsidR="00215A7C" w:rsidRDefault="0017202F">
            <w:pPr>
              <w:spacing w:line="240" w:lineRule="auto"/>
              <w:jc w:val="center"/>
              <w:rPr>
                <w:rFonts w:cs="Times New Roman"/>
                <w:b/>
                <w:bCs/>
                <w:color w:val="000000"/>
                <w:szCs w:val="24"/>
              </w:rPr>
            </w:pPr>
            <w:r>
              <w:rPr>
                <w:rStyle w:val="Strong"/>
                <w:rFonts w:eastAsia="SimSun" w:cs="Times New Roman"/>
                <w:color w:val="000000"/>
                <w:kern w:val="0"/>
                <w:szCs w:val="24"/>
                <w:lang w:eastAsia="zh-CN" w:bidi="ar"/>
              </w:rPr>
              <w:t>Reference</w:t>
            </w:r>
          </w:p>
        </w:tc>
      </w:tr>
      <w:tr w:rsidR="00215A7C" w14:paraId="7722CA5B"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96ED9" w14:textId="77777777" w:rsidR="00215A7C" w:rsidRDefault="0017202F">
            <w:pPr>
              <w:spacing w:line="240" w:lineRule="auto"/>
              <w:jc w:val="left"/>
              <w:rPr>
                <w:rFonts w:cs="Times New Roman"/>
                <w:color w:val="000000"/>
                <w:szCs w:val="24"/>
              </w:rPr>
            </w:pPr>
            <w:r>
              <w:rPr>
                <w:rStyle w:val="Strong"/>
                <w:rFonts w:eastAsia="SimSun" w:cs="Times New Roman"/>
                <w:color w:val="000000"/>
                <w:kern w:val="0"/>
                <w:szCs w:val="24"/>
                <w:lang w:eastAsia="zh-CN" w:bidi="ar"/>
              </w:rPr>
              <w:t>North</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EE6DB2" w14:textId="77777777" w:rsidR="00215A7C" w:rsidRDefault="0017202F">
            <w:pPr>
              <w:spacing w:line="240" w:lineRule="auto"/>
              <w:jc w:val="left"/>
              <w:rPr>
                <w:rFonts w:cs="Times New Roman"/>
                <w:color w:val="000000"/>
                <w:szCs w:val="24"/>
              </w:rPr>
            </w:pPr>
            <w:r>
              <w:rPr>
                <w:rFonts w:cs="Times New Roman"/>
                <w:color w:val="000000"/>
                <w:szCs w:val="24"/>
              </w:rPr>
              <w:t>1</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F3310A"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Style w:val="Strong"/>
                <w:rFonts w:eastAsia="SimSun" w:cs="Times New Roman"/>
                <w:color w:val="000000"/>
                <w:kern w:val="0"/>
                <w:szCs w:val="24"/>
                <w:lang w:eastAsia="zh-CN" w:bidi="ar"/>
              </w:rPr>
              <w:t>16.45%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17.71% females</w:t>
            </w:r>
            <w:r>
              <w:rPr>
                <w:rFonts w:eastAsia="SimSun" w:cs="Times New Roman"/>
                <w:color w:val="000000"/>
                <w:kern w:val="0"/>
                <w:szCs w:val="24"/>
                <w:lang w:eastAsia="zh-CN" w:bidi="ar"/>
              </w:rPr>
              <w:t xml:space="preserve"> are underweight</w:t>
            </w:r>
          </w:p>
          <w:p w14:paraId="07AD0B47"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Style w:val="Strong"/>
                <w:rFonts w:eastAsia="SimSun" w:cs="Times New Roman"/>
                <w:color w:val="000000"/>
                <w:kern w:val="0"/>
                <w:szCs w:val="24"/>
                <w:lang w:eastAsia="zh-CN" w:bidi="ar"/>
              </w:rPr>
              <w:t>10.22% males</w:t>
            </w:r>
            <w:r>
              <w:rPr>
                <w:rFonts w:eastAsia="SimSun" w:cs="Times New Roman"/>
                <w:color w:val="000000"/>
                <w:kern w:val="0"/>
                <w:szCs w:val="24"/>
                <w:lang w:eastAsia="zh-CN" w:bidi="ar"/>
              </w:rPr>
              <w:t xml:space="preserve"> and </w:t>
            </w:r>
            <w:r>
              <w:rPr>
                <w:rStyle w:val="Strong"/>
                <w:rFonts w:eastAsia="SimSun" w:cs="Times New Roman"/>
                <w:color w:val="000000"/>
                <w:kern w:val="0"/>
                <w:szCs w:val="24"/>
                <w:lang w:eastAsia="zh-CN" w:bidi="ar"/>
              </w:rPr>
              <w:t>18.86% females</w:t>
            </w:r>
            <w:r>
              <w:rPr>
                <w:rFonts w:eastAsia="SimSun" w:cs="Times New Roman"/>
                <w:color w:val="000000"/>
                <w:kern w:val="0"/>
                <w:szCs w:val="24"/>
                <w:lang w:eastAsia="zh-CN" w:bidi="ar"/>
              </w:rPr>
              <w:t xml:space="preserve"> are overweight</w:t>
            </w:r>
          </w:p>
          <w:p w14:paraId="14965094" w14:textId="77777777" w:rsidR="00215A7C" w:rsidRDefault="0017202F">
            <w:pPr>
              <w:numPr>
                <w:ilvl w:val="0"/>
                <w:numId w:val="2"/>
              </w:numPr>
              <w:spacing w:line="240" w:lineRule="auto"/>
              <w:jc w:val="left"/>
              <w:rPr>
                <w:rFonts w:cs="Times New Roman"/>
                <w:color w:val="000000"/>
                <w:szCs w:val="24"/>
              </w:rPr>
            </w:pPr>
            <w:r>
              <w:rPr>
                <w:rStyle w:val="Strong"/>
                <w:rFonts w:eastAsia="SimSun" w:cs="Times New Roman"/>
                <w:color w:val="000000"/>
                <w:kern w:val="0"/>
                <w:szCs w:val="24"/>
                <w:lang w:eastAsia="zh-CN" w:bidi="ar"/>
              </w:rPr>
              <w:t>38.86% females</w:t>
            </w:r>
            <w:r>
              <w:rPr>
                <w:rFonts w:eastAsia="SimSun" w:cs="Times New Roman"/>
                <w:color w:val="000000"/>
                <w:kern w:val="0"/>
                <w:szCs w:val="24"/>
                <w:lang w:eastAsia="zh-CN" w:bidi="ar"/>
              </w:rPr>
              <w:t xml:space="preserve"> had high WHR (health risk)</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9DF091" w14:textId="77777777" w:rsidR="00215A7C" w:rsidRDefault="0017202F">
            <w:pPr>
              <w:spacing w:line="240" w:lineRule="auto"/>
              <w:jc w:val="left"/>
              <w:rPr>
                <w:rFonts w:cs="Times New Roman"/>
                <w:color w:val="000000"/>
                <w:szCs w:val="24"/>
              </w:rPr>
            </w:pPr>
            <w:proofErr w:type="spellStart"/>
            <w:r>
              <w:rPr>
                <w:rFonts w:eastAsia="SimSun" w:cs="Times New Roman"/>
                <w:color w:val="000000"/>
                <w:kern w:val="0"/>
                <w:szCs w:val="24"/>
                <w:lang w:eastAsia="zh-CN" w:bidi="ar"/>
              </w:rPr>
              <w:t>Namvarasl</w:t>
            </w:r>
            <w:proofErr w:type="spellEnd"/>
            <w:r>
              <w:rPr>
                <w:rFonts w:eastAsia="SimSun" w:cs="Times New Roman"/>
                <w:color w:val="000000"/>
                <w:kern w:val="0"/>
                <w:szCs w:val="24"/>
                <w:lang w:eastAsia="zh-CN" w:bidi="ar"/>
              </w:rPr>
              <w:t xml:space="preserve"> &amp; Chakravarty, 2018</w:t>
            </w:r>
          </w:p>
        </w:tc>
      </w:tr>
      <w:tr w:rsidR="00215A7C" w14:paraId="0D7C2221"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A038A"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68FFC"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2</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6EA1FE"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Fonts w:eastAsia="SimSun" w:cs="Times New Roman"/>
                <w:color w:val="000000"/>
                <w:kern w:val="0"/>
                <w:szCs w:val="24"/>
                <w:lang w:eastAsia="zh-CN" w:bidi="ar"/>
              </w:rPr>
              <w:t>Poor dietary patterns</w:t>
            </w:r>
          </w:p>
          <w:p w14:paraId="1849793F" w14:textId="77777777" w:rsidR="00215A7C" w:rsidRDefault="0017202F">
            <w:pPr>
              <w:numPr>
                <w:ilvl w:val="0"/>
                <w:numId w:val="2"/>
              </w:numPr>
              <w:spacing w:line="240" w:lineRule="auto"/>
              <w:jc w:val="left"/>
              <w:rPr>
                <w:rFonts w:eastAsia="SimSun" w:cs="Times New Roman"/>
                <w:color w:val="000000"/>
                <w:kern w:val="0"/>
                <w:szCs w:val="24"/>
                <w:lang w:eastAsia="zh-CN" w:bidi="ar"/>
              </w:rPr>
            </w:pPr>
            <w:r>
              <w:rPr>
                <w:rFonts w:eastAsia="SimSun" w:cs="Times New Roman"/>
                <w:color w:val="000000"/>
                <w:kern w:val="0"/>
                <w:szCs w:val="24"/>
                <w:lang w:eastAsia="zh-CN" w:bidi="ar"/>
              </w:rPr>
              <w:t>High fast food consumption</w:t>
            </w:r>
          </w:p>
          <w:p w14:paraId="55BD35FC" w14:textId="77777777" w:rsidR="00215A7C" w:rsidRDefault="0017202F">
            <w:pPr>
              <w:numPr>
                <w:ilvl w:val="0"/>
                <w:numId w:val="2"/>
              </w:numPr>
              <w:spacing w:line="240" w:lineRule="auto"/>
              <w:jc w:val="left"/>
              <w:rPr>
                <w:rFonts w:cs="Times New Roman"/>
                <w:color w:val="000000"/>
                <w:szCs w:val="24"/>
              </w:rPr>
            </w:pPr>
            <w:r>
              <w:rPr>
                <w:rFonts w:eastAsia="SimSun" w:cs="Times New Roman"/>
                <w:color w:val="000000"/>
                <w:kern w:val="0"/>
                <w:szCs w:val="24"/>
                <w:lang w:eastAsia="zh-CN" w:bidi="ar"/>
              </w:rPr>
              <w:t xml:space="preserve">Only </w:t>
            </w:r>
            <w:r>
              <w:rPr>
                <w:rStyle w:val="Strong"/>
                <w:rFonts w:eastAsia="SimSun" w:cs="Times New Roman"/>
                <w:color w:val="000000"/>
                <w:kern w:val="0"/>
                <w:szCs w:val="24"/>
                <w:lang w:eastAsia="zh-CN" w:bidi="ar"/>
              </w:rPr>
              <w:t>~25%</w:t>
            </w:r>
            <w:r>
              <w:rPr>
                <w:rFonts w:eastAsia="SimSun" w:cs="Times New Roman"/>
                <w:color w:val="000000"/>
                <w:kern w:val="0"/>
                <w:szCs w:val="24"/>
                <w:lang w:eastAsia="zh-CN" w:bidi="ar"/>
              </w:rPr>
              <w:t xml:space="preserve"> met fruit &amp; veg recommendations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CE50E"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Kumar et al., 2020</w:t>
            </w:r>
          </w:p>
        </w:tc>
      </w:tr>
      <w:tr w:rsidR="00215A7C" w14:paraId="2CDDE410"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360FDF"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0BCD95"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3</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DA926F" w14:textId="77777777" w:rsidR="00215A7C" w:rsidRDefault="0017202F">
            <w:pPr>
              <w:numPr>
                <w:ilvl w:val="0"/>
                <w:numId w:val="2"/>
              </w:numPr>
              <w:spacing w:line="240" w:lineRule="auto"/>
              <w:jc w:val="left"/>
              <w:rPr>
                <w:rStyle w:val="Strong"/>
                <w:rFonts w:eastAsia="SimSun" w:cs="Times New Roman"/>
                <w:color w:val="000000"/>
                <w:kern w:val="0"/>
                <w:szCs w:val="24"/>
                <w:lang w:eastAsia="zh-CN" w:bidi="ar"/>
              </w:rPr>
            </w:pPr>
            <w:r>
              <w:rPr>
                <w:rStyle w:val="Strong"/>
                <w:rFonts w:eastAsia="SimSun" w:cs="Times New Roman"/>
                <w:color w:val="000000"/>
                <w:kern w:val="0"/>
                <w:szCs w:val="24"/>
                <w:lang w:eastAsia="zh-CN" w:bidi="ar"/>
              </w:rPr>
              <w:t xml:space="preserve">95% calorie </w:t>
            </w:r>
            <w:proofErr w:type="spellStart"/>
            <w:r>
              <w:rPr>
                <w:rStyle w:val="Strong"/>
                <w:rFonts w:eastAsia="SimSun" w:cs="Times New Roman"/>
                <w:color w:val="000000"/>
                <w:kern w:val="0"/>
                <w:szCs w:val="24"/>
                <w:lang w:eastAsia="zh-CN" w:bidi="ar"/>
              </w:rPr>
              <w:t>deficienc</w:t>
            </w:r>
            <w:proofErr w:type="spellEnd"/>
          </w:p>
          <w:p w14:paraId="2230AD34" w14:textId="77777777" w:rsidR="00215A7C" w:rsidRDefault="0017202F">
            <w:pPr>
              <w:numPr>
                <w:ilvl w:val="0"/>
                <w:numId w:val="2"/>
              </w:numPr>
              <w:spacing w:line="240" w:lineRule="auto"/>
              <w:jc w:val="left"/>
              <w:rPr>
                <w:rStyle w:val="Strong"/>
                <w:rFonts w:eastAsia="SimSun" w:cs="Times New Roman"/>
                <w:color w:val="000000"/>
                <w:kern w:val="0"/>
                <w:szCs w:val="24"/>
                <w:lang w:eastAsia="zh-CN" w:bidi="ar"/>
              </w:rPr>
            </w:pPr>
            <w:r>
              <w:rPr>
                <w:rStyle w:val="Strong"/>
                <w:rFonts w:eastAsia="SimSun" w:cs="Times New Roman"/>
                <w:color w:val="000000"/>
                <w:kern w:val="0"/>
                <w:szCs w:val="24"/>
                <w:lang w:eastAsia="zh-CN" w:bidi="ar"/>
              </w:rPr>
              <w:t>83.7% protein deficiency</w:t>
            </w:r>
          </w:p>
          <w:p w14:paraId="4071678D" w14:textId="77777777" w:rsidR="00215A7C" w:rsidRDefault="0017202F">
            <w:pPr>
              <w:numPr>
                <w:ilvl w:val="0"/>
                <w:numId w:val="2"/>
              </w:numPr>
              <w:spacing w:line="240" w:lineRule="auto"/>
              <w:jc w:val="left"/>
              <w:rPr>
                <w:rFonts w:cs="Times New Roman"/>
                <w:color w:val="000000"/>
                <w:szCs w:val="24"/>
              </w:rPr>
            </w:pPr>
            <w:r>
              <w:rPr>
                <w:rStyle w:val="Strong"/>
                <w:rFonts w:eastAsia="SimSun" w:cs="Times New Roman"/>
                <w:color w:val="000000"/>
                <w:kern w:val="0"/>
                <w:szCs w:val="24"/>
                <w:lang w:eastAsia="zh-CN" w:bidi="ar"/>
              </w:rPr>
              <w:t>29.4%</w:t>
            </w:r>
            <w:r>
              <w:rPr>
                <w:rFonts w:eastAsia="SimSun" w:cs="Times New Roman"/>
                <w:color w:val="000000"/>
                <w:kern w:val="0"/>
                <w:szCs w:val="24"/>
                <w:lang w:eastAsia="zh-CN" w:bidi="ar"/>
              </w:rPr>
              <w:t xml:space="preserve"> had low dietary diversity</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E66E2"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Basu et al., 2023</w:t>
            </w:r>
          </w:p>
        </w:tc>
      </w:tr>
      <w:tr w:rsidR="00215A7C" w14:paraId="2F6C4182"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830C3C" w14:textId="77777777" w:rsidR="00215A7C" w:rsidRDefault="00215A7C">
            <w:pPr>
              <w:spacing w:line="240" w:lineRule="auto"/>
              <w:rPr>
                <w:rFonts w:cs="Times New Roman"/>
                <w:color w:val="000000"/>
                <w:szCs w:val="24"/>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792C24"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4</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9F52D2" w14:textId="77777777" w:rsidR="00215A7C" w:rsidRDefault="0017202F">
            <w:pPr>
              <w:numPr>
                <w:ilvl w:val="0"/>
                <w:numId w:val="2"/>
              </w:numPr>
              <w:tabs>
                <w:tab w:val="clear" w:pos="420"/>
              </w:tabs>
              <w:spacing w:line="240" w:lineRule="auto"/>
              <w:jc w:val="left"/>
              <w:rPr>
                <w:rFonts w:cs="Times New Roman"/>
                <w:color w:val="000000"/>
                <w:szCs w:val="24"/>
              </w:rPr>
            </w:pPr>
            <w:r>
              <w:rPr>
                <w:rFonts w:eastAsia="SimSun" w:cs="Times New Roman"/>
                <w:color w:val="000000"/>
                <w:kern w:val="0"/>
                <w:szCs w:val="24"/>
                <w:lang w:eastAsia="zh-CN" w:bidi="ar"/>
              </w:rPr>
              <w:t>~</w:t>
            </w:r>
            <w:r>
              <w:rPr>
                <w:rStyle w:val="Strong"/>
                <w:rFonts w:eastAsia="SimSun" w:cs="Times New Roman"/>
                <w:color w:val="000000"/>
                <w:kern w:val="0"/>
                <w:szCs w:val="24"/>
                <w:lang w:eastAsia="zh-CN" w:bidi="ar"/>
              </w:rPr>
              <w:t>70% Vitamin D deficiency</w:t>
            </w:r>
            <w:r>
              <w:rPr>
                <w:rFonts w:eastAsia="SimSun" w:cs="Times New Roman"/>
                <w:color w:val="000000"/>
                <w:kern w:val="0"/>
                <w:szCs w:val="24"/>
                <w:lang w:eastAsia="zh-CN" w:bidi="ar"/>
              </w:rPr>
              <w:t xml:space="preserve"> in youth- Linked to low immunity, bone health issues, and mood disorders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3911CA" w14:textId="77777777" w:rsidR="00215A7C" w:rsidRDefault="0017202F">
            <w:pPr>
              <w:spacing w:line="240" w:lineRule="auto"/>
              <w:jc w:val="left"/>
              <w:rPr>
                <w:rFonts w:cs="Times New Roman"/>
                <w:color w:val="000000"/>
                <w:szCs w:val="24"/>
              </w:rPr>
            </w:pPr>
            <w:r>
              <w:rPr>
                <w:rFonts w:eastAsia="SimSun" w:cs="Times New Roman"/>
                <w:color w:val="000000"/>
                <w:kern w:val="0"/>
                <w:szCs w:val="24"/>
                <w:lang w:eastAsia="zh-CN" w:bidi="ar"/>
              </w:rPr>
              <w:t>Ritu &amp; Gupta, 2014</w:t>
            </w:r>
          </w:p>
        </w:tc>
      </w:tr>
      <w:tr w:rsidR="00215A7C" w14:paraId="105A73BA"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9EADF" w14:textId="77777777" w:rsidR="00215A7C" w:rsidRDefault="0017202F">
            <w:pPr>
              <w:spacing w:line="240" w:lineRule="auto"/>
              <w:rPr>
                <w:rFonts w:cs="Times New Roman"/>
                <w:color w:val="000000"/>
                <w:szCs w:val="24"/>
              </w:rPr>
            </w:pPr>
            <w:bookmarkStart w:id="2" w:name="_Toc179162500"/>
            <w:r>
              <w:rPr>
                <w:rStyle w:val="Strong"/>
                <w:rFonts w:eastAsia="SimSun" w:cs="Times New Roman"/>
                <w:color w:val="000000"/>
                <w:kern w:val="0"/>
                <w:szCs w:val="24"/>
                <w:lang w:eastAsia="zh-CN" w:bidi="ar"/>
              </w:rPr>
              <w:t>South</w:t>
            </w: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545443"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1</w:t>
            </w: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3173B9"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Nutrition education improved food choices</w:t>
            </w:r>
          </w:p>
          <w:p w14:paraId="32312A78"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Significant improvement in dietary self-efficacy and fruit &amp; vegetable intake post-intervention</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370228"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Jain et al., 2023</w:t>
            </w:r>
          </w:p>
        </w:tc>
      </w:tr>
      <w:tr w:rsidR="00215A7C" w14:paraId="6512EE3D" w14:textId="77777777">
        <w:trPr>
          <w:tblCellSpacing w:w="15" w:type="dxa"/>
          <w:jc w:val="center"/>
        </w:trPr>
        <w:tc>
          <w:tcPr>
            <w:tcW w:w="10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166D13" w14:textId="77777777" w:rsidR="00215A7C" w:rsidRDefault="00215A7C">
            <w:pPr>
              <w:spacing w:line="240" w:lineRule="auto"/>
              <w:rPr>
                <w:rStyle w:val="Strong"/>
                <w:rFonts w:eastAsia="SimSun" w:cs="Times New Roman"/>
                <w:color w:val="000000"/>
                <w:kern w:val="0"/>
                <w:szCs w:val="24"/>
                <w:lang w:eastAsia="zh-CN" w:bidi="ar"/>
              </w:rPr>
            </w:pPr>
          </w:p>
        </w:tc>
        <w:tc>
          <w:tcPr>
            <w:tcW w:w="81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636F2E" w14:textId="77777777" w:rsidR="00215A7C" w:rsidRDefault="00215A7C">
            <w:pPr>
              <w:spacing w:line="240" w:lineRule="auto"/>
              <w:rPr>
                <w:rFonts w:eastAsia="SimSun" w:cs="Times New Roman"/>
                <w:color w:val="000000"/>
                <w:kern w:val="0"/>
                <w:szCs w:val="24"/>
                <w:lang w:eastAsia="zh-CN" w:bidi="ar"/>
              </w:rPr>
            </w:pPr>
          </w:p>
        </w:tc>
        <w:tc>
          <w:tcPr>
            <w:tcW w:w="4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AD2C86" w14:textId="77777777" w:rsidR="00215A7C" w:rsidRDefault="0017202F">
            <w:pPr>
              <w:numPr>
                <w:ilvl w:val="0"/>
                <w:numId w:val="2"/>
              </w:num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Higher self-efficacy, better food choices</w:t>
            </w:r>
          </w:p>
          <w:p w14:paraId="3791F16A"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More fruits &amp; vegetables among confident students</w:t>
            </w:r>
          </w:p>
        </w:tc>
        <w:tc>
          <w:tcPr>
            <w:tcW w:w="218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E73616" w14:textId="77777777" w:rsidR="00215A7C" w:rsidRDefault="0017202F">
            <w:pPr>
              <w:spacing w:line="240" w:lineRule="auto"/>
              <w:rPr>
                <w:rFonts w:eastAsia="SimSun" w:cs="Times New Roman"/>
                <w:color w:val="000000"/>
                <w:kern w:val="0"/>
                <w:szCs w:val="24"/>
                <w:lang w:eastAsia="zh-CN" w:bidi="ar"/>
              </w:rPr>
            </w:pPr>
            <w:r>
              <w:rPr>
                <w:rFonts w:eastAsia="SimSun" w:cs="Times New Roman"/>
                <w:color w:val="000000"/>
                <w:kern w:val="0"/>
                <w:szCs w:val="24"/>
                <w:lang w:eastAsia="zh-CN" w:bidi="ar"/>
              </w:rPr>
              <w:t>Ahlgren et al., 2019</w:t>
            </w:r>
          </w:p>
        </w:tc>
      </w:tr>
    </w:tbl>
    <w:p w14:paraId="224A8AEE" w14:textId="3DFACDFD" w:rsidR="00215A7C" w:rsidRDefault="0017202F">
      <w:pPr>
        <w:pStyle w:val="NormalWeb"/>
        <w:spacing w:line="480" w:lineRule="auto"/>
        <w:jc w:val="both"/>
      </w:pPr>
      <w:r>
        <w:t xml:space="preserve">In the </w:t>
      </w:r>
      <w:r>
        <w:rPr>
          <w:rStyle w:val="Strong"/>
          <w:b w:val="0"/>
          <w:bCs w:val="0"/>
        </w:rPr>
        <w:t>East region of India</w:t>
      </w:r>
      <w:r>
        <w:t xml:space="preserve">, three key studies highlighted significant nutritional concerns among university students. </w:t>
      </w:r>
      <w:proofErr w:type="spellStart"/>
      <w:r>
        <w:t>Begashaw</w:t>
      </w:r>
      <w:proofErr w:type="spellEnd"/>
      <w:r>
        <w:t xml:space="preserve"> et al. (2021) reported that approximately </w:t>
      </w:r>
      <w:r>
        <w:rPr>
          <w:rStyle w:val="Strong"/>
          <w:b w:val="0"/>
          <w:bCs w:val="0"/>
        </w:rPr>
        <w:t>35% of students were undernourished</w:t>
      </w:r>
      <w:r>
        <w:t xml:space="preserve">, with </w:t>
      </w:r>
      <w:r>
        <w:rPr>
          <w:rStyle w:val="Strong"/>
          <w:b w:val="0"/>
          <w:bCs w:val="0"/>
        </w:rPr>
        <w:t>female students exhibiting significantly lower BMI</w:t>
      </w:r>
      <w:r>
        <w:t xml:space="preserve"> compared to their male counterparts. The study also found a high prevalence of </w:t>
      </w:r>
      <w:r>
        <w:rPr>
          <w:rStyle w:val="Strong"/>
          <w:b w:val="0"/>
          <w:bCs w:val="0"/>
        </w:rPr>
        <w:t>meal skipping and iron deficiency</w:t>
      </w:r>
      <w:r>
        <w:t xml:space="preserve">, indicating poor dietary habits. Similarly, Mishra and Pal (2022) observed that </w:t>
      </w:r>
      <w:r>
        <w:rPr>
          <w:rStyle w:val="Strong"/>
          <w:b w:val="0"/>
          <w:bCs w:val="0"/>
        </w:rPr>
        <w:t>41% of students had unhealthy BMI</w:t>
      </w:r>
      <w:r>
        <w:t xml:space="preserve">, coupled with </w:t>
      </w:r>
      <w:r>
        <w:rPr>
          <w:rStyle w:val="Strong"/>
          <w:b w:val="0"/>
          <w:bCs w:val="0"/>
        </w:rPr>
        <w:t>high consumption of junk food</w:t>
      </w:r>
      <w:r>
        <w:t xml:space="preserve"> and </w:t>
      </w:r>
      <w:r>
        <w:rPr>
          <w:rStyle w:val="Strong"/>
          <w:b w:val="0"/>
          <w:bCs w:val="0"/>
        </w:rPr>
        <w:t>low levels of physical activity</w:t>
      </w:r>
      <w:r>
        <w:t xml:space="preserve">, suggesting lifestyle-induced nutritional risks. Focusing on tribal populations, Paul and Reddy (2023) found alarmingly high rates of undernutrition, with </w:t>
      </w:r>
      <w:r>
        <w:rPr>
          <w:rStyle w:val="Strong"/>
          <w:b w:val="0"/>
          <w:bCs w:val="0"/>
        </w:rPr>
        <w:t>only 27% of tribal students meeting minimum dietary diversity standards</w:t>
      </w:r>
      <w:r>
        <w:t xml:space="preserve">. The study also noted a </w:t>
      </w:r>
      <w:r>
        <w:rPr>
          <w:rStyle w:val="Strong"/>
          <w:b w:val="0"/>
          <w:bCs w:val="0"/>
        </w:rPr>
        <w:t>heavy reliance on ultra-processed foods</w:t>
      </w:r>
      <w:r>
        <w:t xml:space="preserve">, pointing to a nutrition transition even among rural and </w:t>
      </w:r>
      <w:proofErr w:type="spellStart"/>
      <w:r w:rsidR="008E718A" w:rsidRPr="009017A3">
        <w:rPr>
          <w:highlight w:val="yellow"/>
        </w:rPr>
        <w:t>marginalised</w:t>
      </w:r>
      <w:proofErr w:type="spellEnd"/>
      <w:r w:rsidR="008E718A" w:rsidRPr="009017A3">
        <w:rPr>
          <w:highlight w:val="yellow"/>
        </w:rPr>
        <w:t xml:space="preserve"> </w:t>
      </w:r>
      <w:r>
        <w:t>groups.</w:t>
      </w:r>
    </w:p>
    <w:p w14:paraId="20C08E1A" w14:textId="0FAA688D" w:rsidR="00215A7C" w:rsidRDefault="0017202F">
      <w:pPr>
        <w:pStyle w:val="NormalWeb"/>
        <w:spacing w:line="480" w:lineRule="auto"/>
        <w:jc w:val="both"/>
      </w:pPr>
      <w:r>
        <w:t xml:space="preserve">In contrast, the </w:t>
      </w:r>
      <w:r>
        <w:rPr>
          <w:rStyle w:val="Strong"/>
          <w:b w:val="0"/>
          <w:bCs w:val="0"/>
        </w:rPr>
        <w:t>Western region of India</w:t>
      </w:r>
      <w:r>
        <w:t xml:space="preserve"> also demonstrated notable nutrition-related challenges, particularly linked to </w:t>
      </w:r>
      <w:proofErr w:type="spellStart"/>
      <w:r w:rsidR="008E718A" w:rsidRPr="009017A3">
        <w:rPr>
          <w:highlight w:val="yellow"/>
        </w:rPr>
        <w:t>urbanised</w:t>
      </w:r>
      <w:proofErr w:type="spellEnd"/>
      <w:r w:rsidR="008E718A" w:rsidRPr="009017A3">
        <w:rPr>
          <w:highlight w:val="yellow"/>
        </w:rPr>
        <w:t xml:space="preserve"> </w:t>
      </w:r>
      <w:r>
        <w:t xml:space="preserve">dietary patterns. Sharma et al. (2020) found that </w:t>
      </w:r>
      <w:r>
        <w:rPr>
          <w:rStyle w:val="Strong"/>
          <w:b w:val="0"/>
          <w:bCs w:val="0"/>
        </w:rPr>
        <w:t xml:space="preserve">45% of students </w:t>
      </w:r>
      <w:r>
        <w:rPr>
          <w:rStyle w:val="Strong"/>
          <w:b w:val="0"/>
          <w:bCs w:val="0"/>
        </w:rPr>
        <w:lastRenderedPageBreak/>
        <w:t>consumed junk food 3–5 times per week</w:t>
      </w:r>
      <w:r>
        <w:t xml:space="preserve">, with </w:t>
      </w:r>
      <w:r>
        <w:rPr>
          <w:rStyle w:val="Strong"/>
          <w:b w:val="0"/>
          <w:bCs w:val="0"/>
        </w:rPr>
        <w:t>22% classified as overweight or obese</w:t>
      </w:r>
      <w:r>
        <w:t xml:space="preserve">. This was associated with </w:t>
      </w:r>
      <w:r>
        <w:rPr>
          <w:rStyle w:val="Strong"/>
          <w:b w:val="0"/>
          <w:bCs w:val="0"/>
        </w:rPr>
        <w:t xml:space="preserve">high screen time and sedentary </w:t>
      </w:r>
      <w:proofErr w:type="spellStart"/>
      <w:r w:rsidR="008E718A" w:rsidRPr="009017A3">
        <w:rPr>
          <w:rStyle w:val="Strong"/>
          <w:b w:val="0"/>
          <w:bCs w:val="0"/>
          <w:highlight w:val="yellow"/>
        </w:rPr>
        <w:t>behaviour</w:t>
      </w:r>
      <w:proofErr w:type="spellEnd"/>
      <w:r>
        <w:t xml:space="preserve">. Desai et al (2021) revealed further deficits, reporting that </w:t>
      </w:r>
      <w:r>
        <w:rPr>
          <w:rStyle w:val="Strong"/>
          <w:b w:val="0"/>
          <w:bCs w:val="0"/>
        </w:rPr>
        <w:t>only 19% of students met the recommended protein intake</w:t>
      </w:r>
      <w:r>
        <w:t xml:space="preserve">, with widespread </w:t>
      </w:r>
      <w:r>
        <w:rPr>
          <w:rStyle w:val="Strong"/>
          <w:b w:val="0"/>
          <w:bCs w:val="0"/>
        </w:rPr>
        <w:t>deficiencies in calcium and iron</w:t>
      </w:r>
      <w:r>
        <w:t xml:space="preserve">, along with </w:t>
      </w:r>
      <w:r>
        <w:rPr>
          <w:rStyle w:val="Strong"/>
          <w:b w:val="0"/>
          <w:bCs w:val="0"/>
        </w:rPr>
        <w:t>low levels of dietary awareness</w:t>
      </w:r>
      <w:r>
        <w:t xml:space="preserve">. Verma et al. (2021) </w:t>
      </w:r>
      <w:proofErr w:type="spellStart"/>
      <w:r w:rsidR="008E718A" w:rsidRPr="009017A3">
        <w:rPr>
          <w:highlight w:val="yellow"/>
        </w:rPr>
        <w:t>emphasised</w:t>
      </w:r>
      <w:proofErr w:type="spellEnd"/>
      <w:r w:rsidR="008E718A" w:rsidRPr="009017A3">
        <w:rPr>
          <w:highlight w:val="yellow"/>
        </w:rPr>
        <w:t xml:space="preserve"> </w:t>
      </w:r>
      <w:r>
        <w:t xml:space="preserve">that </w:t>
      </w:r>
      <w:r>
        <w:rPr>
          <w:rStyle w:val="Strong"/>
          <w:b w:val="0"/>
          <w:bCs w:val="0"/>
        </w:rPr>
        <w:t>over 65% of students consumed fast food more than thrice weekly</w:t>
      </w:r>
      <w:r>
        <w:t xml:space="preserve">, which strongly </w:t>
      </w:r>
      <w:r>
        <w:rPr>
          <w:rStyle w:val="Strong"/>
          <w:b w:val="0"/>
          <w:bCs w:val="0"/>
        </w:rPr>
        <w:t>correlated with obesity, stress, and fatigue</w:t>
      </w:r>
      <w:r>
        <w:t xml:space="preserve">. Moreover, Rasoul et al. (2022) shed light on </w:t>
      </w:r>
      <w:r>
        <w:rPr>
          <w:rStyle w:val="Strong"/>
          <w:b w:val="0"/>
          <w:bCs w:val="0"/>
        </w:rPr>
        <w:t>gender-based disparities</w:t>
      </w:r>
      <w:r>
        <w:t xml:space="preserve">, highlighting </w:t>
      </w:r>
      <w:r>
        <w:rPr>
          <w:rStyle w:val="Strong"/>
          <w:b w:val="0"/>
          <w:bCs w:val="0"/>
        </w:rPr>
        <w:t xml:space="preserve">marked differences in </w:t>
      </w:r>
      <w:proofErr w:type="spellStart"/>
      <w:r w:rsidR="008E718A" w:rsidRPr="009017A3">
        <w:rPr>
          <w:rStyle w:val="Strong"/>
          <w:b w:val="0"/>
          <w:bCs w:val="0"/>
          <w:highlight w:val="yellow"/>
        </w:rPr>
        <w:t>anaemia</w:t>
      </w:r>
      <w:proofErr w:type="spellEnd"/>
      <w:r w:rsidR="008E718A" w:rsidRPr="009017A3">
        <w:rPr>
          <w:rStyle w:val="Strong"/>
          <w:b w:val="0"/>
          <w:bCs w:val="0"/>
          <w:highlight w:val="yellow"/>
        </w:rPr>
        <w:t xml:space="preserve"> </w:t>
      </w:r>
      <w:r>
        <w:rPr>
          <w:rStyle w:val="Strong"/>
          <w:b w:val="0"/>
          <w:bCs w:val="0"/>
        </w:rPr>
        <w:t>prevalence and energy intake</w:t>
      </w:r>
      <w:r>
        <w:t xml:space="preserve"> among male and female students in the western region. These findings collectively underscore the urgent need for </w:t>
      </w:r>
      <w:r>
        <w:rPr>
          <w:rStyle w:val="Strong"/>
          <w:b w:val="0"/>
          <w:bCs w:val="0"/>
        </w:rPr>
        <w:t>region-specific interventions</w:t>
      </w:r>
      <w:r>
        <w:t xml:space="preserve">, </w:t>
      </w:r>
      <w:proofErr w:type="spellStart"/>
      <w:r w:rsidR="008E718A" w:rsidRPr="009017A3">
        <w:rPr>
          <w:highlight w:val="yellow"/>
        </w:rPr>
        <w:t>emphasising</w:t>
      </w:r>
      <w:proofErr w:type="spellEnd"/>
      <w:r w:rsidR="008E718A" w:rsidRPr="009017A3">
        <w:rPr>
          <w:highlight w:val="yellow"/>
        </w:rPr>
        <w:t xml:space="preserve"> </w:t>
      </w:r>
      <w:r>
        <w:t>nutrition education, healthy lifestyle promotion, and targeted policies to combat the rising burden of malnutrition among Indian university students.</w:t>
      </w:r>
    </w:p>
    <w:p w14:paraId="1618336B" w14:textId="77777777" w:rsidR="00215A7C" w:rsidRDefault="0017202F">
      <w:pPr>
        <w:pStyle w:val="NormalWeb"/>
        <w:spacing w:line="480" w:lineRule="auto"/>
        <w:jc w:val="both"/>
        <w:rPr>
          <w:b/>
          <w:bCs/>
        </w:rPr>
      </w:pPr>
      <w:r>
        <w:rPr>
          <w:rFonts w:eastAsia="SimSun"/>
          <w:b/>
          <w:bCs/>
        </w:rPr>
        <w:t>Table 2 Region-wise findings of these study (East, West)</w:t>
      </w:r>
    </w:p>
    <w:tbl>
      <w:tblPr>
        <w:tblW w:w="9894"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3"/>
        <w:gridCol w:w="827"/>
        <w:gridCol w:w="6064"/>
        <w:gridCol w:w="1980"/>
      </w:tblGrid>
      <w:tr w:rsidR="00215A7C" w14:paraId="5C947183" w14:textId="77777777">
        <w:trPr>
          <w:tblHeader/>
          <w:tblCellSpacing w:w="15" w:type="dxa"/>
          <w:jc w:val="center"/>
        </w:trPr>
        <w:tc>
          <w:tcPr>
            <w:tcW w:w="978" w:type="dxa"/>
            <w:vAlign w:val="center"/>
          </w:tcPr>
          <w:p w14:paraId="39795DA6"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Region</w:t>
            </w:r>
          </w:p>
        </w:tc>
        <w:tc>
          <w:tcPr>
            <w:tcW w:w="786" w:type="dxa"/>
            <w:vAlign w:val="center"/>
          </w:tcPr>
          <w:p w14:paraId="000A719D"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No. of Studies</w:t>
            </w:r>
          </w:p>
        </w:tc>
        <w:tc>
          <w:tcPr>
            <w:tcW w:w="6043" w:type="dxa"/>
            <w:vAlign w:val="center"/>
          </w:tcPr>
          <w:p w14:paraId="2BB55261"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Key Findings</w:t>
            </w:r>
          </w:p>
        </w:tc>
        <w:tc>
          <w:tcPr>
            <w:tcW w:w="1937" w:type="dxa"/>
            <w:vAlign w:val="center"/>
          </w:tcPr>
          <w:p w14:paraId="66260B82" w14:textId="77777777" w:rsidR="00215A7C" w:rsidRDefault="0017202F">
            <w:pPr>
              <w:spacing w:line="240" w:lineRule="auto"/>
              <w:jc w:val="center"/>
              <w:rPr>
                <w:rFonts w:cs="Times New Roman"/>
                <w:b/>
                <w:bCs/>
                <w:szCs w:val="24"/>
              </w:rPr>
            </w:pPr>
            <w:r>
              <w:rPr>
                <w:rStyle w:val="Strong"/>
                <w:rFonts w:eastAsia="SimSun" w:cs="Times New Roman"/>
                <w:kern w:val="0"/>
                <w:szCs w:val="24"/>
                <w:lang w:eastAsia="zh-CN" w:bidi="ar"/>
              </w:rPr>
              <w:t>Reference</w:t>
            </w:r>
          </w:p>
        </w:tc>
      </w:tr>
      <w:tr w:rsidR="00215A7C" w14:paraId="349CC895" w14:textId="77777777">
        <w:trPr>
          <w:tblCellSpacing w:w="15" w:type="dxa"/>
          <w:jc w:val="center"/>
        </w:trPr>
        <w:tc>
          <w:tcPr>
            <w:tcW w:w="978" w:type="dxa"/>
            <w:vAlign w:val="center"/>
          </w:tcPr>
          <w:p w14:paraId="45D38F06" w14:textId="77777777" w:rsidR="00215A7C" w:rsidRDefault="0017202F">
            <w:pPr>
              <w:spacing w:line="240" w:lineRule="auto"/>
              <w:rPr>
                <w:rFonts w:cs="Times New Roman"/>
                <w:szCs w:val="24"/>
              </w:rPr>
            </w:pPr>
            <w:r>
              <w:rPr>
                <w:rStyle w:val="Strong"/>
                <w:rFonts w:eastAsia="SimSun" w:cs="Times New Roman"/>
                <w:kern w:val="0"/>
                <w:szCs w:val="24"/>
                <w:lang w:eastAsia="zh-CN" w:bidi="ar"/>
              </w:rPr>
              <w:t>East</w:t>
            </w:r>
          </w:p>
        </w:tc>
        <w:tc>
          <w:tcPr>
            <w:tcW w:w="786" w:type="dxa"/>
            <w:vAlign w:val="center"/>
          </w:tcPr>
          <w:p w14:paraId="6022AA40" w14:textId="77777777" w:rsidR="00215A7C" w:rsidRDefault="0017202F">
            <w:pPr>
              <w:spacing w:line="240" w:lineRule="auto"/>
              <w:rPr>
                <w:rFonts w:cs="Times New Roman"/>
                <w:szCs w:val="24"/>
              </w:rPr>
            </w:pPr>
            <w:r>
              <w:rPr>
                <w:rFonts w:eastAsia="SimSun" w:cs="Times New Roman"/>
                <w:kern w:val="0"/>
                <w:szCs w:val="24"/>
                <w:lang w:eastAsia="zh-CN" w:bidi="ar"/>
              </w:rPr>
              <w:t>1</w:t>
            </w:r>
          </w:p>
        </w:tc>
        <w:tc>
          <w:tcPr>
            <w:tcW w:w="6043" w:type="dxa"/>
            <w:vAlign w:val="center"/>
          </w:tcPr>
          <w:p w14:paraId="2CEA479F"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35% undernutrition among students</w:t>
            </w:r>
          </w:p>
          <w:p w14:paraId="32CA679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Female students had significantly lower BMI</w:t>
            </w:r>
          </w:p>
          <w:p w14:paraId="19F4FAFA"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Skipping meals and iron deficiency are prevalent</w:t>
            </w:r>
          </w:p>
        </w:tc>
        <w:tc>
          <w:tcPr>
            <w:tcW w:w="1937" w:type="dxa"/>
            <w:vAlign w:val="center"/>
          </w:tcPr>
          <w:p w14:paraId="664D0A9B" w14:textId="77777777" w:rsidR="00215A7C" w:rsidRDefault="0017202F">
            <w:pPr>
              <w:spacing w:line="240" w:lineRule="auto"/>
              <w:rPr>
                <w:rFonts w:cs="Times New Roman"/>
                <w:szCs w:val="24"/>
              </w:rPr>
            </w:pPr>
            <w:proofErr w:type="spellStart"/>
            <w:r>
              <w:rPr>
                <w:rFonts w:eastAsia="SimSun" w:cs="Times New Roman"/>
                <w:kern w:val="0"/>
                <w:szCs w:val="24"/>
                <w:lang w:eastAsia="zh-CN" w:bidi="ar"/>
              </w:rPr>
              <w:t>Begashaw</w:t>
            </w:r>
            <w:proofErr w:type="spellEnd"/>
            <w:r>
              <w:rPr>
                <w:rFonts w:eastAsia="SimSun" w:cs="Times New Roman"/>
                <w:kern w:val="0"/>
                <w:szCs w:val="24"/>
                <w:lang w:eastAsia="zh-CN" w:bidi="ar"/>
              </w:rPr>
              <w:t xml:space="preserve"> et al., 2021</w:t>
            </w:r>
          </w:p>
        </w:tc>
      </w:tr>
      <w:tr w:rsidR="00215A7C" w14:paraId="5AFE2B2D" w14:textId="77777777">
        <w:trPr>
          <w:tblCellSpacing w:w="15" w:type="dxa"/>
          <w:jc w:val="center"/>
        </w:trPr>
        <w:tc>
          <w:tcPr>
            <w:tcW w:w="978" w:type="dxa"/>
            <w:vAlign w:val="center"/>
          </w:tcPr>
          <w:p w14:paraId="7DC7C1A9" w14:textId="77777777" w:rsidR="00215A7C" w:rsidRDefault="00215A7C">
            <w:pPr>
              <w:spacing w:line="240" w:lineRule="auto"/>
              <w:rPr>
                <w:rFonts w:cs="Times New Roman"/>
                <w:szCs w:val="24"/>
              </w:rPr>
            </w:pPr>
          </w:p>
        </w:tc>
        <w:tc>
          <w:tcPr>
            <w:tcW w:w="786" w:type="dxa"/>
            <w:vAlign w:val="center"/>
          </w:tcPr>
          <w:p w14:paraId="735D5FCF" w14:textId="77777777" w:rsidR="00215A7C" w:rsidRDefault="0017202F">
            <w:pPr>
              <w:spacing w:line="240" w:lineRule="auto"/>
              <w:rPr>
                <w:rFonts w:cs="Times New Roman"/>
                <w:szCs w:val="24"/>
              </w:rPr>
            </w:pPr>
            <w:r>
              <w:rPr>
                <w:rFonts w:cs="Times New Roman"/>
                <w:szCs w:val="24"/>
              </w:rPr>
              <w:t>2</w:t>
            </w:r>
          </w:p>
        </w:tc>
        <w:tc>
          <w:tcPr>
            <w:tcW w:w="6043" w:type="dxa"/>
            <w:vAlign w:val="center"/>
          </w:tcPr>
          <w:p w14:paraId="60318C4C" w14:textId="141295EA"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 xml:space="preserve">41% of students had </w:t>
            </w:r>
            <w:r w:rsidR="008E718A" w:rsidRPr="009017A3">
              <w:rPr>
                <w:rFonts w:eastAsia="SimSun" w:cs="Times New Roman"/>
                <w:kern w:val="0"/>
                <w:szCs w:val="24"/>
                <w:highlight w:val="yellow"/>
                <w:lang w:eastAsia="zh-CN" w:bidi="ar"/>
              </w:rPr>
              <w:t>an</w:t>
            </w:r>
            <w:r w:rsidR="008E718A">
              <w:rPr>
                <w:rFonts w:eastAsia="SimSun" w:cs="Times New Roman"/>
                <w:kern w:val="0"/>
                <w:szCs w:val="24"/>
                <w:lang w:eastAsia="zh-CN" w:bidi="ar"/>
              </w:rPr>
              <w:t xml:space="preserve"> </w:t>
            </w:r>
            <w:r>
              <w:rPr>
                <w:rFonts w:eastAsia="SimSun" w:cs="Times New Roman"/>
                <w:kern w:val="0"/>
                <w:szCs w:val="24"/>
                <w:lang w:eastAsia="zh-CN" w:bidi="ar"/>
              </w:rPr>
              <w:t>unhealthy BMI</w:t>
            </w:r>
          </w:p>
          <w:p w14:paraId="67E02270"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High junk food intake</w:t>
            </w:r>
          </w:p>
          <w:p w14:paraId="1C9612EF"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Lack of physical activity is reported in the majority</w:t>
            </w:r>
          </w:p>
        </w:tc>
        <w:tc>
          <w:tcPr>
            <w:tcW w:w="1937" w:type="dxa"/>
            <w:vAlign w:val="center"/>
          </w:tcPr>
          <w:p w14:paraId="4461120C" w14:textId="77777777" w:rsidR="00215A7C" w:rsidRDefault="0017202F">
            <w:pPr>
              <w:spacing w:line="240" w:lineRule="auto"/>
              <w:rPr>
                <w:rFonts w:cs="Times New Roman"/>
                <w:szCs w:val="24"/>
              </w:rPr>
            </w:pPr>
            <w:r>
              <w:rPr>
                <w:rFonts w:eastAsia="SimSun" w:cs="Times New Roman"/>
                <w:kern w:val="0"/>
                <w:szCs w:val="24"/>
                <w:lang w:eastAsia="zh-CN" w:bidi="ar"/>
              </w:rPr>
              <w:t>Mishra &amp; Pal, 2022</w:t>
            </w:r>
          </w:p>
        </w:tc>
      </w:tr>
      <w:tr w:rsidR="00215A7C" w14:paraId="610F9CBD" w14:textId="77777777">
        <w:trPr>
          <w:tblCellSpacing w:w="15" w:type="dxa"/>
          <w:jc w:val="center"/>
        </w:trPr>
        <w:tc>
          <w:tcPr>
            <w:tcW w:w="978" w:type="dxa"/>
            <w:vAlign w:val="center"/>
          </w:tcPr>
          <w:p w14:paraId="63CB4EDD" w14:textId="77777777" w:rsidR="00215A7C" w:rsidRDefault="00215A7C">
            <w:pPr>
              <w:spacing w:line="240" w:lineRule="auto"/>
              <w:rPr>
                <w:rFonts w:cs="Times New Roman"/>
                <w:szCs w:val="24"/>
              </w:rPr>
            </w:pPr>
          </w:p>
        </w:tc>
        <w:tc>
          <w:tcPr>
            <w:tcW w:w="786" w:type="dxa"/>
            <w:vAlign w:val="center"/>
          </w:tcPr>
          <w:p w14:paraId="099D553F" w14:textId="77777777" w:rsidR="00215A7C" w:rsidRDefault="0017202F">
            <w:pPr>
              <w:spacing w:line="240" w:lineRule="auto"/>
              <w:rPr>
                <w:rFonts w:cs="Times New Roman"/>
                <w:szCs w:val="24"/>
              </w:rPr>
            </w:pPr>
            <w:r>
              <w:rPr>
                <w:rFonts w:cs="Times New Roman"/>
                <w:szCs w:val="24"/>
              </w:rPr>
              <w:t>3</w:t>
            </w:r>
          </w:p>
        </w:tc>
        <w:tc>
          <w:tcPr>
            <w:tcW w:w="6043" w:type="dxa"/>
            <w:vAlign w:val="center"/>
          </w:tcPr>
          <w:p w14:paraId="73DC0702"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Tribal students had high undernutrition</w:t>
            </w:r>
          </w:p>
          <w:p w14:paraId="5B05CF9C"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Only 27% met the minimum dietary diversity</w:t>
            </w:r>
          </w:p>
          <w:p w14:paraId="08FA857E"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Heavy reliance on ultra-processed foods</w:t>
            </w:r>
          </w:p>
        </w:tc>
        <w:tc>
          <w:tcPr>
            <w:tcW w:w="1937" w:type="dxa"/>
            <w:vAlign w:val="center"/>
          </w:tcPr>
          <w:p w14:paraId="0DDFE2E1" w14:textId="77777777" w:rsidR="00215A7C" w:rsidRDefault="0017202F">
            <w:pPr>
              <w:spacing w:line="240" w:lineRule="auto"/>
              <w:rPr>
                <w:rFonts w:cs="Times New Roman"/>
                <w:szCs w:val="24"/>
              </w:rPr>
            </w:pPr>
            <w:r>
              <w:rPr>
                <w:rFonts w:eastAsia="SimSun" w:cs="Times New Roman"/>
                <w:kern w:val="0"/>
                <w:szCs w:val="24"/>
                <w:lang w:eastAsia="zh-CN" w:bidi="ar"/>
              </w:rPr>
              <w:t>Paul &amp; Reddy, 2023</w:t>
            </w:r>
          </w:p>
        </w:tc>
      </w:tr>
      <w:tr w:rsidR="00215A7C" w14:paraId="160C2DDA" w14:textId="77777777">
        <w:trPr>
          <w:tblCellSpacing w:w="15" w:type="dxa"/>
          <w:jc w:val="center"/>
        </w:trPr>
        <w:tc>
          <w:tcPr>
            <w:tcW w:w="978" w:type="dxa"/>
            <w:vAlign w:val="center"/>
          </w:tcPr>
          <w:p w14:paraId="2EFCF80C" w14:textId="77777777" w:rsidR="00215A7C" w:rsidRDefault="0017202F">
            <w:pPr>
              <w:spacing w:line="240" w:lineRule="auto"/>
              <w:rPr>
                <w:rFonts w:cs="Times New Roman"/>
                <w:szCs w:val="24"/>
              </w:rPr>
            </w:pPr>
            <w:r>
              <w:rPr>
                <w:rStyle w:val="Strong"/>
                <w:rFonts w:eastAsia="SimSun" w:cs="Times New Roman"/>
                <w:kern w:val="0"/>
                <w:szCs w:val="24"/>
                <w:lang w:eastAsia="zh-CN" w:bidi="ar"/>
              </w:rPr>
              <w:t>West</w:t>
            </w:r>
          </w:p>
        </w:tc>
        <w:tc>
          <w:tcPr>
            <w:tcW w:w="786" w:type="dxa"/>
            <w:vAlign w:val="center"/>
          </w:tcPr>
          <w:p w14:paraId="39C4A1BA" w14:textId="77777777" w:rsidR="00215A7C" w:rsidRDefault="0017202F">
            <w:pPr>
              <w:spacing w:line="240" w:lineRule="auto"/>
              <w:rPr>
                <w:rFonts w:cs="Times New Roman"/>
                <w:szCs w:val="24"/>
              </w:rPr>
            </w:pPr>
            <w:r>
              <w:rPr>
                <w:rFonts w:cs="Times New Roman"/>
                <w:szCs w:val="24"/>
              </w:rPr>
              <w:t>1</w:t>
            </w:r>
          </w:p>
        </w:tc>
        <w:tc>
          <w:tcPr>
            <w:tcW w:w="6043" w:type="dxa"/>
            <w:vAlign w:val="center"/>
          </w:tcPr>
          <w:p w14:paraId="477D2D5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45% students consumed junk food 3–5 times/week</w:t>
            </w:r>
          </w:p>
          <w:p w14:paraId="28415B77"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lastRenderedPageBreak/>
              <w:t>22% were overweight or obese</w:t>
            </w:r>
          </w:p>
          <w:p w14:paraId="6E5EBD8B"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High screen time &amp; low physical activity</w:t>
            </w:r>
          </w:p>
        </w:tc>
        <w:tc>
          <w:tcPr>
            <w:tcW w:w="1937" w:type="dxa"/>
            <w:vAlign w:val="center"/>
          </w:tcPr>
          <w:p w14:paraId="439A6B1E" w14:textId="77777777" w:rsidR="00215A7C" w:rsidRDefault="0017202F">
            <w:pPr>
              <w:spacing w:line="240" w:lineRule="auto"/>
              <w:rPr>
                <w:rFonts w:cs="Times New Roman"/>
                <w:szCs w:val="24"/>
              </w:rPr>
            </w:pPr>
            <w:r>
              <w:rPr>
                <w:rFonts w:eastAsia="SimSun" w:cs="Times New Roman"/>
                <w:kern w:val="0"/>
                <w:szCs w:val="24"/>
                <w:lang w:eastAsia="zh-CN" w:bidi="ar"/>
              </w:rPr>
              <w:lastRenderedPageBreak/>
              <w:t>Sharma et al., 2020</w:t>
            </w:r>
          </w:p>
        </w:tc>
      </w:tr>
      <w:tr w:rsidR="00215A7C" w14:paraId="642FC06D" w14:textId="77777777">
        <w:trPr>
          <w:tblCellSpacing w:w="15" w:type="dxa"/>
          <w:jc w:val="center"/>
        </w:trPr>
        <w:tc>
          <w:tcPr>
            <w:tcW w:w="978" w:type="dxa"/>
            <w:vAlign w:val="center"/>
          </w:tcPr>
          <w:p w14:paraId="6C47B067" w14:textId="77777777" w:rsidR="00215A7C" w:rsidRDefault="00215A7C">
            <w:pPr>
              <w:spacing w:line="240" w:lineRule="auto"/>
              <w:rPr>
                <w:rFonts w:cs="Times New Roman"/>
                <w:szCs w:val="24"/>
              </w:rPr>
            </w:pPr>
          </w:p>
        </w:tc>
        <w:tc>
          <w:tcPr>
            <w:tcW w:w="786" w:type="dxa"/>
            <w:vAlign w:val="center"/>
          </w:tcPr>
          <w:p w14:paraId="15473FB4" w14:textId="77777777" w:rsidR="00215A7C" w:rsidRDefault="0017202F">
            <w:pPr>
              <w:spacing w:line="240" w:lineRule="auto"/>
              <w:rPr>
                <w:rFonts w:cs="Times New Roman"/>
                <w:szCs w:val="24"/>
              </w:rPr>
            </w:pPr>
            <w:r>
              <w:rPr>
                <w:rFonts w:cs="Times New Roman"/>
                <w:szCs w:val="24"/>
              </w:rPr>
              <w:t>2</w:t>
            </w:r>
          </w:p>
        </w:tc>
        <w:tc>
          <w:tcPr>
            <w:tcW w:w="6043" w:type="dxa"/>
            <w:vAlign w:val="center"/>
          </w:tcPr>
          <w:p w14:paraId="69639F99"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Only 19% met the recommended protein intake</w:t>
            </w:r>
          </w:p>
          <w:p w14:paraId="2DEEAE2A"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Deficiency in calcium &amp; iron is common</w:t>
            </w:r>
          </w:p>
          <w:p w14:paraId="389C4538"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Lack of dietary awareness</w:t>
            </w:r>
          </w:p>
        </w:tc>
        <w:tc>
          <w:tcPr>
            <w:tcW w:w="1937" w:type="dxa"/>
            <w:vAlign w:val="center"/>
          </w:tcPr>
          <w:p w14:paraId="5E184584" w14:textId="77777777" w:rsidR="00215A7C" w:rsidRDefault="0017202F">
            <w:pPr>
              <w:spacing w:line="240" w:lineRule="auto"/>
              <w:rPr>
                <w:rFonts w:cs="Times New Roman"/>
                <w:szCs w:val="24"/>
              </w:rPr>
            </w:pPr>
            <w:r>
              <w:rPr>
                <w:rFonts w:eastAsia="SimSun" w:cs="Times New Roman"/>
                <w:kern w:val="0"/>
                <w:szCs w:val="24"/>
                <w:lang w:eastAsia="zh-CN" w:bidi="ar"/>
              </w:rPr>
              <w:t>Desai et al., 2021</w:t>
            </w:r>
          </w:p>
        </w:tc>
      </w:tr>
      <w:tr w:rsidR="00215A7C" w14:paraId="3A84DDF7" w14:textId="77777777">
        <w:trPr>
          <w:tblCellSpacing w:w="15" w:type="dxa"/>
          <w:jc w:val="center"/>
        </w:trPr>
        <w:tc>
          <w:tcPr>
            <w:tcW w:w="978" w:type="dxa"/>
            <w:vAlign w:val="center"/>
          </w:tcPr>
          <w:p w14:paraId="16F60FE2" w14:textId="77777777" w:rsidR="00215A7C" w:rsidRDefault="00215A7C">
            <w:pPr>
              <w:spacing w:line="240" w:lineRule="auto"/>
              <w:rPr>
                <w:rFonts w:cs="Times New Roman"/>
                <w:szCs w:val="24"/>
              </w:rPr>
            </w:pPr>
          </w:p>
        </w:tc>
        <w:tc>
          <w:tcPr>
            <w:tcW w:w="786" w:type="dxa"/>
            <w:vAlign w:val="center"/>
          </w:tcPr>
          <w:p w14:paraId="78CC155C" w14:textId="77777777" w:rsidR="00215A7C" w:rsidRDefault="0017202F">
            <w:pPr>
              <w:spacing w:line="240" w:lineRule="auto"/>
              <w:rPr>
                <w:rFonts w:cs="Times New Roman"/>
                <w:szCs w:val="24"/>
              </w:rPr>
            </w:pPr>
            <w:r>
              <w:rPr>
                <w:rFonts w:cs="Times New Roman"/>
                <w:szCs w:val="24"/>
              </w:rPr>
              <w:t>3</w:t>
            </w:r>
          </w:p>
        </w:tc>
        <w:tc>
          <w:tcPr>
            <w:tcW w:w="6043" w:type="dxa"/>
            <w:vAlign w:val="center"/>
          </w:tcPr>
          <w:p w14:paraId="485C5678" w14:textId="77777777" w:rsidR="00215A7C" w:rsidRDefault="0017202F">
            <w:pPr>
              <w:numPr>
                <w:ilvl w:val="0"/>
                <w:numId w:val="2"/>
              </w:numPr>
              <w:spacing w:line="240" w:lineRule="auto"/>
              <w:rPr>
                <w:rFonts w:eastAsia="SimSun" w:cs="Times New Roman"/>
                <w:kern w:val="0"/>
                <w:szCs w:val="24"/>
                <w:lang w:eastAsia="zh-CN" w:bidi="ar"/>
              </w:rPr>
            </w:pPr>
            <w:r>
              <w:rPr>
                <w:rFonts w:eastAsia="SimSun" w:cs="Times New Roman"/>
                <w:kern w:val="0"/>
                <w:szCs w:val="24"/>
                <w:lang w:eastAsia="zh-CN" w:bidi="ar"/>
              </w:rPr>
              <w:t>65%+ of students consumed fast food more than 3 times per week</w:t>
            </w:r>
          </w:p>
          <w:p w14:paraId="196E10BD" w14:textId="7777777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Correlated with obesity, stress, and fatigue</w:t>
            </w:r>
          </w:p>
        </w:tc>
        <w:tc>
          <w:tcPr>
            <w:tcW w:w="1937" w:type="dxa"/>
            <w:vAlign w:val="center"/>
          </w:tcPr>
          <w:p w14:paraId="2E84DFA7" w14:textId="77777777" w:rsidR="00215A7C" w:rsidRDefault="0017202F">
            <w:pPr>
              <w:spacing w:line="240" w:lineRule="auto"/>
              <w:rPr>
                <w:rFonts w:cs="Times New Roman"/>
                <w:szCs w:val="24"/>
              </w:rPr>
            </w:pPr>
            <w:r>
              <w:rPr>
                <w:rFonts w:eastAsia="SimSun" w:cs="Times New Roman"/>
                <w:kern w:val="0"/>
                <w:szCs w:val="24"/>
                <w:lang w:eastAsia="zh-CN" w:bidi="ar"/>
              </w:rPr>
              <w:t>Verma et al., 2021</w:t>
            </w:r>
          </w:p>
        </w:tc>
      </w:tr>
      <w:tr w:rsidR="00215A7C" w14:paraId="5842B55A" w14:textId="77777777">
        <w:trPr>
          <w:tblCellSpacing w:w="15" w:type="dxa"/>
          <w:jc w:val="center"/>
        </w:trPr>
        <w:tc>
          <w:tcPr>
            <w:tcW w:w="978" w:type="dxa"/>
            <w:vAlign w:val="center"/>
          </w:tcPr>
          <w:p w14:paraId="16440D79" w14:textId="77777777" w:rsidR="00215A7C" w:rsidRDefault="00215A7C">
            <w:pPr>
              <w:spacing w:line="240" w:lineRule="auto"/>
              <w:rPr>
                <w:rFonts w:cs="Times New Roman"/>
                <w:szCs w:val="24"/>
              </w:rPr>
            </w:pPr>
          </w:p>
        </w:tc>
        <w:tc>
          <w:tcPr>
            <w:tcW w:w="786" w:type="dxa"/>
            <w:vAlign w:val="center"/>
          </w:tcPr>
          <w:p w14:paraId="4BC58C09" w14:textId="77777777" w:rsidR="00215A7C" w:rsidRDefault="0017202F">
            <w:pPr>
              <w:spacing w:line="240" w:lineRule="auto"/>
              <w:rPr>
                <w:rFonts w:cs="Times New Roman"/>
                <w:szCs w:val="24"/>
              </w:rPr>
            </w:pPr>
            <w:r>
              <w:rPr>
                <w:rFonts w:cs="Times New Roman"/>
                <w:szCs w:val="24"/>
              </w:rPr>
              <w:t>4</w:t>
            </w:r>
          </w:p>
        </w:tc>
        <w:tc>
          <w:tcPr>
            <w:tcW w:w="6043" w:type="dxa"/>
            <w:vAlign w:val="center"/>
          </w:tcPr>
          <w:p w14:paraId="749A0E22" w14:textId="1779B427" w:rsidR="00215A7C" w:rsidRDefault="0017202F">
            <w:pPr>
              <w:numPr>
                <w:ilvl w:val="0"/>
                <w:numId w:val="2"/>
              </w:numPr>
              <w:spacing w:line="240" w:lineRule="auto"/>
              <w:rPr>
                <w:rFonts w:cs="Times New Roman"/>
                <w:szCs w:val="24"/>
              </w:rPr>
            </w:pPr>
            <w:r>
              <w:rPr>
                <w:rFonts w:eastAsia="SimSun" w:cs="Times New Roman"/>
                <w:kern w:val="0"/>
                <w:szCs w:val="24"/>
                <w:lang w:eastAsia="zh-CN" w:bidi="ar"/>
              </w:rPr>
              <w:t xml:space="preserve">Stark gender differences in </w:t>
            </w:r>
            <w:proofErr w:type="spellStart"/>
            <w:r w:rsidR="008E718A" w:rsidRPr="009017A3">
              <w:rPr>
                <w:rFonts w:eastAsia="SimSun" w:cs="Times New Roman"/>
                <w:kern w:val="0"/>
                <w:szCs w:val="24"/>
                <w:highlight w:val="yellow"/>
                <w:lang w:eastAsia="zh-CN" w:bidi="ar"/>
              </w:rPr>
              <w:t>anaemia</w:t>
            </w:r>
            <w:proofErr w:type="spellEnd"/>
            <w:r w:rsidR="008E718A">
              <w:rPr>
                <w:rFonts w:eastAsia="SimSun" w:cs="Times New Roman"/>
                <w:kern w:val="0"/>
                <w:szCs w:val="24"/>
                <w:lang w:eastAsia="zh-CN" w:bidi="ar"/>
              </w:rPr>
              <w:t xml:space="preserve"> </w:t>
            </w:r>
            <w:r>
              <w:rPr>
                <w:rFonts w:eastAsia="SimSun" w:cs="Times New Roman"/>
                <w:kern w:val="0"/>
                <w:szCs w:val="24"/>
                <w:lang w:eastAsia="zh-CN" w:bidi="ar"/>
              </w:rPr>
              <w:t>and energy intake across West Indian students</w:t>
            </w:r>
          </w:p>
        </w:tc>
        <w:tc>
          <w:tcPr>
            <w:tcW w:w="1937" w:type="dxa"/>
            <w:vAlign w:val="center"/>
          </w:tcPr>
          <w:p w14:paraId="551D1886" w14:textId="77777777" w:rsidR="00215A7C" w:rsidRDefault="0017202F">
            <w:pPr>
              <w:spacing w:line="240" w:lineRule="auto"/>
              <w:rPr>
                <w:rFonts w:cs="Times New Roman"/>
                <w:szCs w:val="24"/>
              </w:rPr>
            </w:pPr>
            <w:r>
              <w:rPr>
                <w:rFonts w:eastAsia="SimSun" w:cs="Times New Roman"/>
                <w:kern w:val="0"/>
                <w:szCs w:val="24"/>
                <w:lang w:eastAsia="zh-CN" w:bidi="ar"/>
              </w:rPr>
              <w:t>Rasoul et al., 2022</w:t>
            </w:r>
          </w:p>
        </w:tc>
      </w:tr>
    </w:tbl>
    <w:p w14:paraId="12343463" w14:textId="77777777" w:rsidR="00215A7C" w:rsidRDefault="00215A7C">
      <w:pPr>
        <w:rPr>
          <w:b/>
          <w:bCs/>
        </w:rPr>
      </w:pPr>
    </w:p>
    <w:p w14:paraId="77CA62A6" w14:textId="77777777" w:rsidR="00215A7C" w:rsidRDefault="0017202F">
      <w:pPr>
        <w:rPr>
          <w:b/>
          <w:bCs/>
        </w:rPr>
      </w:pPr>
      <w:r>
        <w:rPr>
          <w:b/>
          <w:bCs/>
        </w:rPr>
        <w:t xml:space="preserve">ANALYSIS </w:t>
      </w:r>
      <w:bookmarkEnd w:id="2"/>
      <w:r>
        <w:rPr>
          <w:b/>
          <w:bCs/>
        </w:rPr>
        <w:t xml:space="preserve">OF THE FINDINGS </w:t>
      </w:r>
    </w:p>
    <w:p w14:paraId="2A376C59" w14:textId="77777777" w:rsidR="00215A7C" w:rsidRDefault="0017202F">
      <w:pPr>
        <w:spacing w:after="0" w:line="480" w:lineRule="auto"/>
        <w:rPr>
          <w:rFonts w:cs="Times New Roman"/>
          <w:b/>
          <w:bCs/>
          <w:color w:val="000000" w:themeColor="text1"/>
          <w:szCs w:val="24"/>
        </w:rPr>
      </w:pPr>
      <w:r>
        <w:rPr>
          <w:rFonts w:cs="Times New Roman"/>
          <w:b/>
          <w:bCs/>
          <w:color w:val="000000" w:themeColor="text1"/>
          <w:szCs w:val="24"/>
        </w:rPr>
        <w:t xml:space="preserve">Self-efficacy as a motivation factor </w:t>
      </w:r>
    </w:p>
    <w:p w14:paraId="2B44577E"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Self-efficacy, defined as a person's conviction in their capacity to achieve in given situations, has a major impact on food choices among university students. According to research, higher levels of self-efficacy are associated with better eating patterns. For example, Ahlgren et al. (2019) discovered that students who were more confident in their capacity to make good food choices were more likely to consume fruits and vegetables. In the Indian context, Kumar et al. (2020) noted that self-efficacy influences students' nutrition decisions, especially when they encounter new problems in food preparation and availability during their university years. </w:t>
      </w:r>
    </w:p>
    <w:p w14:paraId="77DD4959"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Gupta et al. (2021) found that many Indian university students indicate a desire for healthy eating; however, low self-efficacy frequently impedes their capacity to act on this goal. Time restrictions, a lack of culinary skills, and peer pressure all play a role in bad eating habits. Sharma et al. (2022) underline that social factors might drive students to adopt unhealthy eating patterns, highlighting </w:t>
      </w:r>
      <w:r>
        <w:rPr>
          <w:rFonts w:cs="Times New Roman"/>
          <w:color w:val="000000" w:themeColor="text1"/>
          <w:szCs w:val="24"/>
        </w:rPr>
        <w:lastRenderedPageBreak/>
        <w:t xml:space="preserve">the need for measures that boost self-efficacy and encourage healthier eating habits. Nutrition education has been shown to improve university students' self-efficacy. </w:t>
      </w:r>
    </w:p>
    <w:p w14:paraId="7F53CD98" w14:textId="18EFB206" w:rsidR="00215A7C" w:rsidRDefault="0017202F">
      <w:pPr>
        <w:spacing w:after="0" w:line="480" w:lineRule="auto"/>
        <w:rPr>
          <w:rStyle w:val="Strong"/>
        </w:rPr>
      </w:pPr>
      <w:r>
        <w:rPr>
          <w:rStyle w:val="Strong"/>
        </w:rPr>
        <w:t xml:space="preserve">Role of Nutrition Workshops in </w:t>
      </w:r>
      <w:proofErr w:type="spellStart"/>
      <w:r w:rsidR="008E718A" w:rsidRPr="009017A3">
        <w:rPr>
          <w:rStyle w:val="Strong"/>
          <w:highlight w:val="yellow"/>
        </w:rPr>
        <w:t>Behaviour</w:t>
      </w:r>
      <w:proofErr w:type="spellEnd"/>
      <w:r w:rsidR="008E718A" w:rsidRPr="009017A3">
        <w:rPr>
          <w:rStyle w:val="Strong"/>
          <w:highlight w:val="yellow"/>
        </w:rPr>
        <w:t xml:space="preserve"> </w:t>
      </w:r>
      <w:r>
        <w:rPr>
          <w:rStyle w:val="Strong"/>
        </w:rPr>
        <w:t>Change</w:t>
      </w:r>
    </w:p>
    <w:p w14:paraId="4D034092" w14:textId="22413E87" w:rsidR="00215A7C" w:rsidRDefault="0017202F">
      <w:pPr>
        <w:spacing w:after="0" w:line="480" w:lineRule="auto"/>
        <w:rPr>
          <w:rFonts w:eastAsia="SimSun" w:cs="Times New Roman"/>
          <w:color w:val="000000" w:themeColor="text1"/>
          <w:szCs w:val="24"/>
        </w:rPr>
      </w:pPr>
      <w:r>
        <w:rPr>
          <w:rFonts w:eastAsia="SimSun" w:cs="Times New Roman"/>
          <w:color w:val="000000" w:themeColor="text1"/>
          <w:szCs w:val="24"/>
        </w:rPr>
        <w:t xml:space="preserve">According to Jain et al. (2023), nutrition workshops had a strong impact on participants, boosting their confidence in choosing healthier foods. This led to noticeable improvements in their eating habits. The study highlights how practical, </w:t>
      </w:r>
      <w:proofErr w:type="spellStart"/>
      <w:r w:rsidR="008E718A" w:rsidRPr="009017A3">
        <w:rPr>
          <w:rFonts w:eastAsia="SimSun" w:cs="Times New Roman"/>
          <w:color w:val="000000" w:themeColor="text1"/>
          <w:szCs w:val="24"/>
          <w:highlight w:val="yellow"/>
        </w:rPr>
        <w:t>customised</w:t>
      </w:r>
      <w:proofErr w:type="spellEnd"/>
      <w:r w:rsidR="008E718A" w:rsidRPr="009017A3">
        <w:rPr>
          <w:rFonts w:eastAsia="SimSun" w:cs="Times New Roman"/>
          <w:color w:val="000000" w:themeColor="text1"/>
          <w:szCs w:val="24"/>
          <w:highlight w:val="yellow"/>
        </w:rPr>
        <w:t xml:space="preserve"> </w:t>
      </w:r>
      <w:r>
        <w:rPr>
          <w:rFonts w:eastAsia="SimSun" w:cs="Times New Roman"/>
          <w:color w:val="000000" w:themeColor="text1"/>
          <w:szCs w:val="24"/>
        </w:rPr>
        <w:t xml:space="preserve">education can help individuals, especially students, make informed food decisions. When students understand what to eat and why, they are more likely to develop positive dietary patterns. These workshops provide useful, practical knowledge and guidance that feels relevant. </w:t>
      </w:r>
      <w:proofErr w:type="spellStart"/>
      <w:r w:rsidR="008E718A" w:rsidRPr="009017A3">
        <w:rPr>
          <w:rFonts w:eastAsia="SimSun" w:cs="Times New Roman"/>
          <w:color w:val="000000" w:themeColor="text1"/>
          <w:szCs w:val="24"/>
          <w:highlight w:val="yellow"/>
        </w:rPr>
        <w:t>Personalised</w:t>
      </w:r>
      <w:proofErr w:type="spellEnd"/>
      <w:r w:rsidR="008E718A" w:rsidRPr="009017A3">
        <w:rPr>
          <w:rFonts w:eastAsia="SimSun" w:cs="Times New Roman"/>
          <w:color w:val="000000" w:themeColor="text1"/>
          <w:szCs w:val="24"/>
          <w:highlight w:val="yellow"/>
        </w:rPr>
        <w:t xml:space="preserve"> </w:t>
      </w:r>
      <w:r>
        <w:rPr>
          <w:rFonts w:eastAsia="SimSun" w:cs="Times New Roman"/>
          <w:color w:val="000000" w:themeColor="text1"/>
          <w:szCs w:val="24"/>
        </w:rPr>
        <w:t xml:space="preserve">guidance makes learning about nutrition more effective and engaging. It encourages long-term </w:t>
      </w:r>
      <w:proofErr w:type="spellStart"/>
      <w:r w:rsidR="008E718A" w:rsidRPr="009017A3">
        <w:rPr>
          <w:rFonts w:eastAsia="SimSun" w:cs="Times New Roman"/>
          <w:color w:val="000000" w:themeColor="text1"/>
          <w:szCs w:val="24"/>
          <w:highlight w:val="yellow"/>
        </w:rPr>
        <w:t>behaviour</w:t>
      </w:r>
      <w:proofErr w:type="spellEnd"/>
      <w:r w:rsidR="008E718A" w:rsidRPr="009017A3">
        <w:rPr>
          <w:rFonts w:eastAsia="SimSun" w:cs="Times New Roman"/>
          <w:color w:val="000000" w:themeColor="text1"/>
          <w:szCs w:val="24"/>
          <w:highlight w:val="yellow"/>
        </w:rPr>
        <w:t xml:space="preserve"> </w:t>
      </w:r>
      <w:r>
        <w:rPr>
          <w:rFonts w:eastAsia="SimSun" w:cs="Times New Roman"/>
          <w:color w:val="000000" w:themeColor="text1"/>
          <w:szCs w:val="24"/>
        </w:rPr>
        <w:t xml:space="preserve">change rather than short-term fixes. Students especially benefit from this support as they form lifelong habits. </w:t>
      </w:r>
      <w:r>
        <w:rPr>
          <w:rFonts w:cs="Times New Roman"/>
          <w:color w:val="000000" w:themeColor="text1"/>
          <w:szCs w:val="24"/>
        </w:rPr>
        <w:t xml:space="preserve">This shows that </w:t>
      </w:r>
      <w:proofErr w:type="spellStart"/>
      <w:r w:rsidR="008E718A" w:rsidRPr="009017A3">
        <w:rPr>
          <w:rFonts w:cs="Times New Roman"/>
          <w:color w:val="000000" w:themeColor="text1"/>
          <w:szCs w:val="24"/>
          <w:highlight w:val="yellow"/>
        </w:rPr>
        <w:t>personalised</w:t>
      </w:r>
      <w:proofErr w:type="spellEnd"/>
      <w:r w:rsidR="008E718A" w:rsidRPr="009017A3">
        <w:rPr>
          <w:rFonts w:cs="Times New Roman"/>
          <w:color w:val="000000" w:themeColor="text1"/>
          <w:szCs w:val="24"/>
          <w:highlight w:val="yellow"/>
        </w:rPr>
        <w:t xml:space="preserve"> </w:t>
      </w:r>
      <w:r>
        <w:rPr>
          <w:rFonts w:cs="Times New Roman"/>
          <w:color w:val="000000" w:themeColor="text1"/>
          <w:szCs w:val="24"/>
        </w:rPr>
        <w:t>educational interventions might help students make educated eating selections, hence improving their nutritional health.</w:t>
      </w:r>
    </w:p>
    <w:p w14:paraId="10D100BA" w14:textId="77777777" w:rsidR="00215A7C" w:rsidRDefault="0017202F">
      <w:pPr>
        <w:pStyle w:val="EndnoteText"/>
        <w:spacing w:after="0" w:line="480" w:lineRule="auto"/>
        <w:jc w:val="both"/>
        <w:rPr>
          <w:rFonts w:eastAsia="SimSun" w:cs="Times New Roman"/>
          <w:color w:val="000000" w:themeColor="text1"/>
          <w:szCs w:val="24"/>
        </w:rPr>
      </w:pPr>
      <w:r>
        <w:rPr>
          <w:rFonts w:eastAsia="SimSun" w:cs="Times New Roman"/>
          <w:color w:val="000000" w:themeColor="text1"/>
          <w:szCs w:val="24"/>
        </w:rPr>
        <w:t xml:space="preserve">This study brings to light a major student health concern in a semi-urban region of Western Tripura, where the entire population studied, particularly tribal communities, is facing high social and nutritional risks. A significant number of individuals have low BMI, pointing to serious undernutrition as per WHO standards. Tribal student populations are especially vulnerable due to poverty, limited healthcare access, and poor dietary diversity. These challenges result in long-term health problems and reduced quality of life. Immediate steps are needed from local health bodies to assess and address these issues. Programs focusing on regular nutrition checks and community-based interventions are vital. It is important that these efforts respect local cultures and involve community members. Health education on nutrition and hygiene can support lasting improvement. </w:t>
      </w:r>
      <w:r>
        <w:rPr>
          <w:rFonts w:eastAsia="SimSun" w:cs="Times New Roman"/>
          <w:color w:val="000000" w:themeColor="text1"/>
          <w:szCs w:val="24"/>
        </w:rPr>
        <w:lastRenderedPageBreak/>
        <w:t xml:space="preserve">Partnerships between government agencies, NGOs, and local leaders can make solutions more effective. Addressing this crisis requires thoughtful, inclusive, and sustainable strategies. </w:t>
      </w:r>
    </w:p>
    <w:p w14:paraId="3D159153" w14:textId="704E5988" w:rsidR="00215A7C" w:rsidRDefault="0017202F">
      <w:pPr>
        <w:spacing w:after="0" w:line="480" w:lineRule="auto"/>
        <w:rPr>
          <w:rFonts w:cs="Times New Roman"/>
          <w:color w:val="000000" w:themeColor="text1"/>
          <w:szCs w:val="24"/>
        </w:rPr>
      </w:pPr>
      <w:r>
        <w:rPr>
          <w:rFonts w:eastAsia="SimSun" w:cs="Times New Roman"/>
          <w:color w:val="000000" w:themeColor="text1"/>
          <w:szCs w:val="24"/>
        </w:rPr>
        <w:t xml:space="preserve">The nutritional status of adolescents is an essential health concern. Growth during this stage of life is </w:t>
      </w:r>
      <w:r w:rsidR="008E718A" w:rsidRPr="009017A3">
        <w:rPr>
          <w:rFonts w:eastAsia="SimSun" w:cs="Times New Roman"/>
          <w:color w:val="000000" w:themeColor="text1"/>
          <w:szCs w:val="24"/>
          <w:highlight w:val="yellow"/>
        </w:rPr>
        <w:t>the</w:t>
      </w:r>
      <w:r w:rsidR="008E718A">
        <w:rPr>
          <w:rFonts w:eastAsia="SimSun" w:cs="Times New Roman"/>
          <w:color w:val="000000" w:themeColor="text1"/>
          <w:szCs w:val="24"/>
        </w:rPr>
        <w:t xml:space="preserve"> </w:t>
      </w:r>
      <w:r>
        <w:rPr>
          <w:rFonts w:eastAsia="SimSun" w:cs="Times New Roman"/>
          <w:color w:val="000000" w:themeColor="text1"/>
          <w:szCs w:val="24"/>
        </w:rPr>
        <w:t>fastest and aids overall development, and provides adequate energy stores for pregnancy and healthy adulthood.</w:t>
      </w:r>
    </w:p>
    <w:p w14:paraId="7F74E801" w14:textId="77777777" w:rsidR="00215A7C" w:rsidRDefault="0017202F">
      <w:pPr>
        <w:rPr>
          <w:b/>
          <w:bCs/>
        </w:rPr>
      </w:pPr>
      <w:bookmarkStart w:id="3" w:name="_Toc179162499"/>
      <w:r>
        <w:rPr>
          <w:b/>
          <w:bCs/>
        </w:rPr>
        <w:t>NUTRITIONAL  STATUS OF UNIVERSITY STUDENTS IN INDIA</w:t>
      </w:r>
      <w:bookmarkEnd w:id="3"/>
    </w:p>
    <w:p w14:paraId="42F559D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The nutritional status of university students in India is an increasing concern, reflecting the complex interaction of factors influencing food patterns and general well-being. </w:t>
      </w:r>
      <w:r>
        <w:rPr>
          <w:rFonts w:eastAsia="SimSun" w:cs="Times New Roman"/>
          <w:color w:val="000000" w:themeColor="text1"/>
          <w:szCs w:val="24"/>
        </w:rPr>
        <w:t xml:space="preserve">Undergraduate students encompass a substantial portion of the total population, who are likely to make poor judgments regarding their dietary habits. (Kumar A, 2020). Tendency for consumption of unhealthy foods and poor dietary patterns is high, greatly due to lack of parental supervision, inadequate or incorrect knowledge regarding food habits, and due to the stress of academic and professional as well as social life. </w:t>
      </w:r>
      <w:r>
        <w:rPr>
          <w:rFonts w:cs="Times New Roman"/>
          <w:color w:val="000000" w:themeColor="text1"/>
          <w:szCs w:val="24"/>
        </w:rPr>
        <w:t xml:space="preserve">As students enter higher education, they frequently experience considerable lifestyle changes, such as more autonomy, diverse dietary surroundings, and varying socioeconomic circumstances. </w:t>
      </w:r>
    </w:p>
    <w:p w14:paraId="59834652"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These changes can result in poor eating habits defined by excessive intake of processed foods, fast food, and sugary beverages, frequently at the expense of important nutrients. Students in universities frequently face high sugar consumption because sugary snacks and drinks easily reach them throughout the campus. Consuming sugar might give short-term energy boosts, but those benefits are followed by sharp blood sugar fluctuations that cause changes in mood, along with irritability and tiredness. The long-term intake of excessive sugar leads to insulin resistance that is associated with mental and cognitive deterioration and elevates depression susceptibility. People </w:t>
      </w:r>
      <w:r>
        <w:rPr>
          <w:rFonts w:cs="Times New Roman"/>
          <w:color w:val="000000" w:themeColor="text1"/>
          <w:szCs w:val="24"/>
        </w:rPr>
        <w:lastRenderedPageBreak/>
        <w:t xml:space="preserve">who consume sugar may develop addictive responses and subsequent sugar cravings that make mental health conditions worse. </w:t>
      </w:r>
    </w:p>
    <w:p w14:paraId="1C2D95C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The brain experiences detrimental effects when people consume processed foods that include large amounts of unhealthy fats and sugars, together with food additives. Scientific evidence shows that the inflammation induced by these foods may trigger depression symptoms and accelerate cognitive function decline. Processed foods lack essential nutrients, so they create deficiencies that negatively affect brain performance.</w:t>
      </w:r>
    </w:p>
    <w:p w14:paraId="1BD6B80D" w14:textId="3C089543"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University students frequently develop patterned eating problems by avoiding breakfast and eating </w:t>
      </w:r>
      <w:r w:rsidR="008E718A" w:rsidRPr="009017A3">
        <w:rPr>
          <w:rFonts w:cs="Times New Roman"/>
          <w:color w:val="000000" w:themeColor="text1"/>
          <w:szCs w:val="24"/>
          <w:highlight w:val="yellow"/>
        </w:rPr>
        <w:t>late-night</w:t>
      </w:r>
      <w:r w:rsidR="008E718A">
        <w:rPr>
          <w:rFonts w:cs="Times New Roman"/>
          <w:color w:val="000000" w:themeColor="text1"/>
          <w:szCs w:val="24"/>
        </w:rPr>
        <w:t xml:space="preserve"> </w:t>
      </w:r>
      <w:r>
        <w:rPr>
          <w:rFonts w:cs="Times New Roman"/>
          <w:color w:val="000000" w:themeColor="text1"/>
          <w:szCs w:val="24"/>
        </w:rPr>
        <w:t xml:space="preserve">meals. Breakfast serves as the fundamental meal of daily life because it enables students to obtain essential nutrients and energy for activating mental processes. Departing from breakfast results in difficulties concentrating, as well as memory problems and worsened academic results. Abnormal eating time patterns result in weakened digestion and metabolic health issues, as well as unwanted weight gain.    </w:t>
      </w:r>
    </w:p>
    <w:p w14:paraId="175F8146" w14:textId="525648F9"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According to research, a large proportion of Indian university students do not follow </w:t>
      </w:r>
      <w:r w:rsidR="008E718A" w:rsidRPr="009017A3">
        <w:rPr>
          <w:rFonts w:cs="Times New Roman"/>
          <w:color w:val="000000" w:themeColor="text1"/>
          <w:szCs w:val="24"/>
          <w:highlight w:val="yellow"/>
        </w:rPr>
        <w:t>the</w:t>
      </w:r>
      <w:r w:rsidR="008E718A">
        <w:rPr>
          <w:rFonts w:cs="Times New Roman"/>
          <w:color w:val="000000" w:themeColor="text1"/>
          <w:szCs w:val="24"/>
        </w:rPr>
        <w:t xml:space="preserve"> </w:t>
      </w:r>
      <w:r>
        <w:rPr>
          <w:rFonts w:cs="Times New Roman"/>
          <w:color w:val="000000" w:themeColor="text1"/>
          <w:szCs w:val="24"/>
        </w:rPr>
        <w:t>suggested nutritional standards. Kumar et al. (2020) found that students commonly consume insufficient amounts of fruits, vegetables, and whole grains, while depending significantly on energy-dense and nutrient-poor meals. This nutritional imbalance can cause a variety of health problems, including micronutrient deficiencies, obesity, and an increased risk of chronic illness.</w:t>
      </w:r>
    </w:p>
    <w:p w14:paraId="45EF16E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Furthermore, cultural traditions, food availability, and economic variables all have a substantial impact on nutritional health in different parts of India. Students in metropolitan locations may have more food alternatives, but they are also more likely to consume unhealthy fast food. Students in rural areas, on the other hand, may experience issues in terms of food availability and pricing, influencing their dietary decisions. Poor nutrition has serious consequences for physical health, </w:t>
      </w:r>
      <w:r>
        <w:rPr>
          <w:rFonts w:cs="Times New Roman"/>
          <w:color w:val="000000" w:themeColor="text1"/>
          <w:szCs w:val="24"/>
        </w:rPr>
        <w:lastRenderedPageBreak/>
        <w:t>academic achievement, and emotional well-being. Improved nutrition education, increased food accessibility on campuses, and awareness campaigns are critical for encouraging university students to make healthier nutritional choices. Addressing these difficulties is critical for raising a healthy generation and enhancing kids' academic and social experiences in India.</w:t>
      </w:r>
    </w:p>
    <w:p w14:paraId="004E3F70"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 Found that </w:t>
      </w:r>
      <w:proofErr w:type="spellStart"/>
      <w:r>
        <w:rPr>
          <w:rFonts w:cs="Times New Roman"/>
          <w:color w:val="000000" w:themeColor="text1"/>
          <w:szCs w:val="24"/>
        </w:rPr>
        <w:t>anaemia</w:t>
      </w:r>
      <w:proofErr w:type="spellEnd"/>
      <w:r>
        <w:rPr>
          <w:rFonts w:cs="Times New Roman"/>
          <w:color w:val="000000" w:themeColor="text1"/>
          <w:szCs w:val="24"/>
        </w:rPr>
        <w:t xml:space="preserve"> affects the health of an individual, varying from poor scholastic performance and cognitive impairment to even causing maternal mortalities. The young age period is a formative year in the life of an individual and a crucial period for undertaking greater responsibilities, including decisions for study, to earn a livelihood, and healthy, responsible parenthood. </w:t>
      </w:r>
    </w:p>
    <w:p w14:paraId="54E462E9" w14:textId="77777777" w:rsidR="00215A7C" w:rsidRDefault="0017202F">
      <w:pPr>
        <w:spacing w:after="0" w:line="480" w:lineRule="auto"/>
        <w:rPr>
          <w:rFonts w:cs="Times New Roman"/>
          <w:color w:val="000000" w:themeColor="text1"/>
          <w:szCs w:val="24"/>
        </w:rPr>
      </w:pPr>
      <w:r>
        <w:rPr>
          <w:rFonts w:eastAsia="SimSun" w:cs="Times New Roman"/>
          <w:color w:val="000000" w:themeColor="text1"/>
          <w:kern w:val="0"/>
          <w:szCs w:val="24"/>
          <w:lang w:eastAsia="zh-CN" w:bidi="ar"/>
        </w:rPr>
        <w:t xml:space="preserve">The prevalence of overweight and obesity has increased in many countries. It is due to the consumption of junk food, which is High in oil and sodium. It is also well-cited in the literature that obese individuals are more prone to psychosocial problems, such as more stress, loneliness, and a decrease in self-confidence. (Neumark S., 2007) </w:t>
      </w:r>
    </w:p>
    <w:p w14:paraId="58B35977" w14:textId="30530B79" w:rsidR="00215A7C" w:rsidRDefault="0017202F">
      <w:pPr>
        <w:spacing w:after="0" w:line="480" w:lineRule="auto"/>
        <w:rPr>
          <w:rFonts w:cs="Times New Roman"/>
          <w:color w:val="000000" w:themeColor="text1"/>
          <w:szCs w:val="24"/>
        </w:rPr>
      </w:pPr>
      <w:r>
        <w:rPr>
          <w:rFonts w:eastAsia="SimSun" w:cs="Times New Roman"/>
          <w:color w:val="000000" w:themeColor="text1"/>
          <w:kern w:val="0"/>
          <w:szCs w:val="24"/>
          <w:lang w:eastAsia="zh-CN" w:bidi="ar"/>
        </w:rPr>
        <w:t xml:space="preserve">Malnutrition is a state resulting from a deficiency or wrong </w:t>
      </w:r>
      <w:r w:rsidR="008E718A" w:rsidRPr="009017A3">
        <w:rPr>
          <w:rFonts w:eastAsia="SimSun" w:cs="Times New Roman"/>
          <w:color w:val="000000" w:themeColor="text1"/>
          <w:kern w:val="0"/>
          <w:szCs w:val="24"/>
          <w:highlight w:val="yellow"/>
          <w:lang w:eastAsia="zh-CN" w:bidi="ar"/>
        </w:rPr>
        <w:t>imbalance</w:t>
      </w:r>
      <w:r w:rsidR="008E718A">
        <w:rPr>
          <w:rFonts w:eastAsia="SimSun" w:cs="Times New Roman"/>
          <w:color w:val="000000" w:themeColor="text1"/>
          <w:kern w:val="0"/>
          <w:szCs w:val="24"/>
          <w:lang w:eastAsia="zh-CN" w:bidi="ar"/>
        </w:rPr>
        <w:t xml:space="preserve"> </w:t>
      </w:r>
      <w:r>
        <w:rPr>
          <w:rFonts w:eastAsia="SimSun" w:cs="Times New Roman"/>
          <w:color w:val="000000" w:themeColor="text1"/>
          <w:kern w:val="0"/>
          <w:szCs w:val="24"/>
          <w:lang w:eastAsia="zh-CN" w:bidi="ar"/>
        </w:rPr>
        <w:t>of essential nutrients. Comoros college students are malnourished, thus violating their human rights and are more likely to have low capacity for studies, poorer health, due to an unhealthy diet, which will cause chronic diseases. The malnutrition of the college population in Comoros is not only due to socio-economic factors but also to the consumption of more junk food, as more of them eat outside their home due to a lack of time.</w:t>
      </w:r>
      <w:r>
        <w:rPr>
          <w:rFonts w:cs="Times New Roman"/>
          <w:color w:val="000000" w:themeColor="text1"/>
          <w:szCs w:val="24"/>
        </w:rPr>
        <w:t xml:space="preserve"> </w:t>
      </w:r>
    </w:p>
    <w:p w14:paraId="737C03C4" w14:textId="77777777" w:rsidR="00215A7C" w:rsidRDefault="0017202F">
      <w:pPr>
        <w:rPr>
          <w:b/>
          <w:bCs/>
        </w:rPr>
      </w:pPr>
      <w:r>
        <w:rPr>
          <w:b/>
          <w:bCs/>
        </w:rPr>
        <w:t>Micronutrient Deficiencies</w:t>
      </w:r>
    </w:p>
    <w:p w14:paraId="77A978BA" w14:textId="7CEBFC84"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Micronutrient deficiencies are widespread among university students. Iron deficiency </w:t>
      </w:r>
      <w:proofErr w:type="spellStart"/>
      <w:r w:rsidR="008E718A" w:rsidRPr="009017A3">
        <w:rPr>
          <w:rFonts w:cs="Times New Roman"/>
          <w:color w:val="000000" w:themeColor="text1"/>
          <w:szCs w:val="24"/>
          <w:highlight w:val="yellow"/>
        </w:rPr>
        <w:t>anaemia</w:t>
      </w:r>
      <w:proofErr w:type="spellEnd"/>
      <w:r w:rsidR="008E718A">
        <w:rPr>
          <w:rFonts w:cs="Times New Roman"/>
          <w:color w:val="000000" w:themeColor="text1"/>
          <w:szCs w:val="24"/>
        </w:rPr>
        <w:t xml:space="preserve"> </w:t>
      </w:r>
      <w:r>
        <w:rPr>
          <w:rFonts w:cs="Times New Roman"/>
          <w:color w:val="000000" w:themeColor="text1"/>
          <w:szCs w:val="24"/>
        </w:rPr>
        <w:t xml:space="preserve">is especially prominent among female students, affecting up to 53% as per the National Family Health Survey (NFHS-5). This is a major cause of fatigue, poor academic performance, and low </w:t>
      </w:r>
      <w:r>
        <w:rPr>
          <w:rFonts w:cs="Times New Roman"/>
          <w:color w:val="000000" w:themeColor="text1"/>
          <w:szCs w:val="24"/>
        </w:rPr>
        <w:lastRenderedPageBreak/>
        <w:t xml:space="preserve">immunity. Vitamin B12 and calcium deficiencies are also frequently observed, particularly in vegetarian students or those with poor-quality diets, leading to long-term complications such as bone weakness and neurological symptoms. </w:t>
      </w:r>
      <w:r>
        <w:rPr>
          <w:rFonts w:cs="Times New Roman"/>
        </w:rPr>
        <w:t>(Singh et al., 2021).</w:t>
      </w:r>
    </w:p>
    <w:p w14:paraId="3B896198" w14:textId="77777777" w:rsidR="00215A7C" w:rsidRDefault="0017202F">
      <w:pPr>
        <w:spacing w:after="0" w:line="480" w:lineRule="auto"/>
        <w:rPr>
          <w:rFonts w:cs="Times New Roman"/>
          <w:color w:val="000000" w:themeColor="text1"/>
          <w:szCs w:val="24"/>
        </w:rPr>
      </w:pPr>
      <w:r>
        <w:rPr>
          <w:b/>
          <w:bCs/>
        </w:rPr>
        <w:t>Dietary Habits and Lifestyle Factors</w:t>
      </w:r>
      <w:r>
        <w:rPr>
          <w:rStyle w:val="Strong"/>
          <w:rFonts w:cs="Times New Roman"/>
          <w:color w:val="000000" w:themeColor="text1"/>
          <w:szCs w:val="24"/>
        </w:rPr>
        <w:t xml:space="preserve"> </w:t>
      </w:r>
      <w:r>
        <w:rPr>
          <w:rStyle w:val="Strong"/>
          <w:rFonts w:cs="Times New Roman"/>
          <w:b w:val="0"/>
          <w:bCs w:val="0"/>
          <w:color w:val="000000" w:themeColor="text1"/>
          <w:szCs w:val="24"/>
        </w:rPr>
        <w:t xml:space="preserve">  </w:t>
      </w:r>
    </w:p>
    <w:p w14:paraId="2071DEF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The dietary habits of students reflect a major shift towards convenience foods. Studies have shown that students skip breakfast multiple times a week and consume fast food more than three times weekly. Fresh fruit and vegetable intake remains alarmingly low. In terms of lifestyle, physical inactivity is a pressing concern-over 55% of students do not meet the minimum recommended 150 minutes of physical activity per week. Coupled with high levels of screen time and poor sleep quality, these factors contribute to declining overall health and increased risk of chronic diseases in the long term.      </w:t>
      </w:r>
    </w:p>
    <w:p w14:paraId="4B833592" w14:textId="77777777" w:rsidR="00215A7C" w:rsidRDefault="0017202F">
      <w:pPr>
        <w:rPr>
          <w:b/>
          <w:bCs/>
        </w:rPr>
      </w:pPr>
      <w:bookmarkStart w:id="4" w:name="_Toc179162498"/>
      <w:r>
        <w:rPr>
          <w:b/>
          <w:bCs/>
        </w:rPr>
        <w:t>Impact of Lower Nutrition on University Students</w:t>
      </w:r>
      <w:bookmarkEnd w:id="4"/>
      <w:r>
        <w:rPr>
          <w:b/>
          <w:bCs/>
        </w:rPr>
        <w:t xml:space="preserve"> </w:t>
      </w:r>
    </w:p>
    <w:p w14:paraId="03AAF058"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Low nutritional intake among university students can have serious consequences for their physical health, emotional well-being, and academic performance. Inadequate diet frequently causes deficits in important vitamins and minerals, which can affect immune function and increase susceptibility to diseases. This is especially troubling in a university context, where high levels of stress and communal living can worsen health problems. According to research, students with poor eating habits are more likely to feel weariness, weakness, and other physical illnesses, which might impair their ability to participate in everyday activities and maintain an active lifestyle. Furthermore, poor nutrition is strongly connected to mental health issues. Inadequate nutritional intake can lead to mood disorders, anxiety, and sadness, reducing pupils' emotional resilience and cognitive functioning. A well-balanced, nutrient-dense diet is required for healthy brain function, including memory, focus, and problem-solving ability. As a result, students with poor nutrition </w:t>
      </w:r>
      <w:r>
        <w:rPr>
          <w:rFonts w:cs="Times New Roman"/>
          <w:color w:val="000000" w:themeColor="text1"/>
          <w:szCs w:val="24"/>
        </w:rPr>
        <w:lastRenderedPageBreak/>
        <w:t>may struggle to focus on their studies, resulting in worse academic performance and general unhappiness with their educational experience.</w:t>
      </w:r>
    </w:p>
    <w:p w14:paraId="4FD30C53"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Inadequate nutrition can have serious long-term ramifications in addition to its acute health effects. Poor food habits during university can pave the way for chronic disorders, including obesity, diabetes, and cardiovascular disease in adulthood.  As a result, tackling the issue of poor nutrition is critical for enhancing university students' health and well-being, encouraging better academic performance, and guaranteeing a healthier future generation. Targeted nutritional treatments and education can help kids make better choices, therefore improving their overall quality of life.</w:t>
      </w:r>
    </w:p>
    <w:p w14:paraId="6E8CBA5F" w14:textId="77777777" w:rsidR="00215A7C" w:rsidRDefault="0017202F">
      <w:pPr>
        <w:rPr>
          <w:b/>
          <w:bCs/>
        </w:rPr>
      </w:pPr>
      <w:r>
        <w:rPr>
          <w:b/>
          <w:bCs/>
        </w:rPr>
        <w:t xml:space="preserve">CONCLUSION </w:t>
      </w:r>
    </w:p>
    <w:p w14:paraId="27D6AFC5"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t xml:space="preserve">The association between nutrition and mental health among university students is an emerging study topic, as the move to higher education is frequently accompanied by considerable lifestyle changes that might have an influence on psychological well-being. Nutrition has a significant impact on brain function and emotional control. A well-balanced diet rich in key nutrients is critical for sustaining mental health, since vitamin, mineral, and omega-3 fatty acid shortages can cause mood disorders, anxiety, and depression. According to research, students who eat a lot of processed foods and sweets are more likely to experience stress, anxiety, and depression symptoms. Firth et al. (2020) discovered that pupils with diets deficient in fruits, vegetables, and whole grains had lower mental health outcomes than those who ate a more balanced diet. Consuming omega-3 fatty acids, which are found in fish, nuts, and seeds, has been related to enhanced mood and cognitive performance. In contrast, diets heavy in refined carbohydrates and unhealthy fats can cause inflammation and oxidative stress, both of which have been linked to the development of mental health difficulties. </w:t>
      </w:r>
    </w:p>
    <w:p w14:paraId="7221E9B6" w14:textId="77777777" w:rsidR="00215A7C" w:rsidRDefault="0017202F">
      <w:pPr>
        <w:spacing w:after="0" w:line="480" w:lineRule="auto"/>
        <w:rPr>
          <w:rFonts w:cs="Times New Roman"/>
          <w:color w:val="000000" w:themeColor="text1"/>
          <w:szCs w:val="24"/>
        </w:rPr>
      </w:pPr>
      <w:r>
        <w:rPr>
          <w:rFonts w:cs="Times New Roman"/>
          <w:color w:val="000000" w:themeColor="text1"/>
          <w:szCs w:val="24"/>
        </w:rPr>
        <w:lastRenderedPageBreak/>
        <w:t xml:space="preserve">Furthermore, the stresses of university life, such as scholastic responsibilities and social obstacles, can worsen unhealthy eating habits. During stressful times, students frequently turn to easy, energy-dense meals with little nutritional value, perpetuating a cycle of poor eating and declining mental health. The impact of peer influence and societal standards on food choices cannot be disregarded, as students may feel obliged to adhere to their friends' dietary habits, perpetuating harmful eating patterns. </w:t>
      </w:r>
    </w:p>
    <w:p w14:paraId="1A0FE075" w14:textId="616CFEDE" w:rsidR="00215A7C" w:rsidRDefault="0017202F">
      <w:pPr>
        <w:spacing w:after="0" w:line="480" w:lineRule="auto"/>
        <w:rPr>
          <w:rFonts w:cs="Times New Roman"/>
          <w:color w:val="000000" w:themeColor="text1"/>
          <w:szCs w:val="24"/>
        </w:rPr>
      </w:pPr>
      <w:r>
        <w:rPr>
          <w:rFonts w:cs="Times New Roman"/>
          <w:color w:val="000000" w:themeColor="text1"/>
          <w:szCs w:val="24"/>
        </w:rPr>
        <w:t>The relationship between diet and mental health among university students is complex and multifaceted, underscoring the importance of nutrition in fostering psychological well-being. A balanced diet rich in essential nutrients is crucial for maintaining optimal brain function and emotional health. As students face various stressors during their academic journey, promoting healthy eating habits can serve as a protective factor against mental health issues. Educational interventions and supportive campus environments that encourage nutritious dietary choices are essential for improving students' mental health and overall quality of life. By addressing dietary habits, universities can contribute to a healthier and more resilient student population, ultimately enhancing academic performance and personal well-being.</w:t>
      </w:r>
      <w:bookmarkStart w:id="5" w:name="_Toc179162501"/>
      <w:r>
        <w:rPr>
          <w:rFonts w:cs="Times New Roman"/>
          <w:color w:val="000000" w:themeColor="text1"/>
          <w:szCs w:val="24"/>
        </w:rPr>
        <w:t xml:space="preserve"> </w:t>
      </w:r>
    </w:p>
    <w:p w14:paraId="2D7A6A09" w14:textId="50FC1FE1" w:rsidR="009870B4" w:rsidRDefault="009870B4">
      <w:pPr>
        <w:spacing w:after="0" w:line="480" w:lineRule="auto"/>
        <w:rPr>
          <w:rFonts w:cs="Times New Roman"/>
          <w:color w:val="000000" w:themeColor="text1"/>
          <w:szCs w:val="24"/>
        </w:rPr>
      </w:pPr>
    </w:p>
    <w:p w14:paraId="735FD3D3" w14:textId="7A20E076" w:rsidR="009870B4" w:rsidRDefault="009870B4">
      <w:pPr>
        <w:spacing w:after="0" w:line="480" w:lineRule="auto"/>
        <w:rPr>
          <w:rFonts w:cs="Times New Roman"/>
          <w:color w:val="000000" w:themeColor="text1"/>
          <w:szCs w:val="24"/>
        </w:rPr>
      </w:pPr>
    </w:p>
    <w:p w14:paraId="49C9D508" w14:textId="77777777" w:rsidR="009870B4" w:rsidRPr="009C5487" w:rsidRDefault="009870B4" w:rsidP="009870B4">
      <w:pPr>
        <w:rPr>
          <w:rFonts w:ascii="Calibri" w:eastAsia="Calibri" w:hAnsi="Calibri" w:cs="Times New Roman"/>
          <w:highlight w:val="yellow"/>
        </w:rPr>
      </w:pPr>
      <w:bookmarkStart w:id="6" w:name="_Hlk197682619"/>
      <w:bookmarkStart w:id="7" w:name="_Hlk180402183"/>
      <w:bookmarkStart w:id="8" w:name="_Hlk183680988"/>
      <w:r w:rsidRPr="009C5487">
        <w:rPr>
          <w:rFonts w:ascii="Calibri" w:eastAsia="Calibri" w:hAnsi="Calibri" w:cs="Times New Roman"/>
          <w:highlight w:val="yellow"/>
        </w:rPr>
        <w:t>Disclaimer (Artificial intelligence)</w:t>
      </w:r>
    </w:p>
    <w:p w14:paraId="5EFE6906"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10FF234"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3BCBABBA"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F87DB8F"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FEC062"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6D275BB8"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1.</w:t>
      </w:r>
    </w:p>
    <w:p w14:paraId="19F6A62B" w14:textId="77777777" w:rsidR="009870B4" w:rsidRPr="009C5487" w:rsidRDefault="009870B4" w:rsidP="009870B4">
      <w:pPr>
        <w:rPr>
          <w:rFonts w:ascii="Calibri" w:eastAsia="Calibri" w:hAnsi="Calibri" w:cs="Times New Roman"/>
          <w:highlight w:val="yellow"/>
        </w:rPr>
      </w:pPr>
      <w:r w:rsidRPr="009C5487">
        <w:rPr>
          <w:rFonts w:ascii="Calibri" w:eastAsia="Calibri" w:hAnsi="Calibri" w:cs="Times New Roman"/>
          <w:highlight w:val="yellow"/>
        </w:rPr>
        <w:t>2.</w:t>
      </w:r>
    </w:p>
    <w:p w14:paraId="26519112" w14:textId="77777777" w:rsidR="009870B4" w:rsidRPr="009C5487" w:rsidRDefault="009870B4" w:rsidP="009870B4">
      <w:pPr>
        <w:rPr>
          <w:rFonts w:ascii="Calibri" w:eastAsia="Calibri" w:hAnsi="Calibri" w:cs="Times New Roman"/>
        </w:rPr>
      </w:pPr>
      <w:bookmarkStart w:id="9" w:name="_Hlk197682629"/>
      <w:bookmarkEnd w:id="6"/>
      <w:r w:rsidRPr="009C5487">
        <w:rPr>
          <w:rFonts w:ascii="Calibri" w:eastAsia="Calibri" w:hAnsi="Calibri" w:cs="Times New Roman"/>
          <w:highlight w:val="yellow"/>
        </w:rPr>
        <w:t>3.</w:t>
      </w:r>
    </w:p>
    <w:bookmarkEnd w:id="7"/>
    <w:bookmarkEnd w:id="8"/>
    <w:bookmarkEnd w:id="9"/>
    <w:p w14:paraId="5A4FFDD6" w14:textId="77777777" w:rsidR="009870B4" w:rsidRDefault="009870B4">
      <w:pPr>
        <w:spacing w:after="0" w:line="480" w:lineRule="auto"/>
        <w:rPr>
          <w:rFonts w:cs="Times New Roman"/>
          <w:color w:val="000000" w:themeColor="text1"/>
          <w:szCs w:val="24"/>
        </w:rPr>
      </w:pPr>
    </w:p>
    <w:p w14:paraId="6E22AD5C" w14:textId="77777777" w:rsidR="00215A7C" w:rsidRDefault="00215A7C">
      <w:pPr>
        <w:spacing w:after="0" w:line="480" w:lineRule="auto"/>
        <w:rPr>
          <w:rFonts w:cs="Times New Roman"/>
          <w:color w:val="000000" w:themeColor="text1"/>
          <w:szCs w:val="24"/>
        </w:rPr>
      </w:pPr>
    </w:p>
    <w:p w14:paraId="43619FDA" w14:textId="77777777" w:rsidR="00215A7C" w:rsidRDefault="00215A7C">
      <w:pPr>
        <w:spacing w:after="0" w:line="480" w:lineRule="auto"/>
        <w:rPr>
          <w:rFonts w:cs="Times New Roman"/>
          <w:color w:val="000000" w:themeColor="text1"/>
          <w:szCs w:val="24"/>
        </w:rPr>
      </w:pPr>
    </w:p>
    <w:bookmarkEnd w:id="5"/>
    <w:p w14:paraId="133E4ABC" w14:textId="31265420" w:rsidR="00215A7C" w:rsidRDefault="00CB3E29">
      <w:pPr>
        <w:spacing w:after="0" w:line="480" w:lineRule="auto"/>
        <w:rPr>
          <w:rFonts w:cs="Times New Roman"/>
          <w:b/>
          <w:bCs/>
          <w:color w:val="000000" w:themeColor="text1"/>
          <w:szCs w:val="24"/>
        </w:rPr>
      </w:pPr>
      <w:r>
        <w:rPr>
          <w:rFonts w:cs="Times New Roman"/>
          <w:b/>
          <w:bCs/>
          <w:color w:val="000000" w:themeColor="text1"/>
          <w:szCs w:val="24"/>
        </w:rPr>
        <w:t xml:space="preserve">References </w:t>
      </w:r>
    </w:p>
    <w:p w14:paraId="57C5CE49" w14:textId="77777777" w:rsidR="00215A7C" w:rsidRDefault="0017202F">
      <w:pPr>
        <w:numPr>
          <w:ilvl w:val="0"/>
          <w:numId w:val="3"/>
        </w:numPr>
        <w:spacing w:line="480" w:lineRule="auto"/>
        <w:rPr>
          <w:rFonts w:cs="Times New Roman"/>
          <w:szCs w:val="24"/>
        </w:rPr>
      </w:pPr>
      <w:r>
        <w:rPr>
          <w:rFonts w:cs="Times New Roman"/>
          <w:szCs w:val="24"/>
        </w:rPr>
        <w:t xml:space="preserve">Ahlgren, A., Wåhlin, C., &amp; Ekelund, U. (2019). The role of self-efficacy in dietary behavior among university students: A cross-sectional study. Nutrition Journal, 18(1), Article 14. </w:t>
      </w:r>
      <w:hyperlink r:id="rId7" w:tgtFrame="_new" w:history="1">
        <w:r>
          <w:rPr>
            <w:rStyle w:val="Hyperlink"/>
            <w:rFonts w:cs="Times New Roman"/>
            <w:szCs w:val="24"/>
          </w:rPr>
          <w:t>https://doi.org/10.1186/s12937-019-0432-0</w:t>
        </w:r>
      </w:hyperlink>
    </w:p>
    <w:p w14:paraId="5A87A501" w14:textId="77777777" w:rsidR="00215A7C" w:rsidRDefault="0017202F">
      <w:pPr>
        <w:numPr>
          <w:ilvl w:val="0"/>
          <w:numId w:val="3"/>
        </w:numPr>
        <w:spacing w:line="480" w:lineRule="auto"/>
        <w:rPr>
          <w:rFonts w:cs="Times New Roman"/>
          <w:szCs w:val="24"/>
        </w:rPr>
      </w:pPr>
      <w:r>
        <w:rPr>
          <w:rFonts w:cs="Times New Roman"/>
          <w:szCs w:val="24"/>
        </w:rPr>
        <w:t>Bandura, A. (1997). Self-efficacy: The exercise of control. W. H. Freeman.</w:t>
      </w:r>
    </w:p>
    <w:p w14:paraId="20D1F314" w14:textId="77777777" w:rsidR="00215A7C" w:rsidRDefault="0017202F">
      <w:pPr>
        <w:numPr>
          <w:ilvl w:val="0"/>
          <w:numId w:val="3"/>
        </w:numPr>
        <w:spacing w:line="480" w:lineRule="auto"/>
        <w:rPr>
          <w:rFonts w:cs="Times New Roman"/>
          <w:szCs w:val="24"/>
        </w:rPr>
      </w:pPr>
      <w:r>
        <w:rPr>
          <w:rFonts w:cs="Times New Roman"/>
          <w:szCs w:val="24"/>
        </w:rPr>
        <w:t>Basu, S., Sharma, R., &amp; Gupta, P. (2023). Calorie and protein deficiencies among urban university students: A cross-sectional analysis. Indian Journal of Community Nutrition, 28(1), 42–49.</w:t>
      </w:r>
    </w:p>
    <w:p w14:paraId="31670655" w14:textId="77777777" w:rsidR="00215A7C" w:rsidRDefault="0017202F">
      <w:pPr>
        <w:numPr>
          <w:ilvl w:val="0"/>
          <w:numId w:val="3"/>
        </w:numPr>
        <w:spacing w:line="480" w:lineRule="auto"/>
        <w:rPr>
          <w:rFonts w:cs="Times New Roman"/>
          <w:szCs w:val="24"/>
        </w:rPr>
      </w:pPr>
      <w:proofErr w:type="spellStart"/>
      <w:r>
        <w:rPr>
          <w:rFonts w:cs="Times New Roman"/>
          <w:szCs w:val="24"/>
        </w:rPr>
        <w:t>Begashaw</w:t>
      </w:r>
      <w:proofErr w:type="spellEnd"/>
      <w:r>
        <w:rPr>
          <w:rFonts w:cs="Times New Roman"/>
          <w:szCs w:val="24"/>
        </w:rPr>
        <w:t>, B., Pal, A., &amp; Mandal, R. (2021). Nutritional status and associated factors among university students in Eastern India. Asian Journal of Clinical Nutrition, 13(1), 22–30.</w:t>
      </w:r>
    </w:p>
    <w:p w14:paraId="586AA9F8" w14:textId="77777777" w:rsidR="00215A7C" w:rsidRDefault="0017202F">
      <w:pPr>
        <w:numPr>
          <w:ilvl w:val="0"/>
          <w:numId w:val="3"/>
        </w:numPr>
        <w:spacing w:line="480" w:lineRule="auto"/>
        <w:rPr>
          <w:rFonts w:cs="Times New Roman"/>
          <w:szCs w:val="24"/>
        </w:rPr>
      </w:pPr>
      <w:r>
        <w:rPr>
          <w:rFonts w:cs="Times New Roman"/>
          <w:szCs w:val="24"/>
        </w:rPr>
        <w:t>Desai, R., Patel, N., &amp; Shah, M. (2021). Dietary inadequacies and awareness among university students in Western India. Journal of Clinical Nutrition &amp; Dietetics, 7(4), 87–94.</w:t>
      </w:r>
    </w:p>
    <w:p w14:paraId="0F0766B0" w14:textId="77777777" w:rsidR="00215A7C" w:rsidRDefault="0017202F">
      <w:pPr>
        <w:numPr>
          <w:ilvl w:val="0"/>
          <w:numId w:val="3"/>
        </w:numPr>
        <w:spacing w:line="480" w:lineRule="auto"/>
        <w:rPr>
          <w:rFonts w:cs="Times New Roman"/>
          <w:szCs w:val="24"/>
        </w:rPr>
      </w:pPr>
      <w:r>
        <w:rPr>
          <w:rFonts w:cs="Times New Roman"/>
          <w:szCs w:val="24"/>
        </w:rPr>
        <w:lastRenderedPageBreak/>
        <w:t xml:space="preserve">Firth, J., Carney, R., Curtis, J., &amp; Gaughran, F. (2020). Food, mood, and mental health: A systematic review of the evidence. Psychological Medicine, 50(6), 1053–1064. </w:t>
      </w:r>
      <w:hyperlink r:id="rId8" w:tgtFrame="_new" w:history="1">
        <w:r>
          <w:rPr>
            <w:rStyle w:val="Hyperlink"/>
            <w:rFonts w:cs="Times New Roman"/>
            <w:szCs w:val="24"/>
          </w:rPr>
          <w:t>https://doi.org/10.1017/S0033291719000478</w:t>
        </w:r>
      </w:hyperlink>
    </w:p>
    <w:p w14:paraId="29FB2E61" w14:textId="77777777" w:rsidR="00215A7C" w:rsidRDefault="0017202F">
      <w:pPr>
        <w:numPr>
          <w:ilvl w:val="0"/>
          <w:numId w:val="3"/>
        </w:numPr>
        <w:spacing w:line="480" w:lineRule="auto"/>
        <w:rPr>
          <w:rFonts w:cs="Times New Roman"/>
          <w:szCs w:val="24"/>
        </w:rPr>
      </w:pPr>
      <w:r>
        <w:rPr>
          <w:rFonts w:cs="Times New Roman"/>
          <w:szCs w:val="24"/>
        </w:rPr>
        <w:t xml:space="preserve">Gupta, R., Kumar, A., &amp; Sharma, R. (2021). Dietary habits and their association with self-efficacy among university students in India. Journal of Health and Nutrition, 9(2), 45–55. </w:t>
      </w:r>
      <w:hyperlink r:id="rId9" w:tgtFrame="_new" w:history="1">
        <w:r>
          <w:rPr>
            <w:rStyle w:val="Hyperlink"/>
            <w:rFonts w:cs="Times New Roman"/>
            <w:szCs w:val="24"/>
          </w:rPr>
          <w:t>https://doi.org/10.1007/s12584-021-00325-6</w:t>
        </w:r>
      </w:hyperlink>
    </w:p>
    <w:p w14:paraId="242EFACF" w14:textId="77777777" w:rsidR="00215A7C" w:rsidRDefault="0017202F">
      <w:pPr>
        <w:numPr>
          <w:ilvl w:val="0"/>
          <w:numId w:val="3"/>
        </w:numPr>
        <w:spacing w:line="480" w:lineRule="auto"/>
        <w:rPr>
          <w:rFonts w:cs="Times New Roman"/>
          <w:szCs w:val="24"/>
        </w:rPr>
      </w:pPr>
      <w:r>
        <w:rPr>
          <w:rFonts w:cs="Times New Roman"/>
          <w:szCs w:val="24"/>
        </w:rPr>
        <w:t>Jain, S., Narayan, R., &amp; Rao, V. (2023). Impact of nutrition education on dietary practices among South Indian university students. Journal of Nutrition Education and Behavior, 55(2), 115–122.</w:t>
      </w:r>
    </w:p>
    <w:p w14:paraId="39589A30" w14:textId="77777777" w:rsidR="00215A7C" w:rsidRDefault="0017202F">
      <w:pPr>
        <w:numPr>
          <w:ilvl w:val="0"/>
          <w:numId w:val="3"/>
        </w:numPr>
        <w:spacing w:line="480" w:lineRule="auto"/>
        <w:rPr>
          <w:rFonts w:cs="Times New Roman"/>
          <w:szCs w:val="24"/>
        </w:rPr>
      </w:pPr>
      <w:r>
        <w:rPr>
          <w:rFonts w:cs="Times New Roman"/>
          <w:szCs w:val="24"/>
        </w:rPr>
        <w:t xml:space="preserve">Jain, V., Singh, R., &amp; Verma, S. (2023). Effect of nutrition education on dietary habits and self-efficacy among university students: A randomized controlled trial. Indian Journal of Community Medicine, 48(1), 15–21. </w:t>
      </w:r>
      <w:hyperlink r:id="rId10" w:tgtFrame="_new" w:history="1">
        <w:r>
          <w:rPr>
            <w:rStyle w:val="Hyperlink"/>
            <w:rFonts w:cs="Times New Roman"/>
            <w:szCs w:val="24"/>
          </w:rPr>
          <w:t>https://doi.org/10.4103/ijcm.IJCM_123_22</w:t>
        </w:r>
      </w:hyperlink>
    </w:p>
    <w:p w14:paraId="171FE5C0" w14:textId="77777777" w:rsidR="00215A7C" w:rsidRDefault="0017202F">
      <w:pPr>
        <w:numPr>
          <w:ilvl w:val="0"/>
          <w:numId w:val="3"/>
        </w:numPr>
        <w:spacing w:line="480" w:lineRule="auto"/>
        <w:rPr>
          <w:rFonts w:cs="Times New Roman"/>
          <w:szCs w:val="24"/>
        </w:rPr>
      </w:pPr>
      <w:r>
        <w:rPr>
          <w:rFonts w:cs="Times New Roman"/>
          <w:szCs w:val="24"/>
        </w:rPr>
        <w:t>Kumar, A., Ayub, A., Roy, R., Rai, A., Ameta, B., Latheef, A., &amp; Kumar, P. (2020). Assessment of diet diversity and eating pattern of undergraduate students: A pan-India study.</w:t>
      </w:r>
    </w:p>
    <w:p w14:paraId="3DBDC713" w14:textId="77777777" w:rsidR="00215A7C" w:rsidRDefault="0017202F">
      <w:pPr>
        <w:numPr>
          <w:ilvl w:val="0"/>
          <w:numId w:val="3"/>
        </w:numPr>
        <w:spacing w:line="480" w:lineRule="auto"/>
        <w:rPr>
          <w:rFonts w:cs="Times New Roman"/>
          <w:szCs w:val="24"/>
        </w:rPr>
      </w:pPr>
      <w:r>
        <w:rPr>
          <w:rFonts w:cs="Times New Roman"/>
          <w:szCs w:val="24"/>
        </w:rPr>
        <w:t>Kumar, A., Singh, R., &amp; Yadav, M. (2020). Dietary behavior and nutritional risk among college students in North India. Journal of Health and Allied Sciences, 15(3), 201–207.</w:t>
      </w:r>
    </w:p>
    <w:p w14:paraId="348AF2F4" w14:textId="77777777" w:rsidR="00215A7C" w:rsidRDefault="0017202F">
      <w:pPr>
        <w:numPr>
          <w:ilvl w:val="0"/>
          <w:numId w:val="3"/>
        </w:numPr>
        <w:spacing w:line="480" w:lineRule="auto"/>
        <w:rPr>
          <w:rFonts w:cs="Times New Roman"/>
          <w:szCs w:val="24"/>
        </w:rPr>
      </w:pPr>
      <w:r>
        <w:rPr>
          <w:rFonts w:cs="Times New Roman"/>
          <w:szCs w:val="24"/>
        </w:rPr>
        <w:t xml:space="preserve">Kumar, P., Kumar, S., &amp; Bhatt, S. (2020). Nutritional status and dietary practices among university students in India: A cross-sectional study. Journal of Nutrition &amp; Intermediary Metabolism, 27, 61–67. </w:t>
      </w:r>
      <w:hyperlink r:id="rId11" w:tgtFrame="_new" w:history="1">
        <w:r>
          <w:rPr>
            <w:rStyle w:val="Hyperlink"/>
            <w:rFonts w:cs="Times New Roman"/>
            <w:szCs w:val="24"/>
          </w:rPr>
          <w:t>https://doi.org/10.1016/j.jnim.2020.10.005</w:t>
        </w:r>
      </w:hyperlink>
    </w:p>
    <w:p w14:paraId="51974651" w14:textId="77777777" w:rsidR="00215A7C" w:rsidRDefault="0017202F">
      <w:pPr>
        <w:numPr>
          <w:ilvl w:val="0"/>
          <w:numId w:val="3"/>
        </w:numPr>
        <w:spacing w:line="480" w:lineRule="auto"/>
        <w:rPr>
          <w:rFonts w:cs="Times New Roman"/>
          <w:szCs w:val="24"/>
        </w:rPr>
      </w:pPr>
      <w:r>
        <w:rPr>
          <w:rFonts w:cs="Times New Roman"/>
          <w:szCs w:val="24"/>
        </w:rPr>
        <w:t>Mishra, A., &amp; Pal, S. (2022). Lifestyle and nutritional health among college youth in Eastern India. Health Promotion Perspectives, 12(3), 321–329.</w:t>
      </w:r>
    </w:p>
    <w:p w14:paraId="33717CCD" w14:textId="77777777" w:rsidR="00215A7C" w:rsidRDefault="0017202F">
      <w:pPr>
        <w:numPr>
          <w:ilvl w:val="0"/>
          <w:numId w:val="3"/>
        </w:numPr>
        <w:spacing w:line="480" w:lineRule="auto"/>
        <w:rPr>
          <w:rFonts w:cs="Times New Roman"/>
          <w:szCs w:val="24"/>
        </w:rPr>
      </w:pPr>
      <w:proofErr w:type="spellStart"/>
      <w:r>
        <w:rPr>
          <w:rFonts w:cs="Times New Roman"/>
          <w:szCs w:val="24"/>
        </w:rPr>
        <w:lastRenderedPageBreak/>
        <w:t>Namvarasl</w:t>
      </w:r>
      <w:proofErr w:type="spellEnd"/>
      <w:r>
        <w:rPr>
          <w:rFonts w:cs="Times New Roman"/>
          <w:szCs w:val="24"/>
        </w:rPr>
        <w:t>, N., &amp; Chakravarty, I. (2018). Assessment of nutritional status of college students in North India. International Journal of Nutrition and Public Health, 5(2), 78–84.</w:t>
      </w:r>
    </w:p>
    <w:p w14:paraId="23CD831D" w14:textId="77777777" w:rsidR="00215A7C" w:rsidRDefault="0017202F">
      <w:pPr>
        <w:numPr>
          <w:ilvl w:val="0"/>
          <w:numId w:val="3"/>
        </w:numPr>
        <w:spacing w:line="480" w:lineRule="auto"/>
        <w:rPr>
          <w:rFonts w:cs="Times New Roman"/>
          <w:szCs w:val="24"/>
        </w:rPr>
      </w:pPr>
      <w:proofErr w:type="spellStart"/>
      <w:r>
        <w:rPr>
          <w:rFonts w:cs="Times New Roman"/>
          <w:szCs w:val="24"/>
        </w:rPr>
        <w:t>Namvarasl</w:t>
      </w:r>
      <w:proofErr w:type="spellEnd"/>
      <w:r>
        <w:rPr>
          <w:rFonts w:cs="Times New Roman"/>
          <w:szCs w:val="24"/>
        </w:rPr>
        <w:t>, B., &amp; Chakravarty, A. (2018). Assessment of nutritional status among young adults in Varanasi, India. International Journal of Research, Article 14723. (</w:t>
      </w:r>
      <w:proofErr w:type="spellStart"/>
      <w:r>
        <w:rPr>
          <w:rFonts w:cs="Times New Roman"/>
          <w:szCs w:val="24"/>
        </w:rPr>
        <w:t>Epaper</w:t>
      </w:r>
      <w:proofErr w:type="spellEnd"/>
      <w:r>
        <w:rPr>
          <w:rFonts w:cs="Times New Roman"/>
          <w:szCs w:val="24"/>
        </w:rPr>
        <w:t xml:space="preserve"> published under </w:t>
      </w:r>
      <w:proofErr w:type="spellStart"/>
      <w:r>
        <w:rPr>
          <w:rFonts w:cs="Times New Roman"/>
          <w:szCs w:val="24"/>
        </w:rPr>
        <w:t>Edupedia</w:t>
      </w:r>
      <w:proofErr w:type="spellEnd"/>
      <w:r>
        <w:rPr>
          <w:rFonts w:cs="Times New Roman"/>
          <w:szCs w:val="24"/>
        </w:rPr>
        <w:t xml:space="preserve"> Publications, Open Access)</w:t>
      </w:r>
    </w:p>
    <w:p w14:paraId="1E2BC3AF" w14:textId="77777777" w:rsidR="00215A7C" w:rsidRDefault="0017202F">
      <w:pPr>
        <w:numPr>
          <w:ilvl w:val="0"/>
          <w:numId w:val="3"/>
        </w:numPr>
        <w:spacing w:line="480" w:lineRule="auto"/>
        <w:rPr>
          <w:rFonts w:cs="Times New Roman"/>
          <w:szCs w:val="24"/>
        </w:rPr>
      </w:pPr>
      <w:r>
        <w:rPr>
          <w:rFonts w:cs="Times New Roman"/>
          <w:szCs w:val="24"/>
        </w:rPr>
        <w:t>Paul, M., &amp; Reddy, B. (2023). Nutritional vulnerability among tribal youth: A study from Tripura, India. Indian Journal of Tribal Health, 9(1), 51–59.</w:t>
      </w:r>
    </w:p>
    <w:p w14:paraId="0FFEC361" w14:textId="77777777" w:rsidR="00215A7C" w:rsidRDefault="0017202F">
      <w:pPr>
        <w:numPr>
          <w:ilvl w:val="0"/>
          <w:numId w:val="3"/>
        </w:numPr>
        <w:spacing w:line="480" w:lineRule="auto"/>
        <w:rPr>
          <w:rFonts w:cs="Times New Roman"/>
          <w:szCs w:val="24"/>
        </w:rPr>
      </w:pPr>
      <w:r>
        <w:rPr>
          <w:rFonts w:cs="Times New Roman"/>
          <w:szCs w:val="24"/>
        </w:rPr>
        <w:t>Rasoul, A., Trivedi, K., &amp; Mehta, S. (2022). Gender disparities in anemia and dietary intake among youth in Western India. International Journal of Adolescent Health, 14(2), 90–96.</w:t>
      </w:r>
    </w:p>
    <w:p w14:paraId="3B9A198F" w14:textId="77777777" w:rsidR="00215A7C" w:rsidRDefault="0017202F">
      <w:pPr>
        <w:numPr>
          <w:ilvl w:val="0"/>
          <w:numId w:val="3"/>
        </w:numPr>
        <w:spacing w:line="480" w:lineRule="auto"/>
        <w:rPr>
          <w:rFonts w:cs="Times New Roman"/>
          <w:szCs w:val="24"/>
        </w:rPr>
      </w:pPr>
      <w:r>
        <w:rPr>
          <w:rFonts w:cs="Times New Roman"/>
          <w:szCs w:val="24"/>
        </w:rPr>
        <w:t xml:space="preserve">Ritu, G., &amp; Gupta, A. (2014). Vitamin D deficiency in India: Prevalence, casualties and interventions. Nutrition Research and Practice, 8(5), 436–445. </w:t>
      </w:r>
      <w:hyperlink r:id="rId12" w:tgtFrame="_new" w:history="1">
        <w:r>
          <w:rPr>
            <w:rStyle w:val="Hyperlink"/>
            <w:rFonts w:cs="Times New Roman"/>
            <w:szCs w:val="24"/>
          </w:rPr>
          <w:t>https://doi.org/10.4162/nrp.2014.8.5.436</w:t>
        </w:r>
      </w:hyperlink>
    </w:p>
    <w:p w14:paraId="21D35B11" w14:textId="77777777" w:rsidR="00215A7C" w:rsidRDefault="0017202F">
      <w:pPr>
        <w:numPr>
          <w:ilvl w:val="0"/>
          <w:numId w:val="3"/>
        </w:numPr>
        <w:spacing w:line="480" w:lineRule="auto"/>
        <w:rPr>
          <w:rFonts w:cs="Times New Roman"/>
          <w:szCs w:val="24"/>
        </w:rPr>
      </w:pPr>
      <w:r>
        <w:rPr>
          <w:rFonts w:cs="Times New Roman"/>
          <w:szCs w:val="24"/>
        </w:rPr>
        <w:t>Sharma, K., Bhatt, R., &amp; Dixit, V. (2020). Junk food consumption and obesity trends among college students in Western India. Global Journal of Health Science, 12(6), 118–125.</w:t>
      </w:r>
    </w:p>
    <w:p w14:paraId="44596607" w14:textId="77777777" w:rsidR="00215A7C" w:rsidRDefault="0017202F">
      <w:pPr>
        <w:numPr>
          <w:ilvl w:val="0"/>
          <w:numId w:val="3"/>
        </w:numPr>
        <w:spacing w:line="480" w:lineRule="auto"/>
        <w:rPr>
          <w:rFonts w:cs="Times New Roman"/>
          <w:szCs w:val="24"/>
        </w:rPr>
      </w:pPr>
      <w:r>
        <w:rPr>
          <w:rFonts w:cs="Times New Roman"/>
          <w:szCs w:val="24"/>
        </w:rPr>
        <w:t xml:space="preserve">Sharma, P., Gupta, R., &amp; Choudhary, V. (2022). Peer influence on dietary choices and mental health among Indian university students. Journal of Health Psychology, 27(3), 548–558. </w:t>
      </w:r>
      <w:hyperlink r:id="rId13" w:tgtFrame="_new" w:history="1">
        <w:r>
          <w:rPr>
            <w:rStyle w:val="Hyperlink"/>
            <w:rFonts w:cs="Times New Roman"/>
            <w:szCs w:val="24"/>
          </w:rPr>
          <w:t>https://doi.org/10.1177/13591053211003189</w:t>
        </w:r>
      </w:hyperlink>
    </w:p>
    <w:p w14:paraId="34AC05FE" w14:textId="77777777" w:rsidR="00215A7C" w:rsidRDefault="0017202F">
      <w:pPr>
        <w:numPr>
          <w:ilvl w:val="0"/>
          <w:numId w:val="3"/>
        </w:numPr>
        <w:spacing w:line="480" w:lineRule="auto"/>
        <w:rPr>
          <w:rFonts w:cs="Times New Roman"/>
          <w:szCs w:val="24"/>
        </w:rPr>
      </w:pPr>
      <w:r>
        <w:rPr>
          <w:rFonts w:cs="Times New Roman"/>
          <w:szCs w:val="24"/>
        </w:rPr>
        <w:t xml:space="preserve">Singh, M., Bansal, V., &amp; Kalra, S. (2021). Micronutrient deficiencies in vegetarian diets: Clinical implications. Journal of Clinical and Diagnostic Research, 15(4), OE01–OE05. </w:t>
      </w:r>
      <w:hyperlink r:id="rId14" w:tgtFrame="_new" w:history="1">
        <w:r>
          <w:rPr>
            <w:rStyle w:val="Hyperlink"/>
            <w:rFonts w:cs="Times New Roman"/>
            <w:szCs w:val="24"/>
          </w:rPr>
          <w:t>https://doi.org/10.7860/JCDR/2021/47458.14755</w:t>
        </w:r>
      </w:hyperlink>
    </w:p>
    <w:p w14:paraId="466EA6E2" w14:textId="77777777" w:rsidR="00215A7C" w:rsidRDefault="0017202F">
      <w:pPr>
        <w:numPr>
          <w:ilvl w:val="0"/>
          <w:numId w:val="3"/>
        </w:numPr>
        <w:spacing w:line="480" w:lineRule="auto"/>
        <w:rPr>
          <w:rFonts w:cs="Times New Roman"/>
          <w:szCs w:val="24"/>
        </w:rPr>
      </w:pPr>
      <w:r>
        <w:rPr>
          <w:rFonts w:cs="Times New Roman"/>
          <w:szCs w:val="24"/>
        </w:rPr>
        <w:lastRenderedPageBreak/>
        <w:t xml:space="preserve">Verma, A., Singh, R., &amp; Mehta, N. (2021). Fast food consumption and its impact on the health of university students in India. Asian Journal of Health and Research, 4(1), 20–25. </w:t>
      </w:r>
      <w:hyperlink r:id="rId15" w:tgtFrame="_new" w:history="1">
        <w:r>
          <w:rPr>
            <w:rStyle w:val="Hyperlink"/>
            <w:rFonts w:cs="Times New Roman"/>
            <w:szCs w:val="24"/>
          </w:rPr>
          <w:t>https://doi.org/10.5455/ajhr.2021.4.20-25</w:t>
        </w:r>
      </w:hyperlink>
    </w:p>
    <w:p w14:paraId="1E04FC21" w14:textId="77777777" w:rsidR="00215A7C" w:rsidRDefault="0017202F">
      <w:pPr>
        <w:numPr>
          <w:ilvl w:val="0"/>
          <w:numId w:val="3"/>
        </w:numPr>
        <w:spacing w:line="480" w:lineRule="auto"/>
        <w:rPr>
          <w:rFonts w:cs="Times New Roman"/>
          <w:szCs w:val="24"/>
        </w:rPr>
      </w:pPr>
      <w:r>
        <w:rPr>
          <w:rFonts w:cs="Times New Roman"/>
          <w:szCs w:val="24"/>
        </w:rPr>
        <w:t>Verma, T., Joshi, A., &amp; Rathore, S. (2021). Fast food intake and its association with stress and obesity among Indian youth. Journal of Public Health and Nutrition, 4(1), 35–41.</w:t>
      </w:r>
    </w:p>
    <w:p w14:paraId="4049312A" w14:textId="5412DB24" w:rsidR="00215A7C" w:rsidRDefault="00E50989" w:rsidP="00E50989">
      <w:pPr>
        <w:pStyle w:val="ListParagraph"/>
        <w:numPr>
          <w:ilvl w:val="0"/>
          <w:numId w:val="3"/>
        </w:numPr>
        <w:spacing w:after="0" w:line="480" w:lineRule="auto"/>
        <w:rPr>
          <w:rFonts w:cs="Times New Roman"/>
          <w:color w:val="000000" w:themeColor="text1"/>
          <w:szCs w:val="24"/>
        </w:rPr>
      </w:pPr>
      <w:proofErr w:type="spellStart"/>
      <w:r w:rsidRPr="009017A3">
        <w:rPr>
          <w:rFonts w:cs="Times New Roman"/>
          <w:color w:val="000000" w:themeColor="text1"/>
          <w:szCs w:val="24"/>
          <w:highlight w:val="yellow"/>
        </w:rPr>
        <w:t>Almoraie</w:t>
      </w:r>
      <w:proofErr w:type="spellEnd"/>
      <w:r w:rsidRPr="009017A3">
        <w:rPr>
          <w:rFonts w:cs="Times New Roman"/>
          <w:color w:val="000000" w:themeColor="text1"/>
          <w:szCs w:val="24"/>
          <w:highlight w:val="yellow"/>
        </w:rPr>
        <w:t xml:space="preserve">, N. M., </w:t>
      </w:r>
      <w:proofErr w:type="spellStart"/>
      <w:r w:rsidRPr="009017A3">
        <w:rPr>
          <w:rFonts w:cs="Times New Roman"/>
          <w:color w:val="000000" w:themeColor="text1"/>
          <w:szCs w:val="24"/>
          <w:highlight w:val="yellow"/>
        </w:rPr>
        <w:t>Alothmani</w:t>
      </w:r>
      <w:proofErr w:type="spellEnd"/>
      <w:r w:rsidRPr="009017A3">
        <w:rPr>
          <w:rFonts w:cs="Times New Roman"/>
          <w:color w:val="000000" w:themeColor="text1"/>
          <w:szCs w:val="24"/>
          <w:highlight w:val="yellow"/>
        </w:rPr>
        <w:t xml:space="preserve">, N. M., Alomari, W. D., &amp; Al-Amoudi, A. H. (2024). Addressing nutritional issues and eating </w:t>
      </w:r>
      <w:proofErr w:type="spellStart"/>
      <w:r w:rsidRPr="009017A3">
        <w:rPr>
          <w:rFonts w:cs="Times New Roman"/>
          <w:color w:val="000000" w:themeColor="text1"/>
          <w:szCs w:val="24"/>
          <w:highlight w:val="yellow"/>
        </w:rPr>
        <w:t>behaviours</w:t>
      </w:r>
      <w:proofErr w:type="spellEnd"/>
      <w:r w:rsidRPr="009017A3">
        <w:rPr>
          <w:rFonts w:cs="Times New Roman"/>
          <w:color w:val="000000" w:themeColor="text1"/>
          <w:szCs w:val="24"/>
          <w:highlight w:val="yellow"/>
        </w:rPr>
        <w:t xml:space="preserve"> among university students: a narrative review. Nutrition research reviews, 1-16.</w:t>
      </w:r>
      <w:r w:rsidRPr="00E50989">
        <w:rPr>
          <w:rFonts w:cs="Times New Roman"/>
          <w:color w:val="000000" w:themeColor="text1"/>
          <w:szCs w:val="24"/>
        </w:rPr>
        <w:t xml:space="preserve">   </w:t>
      </w:r>
    </w:p>
    <w:p w14:paraId="4B734919" w14:textId="1578E439" w:rsidR="00E50989" w:rsidRDefault="00E50989" w:rsidP="00E50989">
      <w:pPr>
        <w:pStyle w:val="ListParagraph"/>
        <w:numPr>
          <w:ilvl w:val="0"/>
          <w:numId w:val="3"/>
        </w:numPr>
        <w:spacing w:after="0" w:line="480" w:lineRule="auto"/>
        <w:rPr>
          <w:rFonts w:cs="Times New Roman"/>
          <w:color w:val="000000" w:themeColor="text1"/>
          <w:szCs w:val="24"/>
          <w:highlight w:val="yellow"/>
        </w:rPr>
      </w:pPr>
      <w:proofErr w:type="spellStart"/>
      <w:r w:rsidRPr="009017A3">
        <w:rPr>
          <w:rFonts w:cs="Times New Roman"/>
          <w:color w:val="000000" w:themeColor="text1"/>
          <w:szCs w:val="24"/>
          <w:highlight w:val="yellow"/>
        </w:rPr>
        <w:t>Griban</w:t>
      </w:r>
      <w:proofErr w:type="spellEnd"/>
      <w:r w:rsidRPr="009017A3">
        <w:rPr>
          <w:rFonts w:cs="Times New Roman"/>
          <w:color w:val="000000" w:themeColor="text1"/>
          <w:szCs w:val="24"/>
          <w:highlight w:val="yellow"/>
        </w:rPr>
        <w:t xml:space="preserve">, G. P., </w:t>
      </w:r>
      <w:proofErr w:type="spellStart"/>
      <w:r w:rsidRPr="009017A3">
        <w:rPr>
          <w:rFonts w:cs="Times New Roman"/>
          <w:color w:val="000000" w:themeColor="text1"/>
          <w:szCs w:val="24"/>
          <w:highlight w:val="yellow"/>
        </w:rPr>
        <w:t>Smiianov</w:t>
      </w:r>
      <w:proofErr w:type="spellEnd"/>
      <w:r w:rsidRPr="009017A3">
        <w:rPr>
          <w:rFonts w:cs="Times New Roman"/>
          <w:color w:val="000000" w:themeColor="text1"/>
          <w:szCs w:val="24"/>
          <w:highlight w:val="yellow"/>
        </w:rPr>
        <w:t xml:space="preserve">, V., </w:t>
      </w:r>
      <w:proofErr w:type="spellStart"/>
      <w:r w:rsidRPr="009017A3">
        <w:rPr>
          <w:rFonts w:cs="Times New Roman"/>
          <w:color w:val="000000" w:themeColor="text1"/>
          <w:szCs w:val="24"/>
          <w:highlight w:val="yellow"/>
        </w:rPr>
        <w:t>Lyakhova</w:t>
      </w:r>
      <w:proofErr w:type="spellEnd"/>
      <w:r w:rsidRPr="009017A3">
        <w:rPr>
          <w:rFonts w:cs="Times New Roman"/>
          <w:color w:val="000000" w:themeColor="text1"/>
          <w:szCs w:val="24"/>
          <w:highlight w:val="yellow"/>
        </w:rPr>
        <w:t xml:space="preserve">, N., Tkachenko, P., </w:t>
      </w:r>
      <w:proofErr w:type="spellStart"/>
      <w:r w:rsidRPr="009017A3">
        <w:rPr>
          <w:rFonts w:cs="Times New Roman"/>
          <w:color w:val="000000" w:themeColor="text1"/>
          <w:szCs w:val="24"/>
          <w:highlight w:val="yellow"/>
        </w:rPr>
        <w:t>Harlinska</w:t>
      </w:r>
      <w:proofErr w:type="spellEnd"/>
      <w:r w:rsidRPr="009017A3">
        <w:rPr>
          <w:rFonts w:cs="Times New Roman"/>
          <w:color w:val="000000" w:themeColor="text1"/>
          <w:szCs w:val="24"/>
          <w:highlight w:val="yellow"/>
        </w:rPr>
        <w:t xml:space="preserve">, A., </w:t>
      </w:r>
      <w:proofErr w:type="spellStart"/>
      <w:r w:rsidRPr="009017A3">
        <w:rPr>
          <w:rFonts w:cs="Times New Roman"/>
          <w:color w:val="000000" w:themeColor="text1"/>
          <w:szCs w:val="24"/>
          <w:highlight w:val="yellow"/>
        </w:rPr>
        <w:t>Dovgan</w:t>
      </w:r>
      <w:proofErr w:type="spellEnd"/>
      <w:r w:rsidRPr="009017A3">
        <w:rPr>
          <w:rFonts w:cs="Times New Roman"/>
          <w:color w:val="000000" w:themeColor="text1"/>
          <w:szCs w:val="24"/>
          <w:highlight w:val="yellow"/>
        </w:rPr>
        <w:t xml:space="preserve">, N., ... &amp; Brytan, Y. (2021). The impact of nutritional quality on the students’ health. Acta </w:t>
      </w:r>
      <w:proofErr w:type="spellStart"/>
      <w:r w:rsidRPr="009017A3">
        <w:rPr>
          <w:rFonts w:cs="Times New Roman"/>
          <w:color w:val="000000" w:themeColor="text1"/>
          <w:szCs w:val="24"/>
          <w:highlight w:val="yellow"/>
        </w:rPr>
        <w:t>Balneologica</w:t>
      </w:r>
      <w:proofErr w:type="spellEnd"/>
      <w:r w:rsidRPr="009017A3">
        <w:rPr>
          <w:rFonts w:cs="Times New Roman"/>
          <w:color w:val="000000" w:themeColor="text1"/>
          <w:szCs w:val="24"/>
          <w:highlight w:val="yellow"/>
        </w:rPr>
        <w:t>, (1 (163)), 43-54.</w:t>
      </w:r>
      <w:r w:rsidRPr="009017A3">
        <w:rPr>
          <w:rFonts w:cs="Times New Roman"/>
          <w:color w:val="000000" w:themeColor="text1"/>
          <w:szCs w:val="24"/>
          <w:highlight w:val="yellow"/>
        </w:rPr>
        <w:t xml:space="preserve">  </w:t>
      </w:r>
    </w:p>
    <w:p w14:paraId="38838043" w14:textId="6969414B" w:rsidR="00DD659D" w:rsidRPr="009017A3" w:rsidRDefault="00DD659D" w:rsidP="009017A3">
      <w:pPr>
        <w:pStyle w:val="ListParagraph"/>
        <w:numPr>
          <w:ilvl w:val="0"/>
          <w:numId w:val="3"/>
        </w:numPr>
        <w:spacing w:after="0" w:line="480" w:lineRule="auto"/>
        <w:rPr>
          <w:rFonts w:cs="Times New Roman"/>
          <w:color w:val="000000" w:themeColor="text1"/>
          <w:szCs w:val="24"/>
          <w:highlight w:val="yellow"/>
        </w:rPr>
      </w:pPr>
      <w:r w:rsidRPr="009017A3">
        <w:rPr>
          <w:rFonts w:cs="Times New Roman"/>
          <w:color w:val="000000" w:themeColor="text1"/>
          <w:szCs w:val="24"/>
          <w:highlight w:val="yellow"/>
        </w:rPr>
        <w:t>Ahmad, K., Rajpoot, S. R., Ashfaq, M., &amp; Ahmad, Z. (2021). Assessment of nutritional status of undergraduate students of the Islamia University Bahawalpur. Emerg Trends Dis Health Res, 1, 32-43.</w:t>
      </w:r>
      <w:r>
        <w:rPr>
          <w:rFonts w:cs="Times New Roman"/>
          <w:color w:val="000000" w:themeColor="text1"/>
          <w:szCs w:val="24"/>
        </w:rPr>
        <w:t xml:space="preserve">  </w:t>
      </w:r>
    </w:p>
    <w:sectPr w:rsidR="00DD659D" w:rsidRPr="009017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9158" w14:textId="77777777" w:rsidR="00774603" w:rsidRDefault="00774603">
      <w:pPr>
        <w:spacing w:line="240" w:lineRule="auto"/>
      </w:pPr>
      <w:r>
        <w:separator/>
      </w:r>
    </w:p>
  </w:endnote>
  <w:endnote w:type="continuationSeparator" w:id="0">
    <w:p w14:paraId="4463EC7B" w14:textId="77777777" w:rsidR="00774603" w:rsidRDefault="007746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B82B" w14:textId="77777777" w:rsidR="00DD54E3" w:rsidRDefault="00DD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276655"/>
    </w:sdtPr>
    <w:sdtContent>
      <w:p w14:paraId="077725A0" w14:textId="77777777" w:rsidR="00215A7C" w:rsidRDefault="0017202F">
        <w:pPr>
          <w:pStyle w:val="Footer"/>
          <w:jc w:val="center"/>
        </w:pPr>
        <w:r>
          <w:fldChar w:fldCharType="begin"/>
        </w:r>
        <w:r>
          <w:instrText xml:space="preserve"> PAGE   \* MERGEFORMAT </w:instrText>
        </w:r>
        <w:r>
          <w:fldChar w:fldCharType="separate"/>
        </w:r>
        <w:r>
          <w:t>2</w:t>
        </w:r>
        <w:r>
          <w:fldChar w:fldCharType="end"/>
        </w:r>
      </w:p>
    </w:sdtContent>
  </w:sdt>
  <w:p w14:paraId="00EB1949" w14:textId="77777777" w:rsidR="00215A7C" w:rsidRDefault="00215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0063" w14:textId="77777777" w:rsidR="00DD54E3" w:rsidRDefault="00DD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5E93" w14:textId="77777777" w:rsidR="00774603" w:rsidRDefault="00774603">
      <w:pPr>
        <w:spacing w:after="0"/>
      </w:pPr>
      <w:r>
        <w:separator/>
      </w:r>
    </w:p>
  </w:footnote>
  <w:footnote w:type="continuationSeparator" w:id="0">
    <w:p w14:paraId="47EA393F" w14:textId="77777777" w:rsidR="00774603" w:rsidRDefault="007746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EC79" w14:textId="233FFB9D" w:rsidR="00DD54E3" w:rsidRDefault="00000000">
    <w:pPr>
      <w:pStyle w:val="Header"/>
    </w:pPr>
    <w:r>
      <w:rPr>
        <w:noProof/>
      </w:rPr>
      <w:pict w14:anchorId="7ED74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5"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4FF8" w14:textId="345285EC" w:rsidR="00DD54E3" w:rsidRDefault="00000000">
    <w:pPr>
      <w:pStyle w:val="Header"/>
    </w:pPr>
    <w:r>
      <w:rPr>
        <w:noProof/>
      </w:rPr>
      <w:pict w14:anchorId="1B194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6"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33129" w14:textId="7F6A78D4" w:rsidR="00DD54E3" w:rsidRDefault="00000000">
    <w:pPr>
      <w:pStyle w:val="Header"/>
    </w:pPr>
    <w:r>
      <w:rPr>
        <w:noProof/>
      </w:rPr>
      <w:pict w14:anchorId="0DB1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8969234"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BEE48B"/>
    <w:multiLevelType w:val="singleLevel"/>
    <w:tmpl w:val="8CBEE48B"/>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 w15:restartNumberingAfterBreak="0">
    <w:nsid w:val="96CA46B0"/>
    <w:multiLevelType w:val="singleLevel"/>
    <w:tmpl w:val="96CA46B0"/>
    <w:lvl w:ilvl="0">
      <w:start w:val="1"/>
      <w:numFmt w:val="decimal"/>
      <w:lvlText w:val="%1."/>
      <w:lvlJc w:val="left"/>
      <w:pPr>
        <w:tabs>
          <w:tab w:val="left" w:pos="425"/>
        </w:tabs>
        <w:ind w:left="425" w:hanging="425"/>
      </w:pPr>
      <w:rPr>
        <w:rFonts w:hint="default"/>
      </w:rPr>
    </w:lvl>
  </w:abstractNum>
  <w:abstractNum w:abstractNumId="2" w15:restartNumberingAfterBreak="0">
    <w:nsid w:val="DE599231"/>
    <w:multiLevelType w:val="singleLevel"/>
    <w:tmpl w:val="DE599231"/>
    <w:lvl w:ilvl="0">
      <w:start w:val="1"/>
      <w:numFmt w:val="bullet"/>
      <w:lvlText w:val=""/>
      <w:lvlJc w:val="left"/>
      <w:pPr>
        <w:tabs>
          <w:tab w:val="left" w:pos="420"/>
        </w:tabs>
        <w:ind w:left="420" w:hanging="420"/>
      </w:pPr>
      <w:rPr>
        <w:rFonts w:ascii="Wingdings" w:hAnsi="Wingdings" w:hint="default"/>
      </w:rPr>
    </w:lvl>
  </w:abstractNum>
  <w:num w:numId="1" w16cid:durableId="1374574146">
    <w:abstractNumId w:val="0"/>
  </w:num>
  <w:num w:numId="2" w16cid:durableId="441074284">
    <w:abstractNumId w:val="2"/>
  </w:num>
  <w:num w:numId="3" w16cid:durableId="192507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wMzKwMDQzNjU3tDRS0lEKTi0uzszPAykwrAUAjHFp4ywAAAA="/>
  </w:docVars>
  <w:rsids>
    <w:rsidRoot w:val="00AF106A"/>
    <w:rsid w:val="000157D8"/>
    <w:rsid w:val="0005689B"/>
    <w:rsid w:val="000F1FB4"/>
    <w:rsid w:val="00131E5D"/>
    <w:rsid w:val="00160F01"/>
    <w:rsid w:val="001645E9"/>
    <w:rsid w:val="0017202F"/>
    <w:rsid w:val="00215A7C"/>
    <w:rsid w:val="002163C1"/>
    <w:rsid w:val="0028051E"/>
    <w:rsid w:val="00336890"/>
    <w:rsid w:val="00355046"/>
    <w:rsid w:val="003658DA"/>
    <w:rsid w:val="003A0A73"/>
    <w:rsid w:val="003D50AB"/>
    <w:rsid w:val="0041443D"/>
    <w:rsid w:val="004A1A94"/>
    <w:rsid w:val="004C3AEC"/>
    <w:rsid w:val="004C4068"/>
    <w:rsid w:val="004C64F4"/>
    <w:rsid w:val="005B36EB"/>
    <w:rsid w:val="006257F5"/>
    <w:rsid w:val="00660DF6"/>
    <w:rsid w:val="00680BDB"/>
    <w:rsid w:val="006A04B3"/>
    <w:rsid w:val="006D363B"/>
    <w:rsid w:val="006F1A9A"/>
    <w:rsid w:val="00716E31"/>
    <w:rsid w:val="007329C7"/>
    <w:rsid w:val="007667FB"/>
    <w:rsid w:val="00774603"/>
    <w:rsid w:val="007A5AED"/>
    <w:rsid w:val="007B47D5"/>
    <w:rsid w:val="007E37F8"/>
    <w:rsid w:val="008078E0"/>
    <w:rsid w:val="00823980"/>
    <w:rsid w:val="008306F6"/>
    <w:rsid w:val="008E0BF8"/>
    <w:rsid w:val="008E718A"/>
    <w:rsid w:val="008F207A"/>
    <w:rsid w:val="009017A3"/>
    <w:rsid w:val="0090462E"/>
    <w:rsid w:val="00905D99"/>
    <w:rsid w:val="00910CC0"/>
    <w:rsid w:val="009870B4"/>
    <w:rsid w:val="009978BA"/>
    <w:rsid w:val="009D1475"/>
    <w:rsid w:val="009D6D40"/>
    <w:rsid w:val="009E5B7C"/>
    <w:rsid w:val="00A333BC"/>
    <w:rsid w:val="00A72B2D"/>
    <w:rsid w:val="00A81664"/>
    <w:rsid w:val="00A9752A"/>
    <w:rsid w:val="00AF106A"/>
    <w:rsid w:val="00B1387A"/>
    <w:rsid w:val="00B1799F"/>
    <w:rsid w:val="00BA505F"/>
    <w:rsid w:val="00BE20F1"/>
    <w:rsid w:val="00C075C0"/>
    <w:rsid w:val="00C44B33"/>
    <w:rsid w:val="00C56EF2"/>
    <w:rsid w:val="00C9662B"/>
    <w:rsid w:val="00CB3E29"/>
    <w:rsid w:val="00CB54A5"/>
    <w:rsid w:val="00D22939"/>
    <w:rsid w:val="00D27A82"/>
    <w:rsid w:val="00D35C30"/>
    <w:rsid w:val="00D73AF3"/>
    <w:rsid w:val="00D8354F"/>
    <w:rsid w:val="00DB1810"/>
    <w:rsid w:val="00DD54E3"/>
    <w:rsid w:val="00DD659D"/>
    <w:rsid w:val="00E06F79"/>
    <w:rsid w:val="00E27DE0"/>
    <w:rsid w:val="00E348A1"/>
    <w:rsid w:val="00E37F9B"/>
    <w:rsid w:val="00E46312"/>
    <w:rsid w:val="00E50989"/>
    <w:rsid w:val="00E66C7D"/>
    <w:rsid w:val="00E97526"/>
    <w:rsid w:val="00EA5FF9"/>
    <w:rsid w:val="00ED7332"/>
    <w:rsid w:val="00EE068E"/>
    <w:rsid w:val="00EE68AD"/>
    <w:rsid w:val="00EF7FF4"/>
    <w:rsid w:val="00F7774A"/>
    <w:rsid w:val="00F82B77"/>
    <w:rsid w:val="00F915CC"/>
    <w:rsid w:val="00FC50B8"/>
    <w:rsid w:val="01B20D30"/>
    <w:rsid w:val="01F37FC4"/>
    <w:rsid w:val="028D770D"/>
    <w:rsid w:val="080D5891"/>
    <w:rsid w:val="089C542D"/>
    <w:rsid w:val="08FF28E8"/>
    <w:rsid w:val="0B20514C"/>
    <w:rsid w:val="0B755EDB"/>
    <w:rsid w:val="0DB55436"/>
    <w:rsid w:val="101E6174"/>
    <w:rsid w:val="10C4382B"/>
    <w:rsid w:val="117329AA"/>
    <w:rsid w:val="13664E83"/>
    <w:rsid w:val="170F0849"/>
    <w:rsid w:val="17836111"/>
    <w:rsid w:val="179E6704"/>
    <w:rsid w:val="187E355D"/>
    <w:rsid w:val="18F931A3"/>
    <w:rsid w:val="19CD5E05"/>
    <w:rsid w:val="1BF91952"/>
    <w:rsid w:val="1FAC68DD"/>
    <w:rsid w:val="21535388"/>
    <w:rsid w:val="233E6DED"/>
    <w:rsid w:val="2441639B"/>
    <w:rsid w:val="24846C04"/>
    <w:rsid w:val="24AD32BB"/>
    <w:rsid w:val="24F35FAE"/>
    <w:rsid w:val="250D3047"/>
    <w:rsid w:val="252E56E3"/>
    <w:rsid w:val="25FE7FE0"/>
    <w:rsid w:val="26B0048A"/>
    <w:rsid w:val="27775733"/>
    <w:rsid w:val="27C4461F"/>
    <w:rsid w:val="295703E0"/>
    <w:rsid w:val="2AAC0158"/>
    <w:rsid w:val="2CD72920"/>
    <w:rsid w:val="2DFF495E"/>
    <w:rsid w:val="2E555FE9"/>
    <w:rsid w:val="2FB84CE5"/>
    <w:rsid w:val="2FEE1A62"/>
    <w:rsid w:val="319F536F"/>
    <w:rsid w:val="31B663EA"/>
    <w:rsid w:val="31F05AFB"/>
    <w:rsid w:val="327677EB"/>
    <w:rsid w:val="34C760A2"/>
    <w:rsid w:val="35D963E6"/>
    <w:rsid w:val="36580006"/>
    <w:rsid w:val="36F224BE"/>
    <w:rsid w:val="370A1342"/>
    <w:rsid w:val="37FC066A"/>
    <w:rsid w:val="384719E3"/>
    <w:rsid w:val="3BE0777E"/>
    <w:rsid w:val="3C7C0613"/>
    <w:rsid w:val="3D3F6C08"/>
    <w:rsid w:val="3D5B4226"/>
    <w:rsid w:val="3E7D6E4C"/>
    <w:rsid w:val="3F127D77"/>
    <w:rsid w:val="3FEA2069"/>
    <w:rsid w:val="40793ED7"/>
    <w:rsid w:val="40BE444E"/>
    <w:rsid w:val="425E6ED0"/>
    <w:rsid w:val="4296514B"/>
    <w:rsid w:val="43166D1E"/>
    <w:rsid w:val="441D16AC"/>
    <w:rsid w:val="44BA2C52"/>
    <w:rsid w:val="45954953"/>
    <w:rsid w:val="47302E74"/>
    <w:rsid w:val="479C080F"/>
    <w:rsid w:val="47C663B9"/>
    <w:rsid w:val="481A57D7"/>
    <w:rsid w:val="4A18036A"/>
    <w:rsid w:val="4A4B20F1"/>
    <w:rsid w:val="4B153DBA"/>
    <w:rsid w:val="4B2F3731"/>
    <w:rsid w:val="4BB43C52"/>
    <w:rsid w:val="4C00513D"/>
    <w:rsid w:val="505C4D2B"/>
    <w:rsid w:val="54FB26E4"/>
    <w:rsid w:val="57010F6C"/>
    <w:rsid w:val="575823DC"/>
    <w:rsid w:val="58225D38"/>
    <w:rsid w:val="5BC31F9B"/>
    <w:rsid w:val="5CB22727"/>
    <w:rsid w:val="5D610944"/>
    <w:rsid w:val="5E374732"/>
    <w:rsid w:val="5F786728"/>
    <w:rsid w:val="61C62C2E"/>
    <w:rsid w:val="62DF2098"/>
    <w:rsid w:val="647824FB"/>
    <w:rsid w:val="671F7C96"/>
    <w:rsid w:val="67DC393E"/>
    <w:rsid w:val="692D497F"/>
    <w:rsid w:val="6A05168A"/>
    <w:rsid w:val="6A9B71F6"/>
    <w:rsid w:val="6B195037"/>
    <w:rsid w:val="6B7834E8"/>
    <w:rsid w:val="6C930666"/>
    <w:rsid w:val="6EFD621B"/>
    <w:rsid w:val="6F296805"/>
    <w:rsid w:val="74620891"/>
    <w:rsid w:val="75107288"/>
    <w:rsid w:val="762D6832"/>
    <w:rsid w:val="76ED668E"/>
    <w:rsid w:val="77A727DC"/>
    <w:rsid w:val="788B40B9"/>
    <w:rsid w:val="7AD53162"/>
    <w:rsid w:val="7D783682"/>
    <w:rsid w:val="7DDB7F10"/>
    <w:rsid w:val="7E2D5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45171"/>
  <w15:docId w15:val="{6CF0479F-D63A-493F-93ED-0A51BA03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jc w:val="both"/>
    </w:pPr>
    <w:rPr>
      <w:rFonts w:eastAsiaTheme="minorHAnsi" w:cstheme="minorBidi"/>
      <w:kern w:val="2"/>
      <w:sz w:val="24"/>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jc w:val="center"/>
      <w:outlineLvl w:val="0"/>
    </w:pPr>
    <w:rPr>
      <w:rFonts w:eastAsiaTheme="majorEastAsia" w:cstheme="majorBidi"/>
      <w:b/>
      <w:smallCaps/>
      <w:sz w:val="28"/>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Theme="majorEastAsia" w:cstheme="majorBidi"/>
      <w:b/>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uiPriority w:val="99"/>
    <w:semiHidden/>
    <w:unhideWhenUsed/>
    <w:qFormat/>
    <w:pPr>
      <w:snapToGrid w:val="0"/>
      <w:jc w:val="left"/>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uiPriority w:val="99"/>
    <w:semiHidden/>
    <w:unhideWhenUsed/>
    <w:qFormat/>
    <w:pPr>
      <w:numPr>
        <w:numId w:val="1"/>
      </w:numPr>
    </w:p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kern w:val="0"/>
      <w:szCs w:val="24"/>
      <w14:ligatures w14:val="none"/>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40"/>
    </w:p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mallCaps/>
      <w:szCs w:val="2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paragraph" w:customStyle="1" w:styleId="TOCHeading1">
    <w:name w:val="TOC Heading1"/>
    <w:basedOn w:val="Heading1"/>
    <w:next w:val="Normal"/>
    <w:uiPriority w:val="39"/>
    <w:unhideWhenUsed/>
    <w:qFormat/>
    <w:pPr>
      <w:spacing w:line="259" w:lineRule="auto"/>
      <w:jc w:val="left"/>
      <w:outlineLvl w:val="9"/>
    </w:pPr>
    <w:rPr>
      <w:rFonts w:asciiTheme="majorHAnsi" w:hAnsiTheme="majorHAnsi"/>
      <w:b w:val="0"/>
      <w:smallCaps w:val="0"/>
      <w:color w:val="2F5496" w:themeColor="accent1" w:themeShade="BF"/>
      <w:kern w:val="0"/>
      <w:sz w:val="32"/>
      <w14:ligatures w14:val="none"/>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character" w:customStyle="1" w:styleId="overflow-hidden">
    <w:name w:val="overflow-hidden"/>
    <w:basedOn w:val="DefaultParagraphFont"/>
    <w:qFormat/>
  </w:style>
  <w:style w:type="paragraph" w:styleId="Revision">
    <w:name w:val="Revision"/>
    <w:hidden/>
    <w:uiPriority w:val="99"/>
    <w:unhideWhenUsed/>
    <w:rsid w:val="008E718A"/>
    <w:rPr>
      <w:rFonts w:eastAsiaTheme="minorHAnsi" w:cstheme="minorBidi"/>
      <w:kern w:val="2"/>
      <w:sz w:val="24"/>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7/S0033291719000478" TargetMode="External"/><Relationship Id="rId13" Type="http://schemas.openxmlformats.org/officeDocument/2006/relationships/hyperlink" Target="https://doi.org/10.1177/13591053211003189"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186/s12937-019-0432-0" TargetMode="External"/><Relationship Id="rId12" Type="http://schemas.openxmlformats.org/officeDocument/2006/relationships/hyperlink" Target="https://doi.org/10.4162/nrp.2014.8.5.43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nim.2020.10.005" TargetMode="External"/><Relationship Id="rId5" Type="http://schemas.openxmlformats.org/officeDocument/2006/relationships/footnotes" Target="footnotes.xml"/><Relationship Id="rId15" Type="http://schemas.openxmlformats.org/officeDocument/2006/relationships/hyperlink" Target="https://doi.org/10.5455/ajhr.2021.4.20-25" TargetMode="External"/><Relationship Id="rId23" Type="http://schemas.openxmlformats.org/officeDocument/2006/relationships/theme" Target="theme/theme1.xml"/><Relationship Id="rId10" Type="http://schemas.openxmlformats.org/officeDocument/2006/relationships/hyperlink" Target="https://doi.org/10.4103/ijcm.IJCM_123_22"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7/s12584-021-00325-6" TargetMode="External"/><Relationship Id="rId14" Type="http://schemas.openxmlformats.org/officeDocument/2006/relationships/hyperlink" Target="https://doi.org/10.7860/JCDR/2021/47458.147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18</Pages>
  <Words>4634</Words>
  <Characters>26695</Characters>
  <Application>Microsoft Office Word</Application>
  <DocSecurity>0</DocSecurity>
  <Lines>1668</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 Deolia</dc:creator>
  <cp:lastModifiedBy>Editor Acc 101</cp:lastModifiedBy>
  <cp:revision>16</cp:revision>
  <dcterms:created xsi:type="dcterms:W3CDTF">2024-08-05T20:59:00Z</dcterms:created>
  <dcterms:modified xsi:type="dcterms:W3CDTF">2025-08-05T10:49:00Z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F6287C4953E54174867A6EC0BD6C08E8_12</vt:lpwstr>
  </property>
  <property fmtid="{D5CDD505-2E9C-101B-9397-08002B2CF9AE}" pid="3" name="KSOProductBuildVer">
    <vt:lpwstr>1033-12.2.0.21931</vt:lpwstr>
  </property>
  <property fmtid="{D5CDD505-2E9C-101B-9397-08002B2CF9AE}" pid="4" name="GrammarlyDocumentId">
    <vt:lpwstr>4fa0a8fd-a716-4f16-9e54-25482c737361</vt:lpwstr>
  </property>
</Properties>
</file>