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CF812" w14:textId="28242E44" w:rsidR="002C57D2" w:rsidRDefault="003A0ED5" w:rsidP="00441B6F">
      <w:pPr>
        <w:pStyle w:val="Affiliation"/>
        <w:spacing w:after="0" w:line="240" w:lineRule="auto"/>
        <w:jc w:val="both"/>
        <w:rPr>
          <w:rFonts w:ascii="Arial" w:hAnsi="Arial" w:cs="Arial"/>
          <w:color w:val="000000" w:themeColor="text1"/>
        </w:rPr>
      </w:pPr>
      <w:r w:rsidRPr="00E871EE">
        <w:rPr>
          <w:rFonts w:ascii="Arial" w:hAnsi="Arial" w:cs="Arial"/>
          <w:b/>
          <w:bCs/>
          <w:iCs/>
          <w:color w:val="000000" w:themeColor="text1"/>
          <w:kern w:val="28"/>
          <w:sz w:val="36"/>
          <w:highlight w:val="yellow"/>
        </w:rPr>
        <w:t>Assessment of soil pollution caused by wastewater from the truck gauging process: a case study from the Bureau of Mines and Geology (</w:t>
      </w:r>
      <w:bookmarkStart w:id="0" w:name="_Hlk203252441"/>
      <w:r w:rsidRPr="00E871EE">
        <w:rPr>
          <w:rFonts w:ascii="Arial" w:hAnsi="Arial" w:cs="Arial"/>
          <w:b/>
          <w:bCs/>
          <w:iCs/>
          <w:color w:val="000000" w:themeColor="text1"/>
          <w:kern w:val="28"/>
          <w:sz w:val="36"/>
          <w:highlight w:val="yellow"/>
        </w:rPr>
        <w:t>BUMIGEB</w:t>
      </w:r>
      <w:bookmarkEnd w:id="0"/>
      <w:r w:rsidRPr="00E871EE">
        <w:rPr>
          <w:rFonts w:ascii="Arial" w:hAnsi="Arial" w:cs="Arial"/>
          <w:b/>
          <w:bCs/>
          <w:iCs/>
          <w:color w:val="000000" w:themeColor="text1"/>
          <w:kern w:val="28"/>
          <w:sz w:val="36"/>
          <w:highlight w:val="yellow"/>
        </w:rPr>
        <w:t>), Burkina Faso</w:t>
      </w:r>
    </w:p>
    <w:p w14:paraId="415AA713" w14:textId="77777777" w:rsidR="00630277" w:rsidRPr="004E2493" w:rsidRDefault="00630277" w:rsidP="00441B6F">
      <w:pPr>
        <w:pStyle w:val="Affiliation"/>
        <w:spacing w:after="0" w:line="240" w:lineRule="auto"/>
        <w:jc w:val="both"/>
        <w:rPr>
          <w:rFonts w:ascii="Arial" w:hAnsi="Arial" w:cs="Arial"/>
          <w:color w:val="000000" w:themeColor="text1"/>
        </w:rPr>
      </w:pPr>
    </w:p>
    <w:p w14:paraId="2A85B9CF" w14:textId="77777777" w:rsidR="00B01FCD" w:rsidRPr="004E2493" w:rsidRDefault="00000000" w:rsidP="00441B6F">
      <w:pPr>
        <w:pStyle w:val="Copyright"/>
        <w:spacing w:after="0" w:line="240" w:lineRule="auto"/>
        <w:jc w:val="both"/>
        <w:rPr>
          <w:rFonts w:ascii="Arial" w:hAnsi="Arial" w:cs="Arial"/>
          <w:color w:val="000000" w:themeColor="text1"/>
        </w:rPr>
        <w:sectPr w:rsidR="00B01FCD" w:rsidRPr="004E2493" w:rsidSect="0063027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color w:val="000000" w:themeColor="text1"/>
        </w:rPr>
      </w:r>
      <w:r>
        <w:rPr>
          <w:rFonts w:ascii="Arial" w:hAnsi="Arial" w:cs="Arial"/>
          <w:color w:val="000000" w:themeColor="text1"/>
        </w:rPr>
        <w:pict w14:anchorId="18DBB295">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4E2493">
        <w:rPr>
          <w:rFonts w:ascii="Arial" w:hAnsi="Arial" w:cs="Arial"/>
          <w:color w:val="000000" w:themeColor="text1"/>
        </w:rPr>
        <w:t>.</w:t>
      </w:r>
    </w:p>
    <w:p w14:paraId="673609EC" w14:textId="5536C643" w:rsidR="00B01FCD" w:rsidRPr="004E2493" w:rsidRDefault="00B01FCD" w:rsidP="00441B6F">
      <w:pPr>
        <w:pStyle w:val="AbstHead"/>
        <w:spacing w:after="0"/>
        <w:jc w:val="both"/>
        <w:rPr>
          <w:rFonts w:ascii="Arial" w:hAnsi="Arial" w:cs="Arial"/>
          <w:color w:val="000000" w:themeColor="text1"/>
        </w:rPr>
      </w:pPr>
      <w:r w:rsidRPr="004E2493">
        <w:rPr>
          <w:rFonts w:ascii="Arial" w:hAnsi="Arial" w:cs="Arial"/>
          <w:color w:val="000000" w:themeColor="text1"/>
        </w:rPr>
        <w:t>ABSTRACT</w:t>
      </w:r>
    </w:p>
    <w:p w14:paraId="1F2786C4" w14:textId="77777777" w:rsidR="00790ADA" w:rsidRPr="004E2493" w:rsidRDefault="00790ADA" w:rsidP="00441B6F">
      <w:pPr>
        <w:pStyle w:val="AbstHead"/>
        <w:spacing w:after="0"/>
        <w:jc w:val="both"/>
        <w:rPr>
          <w:rFonts w:ascii="Arial" w:hAnsi="Arial" w:cs="Arial"/>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4E2493" w:rsidRPr="004E2493" w14:paraId="0B4CC5CA" w14:textId="77777777" w:rsidTr="001E44FE">
        <w:tc>
          <w:tcPr>
            <w:tcW w:w="9576" w:type="dxa"/>
            <w:shd w:val="clear" w:color="auto" w:fill="F2F2F2"/>
          </w:tcPr>
          <w:p w14:paraId="01413EB6" w14:textId="32A3618C" w:rsidR="00D53B85" w:rsidRPr="004E2493" w:rsidRDefault="00D53B85" w:rsidP="00D53B85">
            <w:pPr>
              <w:jc w:val="both"/>
              <w:rPr>
                <w:rFonts w:ascii="Arial" w:hAnsi="Arial" w:cs="Arial"/>
                <w:color w:val="000000" w:themeColor="text1"/>
                <w:sz w:val="22"/>
                <w:szCs w:val="22"/>
              </w:rPr>
            </w:pPr>
            <w:r w:rsidRPr="004E2493">
              <w:rPr>
                <w:rFonts w:ascii="Arial" w:hAnsi="Arial" w:cs="Arial"/>
                <w:color w:val="000000" w:themeColor="text1"/>
                <w:sz w:val="22"/>
                <w:szCs w:val="22"/>
              </w:rPr>
              <w:t xml:space="preserve">This study focuses on evaluating soil and water management strategies in the truck </w:t>
            </w:r>
            <w:bookmarkStart w:id="1" w:name="_Hlk203252532"/>
            <w:r w:rsidRPr="004E2493">
              <w:rPr>
                <w:rFonts w:ascii="Arial" w:hAnsi="Arial" w:cs="Arial"/>
                <w:color w:val="000000" w:themeColor="text1"/>
                <w:sz w:val="22"/>
                <w:szCs w:val="22"/>
              </w:rPr>
              <w:t xml:space="preserve">gauging process </w:t>
            </w:r>
            <w:bookmarkEnd w:id="1"/>
            <w:r w:rsidRPr="004E2493">
              <w:rPr>
                <w:rFonts w:ascii="Arial" w:hAnsi="Arial" w:cs="Arial"/>
                <w:color w:val="000000" w:themeColor="text1"/>
                <w:sz w:val="22"/>
                <w:szCs w:val="22"/>
              </w:rPr>
              <w:t>at the Bureau of Mines and Geology of Burkina Faso (BUMIGEB). The site environment is facing pollution issues related to gauging activities, with significant accumulation of hydrocarbons and heavy metals in the soil, posing a risk to both the environment and human health.</w:t>
            </w:r>
            <w:r w:rsidR="00321B48">
              <w:rPr>
                <w:rFonts w:ascii="Arial" w:hAnsi="Arial" w:cs="Arial"/>
                <w:color w:val="000000" w:themeColor="text1"/>
                <w:sz w:val="22"/>
                <w:szCs w:val="22"/>
              </w:rPr>
              <w:t xml:space="preserve"> </w:t>
            </w:r>
            <w:r w:rsidRPr="004E2493">
              <w:rPr>
                <w:rFonts w:ascii="Arial" w:hAnsi="Arial" w:cs="Arial"/>
                <w:color w:val="000000" w:themeColor="text1"/>
                <w:sz w:val="22"/>
                <w:szCs w:val="22"/>
              </w:rPr>
              <w:t xml:space="preserve">To carry out this study, a site analysis was first conducted to better understand the gauging activity. Then, three water samples and eight soil samples were collected from various strategic locations on the gauging platform. These samples were </w:t>
            </w:r>
            <w:r w:rsidR="00BB43BF" w:rsidRPr="00BB43BF">
              <w:rPr>
                <w:rFonts w:ascii="Arial" w:hAnsi="Arial" w:cs="Arial"/>
                <w:color w:val="000000" w:themeColor="text1"/>
                <w:sz w:val="22"/>
                <w:szCs w:val="22"/>
                <w:highlight w:val="yellow"/>
              </w:rPr>
              <w:t>analysed</w:t>
            </w:r>
            <w:r w:rsidRPr="00BB43BF">
              <w:rPr>
                <w:rFonts w:ascii="Arial" w:hAnsi="Arial" w:cs="Arial"/>
                <w:color w:val="000000" w:themeColor="text1"/>
                <w:sz w:val="22"/>
                <w:szCs w:val="22"/>
                <w:highlight w:val="yellow"/>
              </w:rPr>
              <w:t xml:space="preserve"> to deter</w:t>
            </w:r>
            <w:r w:rsidRPr="004E2493">
              <w:rPr>
                <w:rFonts w:ascii="Arial" w:hAnsi="Arial" w:cs="Arial"/>
                <w:color w:val="000000" w:themeColor="text1"/>
                <w:sz w:val="22"/>
                <w:szCs w:val="22"/>
              </w:rPr>
              <w:t xml:space="preserve">mine the concentrations of total grease and certain trace metallic elements. The ERACHECK ECO device was </w:t>
            </w:r>
            <w:r w:rsidRPr="00BB43BF">
              <w:rPr>
                <w:rFonts w:ascii="Arial" w:hAnsi="Arial" w:cs="Arial"/>
                <w:color w:val="000000" w:themeColor="text1"/>
                <w:sz w:val="22"/>
                <w:szCs w:val="22"/>
                <w:highlight w:val="yellow"/>
              </w:rPr>
              <w:t xml:space="preserve">used to </w:t>
            </w:r>
            <w:r w:rsidR="00BB43BF" w:rsidRPr="00BB43BF">
              <w:rPr>
                <w:rFonts w:ascii="Arial" w:hAnsi="Arial" w:cs="Arial"/>
                <w:color w:val="000000" w:themeColor="text1"/>
                <w:sz w:val="22"/>
                <w:szCs w:val="22"/>
                <w:highlight w:val="yellow"/>
              </w:rPr>
              <w:t>analyse</w:t>
            </w:r>
            <w:r w:rsidRPr="00BB43BF">
              <w:rPr>
                <w:rFonts w:ascii="Arial" w:hAnsi="Arial" w:cs="Arial"/>
                <w:color w:val="000000" w:themeColor="text1"/>
                <w:sz w:val="22"/>
                <w:szCs w:val="22"/>
                <w:highlight w:val="yellow"/>
              </w:rPr>
              <w:t xml:space="preserve"> total</w:t>
            </w:r>
            <w:r w:rsidRPr="004E2493">
              <w:rPr>
                <w:rFonts w:ascii="Arial" w:hAnsi="Arial" w:cs="Arial"/>
                <w:color w:val="000000" w:themeColor="text1"/>
                <w:sz w:val="22"/>
                <w:szCs w:val="22"/>
              </w:rPr>
              <w:t xml:space="preserve"> grease, and X-ray fluorescence spectrometry was employed to determine the concentrations of heavy metals. The analysis covered total grease in the water samples and the following elements in the soil samples: lead (Pb), copper (Cu), chromium (Cr), cobalt (Co), nickel (Ni), zinc (Zn), cadmium (Cd), arsenic (As), and mercury (Hg).</w:t>
            </w:r>
            <w:r w:rsidR="00321B48">
              <w:rPr>
                <w:rFonts w:ascii="Arial" w:hAnsi="Arial" w:cs="Arial"/>
                <w:color w:val="000000" w:themeColor="text1"/>
                <w:sz w:val="22"/>
                <w:szCs w:val="22"/>
              </w:rPr>
              <w:t xml:space="preserve"> </w:t>
            </w:r>
            <w:r w:rsidRPr="004E2493">
              <w:rPr>
                <w:rFonts w:ascii="Arial" w:hAnsi="Arial" w:cs="Arial"/>
                <w:color w:val="000000" w:themeColor="text1"/>
                <w:sz w:val="22"/>
                <w:szCs w:val="22"/>
              </w:rPr>
              <w:t>The results showed varying levels of contamination depending on the areas. In the water samples, the total grease concentration was below the detection limit in the first sample, 44.8 mg/L in the second sample, and above the maximum detection limit in the third sample. The soil sample analysis showed chromium (Cr) concentrations ranging from 146.75 to 260.54 mg/kg, copper (Cu) from 33.96 to 148.58 mg/kg, and zinc (Zn) from 43.24 to 677.32 mg/kg. Arsenic (As) concentrations ranged from 7.00 to 9.07 mg/kg, and lead (Pb) from 44.74 to 167.82 mg/kg. Nickel (Ni) was detected in only one sample at a concentration of 22.29 mg/kg. Cobalt (Co), cadmium (Cd), and mercury (Hg) were not detected.</w:t>
            </w:r>
            <w:r w:rsidR="00321B48">
              <w:rPr>
                <w:rFonts w:ascii="Arial" w:hAnsi="Arial" w:cs="Arial"/>
                <w:color w:val="000000" w:themeColor="text1"/>
                <w:sz w:val="22"/>
                <w:szCs w:val="22"/>
              </w:rPr>
              <w:t xml:space="preserve"> </w:t>
            </w:r>
            <w:r w:rsidRPr="004E2493">
              <w:rPr>
                <w:rFonts w:ascii="Arial" w:hAnsi="Arial" w:cs="Arial"/>
                <w:color w:val="000000" w:themeColor="text1"/>
                <w:sz w:val="22"/>
                <w:szCs w:val="22"/>
              </w:rPr>
              <w:t xml:space="preserve">To address this issue, phytoremediation was identified as an ecological, economical, and sustainable solution. A theoretical evaluation of plant species capable of extracting, </w:t>
            </w:r>
            <w:r w:rsidR="002C571B" w:rsidRPr="0024788F">
              <w:rPr>
                <w:rFonts w:ascii="Arial" w:hAnsi="Arial" w:cs="Arial"/>
                <w:color w:val="000000" w:themeColor="text1"/>
                <w:sz w:val="22"/>
                <w:szCs w:val="22"/>
                <w:highlight w:val="yellow"/>
              </w:rPr>
              <w:t>stabili</w:t>
            </w:r>
            <w:r w:rsidR="002C571B" w:rsidRPr="0024788F">
              <w:rPr>
                <w:rFonts w:ascii="Arial" w:hAnsi="Arial" w:cs="Arial"/>
                <w:color w:val="000000" w:themeColor="text1"/>
                <w:sz w:val="22"/>
                <w:szCs w:val="22"/>
                <w:highlight w:val="yellow"/>
              </w:rPr>
              <w:t>s</w:t>
            </w:r>
            <w:r w:rsidR="002C571B" w:rsidRPr="0024788F">
              <w:rPr>
                <w:rFonts w:ascii="Arial" w:hAnsi="Arial" w:cs="Arial"/>
                <w:color w:val="000000" w:themeColor="text1"/>
                <w:sz w:val="22"/>
                <w:szCs w:val="22"/>
                <w:highlight w:val="yellow"/>
              </w:rPr>
              <w:t>ing</w:t>
            </w:r>
            <w:r w:rsidRPr="0024788F">
              <w:rPr>
                <w:rFonts w:ascii="Arial" w:hAnsi="Arial" w:cs="Arial"/>
                <w:color w:val="000000" w:themeColor="text1"/>
                <w:sz w:val="22"/>
                <w:szCs w:val="22"/>
                <w:highlight w:val="yellow"/>
              </w:rPr>
              <w:t>, or de</w:t>
            </w:r>
            <w:r w:rsidRPr="004E2493">
              <w:rPr>
                <w:rFonts w:ascii="Arial" w:hAnsi="Arial" w:cs="Arial"/>
                <w:color w:val="000000" w:themeColor="text1"/>
                <w:sz w:val="22"/>
                <w:szCs w:val="22"/>
              </w:rPr>
              <w:t>grading pollutants was carried out. Plants such as Vetiveria zizanioides, Helianthus annuus (sunflower), and Brassica juncea (Indian mustard) were proposed due to their tolerance to heavy metals and their decontamination potential.</w:t>
            </w:r>
          </w:p>
          <w:p w14:paraId="583F3122" w14:textId="02952AB4" w:rsidR="00505F06" w:rsidRPr="004E2493" w:rsidRDefault="00505F06" w:rsidP="00441B6F">
            <w:pPr>
              <w:pStyle w:val="Body"/>
              <w:spacing w:after="0"/>
              <w:rPr>
                <w:rFonts w:ascii="Arial" w:eastAsia="Calibri" w:hAnsi="Arial" w:cs="Arial"/>
                <w:color w:val="000000" w:themeColor="text1"/>
                <w:szCs w:val="22"/>
              </w:rPr>
            </w:pPr>
          </w:p>
        </w:tc>
      </w:tr>
    </w:tbl>
    <w:p w14:paraId="1B4C8118" w14:textId="77777777" w:rsidR="00636EB2" w:rsidRPr="004E2493" w:rsidRDefault="00636EB2" w:rsidP="00441B6F">
      <w:pPr>
        <w:pStyle w:val="Body"/>
        <w:spacing w:after="0"/>
        <w:rPr>
          <w:rFonts w:ascii="Arial" w:hAnsi="Arial" w:cs="Arial"/>
          <w:i/>
          <w:color w:val="000000" w:themeColor="text1"/>
        </w:rPr>
      </w:pPr>
    </w:p>
    <w:p w14:paraId="61013DB9" w14:textId="2342A0FE" w:rsidR="00A24E7E" w:rsidRPr="004E2493" w:rsidRDefault="00A24E7E" w:rsidP="00441B6F">
      <w:pPr>
        <w:pStyle w:val="Body"/>
        <w:spacing w:after="0"/>
        <w:rPr>
          <w:rFonts w:ascii="Arial" w:hAnsi="Arial" w:cs="Arial"/>
          <w:i/>
          <w:color w:val="000000" w:themeColor="text1"/>
        </w:rPr>
      </w:pPr>
      <w:r w:rsidRPr="00E871EE">
        <w:rPr>
          <w:rFonts w:ascii="Arial" w:hAnsi="Arial" w:cs="Arial"/>
          <w:i/>
          <w:color w:val="000000" w:themeColor="text1"/>
          <w:highlight w:val="yellow"/>
        </w:rPr>
        <w:t xml:space="preserve">Keywords: </w:t>
      </w:r>
      <w:r w:rsidR="00D53B85" w:rsidRPr="00E871EE">
        <w:rPr>
          <w:rFonts w:ascii="Arial" w:hAnsi="Arial" w:cs="Arial"/>
          <w:color w:val="000000" w:themeColor="text1"/>
          <w:highlight w:val="yellow"/>
        </w:rPr>
        <w:t>gauging; hydrocarbons; depollution</w:t>
      </w:r>
      <w:bookmarkStart w:id="2" w:name="_Hlk203252417"/>
      <w:r w:rsidR="00D53B85" w:rsidRPr="00E871EE">
        <w:rPr>
          <w:rFonts w:ascii="Arial" w:hAnsi="Arial" w:cs="Arial"/>
          <w:color w:val="000000" w:themeColor="text1"/>
          <w:highlight w:val="yellow"/>
        </w:rPr>
        <w:t>;</w:t>
      </w:r>
      <w:bookmarkEnd w:id="2"/>
      <w:r w:rsidR="00D53B85" w:rsidRPr="00E871EE">
        <w:rPr>
          <w:rFonts w:ascii="Arial" w:hAnsi="Arial" w:cs="Arial"/>
          <w:color w:val="000000" w:themeColor="text1"/>
          <w:highlight w:val="yellow"/>
        </w:rPr>
        <w:t xml:space="preserve"> heavy metals</w:t>
      </w:r>
      <w:bookmarkStart w:id="3" w:name="_Hlk203252454"/>
      <w:r w:rsidR="00C63CB2" w:rsidRPr="00E871EE">
        <w:rPr>
          <w:rFonts w:ascii="Arial" w:hAnsi="Arial" w:cs="Arial"/>
          <w:color w:val="000000" w:themeColor="text1"/>
          <w:highlight w:val="yellow"/>
        </w:rPr>
        <w:t>;</w:t>
      </w:r>
      <w:bookmarkEnd w:id="3"/>
      <w:r w:rsidR="00C63CB2" w:rsidRPr="00E871EE">
        <w:rPr>
          <w:highlight w:val="yellow"/>
        </w:rPr>
        <w:t xml:space="preserve"> </w:t>
      </w:r>
      <w:r w:rsidR="00C63CB2" w:rsidRPr="00E871EE">
        <w:rPr>
          <w:rFonts w:ascii="Arial" w:hAnsi="Arial" w:cs="Arial"/>
          <w:color w:val="000000" w:themeColor="text1"/>
          <w:highlight w:val="yellow"/>
        </w:rPr>
        <w:t>BUMIGEB;</w:t>
      </w:r>
      <w:r w:rsidR="00C63CB2" w:rsidRPr="00E871EE">
        <w:rPr>
          <w:highlight w:val="yellow"/>
        </w:rPr>
        <w:t xml:space="preserve"> </w:t>
      </w:r>
      <w:r w:rsidR="00C63CB2" w:rsidRPr="00E871EE">
        <w:rPr>
          <w:rFonts w:ascii="Arial" w:hAnsi="Arial" w:cs="Arial"/>
          <w:color w:val="000000" w:themeColor="text1"/>
          <w:highlight w:val="yellow"/>
        </w:rPr>
        <w:t>gauging process</w:t>
      </w:r>
    </w:p>
    <w:p w14:paraId="07A9D168" w14:textId="77777777" w:rsidR="00790ADA" w:rsidRPr="004E2493" w:rsidRDefault="00790ADA" w:rsidP="00441B6F">
      <w:pPr>
        <w:pStyle w:val="Body"/>
        <w:spacing w:after="0"/>
        <w:rPr>
          <w:rFonts w:ascii="Arial" w:hAnsi="Arial" w:cs="Arial"/>
          <w:i/>
          <w:color w:val="000000" w:themeColor="text1"/>
        </w:rPr>
      </w:pPr>
    </w:p>
    <w:p w14:paraId="351F6CBC" w14:textId="77777777" w:rsidR="0024282C" w:rsidRPr="004E2493" w:rsidRDefault="0024282C" w:rsidP="00441B6F">
      <w:pPr>
        <w:pStyle w:val="Body"/>
        <w:spacing w:after="0"/>
        <w:rPr>
          <w:rFonts w:ascii="Arial" w:hAnsi="Arial" w:cs="Arial"/>
          <w:i/>
          <w:color w:val="000000" w:themeColor="text1"/>
          <w:sz w:val="18"/>
        </w:rPr>
      </w:pPr>
    </w:p>
    <w:p w14:paraId="119B3853" w14:textId="77777777" w:rsidR="00505F06" w:rsidRPr="004E2493" w:rsidRDefault="00505F06" w:rsidP="00441B6F">
      <w:pPr>
        <w:pStyle w:val="Body"/>
        <w:spacing w:after="0"/>
        <w:rPr>
          <w:rFonts w:ascii="Arial" w:hAnsi="Arial" w:cs="Arial"/>
          <w:i/>
          <w:color w:val="000000" w:themeColor="text1"/>
        </w:rPr>
      </w:pPr>
    </w:p>
    <w:p w14:paraId="0ACC7B55" w14:textId="62844580" w:rsidR="007F7B32" w:rsidRPr="004E2493" w:rsidRDefault="00902823" w:rsidP="00441B6F">
      <w:pPr>
        <w:pStyle w:val="AbstHead"/>
        <w:spacing w:after="0"/>
        <w:jc w:val="both"/>
        <w:rPr>
          <w:rFonts w:ascii="Arial" w:hAnsi="Arial" w:cs="Arial"/>
          <w:color w:val="000000" w:themeColor="text1"/>
        </w:rPr>
      </w:pPr>
      <w:r w:rsidRPr="004E2493">
        <w:rPr>
          <w:rFonts w:ascii="Arial" w:hAnsi="Arial" w:cs="Arial"/>
          <w:color w:val="000000" w:themeColor="text1"/>
        </w:rPr>
        <w:t xml:space="preserve">1. </w:t>
      </w:r>
      <w:r w:rsidR="00B01FCD" w:rsidRPr="004E2493">
        <w:rPr>
          <w:rFonts w:ascii="Arial" w:hAnsi="Arial" w:cs="Arial"/>
          <w:color w:val="000000" w:themeColor="text1"/>
        </w:rPr>
        <w:t>INTRODUCTION</w:t>
      </w:r>
    </w:p>
    <w:p w14:paraId="61A421AD" w14:textId="77777777" w:rsidR="00790ADA" w:rsidRPr="004E2493" w:rsidRDefault="00790ADA" w:rsidP="00441B6F">
      <w:pPr>
        <w:pStyle w:val="AbstHead"/>
        <w:spacing w:after="0"/>
        <w:jc w:val="both"/>
        <w:rPr>
          <w:rFonts w:ascii="Arial" w:hAnsi="Arial" w:cs="Arial"/>
          <w:color w:val="000000" w:themeColor="text1"/>
        </w:rPr>
      </w:pPr>
    </w:p>
    <w:p w14:paraId="3460E0B6" w14:textId="35E36A91"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 xml:space="preserve">The world is increasingly facing heightened sensitivity to environmental issues. The management of </w:t>
      </w:r>
      <w:r w:rsidRPr="0024788F">
        <w:rPr>
          <w:rFonts w:ascii="Arial" w:hAnsi="Arial" w:cs="Arial"/>
          <w:color w:val="000000" w:themeColor="text1"/>
          <w:highlight w:val="yellow"/>
        </w:rPr>
        <w:t xml:space="preserve">hydrocarbons and </w:t>
      </w:r>
      <w:r w:rsidR="002C571B" w:rsidRPr="0024788F">
        <w:rPr>
          <w:rFonts w:ascii="Arial" w:hAnsi="Arial" w:cs="Arial"/>
          <w:color w:val="000000" w:themeColor="text1"/>
          <w:highlight w:val="yellow"/>
        </w:rPr>
        <w:t xml:space="preserve">the </w:t>
      </w:r>
      <w:r w:rsidRPr="0024788F">
        <w:rPr>
          <w:rFonts w:ascii="Arial" w:hAnsi="Arial" w:cs="Arial"/>
          <w:color w:val="000000" w:themeColor="text1"/>
          <w:highlight w:val="yellow"/>
        </w:rPr>
        <w:t>control</w:t>
      </w:r>
      <w:r w:rsidRPr="004E2493">
        <w:rPr>
          <w:rFonts w:ascii="Arial" w:hAnsi="Arial" w:cs="Arial"/>
          <w:color w:val="000000" w:themeColor="text1"/>
        </w:rPr>
        <w:t xml:space="preserve"> of pollution risks have become priorities for industries and companies operating in the field (</w:t>
      </w:r>
      <w:r w:rsidR="008E40E9" w:rsidRPr="004E2493">
        <w:rPr>
          <w:rFonts w:ascii="Arial" w:hAnsi="Arial" w:cs="Arial"/>
          <w:noProof/>
          <w:color w:val="000000" w:themeColor="text1"/>
        </w:rPr>
        <w:t>Kharaka et al., 2005</w:t>
      </w:r>
      <w:r w:rsidRPr="004E2493">
        <w:rPr>
          <w:rFonts w:ascii="Arial" w:hAnsi="Arial" w:cs="Arial"/>
          <w:color w:val="000000" w:themeColor="text1"/>
        </w:rPr>
        <w:t xml:space="preserve">). In recent decades, </w:t>
      </w:r>
      <w:r w:rsidRPr="004E2493">
        <w:rPr>
          <w:rFonts w:ascii="Arial" w:hAnsi="Arial" w:cs="Arial"/>
          <w:color w:val="000000" w:themeColor="text1"/>
        </w:rPr>
        <w:lastRenderedPageBreak/>
        <w:t>there has been growing awareness of environmental problems at local and regional levels (such as air and urban pollution, and water and soil contamination) as well as at the global scale (such as the increase in greenhouse gases in the upper atmosphere) (IPCC, 2021).</w:t>
      </w:r>
      <w:r w:rsidR="00640C95">
        <w:rPr>
          <w:rFonts w:ascii="Arial" w:hAnsi="Arial" w:cs="Arial"/>
          <w:color w:val="000000" w:themeColor="text1"/>
        </w:rPr>
        <w:t xml:space="preserve"> </w:t>
      </w:r>
      <w:r w:rsidR="00640C95" w:rsidRPr="00640C95">
        <w:rPr>
          <w:rFonts w:ascii="Arial" w:hAnsi="Arial" w:cs="Arial"/>
          <w:color w:val="000000" w:themeColor="text1"/>
          <w:highlight w:val="yellow"/>
        </w:rPr>
        <w:t>Soil is an important part of the terrestrial ecosystem</w:t>
      </w:r>
      <w:r w:rsidR="00E33C39">
        <w:rPr>
          <w:rFonts w:ascii="Arial" w:hAnsi="Arial" w:cs="Arial"/>
          <w:color w:val="000000" w:themeColor="text1"/>
          <w:highlight w:val="yellow"/>
        </w:rPr>
        <w:t>,</w:t>
      </w:r>
      <w:r w:rsidR="00640C95" w:rsidRPr="00640C95">
        <w:rPr>
          <w:rFonts w:ascii="Arial" w:hAnsi="Arial" w:cs="Arial"/>
          <w:color w:val="000000" w:themeColor="text1"/>
          <w:highlight w:val="yellow"/>
        </w:rPr>
        <w:t xml:space="preserve"> and it is the ultimate sink for </w:t>
      </w:r>
      <w:r w:rsidR="00A933D2" w:rsidRPr="00A933D2">
        <w:rPr>
          <w:rFonts w:ascii="Arial" w:hAnsi="Arial" w:cs="Arial"/>
          <w:color w:val="000000" w:themeColor="text1"/>
        </w:rPr>
        <w:t>heavy metals</w:t>
      </w:r>
      <w:r w:rsidR="00A933D2">
        <w:rPr>
          <w:rFonts w:ascii="Arial" w:hAnsi="Arial" w:cs="Arial"/>
          <w:color w:val="000000" w:themeColor="text1"/>
        </w:rPr>
        <w:t xml:space="preserve"> </w:t>
      </w:r>
      <w:r w:rsidR="00640C95" w:rsidRPr="00640C95">
        <w:rPr>
          <w:rFonts w:ascii="Arial" w:hAnsi="Arial" w:cs="Arial"/>
          <w:color w:val="000000" w:themeColor="text1"/>
          <w:highlight w:val="yellow"/>
        </w:rPr>
        <w:t xml:space="preserve">and becomes a medium to spread them into water bodies, organisms, and </w:t>
      </w:r>
      <w:r w:rsidR="00E33C39">
        <w:rPr>
          <w:rFonts w:ascii="Arial" w:hAnsi="Arial" w:cs="Arial"/>
          <w:color w:val="000000" w:themeColor="text1"/>
          <w:highlight w:val="yellow"/>
        </w:rPr>
        <w:t xml:space="preserve">the </w:t>
      </w:r>
      <w:r w:rsidR="00640C95" w:rsidRPr="00640C95">
        <w:rPr>
          <w:rFonts w:ascii="Arial" w:hAnsi="Arial" w:cs="Arial"/>
          <w:color w:val="000000" w:themeColor="text1"/>
          <w:highlight w:val="yellow"/>
        </w:rPr>
        <w:t xml:space="preserve">atmosphere. </w:t>
      </w:r>
      <w:r w:rsidR="00691FCF" w:rsidRPr="00691FCF">
        <w:rPr>
          <w:rFonts w:ascii="Arial" w:hAnsi="Arial" w:cs="Arial"/>
          <w:color w:val="000000" w:themeColor="text1"/>
        </w:rPr>
        <w:t>H</w:t>
      </w:r>
      <w:r w:rsidR="00691FCF" w:rsidRPr="00691FCF">
        <w:rPr>
          <w:rFonts w:ascii="Arial" w:hAnsi="Arial" w:cs="Arial"/>
          <w:color w:val="000000" w:themeColor="text1"/>
        </w:rPr>
        <w:t>eavy</w:t>
      </w:r>
      <w:r w:rsidR="00691FCF">
        <w:rPr>
          <w:rFonts w:ascii="Arial" w:hAnsi="Arial" w:cs="Arial"/>
          <w:color w:val="000000" w:themeColor="text1"/>
        </w:rPr>
        <w:t xml:space="preserve"> </w:t>
      </w:r>
      <w:r w:rsidR="00691FCF" w:rsidRPr="00691FCF">
        <w:rPr>
          <w:rFonts w:ascii="Arial" w:hAnsi="Arial" w:cs="Arial"/>
          <w:color w:val="000000" w:themeColor="text1"/>
        </w:rPr>
        <w:t>metals</w:t>
      </w:r>
      <w:r w:rsidR="00691FCF">
        <w:rPr>
          <w:rFonts w:ascii="Arial" w:hAnsi="Arial" w:cs="Arial"/>
          <w:color w:val="000000" w:themeColor="text1"/>
        </w:rPr>
        <w:t xml:space="preserve"> </w:t>
      </w:r>
      <w:r w:rsidR="00640C95" w:rsidRPr="00640C95">
        <w:rPr>
          <w:rFonts w:ascii="Arial" w:hAnsi="Arial" w:cs="Arial"/>
          <w:color w:val="000000" w:themeColor="text1"/>
          <w:highlight w:val="yellow"/>
        </w:rPr>
        <w:t>are persistent and accumulative in soil and increase the toxicity of soils after combining with inorganic and organic matters</w:t>
      </w:r>
      <w:r w:rsidR="00AC573C">
        <w:rPr>
          <w:rFonts w:ascii="Arial" w:hAnsi="Arial" w:cs="Arial"/>
          <w:color w:val="000000" w:themeColor="text1"/>
          <w:highlight w:val="yellow"/>
        </w:rPr>
        <w:t xml:space="preserve"> (</w:t>
      </w:r>
      <w:r w:rsidR="00AC573C" w:rsidRPr="00AC573C">
        <w:rPr>
          <w:rFonts w:ascii="Arial" w:hAnsi="Arial" w:cs="Arial"/>
          <w:color w:val="000000" w:themeColor="text1"/>
        </w:rPr>
        <w:t>Ahmad</w:t>
      </w:r>
      <w:r w:rsidR="00AC573C">
        <w:rPr>
          <w:rFonts w:ascii="Arial" w:hAnsi="Arial" w:cs="Arial"/>
          <w:color w:val="000000" w:themeColor="text1"/>
        </w:rPr>
        <w:t xml:space="preserve"> et al., 2021)</w:t>
      </w:r>
      <w:r w:rsidR="00640C95" w:rsidRPr="00640C95">
        <w:rPr>
          <w:rFonts w:ascii="Arial" w:hAnsi="Arial" w:cs="Arial"/>
          <w:color w:val="000000" w:themeColor="text1"/>
          <w:highlight w:val="yellow"/>
        </w:rPr>
        <w:t>.</w:t>
      </w:r>
      <w:r w:rsidRPr="004E2493">
        <w:rPr>
          <w:rFonts w:ascii="Arial" w:hAnsi="Arial" w:cs="Arial"/>
          <w:color w:val="000000" w:themeColor="text1"/>
        </w:rPr>
        <w:t xml:space="preserve"> Global consumption of petroleum products is estimated at over 95 million barrels per day. According to "PIRA Energy Group," consumption in Africa increased by about 20% between 1990 and 2005 and is expected to rise by more than 30% by 2025 (IEA, 2019). The majority of the energy sources required for the functioning of societies and industries come from gas and oil, which fuel transportation and are used in the production of domestic and industrial chemicals (U.S. Energy Information Administration, 2020). Petroleum products contain aromatic hydrocarbons (such as benzene, toluene, etc.) and heavy metals that are insoluble in water. Due to their composition, structure, and poor biodegradability, petroleum products</w:t>
      </w:r>
      <w:r w:rsidR="002C571B">
        <w:rPr>
          <w:rFonts w:ascii="Arial" w:hAnsi="Arial" w:cs="Arial"/>
          <w:color w:val="000000" w:themeColor="text1"/>
        </w:rPr>
        <w:t>,</w:t>
      </w:r>
      <w:r w:rsidR="004811BA" w:rsidRPr="004E2493">
        <w:rPr>
          <w:rFonts w:ascii="Arial" w:hAnsi="Arial" w:cs="Arial"/>
          <w:color w:val="000000" w:themeColor="text1"/>
        </w:rPr>
        <w:t xml:space="preserve"> </w:t>
      </w:r>
      <w:r w:rsidRPr="004E2493">
        <w:rPr>
          <w:rFonts w:ascii="Arial" w:hAnsi="Arial" w:cs="Arial"/>
          <w:color w:val="000000" w:themeColor="text1"/>
        </w:rPr>
        <w:t>particularly hydrocarbons</w:t>
      </w:r>
      <w:r w:rsidR="002C571B">
        <w:rPr>
          <w:rFonts w:ascii="Arial" w:hAnsi="Arial" w:cs="Arial"/>
          <w:color w:val="000000" w:themeColor="text1"/>
        </w:rPr>
        <w:t>,</w:t>
      </w:r>
      <w:r w:rsidR="004811BA" w:rsidRPr="004E2493">
        <w:rPr>
          <w:rFonts w:ascii="Arial" w:hAnsi="Arial" w:cs="Arial"/>
          <w:color w:val="000000" w:themeColor="text1"/>
        </w:rPr>
        <w:t xml:space="preserve"> </w:t>
      </w:r>
      <w:r w:rsidRPr="004E2493">
        <w:rPr>
          <w:rFonts w:ascii="Arial" w:hAnsi="Arial" w:cs="Arial"/>
          <w:color w:val="000000" w:themeColor="text1"/>
        </w:rPr>
        <w:t>are toxic to the environment as they can enter the food chain (Qiu et al., 1997; Mekhalif, 2009; Harmens et al., 2013). They can persist in natural environments for long periods, cause mutagenic and carcinogenic effects, and harm biodiversity (Cerniglia, 1992; Atlas and Hazen, 2011).</w:t>
      </w:r>
      <w:r w:rsidR="00016C23">
        <w:rPr>
          <w:rFonts w:ascii="Arial" w:hAnsi="Arial" w:cs="Arial"/>
          <w:color w:val="000000" w:themeColor="text1"/>
        </w:rPr>
        <w:t xml:space="preserve"> </w:t>
      </w:r>
      <w:r w:rsidR="00016C23" w:rsidRPr="00016C23">
        <w:rPr>
          <w:rFonts w:ascii="Arial" w:hAnsi="Arial" w:cs="Arial"/>
          <w:color w:val="000000" w:themeColor="text1"/>
          <w:highlight w:val="yellow"/>
        </w:rPr>
        <w:t>Soil contamination by heavy metals is a complex problem with potentially devastating consequences, affecting not</w:t>
      </w:r>
      <w:r w:rsidR="004755D3">
        <w:rPr>
          <w:rFonts w:ascii="Arial" w:hAnsi="Arial" w:cs="Arial"/>
          <w:color w:val="000000" w:themeColor="text1"/>
          <w:highlight w:val="yellow"/>
        </w:rPr>
        <w:t xml:space="preserve"> </w:t>
      </w:r>
      <w:r w:rsidR="00016C23" w:rsidRPr="00016C23">
        <w:rPr>
          <w:rFonts w:ascii="Arial" w:hAnsi="Arial" w:cs="Arial"/>
          <w:color w:val="000000" w:themeColor="text1"/>
          <w:highlight w:val="yellow"/>
        </w:rPr>
        <w:t>only</w:t>
      </w:r>
      <w:r w:rsidR="004755D3">
        <w:rPr>
          <w:rFonts w:ascii="Arial" w:hAnsi="Arial" w:cs="Arial"/>
          <w:color w:val="000000" w:themeColor="text1"/>
          <w:highlight w:val="yellow"/>
        </w:rPr>
        <w:t xml:space="preserve"> </w:t>
      </w:r>
      <w:r w:rsidR="00016C23" w:rsidRPr="00016C23">
        <w:rPr>
          <w:rFonts w:ascii="Arial" w:hAnsi="Arial" w:cs="Arial"/>
          <w:color w:val="000000" w:themeColor="text1"/>
          <w:highlight w:val="yellow"/>
        </w:rPr>
        <w:t>the</w:t>
      </w:r>
      <w:r w:rsidR="004755D3">
        <w:rPr>
          <w:rFonts w:ascii="Arial" w:hAnsi="Arial" w:cs="Arial"/>
          <w:color w:val="000000" w:themeColor="text1"/>
          <w:highlight w:val="yellow"/>
        </w:rPr>
        <w:t xml:space="preserve"> </w:t>
      </w:r>
      <w:r w:rsidR="00016C23" w:rsidRPr="00016C23">
        <w:rPr>
          <w:rFonts w:ascii="Arial" w:hAnsi="Arial" w:cs="Arial"/>
          <w:color w:val="000000" w:themeColor="text1"/>
          <w:highlight w:val="yellow"/>
        </w:rPr>
        <w:t>health</w:t>
      </w:r>
      <w:r w:rsidR="004755D3">
        <w:rPr>
          <w:rFonts w:ascii="Arial" w:hAnsi="Arial" w:cs="Arial"/>
          <w:color w:val="000000" w:themeColor="text1"/>
          <w:highlight w:val="yellow"/>
        </w:rPr>
        <w:t xml:space="preserve"> </w:t>
      </w:r>
      <w:r w:rsidR="00016C23" w:rsidRPr="00016C23">
        <w:rPr>
          <w:rFonts w:ascii="Arial" w:hAnsi="Arial" w:cs="Arial"/>
          <w:color w:val="000000" w:themeColor="text1"/>
          <w:highlight w:val="yellow"/>
        </w:rPr>
        <w:t>of</w:t>
      </w:r>
      <w:r w:rsidR="004755D3">
        <w:rPr>
          <w:rFonts w:ascii="Arial" w:hAnsi="Arial" w:cs="Arial"/>
          <w:color w:val="000000" w:themeColor="text1"/>
          <w:highlight w:val="yellow"/>
        </w:rPr>
        <w:t xml:space="preserve"> </w:t>
      </w:r>
      <w:r w:rsidR="00016C23" w:rsidRPr="00016C23">
        <w:rPr>
          <w:rFonts w:ascii="Arial" w:hAnsi="Arial" w:cs="Arial"/>
          <w:color w:val="000000" w:themeColor="text1"/>
          <w:highlight w:val="yellow"/>
        </w:rPr>
        <w:t>terrestrial ecosystems, but</w:t>
      </w:r>
      <w:r w:rsidR="004755D3">
        <w:rPr>
          <w:rFonts w:ascii="Arial" w:hAnsi="Arial" w:cs="Arial"/>
          <w:color w:val="000000" w:themeColor="text1"/>
          <w:highlight w:val="yellow"/>
        </w:rPr>
        <w:t xml:space="preserve"> </w:t>
      </w:r>
      <w:r w:rsidR="00016C23" w:rsidRPr="00016C23">
        <w:rPr>
          <w:rFonts w:ascii="Arial" w:hAnsi="Arial" w:cs="Arial"/>
          <w:color w:val="000000" w:themeColor="text1"/>
          <w:highlight w:val="yellow"/>
        </w:rPr>
        <w:t>also the quality of drinking water, food safety and human health</w:t>
      </w:r>
      <w:r w:rsidR="00A46BD7">
        <w:rPr>
          <w:rFonts w:ascii="Arial" w:hAnsi="Arial" w:cs="Arial"/>
          <w:color w:val="000000" w:themeColor="text1"/>
        </w:rPr>
        <w:t xml:space="preserve"> (</w:t>
      </w:r>
      <w:r w:rsidR="00A46BD7" w:rsidRPr="00A46BD7">
        <w:rPr>
          <w:rFonts w:ascii="Arial" w:hAnsi="Arial" w:cs="Arial"/>
          <w:color w:val="000000" w:themeColor="text1"/>
        </w:rPr>
        <w:t>Alain</w:t>
      </w:r>
      <w:r w:rsidR="00A46BD7">
        <w:rPr>
          <w:rFonts w:ascii="Arial" w:hAnsi="Arial" w:cs="Arial"/>
          <w:color w:val="000000" w:themeColor="text1"/>
        </w:rPr>
        <w:t xml:space="preserve"> et al., 2023)</w:t>
      </w:r>
      <w:r w:rsidR="00016C23">
        <w:rPr>
          <w:rFonts w:ascii="Arial" w:hAnsi="Arial" w:cs="Arial"/>
          <w:color w:val="000000" w:themeColor="text1"/>
        </w:rPr>
        <w:t>.</w:t>
      </w:r>
      <w:r w:rsidRPr="004E2493">
        <w:rPr>
          <w:rFonts w:ascii="Arial" w:hAnsi="Arial" w:cs="Arial"/>
          <w:color w:val="000000" w:themeColor="text1"/>
        </w:rPr>
        <w:t xml:space="preserve"> It is therefore increasingly important to seek viable, effective, and adapted solutions to prevent soil and water contamination. Phytoremediation, for example, is an ecological depollution technique that is being increasingly studied for its ability to </w:t>
      </w:r>
      <w:r w:rsidRPr="0024788F">
        <w:rPr>
          <w:rFonts w:ascii="Arial" w:hAnsi="Arial" w:cs="Arial"/>
          <w:color w:val="000000" w:themeColor="text1"/>
          <w:highlight w:val="yellow"/>
        </w:rPr>
        <w:t xml:space="preserve">extract, </w:t>
      </w:r>
      <w:r w:rsidR="002C571B" w:rsidRPr="0024788F">
        <w:rPr>
          <w:rFonts w:ascii="Arial" w:hAnsi="Arial" w:cs="Arial"/>
          <w:color w:val="000000" w:themeColor="text1"/>
          <w:highlight w:val="yellow"/>
        </w:rPr>
        <w:t>stabili</w:t>
      </w:r>
      <w:r w:rsidR="002C571B" w:rsidRPr="0024788F">
        <w:rPr>
          <w:rFonts w:ascii="Arial" w:hAnsi="Arial" w:cs="Arial"/>
          <w:color w:val="000000" w:themeColor="text1"/>
          <w:highlight w:val="yellow"/>
        </w:rPr>
        <w:t>s</w:t>
      </w:r>
      <w:r w:rsidR="002C571B" w:rsidRPr="0024788F">
        <w:rPr>
          <w:rFonts w:ascii="Arial" w:hAnsi="Arial" w:cs="Arial"/>
          <w:color w:val="000000" w:themeColor="text1"/>
          <w:highlight w:val="yellow"/>
        </w:rPr>
        <w:t>e</w:t>
      </w:r>
      <w:r w:rsidRPr="0024788F">
        <w:rPr>
          <w:rFonts w:ascii="Arial" w:hAnsi="Arial" w:cs="Arial"/>
          <w:color w:val="000000" w:themeColor="text1"/>
          <w:highlight w:val="yellow"/>
        </w:rPr>
        <w:t>, or tr</w:t>
      </w:r>
      <w:r w:rsidRPr="004E2493">
        <w:rPr>
          <w:rFonts w:ascii="Arial" w:hAnsi="Arial" w:cs="Arial"/>
          <w:color w:val="000000" w:themeColor="text1"/>
        </w:rPr>
        <w:t>ansform organic and metallic pollutants (Pilon-Smits, 2005; Ali et al., 2013).</w:t>
      </w:r>
    </w:p>
    <w:p w14:paraId="03998714" w14:textId="149DFFF6"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In Burkina Faso, a country undergoing rapid economic growth, the management of hydrocarbons is a major environmental challenge due to the increased risks of soil and water contamination (Ouédraogo et al., 2017). Activities related to the transport, storage, and handling of hydrocarbons</w:t>
      </w:r>
      <w:r w:rsidR="002C571B">
        <w:rPr>
          <w:rFonts w:ascii="Arial" w:hAnsi="Arial" w:cs="Arial"/>
          <w:color w:val="000000" w:themeColor="text1"/>
        </w:rPr>
        <w:t>,</w:t>
      </w:r>
      <w:r w:rsidR="004811BA" w:rsidRPr="004E2493">
        <w:rPr>
          <w:rFonts w:ascii="Arial" w:hAnsi="Arial" w:cs="Arial"/>
          <w:color w:val="000000" w:themeColor="text1"/>
        </w:rPr>
        <w:t xml:space="preserve"> </w:t>
      </w:r>
      <w:r w:rsidRPr="004E2493">
        <w:rPr>
          <w:rFonts w:ascii="Arial" w:hAnsi="Arial" w:cs="Arial"/>
          <w:color w:val="000000" w:themeColor="text1"/>
        </w:rPr>
        <w:t>often carried out with ag</w:t>
      </w:r>
      <w:r w:rsidR="002C571B">
        <w:rPr>
          <w:rFonts w:ascii="Arial" w:hAnsi="Arial" w:cs="Arial"/>
          <w:color w:val="000000" w:themeColor="text1"/>
        </w:rPr>
        <w:t>e</w:t>
      </w:r>
      <w:r w:rsidRPr="004E2493">
        <w:rPr>
          <w:rFonts w:ascii="Arial" w:hAnsi="Arial" w:cs="Arial"/>
          <w:color w:val="000000" w:themeColor="text1"/>
        </w:rPr>
        <w:t>ing or poorly monitored infrastructure</w:t>
      </w:r>
      <w:r w:rsidR="002C571B">
        <w:rPr>
          <w:rFonts w:ascii="Arial" w:hAnsi="Arial" w:cs="Arial"/>
          <w:color w:val="000000" w:themeColor="text1"/>
        </w:rPr>
        <w:t>,</w:t>
      </w:r>
      <w:r w:rsidR="004811BA" w:rsidRPr="004E2493">
        <w:rPr>
          <w:rFonts w:ascii="Arial" w:hAnsi="Arial" w:cs="Arial"/>
          <w:color w:val="000000" w:themeColor="text1"/>
        </w:rPr>
        <w:t xml:space="preserve"> </w:t>
      </w:r>
      <w:r w:rsidRPr="004E2493">
        <w:rPr>
          <w:rFonts w:ascii="Arial" w:hAnsi="Arial" w:cs="Arial"/>
          <w:color w:val="000000" w:themeColor="text1"/>
        </w:rPr>
        <w:t>heighten the probability of accidental spills. Such pollution can have serious consequences for soils, including reduced fertility and increased toxicity for microorganisms and plants. Groundwater sources, which are vital for supplying drinking water to rural populations, are particularly vulnerable since hydrocarbons can easily infiltrate soils and pollute underground water supplies for extended periods.</w:t>
      </w:r>
      <w:r w:rsidR="0014140E" w:rsidRPr="0014140E">
        <w:t xml:space="preserve"> </w:t>
      </w:r>
      <w:r w:rsidR="0014140E" w:rsidRPr="00617613">
        <w:rPr>
          <w:rFonts w:ascii="Arial" w:hAnsi="Arial" w:cs="Arial"/>
          <w:color w:val="000000" w:themeColor="text1"/>
          <w:highlight w:val="yellow"/>
        </w:rPr>
        <w:t>Soil pollution from hydrocarbons, particularly petroleum derivatives, has emerged as a critical environmental issue resulting from industrial activities, accidental spills, and improper waste disposal practices. These contaminants present serious threats to ecosystems, agricultural productivity, and human health (Abdulilah, H.A.Q et al, 2019)</w:t>
      </w:r>
      <w:r w:rsidR="0014140E">
        <w:rPr>
          <w:rFonts w:ascii="Arial" w:hAnsi="Arial" w:cs="Arial"/>
          <w:color w:val="000000" w:themeColor="text1"/>
        </w:rPr>
        <w:tab/>
      </w:r>
    </w:p>
    <w:p w14:paraId="33DFBF64" w14:textId="4F0A059B"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 xml:space="preserve">As part of its regulatory and oversight responsibilities, the Bureau of Mines and Geology of Burkina Faso (BUMIGEB) has implemented a rigorous procedure for gauging tanker trucks. This activity ensures full transparency in the transport of liquids, especially in sensitive sectors like hydrocarbons. Gauging of tanker trucks plays a central role in hydrocarbon logistics for the industrial and mining sectors </w:t>
      </w:r>
      <w:bookmarkStart w:id="4" w:name="_Hlk203256358"/>
      <w:r w:rsidRPr="004E2493">
        <w:rPr>
          <w:rFonts w:ascii="Arial" w:hAnsi="Arial" w:cs="Arial"/>
          <w:color w:val="000000" w:themeColor="text1"/>
        </w:rPr>
        <w:t>(</w:t>
      </w:r>
      <w:bookmarkEnd w:id="4"/>
      <w:r w:rsidRPr="004E2493">
        <w:rPr>
          <w:rFonts w:ascii="Arial" w:hAnsi="Arial" w:cs="Arial"/>
          <w:color w:val="000000" w:themeColor="text1"/>
        </w:rPr>
        <w:t>BUMIGEB, 2023</w:t>
      </w:r>
      <w:bookmarkStart w:id="5" w:name="_Hlk203256370"/>
      <w:r w:rsidRPr="004E2493">
        <w:rPr>
          <w:rFonts w:ascii="Arial" w:hAnsi="Arial" w:cs="Arial"/>
          <w:color w:val="000000" w:themeColor="text1"/>
        </w:rPr>
        <w:t>)</w:t>
      </w:r>
      <w:bookmarkEnd w:id="5"/>
      <w:r w:rsidRPr="004E2493">
        <w:rPr>
          <w:rFonts w:ascii="Arial" w:hAnsi="Arial" w:cs="Arial"/>
          <w:color w:val="000000" w:themeColor="text1"/>
        </w:rPr>
        <w:t xml:space="preserve">. As a key </w:t>
      </w:r>
      <w:r w:rsidR="004811BA" w:rsidRPr="004E2493">
        <w:rPr>
          <w:rFonts w:ascii="Arial" w:hAnsi="Arial" w:cs="Arial"/>
          <w:color w:val="000000" w:themeColor="text1"/>
        </w:rPr>
        <w:t>factor</w:t>
      </w:r>
      <w:r w:rsidRPr="004E2493">
        <w:rPr>
          <w:rFonts w:ascii="Arial" w:hAnsi="Arial" w:cs="Arial"/>
          <w:color w:val="000000" w:themeColor="text1"/>
        </w:rPr>
        <w:t xml:space="preserve"> in Burkina Faso’s industrial and mining sector, BUMIGEB manages critical infrastructure for the gauging of tanker trucks. However, this activity poses a significant environmental risk. Leaks, accidental spills, or uncontrolled discharge of contaminated water used during the gauging process can lead to soil and water pollution (Béguin et al., 2006). If not properly managed, hydrocarbons can infiltrate the soil, affect groundwater quality, and cause serious harm to surrounding ecosystems and even nearby populations. This raises several questions: What are the current practices in the gauging area? What is the level of environmental contamination caused by this activity? How can we structure an environmental management plan tailored to the BUMIGEB gauging area? It is imperative to develop an environmental management strategy that encompasses prevention, control, and remediation or elimination </w:t>
      </w:r>
      <w:r w:rsidRPr="004E2493">
        <w:rPr>
          <w:rFonts w:ascii="Arial" w:hAnsi="Arial" w:cs="Arial"/>
          <w:color w:val="000000" w:themeColor="text1"/>
        </w:rPr>
        <w:lastRenderedPageBreak/>
        <w:t>of the impacts related to the gauging of tanker trucks at BUMIGEB. In order to provide answers to these questions, the chosen research theme is: "Evaluation of the Environmental Impacts of the Tanker Truck Gauging Process on Soils and Proposals for Ecological Remediation Methods: Case of the Bureau of Mines and Geology of Burkina Faso (BUMIGEB)".</w:t>
      </w:r>
    </w:p>
    <w:p w14:paraId="29BE30DA" w14:textId="714A37C9"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 xml:space="preserve">The general objective of this study is to develop a strategy for environmental management of water and soils in the tanker truck gauging area at BUMIGEB, with the goal of providing both </w:t>
      </w:r>
      <w:r w:rsidR="00626167" w:rsidRPr="004E2493">
        <w:rPr>
          <w:rFonts w:ascii="Arial" w:hAnsi="Arial" w:cs="Arial"/>
          <w:color w:val="000000" w:themeColor="text1"/>
        </w:rPr>
        <w:t>short- and long-term</w:t>
      </w:r>
      <w:r w:rsidRPr="004E2493">
        <w:rPr>
          <w:rFonts w:ascii="Arial" w:hAnsi="Arial" w:cs="Arial"/>
          <w:color w:val="000000" w:themeColor="text1"/>
        </w:rPr>
        <w:t xml:space="preserve"> solutions to this pollution. Specifically, the study aims to: first, understand the gauging process; second, assess the levels of soil and water contamination in the gauging area.</w:t>
      </w:r>
    </w:p>
    <w:p w14:paraId="4E49996E" w14:textId="77777777" w:rsidR="00790ADA" w:rsidRPr="004E2493" w:rsidRDefault="00790ADA" w:rsidP="00441B6F">
      <w:pPr>
        <w:pStyle w:val="Body"/>
        <w:spacing w:after="0"/>
        <w:rPr>
          <w:rFonts w:ascii="Arial" w:hAnsi="Arial" w:cs="Arial"/>
          <w:color w:val="000000" w:themeColor="text1"/>
        </w:rPr>
      </w:pPr>
    </w:p>
    <w:p w14:paraId="788FEA7F" w14:textId="25E662E2" w:rsidR="007F7B32" w:rsidRPr="004E2493" w:rsidRDefault="00902823" w:rsidP="00441B6F">
      <w:pPr>
        <w:pStyle w:val="AbstHead"/>
        <w:spacing w:after="0"/>
        <w:jc w:val="both"/>
        <w:rPr>
          <w:rFonts w:ascii="Arial" w:hAnsi="Arial" w:cs="Arial"/>
          <w:color w:val="000000" w:themeColor="text1"/>
        </w:rPr>
      </w:pPr>
      <w:r w:rsidRPr="004E2493">
        <w:rPr>
          <w:rFonts w:ascii="Arial" w:hAnsi="Arial" w:cs="Arial"/>
          <w:color w:val="000000" w:themeColor="text1"/>
        </w:rPr>
        <w:t>2. material and method</w:t>
      </w:r>
      <w:r w:rsidR="00000F8F" w:rsidRPr="004E2493">
        <w:rPr>
          <w:rFonts w:ascii="Arial" w:hAnsi="Arial" w:cs="Arial"/>
          <w:color w:val="000000" w:themeColor="text1"/>
        </w:rPr>
        <w:t xml:space="preserve">s </w:t>
      </w:r>
    </w:p>
    <w:p w14:paraId="44240CA9" w14:textId="77777777" w:rsidR="00790ADA" w:rsidRPr="004E2493" w:rsidRDefault="00790ADA" w:rsidP="00441B6F">
      <w:pPr>
        <w:pStyle w:val="AbstHead"/>
        <w:spacing w:after="0"/>
        <w:jc w:val="both"/>
        <w:rPr>
          <w:rFonts w:ascii="Arial" w:hAnsi="Arial" w:cs="Arial"/>
          <w:color w:val="000000" w:themeColor="text1"/>
        </w:rPr>
      </w:pPr>
    </w:p>
    <w:p w14:paraId="625C833B" w14:textId="69EB7254" w:rsidR="00D53B85" w:rsidRPr="004E2493" w:rsidRDefault="00940FEE" w:rsidP="00D53B85">
      <w:pPr>
        <w:jc w:val="both"/>
        <w:rPr>
          <w:rFonts w:ascii="Arial" w:hAnsi="Arial" w:cs="Arial"/>
          <w:b/>
          <w:bCs/>
          <w:color w:val="000000" w:themeColor="text1"/>
          <w:sz w:val="22"/>
          <w:szCs w:val="22"/>
        </w:rPr>
      </w:pPr>
      <w:r w:rsidRPr="004E2493">
        <w:rPr>
          <w:rFonts w:ascii="Arial" w:hAnsi="Arial" w:cs="Arial"/>
          <w:b/>
          <w:bCs/>
          <w:color w:val="000000" w:themeColor="text1"/>
          <w:sz w:val="22"/>
          <w:szCs w:val="22"/>
        </w:rPr>
        <w:t xml:space="preserve">2.1 </w:t>
      </w:r>
      <w:r w:rsidR="00D53B85" w:rsidRPr="004E2493">
        <w:rPr>
          <w:rFonts w:ascii="Arial" w:hAnsi="Arial" w:cs="Arial"/>
          <w:b/>
          <w:bCs/>
          <w:color w:val="000000" w:themeColor="text1"/>
          <w:sz w:val="22"/>
          <w:szCs w:val="22"/>
        </w:rPr>
        <w:t>Study Area Presentation</w:t>
      </w:r>
    </w:p>
    <w:p w14:paraId="12236A4B" w14:textId="0C029FAD"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 xml:space="preserve">The Bureau of Mines and Geology of Burkina (BUMIGEB) has </w:t>
      </w:r>
      <w:r w:rsidRPr="0024788F">
        <w:rPr>
          <w:rFonts w:ascii="Arial" w:hAnsi="Arial" w:cs="Arial"/>
          <w:color w:val="000000" w:themeColor="text1"/>
          <w:highlight w:val="yellow"/>
        </w:rPr>
        <w:t xml:space="preserve">a </w:t>
      </w:r>
      <w:r w:rsidR="002C571B" w:rsidRPr="0024788F">
        <w:rPr>
          <w:rFonts w:ascii="Arial" w:hAnsi="Arial" w:cs="Arial"/>
          <w:color w:val="000000" w:themeColor="text1"/>
          <w:highlight w:val="yellow"/>
        </w:rPr>
        <w:t>speciali</w:t>
      </w:r>
      <w:r w:rsidR="002C571B" w:rsidRPr="0024788F">
        <w:rPr>
          <w:rFonts w:ascii="Arial" w:hAnsi="Arial" w:cs="Arial"/>
          <w:color w:val="000000" w:themeColor="text1"/>
          <w:highlight w:val="yellow"/>
        </w:rPr>
        <w:t>s</w:t>
      </w:r>
      <w:r w:rsidR="002C571B" w:rsidRPr="0024788F">
        <w:rPr>
          <w:rFonts w:ascii="Arial" w:hAnsi="Arial" w:cs="Arial"/>
          <w:color w:val="000000" w:themeColor="text1"/>
          <w:highlight w:val="yellow"/>
        </w:rPr>
        <w:t xml:space="preserve">ed </w:t>
      </w:r>
      <w:r w:rsidRPr="0024788F">
        <w:rPr>
          <w:rFonts w:ascii="Arial" w:hAnsi="Arial" w:cs="Arial"/>
          <w:color w:val="000000" w:themeColor="text1"/>
          <w:highlight w:val="yellow"/>
        </w:rPr>
        <w:t>infrastructure for the gauging of tanker trucks, located at its main site in Ouagadougou. This</w:t>
      </w:r>
      <w:r w:rsidRPr="004E2493">
        <w:rPr>
          <w:rFonts w:ascii="Arial" w:hAnsi="Arial" w:cs="Arial"/>
          <w:color w:val="000000" w:themeColor="text1"/>
        </w:rPr>
        <w:t xml:space="preserve"> gauging area is designed to ensure volumetric control of trucks transporting liquids, particularly hydrocarbons. It consists of a developed platform with a retention basin intended to collect any effluents from the gauging operations. The surfaces are mostly covered with concrete, but some peripheral areas have bare or slightly altered soils. Due to the nature of the liquids handled, especially petroleum products, this area is subject to significant environmental risks, including soil and water contamination by hydrocarbons and heavy metals. The frequent movement of heavy trucks, tank cleaning, and repeated gauging operations increase the likelihood of pollutant infiltration into the local environment. This study focuses on this gauging area to assess the extent of soil contamination.</w:t>
      </w:r>
    </w:p>
    <w:p w14:paraId="73B17C62"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The region of Ouagadougou, located in central Burkina Faso, is mainly based on a Precambrian basement composed of metamorphic and granitic rocks. The local geology is dominated by granites, gneisses, schists, and volcano-sedimentary formations, resulting from the Eburnean orogeny dating from 2.1 to 1.9 billion years ago (Castaing et al., 2003). These ancient formations have undergone intense weathering, forming a lateritic crust on the surface and a saprolitic horizon in depth. This weathering plays a key role in the formation of basement aquifers, which consist of a weathered zone overlying a fractured zone.</w:t>
      </w:r>
    </w:p>
    <w:p w14:paraId="7AFDC431"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From a hydrogeological perspective, the Ouagadougou region features a discontinuous aquifer, primarily developed in the saprolite and the underlying fractured rock (Wright, 1992; Bessoles, 1977). The aquifers are shallow, with water depths generally ranging from 10 to 50 meters. Aquifer recharge depends almost exclusively on seasonal rainfall, with significant spatial variability linked to local geological structures (Savadogo, 1984).</w:t>
      </w:r>
    </w:p>
    <w:p w14:paraId="1453F3A5" w14:textId="77777777" w:rsidR="00940FEE" w:rsidRPr="004E2493" w:rsidRDefault="00940FEE" w:rsidP="00D53B85">
      <w:pPr>
        <w:jc w:val="both"/>
        <w:rPr>
          <w:rFonts w:ascii="Arial" w:hAnsi="Arial" w:cs="Arial"/>
          <w:b/>
          <w:bCs/>
          <w:color w:val="000000" w:themeColor="text1"/>
          <w:sz w:val="22"/>
          <w:szCs w:val="22"/>
        </w:rPr>
      </w:pPr>
    </w:p>
    <w:p w14:paraId="745C9118" w14:textId="67D93F08" w:rsidR="00D53B85" w:rsidRPr="004E2493" w:rsidRDefault="00940FEE" w:rsidP="00D53B85">
      <w:pPr>
        <w:jc w:val="both"/>
        <w:rPr>
          <w:rFonts w:ascii="Arial" w:hAnsi="Arial" w:cs="Arial"/>
          <w:b/>
          <w:bCs/>
          <w:color w:val="000000" w:themeColor="text1"/>
          <w:sz w:val="22"/>
          <w:szCs w:val="22"/>
        </w:rPr>
      </w:pPr>
      <w:r w:rsidRPr="004E2493">
        <w:rPr>
          <w:rFonts w:ascii="Arial" w:hAnsi="Arial" w:cs="Arial"/>
          <w:b/>
          <w:bCs/>
          <w:color w:val="000000" w:themeColor="text1"/>
          <w:sz w:val="22"/>
          <w:szCs w:val="22"/>
        </w:rPr>
        <w:t xml:space="preserve">2.2 </w:t>
      </w:r>
      <w:r w:rsidR="00D53B85" w:rsidRPr="004E2493">
        <w:rPr>
          <w:rFonts w:ascii="Arial" w:hAnsi="Arial" w:cs="Arial"/>
          <w:b/>
          <w:bCs/>
          <w:color w:val="000000" w:themeColor="text1"/>
          <w:sz w:val="22"/>
          <w:szCs w:val="22"/>
        </w:rPr>
        <w:t>Materials</w:t>
      </w:r>
    </w:p>
    <w:p w14:paraId="1E374B51"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Several tools and equipment were used for sampling, laboratory analysis, and data processing. These materials can be grouped according to their use: sampling, laboratory analysis, and data processing.</w:t>
      </w:r>
    </w:p>
    <w:p w14:paraId="5B9072D5" w14:textId="77777777" w:rsidR="00940FEE" w:rsidRPr="004E2493" w:rsidRDefault="00940FEE" w:rsidP="00D53B85">
      <w:pPr>
        <w:jc w:val="both"/>
        <w:rPr>
          <w:rFonts w:ascii="Arial" w:hAnsi="Arial" w:cs="Arial"/>
          <w:b/>
          <w:bCs/>
          <w:color w:val="000000" w:themeColor="text1"/>
        </w:rPr>
      </w:pPr>
    </w:p>
    <w:p w14:paraId="4A51372B" w14:textId="1FEE3547" w:rsidR="00D53B85" w:rsidRPr="004E2493" w:rsidRDefault="00940FEE" w:rsidP="00D53B85">
      <w:pPr>
        <w:jc w:val="both"/>
        <w:rPr>
          <w:rFonts w:ascii="Arial" w:hAnsi="Arial" w:cs="Arial"/>
          <w:b/>
          <w:bCs/>
          <w:color w:val="000000" w:themeColor="text1"/>
        </w:rPr>
      </w:pPr>
      <w:r w:rsidRPr="004E2493">
        <w:rPr>
          <w:rFonts w:ascii="Arial" w:hAnsi="Arial" w:cs="Arial"/>
          <w:b/>
          <w:bCs/>
          <w:color w:val="000000" w:themeColor="text1"/>
        </w:rPr>
        <w:t xml:space="preserve">2.2.1 </w:t>
      </w:r>
      <w:r w:rsidR="00D53B85" w:rsidRPr="004E2493">
        <w:rPr>
          <w:rFonts w:ascii="Arial" w:hAnsi="Arial" w:cs="Arial"/>
          <w:b/>
          <w:bCs/>
          <w:color w:val="000000" w:themeColor="text1"/>
        </w:rPr>
        <w:t>Materials used for sampling</w:t>
      </w:r>
    </w:p>
    <w:p w14:paraId="04FCF50E" w14:textId="77777777" w:rsidR="00940FEE" w:rsidRPr="004E2493" w:rsidRDefault="00940FEE" w:rsidP="00D53B85">
      <w:pPr>
        <w:jc w:val="both"/>
        <w:rPr>
          <w:rFonts w:ascii="Arial" w:hAnsi="Arial" w:cs="Arial"/>
          <w:b/>
          <w:bCs/>
          <w:color w:val="000000" w:themeColor="text1"/>
        </w:rPr>
      </w:pPr>
    </w:p>
    <w:p w14:paraId="28BE572C" w14:textId="77777777" w:rsidR="00D53B85" w:rsidRPr="004E2493" w:rsidRDefault="00D53B85" w:rsidP="00940FEE">
      <w:pPr>
        <w:numPr>
          <w:ilvl w:val="0"/>
          <w:numId w:val="31"/>
        </w:numPr>
        <w:spacing w:line="276" w:lineRule="auto"/>
        <w:jc w:val="both"/>
        <w:rPr>
          <w:rFonts w:ascii="Arial" w:hAnsi="Arial" w:cs="Arial"/>
          <w:color w:val="000000" w:themeColor="text1"/>
        </w:rPr>
      </w:pPr>
      <w:r w:rsidRPr="004E2493">
        <w:rPr>
          <w:rFonts w:ascii="Arial" w:hAnsi="Arial" w:cs="Arial"/>
          <w:color w:val="000000" w:themeColor="text1"/>
        </w:rPr>
        <w:t>Manual Auger</w:t>
      </w:r>
    </w:p>
    <w:p w14:paraId="2922F1B3" w14:textId="77777777" w:rsidR="00D53B85" w:rsidRPr="004E2493" w:rsidRDefault="00D53B85" w:rsidP="00940FEE">
      <w:pPr>
        <w:jc w:val="both"/>
        <w:rPr>
          <w:rFonts w:ascii="Arial" w:hAnsi="Arial" w:cs="Arial"/>
          <w:color w:val="000000" w:themeColor="text1"/>
        </w:rPr>
      </w:pPr>
      <w:r w:rsidRPr="004E2493">
        <w:rPr>
          <w:rFonts w:ascii="Arial" w:hAnsi="Arial" w:cs="Arial"/>
          <w:color w:val="000000" w:themeColor="text1"/>
        </w:rPr>
        <w:t>The auger is an essential tool for soil sampling, suitable for sandy or clayey soils. It allows extraction of homogeneous soil volumes without contamination. It consists of a handle and a spiral or gouge-shaped head, which enables drilling into the soil at various depths while maintaining sample integrity. It was used to extract uncontaminated samples.</w:t>
      </w:r>
    </w:p>
    <w:p w14:paraId="78B40A7F" w14:textId="77777777" w:rsidR="00940FEE" w:rsidRPr="004E2493" w:rsidRDefault="00940FEE" w:rsidP="00940FEE">
      <w:pPr>
        <w:jc w:val="both"/>
        <w:rPr>
          <w:rFonts w:ascii="Arial" w:hAnsi="Arial" w:cs="Arial"/>
          <w:color w:val="000000" w:themeColor="text1"/>
        </w:rPr>
      </w:pPr>
    </w:p>
    <w:p w14:paraId="3C9F3B24" w14:textId="77777777" w:rsidR="00D53B85" w:rsidRPr="004E2493" w:rsidRDefault="00D53B85" w:rsidP="00940FEE">
      <w:pPr>
        <w:numPr>
          <w:ilvl w:val="0"/>
          <w:numId w:val="31"/>
        </w:numPr>
        <w:spacing w:line="276" w:lineRule="auto"/>
        <w:jc w:val="both"/>
        <w:rPr>
          <w:rFonts w:ascii="Arial" w:hAnsi="Arial" w:cs="Arial"/>
          <w:color w:val="000000" w:themeColor="text1"/>
        </w:rPr>
      </w:pPr>
      <w:r w:rsidRPr="004E2493">
        <w:rPr>
          <w:rFonts w:ascii="Arial" w:hAnsi="Arial" w:cs="Arial"/>
          <w:color w:val="000000" w:themeColor="text1"/>
        </w:rPr>
        <w:t>Sterile Bags</w:t>
      </w:r>
    </w:p>
    <w:p w14:paraId="43ACA91F" w14:textId="77777777" w:rsidR="00D53B85" w:rsidRPr="004E2493" w:rsidRDefault="00D53B85" w:rsidP="00940FEE">
      <w:pPr>
        <w:jc w:val="both"/>
        <w:rPr>
          <w:rFonts w:ascii="Arial" w:hAnsi="Arial" w:cs="Arial"/>
          <w:color w:val="000000" w:themeColor="text1"/>
        </w:rPr>
      </w:pPr>
      <w:r w:rsidRPr="004E2493">
        <w:rPr>
          <w:rFonts w:ascii="Arial" w:hAnsi="Arial" w:cs="Arial"/>
          <w:color w:val="000000" w:themeColor="text1"/>
        </w:rPr>
        <w:lastRenderedPageBreak/>
        <w:t>These bags are used for storing and transporting soil samples. Made from materials resistant to chemical agents, they protect the samples from external contamination during transport. Their sterility ensures that laboratory analyses reflect only the conditions at the sampling site.</w:t>
      </w:r>
    </w:p>
    <w:p w14:paraId="52F6BC28" w14:textId="77777777" w:rsidR="00940FEE" w:rsidRPr="004E2493" w:rsidRDefault="00940FEE" w:rsidP="00940FEE">
      <w:pPr>
        <w:jc w:val="both"/>
        <w:rPr>
          <w:rFonts w:ascii="Arial" w:hAnsi="Arial" w:cs="Arial"/>
          <w:color w:val="000000" w:themeColor="text1"/>
        </w:rPr>
      </w:pPr>
    </w:p>
    <w:p w14:paraId="51E0EA52" w14:textId="77777777" w:rsidR="00D53B85" w:rsidRPr="004E2493" w:rsidRDefault="00D53B85" w:rsidP="00940FEE">
      <w:pPr>
        <w:numPr>
          <w:ilvl w:val="0"/>
          <w:numId w:val="31"/>
        </w:numPr>
        <w:spacing w:line="276" w:lineRule="auto"/>
        <w:jc w:val="both"/>
        <w:rPr>
          <w:rFonts w:ascii="Arial" w:hAnsi="Arial" w:cs="Arial"/>
          <w:color w:val="000000" w:themeColor="text1"/>
        </w:rPr>
      </w:pPr>
      <w:r w:rsidRPr="004E2493">
        <w:rPr>
          <w:rFonts w:ascii="Arial" w:hAnsi="Arial" w:cs="Arial"/>
          <w:color w:val="000000" w:themeColor="text1"/>
        </w:rPr>
        <w:t>Plastic Cup</w:t>
      </w:r>
    </w:p>
    <w:p w14:paraId="3C8A2062" w14:textId="6E19E7FE" w:rsidR="00D53B85" w:rsidRPr="004E2493" w:rsidRDefault="00D53B85" w:rsidP="00940FEE">
      <w:pPr>
        <w:jc w:val="both"/>
        <w:rPr>
          <w:rFonts w:ascii="Arial" w:hAnsi="Arial" w:cs="Arial"/>
          <w:color w:val="000000" w:themeColor="text1"/>
        </w:rPr>
      </w:pPr>
      <w:r w:rsidRPr="004E2493">
        <w:rPr>
          <w:rFonts w:ascii="Arial" w:hAnsi="Arial" w:cs="Arial"/>
          <w:color w:val="000000" w:themeColor="text1"/>
        </w:rPr>
        <w:t xml:space="preserve">Used to collect samples from the basins; it helps avoid any contamination. It has a </w:t>
      </w:r>
      <w:r w:rsidRPr="0041269F">
        <w:rPr>
          <w:rFonts w:ascii="Arial" w:hAnsi="Arial" w:cs="Arial"/>
          <w:color w:val="000000" w:themeColor="text1"/>
          <w:highlight w:val="yellow"/>
        </w:rPr>
        <w:t xml:space="preserve">handle for </w:t>
      </w:r>
      <w:r w:rsidR="002C571B" w:rsidRPr="0041269F">
        <w:rPr>
          <w:rFonts w:ascii="Arial" w:hAnsi="Arial" w:cs="Arial"/>
          <w:color w:val="000000" w:themeColor="text1"/>
          <w:highlight w:val="yellow"/>
        </w:rPr>
        <w:t xml:space="preserve">an </w:t>
      </w:r>
      <w:r w:rsidRPr="0041269F">
        <w:rPr>
          <w:rFonts w:ascii="Arial" w:hAnsi="Arial" w:cs="Arial"/>
          <w:color w:val="000000" w:themeColor="text1"/>
          <w:highlight w:val="yellow"/>
        </w:rPr>
        <w:t>easy grip and a wide rim for easy filling.</w:t>
      </w:r>
    </w:p>
    <w:p w14:paraId="0A9A76D3" w14:textId="77777777" w:rsidR="00940FEE" w:rsidRPr="004E2493" w:rsidRDefault="00940FEE" w:rsidP="00940FEE">
      <w:pPr>
        <w:jc w:val="both"/>
        <w:rPr>
          <w:rFonts w:ascii="Arial" w:hAnsi="Arial" w:cs="Arial"/>
          <w:color w:val="000000" w:themeColor="text1"/>
        </w:rPr>
      </w:pPr>
    </w:p>
    <w:p w14:paraId="1A092C37" w14:textId="5BB46D70" w:rsidR="00D53B85" w:rsidRPr="004E2493" w:rsidRDefault="00D53B85" w:rsidP="00940FEE">
      <w:pPr>
        <w:numPr>
          <w:ilvl w:val="0"/>
          <w:numId w:val="31"/>
        </w:numPr>
        <w:spacing w:line="276" w:lineRule="auto"/>
        <w:rPr>
          <w:rFonts w:ascii="Arial" w:hAnsi="Arial" w:cs="Arial"/>
          <w:color w:val="000000" w:themeColor="text1"/>
        </w:rPr>
      </w:pPr>
      <w:r w:rsidRPr="004E2493">
        <w:rPr>
          <w:rFonts w:ascii="Arial" w:hAnsi="Arial" w:cs="Arial"/>
          <w:color w:val="000000" w:themeColor="text1"/>
        </w:rPr>
        <w:t>HDPE (High-Density Polyethene) Plastic Bottles</w:t>
      </w:r>
    </w:p>
    <w:p w14:paraId="6CF200EF" w14:textId="33D7475E" w:rsidR="00D53B85" w:rsidRPr="004E2493" w:rsidRDefault="00D53B85" w:rsidP="00940FEE">
      <w:pPr>
        <w:jc w:val="both"/>
        <w:rPr>
          <w:rFonts w:ascii="Arial" w:hAnsi="Arial" w:cs="Arial"/>
          <w:color w:val="000000" w:themeColor="text1"/>
        </w:rPr>
      </w:pPr>
      <w:r w:rsidRPr="004E2493">
        <w:rPr>
          <w:rFonts w:ascii="Arial" w:hAnsi="Arial" w:cs="Arial"/>
          <w:color w:val="000000" w:themeColor="text1"/>
        </w:rPr>
        <w:t xml:space="preserve">These 1L bottles are used to collect water samples. HDPE bottles are resistant and commonly used for sample storage and transport for laboratory analysis. Each bottle is </w:t>
      </w:r>
      <w:r w:rsidRPr="0041269F">
        <w:rPr>
          <w:rFonts w:ascii="Arial" w:hAnsi="Arial" w:cs="Arial"/>
          <w:color w:val="000000" w:themeColor="text1"/>
          <w:highlight w:val="yellow"/>
        </w:rPr>
        <w:t xml:space="preserve">carefully </w:t>
      </w:r>
      <w:r w:rsidR="002C571B" w:rsidRPr="0041269F">
        <w:rPr>
          <w:rFonts w:ascii="Arial" w:hAnsi="Arial" w:cs="Arial"/>
          <w:color w:val="000000" w:themeColor="text1"/>
          <w:highlight w:val="yellow"/>
        </w:rPr>
        <w:t>sterili</w:t>
      </w:r>
      <w:r w:rsidR="002C571B" w:rsidRPr="0041269F">
        <w:rPr>
          <w:rFonts w:ascii="Arial" w:hAnsi="Arial" w:cs="Arial"/>
          <w:color w:val="000000" w:themeColor="text1"/>
          <w:highlight w:val="yellow"/>
        </w:rPr>
        <w:t>s</w:t>
      </w:r>
      <w:r w:rsidR="002C571B" w:rsidRPr="0041269F">
        <w:rPr>
          <w:rFonts w:ascii="Arial" w:hAnsi="Arial" w:cs="Arial"/>
          <w:color w:val="000000" w:themeColor="text1"/>
          <w:highlight w:val="yellow"/>
        </w:rPr>
        <w:t xml:space="preserve">ed </w:t>
      </w:r>
      <w:r w:rsidRPr="0041269F">
        <w:rPr>
          <w:rFonts w:ascii="Arial" w:hAnsi="Arial" w:cs="Arial"/>
          <w:color w:val="000000" w:themeColor="text1"/>
          <w:highlight w:val="yellow"/>
        </w:rPr>
        <w:t>before use to ensure</w:t>
      </w:r>
      <w:r w:rsidRPr="004E2493">
        <w:rPr>
          <w:rFonts w:ascii="Arial" w:hAnsi="Arial" w:cs="Arial"/>
          <w:color w:val="000000" w:themeColor="text1"/>
        </w:rPr>
        <w:t xml:space="preserve"> sample integrity.</w:t>
      </w:r>
    </w:p>
    <w:p w14:paraId="2EE65D16" w14:textId="77777777" w:rsidR="00940FEE" w:rsidRPr="004E2493" w:rsidRDefault="00940FEE" w:rsidP="00940FEE">
      <w:pPr>
        <w:jc w:val="both"/>
        <w:rPr>
          <w:rFonts w:ascii="Arial" w:hAnsi="Arial" w:cs="Arial"/>
          <w:color w:val="000000" w:themeColor="text1"/>
        </w:rPr>
      </w:pPr>
    </w:p>
    <w:p w14:paraId="1B1AD18E" w14:textId="77777777" w:rsidR="00D53B85" w:rsidRPr="004E2493" w:rsidRDefault="00D53B85" w:rsidP="00940FEE">
      <w:pPr>
        <w:numPr>
          <w:ilvl w:val="0"/>
          <w:numId w:val="31"/>
        </w:numPr>
        <w:spacing w:line="276" w:lineRule="auto"/>
        <w:jc w:val="both"/>
        <w:rPr>
          <w:rFonts w:ascii="Arial" w:hAnsi="Arial" w:cs="Arial"/>
          <w:color w:val="000000" w:themeColor="text1"/>
        </w:rPr>
      </w:pPr>
      <w:r w:rsidRPr="004E2493">
        <w:rPr>
          <w:rFonts w:ascii="Arial" w:hAnsi="Arial" w:cs="Arial"/>
          <w:color w:val="000000" w:themeColor="text1"/>
        </w:rPr>
        <w:t>Sampling Forms</w:t>
      </w:r>
    </w:p>
    <w:p w14:paraId="6EE5EA75" w14:textId="77777777" w:rsidR="00D53B85" w:rsidRPr="004E2493" w:rsidRDefault="00D53B85" w:rsidP="00940FEE">
      <w:pPr>
        <w:jc w:val="both"/>
        <w:rPr>
          <w:rFonts w:ascii="Arial" w:hAnsi="Arial" w:cs="Arial"/>
          <w:color w:val="000000" w:themeColor="text1"/>
        </w:rPr>
      </w:pPr>
      <w:r w:rsidRPr="004E2493">
        <w:rPr>
          <w:rFonts w:ascii="Arial" w:hAnsi="Arial" w:cs="Arial"/>
          <w:color w:val="000000" w:themeColor="text1"/>
        </w:rPr>
        <w:t>Used to record essential information such as location, date, depth, and sampling conditions.</w:t>
      </w:r>
    </w:p>
    <w:p w14:paraId="37C43C31" w14:textId="77777777" w:rsidR="00940FEE" w:rsidRPr="004E2493" w:rsidRDefault="00940FEE" w:rsidP="00940FEE">
      <w:pPr>
        <w:jc w:val="both"/>
        <w:rPr>
          <w:rFonts w:ascii="Arial" w:hAnsi="Arial" w:cs="Arial"/>
          <w:color w:val="000000" w:themeColor="text1"/>
        </w:rPr>
      </w:pPr>
    </w:p>
    <w:p w14:paraId="05607B5A" w14:textId="77777777" w:rsidR="00D53B85" w:rsidRPr="004E2493" w:rsidRDefault="00D53B85" w:rsidP="00940FEE">
      <w:pPr>
        <w:numPr>
          <w:ilvl w:val="0"/>
          <w:numId w:val="31"/>
        </w:numPr>
        <w:spacing w:line="276" w:lineRule="auto"/>
        <w:jc w:val="both"/>
        <w:rPr>
          <w:rFonts w:ascii="Arial" w:hAnsi="Arial" w:cs="Arial"/>
          <w:color w:val="000000" w:themeColor="text1"/>
        </w:rPr>
      </w:pPr>
      <w:r w:rsidRPr="004E2493">
        <w:rPr>
          <w:rFonts w:ascii="Arial" w:hAnsi="Arial" w:cs="Arial"/>
          <w:color w:val="000000" w:themeColor="text1"/>
        </w:rPr>
        <w:t>Disposable Nitrile Gloves</w:t>
      </w:r>
    </w:p>
    <w:p w14:paraId="6168CE16" w14:textId="77777777" w:rsidR="00D53B85" w:rsidRPr="004E2493" w:rsidRDefault="00D53B85" w:rsidP="00940FEE">
      <w:pPr>
        <w:jc w:val="both"/>
        <w:rPr>
          <w:rFonts w:ascii="Arial" w:hAnsi="Arial" w:cs="Arial"/>
          <w:color w:val="000000" w:themeColor="text1"/>
        </w:rPr>
      </w:pPr>
      <w:r w:rsidRPr="004E2493">
        <w:rPr>
          <w:rFonts w:ascii="Arial" w:hAnsi="Arial" w:cs="Arial"/>
          <w:color w:val="000000" w:themeColor="text1"/>
        </w:rPr>
        <w:t>Used to handle samples safely and prevent contamination.</w:t>
      </w:r>
    </w:p>
    <w:p w14:paraId="64A63AA3" w14:textId="77777777" w:rsidR="00940FEE" w:rsidRPr="004E2493" w:rsidRDefault="00940FEE" w:rsidP="00940FEE">
      <w:pPr>
        <w:jc w:val="both"/>
        <w:rPr>
          <w:rFonts w:ascii="Arial" w:hAnsi="Arial" w:cs="Arial"/>
          <w:color w:val="000000" w:themeColor="text1"/>
        </w:rPr>
      </w:pPr>
    </w:p>
    <w:p w14:paraId="0CB70A25" w14:textId="77777777" w:rsidR="00D53B85" w:rsidRPr="004E2493" w:rsidRDefault="00D53B85" w:rsidP="00D53B85">
      <w:pPr>
        <w:jc w:val="both"/>
        <w:rPr>
          <w:rFonts w:ascii="Arial" w:hAnsi="Arial" w:cs="Arial"/>
          <w:color w:val="000000" w:themeColor="text1"/>
        </w:rPr>
      </w:pPr>
    </w:p>
    <w:p w14:paraId="650CF359" w14:textId="3B60E1CE" w:rsidR="00D53B85" w:rsidRPr="004E2493" w:rsidRDefault="00940FEE" w:rsidP="00D53B85">
      <w:pPr>
        <w:jc w:val="both"/>
        <w:rPr>
          <w:rFonts w:ascii="Arial" w:hAnsi="Arial" w:cs="Arial"/>
          <w:b/>
          <w:bCs/>
          <w:color w:val="000000" w:themeColor="text1"/>
        </w:rPr>
      </w:pPr>
      <w:r w:rsidRPr="004E2493">
        <w:rPr>
          <w:rFonts w:ascii="Arial" w:hAnsi="Arial" w:cs="Arial"/>
          <w:b/>
          <w:bCs/>
          <w:color w:val="000000" w:themeColor="text1"/>
        </w:rPr>
        <w:t xml:space="preserve">2.2.2 </w:t>
      </w:r>
      <w:r w:rsidR="00D53B85" w:rsidRPr="004E2493">
        <w:rPr>
          <w:rFonts w:ascii="Arial" w:hAnsi="Arial" w:cs="Arial"/>
          <w:b/>
          <w:bCs/>
          <w:color w:val="000000" w:themeColor="text1"/>
        </w:rPr>
        <w:t>Materials used for Laboratory Analysis</w:t>
      </w:r>
    </w:p>
    <w:p w14:paraId="2D5F7F87" w14:textId="77777777" w:rsidR="00940FEE" w:rsidRPr="004E2493" w:rsidRDefault="00940FEE" w:rsidP="00D53B85">
      <w:pPr>
        <w:jc w:val="both"/>
        <w:rPr>
          <w:rFonts w:ascii="Arial" w:hAnsi="Arial" w:cs="Arial"/>
          <w:b/>
          <w:bCs/>
          <w:color w:val="000000" w:themeColor="text1"/>
        </w:rPr>
      </w:pPr>
    </w:p>
    <w:p w14:paraId="3CE0893B" w14:textId="77777777" w:rsidR="00D53B85" w:rsidRPr="004E2493" w:rsidRDefault="00D53B85" w:rsidP="00940FEE">
      <w:pPr>
        <w:numPr>
          <w:ilvl w:val="0"/>
          <w:numId w:val="31"/>
        </w:numPr>
        <w:spacing w:line="276" w:lineRule="auto"/>
        <w:jc w:val="both"/>
        <w:rPr>
          <w:rFonts w:ascii="Arial" w:hAnsi="Arial" w:cs="Arial"/>
          <w:color w:val="000000" w:themeColor="text1"/>
        </w:rPr>
      </w:pPr>
      <w:r w:rsidRPr="004E2493">
        <w:rPr>
          <w:rFonts w:ascii="Arial" w:hAnsi="Arial" w:cs="Arial"/>
          <w:color w:val="000000" w:themeColor="text1"/>
        </w:rPr>
        <w:t>X-Ray Fluorescence Spectrometry (XRF)</w:t>
      </w:r>
    </w:p>
    <w:p w14:paraId="0CFD657E" w14:textId="77777777" w:rsidR="00D53B85" w:rsidRPr="004E2493" w:rsidRDefault="00D53B85" w:rsidP="00940FEE">
      <w:pPr>
        <w:jc w:val="both"/>
        <w:rPr>
          <w:rFonts w:ascii="Arial" w:hAnsi="Arial" w:cs="Arial"/>
          <w:color w:val="000000" w:themeColor="text1"/>
        </w:rPr>
      </w:pPr>
      <w:r w:rsidRPr="004E2493">
        <w:rPr>
          <w:rFonts w:ascii="Arial" w:hAnsi="Arial" w:cs="Arial"/>
          <w:color w:val="000000" w:themeColor="text1"/>
        </w:rPr>
        <w:t>XRF spectrometry is a global elemental analysis technique used to identify and quantify most of the chemical elements in a sample. This technique can be applied to a wide range of materials: minerals, ceramics, cements, metals, oils, water, glasses, in solid or liquid form.</w:t>
      </w:r>
    </w:p>
    <w:p w14:paraId="702B4A11" w14:textId="77777777" w:rsidR="00D53B85" w:rsidRPr="004E2493" w:rsidRDefault="00D53B85" w:rsidP="00940FEE">
      <w:pPr>
        <w:jc w:val="both"/>
        <w:rPr>
          <w:rFonts w:ascii="Arial" w:hAnsi="Arial" w:cs="Arial"/>
          <w:color w:val="000000" w:themeColor="text1"/>
        </w:rPr>
      </w:pPr>
      <w:r w:rsidRPr="004E2493">
        <w:rPr>
          <w:rFonts w:ascii="Arial" w:hAnsi="Arial" w:cs="Arial"/>
          <w:color w:val="000000" w:themeColor="text1"/>
        </w:rPr>
        <w:t>It allows the analysis of all chemical elements from Beryllium (Be) to Uranium (U) in concentration ranges from a few ppm to 100%, providing precise and reproducible results.</w:t>
      </w:r>
    </w:p>
    <w:p w14:paraId="0A2B551A" w14:textId="77777777" w:rsidR="00940FEE" w:rsidRPr="004E2493" w:rsidRDefault="00940FEE" w:rsidP="00D53B85">
      <w:pPr>
        <w:jc w:val="both"/>
        <w:rPr>
          <w:rFonts w:ascii="Arial" w:hAnsi="Arial" w:cs="Arial"/>
          <w:b/>
          <w:bCs/>
          <w:color w:val="000000" w:themeColor="text1"/>
        </w:rPr>
      </w:pPr>
    </w:p>
    <w:p w14:paraId="47C57053" w14:textId="227F56A2" w:rsidR="00D53B85" w:rsidRPr="004E2493" w:rsidRDefault="00D53B85" w:rsidP="00940FEE">
      <w:pPr>
        <w:pStyle w:val="ListParagraph"/>
        <w:numPr>
          <w:ilvl w:val="0"/>
          <w:numId w:val="31"/>
        </w:numPr>
        <w:jc w:val="both"/>
        <w:rPr>
          <w:rFonts w:ascii="Arial" w:hAnsi="Arial" w:cs="Arial"/>
          <w:b/>
          <w:bCs/>
          <w:color w:val="000000" w:themeColor="text1"/>
        </w:rPr>
      </w:pPr>
      <w:r w:rsidRPr="004E2493">
        <w:rPr>
          <w:rFonts w:ascii="Arial" w:hAnsi="Arial" w:cs="Arial"/>
          <w:b/>
          <w:bCs/>
          <w:color w:val="000000" w:themeColor="text1"/>
        </w:rPr>
        <w:t>Principle of X-Ray Fluorescence:</w:t>
      </w:r>
    </w:p>
    <w:p w14:paraId="7C730D9F" w14:textId="1ED5022D"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XRF involves the absorption of incident X-ray radiation by matter</w:t>
      </w:r>
      <w:r w:rsidRPr="0041269F">
        <w:rPr>
          <w:rFonts w:ascii="Arial" w:hAnsi="Arial" w:cs="Arial"/>
          <w:color w:val="000000" w:themeColor="text1"/>
          <w:highlight w:val="yellow"/>
        </w:rPr>
        <w:t xml:space="preserve">, followed by </w:t>
      </w:r>
      <w:r w:rsidR="002C571B" w:rsidRPr="0041269F">
        <w:rPr>
          <w:rFonts w:ascii="Arial" w:hAnsi="Arial" w:cs="Arial"/>
          <w:color w:val="000000" w:themeColor="text1"/>
          <w:highlight w:val="yellow"/>
        </w:rPr>
        <w:t xml:space="preserve">the </w:t>
      </w:r>
      <w:r w:rsidRPr="0041269F">
        <w:rPr>
          <w:rFonts w:ascii="Arial" w:hAnsi="Arial" w:cs="Arial"/>
          <w:color w:val="000000" w:themeColor="text1"/>
          <w:highlight w:val="yellow"/>
        </w:rPr>
        <w:t>re-emission of less energetic X-rays by the same matter.</w:t>
      </w:r>
    </w:p>
    <w:p w14:paraId="64DE750F"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This phenomenon occurs at the atomic level via the transition of an electron from one orbital to another.</w:t>
      </w:r>
    </w:p>
    <w:p w14:paraId="453DBAA8" w14:textId="64D9A748"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 xml:space="preserve">The high energy of X-ray radiation causes the loss of an inner-shell electron (core electron) of the atom, resulting </w:t>
      </w:r>
      <w:r w:rsidRPr="0041269F">
        <w:rPr>
          <w:rFonts w:ascii="Arial" w:hAnsi="Arial" w:cs="Arial"/>
          <w:color w:val="000000" w:themeColor="text1"/>
          <w:highlight w:val="yellow"/>
        </w:rPr>
        <w:t xml:space="preserve">in </w:t>
      </w:r>
      <w:r w:rsidR="002C571B" w:rsidRPr="0041269F">
        <w:rPr>
          <w:rFonts w:ascii="Arial" w:hAnsi="Arial" w:cs="Arial"/>
          <w:color w:val="000000" w:themeColor="text1"/>
          <w:highlight w:val="yellow"/>
        </w:rPr>
        <w:t>ioni</w:t>
      </w:r>
      <w:r w:rsidR="002C571B" w:rsidRPr="0041269F">
        <w:rPr>
          <w:rFonts w:ascii="Arial" w:hAnsi="Arial" w:cs="Arial"/>
          <w:color w:val="000000" w:themeColor="text1"/>
          <w:highlight w:val="yellow"/>
        </w:rPr>
        <w:t>s</w:t>
      </w:r>
      <w:r w:rsidR="002C571B" w:rsidRPr="0041269F">
        <w:rPr>
          <w:rFonts w:ascii="Arial" w:hAnsi="Arial" w:cs="Arial"/>
          <w:color w:val="000000" w:themeColor="text1"/>
          <w:highlight w:val="yellow"/>
        </w:rPr>
        <w:t>ation</w:t>
      </w:r>
      <w:r w:rsidRPr="0041269F">
        <w:rPr>
          <w:rFonts w:ascii="Arial" w:hAnsi="Arial" w:cs="Arial"/>
          <w:color w:val="000000" w:themeColor="text1"/>
          <w:highlight w:val="yellow"/>
        </w:rPr>
        <w:t>. The</w:t>
      </w:r>
      <w:r w:rsidRPr="004E2493">
        <w:rPr>
          <w:rFonts w:ascii="Arial" w:hAnsi="Arial" w:cs="Arial"/>
          <w:color w:val="000000" w:themeColor="text1"/>
        </w:rPr>
        <w:t xml:space="preserve"> atom becomes unstable and tends to fill the vacant orbital by migrating an electron from an outer orbital.</w:t>
      </w:r>
    </w:p>
    <w:p w14:paraId="7E615A63" w14:textId="3EC6B329"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This electronic transition leads to the re-emission of X-ray radiation by the matter</w:t>
      </w:r>
      <w:r w:rsidR="00940FEE" w:rsidRPr="004E2493">
        <w:rPr>
          <w:rFonts w:ascii="Arial" w:hAnsi="Arial" w:cs="Arial"/>
          <w:color w:val="000000" w:themeColor="text1"/>
        </w:rPr>
        <w:t>.</w:t>
      </w:r>
    </w:p>
    <w:p w14:paraId="77D574FC"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The transition of an electron from the L shell to the K shell (Kα), from the M shell to the K shell (Kβ), and from the M shell to the L shell (Lα) are the possible transitions in X-ray fluorescence.</w:t>
      </w:r>
    </w:p>
    <w:p w14:paraId="52F5CC79" w14:textId="0CF34F99" w:rsidR="00D53B85" w:rsidRPr="004E2493" w:rsidRDefault="00D53B85" w:rsidP="00D53B85">
      <w:pPr>
        <w:jc w:val="both"/>
        <w:rPr>
          <w:rFonts w:ascii="Arial" w:hAnsi="Arial" w:cs="Arial"/>
          <w:color w:val="000000" w:themeColor="text1"/>
        </w:rPr>
      </w:pPr>
      <w:r w:rsidRPr="0041269F">
        <w:rPr>
          <w:rFonts w:ascii="Arial" w:hAnsi="Arial" w:cs="Arial"/>
          <w:color w:val="000000" w:themeColor="text1"/>
          <w:highlight w:val="yellow"/>
        </w:rPr>
        <w:t xml:space="preserve">Each </w:t>
      </w:r>
      <w:r w:rsidR="002C571B" w:rsidRPr="0041269F">
        <w:rPr>
          <w:rFonts w:ascii="Arial" w:hAnsi="Arial" w:cs="Arial"/>
          <w:color w:val="000000" w:themeColor="text1"/>
          <w:highlight w:val="yellow"/>
        </w:rPr>
        <w:t>pulveri</w:t>
      </w:r>
      <w:r w:rsidR="002C571B" w:rsidRPr="0041269F">
        <w:rPr>
          <w:rFonts w:ascii="Arial" w:hAnsi="Arial" w:cs="Arial"/>
          <w:color w:val="000000" w:themeColor="text1"/>
          <w:highlight w:val="yellow"/>
        </w:rPr>
        <w:t>s</w:t>
      </w:r>
      <w:r w:rsidR="002C571B" w:rsidRPr="0041269F">
        <w:rPr>
          <w:rFonts w:ascii="Arial" w:hAnsi="Arial" w:cs="Arial"/>
          <w:color w:val="000000" w:themeColor="text1"/>
          <w:highlight w:val="yellow"/>
        </w:rPr>
        <w:t xml:space="preserve">ed </w:t>
      </w:r>
      <w:r w:rsidRPr="0041269F">
        <w:rPr>
          <w:rFonts w:ascii="Arial" w:hAnsi="Arial" w:cs="Arial"/>
          <w:color w:val="000000" w:themeColor="text1"/>
          <w:highlight w:val="yellow"/>
        </w:rPr>
        <w:t>sample is placed into plastic capsules and sealed using transparent film wrap. It is important to note that each capsule is carefully labe</w:t>
      </w:r>
      <w:r w:rsidR="002C571B" w:rsidRPr="0041269F">
        <w:rPr>
          <w:rFonts w:ascii="Arial" w:hAnsi="Arial" w:cs="Arial"/>
          <w:color w:val="000000" w:themeColor="text1"/>
          <w:highlight w:val="yellow"/>
        </w:rPr>
        <w:t>l</w:t>
      </w:r>
      <w:r w:rsidRPr="0041269F">
        <w:rPr>
          <w:rFonts w:ascii="Arial" w:hAnsi="Arial" w:cs="Arial"/>
          <w:color w:val="000000" w:themeColor="text1"/>
          <w:highlight w:val="yellow"/>
        </w:rPr>
        <w:t>led with the sample name and the corresponding grid reference to avoid any confusion.</w:t>
      </w:r>
    </w:p>
    <w:p w14:paraId="530D226F" w14:textId="7CC6E58E" w:rsidR="00D53B85" w:rsidRPr="004E2493" w:rsidRDefault="00D53B85" w:rsidP="00940FEE">
      <w:pPr>
        <w:jc w:val="both"/>
        <w:rPr>
          <w:rFonts w:ascii="Arial" w:hAnsi="Arial" w:cs="Arial"/>
          <w:color w:val="000000" w:themeColor="text1"/>
        </w:rPr>
      </w:pPr>
      <w:r w:rsidRPr="004E2493">
        <w:rPr>
          <w:rFonts w:ascii="Arial" w:hAnsi="Arial" w:cs="Arial"/>
          <w:color w:val="000000" w:themeColor="text1"/>
        </w:rPr>
        <w:t>From this point, each sample is scanned in turn using the portable OLYMPUS XRF 6000 in geochemical analysis mode. The results are directly collected on a desktop computer connected to the device.</w:t>
      </w:r>
    </w:p>
    <w:p w14:paraId="39EED856" w14:textId="77777777" w:rsidR="00D53B85" w:rsidRPr="004E2493" w:rsidRDefault="00D53B85" w:rsidP="00D53B85">
      <w:pPr>
        <w:jc w:val="both"/>
        <w:rPr>
          <w:rFonts w:ascii="Arial" w:hAnsi="Arial" w:cs="Arial"/>
          <w:color w:val="000000" w:themeColor="text1"/>
        </w:rPr>
      </w:pPr>
    </w:p>
    <w:p w14:paraId="1AEE372F" w14:textId="77777777" w:rsidR="00D53B85" w:rsidRPr="004E2493" w:rsidRDefault="00D53B85" w:rsidP="00940FEE">
      <w:pPr>
        <w:numPr>
          <w:ilvl w:val="0"/>
          <w:numId w:val="31"/>
        </w:numPr>
        <w:spacing w:line="276" w:lineRule="auto"/>
        <w:jc w:val="both"/>
        <w:rPr>
          <w:rFonts w:ascii="Arial" w:hAnsi="Arial" w:cs="Arial"/>
          <w:b/>
          <w:bCs/>
          <w:color w:val="000000" w:themeColor="text1"/>
        </w:rPr>
      </w:pPr>
      <w:r w:rsidRPr="004E2493">
        <w:rPr>
          <w:rFonts w:ascii="Arial" w:hAnsi="Arial" w:cs="Arial"/>
          <w:b/>
          <w:bCs/>
          <w:color w:val="000000" w:themeColor="text1"/>
        </w:rPr>
        <w:t>ERACHECK ECO (Analysis of Total Grease and Total Petroleum Hydrocarbons)</w:t>
      </w:r>
    </w:p>
    <w:p w14:paraId="3FC7B4AE" w14:textId="77777777" w:rsidR="00D53B85" w:rsidRPr="004E2493" w:rsidRDefault="00D53B85" w:rsidP="00940FEE">
      <w:pPr>
        <w:jc w:val="both"/>
        <w:rPr>
          <w:rFonts w:ascii="Arial" w:hAnsi="Arial" w:cs="Arial"/>
          <w:color w:val="000000" w:themeColor="text1"/>
        </w:rPr>
      </w:pPr>
      <w:r w:rsidRPr="004E2493">
        <w:rPr>
          <w:rFonts w:ascii="Arial" w:hAnsi="Arial" w:cs="Arial"/>
          <w:color w:val="000000" w:themeColor="text1"/>
        </w:rPr>
        <w:lastRenderedPageBreak/>
        <w:t>The ERACHECK ECO, a CFC-free oil-in-water tester, easily measures total oil and grease (TOG) and total petroleum hydrocarbons (TPH) concentrations in water and soil with sub-ppm accuracy. It quantifies oil and grease concentration in aqueous samples after a liquid-liquid extraction step using cyclohexane. It is primarily used in environmental monitoring, water treatment, and regulatory compliance to control industrial discharges.</w:t>
      </w:r>
    </w:p>
    <w:p w14:paraId="0FDDC926" w14:textId="77777777" w:rsidR="00940FEE" w:rsidRPr="004E2493" w:rsidRDefault="00940FEE" w:rsidP="00940FEE">
      <w:pPr>
        <w:jc w:val="both"/>
        <w:rPr>
          <w:rFonts w:ascii="Arial" w:hAnsi="Arial" w:cs="Arial"/>
          <w:color w:val="000000" w:themeColor="text1"/>
        </w:rPr>
      </w:pPr>
    </w:p>
    <w:p w14:paraId="6B6B504C" w14:textId="77777777" w:rsidR="00D53B85" w:rsidRPr="004E2493" w:rsidRDefault="00D53B85" w:rsidP="00940FEE">
      <w:pPr>
        <w:pStyle w:val="ListParagraph"/>
        <w:numPr>
          <w:ilvl w:val="0"/>
          <w:numId w:val="31"/>
        </w:numPr>
        <w:jc w:val="both"/>
        <w:rPr>
          <w:rFonts w:ascii="Arial" w:hAnsi="Arial" w:cs="Arial"/>
          <w:b/>
          <w:bCs/>
          <w:color w:val="000000" w:themeColor="text1"/>
        </w:rPr>
      </w:pPr>
      <w:r w:rsidRPr="004E2493">
        <w:rPr>
          <w:rFonts w:ascii="Arial" w:hAnsi="Arial" w:cs="Arial"/>
          <w:b/>
          <w:bCs/>
          <w:color w:val="000000" w:themeColor="text1"/>
        </w:rPr>
        <w:t>Equipment Used for Data Processing</w:t>
      </w:r>
    </w:p>
    <w:p w14:paraId="0EF472B1"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The following tools were used for data processing:</w:t>
      </w:r>
    </w:p>
    <w:p w14:paraId="52E0A62C" w14:textId="77777777" w:rsidR="00D53B85" w:rsidRPr="004E2493" w:rsidRDefault="00D53B85" w:rsidP="00D53B85">
      <w:pPr>
        <w:numPr>
          <w:ilvl w:val="0"/>
          <w:numId w:val="31"/>
        </w:numPr>
        <w:spacing w:after="200" w:line="276" w:lineRule="auto"/>
        <w:jc w:val="both"/>
        <w:rPr>
          <w:rFonts w:ascii="Arial" w:hAnsi="Arial" w:cs="Arial"/>
          <w:color w:val="000000" w:themeColor="text1"/>
        </w:rPr>
      </w:pPr>
      <w:r w:rsidRPr="004E2493">
        <w:rPr>
          <w:rFonts w:ascii="Arial" w:hAnsi="Arial" w:cs="Arial"/>
          <w:color w:val="000000" w:themeColor="text1"/>
        </w:rPr>
        <w:t>Microsoft Office Suite: Used for drafting this report and designing charts.</w:t>
      </w:r>
    </w:p>
    <w:p w14:paraId="0F53D6D4" w14:textId="77777777" w:rsidR="00D53B85" w:rsidRPr="004E2493" w:rsidRDefault="00D53B85" w:rsidP="00D53B85">
      <w:pPr>
        <w:numPr>
          <w:ilvl w:val="0"/>
          <w:numId w:val="31"/>
        </w:numPr>
        <w:spacing w:after="200" w:line="276" w:lineRule="auto"/>
        <w:jc w:val="both"/>
        <w:rPr>
          <w:rFonts w:ascii="Arial" w:hAnsi="Arial" w:cs="Arial"/>
          <w:color w:val="000000" w:themeColor="text1"/>
        </w:rPr>
      </w:pPr>
      <w:r w:rsidRPr="004E2493">
        <w:rPr>
          <w:rFonts w:ascii="Arial" w:hAnsi="Arial" w:cs="Arial"/>
          <w:color w:val="000000" w:themeColor="text1"/>
        </w:rPr>
        <w:t>Mobile phones: Used for taking various photographs.</w:t>
      </w:r>
    </w:p>
    <w:p w14:paraId="1E654BA0" w14:textId="77777777" w:rsidR="00D53B85" w:rsidRPr="004E2493" w:rsidRDefault="00D53B85" w:rsidP="00940FEE">
      <w:pPr>
        <w:pStyle w:val="ListParagraph"/>
        <w:numPr>
          <w:ilvl w:val="0"/>
          <w:numId w:val="31"/>
        </w:numPr>
        <w:jc w:val="both"/>
        <w:rPr>
          <w:rFonts w:ascii="Arial" w:hAnsi="Arial" w:cs="Arial"/>
          <w:b/>
          <w:bCs/>
          <w:color w:val="000000" w:themeColor="text1"/>
        </w:rPr>
      </w:pPr>
      <w:r w:rsidRPr="004E2493">
        <w:rPr>
          <w:rFonts w:ascii="Arial" w:hAnsi="Arial" w:cs="Arial"/>
          <w:b/>
          <w:bCs/>
          <w:color w:val="000000" w:themeColor="text1"/>
        </w:rPr>
        <w:t>Equipment Used for Mechanical Sample Preparation</w:t>
      </w:r>
    </w:p>
    <w:p w14:paraId="2F12ECFA"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To prepare the samples, the following equipment was used:</w:t>
      </w:r>
    </w:p>
    <w:p w14:paraId="041A00F9" w14:textId="77777777" w:rsidR="00D53B85" w:rsidRPr="004E2493" w:rsidRDefault="00D53B85" w:rsidP="00940FEE">
      <w:pPr>
        <w:numPr>
          <w:ilvl w:val="0"/>
          <w:numId w:val="32"/>
        </w:numPr>
        <w:spacing w:line="276" w:lineRule="auto"/>
        <w:jc w:val="both"/>
        <w:rPr>
          <w:rFonts w:ascii="Arial" w:hAnsi="Arial" w:cs="Arial"/>
          <w:color w:val="000000" w:themeColor="text1"/>
        </w:rPr>
      </w:pPr>
      <w:r w:rsidRPr="004E2493">
        <w:rPr>
          <w:rFonts w:ascii="Arial" w:hAnsi="Arial" w:cs="Arial"/>
          <w:color w:val="000000" w:themeColor="text1"/>
        </w:rPr>
        <w:t>Crusher</w:t>
      </w:r>
    </w:p>
    <w:p w14:paraId="74A4153D" w14:textId="6D415D46" w:rsidR="00D53B85" w:rsidRPr="0041269F" w:rsidRDefault="00D53B85" w:rsidP="00940FEE">
      <w:pPr>
        <w:jc w:val="both"/>
        <w:rPr>
          <w:rFonts w:ascii="Arial" w:hAnsi="Arial" w:cs="Arial"/>
          <w:color w:val="000000" w:themeColor="text1"/>
          <w:highlight w:val="yellow"/>
        </w:rPr>
      </w:pPr>
      <w:r w:rsidRPr="004E2493">
        <w:rPr>
          <w:rFonts w:ascii="Arial" w:hAnsi="Arial" w:cs="Arial"/>
          <w:color w:val="000000" w:themeColor="text1"/>
        </w:rPr>
        <w:t xml:space="preserve">A mechanical device used to reduce solid materials into finer particles. It serves to </w:t>
      </w:r>
      <w:r w:rsidR="002C571B" w:rsidRPr="0041269F">
        <w:rPr>
          <w:rFonts w:ascii="Arial" w:hAnsi="Arial" w:cs="Arial"/>
          <w:color w:val="000000" w:themeColor="text1"/>
          <w:highlight w:val="yellow"/>
        </w:rPr>
        <w:t>homogeni</w:t>
      </w:r>
      <w:r w:rsidR="002C571B" w:rsidRPr="0041269F">
        <w:rPr>
          <w:rFonts w:ascii="Arial" w:hAnsi="Arial" w:cs="Arial"/>
          <w:color w:val="000000" w:themeColor="text1"/>
          <w:highlight w:val="yellow"/>
        </w:rPr>
        <w:t>s</w:t>
      </w:r>
      <w:r w:rsidR="002C571B" w:rsidRPr="0041269F">
        <w:rPr>
          <w:rFonts w:ascii="Arial" w:hAnsi="Arial" w:cs="Arial"/>
          <w:color w:val="000000" w:themeColor="text1"/>
          <w:highlight w:val="yellow"/>
        </w:rPr>
        <w:t xml:space="preserve">e </w:t>
      </w:r>
      <w:r w:rsidRPr="0041269F">
        <w:rPr>
          <w:rFonts w:ascii="Arial" w:hAnsi="Arial" w:cs="Arial"/>
          <w:color w:val="000000" w:themeColor="text1"/>
          <w:highlight w:val="yellow"/>
        </w:rPr>
        <w:t>soil or rock samples by fragmenting them, thus enabling a grain size suitable for analysis.</w:t>
      </w:r>
    </w:p>
    <w:p w14:paraId="55CFBB9F" w14:textId="7FA42536" w:rsidR="00D53B85" w:rsidRPr="004E2493" w:rsidRDefault="002C571B" w:rsidP="00D53B85">
      <w:pPr>
        <w:numPr>
          <w:ilvl w:val="0"/>
          <w:numId w:val="32"/>
        </w:numPr>
        <w:spacing w:after="200" w:line="276" w:lineRule="auto"/>
        <w:jc w:val="both"/>
        <w:rPr>
          <w:rFonts w:ascii="Arial" w:hAnsi="Arial" w:cs="Arial"/>
          <w:color w:val="000000" w:themeColor="text1"/>
        </w:rPr>
      </w:pPr>
      <w:r w:rsidRPr="0041269F">
        <w:rPr>
          <w:rFonts w:ascii="Arial" w:hAnsi="Arial" w:cs="Arial"/>
          <w:color w:val="000000" w:themeColor="text1"/>
          <w:highlight w:val="yellow"/>
        </w:rPr>
        <w:t>Pulveri</w:t>
      </w:r>
      <w:r w:rsidRPr="0041269F">
        <w:rPr>
          <w:rFonts w:ascii="Arial" w:hAnsi="Arial" w:cs="Arial"/>
          <w:color w:val="000000" w:themeColor="text1"/>
          <w:highlight w:val="yellow"/>
        </w:rPr>
        <w:t>s</w:t>
      </w:r>
      <w:r w:rsidRPr="0041269F">
        <w:rPr>
          <w:rFonts w:ascii="Arial" w:hAnsi="Arial" w:cs="Arial"/>
          <w:color w:val="000000" w:themeColor="text1"/>
          <w:highlight w:val="yellow"/>
        </w:rPr>
        <w:t>er</w:t>
      </w:r>
      <w:r w:rsidR="00D53B85" w:rsidRPr="0041269F">
        <w:rPr>
          <w:rFonts w:ascii="Arial" w:hAnsi="Arial" w:cs="Arial"/>
          <w:color w:val="000000" w:themeColor="text1"/>
          <w:highlight w:val="yellow"/>
        </w:rPr>
        <w:t>: A device for fine</w:t>
      </w:r>
      <w:r w:rsidR="00D53B85" w:rsidRPr="004E2493">
        <w:rPr>
          <w:rFonts w:ascii="Arial" w:hAnsi="Arial" w:cs="Arial"/>
          <w:color w:val="000000" w:themeColor="text1"/>
        </w:rPr>
        <w:t xml:space="preserve"> grinding of materials such as soil or rocks. It produces a homogeneous, very fine powder suitable for laboratory analysis.</w:t>
      </w:r>
    </w:p>
    <w:p w14:paraId="1D5DA359" w14:textId="77777777" w:rsidR="00D53B85" w:rsidRPr="004E2493" w:rsidRDefault="00D53B85" w:rsidP="00D53B85">
      <w:pPr>
        <w:ind w:left="720"/>
        <w:jc w:val="both"/>
        <w:rPr>
          <w:rFonts w:ascii="Arial" w:hAnsi="Arial" w:cs="Arial"/>
          <w:color w:val="000000" w:themeColor="text1"/>
        </w:rPr>
      </w:pPr>
    </w:p>
    <w:p w14:paraId="2C5045FB" w14:textId="146977E9" w:rsidR="00D53B85" w:rsidRPr="004E2493" w:rsidRDefault="00940FEE" w:rsidP="00D53B85">
      <w:pPr>
        <w:jc w:val="both"/>
        <w:rPr>
          <w:rFonts w:ascii="Arial" w:hAnsi="Arial" w:cs="Arial"/>
          <w:b/>
          <w:bCs/>
          <w:color w:val="000000" w:themeColor="text1"/>
          <w:sz w:val="22"/>
          <w:szCs w:val="22"/>
        </w:rPr>
      </w:pPr>
      <w:r w:rsidRPr="004E2493">
        <w:rPr>
          <w:rFonts w:ascii="Arial" w:hAnsi="Arial" w:cs="Arial"/>
          <w:b/>
          <w:bCs/>
          <w:color w:val="000000" w:themeColor="text1"/>
          <w:sz w:val="22"/>
          <w:szCs w:val="22"/>
        </w:rPr>
        <w:t xml:space="preserve">2.3 </w:t>
      </w:r>
      <w:r w:rsidR="00D53B85" w:rsidRPr="004E2493">
        <w:rPr>
          <w:rFonts w:ascii="Arial" w:hAnsi="Arial" w:cs="Arial"/>
          <w:b/>
          <w:bCs/>
          <w:color w:val="000000" w:themeColor="text1"/>
          <w:sz w:val="22"/>
          <w:szCs w:val="22"/>
        </w:rPr>
        <w:t>Methods</w:t>
      </w:r>
    </w:p>
    <w:p w14:paraId="1E996DF3" w14:textId="4B9D4A4A" w:rsidR="00D53B85" w:rsidRPr="004E2493" w:rsidRDefault="00D53B85" w:rsidP="00940FEE">
      <w:pPr>
        <w:pStyle w:val="ListParagraph"/>
        <w:numPr>
          <w:ilvl w:val="0"/>
          <w:numId w:val="32"/>
        </w:numPr>
        <w:jc w:val="both"/>
        <w:rPr>
          <w:rFonts w:ascii="Arial" w:hAnsi="Arial" w:cs="Arial"/>
          <w:b/>
          <w:bCs/>
          <w:color w:val="000000" w:themeColor="text1"/>
        </w:rPr>
      </w:pPr>
      <w:r w:rsidRPr="004E2493">
        <w:rPr>
          <w:rFonts w:ascii="Arial" w:hAnsi="Arial" w:cs="Arial"/>
          <w:b/>
          <w:bCs/>
          <w:color w:val="000000" w:themeColor="text1"/>
        </w:rPr>
        <w:t>Data Collection Methods</w:t>
      </w:r>
    </w:p>
    <w:p w14:paraId="7F1BCCDA"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Data collection is a crucial step in evaluating the impact of gauging practices on soil and water. This section presents the various methods adopted to conduct our study.</w:t>
      </w:r>
    </w:p>
    <w:p w14:paraId="688ED5A2" w14:textId="77777777" w:rsidR="00D53B85" w:rsidRPr="004E2493" w:rsidRDefault="00D53B85" w:rsidP="00940FEE">
      <w:pPr>
        <w:pStyle w:val="ListParagraph"/>
        <w:numPr>
          <w:ilvl w:val="0"/>
          <w:numId w:val="32"/>
        </w:numPr>
        <w:jc w:val="both"/>
        <w:rPr>
          <w:rFonts w:ascii="Arial" w:hAnsi="Arial" w:cs="Arial"/>
          <w:b/>
          <w:bCs/>
          <w:color w:val="000000" w:themeColor="text1"/>
        </w:rPr>
      </w:pPr>
      <w:r w:rsidRPr="004E2493">
        <w:rPr>
          <w:rFonts w:ascii="Arial" w:hAnsi="Arial" w:cs="Arial"/>
          <w:b/>
          <w:bCs/>
          <w:color w:val="000000" w:themeColor="text1"/>
        </w:rPr>
        <w:t>Field Data Collection</w:t>
      </w:r>
    </w:p>
    <w:p w14:paraId="4AA68D3B"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Field data collection primarily focused on the retention basin, identified as a critical zone due to its role in managing water resulting from gauging operations. This basin collects effluents likely to contain hydrocarbons and other contaminants, justifying its selection as a sampling site.</w:t>
      </w:r>
    </w:p>
    <w:p w14:paraId="7284E10E" w14:textId="74EB6CA4"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 xml:space="preserve">The retention basin was accurately located using a handheld GPS. During the site visit, an in-depth visual inspection was conducted to identify key indicators such as water </w:t>
      </w:r>
      <w:r w:rsidRPr="0041269F">
        <w:rPr>
          <w:rFonts w:ascii="Arial" w:hAnsi="Arial" w:cs="Arial"/>
          <w:color w:val="000000" w:themeColor="text1"/>
          <w:highlight w:val="yellow"/>
        </w:rPr>
        <w:t>colo</w:t>
      </w:r>
      <w:r w:rsidR="002C571B" w:rsidRPr="0041269F">
        <w:rPr>
          <w:rFonts w:ascii="Arial" w:hAnsi="Arial" w:cs="Arial"/>
          <w:color w:val="000000" w:themeColor="text1"/>
          <w:highlight w:val="yellow"/>
        </w:rPr>
        <w:t>u</w:t>
      </w:r>
      <w:r w:rsidRPr="0041269F">
        <w:rPr>
          <w:rFonts w:ascii="Arial" w:hAnsi="Arial" w:cs="Arial"/>
          <w:color w:val="000000" w:themeColor="text1"/>
          <w:highlight w:val="yellow"/>
        </w:rPr>
        <w:t xml:space="preserve">r, the </w:t>
      </w:r>
      <w:r w:rsidRPr="004E2493">
        <w:rPr>
          <w:rFonts w:ascii="Arial" w:hAnsi="Arial" w:cs="Arial"/>
          <w:color w:val="000000" w:themeColor="text1"/>
        </w:rPr>
        <w:t xml:space="preserve">presence of oil films, </w:t>
      </w:r>
      <w:r w:rsidRPr="0041269F">
        <w:rPr>
          <w:rFonts w:ascii="Arial" w:hAnsi="Arial" w:cs="Arial"/>
          <w:color w:val="000000" w:themeColor="text1"/>
          <w:highlight w:val="yellow"/>
        </w:rPr>
        <w:t>specific odo</w:t>
      </w:r>
      <w:r w:rsidR="002C571B" w:rsidRPr="0041269F">
        <w:rPr>
          <w:rFonts w:ascii="Arial" w:hAnsi="Arial" w:cs="Arial"/>
          <w:color w:val="000000" w:themeColor="text1"/>
          <w:highlight w:val="yellow"/>
        </w:rPr>
        <w:t>u</w:t>
      </w:r>
      <w:r w:rsidRPr="0041269F">
        <w:rPr>
          <w:rFonts w:ascii="Arial" w:hAnsi="Arial" w:cs="Arial"/>
          <w:color w:val="000000" w:themeColor="text1"/>
          <w:highlight w:val="yellow"/>
        </w:rPr>
        <w:t>rs (nota</w:t>
      </w:r>
      <w:r w:rsidRPr="004E2493">
        <w:rPr>
          <w:rFonts w:ascii="Arial" w:hAnsi="Arial" w:cs="Arial"/>
          <w:color w:val="000000" w:themeColor="text1"/>
        </w:rPr>
        <w:t>bly hydrocarbons), and the potential presence of sediments or solid particles.</w:t>
      </w:r>
    </w:p>
    <w:p w14:paraId="6EBAC102" w14:textId="77777777" w:rsidR="00D53B85" w:rsidRPr="004E2493" w:rsidRDefault="00D53B85" w:rsidP="00D53B85">
      <w:pPr>
        <w:jc w:val="both"/>
        <w:rPr>
          <w:rFonts w:ascii="Arial" w:hAnsi="Arial" w:cs="Arial"/>
          <w:color w:val="000000" w:themeColor="text1"/>
        </w:rPr>
      </w:pPr>
    </w:p>
    <w:p w14:paraId="0D8B4B5D" w14:textId="3E0E94FA" w:rsidR="00D53B85" w:rsidRPr="004E2493" w:rsidRDefault="00940FEE" w:rsidP="00D53B85">
      <w:pPr>
        <w:jc w:val="both"/>
        <w:rPr>
          <w:rFonts w:ascii="Arial" w:hAnsi="Arial" w:cs="Arial"/>
          <w:b/>
          <w:bCs/>
          <w:color w:val="000000" w:themeColor="text1"/>
        </w:rPr>
      </w:pPr>
      <w:r w:rsidRPr="004E2493">
        <w:rPr>
          <w:rFonts w:ascii="Arial" w:hAnsi="Arial" w:cs="Arial"/>
          <w:b/>
          <w:bCs/>
          <w:color w:val="000000" w:themeColor="text1"/>
        </w:rPr>
        <w:t xml:space="preserve">2.3.1 </w:t>
      </w:r>
      <w:r w:rsidR="00D53B85" w:rsidRPr="004E2493">
        <w:rPr>
          <w:rFonts w:ascii="Arial" w:hAnsi="Arial" w:cs="Arial"/>
          <w:b/>
          <w:bCs/>
          <w:color w:val="000000" w:themeColor="text1"/>
        </w:rPr>
        <w:t>Sample Collection for Laboratory Analysis</w:t>
      </w:r>
    </w:p>
    <w:p w14:paraId="33D6D5F9" w14:textId="77777777" w:rsidR="00D53B85" w:rsidRPr="004E2493" w:rsidRDefault="00D53B85" w:rsidP="00940FEE">
      <w:pPr>
        <w:pStyle w:val="ListParagraph"/>
        <w:numPr>
          <w:ilvl w:val="0"/>
          <w:numId w:val="32"/>
        </w:numPr>
        <w:jc w:val="both"/>
        <w:rPr>
          <w:rFonts w:ascii="Arial" w:hAnsi="Arial" w:cs="Arial"/>
          <w:b/>
          <w:bCs/>
          <w:color w:val="000000" w:themeColor="text1"/>
        </w:rPr>
      </w:pPr>
      <w:r w:rsidRPr="004E2493">
        <w:rPr>
          <w:rFonts w:ascii="Arial" w:hAnsi="Arial" w:cs="Arial"/>
          <w:b/>
          <w:bCs/>
          <w:color w:val="000000" w:themeColor="text1"/>
        </w:rPr>
        <w:t>Water Sample Collection</w:t>
      </w:r>
    </w:p>
    <w:p w14:paraId="53DB8B38" w14:textId="5734804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 xml:space="preserve">Three (03) water samples were taken from the three retention basins (1 at the main BUMIGEB </w:t>
      </w:r>
      <w:r w:rsidRPr="0041269F">
        <w:rPr>
          <w:rFonts w:ascii="Arial" w:hAnsi="Arial" w:cs="Arial"/>
          <w:color w:val="000000" w:themeColor="text1"/>
          <w:highlight w:val="yellow"/>
        </w:rPr>
        <w:t>site</w:t>
      </w:r>
      <w:r w:rsidR="00AF6F46" w:rsidRPr="0041269F">
        <w:rPr>
          <w:rFonts w:ascii="Arial" w:hAnsi="Arial" w:cs="Arial"/>
          <w:color w:val="000000" w:themeColor="text1"/>
          <w:highlight w:val="yellow"/>
        </w:rPr>
        <w:t>,</w:t>
      </w:r>
      <w:r w:rsidR="006C76E2" w:rsidRPr="0041269F">
        <w:rPr>
          <w:rFonts w:ascii="Arial" w:hAnsi="Arial" w:cs="Arial"/>
          <w:color w:val="000000" w:themeColor="text1"/>
          <w:highlight w:val="yellow"/>
        </w:rPr>
        <w:t xml:space="preserve"> </w:t>
      </w:r>
      <w:r w:rsidRPr="0041269F">
        <w:rPr>
          <w:rFonts w:ascii="Arial" w:hAnsi="Arial" w:cs="Arial"/>
          <w:color w:val="000000" w:themeColor="text1"/>
          <w:highlight w:val="yellow"/>
        </w:rPr>
        <w:t>our study site</w:t>
      </w:r>
      <w:r w:rsidR="00AF6F46" w:rsidRPr="0041269F">
        <w:rPr>
          <w:rFonts w:ascii="Arial" w:hAnsi="Arial" w:cs="Arial"/>
          <w:color w:val="000000" w:themeColor="text1"/>
          <w:highlight w:val="yellow"/>
        </w:rPr>
        <w:t>,</w:t>
      </w:r>
      <w:r w:rsidR="006C76E2" w:rsidRPr="0041269F">
        <w:rPr>
          <w:rFonts w:ascii="Arial" w:hAnsi="Arial" w:cs="Arial"/>
          <w:color w:val="000000" w:themeColor="text1"/>
          <w:highlight w:val="yellow"/>
        </w:rPr>
        <w:t xml:space="preserve"> </w:t>
      </w:r>
      <w:r w:rsidRPr="0041269F">
        <w:rPr>
          <w:rFonts w:ascii="Arial" w:hAnsi="Arial" w:cs="Arial"/>
          <w:color w:val="000000" w:themeColor="text1"/>
          <w:highlight w:val="yellow"/>
        </w:rPr>
        <w:t>and 2 at another of t</w:t>
      </w:r>
      <w:r w:rsidRPr="004E2493">
        <w:rPr>
          <w:rFonts w:ascii="Arial" w:hAnsi="Arial" w:cs="Arial"/>
          <w:color w:val="000000" w:themeColor="text1"/>
        </w:rPr>
        <w:t xml:space="preserve">heir sites) using a telescopic dipper. This allowed us to reach an average depth of 30 cm below the water surface without disturbing sediments. Samples were collected from each basin and transferred into </w:t>
      </w:r>
      <w:r w:rsidRPr="0041269F">
        <w:rPr>
          <w:rFonts w:ascii="Arial" w:hAnsi="Arial" w:cs="Arial"/>
          <w:color w:val="000000" w:themeColor="text1"/>
          <w:highlight w:val="yellow"/>
        </w:rPr>
        <w:t>sterile 1-</w:t>
      </w:r>
      <w:r w:rsidR="00AF6F46" w:rsidRPr="0041269F">
        <w:rPr>
          <w:rFonts w:ascii="Arial" w:hAnsi="Arial" w:cs="Arial"/>
          <w:color w:val="000000" w:themeColor="text1"/>
          <w:highlight w:val="yellow"/>
        </w:rPr>
        <w:t>lit</w:t>
      </w:r>
      <w:r w:rsidR="00AF6F46" w:rsidRPr="0041269F">
        <w:rPr>
          <w:rFonts w:ascii="Arial" w:hAnsi="Arial" w:cs="Arial"/>
          <w:color w:val="000000" w:themeColor="text1"/>
          <w:highlight w:val="yellow"/>
        </w:rPr>
        <w:t>re</w:t>
      </w:r>
      <w:r w:rsidR="00AF6F46" w:rsidRPr="004E2493">
        <w:rPr>
          <w:rFonts w:ascii="Arial" w:hAnsi="Arial" w:cs="Arial"/>
          <w:color w:val="000000" w:themeColor="text1"/>
        </w:rPr>
        <w:t xml:space="preserve"> </w:t>
      </w:r>
      <w:r w:rsidRPr="004E2493">
        <w:rPr>
          <w:rFonts w:ascii="Arial" w:hAnsi="Arial" w:cs="Arial"/>
          <w:color w:val="000000" w:themeColor="text1"/>
        </w:rPr>
        <w:t>plastic bottles, previously rinsed with water from the sampling basin. The samples did not require refrigeration, as they were quickly delivered for analysis.</w:t>
      </w:r>
    </w:p>
    <w:p w14:paraId="2878D46A" w14:textId="77777777" w:rsidR="00D53B85" w:rsidRPr="004E2493" w:rsidRDefault="00D53B85" w:rsidP="00940FEE">
      <w:pPr>
        <w:pStyle w:val="ListParagraph"/>
        <w:numPr>
          <w:ilvl w:val="0"/>
          <w:numId w:val="32"/>
        </w:numPr>
        <w:jc w:val="both"/>
        <w:rPr>
          <w:rFonts w:ascii="Arial" w:hAnsi="Arial" w:cs="Arial"/>
          <w:b/>
          <w:bCs/>
          <w:color w:val="000000" w:themeColor="text1"/>
        </w:rPr>
      </w:pPr>
      <w:r w:rsidRPr="004E2493">
        <w:rPr>
          <w:rFonts w:ascii="Arial" w:hAnsi="Arial" w:cs="Arial"/>
          <w:b/>
          <w:bCs/>
          <w:color w:val="000000" w:themeColor="text1"/>
        </w:rPr>
        <w:t>Soil Sample Collection</w:t>
      </w:r>
    </w:p>
    <w:p w14:paraId="3E799DA8" w14:textId="142A00C8"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 xml:space="preserve">Eight (08) soil samples were collected around the retention basin to assess potential contamination. Using an auger, samples were taken from three zones: the immediate impact zone, located just a </w:t>
      </w:r>
      <w:r w:rsidRPr="0041269F">
        <w:rPr>
          <w:rFonts w:ascii="Arial" w:hAnsi="Arial" w:cs="Arial"/>
          <w:color w:val="000000" w:themeColor="text1"/>
          <w:highlight w:val="yellow"/>
        </w:rPr>
        <w:t xml:space="preserve">few </w:t>
      </w:r>
      <w:r w:rsidR="00395D57" w:rsidRPr="0041269F">
        <w:rPr>
          <w:rFonts w:ascii="Arial" w:hAnsi="Arial" w:cs="Arial"/>
          <w:color w:val="000000" w:themeColor="text1"/>
          <w:highlight w:val="yellow"/>
        </w:rPr>
        <w:t>centimet</w:t>
      </w:r>
      <w:r w:rsidR="00395D57" w:rsidRPr="0041269F">
        <w:rPr>
          <w:rFonts w:ascii="Arial" w:hAnsi="Arial" w:cs="Arial"/>
          <w:color w:val="000000" w:themeColor="text1"/>
          <w:highlight w:val="yellow"/>
        </w:rPr>
        <w:t>re</w:t>
      </w:r>
      <w:r w:rsidR="00395D57" w:rsidRPr="0041269F">
        <w:rPr>
          <w:rFonts w:ascii="Arial" w:hAnsi="Arial" w:cs="Arial"/>
          <w:color w:val="000000" w:themeColor="text1"/>
          <w:highlight w:val="yellow"/>
        </w:rPr>
        <w:t xml:space="preserve">s </w:t>
      </w:r>
      <w:r w:rsidRPr="0041269F">
        <w:rPr>
          <w:rFonts w:ascii="Arial" w:hAnsi="Arial" w:cs="Arial"/>
          <w:color w:val="000000" w:themeColor="text1"/>
          <w:highlight w:val="yellow"/>
        </w:rPr>
        <w:t>fro</w:t>
      </w:r>
      <w:r w:rsidRPr="004E2493">
        <w:rPr>
          <w:rFonts w:ascii="Arial" w:hAnsi="Arial" w:cs="Arial"/>
          <w:color w:val="000000" w:themeColor="text1"/>
        </w:rPr>
        <w:t xml:space="preserve">m the retention basin, the peripheral zone, about ten meters from the basin, and the remote zone, about 50 meters away. Samples were taken at a surface depth between 15 cm and 30 cm. They were placed in sealed plastic </w:t>
      </w:r>
      <w:r w:rsidRPr="0041269F">
        <w:rPr>
          <w:rFonts w:ascii="Arial" w:hAnsi="Arial" w:cs="Arial"/>
          <w:color w:val="000000" w:themeColor="text1"/>
          <w:highlight w:val="yellow"/>
        </w:rPr>
        <w:t>bags, labe</w:t>
      </w:r>
      <w:r w:rsidR="00395D57" w:rsidRPr="0041269F">
        <w:rPr>
          <w:rFonts w:ascii="Arial" w:hAnsi="Arial" w:cs="Arial"/>
          <w:color w:val="000000" w:themeColor="text1"/>
          <w:highlight w:val="yellow"/>
        </w:rPr>
        <w:t>l</w:t>
      </w:r>
      <w:r w:rsidRPr="0041269F">
        <w:rPr>
          <w:rFonts w:ascii="Arial" w:hAnsi="Arial" w:cs="Arial"/>
          <w:color w:val="000000" w:themeColor="text1"/>
          <w:highlight w:val="yellow"/>
        </w:rPr>
        <w:t>led, and transpor</w:t>
      </w:r>
      <w:r w:rsidRPr="004E2493">
        <w:rPr>
          <w:rFonts w:ascii="Arial" w:hAnsi="Arial" w:cs="Arial"/>
          <w:color w:val="000000" w:themeColor="text1"/>
        </w:rPr>
        <w:t xml:space="preserve">ted under appropriate conditions for later laboratory analysis. </w:t>
      </w:r>
    </w:p>
    <w:p w14:paraId="5AA203E1"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 xml:space="preserve">Special attention was given to data and sample traceability. A unique coding system was implemented to identify each sample by type, sampling site, and date. Additionally, </w:t>
      </w:r>
      <w:r w:rsidRPr="004E2493">
        <w:rPr>
          <w:rFonts w:ascii="Arial" w:hAnsi="Arial" w:cs="Arial"/>
          <w:color w:val="000000" w:themeColor="text1"/>
        </w:rPr>
        <w:lastRenderedPageBreak/>
        <w:t>photographs were taken at each site to visually document environmental conditions at the time of collection.</w:t>
      </w:r>
    </w:p>
    <w:p w14:paraId="147BC461" w14:textId="77777777" w:rsidR="00D53B85" w:rsidRPr="004E2493" w:rsidRDefault="00D53B85" w:rsidP="00940FEE">
      <w:pPr>
        <w:pStyle w:val="ListParagraph"/>
        <w:numPr>
          <w:ilvl w:val="0"/>
          <w:numId w:val="32"/>
        </w:numPr>
        <w:jc w:val="both"/>
        <w:rPr>
          <w:rFonts w:ascii="Arial" w:hAnsi="Arial" w:cs="Arial"/>
          <w:b/>
          <w:bCs/>
          <w:color w:val="000000" w:themeColor="text1"/>
        </w:rPr>
      </w:pPr>
      <w:r w:rsidRPr="004E2493">
        <w:rPr>
          <w:rFonts w:ascii="Arial" w:hAnsi="Arial" w:cs="Arial"/>
          <w:b/>
          <w:bCs/>
          <w:color w:val="000000" w:themeColor="text1"/>
        </w:rPr>
        <w:t>Mechanical Preparation</w:t>
      </w:r>
    </w:p>
    <w:p w14:paraId="6B297775" w14:textId="2A6CBC18"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 xml:space="preserve">After collection, the soil samples underwent mechanical preparation. First, they were crushed to reduce sample size; second, they </w:t>
      </w:r>
      <w:r w:rsidRPr="0041269F">
        <w:rPr>
          <w:rFonts w:ascii="Arial" w:hAnsi="Arial" w:cs="Arial"/>
          <w:color w:val="000000" w:themeColor="text1"/>
          <w:highlight w:val="yellow"/>
        </w:rPr>
        <w:t xml:space="preserve">were </w:t>
      </w:r>
      <w:r w:rsidR="0023250F" w:rsidRPr="0041269F">
        <w:rPr>
          <w:rFonts w:ascii="Arial" w:hAnsi="Arial" w:cs="Arial"/>
          <w:color w:val="000000" w:themeColor="text1"/>
          <w:highlight w:val="yellow"/>
        </w:rPr>
        <w:t>pulveri</w:t>
      </w:r>
      <w:r w:rsidR="0023250F" w:rsidRPr="0041269F">
        <w:rPr>
          <w:rFonts w:ascii="Arial" w:hAnsi="Arial" w:cs="Arial"/>
          <w:color w:val="000000" w:themeColor="text1"/>
          <w:highlight w:val="yellow"/>
        </w:rPr>
        <w:t>s</w:t>
      </w:r>
      <w:r w:rsidR="0023250F" w:rsidRPr="0041269F">
        <w:rPr>
          <w:rFonts w:ascii="Arial" w:hAnsi="Arial" w:cs="Arial"/>
          <w:color w:val="000000" w:themeColor="text1"/>
          <w:highlight w:val="yellow"/>
        </w:rPr>
        <w:t xml:space="preserve">ed </w:t>
      </w:r>
      <w:r w:rsidRPr="0041269F">
        <w:rPr>
          <w:rFonts w:ascii="Arial" w:hAnsi="Arial" w:cs="Arial"/>
          <w:color w:val="000000" w:themeColor="text1"/>
          <w:highlight w:val="yellow"/>
        </w:rPr>
        <w:t>to facilitate</w:t>
      </w:r>
      <w:r w:rsidRPr="004E2493">
        <w:rPr>
          <w:rFonts w:ascii="Arial" w:hAnsi="Arial" w:cs="Arial"/>
          <w:color w:val="000000" w:themeColor="text1"/>
        </w:rPr>
        <w:t xml:space="preserve"> digestion. After these operations, the samples were sent for analysis.</w:t>
      </w:r>
    </w:p>
    <w:p w14:paraId="30D8A284" w14:textId="77777777" w:rsidR="00D53B85" w:rsidRPr="004E2493" w:rsidRDefault="00D53B85" w:rsidP="00940FEE">
      <w:pPr>
        <w:pStyle w:val="ListParagraph"/>
        <w:numPr>
          <w:ilvl w:val="0"/>
          <w:numId w:val="32"/>
        </w:numPr>
        <w:jc w:val="both"/>
        <w:rPr>
          <w:rFonts w:ascii="Arial" w:hAnsi="Arial" w:cs="Arial"/>
          <w:b/>
          <w:bCs/>
          <w:color w:val="000000" w:themeColor="text1"/>
        </w:rPr>
      </w:pPr>
      <w:r w:rsidRPr="004E2493">
        <w:rPr>
          <w:rFonts w:ascii="Arial" w:hAnsi="Arial" w:cs="Arial"/>
          <w:b/>
          <w:bCs/>
          <w:color w:val="000000" w:themeColor="text1"/>
        </w:rPr>
        <w:t>Secondary Data Collection</w:t>
      </w:r>
    </w:p>
    <w:p w14:paraId="01DF61B9" w14:textId="77777777" w:rsidR="00D53B85" w:rsidRPr="004E2493" w:rsidRDefault="00D53B85" w:rsidP="00D53B85">
      <w:pPr>
        <w:jc w:val="both"/>
        <w:rPr>
          <w:rFonts w:ascii="Arial" w:hAnsi="Arial" w:cs="Arial"/>
          <w:color w:val="000000" w:themeColor="text1"/>
        </w:rPr>
      </w:pPr>
      <w:r w:rsidRPr="004E2493">
        <w:rPr>
          <w:rFonts w:ascii="Arial" w:hAnsi="Arial" w:cs="Arial"/>
          <w:color w:val="000000" w:themeColor="text1"/>
        </w:rPr>
        <w:t>Secondary data were also gathered to complement field observations and sampling:</w:t>
      </w:r>
    </w:p>
    <w:p w14:paraId="71B4996C" w14:textId="77777777" w:rsidR="00D53B85" w:rsidRPr="004E2493" w:rsidRDefault="00D53B85" w:rsidP="00D53B85">
      <w:pPr>
        <w:numPr>
          <w:ilvl w:val="0"/>
          <w:numId w:val="33"/>
        </w:numPr>
        <w:spacing w:after="200" w:line="276" w:lineRule="auto"/>
        <w:jc w:val="both"/>
        <w:rPr>
          <w:rFonts w:ascii="Arial" w:hAnsi="Arial" w:cs="Arial"/>
          <w:color w:val="000000" w:themeColor="text1"/>
        </w:rPr>
      </w:pPr>
      <w:r w:rsidRPr="004E2493">
        <w:rPr>
          <w:rFonts w:ascii="Arial" w:hAnsi="Arial" w:cs="Arial"/>
          <w:color w:val="000000" w:themeColor="text1"/>
        </w:rPr>
        <w:t>Operational Data: Information was collected regarding the functioning of the retention basins, their capacity to manage effluents, and current soil and water management practices at the site. These data were obtained through interviews with technical staff and direct observations.</w:t>
      </w:r>
    </w:p>
    <w:p w14:paraId="386EAC50" w14:textId="77777777" w:rsidR="00D53B85" w:rsidRPr="004E2493" w:rsidRDefault="00D53B85" w:rsidP="00D53B85">
      <w:pPr>
        <w:numPr>
          <w:ilvl w:val="0"/>
          <w:numId w:val="33"/>
        </w:numPr>
        <w:spacing w:after="200" w:line="276" w:lineRule="auto"/>
        <w:jc w:val="both"/>
        <w:rPr>
          <w:rFonts w:ascii="Arial" w:hAnsi="Arial" w:cs="Arial"/>
          <w:color w:val="000000" w:themeColor="text1"/>
        </w:rPr>
      </w:pPr>
      <w:r w:rsidRPr="004E2493">
        <w:rPr>
          <w:rFonts w:ascii="Arial" w:hAnsi="Arial" w:cs="Arial"/>
          <w:color w:val="000000" w:themeColor="text1"/>
        </w:rPr>
        <w:t>Technical Reports: Reports from the Bureau of Mines and Geology of Burkina were consulted to provide a historical database on gauging practices and effluent management. These documents also offered insights into applicable regulations and current environmental standards.</w:t>
      </w:r>
    </w:p>
    <w:p w14:paraId="1B41F00A" w14:textId="2878AA7B" w:rsidR="00D53B85" w:rsidRPr="004E2493" w:rsidRDefault="00D53B85" w:rsidP="004811BA">
      <w:pPr>
        <w:numPr>
          <w:ilvl w:val="0"/>
          <w:numId w:val="33"/>
        </w:numPr>
        <w:spacing w:after="200" w:line="276" w:lineRule="auto"/>
        <w:jc w:val="both"/>
        <w:rPr>
          <w:rFonts w:ascii="Arial" w:hAnsi="Arial" w:cs="Arial"/>
          <w:color w:val="000000" w:themeColor="text1"/>
        </w:rPr>
      </w:pPr>
      <w:r w:rsidRPr="0024788F">
        <w:rPr>
          <w:rFonts w:ascii="Arial" w:hAnsi="Arial" w:cs="Arial"/>
          <w:color w:val="000000" w:themeColor="text1"/>
          <w:highlight w:val="yellow"/>
        </w:rPr>
        <w:t xml:space="preserve">Scientific Literature: Scientific articles and technical studies were reviewed to </w:t>
      </w:r>
      <w:r w:rsidR="00584F91" w:rsidRPr="0024788F">
        <w:rPr>
          <w:rFonts w:ascii="Arial" w:hAnsi="Arial" w:cs="Arial"/>
          <w:color w:val="000000" w:themeColor="text1"/>
          <w:highlight w:val="yellow"/>
        </w:rPr>
        <w:t>contextuali</w:t>
      </w:r>
      <w:r w:rsidR="00584F91" w:rsidRPr="0024788F">
        <w:rPr>
          <w:rFonts w:ascii="Arial" w:hAnsi="Arial" w:cs="Arial"/>
          <w:color w:val="000000" w:themeColor="text1"/>
          <w:highlight w:val="yellow"/>
        </w:rPr>
        <w:t>s</w:t>
      </w:r>
      <w:r w:rsidR="00584F91" w:rsidRPr="0024788F">
        <w:rPr>
          <w:rFonts w:ascii="Arial" w:hAnsi="Arial" w:cs="Arial"/>
          <w:color w:val="000000" w:themeColor="text1"/>
          <w:highlight w:val="yellow"/>
        </w:rPr>
        <w:t xml:space="preserve">e </w:t>
      </w:r>
      <w:r w:rsidRPr="0024788F">
        <w:rPr>
          <w:rFonts w:ascii="Arial" w:hAnsi="Arial" w:cs="Arial"/>
          <w:color w:val="000000" w:themeColor="text1"/>
          <w:highlight w:val="yellow"/>
        </w:rPr>
        <w:t>the expected results and better understand contamination mechanisms involving</w:t>
      </w:r>
      <w:r w:rsidRPr="004E2493">
        <w:rPr>
          <w:rFonts w:ascii="Arial" w:hAnsi="Arial" w:cs="Arial"/>
          <w:color w:val="000000" w:themeColor="text1"/>
        </w:rPr>
        <w:t xml:space="preserve"> hydrocarbons and heavy metals.</w:t>
      </w:r>
    </w:p>
    <w:p w14:paraId="14E0D9E1" w14:textId="77777777" w:rsidR="00940FEE" w:rsidRPr="004E2493" w:rsidRDefault="00940FEE" w:rsidP="00441B6F">
      <w:pPr>
        <w:pStyle w:val="Body"/>
        <w:spacing w:after="0"/>
        <w:rPr>
          <w:rFonts w:ascii="Arial" w:hAnsi="Arial" w:cs="Arial"/>
          <w:color w:val="000000" w:themeColor="text1"/>
        </w:rPr>
      </w:pPr>
    </w:p>
    <w:p w14:paraId="0530E8E6" w14:textId="77777777" w:rsidR="00902823" w:rsidRPr="004E2493" w:rsidRDefault="00000F8F" w:rsidP="00441B6F">
      <w:pPr>
        <w:pStyle w:val="Head1"/>
        <w:spacing w:after="0"/>
        <w:jc w:val="both"/>
        <w:rPr>
          <w:rFonts w:ascii="Arial" w:hAnsi="Arial" w:cs="Arial"/>
          <w:color w:val="000000" w:themeColor="text1"/>
        </w:rPr>
      </w:pPr>
      <w:r w:rsidRPr="004E2493">
        <w:rPr>
          <w:rFonts w:ascii="Arial" w:hAnsi="Arial" w:cs="Arial"/>
          <w:color w:val="000000" w:themeColor="text1"/>
        </w:rPr>
        <w:t>3</w:t>
      </w:r>
      <w:r w:rsidR="00902823" w:rsidRPr="004E2493">
        <w:rPr>
          <w:rFonts w:ascii="Arial" w:hAnsi="Arial" w:cs="Arial"/>
          <w:color w:val="000000" w:themeColor="text1"/>
        </w:rPr>
        <w:t xml:space="preserve">. </w:t>
      </w:r>
      <w:r w:rsidRPr="004E2493">
        <w:rPr>
          <w:rFonts w:ascii="Arial" w:hAnsi="Arial" w:cs="Arial"/>
          <w:color w:val="000000" w:themeColor="text1"/>
        </w:rPr>
        <w:t>results and discussion</w:t>
      </w:r>
    </w:p>
    <w:p w14:paraId="406369D1" w14:textId="77777777" w:rsidR="00790ADA" w:rsidRPr="004E2493" w:rsidRDefault="00790ADA" w:rsidP="00441B6F">
      <w:pPr>
        <w:pStyle w:val="Head1"/>
        <w:spacing w:after="0"/>
        <w:jc w:val="both"/>
        <w:rPr>
          <w:rFonts w:ascii="Arial" w:hAnsi="Arial" w:cs="Arial"/>
          <w:color w:val="000000" w:themeColor="text1"/>
        </w:rPr>
      </w:pPr>
    </w:p>
    <w:p w14:paraId="3921006F" w14:textId="5C2CFDD4" w:rsidR="00940FEE" w:rsidRPr="004E2493" w:rsidRDefault="00940FEE" w:rsidP="00940FEE">
      <w:pPr>
        <w:jc w:val="both"/>
        <w:rPr>
          <w:rFonts w:ascii="Arial" w:hAnsi="Arial" w:cs="Arial"/>
          <w:b/>
          <w:bCs/>
          <w:color w:val="000000" w:themeColor="text1"/>
          <w:sz w:val="24"/>
          <w:szCs w:val="24"/>
        </w:rPr>
      </w:pPr>
      <w:r w:rsidRPr="004E2493">
        <w:rPr>
          <w:rFonts w:ascii="Arial" w:hAnsi="Arial" w:cs="Arial"/>
          <w:b/>
          <w:bCs/>
          <w:color w:val="000000" w:themeColor="text1"/>
        </w:rPr>
        <w:t xml:space="preserve">3.1 </w:t>
      </w:r>
      <w:r w:rsidRPr="004E2493">
        <w:rPr>
          <w:rFonts w:ascii="Arial" w:hAnsi="Arial" w:cs="Arial"/>
          <w:b/>
          <w:bCs/>
          <w:color w:val="000000" w:themeColor="text1"/>
          <w:sz w:val="22"/>
          <w:szCs w:val="22"/>
        </w:rPr>
        <w:t>Presentation of Total Grease Analysis Results</w:t>
      </w:r>
    </w:p>
    <w:p w14:paraId="421A75B8"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Table 1 presents the results of total grease analysis in the different water samples collected from the study area.</w:t>
      </w:r>
    </w:p>
    <w:p w14:paraId="0C22F40E" w14:textId="77777777" w:rsidR="00940FEE" w:rsidRPr="004E2493" w:rsidRDefault="00940FEE" w:rsidP="00940FEE">
      <w:pPr>
        <w:jc w:val="both"/>
        <w:rPr>
          <w:rFonts w:ascii="Arial" w:hAnsi="Arial" w:cs="Arial"/>
          <w:color w:val="000000" w:themeColor="text1"/>
        </w:rPr>
      </w:pPr>
    </w:p>
    <w:p w14:paraId="33F97941" w14:textId="6993A860"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Table 1</w:t>
      </w:r>
      <w:r w:rsidR="00340BB4" w:rsidRPr="004E2493">
        <w:rPr>
          <w:rFonts w:ascii="Arial" w:hAnsi="Arial" w:cs="Arial"/>
          <w:b/>
          <w:bCs/>
          <w:color w:val="000000" w:themeColor="text1"/>
        </w:rPr>
        <w:t xml:space="preserve">. </w:t>
      </w:r>
      <w:r w:rsidRPr="004E2493">
        <w:rPr>
          <w:rFonts w:ascii="Arial" w:hAnsi="Arial" w:cs="Arial"/>
          <w:b/>
          <w:bCs/>
          <w:color w:val="000000" w:themeColor="text1"/>
        </w:rPr>
        <w:t>Total grease analysis results</w:t>
      </w:r>
    </w:p>
    <w:tbl>
      <w:tblPr>
        <w:tblStyle w:val="PlainTable2"/>
        <w:tblW w:w="0" w:type="auto"/>
        <w:tblLook w:val="04A0" w:firstRow="1" w:lastRow="0" w:firstColumn="1" w:lastColumn="0" w:noHBand="0" w:noVBand="1"/>
      </w:tblPr>
      <w:tblGrid>
        <w:gridCol w:w="2802"/>
        <w:gridCol w:w="2693"/>
        <w:gridCol w:w="1301"/>
      </w:tblGrid>
      <w:tr w:rsidR="004E2493" w:rsidRPr="004E2493" w14:paraId="4624BB10" w14:textId="77777777" w:rsidTr="00536A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04AD86FD" w14:textId="77777777" w:rsidR="00940FEE" w:rsidRPr="004E2493" w:rsidRDefault="00940FEE" w:rsidP="00940FEE">
            <w:pPr>
              <w:tabs>
                <w:tab w:val="left" w:pos="2130"/>
              </w:tabs>
              <w:jc w:val="both"/>
              <w:rPr>
                <w:rFonts w:ascii="Arial" w:eastAsia="Calibri" w:hAnsi="Arial" w:cs="Arial"/>
                <w:color w:val="000000" w:themeColor="text1"/>
                <w:kern w:val="2"/>
                <w:lang w:val="fr-FR"/>
              </w:rPr>
            </w:pPr>
            <w:r w:rsidRPr="004E2493">
              <w:rPr>
                <w:rFonts w:ascii="Arial" w:eastAsia="Calibri" w:hAnsi="Arial" w:cs="Arial"/>
                <w:color w:val="000000" w:themeColor="text1"/>
                <w:kern w:val="2"/>
              </w:rPr>
              <w:t xml:space="preserve">Sample  </w:t>
            </w:r>
          </w:p>
        </w:tc>
        <w:tc>
          <w:tcPr>
            <w:tcW w:w="2693" w:type="dxa"/>
          </w:tcPr>
          <w:p w14:paraId="10203942" w14:textId="77777777" w:rsidR="00940FEE" w:rsidRPr="004E2493" w:rsidRDefault="00940FEE" w:rsidP="00940FEE">
            <w:pPr>
              <w:tabs>
                <w:tab w:val="left" w:pos="2130"/>
              </w:tabs>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kern w:val="2"/>
                <w:lang w:val="fr-FR"/>
              </w:rPr>
            </w:pPr>
            <w:r w:rsidRPr="004E2493">
              <w:rPr>
                <w:rFonts w:ascii="Arial" w:eastAsia="Calibri" w:hAnsi="Arial" w:cs="Arial"/>
                <w:color w:val="000000" w:themeColor="text1"/>
                <w:kern w:val="2"/>
              </w:rPr>
              <w:t>Concentration</w:t>
            </w:r>
          </w:p>
        </w:tc>
        <w:tc>
          <w:tcPr>
            <w:tcW w:w="1301" w:type="dxa"/>
          </w:tcPr>
          <w:p w14:paraId="3F4145EF" w14:textId="77777777" w:rsidR="00940FEE" w:rsidRPr="004E2493" w:rsidRDefault="00940FEE" w:rsidP="00940FEE">
            <w:pPr>
              <w:tabs>
                <w:tab w:val="left" w:pos="2130"/>
              </w:tabs>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kern w:val="2"/>
                <w:lang w:val="fr-FR"/>
              </w:rPr>
            </w:pPr>
            <w:r w:rsidRPr="004E2493">
              <w:rPr>
                <w:rFonts w:ascii="Arial" w:eastAsia="Calibri" w:hAnsi="Arial" w:cs="Arial"/>
                <w:color w:val="000000" w:themeColor="text1"/>
                <w:kern w:val="2"/>
              </w:rPr>
              <w:t>Unit</w:t>
            </w:r>
          </w:p>
        </w:tc>
      </w:tr>
      <w:tr w:rsidR="004E2493" w:rsidRPr="004E2493" w14:paraId="310C2F89" w14:textId="77777777" w:rsidTr="00536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0A293B78" w14:textId="77777777" w:rsidR="00940FEE" w:rsidRPr="004E2493" w:rsidRDefault="00940FEE" w:rsidP="00940FEE">
            <w:pPr>
              <w:tabs>
                <w:tab w:val="left" w:pos="2130"/>
              </w:tabs>
              <w:jc w:val="both"/>
              <w:rPr>
                <w:rFonts w:ascii="Arial" w:eastAsia="Calibri" w:hAnsi="Arial" w:cs="Arial"/>
                <w:color w:val="000000" w:themeColor="text1"/>
                <w:kern w:val="2"/>
                <w:lang w:val="fr-FR"/>
              </w:rPr>
            </w:pPr>
            <w:r w:rsidRPr="004E2493">
              <w:rPr>
                <w:rFonts w:ascii="Arial" w:eastAsia="Calibri" w:hAnsi="Arial" w:cs="Arial"/>
                <w:color w:val="000000" w:themeColor="text1"/>
                <w:kern w:val="2"/>
              </w:rPr>
              <w:t>Sample 1</w:t>
            </w:r>
          </w:p>
        </w:tc>
        <w:tc>
          <w:tcPr>
            <w:tcW w:w="2693" w:type="dxa"/>
          </w:tcPr>
          <w:p w14:paraId="6ADB1839" w14:textId="663E5AC1" w:rsidR="00940FEE" w:rsidRPr="004E2493" w:rsidRDefault="00940FEE" w:rsidP="00940FEE">
            <w:pPr>
              <w:tabs>
                <w:tab w:val="left" w:pos="213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kern w:val="2"/>
                <w:lang w:val="fr-FR"/>
              </w:rPr>
            </w:pPr>
            <w:r w:rsidRPr="004E2493">
              <w:rPr>
                <w:rFonts w:ascii="Arial" w:eastAsia="Calibri" w:hAnsi="Arial" w:cs="Arial"/>
                <w:color w:val="000000" w:themeColor="text1"/>
                <w:kern w:val="2"/>
              </w:rPr>
              <w:t>&lt;</w:t>
            </w:r>
            <w:r w:rsidR="00340BB4" w:rsidRPr="004E2493">
              <w:rPr>
                <w:rFonts w:ascii="Arial" w:eastAsia="Calibri" w:hAnsi="Arial" w:cs="Arial"/>
                <w:color w:val="000000" w:themeColor="text1"/>
                <w:kern w:val="2"/>
              </w:rPr>
              <w:t xml:space="preserve"> </w:t>
            </w:r>
            <w:r w:rsidRPr="004E2493">
              <w:rPr>
                <w:rFonts w:ascii="Arial" w:eastAsia="Calibri" w:hAnsi="Arial" w:cs="Arial"/>
                <w:color w:val="000000" w:themeColor="text1"/>
                <w:kern w:val="2"/>
              </w:rPr>
              <w:t xml:space="preserve">LOD          </w:t>
            </w:r>
          </w:p>
        </w:tc>
        <w:tc>
          <w:tcPr>
            <w:tcW w:w="1301" w:type="dxa"/>
          </w:tcPr>
          <w:p w14:paraId="723D344C" w14:textId="4C6FC434" w:rsidR="00940FEE" w:rsidRPr="004E2493" w:rsidRDefault="00940FEE" w:rsidP="00940FEE">
            <w:pPr>
              <w:tabs>
                <w:tab w:val="left" w:pos="213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kern w:val="2"/>
                <w:lang w:val="fr-FR"/>
              </w:rPr>
            </w:pPr>
            <w:r w:rsidRPr="004E2493">
              <w:rPr>
                <w:rFonts w:ascii="Arial" w:eastAsia="Calibri" w:hAnsi="Arial" w:cs="Arial"/>
                <w:color w:val="000000" w:themeColor="text1"/>
                <w:kern w:val="2"/>
                <w:lang w:val="fr-FR"/>
              </w:rPr>
              <w:t>mg/</w:t>
            </w:r>
            <w:r w:rsidR="00340BB4" w:rsidRPr="004E2493">
              <w:rPr>
                <w:rFonts w:ascii="Arial" w:eastAsia="Calibri" w:hAnsi="Arial" w:cs="Arial"/>
                <w:color w:val="000000" w:themeColor="text1"/>
                <w:kern w:val="2"/>
                <w:lang w:val="fr-FR"/>
              </w:rPr>
              <w:t>L</w:t>
            </w:r>
          </w:p>
        </w:tc>
      </w:tr>
      <w:tr w:rsidR="004E2493" w:rsidRPr="004E2493" w14:paraId="1DFB5C3C" w14:textId="77777777" w:rsidTr="00536A48">
        <w:tc>
          <w:tcPr>
            <w:cnfStyle w:val="001000000000" w:firstRow="0" w:lastRow="0" w:firstColumn="1" w:lastColumn="0" w:oddVBand="0" w:evenVBand="0" w:oddHBand="0" w:evenHBand="0" w:firstRowFirstColumn="0" w:firstRowLastColumn="0" w:lastRowFirstColumn="0" w:lastRowLastColumn="0"/>
            <w:tcW w:w="2802" w:type="dxa"/>
          </w:tcPr>
          <w:p w14:paraId="3B887236" w14:textId="77777777" w:rsidR="00940FEE" w:rsidRPr="004E2493" w:rsidRDefault="00940FEE" w:rsidP="00940FEE">
            <w:pPr>
              <w:tabs>
                <w:tab w:val="left" w:pos="2130"/>
              </w:tabs>
              <w:jc w:val="both"/>
              <w:rPr>
                <w:rFonts w:ascii="Arial" w:eastAsia="Calibri" w:hAnsi="Arial" w:cs="Arial"/>
                <w:color w:val="000000" w:themeColor="text1"/>
                <w:kern w:val="2"/>
                <w:lang w:val="fr-FR"/>
              </w:rPr>
            </w:pPr>
            <w:r w:rsidRPr="004E2493">
              <w:rPr>
                <w:rFonts w:ascii="Arial" w:eastAsia="Calibri" w:hAnsi="Arial" w:cs="Arial"/>
                <w:color w:val="000000" w:themeColor="text1"/>
                <w:kern w:val="2"/>
              </w:rPr>
              <w:t xml:space="preserve">Sample 2       </w:t>
            </w:r>
          </w:p>
        </w:tc>
        <w:tc>
          <w:tcPr>
            <w:tcW w:w="2693" w:type="dxa"/>
          </w:tcPr>
          <w:p w14:paraId="7C925A7B" w14:textId="77777777" w:rsidR="00940FEE" w:rsidRPr="004E2493" w:rsidRDefault="00940FEE" w:rsidP="00940FEE">
            <w:pPr>
              <w:tabs>
                <w:tab w:val="left" w:pos="2130"/>
              </w:tabs>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kern w:val="2"/>
                <w:lang w:val="fr-FR"/>
              </w:rPr>
            </w:pPr>
            <w:r w:rsidRPr="004E2493">
              <w:rPr>
                <w:rFonts w:ascii="Arial" w:eastAsia="Calibri" w:hAnsi="Arial" w:cs="Arial"/>
                <w:color w:val="000000" w:themeColor="text1"/>
                <w:kern w:val="2"/>
              </w:rPr>
              <w:t xml:space="preserve">44.8          </w:t>
            </w:r>
          </w:p>
        </w:tc>
        <w:tc>
          <w:tcPr>
            <w:tcW w:w="1301" w:type="dxa"/>
          </w:tcPr>
          <w:p w14:paraId="15A60ADC" w14:textId="46C2C09B" w:rsidR="00940FEE" w:rsidRPr="004E2493" w:rsidRDefault="00940FEE" w:rsidP="00940FEE">
            <w:pPr>
              <w:tabs>
                <w:tab w:val="left" w:pos="2130"/>
              </w:tabs>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kern w:val="2"/>
                <w:lang w:val="fr-FR"/>
              </w:rPr>
            </w:pPr>
            <w:r w:rsidRPr="004E2493">
              <w:rPr>
                <w:rFonts w:ascii="Arial" w:eastAsia="Calibri" w:hAnsi="Arial" w:cs="Arial"/>
                <w:color w:val="000000" w:themeColor="text1"/>
                <w:kern w:val="2"/>
                <w:lang w:val="fr-FR"/>
              </w:rPr>
              <w:t>mg/</w:t>
            </w:r>
            <w:r w:rsidR="00340BB4" w:rsidRPr="004E2493">
              <w:rPr>
                <w:rFonts w:ascii="Arial" w:eastAsia="Calibri" w:hAnsi="Arial" w:cs="Arial"/>
                <w:color w:val="000000" w:themeColor="text1"/>
                <w:kern w:val="2"/>
                <w:lang w:val="fr-FR"/>
              </w:rPr>
              <w:t>L</w:t>
            </w:r>
          </w:p>
        </w:tc>
      </w:tr>
      <w:tr w:rsidR="004E2493" w:rsidRPr="004E2493" w14:paraId="46C91C2F" w14:textId="77777777" w:rsidTr="00536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4F0E3A1F" w14:textId="77777777" w:rsidR="00940FEE" w:rsidRPr="004E2493" w:rsidRDefault="00940FEE" w:rsidP="00940FEE">
            <w:pPr>
              <w:tabs>
                <w:tab w:val="left" w:pos="2130"/>
              </w:tabs>
              <w:jc w:val="both"/>
              <w:rPr>
                <w:rFonts w:ascii="Arial" w:eastAsia="Calibri" w:hAnsi="Arial" w:cs="Arial"/>
                <w:color w:val="000000" w:themeColor="text1"/>
                <w:kern w:val="2"/>
                <w:lang w:val="fr-FR"/>
              </w:rPr>
            </w:pPr>
            <w:r w:rsidRPr="004E2493">
              <w:rPr>
                <w:rFonts w:ascii="Arial" w:eastAsia="Calibri" w:hAnsi="Arial" w:cs="Arial"/>
                <w:color w:val="000000" w:themeColor="text1"/>
                <w:kern w:val="2"/>
              </w:rPr>
              <w:t>Sample 3 (study area)</w:t>
            </w:r>
          </w:p>
        </w:tc>
        <w:tc>
          <w:tcPr>
            <w:tcW w:w="2693" w:type="dxa"/>
          </w:tcPr>
          <w:p w14:paraId="6FD8864F" w14:textId="3E9E7D18" w:rsidR="00940FEE" w:rsidRPr="004E2493" w:rsidRDefault="00340BB4" w:rsidP="00340BB4">
            <w:pPr>
              <w:tabs>
                <w:tab w:val="left" w:pos="213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kern w:val="2"/>
                <w:lang w:val="fr-FR"/>
              </w:rPr>
            </w:pPr>
            <w:r w:rsidRPr="004E2493">
              <w:rPr>
                <w:rFonts w:ascii="Arial" w:eastAsia="Calibri" w:hAnsi="Arial" w:cs="Arial"/>
                <w:color w:val="000000" w:themeColor="text1"/>
                <w:kern w:val="2"/>
              </w:rPr>
              <w:t xml:space="preserve"> &gt; </w:t>
            </w:r>
            <w:r w:rsidR="00940FEE" w:rsidRPr="004E2493">
              <w:rPr>
                <w:rFonts w:ascii="Arial" w:eastAsia="Calibri" w:hAnsi="Arial" w:cs="Arial"/>
                <w:color w:val="000000" w:themeColor="text1"/>
                <w:kern w:val="2"/>
              </w:rPr>
              <w:t xml:space="preserve">LOD          </w:t>
            </w:r>
          </w:p>
        </w:tc>
        <w:tc>
          <w:tcPr>
            <w:tcW w:w="1301" w:type="dxa"/>
          </w:tcPr>
          <w:p w14:paraId="60A576BD" w14:textId="79A4DFAD" w:rsidR="00940FEE" w:rsidRPr="004E2493" w:rsidRDefault="00940FEE" w:rsidP="00940FEE">
            <w:pPr>
              <w:tabs>
                <w:tab w:val="left" w:pos="213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kern w:val="2"/>
                <w:lang w:val="fr-FR"/>
              </w:rPr>
            </w:pPr>
            <w:r w:rsidRPr="004E2493">
              <w:rPr>
                <w:rFonts w:ascii="Arial" w:eastAsia="Calibri" w:hAnsi="Arial" w:cs="Arial"/>
                <w:color w:val="000000" w:themeColor="text1"/>
                <w:kern w:val="2"/>
                <w:lang w:val="fr-FR"/>
              </w:rPr>
              <w:t>mg/</w:t>
            </w:r>
            <w:r w:rsidR="00340BB4" w:rsidRPr="004E2493">
              <w:rPr>
                <w:rFonts w:ascii="Arial" w:eastAsia="Calibri" w:hAnsi="Arial" w:cs="Arial"/>
                <w:color w:val="000000" w:themeColor="text1"/>
                <w:kern w:val="2"/>
                <w:lang w:val="fr-FR"/>
              </w:rPr>
              <w:t>L</w:t>
            </w:r>
          </w:p>
        </w:tc>
      </w:tr>
    </w:tbl>
    <w:p w14:paraId="2C4B03A7" w14:textId="77777777" w:rsidR="00940FEE" w:rsidRPr="004E2493" w:rsidRDefault="00940FEE" w:rsidP="00940FEE">
      <w:pPr>
        <w:jc w:val="both"/>
        <w:rPr>
          <w:rFonts w:ascii="Arial" w:hAnsi="Arial" w:cs="Arial"/>
          <w:color w:val="000000" w:themeColor="text1"/>
        </w:rPr>
      </w:pPr>
    </w:p>
    <w:p w14:paraId="54D7E992" w14:textId="5B8E6A36"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The results show a significant variation in total grease concentrations across the samples. Sample 1 exhibits a concentration below the limit of detection (LOD), indicating either the absence or a very low presence of grease in that area. Conversely, Sample 2 shows a high concentration of 44.8 mg/</w:t>
      </w:r>
      <w:r w:rsidR="00340BB4" w:rsidRPr="004E2493">
        <w:rPr>
          <w:rFonts w:ascii="Arial" w:hAnsi="Arial" w:cs="Arial"/>
          <w:color w:val="000000" w:themeColor="text1"/>
        </w:rPr>
        <w:t>L</w:t>
      </w:r>
      <w:r w:rsidRPr="004E2493">
        <w:rPr>
          <w:rFonts w:ascii="Arial" w:hAnsi="Arial" w:cs="Arial"/>
          <w:color w:val="000000" w:themeColor="text1"/>
        </w:rPr>
        <w:t>.</w:t>
      </w:r>
      <w:r w:rsidR="00340BB4" w:rsidRPr="004E2493">
        <w:rPr>
          <w:rFonts w:ascii="Arial" w:hAnsi="Arial" w:cs="Arial"/>
          <w:color w:val="000000" w:themeColor="text1"/>
        </w:rPr>
        <w:t xml:space="preserve"> </w:t>
      </w:r>
      <w:r w:rsidRPr="004E2493">
        <w:rPr>
          <w:rFonts w:ascii="Arial" w:hAnsi="Arial" w:cs="Arial"/>
          <w:color w:val="000000" w:themeColor="text1"/>
        </w:rPr>
        <w:t>Sample 3, taken from the main study area, presents a concentration above the maximum detection limit, suggesting definite contamination by grease.</w:t>
      </w:r>
    </w:p>
    <w:p w14:paraId="3026FAEF" w14:textId="77777777" w:rsidR="00340BB4" w:rsidRPr="004E2493" w:rsidRDefault="00340BB4" w:rsidP="00940FEE">
      <w:pPr>
        <w:jc w:val="both"/>
        <w:rPr>
          <w:rFonts w:ascii="Arial" w:hAnsi="Arial" w:cs="Arial"/>
          <w:color w:val="000000" w:themeColor="text1"/>
        </w:rPr>
      </w:pPr>
    </w:p>
    <w:p w14:paraId="7A285FF3" w14:textId="4EDF9F1D" w:rsidR="00940FEE" w:rsidRPr="004E2493" w:rsidRDefault="00340BB4" w:rsidP="00940FEE">
      <w:pPr>
        <w:jc w:val="both"/>
        <w:rPr>
          <w:rFonts w:ascii="Arial" w:hAnsi="Arial" w:cs="Arial"/>
          <w:b/>
          <w:bCs/>
          <w:color w:val="000000" w:themeColor="text1"/>
        </w:rPr>
      </w:pPr>
      <w:r w:rsidRPr="004E2493">
        <w:rPr>
          <w:rFonts w:ascii="Arial" w:hAnsi="Arial" w:cs="Arial"/>
          <w:b/>
          <w:bCs/>
          <w:color w:val="000000" w:themeColor="text1"/>
        </w:rPr>
        <w:t xml:space="preserve">3.2 </w:t>
      </w:r>
      <w:r w:rsidR="00940FEE" w:rsidRPr="004E2493">
        <w:rPr>
          <w:rFonts w:ascii="Arial" w:hAnsi="Arial" w:cs="Arial"/>
          <w:b/>
          <w:bCs/>
          <w:color w:val="000000" w:themeColor="text1"/>
        </w:rPr>
        <w:t>Presentation of Soil Sample Analysis Results</w:t>
      </w:r>
    </w:p>
    <w:p w14:paraId="79F5EC47" w14:textId="3830E848"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X-ray </w:t>
      </w:r>
      <w:r w:rsidRPr="0024788F">
        <w:rPr>
          <w:rFonts w:ascii="Arial" w:hAnsi="Arial" w:cs="Arial"/>
          <w:color w:val="000000" w:themeColor="text1"/>
          <w:highlight w:val="yellow"/>
        </w:rPr>
        <w:t xml:space="preserve">fluorescence (XRF) analysis was used to determine the concentration of several elements in eight samples collected from the study site. The results are </w:t>
      </w:r>
      <w:r w:rsidR="00584F91" w:rsidRPr="0024788F">
        <w:rPr>
          <w:rFonts w:ascii="Arial" w:hAnsi="Arial" w:cs="Arial"/>
          <w:color w:val="000000" w:themeColor="text1"/>
          <w:highlight w:val="yellow"/>
        </w:rPr>
        <w:t>summari</w:t>
      </w:r>
      <w:r w:rsidR="00584F91" w:rsidRPr="0024788F">
        <w:rPr>
          <w:rFonts w:ascii="Arial" w:hAnsi="Arial" w:cs="Arial"/>
          <w:color w:val="000000" w:themeColor="text1"/>
          <w:highlight w:val="yellow"/>
        </w:rPr>
        <w:t>s</w:t>
      </w:r>
      <w:r w:rsidR="00584F91" w:rsidRPr="0024788F">
        <w:rPr>
          <w:rFonts w:ascii="Arial" w:hAnsi="Arial" w:cs="Arial"/>
          <w:color w:val="000000" w:themeColor="text1"/>
          <w:highlight w:val="yellow"/>
        </w:rPr>
        <w:t xml:space="preserve">ed </w:t>
      </w:r>
      <w:r w:rsidRPr="0024788F">
        <w:rPr>
          <w:rFonts w:ascii="Arial" w:hAnsi="Arial" w:cs="Arial"/>
          <w:color w:val="000000" w:themeColor="text1"/>
          <w:highlight w:val="yellow"/>
        </w:rPr>
        <w:t xml:space="preserve">in Table 2 </w:t>
      </w:r>
      <w:r w:rsidR="00340BB4" w:rsidRPr="0024788F">
        <w:rPr>
          <w:rFonts w:ascii="Arial" w:hAnsi="Arial" w:cs="Arial"/>
          <w:color w:val="000000" w:themeColor="text1"/>
          <w:highlight w:val="yellow"/>
        </w:rPr>
        <w:t xml:space="preserve">as </w:t>
      </w:r>
      <w:r w:rsidRPr="0024788F">
        <w:rPr>
          <w:rFonts w:ascii="Arial" w:hAnsi="Arial" w:cs="Arial"/>
          <w:color w:val="000000" w:themeColor="text1"/>
          <w:highlight w:val="yellow"/>
        </w:rPr>
        <w:t>below:</w:t>
      </w:r>
    </w:p>
    <w:p w14:paraId="6A765B7F" w14:textId="77777777" w:rsidR="00940FEE" w:rsidRPr="004E2493" w:rsidRDefault="00940FEE" w:rsidP="00940FEE">
      <w:pPr>
        <w:jc w:val="both"/>
        <w:rPr>
          <w:rFonts w:ascii="Arial" w:hAnsi="Arial" w:cs="Arial"/>
          <w:color w:val="000000" w:themeColor="text1"/>
        </w:rPr>
      </w:pPr>
    </w:p>
    <w:p w14:paraId="59A11324" w14:textId="1264C9E7"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Table 2</w:t>
      </w:r>
      <w:r w:rsidR="00340BB4" w:rsidRPr="004E2493">
        <w:rPr>
          <w:rFonts w:ascii="Arial" w:hAnsi="Arial" w:cs="Arial"/>
          <w:b/>
          <w:bCs/>
          <w:color w:val="000000" w:themeColor="text1"/>
        </w:rPr>
        <w:t>.</w:t>
      </w:r>
      <w:r w:rsidRPr="004E2493">
        <w:rPr>
          <w:rFonts w:ascii="Arial" w:hAnsi="Arial" w:cs="Arial"/>
          <w:b/>
          <w:bCs/>
          <w:color w:val="000000" w:themeColor="text1"/>
        </w:rPr>
        <w:t xml:space="preserve"> XRF analysis results for the different soil samples</w:t>
      </w:r>
    </w:p>
    <w:p w14:paraId="0EAF94D4" w14:textId="77777777" w:rsidR="00536A48" w:rsidRPr="004E2493" w:rsidRDefault="00536A48" w:rsidP="00940FEE">
      <w:pPr>
        <w:jc w:val="both"/>
        <w:rPr>
          <w:rFonts w:ascii="Arial" w:hAnsi="Arial" w:cs="Arial"/>
          <w:color w:val="000000" w:themeColor="text1"/>
        </w:rPr>
      </w:pPr>
    </w:p>
    <w:tbl>
      <w:tblPr>
        <w:tblStyle w:val="PlainTable2"/>
        <w:tblW w:w="9807" w:type="dxa"/>
        <w:tblLayout w:type="fixed"/>
        <w:tblLook w:val="04A0" w:firstRow="1" w:lastRow="0" w:firstColumn="1" w:lastColumn="0" w:noHBand="0" w:noVBand="1"/>
      </w:tblPr>
      <w:tblGrid>
        <w:gridCol w:w="1384"/>
        <w:gridCol w:w="1101"/>
        <w:gridCol w:w="915"/>
        <w:gridCol w:w="915"/>
        <w:gridCol w:w="916"/>
        <w:gridCol w:w="915"/>
        <w:gridCol w:w="915"/>
        <w:gridCol w:w="915"/>
        <w:gridCol w:w="970"/>
        <w:gridCol w:w="861"/>
      </w:tblGrid>
      <w:tr w:rsidR="004E2493" w:rsidRPr="004E2493" w14:paraId="44B85FC5" w14:textId="77777777" w:rsidTr="00536A48">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384" w:type="dxa"/>
          </w:tcPr>
          <w:p w14:paraId="680DA8AD" w14:textId="77777777" w:rsidR="00940FEE" w:rsidRPr="004E2493" w:rsidRDefault="00940FEE" w:rsidP="00940FEE">
            <w:pPr>
              <w:jc w:val="both"/>
              <w:rPr>
                <w:rFonts w:ascii="Arial" w:hAnsi="Arial" w:cs="Arial"/>
                <w:b w:val="0"/>
                <w:bCs w:val="0"/>
                <w:color w:val="000000" w:themeColor="text1"/>
              </w:rPr>
            </w:pPr>
            <w:r w:rsidRPr="004E2493">
              <w:rPr>
                <w:rFonts w:ascii="Arial" w:hAnsi="Arial" w:cs="Arial"/>
                <w:color w:val="000000" w:themeColor="text1"/>
              </w:rPr>
              <w:t>Sample</w:t>
            </w:r>
          </w:p>
          <w:p w14:paraId="08921CF3" w14:textId="57267AF3" w:rsidR="00536A48" w:rsidRPr="004E2493" w:rsidRDefault="00536A48" w:rsidP="00536A48">
            <w:pPr>
              <w:rPr>
                <w:rFonts w:ascii="Arial" w:hAnsi="Arial" w:cs="Arial"/>
                <w:color w:val="000000" w:themeColor="text1"/>
              </w:rPr>
            </w:pPr>
          </w:p>
        </w:tc>
        <w:tc>
          <w:tcPr>
            <w:tcW w:w="1101" w:type="dxa"/>
            <w:vMerge w:val="restart"/>
          </w:tcPr>
          <w:p w14:paraId="686D410F" w14:textId="77777777" w:rsidR="00940FEE" w:rsidRPr="004E2493" w:rsidRDefault="00940FEE" w:rsidP="00940FE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1</w:t>
            </w:r>
          </w:p>
        </w:tc>
        <w:tc>
          <w:tcPr>
            <w:tcW w:w="915" w:type="dxa"/>
            <w:vMerge w:val="restart"/>
          </w:tcPr>
          <w:p w14:paraId="4265D1C9" w14:textId="77777777" w:rsidR="00940FEE" w:rsidRPr="004E2493" w:rsidRDefault="00940FEE" w:rsidP="00940FE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2</w:t>
            </w:r>
          </w:p>
        </w:tc>
        <w:tc>
          <w:tcPr>
            <w:tcW w:w="915" w:type="dxa"/>
            <w:vMerge w:val="restart"/>
          </w:tcPr>
          <w:p w14:paraId="572DF717" w14:textId="77777777" w:rsidR="00940FEE" w:rsidRPr="004E2493" w:rsidRDefault="00940FEE" w:rsidP="00940FE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3</w:t>
            </w:r>
          </w:p>
        </w:tc>
        <w:tc>
          <w:tcPr>
            <w:tcW w:w="916" w:type="dxa"/>
            <w:vMerge w:val="restart"/>
          </w:tcPr>
          <w:p w14:paraId="196D1CDA" w14:textId="77777777" w:rsidR="00940FEE" w:rsidRPr="004E2493" w:rsidRDefault="00940FEE" w:rsidP="00940FE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4</w:t>
            </w:r>
          </w:p>
        </w:tc>
        <w:tc>
          <w:tcPr>
            <w:tcW w:w="915" w:type="dxa"/>
            <w:vMerge w:val="restart"/>
          </w:tcPr>
          <w:p w14:paraId="09F89577" w14:textId="77777777" w:rsidR="00940FEE" w:rsidRPr="004E2493" w:rsidRDefault="00940FEE" w:rsidP="00940FE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5</w:t>
            </w:r>
          </w:p>
        </w:tc>
        <w:tc>
          <w:tcPr>
            <w:tcW w:w="915" w:type="dxa"/>
            <w:vMerge w:val="restart"/>
          </w:tcPr>
          <w:p w14:paraId="208AA789" w14:textId="77777777" w:rsidR="00940FEE" w:rsidRPr="004E2493" w:rsidRDefault="00940FEE" w:rsidP="00940FE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6</w:t>
            </w:r>
          </w:p>
        </w:tc>
        <w:tc>
          <w:tcPr>
            <w:tcW w:w="915" w:type="dxa"/>
            <w:vMerge w:val="restart"/>
          </w:tcPr>
          <w:p w14:paraId="0249FA2E" w14:textId="77777777" w:rsidR="00940FEE" w:rsidRPr="004E2493" w:rsidRDefault="00940FEE" w:rsidP="00940FE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7</w:t>
            </w:r>
          </w:p>
        </w:tc>
        <w:tc>
          <w:tcPr>
            <w:tcW w:w="970" w:type="dxa"/>
            <w:vMerge w:val="restart"/>
          </w:tcPr>
          <w:p w14:paraId="6B0F6E28" w14:textId="77777777" w:rsidR="00940FEE" w:rsidRPr="004E2493" w:rsidRDefault="00940FEE" w:rsidP="00940FE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8</w:t>
            </w:r>
          </w:p>
        </w:tc>
        <w:tc>
          <w:tcPr>
            <w:tcW w:w="861" w:type="dxa"/>
            <w:vMerge w:val="restart"/>
          </w:tcPr>
          <w:p w14:paraId="4A01DE42" w14:textId="77777777" w:rsidR="00940FEE" w:rsidRPr="004E2493" w:rsidRDefault="00940FEE" w:rsidP="00940FE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Unit</w:t>
            </w:r>
          </w:p>
        </w:tc>
      </w:tr>
      <w:tr w:rsidR="004E2493" w:rsidRPr="004E2493" w14:paraId="15460C80" w14:textId="77777777" w:rsidTr="00536A4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84" w:type="dxa"/>
          </w:tcPr>
          <w:p w14:paraId="703EE194"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lastRenderedPageBreak/>
              <w:t>Elément</w:t>
            </w:r>
          </w:p>
        </w:tc>
        <w:tc>
          <w:tcPr>
            <w:tcW w:w="1101" w:type="dxa"/>
            <w:vMerge/>
          </w:tcPr>
          <w:p w14:paraId="3760E2E0"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915" w:type="dxa"/>
            <w:vMerge/>
          </w:tcPr>
          <w:p w14:paraId="1AEC8BCF"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915" w:type="dxa"/>
            <w:vMerge/>
          </w:tcPr>
          <w:p w14:paraId="7FBC5545"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916" w:type="dxa"/>
            <w:vMerge/>
          </w:tcPr>
          <w:p w14:paraId="7720266F"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915" w:type="dxa"/>
            <w:vMerge/>
          </w:tcPr>
          <w:p w14:paraId="276F5F98"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915" w:type="dxa"/>
            <w:vMerge/>
          </w:tcPr>
          <w:p w14:paraId="76B31A04"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915" w:type="dxa"/>
            <w:vMerge/>
          </w:tcPr>
          <w:p w14:paraId="4FF9F673"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970" w:type="dxa"/>
            <w:vMerge/>
          </w:tcPr>
          <w:p w14:paraId="4370824D"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861" w:type="dxa"/>
            <w:vMerge/>
          </w:tcPr>
          <w:p w14:paraId="4E43ACB9"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r w:rsidR="004E2493" w:rsidRPr="004E2493" w14:paraId="205513BA" w14:textId="77777777" w:rsidTr="00536A48">
        <w:trPr>
          <w:trHeight w:val="680"/>
        </w:trPr>
        <w:tc>
          <w:tcPr>
            <w:cnfStyle w:val="001000000000" w:firstRow="0" w:lastRow="0" w:firstColumn="1" w:lastColumn="0" w:oddVBand="0" w:evenVBand="0" w:oddHBand="0" w:evenHBand="0" w:firstRowFirstColumn="0" w:firstRowLastColumn="0" w:lastRowFirstColumn="0" w:lastRowLastColumn="0"/>
            <w:tcW w:w="1384" w:type="dxa"/>
          </w:tcPr>
          <w:p w14:paraId="3B5A556E"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Chromium (Cr)</w:t>
            </w:r>
          </w:p>
        </w:tc>
        <w:tc>
          <w:tcPr>
            <w:tcW w:w="1101" w:type="dxa"/>
          </w:tcPr>
          <w:p w14:paraId="138C2904"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169,46</w:t>
            </w:r>
          </w:p>
        </w:tc>
        <w:tc>
          <w:tcPr>
            <w:tcW w:w="915" w:type="dxa"/>
          </w:tcPr>
          <w:p w14:paraId="030E3FF2"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205,27</w:t>
            </w:r>
          </w:p>
        </w:tc>
        <w:tc>
          <w:tcPr>
            <w:tcW w:w="915" w:type="dxa"/>
          </w:tcPr>
          <w:p w14:paraId="54B7D0F3"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146,75</w:t>
            </w:r>
          </w:p>
        </w:tc>
        <w:tc>
          <w:tcPr>
            <w:tcW w:w="916" w:type="dxa"/>
          </w:tcPr>
          <w:p w14:paraId="2AD7D04D"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182,63</w:t>
            </w:r>
          </w:p>
        </w:tc>
        <w:tc>
          <w:tcPr>
            <w:tcW w:w="915" w:type="dxa"/>
          </w:tcPr>
          <w:p w14:paraId="345ED22B"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260,54</w:t>
            </w:r>
          </w:p>
        </w:tc>
        <w:tc>
          <w:tcPr>
            <w:tcW w:w="915" w:type="dxa"/>
          </w:tcPr>
          <w:p w14:paraId="34B19E4D"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175,8</w:t>
            </w:r>
          </w:p>
        </w:tc>
        <w:tc>
          <w:tcPr>
            <w:tcW w:w="915" w:type="dxa"/>
          </w:tcPr>
          <w:p w14:paraId="1D12D248"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151,57</w:t>
            </w:r>
          </w:p>
        </w:tc>
        <w:tc>
          <w:tcPr>
            <w:tcW w:w="970" w:type="dxa"/>
          </w:tcPr>
          <w:p w14:paraId="7619D39E"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233,13</w:t>
            </w:r>
          </w:p>
        </w:tc>
        <w:tc>
          <w:tcPr>
            <w:tcW w:w="861" w:type="dxa"/>
          </w:tcPr>
          <w:p w14:paraId="57D84ED5"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mg/kg</w:t>
            </w:r>
          </w:p>
        </w:tc>
      </w:tr>
      <w:tr w:rsidR="004E2493" w:rsidRPr="004E2493" w14:paraId="65053BEC" w14:textId="77777777" w:rsidTr="00536A48">
        <w:trPr>
          <w:cnfStyle w:val="000000100000" w:firstRow="0" w:lastRow="0" w:firstColumn="0" w:lastColumn="0" w:oddVBand="0" w:evenVBand="0" w:oddHBand="1" w:evenHBand="0" w:firstRowFirstColumn="0" w:firstRowLastColumn="0" w:lastRowFirstColumn="0" w:lastRowLastColumn="0"/>
          <w:trHeight w:val="942"/>
        </w:trPr>
        <w:tc>
          <w:tcPr>
            <w:cnfStyle w:val="001000000000" w:firstRow="0" w:lastRow="0" w:firstColumn="1" w:lastColumn="0" w:oddVBand="0" w:evenVBand="0" w:oddHBand="0" w:evenHBand="0" w:firstRowFirstColumn="0" w:firstRowLastColumn="0" w:lastRowFirstColumn="0" w:lastRowLastColumn="0"/>
            <w:tcW w:w="1384" w:type="dxa"/>
          </w:tcPr>
          <w:p w14:paraId="7AE291F2"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Cobalt</w:t>
            </w:r>
          </w:p>
          <w:p w14:paraId="6105E6C6"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(Co)</w:t>
            </w:r>
          </w:p>
        </w:tc>
        <w:tc>
          <w:tcPr>
            <w:tcW w:w="1101" w:type="dxa"/>
          </w:tcPr>
          <w:p w14:paraId="3A732F7E"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6FF1CE63"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2A878F19"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6" w:type="dxa"/>
          </w:tcPr>
          <w:p w14:paraId="2D89718C"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0CD5DBEF"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03630BA9"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09C30FD7"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70" w:type="dxa"/>
          </w:tcPr>
          <w:p w14:paraId="1B435C7C"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861" w:type="dxa"/>
          </w:tcPr>
          <w:p w14:paraId="023FCF6D"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mg/kg</w:t>
            </w:r>
          </w:p>
        </w:tc>
      </w:tr>
      <w:tr w:rsidR="004E2493" w:rsidRPr="004E2493" w14:paraId="199EF45F" w14:textId="77777777" w:rsidTr="00536A48">
        <w:trPr>
          <w:trHeight w:val="921"/>
        </w:trPr>
        <w:tc>
          <w:tcPr>
            <w:cnfStyle w:val="001000000000" w:firstRow="0" w:lastRow="0" w:firstColumn="1" w:lastColumn="0" w:oddVBand="0" w:evenVBand="0" w:oddHBand="0" w:evenHBand="0" w:firstRowFirstColumn="0" w:firstRowLastColumn="0" w:lastRowFirstColumn="0" w:lastRowLastColumn="0"/>
            <w:tcW w:w="1384" w:type="dxa"/>
          </w:tcPr>
          <w:p w14:paraId="14D8B6D7"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Nickel</w:t>
            </w:r>
          </w:p>
          <w:p w14:paraId="58EB0203"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(Ni)</w:t>
            </w:r>
          </w:p>
        </w:tc>
        <w:tc>
          <w:tcPr>
            <w:tcW w:w="1101" w:type="dxa"/>
          </w:tcPr>
          <w:p w14:paraId="4AB917DD"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39D54CE8"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46F42F08"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6" w:type="dxa"/>
          </w:tcPr>
          <w:p w14:paraId="20BD1C13"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11EADA66"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79C93831"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377DB865"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22,29</w:t>
            </w:r>
          </w:p>
        </w:tc>
        <w:tc>
          <w:tcPr>
            <w:tcW w:w="970" w:type="dxa"/>
          </w:tcPr>
          <w:p w14:paraId="6D17D9A0"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861" w:type="dxa"/>
          </w:tcPr>
          <w:p w14:paraId="4704AE49"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mg/kg</w:t>
            </w:r>
          </w:p>
        </w:tc>
      </w:tr>
      <w:tr w:rsidR="004E2493" w:rsidRPr="004E2493" w14:paraId="1CD5908F" w14:textId="77777777" w:rsidTr="00536A48">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1384" w:type="dxa"/>
          </w:tcPr>
          <w:p w14:paraId="0211AFCA"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Copper</w:t>
            </w:r>
          </w:p>
          <w:p w14:paraId="7B919299"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(Cu)</w:t>
            </w:r>
          </w:p>
        </w:tc>
        <w:tc>
          <w:tcPr>
            <w:tcW w:w="1101" w:type="dxa"/>
          </w:tcPr>
          <w:p w14:paraId="1AB1FCF6"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34,25</w:t>
            </w:r>
          </w:p>
        </w:tc>
        <w:tc>
          <w:tcPr>
            <w:tcW w:w="915" w:type="dxa"/>
          </w:tcPr>
          <w:p w14:paraId="394219D9"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45,47</w:t>
            </w:r>
          </w:p>
        </w:tc>
        <w:tc>
          <w:tcPr>
            <w:tcW w:w="915" w:type="dxa"/>
          </w:tcPr>
          <w:p w14:paraId="37E66150"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42,83</w:t>
            </w:r>
          </w:p>
        </w:tc>
        <w:tc>
          <w:tcPr>
            <w:tcW w:w="916" w:type="dxa"/>
          </w:tcPr>
          <w:p w14:paraId="1C301ED8"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33,96</w:t>
            </w:r>
          </w:p>
        </w:tc>
        <w:tc>
          <w:tcPr>
            <w:tcW w:w="915" w:type="dxa"/>
          </w:tcPr>
          <w:p w14:paraId="7D1C03B4"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71,26</w:t>
            </w:r>
          </w:p>
        </w:tc>
        <w:tc>
          <w:tcPr>
            <w:tcW w:w="915" w:type="dxa"/>
          </w:tcPr>
          <w:p w14:paraId="36C71C48"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44,43</w:t>
            </w:r>
          </w:p>
        </w:tc>
        <w:tc>
          <w:tcPr>
            <w:tcW w:w="915" w:type="dxa"/>
          </w:tcPr>
          <w:p w14:paraId="0F94D4CB"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45,39</w:t>
            </w:r>
          </w:p>
        </w:tc>
        <w:tc>
          <w:tcPr>
            <w:tcW w:w="970" w:type="dxa"/>
          </w:tcPr>
          <w:p w14:paraId="5BB43308"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148,58</w:t>
            </w:r>
          </w:p>
        </w:tc>
        <w:tc>
          <w:tcPr>
            <w:tcW w:w="861" w:type="dxa"/>
          </w:tcPr>
          <w:p w14:paraId="2B169818"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mg/kg</w:t>
            </w:r>
          </w:p>
        </w:tc>
      </w:tr>
      <w:tr w:rsidR="004E2493" w:rsidRPr="004E2493" w14:paraId="2B132819" w14:textId="77777777" w:rsidTr="00536A48">
        <w:trPr>
          <w:trHeight w:val="867"/>
        </w:trPr>
        <w:tc>
          <w:tcPr>
            <w:cnfStyle w:val="001000000000" w:firstRow="0" w:lastRow="0" w:firstColumn="1" w:lastColumn="0" w:oddVBand="0" w:evenVBand="0" w:oddHBand="0" w:evenHBand="0" w:firstRowFirstColumn="0" w:firstRowLastColumn="0" w:lastRowFirstColumn="0" w:lastRowLastColumn="0"/>
            <w:tcW w:w="1384" w:type="dxa"/>
          </w:tcPr>
          <w:p w14:paraId="48178E7F"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Zinc</w:t>
            </w:r>
          </w:p>
          <w:p w14:paraId="4AC28217"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(Zn)</w:t>
            </w:r>
          </w:p>
        </w:tc>
        <w:tc>
          <w:tcPr>
            <w:tcW w:w="1101" w:type="dxa"/>
          </w:tcPr>
          <w:p w14:paraId="23059209"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46,75</w:t>
            </w:r>
          </w:p>
        </w:tc>
        <w:tc>
          <w:tcPr>
            <w:tcW w:w="915" w:type="dxa"/>
          </w:tcPr>
          <w:p w14:paraId="27C02967"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93,85</w:t>
            </w:r>
          </w:p>
        </w:tc>
        <w:tc>
          <w:tcPr>
            <w:tcW w:w="915" w:type="dxa"/>
          </w:tcPr>
          <w:p w14:paraId="12012EDC"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43,24</w:t>
            </w:r>
          </w:p>
        </w:tc>
        <w:tc>
          <w:tcPr>
            <w:tcW w:w="916" w:type="dxa"/>
          </w:tcPr>
          <w:p w14:paraId="526F6A9D"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54,76</w:t>
            </w:r>
          </w:p>
        </w:tc>
        <w:tc>
          <w:tcPr>
            <w:tcW w:w="915" w:type="dxa"/>
          </w:tcPr>
          <w:p w14:paraId="1759E7D2"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677,32</w:t>
            </w:r>
          </w:p>
        </w:tc>
        <w:tc>
          <w:tcPr>
            <w:tcW w:w="915" w:type="dxa"/>
          </w:tcPr>
          <w:p w14:paraId="6F1F3482"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98,65</w:t>
            </w:r>
          </w:p>
        </w:tc>
        <w:tc>
          <w:tcPr>
            <w:tcW w:w="915" w:type="dxa"/>
          </w:tcPr>
          <w:p w14:paraId="1B2E5B89"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77,05</w:t>
            </w:r>
          </w:p>
        </w:tc>
        <w:tc>
          <w:tcPr>
            <w:tcW w:w="970" w:type="dxa"/>
          </w:tcPr>
          <w:p w14:paraId="5C7A576E"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506,12</w:t>
            </w:r>
          </w:p>
        </w:tc>
        <w:tc>
          <w:tcPr>
            <w:tcW w:w="861" w:type="dxa"/>
          </w:tcPr>
          <w:p w14:paraId="5C790DCC"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mg/kg</w:t>
            </w:r>
          </w:p>
        </w:tc>
      </w:tr>
      <w:tr w:rsidR="004E2493" w:rsidRPr="004E2493" w14:paraId="335973F7" w14:textId="77777777" w:rsidTr="00536A4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84" w:type="dxa"/>
          </w:tcPr>
          <w:p w14:paraId="18F60A85"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Arsenic</w:t>
            </w:r>
          </w:p>
          <w:p w14:paraId="31FE5613" w14:textId="6C851108" w:rsidR="00340BB4" w:rsidRPr="004E2493" w:rsidRDefault="00940FEE" w:rsidP="00340BB4">
            <w:pPr>
              <w:jc w:val="both"/>
              <w:rPr>
                <w:rFonts w:ascii="Arial" w:hAnsi="Arial" w:cs="Arial"/>
                <w:b w:val="0"/>
                <w:bCs w:val="0"/>
                <w:color w:val="000000" w:themeColor="text1"/>
              </w:rPr>
            </w:pPr>
            <w:r w:rsidRPr="004E2493">
              <w:rPr>
                <w:rFonts w:ascii="Arial" w:hAnsi="Arial" w:cs="Arial"/>
                <w:color w:val="000000" w:themeColor="text1"/>
              </w:rPr>
              <w:t>(As)</w:t>
            </w:r>
          </w:p>
        </w:tc>
        <w:tc>
          <w:tcPr>
            <w:tcW w:w="1101" w:type="dxa"/>
          </w:tcPr>
          <w:p w14:paraId="0538F4DE"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7,28</w:t>
            </w:r>
          </w:p>
        </w:tc>
        <w:tc>
          <w:tcPr>
            <w:tcW w:w="915" w:type="dxa"/>
          </w:tcPr>
          <w:p w14:paraId="75169394"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8,56</w:t>
            </w:r>
          </w:p>
        </w:tc>
        <w:tc>
          <w:tcPr>
            <w:tcW w:w="915" w:type="dxa"/>
          </w:tcPr>
          <w:p w14:paraId="7E289809"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7</w:t>
            </w:r>
          </w:p>
        </w:tc>
        <w:tc>
          <w:tcPr>
            <w:tcW w:w="916" w:type="dxa"/>
          </w:tcPr>
          <w:p w14:paraId="765D9A76"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7FFB912E"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70FD9CB3"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9,07</w:t>
            </w:r>
          </w:p>
        </w:tc>
        <w:tc>
          <w:tcPr>
            <w:tcW w:w="915" w:type="dxa"/>
          </w:tcPr>
          <w:p w14:paraId="4C717D22"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7,68</w:t>
            </w:r>
          </w:p>
        </w:tc>
        <w:tc>
          <w:tcPr>
            <w:tcW w:w="970" w:type="dxa"/>
          </w:tcPr>
          <w:p w14:paraId="38DA4FCD"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861" w:type="dxa"/>
          </w:tcPr>
          <w:p w14:paraId="2A344C22"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mg/kg</w:t>
            </w:r>
          </w:p>
        </w:tc>
      </w:tr>
      <w:tr w:rsidR="004E2493" w:rsidRPr="004E2493" w14:paraId="54653209" w14:textId="77777777" w:rsidTr="00340BB4">
        <w:trPr>
          <w:trHeight w:val="557"/>
        </w:trPr>
        <w:tc>
          <w:tcPr>
            <w:cnfStyle w:val="001000000000" w:firstRow="0" w:lastRow="0" w:firstColumn="1" w:lastColumn="0" w:oddVBand="0" w:evenVBand="0" w:oddHBand="0" w:evenHBand="0" w:firstRowFirstColumn="0" w:firstRowLastColumn="0" w:lastRowFirstColumn="0" w:lastRowLastColumn="0"/>
            <w:tcW w:w="1384" w:type="dxa"/>
          </w:tcPr>
          <w:p w14:paraId="09C2ACBE"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Cadmium</w:t>
            </w:r>
          </w:p>
          <w:p w14:paraId="0C69989E"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(Cd)</w:t>
            </w:r>
          </w:p>
        </w:tc>
        <w:tc>
          <w:tcPr>
            <w:tcW w:w="1101" w:type="dxa"/>
          </w:tcPr>
          <w:p w14:paraId="4A10A397"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7B60A88D"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462F1B1D"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6" w:type="dxa"/>
          </w:tcPr>
          <w:p w14:paraId="183004F9"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053B8B58"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585D5C00"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109F4C36"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70" w:type="dxa"/>
          </w:tcPr>
          <w:p w14:paraId="4A3B6FC9"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861" w:type="dxa"/>
          </w:tcPr>
          <w:p w14:paraId="653C4663"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mg/kg</w:t>
            </w:r>
          </w:p>
        </w:tc>
      </w:tr>
      <w:tr w:rsidR="004E2493" w:rsidRPr="004E2493" w14:paraId="205CCFCA" w14:textId="77777777" w:rsidTr="00340BB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384" w:type="dxa"/>
          </w:tcPr>
          <w:p w14:paraId="493D5697"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Mercury (Hg)</w:t>
            </w:r>
          </w:p>
        </w:tc>
        <w:tc>
          <w:tcPr>
            <w:tcW w:w="1101" w:type="dxa"/>
          </w:tcPr>
          <w:p w14:paraId="512FB818"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2EB6575F"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2442AB82"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6" w:type="dxa"/>
          </w:tcPr>
          <w:p w14:paraId="2CBA6575"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05D2FB12"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09F6928C"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15" w:type="dxa"/>
          </w:tcPr>
          <w:p w14:paraId="5360B064"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970" w:type="dxa"/>
          </w:tcPr>
          <w:p w14:paraId="3F5BDA9F"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&lt;LOD</w:t>
            </w:r>
          </w:p>
        </w:tc>
        <w:tc>
          <w:tcPr>
            <w:tcW w:w="861" w:type="dxa"/>
          </w:tcPr>
          <w:p w14:paraId="41DEEDFD" w14:textId="77777777" w:rsidR="00940FEE" w:rsidRPr="004E2493" w:rsidRDefault="00940FEE" w:rsidP="00940FE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mg/kg</w:t>
            </w:r>
          </w:p>
        </w:tc>
      </w:tr>
      <w:tr w:rsidR="004E2493" w:rsidRPr="004E2493" w14:paraId="1984532A" w14:textId="77777777" w:rsidTr="00340BB4">
        <w:trPr>
          <w:trHeight w:val="512"/>
        </w:trPr>
        <w:tc>
          <w:tcPr>
            <w:cnfStyle w:val="001000000000" w:firstRow="0" w:lastRow="0" w:firstColumn="1" w:lastColumn="0" w:oddVBand="0" w:evenVBand="0" w:oddHBand="0" w:evenHBand="0" w:firstRowFirstColumn="0" w:firstRowLastColumn="0" w:lastRowFirstColumn="0" w:lastRowLastColumn="0"/>
            <w:tcW w:w="1384" w:type="dxa"/>
          </w:tcPr>
          <w:p w14:paraId="239C39CC"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Lead</w:t>
            </w:r>
          </w:p>
          <w:p w14:paraId="3B62108A"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(Pb)</w:t>
            </w:r>
          </w:p>
        </w:tc>
        <w:tc>
          <w:tcPr>
            <w:tcW w:w="1101" w:type="dxa"/>
          </w:tcPr>
          <w:p w14:paraId="3C215846"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48,82</w:t>
            </w:r>
          </w:p>
        </w:tc>
        <w:tc>
          <w:tcPr>
            <w:tcW w:w="915" w:type="dxa"/>
          </w:tcPr>
          <w:p w14:paraId="66443C9C"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59,03</w:t>
            </w:r>
          </w:p>
        </w:tc>
        <w:tc>
          <w:tcPr>
            <w:tcW w:w="915" w:type="dxa"/>
          </w:tcPr>
          <w:p w14:paraId="62D61BF0"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53,33</w:t>
            </w:r>
          </w:p>
        </w:tc>
        <w:tc>
          <w:tcPr>
            <w:tcW w:w="916" w:type="dxa"/>
          </w:tcPr>
          <w:p w14:paraId="4AFABC46"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52,51</w:t>
            </w:r>
          </w:p>
        </w:tc>
        <w:tc>
          <w:tcPr>
            <w:tcW w:w="915" w:type="dxa"/>
          </w:tcPr>
          <w:p w14:paraId="1015AD76"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99,64</w:t>
            </w:r>
          </w:p>
        </w:tc>
        <w:tc>
          <w:tcPr>
            <w:tcW w:w="915" w:type="dxa"/>
          </w:tcPr>
          <w:p w14:paraId="2AAC4E27"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121,41</w:t>
            </w:r>
          </w:p>
        </w:tc>
        <w:tc>
          <w:tcPr>
            <w:tcW w:w="915" w:type="dxa"/>
          </w:tcPr>
          <w:p w14:paraId="2F3EF02E"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44,74</w:t>
            </w:r>
          </w:p>
        </w:tc>
        <w:tc>
          <w:tcPr>
            <w:tcW w:w="970" w:type="dxa"/>
          </w:tcPr>
          <w:p w14:paraId="1C90EF87"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167,82</w:t>
            </w:r>
          </w:p>
        </w:tc>
        <w:tc>
          <w:tcPr>
            <w:tcW w:w="861" w:type="dxa"/>
          </w:tcPr>
          <w:p w14:paraId="7F41C736" w14:textId="77777777" w:rsidR="00940FEE" w:rsidRPr="004E2493" w:rsidRDefault="00940FEE" w:rsidP="00940F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2493">
              <w:rPr>
                <w:rFonts w:ascii="Arial" w:hAnsi="Arial" w:cs="Arial"/>
                <w:color w:val="000000" w:themeColor="text1"/>
              </w:rPr>
              <w:t>mg/kg</w:t>
            </w:r>
          </w:p>
        </w:tc>
      </w:tr>
    </w:tbl>
    <w:p w14:paraId="04771F25" w14:textId="77777777" w:rsidR="00940FEE" w:rsidRPr="004E2493" w:rsidRDefault="00940FEE" w:rsidP="00940FEE">
      <w:pPr>
        <w:jc w:val="both"/>
        <w:rPr>
          <w:rFonts w:ascii="Arial" w:hAnsi="Arial" w:cs="Arial"/>
          <w:color w:val="000000" w:themeColor="text1"/>
        </w:rPr>
      </w:pPr>
    </w:p>
    <w:p w14:paraId="68F27A59" w14:textId="77777777" w:rsidR="00940FEE" w:rsidRPr="004E2493" w:rsidRDefault="00940FEE" w:rsidP="00940FEE">
      <w:pPr>
        <w:jc w:val="both"/>
        <w:rPr>
          <w:rFonts w:ascii="Arial" w:hAnsi="Arial" w:cs="Arial"/>
          <w:color w:val="000000" w:themeColor="text1"/>
        </w:rPr>
      </w:pPr>
    </w:p>
    <w:p w14:paraId="394C931B"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The XRF analysis results reveal a variable presence of heavy metals in the soil samples. Chromium (Cr) is detected at relatively high concentrations in all samples, peaking at 260.54 mg/kg in Sample 5. Copper (Cu) is also present in significant quantities, particularly in Sample 8 (148.58 mg/kg). Zinc (Zn) reaches its highest level in Sample 5 (677.32 mg/kg), followed by Sample 8 (506.12 mg/kg).</w:t>
      </w:r>
    </w:p>
    <w:p w14:paraId="49B4466E"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Lead (Pb) is detected in nearly all samples with concerning levels, often exceeding 100 mg/kg, especially in Samples 5 and 8. In contrast, elements such as cobalt (Co), cadmium (Cd), and mercury (Hg) are not detected in most samples (&lt;LOD).</w:t>
      </w:r>
    </w:p>
    <w:p w14:paraId="23FEB8B6" w14:textId="77777777" w:rsidR="00940FEE" w:rsidRPr="004E2493" w:rsidRDefault="00940FEE" w:rsidP="00940FEE">
      <w:pPr>
        <w:jc w:val="both"/>
        <w:rPr>
          <w:rFonts w:ascii="Arial" w:hAnsi="Arial" w:cs="Arial"/>
          <w:color w:val="000000" w:themeColor="text1"/>
        </w:rPr>
      </w:pPr>
    </w:p>
    <w:p w14:paraId="05A86A04" w14:textId="77777777"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Discussion of Total Grease Analysis Results</w:t>
      </w:r>
    </w:p>
    <w:p w14:paraId="28F7D8AC"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The grease concentration analysis shows variability among the samples. These differences may be attributed to several factors. The low concentration observed in Sample 1 may indicate an area with minimal activity and no significant hydrocarbon discharge. In contrast, the high concentrations found in Samples 2 and 3 could result from intense activity or direct hydrocarbon discharge in those zones.</w:t>
      </w:r>
    </w:p>
    <w:p w14:paraId="47400152"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According to Burkina Faso’s national discharge standards, the grease concentration of 44.8 mg/L in Sample 2 and the concentration in Sample 3 (above the maximum detection limit) exceed the permissible threshold for saponifiable oils and greases, set at 20 mg/L for discharges into the natural environment. This indicates non-compliance with national regulations.</w:t>
      </w:r>
    </w:p>
    <w:p w14:paraId="7D7F8186" w14:textId="77777777" w:rsidR="00940FEE" w:rsidRPr="004E2493" w:rsidRDefault="00940FEE" w:rsidP="00940FEE">
      <w:pPr>
        <w:jc w:val="both"/>
        <w:rPr>
          <w:rFonts w:ascii="Arial" w:hAnsi="Arial" w:cs="Arial"/>
          <w:color w:val="000000" w:themeColor="text1"/>
        </w:rPr>
      </w:pPr>
    </w:p>
    <w:p w14:paraId="1F98F09C" w14:textId="77777777"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lastRenderedPageBreak/>
        <w:t>Discussion of Soil Sample Analysis</w:t>
      </w:r>
    </w:p>
    <w:p w14:paraId="49535F1F" w14:textId="77777777"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Chromium (Cr)</w:t>
      </w:r>
    </w:p>
    <w:p w14:paraId="1E7508EC" w14:textId="474BE374"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The analysis reveals variable chromium concentrations, ranging from 146.75 mg/kg to 260.54 mg/kg, with an average of approximately 190.64 mg/kg. The highest value was </w:t>
      </w:r>
      <w:r w:rsidRPr="0024788F">
        <w:rPr>
          <w:rFonts w:ascii="Arial" w:hAnsi="Arial" w:cs="Arial"/>
          <w:color w:val="000000" w:themeColor="text1"/>
          <w:highlight w:val="yellow"/>
        </w:rPr>
        <w:t xml:space="preserve">recorded in Sample 5, and the lowest in Sample 3. Chromium is present in all </w:t>
      </w:r>
      <w:r w:rsidR="00584F91" w:rsidRPr="0024788F">
        <w:rPr>
          <w:rFonts w:ascii="Arial" w:hAnsi="Arial" w:cs="Arial"/>
          <w:color w:val="000000" w:themeColor="text1"/>
          <w:highlight w:val="yellow"/>
        </w:rPr>
        <w:t>analy</w:t>
      </w:r>
      <w:r w:rsidR="00584F91" w:rsidRPr="0024788F">
        <w:rPr>
          <w:rFonts w:ascii="Arial" w:hAnsi="Arial" w:cs="Arial"/>
          <w:color w:val="000000" w:themeColor="text1"/>
          <w:highlight w:val="yellow"/>
        </w:rPr>
        <w:t>s</w:t>
      </w:r>
      <w:r w:rsidR="00584F91" w:rsidRPr="0024788F">
        <w:rPr>
          <w:rFonts w:ascii="Arial" w:hAnsi="Arial" w:cs="Arial"/>
          <w:color w:val="000000" w:themeColor="text1"/>
          <w:highlight w:val="yellow"/>
        </w:rPr>
        <w:t xml:space="preserve">ed </w:t>
      </w:r>
      <w:r w:rsidRPr="0024788F">
        <w:rPr>
          <w:rFonts w:ascii="Arial" w:hAnsi="Arial" w:cs="Arial"/>
          <w:color w:val="000000" w:themeColor="text1"/>
          <w:highlight w:val="yellow"/>
        </w:rPr>
        <w:t>samples, with particularly high levels in Samples 4 (182.63 mg/kg), 5 (260.54 mg/kg), and 6 (1</w:t>
      </w:r>
      <w:r w:rsidRPr="004E2493">
        <w:rPr>
          <w:rFonts w:ascii="Arial" w:hAnsi="Arial" w:cs="Arial"/>
          <w:color w:val="000000" w:themeColor="text1"/>
        </w:rPr>
        <w:t>75.80 mg/kg). These findings indicate significant contamination of the area.</w:t>
      </w:r>
    </w:p>
    <w:p w14:paraId="0AE4055A" w14:textId="4561B60D"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Although chromium is naturally present in the Earth's crust, its levels in soil typically increase due to anthropogenic activities such as fuel handling or industrial discharges. According to Burkina Faso’s AFNOR U44-041 standard, the threshold for chromium is 150 mg/kg. This limit is exceeded in several samples, suggesting widespread contamination. Abbas et al. (2021) reported average chromium levels ranging from 140 to 230 mg/kg in polluted soils around service </w:t>
      </w:r>
      <w:r w:rsidRPr="0024788F">
        <w:rPr>
          <w:rFonts w:ascii="Arial" w:hAnsi="Arial" w:cs="Arial"/>
          <w:color w:val="000000" w:themeColor="text1"/>
          <w:highlight w:val="yellow"/>
        </w:rPr>
        <w:t>station</w:t>
      </w:r>
      <w:r w:rsidR="00626167" w:rsidRPr="0024788F">
        <w:rPr>
          <w:rFonts w:ascii="Arial" w:hAnsi="Arial" w:cs="Arial"/>
          <w:color w:val="000000" w:themeColor="text1"/>
          <w:highlight w:val="yellow"/>
        </w:rPr>
        <w:t xml:space="preserve"> </w:t>
      </w:r>
      <w:r w:rsidRPr="0024788F">
        <w:rPr>
          <w:rFonts w:ascii="Arial" w:hAnsi="Arial" w:cs="Arial"/>
          <w:color w:val="000000" w:themeColor="text1"/>
          <w:highlight w:val="yellow"/>
        </w:rPr>
        <w:t>environments</w:t>
      </w:r>
      <w:r w:rsidRPr="004E2493">
        <w:rPr>
          <w:rFonts w:ascii="Arial" w:hAnsi="Arial" w:cs="Arial"/>
          <w:color w:val="000000" w:themeColor="text1"/>
        </w:rPr>
        <w:t xml:space="preserve"> similar to our study site. These data support our findings.</w:t>
      </w:r>
      <w:r w:rsidR="00206441" w:rsidRPr="004E2493">
        <w:rPr>
          <w:rFonts w:ascii="Arial" w:hAnsi="Arial" w:cs="Arial"/>
          <w:color w:val="000000" w:themeColor="text1"/>
        </w:rPr>
        <w:t xml:space="preserve"> F</w:t>
      </w:r>
      <w:r w:rsidRPr="004E2493">
        <w:rPr>
          <w:rFonts w:ascii="Arial" w:hAnsi="Arial" w:cs="Arial"/>
          <w:color w:val="000000" w:themeColor="text1"/>
        </w:rPr>
        <w:t>ig</w:t>
      </w:r>
      <w:r w:rsidR="00206441" w:rsidRPr="004E2493">
        <w:rPr>
          <w:rFonts w:ascii="Arial" w:hAnsi="Arial" w:cs="Arial"/>
          <w:color w:val="000000" w:themeColor="text1"/>
        </w:rPr>
        <w:t>.</w:t>
      </w:r>
      <w:r w:rsidR="00626167" w:rsidRPr="004E2493">
        <w:rPr>
          <w:rFonts w:ascii="Arial" w:hAnsi="Arial" w:cs="Arial"/>
          <w:color w:val="000000" w:themeColor="text1"/>
        </w:rPr>
        <w:t xml:space="preserve"> 1 </w:t>
      </w:r>
      <w:r w:rsidRPr="004E2493">
        <w:rPr>
          <w:rFonts w:ascii="Arial" w:hAnsi="Arial" w:cs="Arial"/>
          <w:color w:val="000000" w:themeColor="text1"/>
        </w:rPr>
        <w:t>illustrates the discussion</w:t>
      </w:r>
      <w:r w:rsidR="00626167" w:rsidRPr="004E2493">
        <w:rPr>
          <w:rFonts w:ascii="Arial" w:hAnsi="Arial" w:cs="Arial"/>
          <w:color w:val="000000" w:themeColor="text1"/>
        </w:rPr>
        <w:t>.</w:t>
      </w:r>
    </w:p>
    <w:p w14:paraId="68AE0956" w14:textId="77777777" w:rsidR="00940FEE" w:rsidRPr="004E2493" w:rsidRDefault="00940FEE" w:rsidP="00940FEE">
      <w:pPr>
        <w:jc w:val="both"/>
        <w:rPr>
          <w:rFonts w:ascii="Arial" w:hAnsi="Arial" w:cs="Arial"/>
          <w:color w:val="000000" w:themeColor="text1"/>
        </w:rPr>
      </w:pPr>
    </w:p>
    <w:p w14:paraId="77A9188E" w14:textId="2918FE80" w:rsidR="00940FEE" w:rsidRPr="004E2493" w:rsidRDefault="00940FEE" w:rsidP="00940FEE">
      <w:pPr>
        <w:jc w:val="both"/>
        <w:rPr>
          <w:rFonts w:ascii="Arial" w:hAnsi="Arial" w:cs="Arial"/>
          <w:noProof/>
          <w:color w:val="000000" w:themeColor="text1"/>
        </w:rPr>
      </w:pPr>
      <w:r w:rsidRPr="004E2493">
        <w:rPr>
          <w:rFonts w:ascii="Arial" w:hAnsi="Arial" w:cs="Arial"/>
          <w:noProof/>
          <w:color w:val="000000" w:themeColor="text1"/>
        </w:rPr>
        <w:drawing>
          <wp:inline distT="0" distB="0" distL="0" distR="0" wp14:anchorId="528999D8" wp14:editId="0D199294">
            <wp:extent cx="5311775" cy="2738120"/>
            <wp:effectExtent l="0" t="0" r="0" b="0"/>
            <wp:docPr id="771168827"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AF0062" w14:textId="77777777" w:rsidR="00340BB4" w:rsidRPr="004E2493" w:rsidRDefault="00340BB4" w:rsidP="00940FEE">
      <w:pPr>
        <w:jc w:val="both"/>
        <w:rPr>
          <w:rFonts w:ascii="Arial" w:hAnsi="Arial" w:cs="Arial"/>
          <w:i/>
          <w:iCs/>
          <w:color w:val="000000" w:themeColor="text1"/>
        </w:rPr>
      </w:pPr>
    </w:p>
    <w:p w14:paraId="2D200A81" w14:textId="55A89BA2"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Fig</w:t>
      </w:r>
      <w:r w:rsidR="00340BB4" w:rsidRPr="004E2493">
        <w:rPr>
          <w:rFonts w:ascii="Arial" w:hAnsi="Arial" w:cs="Arial"/>
          <w:b/>
          <w:bCs/>
          <w:color w:val="000000" w:themeColor="text1"/>
        </w:rPr>
        <w:t>.1.</w:t>
      </w:r>
      <w:r w:rsidRPr="004E2493">
        <w:rPr>
          <w:rFonts w:ascii="Arial" w:hAnsi="Arial" w:cs="Arial"/>
          <w:b/>
          <w:bCs/>
          <w:color w:val="000000" w:themeColor="text1"/>
        </w:rPr>
        <w:t xml:space="preserve"> Chromium (Cr) Concentration by Sample</w:t>
      </w:r>
    </w:p>
    <w:p w14:paraId="1DE1C13B" w14:textId="77777777" w:rsidR="00340BB4" w:rsidRPr="004E2493" w:rsidRDefault="00340BB4" w:rsidP="00940FEE">
      <w:pPr>
        <w:jc w:val="both"/>
        <w:rPr>
          <w:rFonts w:ascii="Arial" w:hAnsi="Arial" w:cs="Arial"/>
          <w:b/>
          <w:bCs/>
          <w:color w:val="000000" w:themeColor="text1"/>
        </w:rPr>
      </w:pPr>
    </w:p>
    <w:p w14:paraId="413FC7B6" w14:textId="3D4F14E7"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Cobalt (Co)</w:t>
      </w:r>
    </w:p>
    <w:p w14:paraId="46DD6A95" w14:textId="5091F38D"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Cobalt is a trace element naturally present in the Earth's crust. It is essential in small </w:t>
      </w:r>
      <w:r w:rsidRPr="0024788F">
        <w:rPr>
          <w:rFonts w:ascii="Arial" w:hAnsi="Arial" w:cs="Arial"/>
          <w:color w:val="000000" w:themeColor="text1"/>
          <w:highlight w:val="yellow"/>
        </w:rPr>
        <w:t>amounts for living organisms</w:t>
      </w:r>
      <w:r w:rsidR="00584F91" w:rsidRPr="0024788F">
        <w:rPr>
          <w:rFonts w:ascii="Arial" w:hAnsi="Arial" w:cs="Arial"/>
          <w:color w:val="000000" w:themeColor="text1"/>
          <w:highlight w:val="yellow"/>
        </w:rPr>
        <w:t>,</w:t>
      </w:r>
      <w:r w:rsidRPr="0024788F">
        <w:rPr>
          <w:rFonts w:ascii="Arial" w:hAnsi="Arial" w:cs="Arial"/>
          <w:color w:val="000000" w:themeColor="text1"/>
          <w:highlight w:val="yellow"/>
        </w:rPr>
        <w:t xml:space="preserve"> but becomes toxic at high concentrations. In the </w:t>
      </w:r>
      <w:r w:rsidR="00584F91" w:rsidRPr="0024788F">
        <w:rPr>
          <w:rFonts w:ascii="Arial" w:hAnsi="Arial" w:cs="Arial"/>
          <w:color w:val="000000" w:themeColor="text1"/>
          <w:highlight w:val="yellow"/>
        </w:rPr>
        <w:t>analy</w:t>
      </w:r>
      <w:r w:rsidR="00584F91" w:rsidRPr="0024788F">
        <w:rPr>
          <w:rFonts w:ascii="Arial" w:hAnsi="Arial" w:cs="Arial"/>
          <w:color w:val="000000" w:themeColor="text1"/>
          <w:highlight w:val="yellow"/>
        </w:rPr>
        <w:t>s</w:t>
      </w:r>
      <w:r w:rsidR="00584F91" w:rsidRPr="0024788F">
        <w:rPr>
          <w:rFonts w:ascii="Arial" w:hAnsi="Arial" w:cs="Arial"/>
          <w:color w:val="000000" w:themeColor="text1"/>
          <w:highlight w:val="yellow"/>
        </w:rPr>
        <w:t xml:space="preserve">ed </w:t>
      </w:r>
      <w:r w:rsidRPr="0024788F">
        <w:rPr>
          <w:rFonts w:ascii="Arial" w:hAnsi="Arial" w:cs="Arial"/>
          <w:color w:val="000000" w:themeColor="text1"/>
          <w:highlight w:val="yellow"/>
        </w:rPr>
        <w:t>samples, cobalt concentrations were below the detection limit (LOD) of the XRF device. This ap</w:t>
      </w:r>
      <w:r w:rsidRPr="004E2493">
        <w:rPr>
          <w:rFonts w:ascii="Arial" w:hAnsi="Arial" w:cs="Arial"/>
          <w:color w:val="000000" w:themeColor="text1"/>
        </w:rPr>
        <w:t>parent absence of cobalt may be due to very low concentrations in the study area or the technical detection limits of the XRF for this element.</w:t>
      </w:r>
    </w:p>
    <w:p w14:paraId="374EAB53" w14:textId="7EBE607C"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According to the Burkinabe soil quality standards, although no specific threshold for cobalt is explicitly set, the Canadian CCME guideline recommends a limit of 50 mg/kg for agricultural soils. A study conducted by Konaté et al. (2018) in Kankan (Guinea) found cobalt concentrations below 10 mg/kg in urban soils, consistent with the non-detection observed in this study.</w:t>
      </w:r>
    </w:p>
    <w:p w14:paraId="600F56C8" w14:textId="6DF4B34E"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The </w:t>
      </w:r>
      <w:r w:rsidR="00206441" w:rsidRPr="004E2493">
        <w:rPr>
          <w:rFonts w:ascii="Arial" w:hAnsi="Arial" w:cs="Arial"/>
          <w:color w:val="000000" w:themeColor="text1"/>
        </w:rPr>
        <w:t xml:space="preserve">Fig. </w:t>
      </w:r>
      <w:r w:rsidR="0047595E" w:rsidRPr="004E2493">
        <w:rPr>
          <w:rFonts w:ascii="Arial" w:hAnsi="Arial" w:cs="Arial"/>
          <w:color w:val="000000" w:themeColor="text1"/>
        </w:rPr>
        <w:t>2</w:t>
      </w:r>
      <w:r w:rsidRPr="004E2493">
        <w:rPr>
          <w:rFonts w:ascii="Arial" w:hAnsi="Arial" w:cs="Arial"/>
          <w:color w:val="000000" w:themeColor="text1"/>
        </w:rPr>
        <w:t xml:space="preserve"> clearly shows no detection of cobalt concentration in the various samples.</w:t>
      </w:r>
    </w:p>
    <w:p w14:paraId="4781295F" w14:textId="77777777" w:rsidR="00940FEE" w:rsidRPr="004E2493" w:rsidRDefault="00940FEE" w:rsidP="00940FEE">
      <w:pPr>
        <w:jc w:val="both"/>
        <w:rPr>
          <w:rFonts w:ascii="Arial" w:hAnsi="Arial" w:cs="Arial"/>
          <w:color w:val="000000" w:themeColor="text1"/>
        </w:rPr>
      </w:pPr>
    </w:p>
    <w:p w14:paraId="411CFEDF" w14:textId="7767D918" w:rsidR="00940FEE" w:rsidRPr="004E2493" w:rsidRDefault="00940FEE" w:rsidP="00940FEE">
      <w:pPr>
        <w:jc w:val="both"/>
        <w:rPr>
          <w:rFonts w:ascii="Arial" w:hAnsi="Arial" w:cs="Arial"/>
          <w:color w:val="000000" w:themeColor="text1"/>
        </w:rPr>
      </w:pPr>
      <w:r w:rsidRPr="004E2493">
        <w:rPr>
          <w:rFonts w:ascii="Arial" w:hAnsi="Arial" w:cs="Arial"/>
          <w:noProof/>
          <w:color w:val="000000" w:themeColor="text1"/>
        </w:rPr>
        <w:lastRenderedPageBreak/>
        <w:drawing>
          <wp:inline distT="0" distB="0" distL="0" distR="0" wp14:anchorId="03DFDF12" wp14:editId="5D49E876">
            <wp:extent cx="4909185" cy="2926715"/>
            <wp:effectExtent l="0" t="0" r="0" b="0"/>
            <wp:docPr id="272746420"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4A39905" w14:textId="77777777" w:rsidR="00575DA6" w:rsidRPr="004E2493" w:rsidRDefault="00575DA6" w:rsidP="00940FEE">
      <w:pPr>
        <w:jc w:val="both"/>
        <w:rPr>
          <w:rFonts w:ascii="Arial" w:hAnsi="Arial" w:cs="Arial"/>
          <w:b/>
          <w:bCs/>
          <w:color w:val="000000" w:themeColor="text1"/>
        </w:rPr>
      </w:pPr>
    </w:p>
    <w:p w14:paraId="106A974B" w14:textId="1AC863A6"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Fig</w:t>
      </w:r>
      <w:r w:rsidR="00575DA6" w:rsidRPr="004E2493">
        <w:rPr>
          <w:rFonts w:ascii="Arial" w:hAnsi="Arial" w:cs="Arial"/>
          <w:b/>
          <w:bCs/>
          <w:color w:val="000000" w:themeColor="text1"/>
        </w:rPr>
        <w:t>.</w:t>
      </w:r>
      <w:r w:rsidRPr="004E2493">
        <w:rPr>
          <w:rFonts w:ascii="Arial" w:hAnsi="Arial" w:cs="Arial"/>
          <w:b/>
          <w:bCs/>
          <w:color w:val="000000" w:themeColor="text1"/>
        </w:rPr>
        <w:t>2</w:t>
      </w:r>
      <w:r w:rsidR="00575DA6" w:rsidRPr="004E2493">
        <w:rPr>
          <w:rFonts w:ascii="Arial" w:hAnsi="Arial" w:cs="Arial"/>
          <w:b/>
          <w:bCs/>
          <w:color w:val="000000" w:themeColor="text1"/>
        </w:rPr>
        <w:t>.</w:t>
      </w:r>
      <w:r w:rsidRPr="004E2493">
        <w:rPr>
          <w:rFonts w:ascii="Arial" w:hAnsi="Arial" w:cs="Arial"/>
          <w:b/>
          <w:bCs/>
          <w:color w:val="000000" w:themeColor="text1"/>
        </w:rPr>
        <w:t>Cobalt (Co) Concentration by Sample</w:t>
      </w:r>
    </w:p>
    <w:p w14:paraId="18E9798D" w14:textId="77777777" w:rsidR="00575DA6" w:rsidRPr="004E2493" w:rsidRDefault="00575DA6" w:rsidP="00940FEE">
      <w:pPr>
        <w:jc w:val="both"/>
        <w:rPr>
          <w:rFonts w:ascii="Arial" w:hAnsi="Arial" w:cs="Arial"/>
          <w:b/>
          <w:bCs/>
          <w:color w:val="000000" w:themeColor="text1"/>
        </w:rPr>
      </w:pPr>
    </w:p>
    <w:p w14:paraId="643AC966" w14:textId="54D560A5"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Nickel (Ni)</w:t>
      </w:r>
    </w:p>
    <w:p w14:paraId="3E4D2DE3" w14:textId="17053EBF"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Nickel (Ni) was detected only in Sample 7, with a concentration of 22.29 mg/kg. This may be due to the presence of nearby metallic structures or used fluids and oils containing nickel from truck operations at the gauging station. According to the AFNOR U44-041 standard for soil cultivation, this concentration does not exceed the critical threshold of 50 mg/kg. A study by Mouhamadou et al. (2017) in Senegal, in a similar zone, reported nickel levels lower than those observed here, supporting and confirming our results. This is shown in </w:t>
      </w:r>
      <w:r w:rsidR="00206441" w:rsidRPr="004E2493">
        <w:rPr>
          <w:rFonts w:ascii="Arial" w:hAnsi="Arial" w:cs="Arial"/>
          <w:color w:val="000000" w:themeColor="text1"/>
        </w:rPr>
        <w:t xml:space="preserve">Fig. </w:t>
      </w:r>
      <w:r w:rsidR="0047595E" w:rsidRPr="004E2493">
        <w:rPr>
          <w:rFonts w:ascii="Arial" w:hAnsi="Arial" w:cs="Arial"/>
          <w:color w:val="000000" w:themeColor="text1"/>
        </w:rPr>
        <w:t xml:space="preserve">3 as </w:t>
      </w:r>
      <w:r w:rsidRPr="004E2493">
        <w:rPr>
          <w:rFonts w:ascii="Arial" w:hAnsi="Arial" w:cs="Arial"/>
          <w:color w:val="000000" w:themeColor="text1"/>
        </w:rPr>
        <w:t>below.</w:t>
      </w:r>
    </w:p>
    <w:p w14:paraId="403F4F15" w14:textId="77777777" w:rsidR="00575DA6" w:rsidRPr="004E2493" w:rsidRDefault="00575DA6" w:rsidP="00940FEE">
      <w:pPr>
        <w:jc w:val="both"/>
        <w:rPr>
          <w:rFonts w:ascii="Arial" w:hAnsi="Arial" w:cs="Arial"/>
          <w:color w:val="000000" w:themeColor="text1"/>
        </w:rPr>
      </w:pPr>
    </w:p>
    <w:p w14:paraId="31E64385" w14:textId="52088DEC" w:rsidR="00940FEE" w:rsidRPr="004E2493" w:rsidRDefault="00940FEE" w:rsidP="00940FEE">
      <w:pPr>
        <w:jc w:val="both"/>
        <w:rPr>
          <w:rFonts w:ascii="Arial" w:hAnsi="Arial" w:cs="Arial"/>
          <w:noProof/>
          <w:color w:val="000000" w:themeColor="text1"/>
        </w:rPr>
      </w:pPr>
      <w:r w:rsidRPr="004E2493">
        <w:rPr>
          <w:rFonts w:ascii="Arial" w:hAnsi="Arial" w:cs="Arial"/>
          <w:noProof/>
          <w:color w:val="000000" w:themeColor="text1"/>
        </w:rPr>
        <w:drawing>
          <wp:inline distT="0" distB="0" distL="0" distR="0" wp14:anchorId="3E7D62B9" wp14:editId="236AC4B1">
            <wp:extent cx="5342255" cy="2487930"/>
            <wp:effectExtent l="0" t="0" r="0" b="0"/>
            <wp:docPr id="769739866"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988C53C" w14:textId="77777777" w:rsidR="00575DA6" w:rsidRPr="004E2493" w:rsidRDefault="00575DA6" w:rsidP="00940FEE">
      <w:pPr>
        <w:jc w:val="both"/>
        <w:rPr>
          <w:rFonts w:ascii="Arial" w:hAnsi="Arial" w:cs="Arial"/>
          <w:b/>
          <w:bCs/>
          <w:color w:val="000000" w:themeColor="text1"/>
        </w:rPr>
      </w:pPr>
    </w:p>
    <w:p w14:paraId="69B907ED" w14:textId="5F004CA2" w:rsidR="00940FEE" w:rsidRPr="004E2493" w:rsidRDefault="00940FEE" w:rsidP="00940FEE">
      <w:pPr>
        <w:jc w:val="both"/>
        <w:rPr>
          <w:rFonts w:ascii="Arial" w:hAnsi="Arial" w:cs="Arial"/>
          <w:b/>
          <w:bCs/>
          <w:noProof/>
          <w:color w:val="000000" w:themeColor="text1"/>
        </w:rPr>
      </w:pPr>
      <w:r w:rsidRPr="004E2493">
        <w:rPr>
          <w:rFonts w:ascii="Arial" w:hAnsi="Arial" w:cs="Arial"/>
          <w:b/>
          <w:bCs/>
          <w:color w:val="000000" w:themeColor="text1"/>
        </w:rPr>
        <w:t>Fig</w:t>
      </w:r>
      <w:r w:rsidR="00575DA6" w:rsidRPr="004E2493">
        <w:rPr>
          <w:rFonts w:ascii="Arial" w:hAnsi="Arial" w:cs="Arial"/>
          <w:b/>
          <w:bCs/>
          <w:color w:val="000000" w:themeColor="text1"/>
        </w:rPr>
        <w:t>.</w:t>
      </w:r>
      <w:r w:rsidRPr="004E2493">
        <w:rPr>
          <w:rFonts w:ascii="Arial" w:hAnsi="Arial" w:cs="Arial"/>
          <w:b/>
          <w:bCs/>
          <w:color w:val="000000" w:themeColor="text1"/>
        </w:rPr>
        <w:t>3</w:t>
      </w:r>
      <w:r w:rsidR="00575DA6" w:rsidRPr="004E2493">
        <w:rPr>
          <w:rFonts w:ascii="Arial" w:hAnsi="Arial" w:cs="Arial"/>
          <w:b/>
          <w:bCs/>
          <w:color w:val="000000" w:themeColor="text1"/>
        </w:rPr>
        <w:t>.</w:t>
      </w:r>
      <w:r w:rsidRPr="004E2493">
        <w:rPr>
          <w:rFonts w:ascii="Arial" w:hAnsi="Arial" w:cs="Arial"/>
          <w:b/>
          <w:bCs/>
          <w:color w:val="000000" w:themeColor="text1"/>
        </w:rPr>
        <w:t xml:space="preserve"> Nickel (Ni) Concentration by Sample</w:t>
      </w:r>
    </w:p>
    <w:p w14:paraId="2D8650E2" w14:textId="77777777" w:rsidR="00575DA6" w:rsidRPr="004E2493" w:rsidRDefault="00575DA6" w:rsidP="00940FEE">
      <w:pPr>
        <w:jc w:val="both"/>
        <w:rPr>
          <w:rFonts w:ascii="Arial" w:hAnsi="Arial" w:cs="Arial"/>
          <w:b/>
          <w:bCs/>
          <w:color w:val="000000" w:themeColor="text1"/>
        </w:rPr>
      </w:pPr>
    </w:p>
    <w:p w14:paraId="687ADE70" w14:textId="77777777" w:rsidR="00575DA6" w:rsidRPr="004E2493" w:rsidRDefault="00575DA6" w:rsidP="00940FEE">
      <w:pPr>
        <w:jc w:val="both"/>
        <w:rPr>
          <w:rFonts w:ascii="Arial" w:hAnsi="Arial" w:cs="Arial"/>
          <w:b/>
          <w:bCs/>
          <w:color w:val="000000" w:themeColor="text1"/>
        </w:rPr>
      </w:pPr>
    </w:p>
    <w:p w14:paraId="7A71FB4A" w14:textId="4901E354"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lastRenderedPageBreak/>
        <w:t>Copper (Cu)</w:t>
      </w:r>
    </w:p>
    <w:p w14:paraId="01C2512E" w14:textId="3D07C095"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Copper (Cu) concentrations range between 33.96 and 148.58 mg/kg, with an average of approximately 58.27 mg/kg. The highest value was observed in Sample 8, and the lowest in Sample 4. These variations may be attributed to the local geological substrate</w:t>
      </w:r>
      <w:r w:rsidR="00577CF7">
        <w:rPr>
          <w:rFonts w:ascii="Arial" w:hAnsi="Arial" w:cs="Arial"/>
          <w:color w:val="000000" w:themeColor="text1"/>
        </w:rPr>
        <w:t>,</w:t>
      </w:r>
      <w:r w:rsidRPr="004E2493">
        <w:rPr>
          <w:rFonts w:ascii="Arial" w:hAnsi="Arial" w:cs="Arial"/>
          <w:color w:val="000000" w:themeColor="text1"/>
        </w:rPr>
        <w:t xml:space="preserve"> but mainly to anthropogenic pollution sources such as spills of used hydrocarbons or oils, or other industrial or mining activities. The AFNOR U44-041 standard sets the maximum permissible copper concentration at 100 mg/kg for cultivated soils.</w:t>
      </w:r>
    </w:p>
    <w:p w14:paraId="16B0F89A" w14:textId="279E5371"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Similar studies have been conducted. For example, Ouedraogo et al. (2019), in a study in Bobo-Dioulasso, found copper levels ranging from 70 to 180 mg/kg in soils treated with urban organic waste. This supports the idea that organic discharges and fuel residues can enrich soil in copper. The </w:t>
      </w:r>
      <w:r w:rsidR="00206441" w:rsidRPr="004E2493">
        <w:rPr>
          <w:rFonts w:ascii="Arial" w:hAnsi="Arial" w:cs="Arial"/>
          <w:color w:val="000000" w:themeColor="text1"/>
        </w:rPr>
        <w:t>Fig.</w:t>
      </w:r>
      <w:r w:rsidR="0047595E" w:rsidRPr="004E2493">
        <w:rPr>
          <w:rFonts w:ascii="Arial" w:hAnsi="Arial" w:cs="Arial"/>
          <w:color w:val="000000" w:themeColor="text1"/>
        </w:rPr>
        <w:t xml:space="preserve"> 4 </w:t>
      </w:r>
      <w:r w:rsidRPr="004E2493">
        <w:rPr>
          <w:rFonts w:ascii="Arial" w:hAnsi="Arial" w:cs="Arial"/>
          <w:color w:val="000000" w:themeColor="text1"/>
        </w:rPr>
        <w:t>shows the histogram of copper concentrations in each sample</w:t>
      </w:r>
      <w:r w:rsidR="0047595E" w:rsidRPr="004E2493">
        <w:rPr>
          <w:rFonts w:ascii="Arial" w:hAnsi="Arial" w:cs="Arial"/>
          <w:color w:val="000000" w:themeColor="text1"/>
        </w:rPr>
        <w:t>.</w:t>
      </w:r>
    </w:p>
    <w:p w14:paraId="1E3DE9D7" w14:textId="4DCF9CCA" w:rsidR="00940FEE" w:rsidRPr="004E2493" w:rsidRDefault="00940FEE" w:rsidP="00940FEE">
      <w:pPr>
        <w:jc w:val="both"/>
        <w:rPr>
          <w:rFonts w:ascii="Arial" w:hAnsi="Arial" w:cs="Arial"/>
          <w:color w:val="000000" w:themeColor="text1"/>
        </w:rPr>
      </w:pPr>
      <w:r w:rsidRPr="004E2493">
        <w:rPr>
          <w:rFonts w:ascii="Arial" w:hAnsi="Arial" w:cs="Arial"/>
          <w:noProof/>
          <w:color w:val="000000" w:themeColor="text1"/>
        </w:rPr>
        <w:drawing>
          <wp:inline distT="0" distB="0" distL="0" distR="0" wp14:anchorId="6B411AFC" wp14:editId="692865A0">
            <wp:extent cx="5266055" cy="2738120"/>
            <wp:effectExtent l="0" t="0" r="0" b="0"/>
            <wp:docPr id="432252413"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6E26AB3" w14:textId="77777777" w:rsidR="00575DA6" w:rsidRPr="004E2493" w:rsidRDefault="00575DA6" w:rsidP="00940FEE">
      <w:pPr>
        <w:jc w:val="both"/>
        <w:rPr>
          <w:rFonts w:ascii="Arial" w:hAnsi="Arial" w:cs="Arial"/>
          <w:b/>
          <w:bCs/>
          <w:color w:val="000000" w:themeColor="text1"/>
        </w:rPr>
      </w:pPr>
    </w:p>
    <w:p w14:paraId="4840A8EF" w14:textId="6C507D43"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Fig</w:t>
      </w:r>
      <w:r w:rsidR="00575DA6" w:rsidRPr="004E2493">
        <w:rPr>
          <w:rFonts w:ascii="Arial" w:hAnsi="Arial" w:cs="Arial"/>
          <w:b/>
          <w:bCs/>
          <w:color w:val="000000" w:themeColor="text1"/>
        </w:rPr>
        <w:t>.</w:t>
      </w:r>
      <w:r w:rsidRPr="004E2493">
        <w:rPr>
          <w:rFonts w:ascii="Arial" w:hAnsi="Arial" w:cs="Arial"/>
          <w:b/>
          <w:bCs/>
          <w:color w:val="000000" w:themeColor="text1"/>
        </w:rPr>
        <w:t>4</w:t>
      </w:r>
      <w:r w:rsidR="00575DA6" w:rsidRPr="004E2493">
        <w:rPr>
          <w:rFonts w:ascii="Arial" w:hAnsi="Arial" w:cs="Arial"/>
          <w:b/>
          <w:bCs/>
          <w:color w:val="000000" w:themeColor="text1"/>
        </w:rPr>
        <w:t>.</w:t>
      </w:r>
      <w:r w:rsidRPr="004E2493">
        <w:rPr>
          <w:rFonts w:ascii="Arial" w:hAnsi="Arial" w:cs="Arial"/>
          <w:b/>
          <w:bCs/>
          <w:color w:val="000000" w:themeColor="text1"/>
        </w:rPr>
        <w:t xml:space="preserve"> Copper (Cu) Concentration by Sample</w:t>
      </w:r>
    </w:p>
    <w:p w14:paraId="2728F986" w14:textId="77777777" w:rsidR="00575DA6" w:rsidRPr="004E2493" w:rsidRDefault="00575DA6" w:rsidP="00940FEE">
      <w:pPr>
        <w:jc w:val="both"/>
        <w:rPr>
          <w:rFonts w:ascii="Arial" w:hAnsi="Arial" w:cs="Arial"/>
          <w:b/>
          <w:bCs/>
          <w:color w:val="000000" w:themeColor="text1"/>
        </w:rPr>
      </w:pPr>
    </w:p>
    <w:p w14:paraId="739DABC4" w14:textId="756E6516"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Zinc (Zn)</w:t>
      </w:r>
    </w:p>
    <w:p w14:paraId="02D38155" w14:textId="0A395878"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Zinc, though beneficial at low doses, becomes toxic at high concentrations. Zinc (Zn) concentrations range from 43.24 to 677.32 mg/kg, with an average of approximately 199.72 mg/kg. </w:t>
      </w:r>
      <w:r w:rsidR="0047595E" w:rsidRPr="004E2493">
        <w:rPr>
          <w:rFonts w:ascii="Arial" w:hAnsi="Arial" w:cs="Arial"/>
          <w:color w:val="000000" w:themeColor="text1"/>
        </w:rPr>
        <w:t>As shown in Fig</w:t>
      </w:r>
      <w:r w:rsidR="00206441" w:rsidRPr="004E2493">
        <w:rPr>
          <w:rFonts w:ascii="Arial" w:hAnsi="Arial" w:cs="Arial"/>
          <w:color w:val="000000" w:themeColor="text1"/>
        </w:rPr>
        <w:t>.</w:t>
      </w:r>
      <w:r w:rsidR="0047595E" w:rsidRPr="004E2493">
        <w:rPr>
          <w:rFonts w:ascii="Arial" w:hAnsi="Arial" w:cs="Arial"/>
          <w:color w:val="000000" w:themeColor="text1"/>
        </w:rPr>
        <w:t xml:space="preserve"> 5, t</w:t>
      </w:r>
      <w:r w:rsidRPr="004E2493">
        <w:rPr>
          <w:rFonts w:ascii="Arial" w:hAnsi="Arial" w:cs="Arial"/>
          <w:color w:val="000000" w:themeColor="text1"/>
        </w:rPr>
        <w:t xml:space="preserve">he highest value was found in Sample 5 and the lowest in Sample 3. This variability could be explained by the proximity of fuel transit or storage zones. In Burkina Faso, the standard for soil cultivation limits zinc concentration to 300 mg/kg. Levels above this pose risks of ecotoxicity and crop contamination. A relevant study is that of </w:t>
      </w:r>
      <w:r w:rsidR="008E40E9" w:rsidRPr="004E2493">
        <w:rPr>
          <w:rFonts w:ascii="Arial" w:hAnsi="Arial" w:cs="Arial"/>
          <w:noProof/>
          <w:color w:val="000000" w:themeColor="text1"/>
        </w:rPr>
        <w:t>Udoh et al.</w:t>
      </w:r>
      <w:r w:rsidR="008E40E9" w:rsidRPr="004E2493">
        <w:rPr>
          <w:rFonts w:ascii="Arial" w:hAnsi="Arial" w:cs="Arial"/>
          <w:color w:val="000000" w:themeColor="text1"/>
        </w:rPr>
        <w:t xml:space="preserve"> (2024)</w:t>
      </w:r>
      <w:r w:rsidRPr="004E2493">
        <w:rPr>
          <w:rFonts w:ascii="Arial" w:hAnsi="Arial" w:cs="Arial"/>
          <w:color w:val="000000" w:themeColor="text1"/>
        </w:rPr>
        <w:t xml:space="preserve"> in Benin, which found zinc levels exceeding 450 mg/kg in soils amended with solid urban waste in Cotonou. The authors attributed these levels to zinc in household and industrial waste.</w:t>
      </w:r>
    </w:p>
    <w:p w14:paraId="07154890" w14:textId="3D5807B4" w:rsidR="00940FEE" w:rsidRPr="004E2493" w:rsidRDefault="00940FEE" w:rsidP="00940FEE">
      <w:pPr>
        <w:jc w:val="both"/>
        <w:rPr>
          <w:rFonts w:ascii="Arial" w:hAnsi="Arial" w:cs="Arial"/>
          <w:color w:val="000000" w:themeColor="text1"/>
        </w:rPr>
      </w:pPr>
      <w:r w:rsidRPr="004E2493">
        <w:rPr>
          <w:rFonts w:ascii="Arial" w:hAnsi="Arial" w:cs="Arial"/>
          <w:noProof/>
          <w:color w:val="000000" w:themeColor="text1"/>
        </w:rPr>
        <w:lastRenderedPageBreak/>
        <w:drawing>
          <wp:inline distT="0" distB="0" distL="0" distR="0" wp14:anchorId="3BB53633" wp14:editId="5BB4ACDA">
            <wp:extent cx="5144770" cy="2738120"/>
            <wp:effectExtent l="0" t="0" r="0" b="0"/>
            <wp:docPr id="1130630432"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2920209" w14:textId="77777777" w:rsidR="00575DA6" w:rsidRPr="004E2493" w:rsidRDefault="00575DA6" w:rsidP="00940FEE">
      <w:pPr>
        <w:jc w:val="both"/>
        <w:rPr>
          <w:rFonts w:ascii="Arial" w:hAnsi="Arial" w:cs="Arial"/>
          <w:i/>
          <w:iCs/>
          <w:color w:val="000000" w:themeColor="text1"/>
        </w:rPr>
      </w:pPr>
    </w:p>
    <w:p w14:paraId="568D7602" w14:textId="65D3BAFA"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Fig</w:t>
      </w:r>
      <w:r w:rsidR="00575DA6" w:rsidRPr="004E2493">
        <w:rPr>
          <w:rFonts w:ascii="Arial" w:hAnsi="Arial" w:cs="Arial"/>
          <w:b/>
          <w:bCs/>
          <w:color w:val="000000" w:themeColor="text1"/>
        </w:rPr>
        <w:t>.</w:t>
      </w:r>
      <w:r w:rsidRPr="004E2493">
        <w:rPr>
          <w:rFonts w:ascii="Arial" w:hAnsi="Arial" w:cs="Arial"/>
          <w:b/>
          <w:bCs/>
          <w:color w:val="000000" w:themeColor="text1"/>
        </w:rPr>
        <w:t>5</w:t>
      </w:r>
      <w:r w:rsidR="00575DA6" w:rsidRPr="004E2493">
        <w:rPr>
          <w:rFonts w:ascii="Arial" w:hAnsi="Arial" w:cs="Arial"/>
          <w:b/>
          <w:bCs/>
          <w:color w:val="000000" w:themeColor="text1"/>
        </w:rPr>
        <w:t>.</w:t>
      </w:r>
      <w:r w:rsidRPr="004E2493">
        <w:rPr>
          <w:rFonts w:ascii="Arial" w:hAnsi="Arial" w:cs="Arial"/>
          <w:b/>
          <w:bCs/>
          <w:color w:val="000000" w:themeColor="text1"/>
        </w:rPr>
        <w:t xml:space="preserve"> Zinc (Zn) Concentration by Sample</w:t>
      </w:r>
    </w:p>
    <w:p w14:paraId="0BF51651" w14:textId="77777777" w:rsidR="00940FEE" w:rsidRPr="004E2493" w:rsidRDefault="00940FEE" w:rsidP="00940FEE">
      <w:pPr>
        <w:jc w:val="both"/>
        <w:rPr>
          <w:rFonts w:ascii="Arial" w:hAnsi="Arial" w:cs="Arial"/>
          <w:i/>
          <w:iCs/>
          <w:color w:val="000000" w:themeColor="text1"/>
        </w:rPr>
      </w:pPr>
    </w:p>
    <w:p w14:paraId="5465E5AF" w14:textId="77777777"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Arsenic (As)</w:t>
      </w:r>
    </w:p>
    <w:p w14:paraId="6429569E" w14:textId="08BCE8C0"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Arsenic (As) concentrations range between 7.0 and 9.07 mg/kg, with an average of about 7.92 mg/kg. The highest value was found in Sample 6, and the lowest in Sample 3. This presence may be linked to arsenic release through used industrial oils and fluids in the gauging process, or to an exceptional local geochemistry. According to the AFNOR U44-041 standard, which sets the limit at 20 mg/kg, these concentrations are below the standard. A similar study by Zhou et al. (2014) in China showed high arsenic concentrations in contaminated soils. Therefore, there is no indication of soil contamination by this element in our study</w:t>
      </w:r>
      <w:r w:rsidRPr="0024788F">
        <w:rPr>
          <w:rFonts w:ascii="Arial" w:hAnsi="Arial" w:cs="Arial"/>
          <w:color w:val="000000" w:themeColor="text1"/>
          <w:highlight w:val="yellow"/>
        </w:rPr>
        <w:t xml:space="preserve">. </w:t>
      </w:r>
      <w:r w:rsidR="00577CF7" w:rsidRPr="0024788F">
        <w:rPr>
          <w:rFonts w:ascii="Arial" w:hAnsi="Arial" w:cs="Arial"/>
          <w:color w:val="000000" w:themeColor="text1"/>
          <w:highlight w:val="yellow"/>
        </w:rPr>
        <w:t>Figure</w:t>
      </w:r>
      <w:r w:rsidR="0047595E" w:rsidRPr="0024788F">
        <w:rPr>
          <w:rFonts w:ascii="Arial" w:hAnsi="Arial" w:cs="Arial"/>
          <w:color w:val="000000" w:themeColor="text1"/>
          <w:highlight w:val="yellow"/>
        </w:rPr>
        <w:t xml:space="preserve"> 6</w:t>
      </w:r>
      <w:r w:rsidRPr="0024788F">
        <w:rPr>
          <w:rFonts w:ascii="Arial" w:hAnsi="Arial" w:cs="Arial"/>
          <w:color w:val="000000" w:themeColor="text1"/>
          <w:highlight w:val="yellow"/>
        </w:rPr>
        <w:t xml:space="preserve"> shows ar</w:t>
      </w:r>
      <w:r w:rsidRPr="004E2493">
        <w:rPr>
          <w:rFonts w:ascii="Arial" w:hAnsi="Arial" w:cs="Arial"/>
          <w:color w:val="000000" w:themeColor="text1"/>
        </w:rPr>
        <w:t>senic concentrations in the samples.</w:t>
      </w:r>
    </w:p>
    <w:p w14:paraId="567AC224" w14:textId="77777777" w:rsidR="00575DA6" w:rsidRPr="004E2493" w:rsidRDefault="00575DA6" w:rsidP="00940FEE">
      <w:pPr>
        <w:jc w:val="both"/>
        <w:rPr>
          <w:rFonts w:ascii="Arial" w:hAnsi="Arial" w:cs="Arial"/>
          <w:color w:val="000000" w:themeColor="text1"/>
        </w:rPr>
      </w:pPr>
    </w:p>
    <w:p w14:paraId="20ECE8C1" w14:textId="3E3C22EA" w:rsidR="00940FEE" w:rsidRPr="004E2493" w:rsidRDefault="00940FEE" w:rsidP="00940FEE">
      <w:pPr>
        <w:jc w:val="both"/>
        <w:rPr>
          <w:rFonts w:ascii="Arial" w:hAnsi="Arial" w:cs="Arial"/>
          <w:color w:val="000000" w:themeColor="text1"/>
        </w:rPr>
      </w:pPr>
      <w:r w:rsidRPr="004E2493">
        <w:rPr>
          <w:rFonts w:ascii="Arial" w:hAnsi="Arial" w:cs="Arial"/>
          <w:noProof/>
          <w:color w:val="000000" w:themeColor="text1"/>
        </w:rPr>
        <w:drawing>
          <wp:inline distT="0" distB="0" distL="0" distR="0" wp14:anchorId="31ED17B9" wp14:editId="09B6A09B">
            <wp:extent cx="5288915" cy="2738120"/>
            <wp:effectExtent l="0" t="0" r="0" b="0"/>
            <wp:docPr id="1060792077"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6C419EF" w14:textId="77777777" w:rsidR="00575DA6" w:rsidRPr="004E2493" w:rsidRDefault="00575DA6" w:rsidP="00940FEE">
      <w:pPr>
        <w:jc w:val="both"/>
        <w:rPr>
          <w:rFonts w:ascii="Arial" w:hAnsi="Arial" w:cs="Arial"/>
          <w:color w:val="000000" w:themeColor="text1"/>
        </w:rPr>
      </w:pPr>
    </w:p>
    <w:p w14:paraId="3BAA0988" w14:textId="7B6CE3F0"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Fig</w:t>
      </w:r>
      <w:r w:rsidR="00575DA6" w:rsidRPr="004E2493">
        <w:rPr>
          <w:rFonts w:ascii="Arial" w:hAnsi="Arial" w:cs="Arial"/>
          <w:b/>
          <w:bCs/>
          <w:color w:val="000000" w:themeColor="text1"/>
        </w:rPr>
        <w:t>.</w:t>
      </w:r>
      <w:r w:rsidRPr="004E2493">
        <w:rPr>
          <w:rFonts w:ascii="Arial" w:hAnsi="Arial" w:cs="Arial"/>
          <w:b/>
          <w:bCs/>
          <w:color w:val="000000" w:themeColor="text1"/>
        </w:rPr>
        <w:t>6</w:t>
      </w:r>
      <w:r w:rsidR="00575DA6" w:rsidRPr="004E2493">
        <w:rPr>
          <w:rFonts w:ascii="Arial" w:hAnsi="Arial" w:cs="Arial"/>
          <w:b/>
          <w:bCs/>
          <w:color w:val="000000" w:themeColor="text1"/>
        </w:rPr>
        <w:t>.</w:t>
      </w:r>
      <w:r w:rsidRPr="004E2493">
        <w:rPr>
          <w:rFonts w:ascii="Arial" w:hAnsi="Arial" w:cs="Arial"/>
          <w:b/>
          <w:bCs/>
          <w:color w:val="000000" w:themeColor="text1"/>
        </w:rPr>
        <w:t xml:space="preserve"> Arsenic (As) Concentration by Sample</w:t>
      </w:r>
    </w:p>
    <w:p w14:paraId="77E29EB1" w14:textId="6D2B19D0" w:rsidR="00575DA6" w:rsidRPr="004E2493" w:rsidRDefault="00206441" w:rsidP="00940FEE">
      <w:pPr>
        <w:jc w:val="both"/>
        <w:rPr>
          <w:rFonts w:ascii="Arial" w:hAnsi="Arial" w:cs="Arial"/>
          <w:b/>
          <w:bCs/>
          <w:color w:val="000000" w:themeColor="text1"/>
        </w:rPr>
      </w:pPr>
      <w:r w:rsidRPr="004E2493">
        <w:rPr>
          <w:rFonts w:ascii="Arial" w:hAnsi="Arial" w:cs="Arial"/>
          <w:b/>
          <w:bCs/>
          <w:color w:val="000000" w:themeColor="text1"/>
        </w:rPr>
        <w:t>S</w:t>
      </w:r>
    </w:p>
    <w:p w14:paraId="7199FD33" w14:textId="77777777" w:rsidR="00575DA6" w:rsidRPr="004E2493" w:rsidRDefault="00575DA6" w:rsidP="00940FEE">
      <w:pPr>
        <w:jc w:val="both"/>
        <w:rPr>
          <w:rFonts w:ascii="Arial" w:hAnsi="Arial" w:cs="Arial"/>
          <w:b/>
          <w:bCs/>
          <w:color w:val="000000" w:themeColor="text1"/>
        </w:rPr>
      </w:pPr>
    </w:p>
    <w:p w14:paraId="053C82F2" w14:textId="76889A72"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Cadmium (Cd)</w:t>
      </w:r>
    </w:p>
    <w:p w14:paraId="7D783DE6" w14:textId="0A833918"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Cadmium is extremely toxic even at very low doses. It often originates from industrial activity, </w:t>
      </w:r>
      <w:r w:rsidRPr="0024788F">
        <w:rPr>
          <w:rFonts w:ascii="Arial" w:hAnsi="Arial" w:cs="Arial"/>
          <w:color w:val="000000" w:themeColor="text1"/>
          <w:highlight w:val="yellow"/>
        </w:rPr>
        <w:t xml:space="preserve">phosphate </w:t>
      </w:r>
      <w:r w:rsidR="00322949" w:rsidRPr="0024788F">
        <w:rPr>
          <w:rFonts w:ascii="Arial" w:hAnsi="Arial" w:cs="Arial"/>
          <w:color w:val="000000" w:themeColor="text1"/>
          <w:highlight w:val="yellow"/>
        </w:rPr>
        <w:t>fertili</w:t>
      </w:r>
      <w:r w:rsidR="00322949" w:rsidRPr="0024788F">
        <w:rPr>
          <w:rFonts w:ascii="Arial" w:hAnsi="Arial" w:cs="Arial"/>
          <w:color w:val="000000" w:themeColor="text1"/>
          <w:highlight w:val="yellow"/>
        </w:rPr>
        <w:t>s</w:t>
      </w:r>
      <w:r w:rsidR="00322949" w:rsidRPr="0024788F">
        <w:rPr>
          <w:rFonts w:ascii="Arial" w:hAnsi="Arial" w:cs="Arial"/>
          <w:color w:val="000000" w:themeColor="text1"/>
          <w:highlight w:val="yellow"/>
        </w:rPr>
        <w:t>ers</w:t>
      </w:r>
      <w:r w:rsidRPr="0024788F">
        <w:rPr>
          <w:rFonts w:ascii="Arial" w:hAnsi="Arial" w:cs="Arial"/>
          <w:color w:val="000000" w:themeColor="text1"/>
          <w:highlight w:val="yellow"/>
        </w:rPr>
        <w:t>, or t</w:t>
      </w:r>
      <w:r w:rsidRPr="004E2493">
        <w:rPr>
          <w:rFonts w:ascii="Arial" w:hAnsi="Arial" w:cs="Arial"/>
          <w:color w:val="000000" w:themeColor="text1"/>
        </w:rPr>
        <w:t xml:space="preserve">he combustion of fossil fuels. In this study, cadmium was not detected in any of the samples. Probable causes of this non-detection include the absence or very low levels of cadmium in the area, and the XRF’s limited ability to detect cadmium below 1 mg/kg. The AFNOR U44-041 standard generally sets the Cd limit at 2 mg/kg for agricultural soils. A study by Béavogui et al. (2021) on urban soils in Conakry showed that Cd concentrations were often below 2 mg/kg, confirming that this type of metal may remain undetectable depending on the method used. This is shown in </w:t>
      </w:r>
      <w:r w:rsidR="00206441" w:rsidRPr="0024788F">
        <w:rPr>
          <w:rFonts w:ascii="Arial" w:hAnsi="Arial" w:cs="Arial"/>
          <w:color w:val="000000" w:themeColor="text1"/>
          <w:highlight w:val="yellow"/>
        </w:rPr>
        <w:t>Fig.</w:t>
      </w:r>
      <w:r w:rsidR="0047595E" w:rsidRPr="0024788F">
        <w:rPr>
          <w:rFonts w:ascii="Arial" w:hAnsi="Arial" w:cs="Arial"/>
          <w:color w:val="000000" w:themeColor="text1"/>
          <w:highlight w:val="yellow"/>
        </w:rPr>
        <w:t xml:space="preserve"> 7</w:t>
      </w:r>
      <w:r w:rsidRPr="0024788F">
        <w:rPr>
          <w:rFonts w:ascii="Arial" w:hAnsi="Arial" w:cs="Arial"/>
          <w:color w:val="000000" w:themeColor="text1"/>
          <w:highlight w:val="yellow"/>
        </w:rPr>
        <w:t xml:space="preserve"> below.</w:t>
      </w:r>
    </w:p>
    <w:p w14:paraId="32FB9176" w14:textId="77777777" w:rsidR="00575DA6" w:rsidRPr="004E2493" w:rsidRDefault="00575DA6" w:rsidP="00940FEE">
      <w:pPr>
        <w:jc w:val="both"/>
        <w:rPr>
          <w:rFonts w:ascii="Arial" w:hAnsi="Arial" w:cs="Arial"/>
          <w:color w:val="000000" w:themeColor="text1"/>
        </w:rPr>
      </w:pPr>
    </w:p>
    <w:p w14:paraId="08EBA568" w14:textId="12DD4AC6" w:rsidR="00940FEE" w:rsidRPr="004E2493" w:rsidRDefault="00940FEE" w:rsidP="00940FEE">
      <w:pPr>
        <w:jc w:val="both"/>
        <w:rPr>
          <w:rFonts w:ascii="Arial" w:hAnsi="Arial" w:cs="Arial"/>
          <w:color w:val="000000" w:themeColor="text1"/>
        </w:rPr>
      </w:pPr>
      <w:r w:rsidRPr="004E2493">
        <w:rPr>
          <w:rFonts w:ascii="Arial" w:hAnsi="Arial" w:cs="Arial"/>
          <w:noProof/>
          <w:color w:val="000000" w:themeColor="text1"/>
        </w:rPr>
        <w:drawing>
          <wp:inline distT="0" distB="0" distL="0" distR="0" wp14:anchorId="6FB3DBD6" wp14:editId="205FB631">
            <wp:extent cx="5205730" cy="2320925"/>
            <wp:effectExtent l="0" t="0" r="0" b="0"/>
            <wp:docPr id="678471574"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5559DEE" w14:textId="77777777" w:rsidR="00575DA6" w:rsidRPr="004E2493" w:rsidRDefault="00575DA6" w:rsidP="00940FEE">
      <w:pPr>
        <w:jc w:val="both"/>
        <w:rPr>
          <w:rFonts w:ascii="Arial" w:hAnsi="Arial" w:cs="Arial"/>
          <w:i/>
          <w:iCs/>
          <w:color w:val="000000" w:themeColor="text1"/>
        </w:rPr>
      </w:pPr>
    </w:p>
    <w:p w14:paraId="53353C34" w14:textId="49E47FB5"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Fig</w:t>
      </w:r>
      <w:r w:rsidR="00575DA6" w:rsidRPr="004E2493">
        <w:rPr>
          <w:rFonts w:ascii="Arial" w:hAnsi="Arial" w:cs="Arial"/>
          <w:b/>
          <w:bCs/>
          <w:color w:val="000000" w:themeColor="text1"/>
        </w:rPr>
        <w:t>.</w:t>
      </w:r>
      <w:r w:rsidRPr="004E2493">
        <w:rPr>
          <w:rFonts w:ascii="Arial" w:hAnsi="Arial" w:cs="Arial"/>
          <w:b/>
          <w:bCs/>
          <w:color w:val="000000" w:themeColor="text1"/>
        </w:rPr>
        <w:t>7</w:t>
      </w:r>
      <w:r w:rsidR="00575DA6" w:rsidRPr="004E2493">
        <w:rPr>
          <w:rFonts w:ascii="Arial" w:hAnsi="Arial" w:cs="Arial"/>
          <w:b/>
          <w:bCs/>
          <w:color w:val="000000" w:themeColor="text1"/>
        </w:rPr>
        <w:t>.</w:t>
      </w:r>
      <w:r w:rsidRPr="004E2493">
        <w:rPr>
          <w:rFonts w:ascii="Arial" w:hAnsi="Arial" w:cs="Arial"/>
          <w:b/>
          <w:bCs/>
          <w:color w:val="000000" w:themeColor="text1"/>
        </w:rPr>
        <w:t xml:space="preserve"> Cadmium (Cd) Concentration by Sample</w:t>
      </w:r>
    </w:p>
    <w:p w14:paraId="086CA577" w14:textId="77777777" w:rsidR="004811BA" w:rsidRPr="004E2493" w:rsidRDefault="004811BA" w:rsidP="00940FEE">
      <w:pPr>
        <w:jc w:val="both"/>
        <w:rPr>
          <w:rFonts w:ascii="Arial" w:hAnsi="Arial" w:cs="Arial"/>
          <w:b/>
          <w:bCs/>
          <w:color w:val="000000" w:themeColor="text1"/>
        </w:rPr>
      </w:pPr>
    </w:p>
    <w:p w14:paraId="2D69D972" w14:textId="77777777" w:rsidR="004811BA" w:rsidRPr="004E2493" w:rsidRDefault="004811BA" w:rsidP="00940FEE">
      <w:pPr>
        <w:jc w:val="both"/>
        <w:rPr>
          <w:rFonts w:ascii="Arial" w:hAnsi="Arial" w:cs="Arial"/>
          <w:b/>
          <w:bCs/>
          <w:color w:val="000000" w:themeColor="text1"/>
        </w:rPr>
      </w:pPr>
    </w:p>
    <w:p w14:paraId="3C538449" w14:textId="71177ED6" w:rsidR="00940FEE" w:rsidRPr="004E2493" w:rsidRDefault="00940FEE" w:rsidP="00940FEE">
      <w:pPr>
        <w:jc w:val="both"/>
        <w:rPr>
          <w:rFonts w:ascii="Arial" w:hAnsi="Arial" w:cs="Arial"/>
          <w:i/>
          <w:iCs/>
          <w:color w:val="000000" w:themeColor="text1"/>
        </w:rPr>
      </w:pPr>
      <w:r w:rsidRPr="004E2493">
        <w:rPr>
          <w:rFonts w:ascii="Arial" w:hAnsi="Arial" w:cs="Arial"/>
          <w:b/>
          <w:bCs/>
          <w:color w:val="000000" w:themeColor="text1"/>
        </w:rPr>
        <w:t>Mercury (Hg)</w:t>
      </w:r>
    </w:p>
    <w:p w14:paraId="6B06C5D9"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Mercury is one of the most dangerous pollutants to human health and ecosystems. In all samples, mercury was below the detection limit. This absence may indicate that the area was not exposed to industrial sources, or that the XRF method is not sensitive enough to detect the low typical concentrations of mercury.</w:t>
      </w:r>
    </w:p>
    <w:p w14:paraId="7DE11428" w14:textId="7F717C4B"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The standard for mercury in agricultural soils is 1 mg/kg according to the soil cultivation guidelines. A study by Zongo et al. (2020) in artisanal mining areas in central-northern Burkina Faso measured average Hg concentrations of 0.14 mg/kg in contaminated soils and &lt;0.02 mg/kg in unexposed zones. These low levels corroborate the non-detection observed in the present study. The histogram</w:t>
      </w:r>
      <w:r w:rsidR="00322949">
        <w:rPr>
          <w:rFonts w:ascii="Arial" w:hAnsi="Arial" w:cs="Arial"/>
          <w:color w:val="000000" w:themeColor="text1"/>
        </w:rPr>
        <w:t>,</w:t>
      </w:r>
      <w:r w:rsidRPr="004E2493">
        <w:rPr>
          <w:rFonts w:ascii="Arial" w:hAnsi="Arial" w:cs="Arial"/>
          <w:color w:val="000000" w:themeColor="text1"/>
        </w:rPr>
        <w:t xml:space="preserve"> </w:t>
      </w:r>
      <w:r w:rsidR="00AF0B98" w:rsidRPr="004E2493">
        <w:rPr>
          <w:rFonts w:ascii="Arial" w:hAnsi="Arial" w:cs="Arial"/>
          <w:color w:val="000000" w:themeColor="text1"/>
        </w:rPr>
        <w:t xml:space="preserve">as </w:t>
      </w:r>
      <w:r w:rsidRPr="004E2493">
        <w:rPr>
          <w:rFonts w:ascii="Arial" w:hAnsi="Arial" w:cs="Arial"/>
          <w:color w:val="000000" w:themeColor="text1"/>
        </w:rPr>
        <w:t>show</w:t>
      </w:r>
      <w:r w:rsidR="00AF0B98" w:rsidRPr="004E2493">
        <w:rPr>
          <w:rFonts w:ascii="Arial" w:hAnsi="Arial" w:cs="Arial"/>
          <w:color w:val="000000" w:themeColor="text1"/>
        </w:rPr>
        <w:t>n in Fi</w:t>
      </w:r>
      <w:r w:rsidR="00206441" w:rsidRPr="004E2493">
        <w:rPr>
          <w:rFonts w:ascii="Arial" w:hAnsi="Arial" w:cs="Arial"/>
          <w:color w:val="000000" w:themeColor="text1"/>
        </w:rPr>
        <w:t xml:space="preserve">g. </w:t>
      </w:r>
      <w:r w:rsidR="00AF0B98" w:rsidRPr="004E2493">
        <w:rPr>
          <w:rFonts w:ascii="Arial" w:hAnsi="Arial" w:cs="Arial"/>
          <w:color w:val="000000" w:themeColor="text1"/>
        </w:rPr>
        <w:t>8</w:t>
      </w:r>
      <w:r w:rsidR="00322949">
        <w:rPr>
          <w:rFonts w:ascii="Arial" w:hAnsi="Arial" w:cs="Arial"/>
          <w:color w:val="000000" w:themeColor="text1"/>
        </w:rPr>
        <w:t>,</w:t>
      </w:r>
      <w:r w:rsidR="00AF0B98" w:rsidRPr="004E2493">
        <w:rPr>
          <w:rFonts w:ascii="Arial" w:hAnsi="Arial" w:cs="Arial"/>
          <w:color w:val="000000" w:themeColor="text1"/>
        </w:rPr>
        <w:t xml:space="preserve"> illustrates </w:t>
      </w:r>
      <w:r w:rsidRPr="004E2493">
        <w:rPr>
          <w:rFonts w:ascii="Arial" w:hAnsi="Arial" w:cs="Arial"/>
          <w:color w:val="000000" w:themeColor="text1"/>
        </w:rPr>
        <w:t>that mercury was not detected in the samples.</w:t>
      </w:r>
    </w:p>
    <w:p w14:paraId="3ECF4C53" w14:textId="32C83261" w:rsidR="00940FEE" w:rsidRPr="004E2493" w:rsidRDefault="00940FEE" w:rsidP="00940FEE">
      <w:pPr>
        <w:jc w:val="both"/>
        <w:rPr>
          <w:rFonts w:ascii="Arial" w:hAnsi="Arial" w:cs="Arial"/>
          <w:color w:val="000000" w:themeColor="text1"/>
        </w:rPr>
      </w:pPr>
      <w:r w:rsidRPr="004E2493">
        <w:rPr>
          <w:rFonts w:ascii="Arial" w:hAnsi="Arial" w:cs="Arial"/>
          <w:noProof/>
          <w:color w:val="000000" w:themeColor="text1"/>
        </w:rPr>
        <w:lastRenderedPageBreak/>
        <w:drawing>
          <wp:inline distT="0" distB="0" distL="0" distR="0" wp14:anchorId="62059375" wp14:editId="67B3CB41">
            <wp:extent cx="5494020" cy="2453640"/>
            <wp:effectExtent l="0" t="0" r="0" b="0"/>
            <wp:docPr id="166701180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2AA4A98" w14:textId="77777777" w:rsidR="00575DA6" w:rsidRPr="004E2493" w:rsidRDefault="00575DA6" w:rsidP="00940FEE">
      <w:pPr>
        <w:jc w:val="both"/>
        <w:rPr>
          <w:rFonts w:ascii="Arial" w:hAnsi="Arial" w:cs="Arial"/>
          <w:i/>
          <w:iCs/>
          <w:color w:val="000000" w:themeColor="text1"/>
        </w:rPr>
      </w:pPr>
    </w:p>
    <w:p w14:paraId="31AFE77E" w14:textId="2D647C9C"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Fig</w:t>
      </w:r>
      <w:r w:rsidR="00575DA6" w:rsidRPr="004E2493">
        <w:rPr>
          <w:rFonts w:ascii="Arial" w:hAnsi="Arial" w:cs="Arial"/>
          <w:b/>
          <w:bCs/>
          <w:color w:val="000000" w:themeColor="text1"/>
        </w:rPr>
        <w:t>.</w:t>
      </w:r>
      <w:r w:rsidRPr="004E2493">
        <w:rPr>
          <w:rFonts w:ascii="Arial" w:hAnsi="Arial" w:cs="Arial"/>
          <w:b/>
          <w:bCs/>
          <w:color w:val="000000" w:themeColor="text1"/>
        </w:rPr>
        <w:t>8</w:t>
      </w:r>
      <w:r w:rsidR="00575DA6" w:rsidRPr="004E2493">
        <w:rPr>
          <w:rFonts w:ascii="Arial" w:hAnsi="Arial" w:cs="Arial"/>
          <w:b/>
          <w:bCs/>
          <w:color w:val="000000" w:themeColor="text1"/>
        </w:rPr>
        <w:t>.</w:t>
      </w:r>
      <w:r w:rsidRPr="004E2493">
        <w:rPr>
          <w:rFonts w:ascii="Arial" w:hAnsi="Arial" w:cs="Arial"/>
          <w:b/>
          <w:bCs/>
          <w:color w:val="000000" w:themeColor="text1"/>
        </w:rPr>
        <w:t xml:space="preserve"> Mercury (Hg) Concentration by Sample</w:t>
      </w:r>
    </w:p>
    <w:p w14:paraId="4450905C" w14:textId="77777777" w:rsidR="00940FEE" w:rsidRPr="004E2493" w:rsidRDefault="00940FEE" w:rsidP="00940FEE">
      <w:pPr>
        <w:jc w:val="both"/>
        <w:rPr>
          <w:rFonts w:ascii="Arial" w:hAnsi="Arial" w:cs="Arial"/>
          <w:color w:val="000000" w:themeColor="text1"/>
        </w:rPr>
      </w:pPr>
    </w:p>
    <w:p w14:paraId="61BEED1D" w14:textId="77777777"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Lead (Pb)</w:t>
      </w:r>
    </w:p>
    <w:p w14:paraId="7E0108DA" w14:textId="567AAB9A" w:rsidR="00206441" w:rsidRPr="004E2493" w:rsidRDefault="00940FEE" w:rsidP="00940FEE">
      <w:pPr>
        <w:jc w:val="both"/>
        <w:rPr>
          <w:rFonts w:ascii="Arial" w:hAnsi="Arial" w:cs="Arial"/>
          <w:color w:val="000000" w:themeColor="text1"/>
        </w:rPr>
      </w:pPr>
      <w:r w:rsidRPr="004E2493">
        <w:rPr>
          <w:rFonts w:ascii="Arial" w:hAnsi="Arial" w:cs="Arial"/>
          <w:color w:val="000000" w:themeColor="text1"/>
        </w:rPr>
        <w:t>Lead is one of the most toxic metals, even at low concentrations. Lead (Pb) concentrations ranged from 44.74 mg/kg to 167.82 mg/kg, with an average of 80.91 mg/kg. The highest value was observed in Sample 8, and the lowest in Sample 7. XRF analysis reveals concerning concentrations in several samples, especially Samples 5 and 8. Lead presence could be due to runoff of leaded oils or fuels</w:t>
      </w:r>
      <w:r w:rsidR="00322949">
        <w:rPr>
          <w:rFonts w:ascii="Arial" w:hAnsi="Arial" w:cs="Arial"/>
          <w:color w:val="000000" w:themeColor="text1"/>
        </w:rPr>
        <w:t>,</w:t>
      </w:r>
      <w:r w:rsidRPr="004E2493">
        <w:rPr>
          <w:rFonts w:ascii="Arial" w:hAnsi="Arial" w:cs="Arial"/>
          <w:color w:val="000000" w:themeColor="text1"/>
        </w:rPr>
        <w:t xml:space="preserve"> or residues from mining or artisanal activities. The Burkinabe standard (based on AFNOR U44-041) for cultivated soils limits lead concentration to 100 mg/kg. The values observed in this study therefore indicate a real risk, particularly if the lead is bioavailable (i.e., assimilable by plants). A study by Nacoulma et al. (2015) on soils near artisanal mining sites in </w:t>
      </w:r>
      <w:r w:rsidRPr="0024788F">
        <w:rPr>
          <w:rFonts w:ascii="Arial" w:hAnsi="Arial" w:cs="Arial"/>
          <w:color w:val="000000" w:themeColor="text1"/>
          <w:highlight w:val="yellow"/>
        </w:rPr>
        <w:t>the Gaoua region report</w:t>
      </w:r>
      <w:r w:rsidRPr="004E2493">
        <w:rPr>
          <w:rFonts w:ascii="Arial" w:hAnsi="Arial" w:cs="Arial"/>
          <w:color w:val="000000" w:themeColor="text1"/>
        </w:rPr>
        <w:t xml:space="preserve">ed lead levels up to 210 mg/kg. These results confirm the potential for significant lead pollution in similar contexts. </w:t>
      </w:r>
      <w:r w:rsidR="00206441" w:rsidRPr="004E2493">
        <w:rPr>
          <w:rFonts w:ascii="Arial" w:hAnsi="Arial" w:cs="Arial"/>
          <w:color w:val="000000" w:themeColor="text1"/>
        </w:rPr>
        <w:t xml:space="preserve">Fig. 9 </w:t>
      </w:r>
      <w:r w:rsidRPr="004E2493">
        <w:rPr>
          <w:rFonts w:ascii="Arial" w:hAnsi="Arial" w:cs="Arial"/>
          <w:color w:val="000000" w:themeColor="text1"/>
        </w:rPr>
        <w:t>illustrates the lead concentration in the samples</w:t>
      </w:r>
      <w:r w:rsidR="00206441" w:rsidRPr="004E2493">
        <w:rPr>
          <w:rFonts w:ascii="Arial" w:hAnsi="Arial" w:cs="Arial"/>
          <w:color w:val="000000" w:themeColor="text1"/>
        </w:rPr>
        <w:t>.</w:t>
      </w:r>
    </w:p>
    <w:p w14:paraId="09C91873" w14:textId="60C844B7" w:rsidR="00940FEE" w:rsidRPr="004E2493" w:rsidRDefault="00206441" w:rsidP="00940FEE">
      <w:pPr>
        <w:jc w:val="both"/>
        <w:rPr>
          <w:rFonts w:ascii="Arial" w:hAnsi="Arial" w:cs="Arial"/>
          <w:color w:val="000000" w:themeColor="text1"/>
        </w:rPr>
      </w:pPr>
      <w:r w:rsidRPr="004E2493">
        <w:rPr>
          <w:rFonts w:ascii="Arial" w:hAnsi="Arial" w:cs="Arial"/>
          <w:color w:val="000000" w:themeColor="text1"/>
        </w:rPr>
        <w:t xml:space="preserve"> </w:t>
      </w:r>
      <w:r w:rsidR="00940FEE" w:rsidRPr="004E2493">
        <w:rPr>
          <w:rFonts w:ascii="Arial" w:hAnsi="Arial" w:cs="Arial"/>
          <w:noProof/>
          <w:color w:val="000000" w:themeColor="text1"/>
        </w:rPr>
        <w:drawing>
          <wp:inline distT="0" distB="0" distL="0" distR="0" wp14:anchorId="0AF6CCF1" wp14:editId="7419FE0C">
            <wp:extent cx="5707380" cy="2522220"/>
            <wp:effectExtent l="0" t="0" r="0" b="0"/>
            <wp:docPr id="157409352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33844A4" w14:textId="77777777" w:rsidR="00575DA6" w:rsidRPr="004E2493" w:rsidRDefault="00575DA6" w:rsidP="00940FEE">
      <w:pPr>
        <w:jc w:val="both"/>
        <w:rPr>
          <w:rFonts w:ascii="Arial" w:hAnsi="Arial" w:cs="Arial"/>
          <w:i/>
          <w:iCs/>
          <w:color w:val="000000" w:themeColor="text1"/>
        </w:rPr>
      </w:pPr>
    </w:p>
    <w:p w14:paraId="02BBA35C" w14:textId="1C094AD5"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Fig</w:t>
      </w:r>
      <w:r w:rsidR="00575DA6" w:rsidRPr="004E2493">
        <w:rPr>
          <w:rFonts w:ascii="Arial" w:hAnsi="Arial" w:cs="Arial"/>
          <w:b/>
          <w:bCs/>
          <w:color w:val="000000" w:themeColor="text1"/>
        </w:rPr>
        <w:t>.</w:t>
      </w:r>
      <w:r w:rsidRPr="004E2493">
        <w:rPr>
          <w:rFonts w:ascii="Arial" w:hAnsi="Arial" w:cs="Arial"/>
          <w:b/>
          <w:bCs/>
          <w:color w:val="000000" w:themeColor="text1"/>
        </w:rPr>
        <w:t>9</w:t>
      </w:r>
      <w:r w:rsidR="00575DA6" w:rsidRPr="004E2493">
        <w:rPr>
          <w:rFonts w:ascii="Arial" w:hAnsi="Arial" w:cs="Arial"/>
          <w:b/>
          <w:bCs/>
          <w:color w:val="000000" w:themeColor="text1"/>
        </w:rPr>
        <w:t>.</w:t>
      </w:r>
      <w:r w:rsidRPr="004E2493">
        <w:rPr>
          <w:rFonts w:ascii="Arial" w:hAnsi="Arial" w:cs="Arial"/>
          <w:b/>
          <w:bCs/>
          <w:color w:val="000000" w:themeColor="text1"/>
        </w:rPr>
        <w:t xml:space="preserve"> Lead (Pb) Concentration by Sample</w:t>
      </w:r>
    </w:p>
    <w:p w14:paraId="7376C102" w14:textId="77777777" w:rsidR="00940FEE" w:rsidRPr="004E2493" w:rsidRDefault="00940FEE" w:rsidP="00940FEE">
      <w:pPr>
        <w:jc w:val="both"/>
        <w:rPr>
          <w:rFonts w:ascii="Arial" w:hAnsi="Arial" w:cs="Arial"/>
          <w:color w:val="000000" w:themeColor="text1"/>
        </w:rPr>
      </w:pPr>
    </w:p>
    <w:p w14:paraId="56391E1D" w14:textId="77777777" w:rsidR="00575DA6" w:rsidRPr="004E2493" w:rsidRDefault="00575DA6" w:rsidP="00940FEE">
      <w:pPr>
        <w:jc w:val="both"/>
        <w:rPr>
          <w:rFonts w:ascii="Arial" w:hAnsi="Arial" w:cs="Arial"/>
          <w:b/>
          <w:bCs/>
          <w:color w:val="000000" w:themeColor="text1"/>
        </w:rPr>
      </w:pPr>
    </w:p>
    <w:p w14:paraId="2DD75999" w14:textId="41402E32" w:rsidR="00940FEE" w:rsidRPr="004E2493" w:rsidRDefault="00940FEE" w:rsidP="00940FEE">
      <w:pPr>
        <w:jc w:val="both"/>
        <w:rPr>
          <w:rFonts w:ascii="Arial" w:hAnsi="Arial" w:cs="Arial"/>
          <w:b/>
          <w:bCs/>
          <w:color w:val="000000" w:themeColor="text1"/>
        </w:rPr>
      </w:pPr>
      <w:r w:rsidRPr="004E2493">
        <w:rPr>
          <w:rFonts w:ascii="Arial" w:hAnsi="Arial" w:cs="Arial"/>
          <w:b/>
          <w:bCs/>
          <w:color w:val="000000" w:themeColor="text1"/>
        </w:rPr>
        <w:t>Global Analysis of Heavy Metals in the Samples</w:t>
      </w:r>
    </w:p>
    <w:p w14:paraId="39951454" w14:textId="7777777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The global analysis of the eight samples reveals a significant presence of several heavy metals. Elements such as Chromium, Copper, Zinc, and Lead show relatively high concentrations in certain samples, which may represent a non-negligible environmental risk. The absence of detectable levels (&lt;LOD) of Cobalt, Cadmium, and Mercury in all samples suggests they are present at levels below the detection limits of the equipment used. This heterogeneity in concentrations highlights the importance of implementing a differentiated management strategy for contaminated soils.</w:t>
      </w:r>
    </w:p>
    <w:p w14:paraId="2739BAE0" w14:textId="673202D7" w:rsidR="00940FEE" w:rsidRPr="004E2493" w:rsidRDefault="00940FEE" w:rsidP="00940FEE">
      <w:pPr>
        <w:jc w:val="both"/>
        <w:rPr>
          <w:rFonts w:ascii="Arial" w:hAnsi="Arial" w:cs="Arial"/>
          <w:color w:val="000000" w:themeColor="text1"/>
        </w:rPr>
      </w:pPr>
      <w:r w:rsidRPr="004E2493">
        <w:rPr>
          <w:rFonts w:ascii="Arial" w:hAnsi="Arial" w:cs="Arial"/>
          <w:color w:val="000000" w:themeColor="text1"/>
        </w:rPr>
        <w:t xml:space="preserve">Phytoremediation could be considered for the most concentrated elements, taking into account plant species adapted to the </w:t>
      </w:r>
      <w:r w:rsidRPr="0024788F">
        <w:rPr>
          <w:rFonts w:ascii="Arial" w:hAnsi="Arial" w:cs="Arial"/>
          <w:color w:val="000000" w:themeColor="text1"/>
          <w:highlight w:val="yellow"/>
        </w:rPr>
        <w:t xml:space="preserve">extraction or </w:t>
      </w:r>
      <w:r w:rsidR="00550FCD" w:rsidRPr="0024788F">
        <w:rPr>
          <w:rFonts w:ascii="Arial" w:hAnsi="Arial" w:cs="Arial"/>
          <w:color w:val="000000" w:themeColor="text1"/>
          <w:highlight w:val="yellow"/>
        </w:rPr>
        <w:t>stabili</w:t>
      </w:r>
      <w:r w:rsidR="00550FCD" w:rsidRPr="0024788F">
        <w:rPr>
          <w:rFonts w:ascii="Arial" w:hAnsi="Arial" w:cs="Arial"/>
          <w:color w:val="000000" w:themeColor="text1"/>
          <w:highlight w:val="yellow"/>
        </w:rPr>
        <w:t>s</w:t>
      </w:r>
      <w:r w:rsidR="00550FCD" w:rsidRPr="0024788F">
        <w:rPr>
          <w:rFonts w:ascii="Arial" w:hAnsi="Arial" w:cs="Arial"/>
          <w:color w:val="000000" w:themeColor="text1"/>
          <w:highlight w:val="yellow"/>
        </w:rPr>
        <w:t xml:space="preserve">ation </w:t>
      </w:r>
      <w:r w:rsidRPr="0024788F">
        <w:rPr>
          <w:rFonts w:ascii="Arial" w:hAnsi="Arial" w:cs="Arial"/>
          <w:color w:val="000000" w:themeColor="text1"/>
          <w:highlight w:val="yellow"/>
        </w:rPr>
        <w:t>of specific</w:t>
      </w:r>
      <w:r w:rsidRPr="004E2493">
        <w:rPr>
          <w:rFonts w:ascii="Arial" w:hAnsi="Arial" w:cs="Arial"/>
          <w:color w:val="000000" w:themeColor="text1"/>
        </w:rPr>
        <w:t xml:space="preserve"> metals identified.</w:t>
      </w:r>
    </w:p>
    <w:p w14:paraId="009F7CF8" w14:textId="77777777" w:rsidR="00E053D0" w:rsidRPr="004E2493" w:rsidRDefault="00E053D0" w:rsidP="00441B6F">
      <w:pPr>
        <w:pStyle w:val="Body"/>
        <w:spacing w:after="0"/>
        <w:rPr>
          <w:rFonts w:ascii="Arial" w:hAnsi="Arial" w:cs="Arial"/>
          <w:color w:val="000000" w:themeColor="text1"/>
        </w:rPr>
      </w:pPr>
    </w:p>
    <w:p w14:paraId="0189D3D8" w14:textId="77777777" w:rsidR="00790ADA" w:rsidRPr="004E2493" w:rsidRDefault="00790ADA" w:rsidP="00441B6F">
      <w:pPr>
        <w:pStyle w:val="Body"/>
        <w:spacing w:after="0"/>
        <w:rPr>
          <w:rFonts w:ascii="Arial" w:hAnsi="Arial" w:cs="Arial"/>
          <w:color w:val="000000" w:themeColor="text1"/>
        </w:rPr>
      </w:pPr>
    </w:p>
    <w:p w14:paraId="1F90BD38" w14:textId="77777777" w:rsidR="00B01FCD" w:rsidRPr="004E2493" w:rsidRDefault="00000F8F" w:rsidP="00441B6F">
      <w:pPr>
        <w:pStyle w:val="ConcHead"/>
        <w:spacing w:after="0"/>
        <w:jc w:val="both"/>
        <w:rPr>
          <w:rFonts w:ascii="Arial" w:hAnsi="Arial" w:cs="Arial"/>
          <w:color w:val="000000" w:themeColor="text1"/>
        </w:rPr>
      </w:pPr>
      <w:r w:rsidRPr="004E2493">
        <w:rPr>
          <w:rFonts w:ascii="Arial" w:hAnsi="Arial" w:cs="Arial"/>
          <w:color w:val="000000" w:themeColor="text1"/>
        </w:rPr>
        <w:t xml:space="preserve">4. </w:t>
      </w:r>
      <w:r w:rsidR="00B01FCD" w:rsidRPr="004E2493">
        <w:rPr>
          <w:rFonts w:ascii="Arial" w:hAnsi="Arial" w:cs="Arial"/>
          <w:color w:val="000000" w:themeColor="text1"/>
        </w:rPr>
        <w:t>Conclusion</w:t>
      </w:r>
    </w:p>
    <w:p w14:paraId="5F7EC2F0" w14:textId="77777777" w:rsidR="00575DA6" w:rsidRPr="004E2493" w:rsidRDefault="00575DA6" w:rsidP="00536A48">
      <w:pPr>
        <w:jc w:val="both"/>
        <w:rPr>
          <w:rFonts w:ascii="Arial" w:hAnsi="Arial" w:cs="Arial"/>
          <w:color w:val="000000" w:themeColor="text1"/>
        </w:rPr>
      </w:pPr>
    </w:p>
    <w:p w14:paraId="2A8B7BDA" w14:textId="04A3E9FF" w:rsidR="00536A48" w:rsidRPr="004E2493" w:rsidRDefault="00536A48" w:rsidP="00536A48">
      <w:pPr>
        <w:jc w:val="both"/>
        <w:rPr>
          <w:rFonts w:ascii="Arial" w:hAnsi="Arial" w:cs="Arial"/>
          <w:color w:val="000000" w:themeColor="text1"/>
        </w:rPr>
      </w:pPr>
      <w:r w:rsidRPr="004E2493">
        <w:rPr>
          <w:rFonts w:ascii="Arial" w:hAnsi="Arial" w:cs="Arial"/>
          <w:color w:val="000000" w:themeColor="text1"/>
        </w:rPr>
        <w:t>This study focuses on evaluating soil and water management strategies in the truck gauging process at the Bureau of Mines and Geology of Burkina Faso (BUMIGEB). It addresses environmental issues related to the accumulation of hydrocarbons and heavy metals in the soil resulting from gauging activities. Field investigations, including site analysis and soil sampling, were conducted to assess the level of contamination. The overall analysis of eight samples revealed a significant presence of several heavy metals, such as Chromium</w:t>
      </w:r>
      <w:r w:rsidR="00550FCD">
        <w:rPr>
          <w:rFonts w:ascii="Arial" w:hAnsi="Arial" w:cs="Arial"/>
          <w:color w:val="000000" w:themeColor="text1"/>
        </w:rPr>
        <w:t>,</w:t>
      </w:r>
      <w:r w:rsidRPr="004E2493">
        <w:rPr>
          <w:rFonts w:ascii="Arial" w:hAnsi="Arial" w:cs="Arial"/>
          <w:color w:val="000000" w:themeColor="text1"/>
        </w:rPr>
        <w:t xml:space="preserve"> with a high concentration of 260.54 mg/kg in sample 5. Copper </w:t>
      </w:r>
      <w:r w:rsidRPr="0024788F">
        <w:rPr>
          <w:rFonts w:ascii="Arial" w:hAnsi="Arial" w:cs="Arial"/>
          <w:color w:val="000000" w:themeColor="text1"/>
          <w:highlight w:val="yellow"/>
        </w:rPr>
        <w:t xml:space="preserve">concentration peaked at 148.58 mg/kg in sample 8, Zinc at 677.32 mg/kg in sample 5, and </w:t>
      </w:r>
      <w:r w:rsidR="00550FCD" w:rsidRPr="0024788F">
        <w:rPr>
          <w:rFonts w:ascii="Arial" w:hAnsi="Arial" w:cs="Arial"/>
          <w:color w:val="000000" w:themeColor="text1"/>
          <w:highlight w:val="yellow"/>
        </w:rPr>
        <w:t>l</w:t>
      </w:r>
      <w:r w:rsidR="00550FCD" w:rsidRPr="0024788F">
        <w:rPr>
          <w:rFonts w:ascii="Arial" w:hAnsi="Arial" w:cs="Arial"/>
          <w:color w:val="000000" w:themeColor="text1"/>
          <w:highlight w:val="yellow"/>
        </w:rPr>
        <w:t xml:space="preserve">ead </w:t>
      </w:r>
      <w:r w:rsidRPr="0024788F">
        <w:rPr>
          <w:rFonts w:ascii="Arial" w:hAnsi="Arial" w:cs="Arial"/>
          <w:color w:val="000000" w:themeColor="text1"/>
          <w:highlight w:val="yellow"/>
        </w:rPr>
        <w:t>at 167.82</w:t>
      </w:r>
      <w:r w:rsidRPr="004E2493">
        <w:rPr>
          <w:rFonts w:ascii="Arial" w:hAnsi="Arial" w:cs="Arial"/>
          <w:color w:val="000000" w:themeColor="text1"/>
        </w:rPr>
        <w:t xml:space="preserve"> mg/kg in sample 8.</w:t>
      </w:r>
    </w:p>
    <w:p w14:paraId="441B3216" w14:textId="05FA5FA4" w:rsidR="00536A48" w:rsidRDefault="00536A48" w:rsidP="00536A48">
      <w:pPr>
        <w:jc w:val="both"/>
        <w:rPr>
          <w:rFonts w:ascii="Arial" w:hAnsi="Arial" w:cs="Arial"/>
          <w:color w:val="000000" w:themeColor="text1"/>
        </w:rPr>
      </w:pPr>
      <w:r w:rsidRPr="004E2493">
        <w:rPr>
          <w:rFonts w:ascii="Arial" w:hAnsi="Arial" w:cs="Arial"/>
          <w:color w:val="000000" w:themeColor="text1"/>
        </w:rPr>
        <w:t>To address this situation, phytoremediation is proposed as a sustainable, cost-effective, and environmentally friendly strategy. Plant species such as Vetiveria zizanioides, Helianthus annuus, and Brassica juncea were identified for their capacity to remediate contaminated soils. The study recommends the implementation of an integrated soil and water management approach, the development of an environmental monitoring plan, and awareness-raising actions for the sustainable restoration of the site.</w:t>
      </w:r>
    </w:p>
    <w:p w14:paraId="7133BF30" w14:textId="693A7F82" w:rsidR="00D932F7" w:rsidRDefault="00D932F7" w:rsidP="00536A48">
      <w:pPr>
        <w:jc w:val="both"/>
        <w:rPr>
          <w:rFonts w:ascii="Arial" w:hAnsi="Arial" w:cs="Arial"/>
          <w:color w:val="000000" w:themeColor="text1"/>
        </w:rPr>
      </w:pPr>
    </w:p>
    <w:p w14:paraId="555E9058" w14:textId="77777777" w:rsidR="00D932F7" w:rsidRPr="00394842" w:rsidRDefault="00D932F7" w:rsidP="00D932F7">
      <w:pPr>
        <w:rPr>
          <w:highlight w:val="yellow"/>
        </w:rPr>
      </w:pPr>
      <w:r w:rsidRPr="00394842">
        <w:rPr>
          <w:highlight w:val="yellow"/>
        </w:rPr>
        <w:t>Disclaimer (Artificial intelligence)</w:t>
      </w:r>
    </w:p>
    <w:p w14:paraId="27D45384" w14:textId="77777777" w:rsidR="00D932F7" w:rsidRPr="00394842" w:rsidRDefault="00D932F7" w:rsidP="00D932F7">
      <w:pPr>
        <w:rPr>
          <w:highlight w:val="yellow"/>
        </w:rPr>
      </w:pPr>
    </w:p>
    <w:p w14:paraId="1794B6BD" w14:textId="77777777" w:rsidR="00D932F7" w:rsidRPr="00394842" w:rsidRDefault="00D932F7" w:rsidP="00D932F7">
      <w:pPr>
        <w:rPr>
          <w:highlight w:val="yellow"/>
        </w:rPr>
      </w:pPr>
      <w:r w:rsidRPr="00394842">
        <w:rPr>
          <w:highlight w:val="yellow"/>
        </w:rPr>
        <w:t xml:space="preserve">Option 1: </w:t>
      </w:r>
    </w:p>
    <w:p w14:paraId="3F332496" w14:textId="77777777" w:rsidR="00D932F7" w:rsidRPr="00394842" w:rsidRDefault="00D932F7" w:rsidP="00D932F7">
      <w:pPr>
        <w:rPr>
          <w:highlight w:val="yellow"/>
        </w:rPr>
      </w:pPr>
    </w:p>
    <w:p w14:paraId="280F639D" w14:textId="77777777" w:rsidR="00D932F7" w:rsidRPr="00394842" w:rsidRDefault="00D932F7" w:rsidP="00D932F7">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716D3EB2" w14:textId="77777777" w:rsidR="00D932F7" w:rsidRPr="00394842" w:rsidRDefault="00D932F7" w:rsidP="00D932F7">
      <w:pPr>
        <w:rPr>
          <w:highlight w:val="yellow"/>
        </w:rPr>
      </w:pPr>
    </w:p>
    <w:p w14:paraId="4BD757ED" w14:textId="77777777" w:rsidR="002B685A" w:rsidRPr="004E2493" w:rsidRDefault="002B685A" w:rsidP="00441B6F">
      <w:pPr>
        <w:pStyle w:val="ReferHead"/>
        <w:spacing w:after="0"/>
        <w:jc w:val="both"/>
        <w:rPr>
          <w:rFonts w:ascii="Arial" w:hAnsi="Arial" w:cs="Arial"/>
          <w:b w:val="0"/>
          <w:caps w:val="0"/>
          <w:color w:val="000000" w:themeColor="text1"/>
          <w:sz w:val="20"/>
        </w:rPr>
      </w:pPr>
    </w:p>
    <w:p w14:paraId="587B31A9" w14:textId="77777777" w:rsidR="00860000" w:rsidRPr="004E2493" w:rsidRDefault="00860000" w:rsidP="00441B6F">
      <w:pPr>
        <w:pStyle w:val="ReferHead"/>
        <w:spacing w:after="0"/>
        <w:jc w:val="both"/>
        <w:rPr>
          <w:rFonts w:ascii="Arial" w:hAnsi="Arial" w:cs="Arial"/>
          <w:color w:val="000000" w:themeColor="text1"/>
        </w:rPr>
      </w:pPr>
    </w:p>
    <w:p w14:paraId="092D0B52" w14:textId="77777777" w:rsidR="00B01FCD" w:rsidRPr="004E2493" w:rsidRDefault="00B01FCD" w:rsidP="00441B6F">
      <w:pPr>
        <w:pStyle w:val="ReferHead"/>
        <w:spacing w:after="0"/>
        <w:jc w:val="both"/>
        <w:rPr>
          <w:rFonts w:ascii="Arial" w:hAnsi="Arial" w:cs="Arial"/>
          <w:color w:val="000000" w:themeColor="text1"/>
        </w:rPr>
      </w:pPr>
      <w:r w:rsidRPr="004E2493">
        <w:rPr>
          <w:rFonts w:ascii="Arial" w:hAnsi="Arial" w:cs="Arial"/>
          <w:color w:val="000000" w:themeColor="text1"/>
        </w:rPr>
        <w:t>References</w:t>
      </w:r>
    </w:p>
    <w:p w14:paraId="201803FC" w14:textId="77777777" w:rsidR="00790ADA" w:rsidRPr="004E2493" w:rsidRDefault="00790ADA" w:rsidP="00441B6F">
      <w:pPr>
        <w:pStyle w:val="ReferHead"/>
        <w:spacing w:after="0"/>
        <w:jc w:val="both"/>
        <w:rPr>
          <w:rFonts w:ascii="Arial" w:hAnsi="Arial" w:cs="Arial"/>
          <w:color w:val="000000" w:themeColor="text1"/>
        </w:rPr>
      </w:pPr>
    </w:p>
    <w:p w14:paraId="32F826D9" w14:textId="77777777" w:rsidR="00790ADA" w:rsidRPr="004E2493" w:rsidRDefault="00790ADA" w:rsidP="00441B6F">
      <w:pPr>
        <w:pStyle w:val="Body"/>
        <w:spacing w:after="0"/>
        <w:rPr>
          <w:rFonts w:ascii="Arial" w:hAnsi="Arial" w:cs="Arial"/>
          <w:color w:val="000000" w:themeColor="text1"/>
        </w:rPr>
      </w:pPr>
    </w:p>
    <w:p w14:paraId="13D69BB0" w14:textId="77777777" w:rsidR="009A51DE" w:rsidRPr="009A51DE" w:rsidRDefault="009A51DE" w:rsidP="009A51DE">
      <w:pPr>
        <w:pStyle w:val="Body"/>
        <w:rPr>
          <w:color w:val="000000" w:themeColor="text1"/>
        </w:rPr>
      </w:pPr>
      <w:r w:rsidRPr="009A51DE">
        <w:rPr>
          <w:color w:val="000000" w:themeColor="text1"/>
        </w:rPr>
        <w:t>Abbas, A., Bensitel, M., &amp; Bouabdallah, A. (2021). Soil contamination by heavy metals at gas stations: The case of the Wilaya of Bouira (Algeria). European Scientific Journal, 17(9), 47-65.</w:t>
      </w:r>
    </w:p>
    <w:p w14:paraId="2B1F7586" w14:textId="23B4DDD8" w:rsidR="009A51DE" w:rsidRPr="009A51DE" w:rsidRDefault="0014140E" w:rsidP="009A51DE">
      <w:pPr>
        <w:pStyle w:val="Body"/>
        <w:rPr>
          <w:color w:val="000000" w:themeColor="text1"/>
        </w:rPr>
      </w:pPr>
      <w:r w:rsidRPr="00192370">
        <w:rPr>
          <w:color w:val="000000" w:themeColor="text1"/>
          <w:highlight w:val="yellow"/>
        </w:rPr>
        <w:t>Abdulilah, H.A.Q., Ali Abed Al-Asafi, E., Hameed, A.T.2019.Role of rhizobia (Rhizobium meliloti ) of alfalfa in the bioremediation of contaminated soil with hydrocarbons.Plant Archives, 2019, 19, pp. 146–152.</w:t>
      </w:r>
    </w:p>
    <w:p w14:paraId="70EC4D33" w14:textId="77777777" w:rsidR="009A51DE" w:rsidRPr="009A51DE" w:rsidRDefault="009A51DE" w:rsidP="009A51DE">
      <w:pPr>
        <w:pStyle w:val="Body"/>
        <w:rPr>
          <w:color w:val="000000" w:themeColor="text1"/>
        </w:rPr>
      </w:pPr>
      <w:r w:rsidRPr="009A51DE">
        <w:rPr>
          <w:color w:val="000000" w:themeColor="text1"/>
        </w:rPr>
        <w:t>Atlas, R. M., &amp; Hazen, T. C. (2011). Oil biodegradation and bioremediation: a tale of the two worst spills in US history. Environmental Science &amp; Technology, 45(16), 6709-6715.</w:t>
      </w:r>
    </w:p>
    <w:p w14:paraId="345A8E38" w14:textId="77777777" w:rsidR="009A51DE" w:rsidRPr="009A51DE" w:rsidRDefault="009A51DE" w:rsidP="009A51DE">
      <w:pPr>
        <w:pStyle w:val="Body"/>
        <w:rPr>
          <w:color w:val="000000" w:themeColor="text1"/>
        </w:rPr>
      </w:pPr>
    </w:p>
    <w:p w14:paraId="110EDB61" w14:textId="77777777" w:rsidR="009A51DE" w:rsidRPr="009A51DE" w:rsidRDefault="009A51DE" w:rsidP="009A51DE">
      <w:pPr>
        <w:pStyle w:val="Body"/>
        <w:rPr>
          <w:color w:val="000000" w:themeColor="text1"/>
        </w:rPr>
      </w:pPr>
      <w:r w:rsidRPr="009A51DE">
        <w:rPr>
          <w:color w:val="000000" w:themeColor="text1"/>
        </w:rPr>
        <w:t>Béavogui, S., Sylla, I., &amp; Camara, A. (2021). Assessment of metal contamination in urban soils in Conakry. African Journal of Environmental Science and Technology, 15(3), 99-107.</w:t>
      </w:r>
    </w:p>
    <w:p w14:paraId="0202D456" w14:textId="77777777" w:rsidR="009A51DE" w:rsidRPr="009A51DE" w:rsidRDefault="009A51DE" w:rsidP="009A51DE">
      <w:pPr>
        <w:pStyle w:val="Body"/>
        <w:rPr>
          <w:color w:val="000000" w:themeColor="text1"/>
        </w:rPr>
      </w:pPr>
    </w:p>
    <w:p w14:paraId="41988E48" w14:textId="77777777" w:rsidR="009A51DE" w:rsidRPr="009A51DE" w:rsidRDefault="009A51DE" w:rsidP="009A51DE">
      <w:pPr>
        <w:pStyle w:val="Body"/>
        <w:rPr>
          <w:color w:val="000000" w:themeColor="text1"/>
        </w:rPr>
      </w:pPr>
      <w:r w:rsidRPr="009A51DE">
        <w:rPr>
          <w:color w:val="000000" w:themeColor="text1"/>
        </w:rPr>
        <w:t>Bessoles, B. (1977). Geology of Africa: The West African Craton. BRGM Dissertation, (88), 1-211.</w:t>
      </w:r>
    </w:p>
    <w:p w14:paraId="14972BFD" w14:textId="77777777" w:rsidR="009A51DE" w:rsidRPr="009A51DE" w:rsidRDefault="009A51DE" w:rsidP="009A51DE">
      <w:pPr>
        <w:pStyle w:val="Body"/>
        <w:rPr>
          <w:color w:val="000000" w:themeColor="text1"/>
        </w:rPr>
      </w:pPr>
    </w:p>
    <w:p w14:paraId="067F4C80" w14:textId="77777777" w:rsidR="009A51DE" w:rsidRPr="009A51DE" w:rsidRDefault="009A51DE" w:rsidP="009A51DE">
      <w:pPr>
        <w:pStyle w:val="Body"/>
        <w:rPr>
          <w:color w:val="000000" w:themeColor="text1"/>
        </w:rPr>
      </w:pPr>
      <w:r w:rsidRPr="009A51DE">
        <w:rPr>
          <w:color w:val="000000" w:themeColor="text1"/>
        </w:rPr>
        <w:t>Béguin, D., et al. (2006). Remediation Techniques for Soils Polluted by Hydrocarbons. Engineering Techniques.</w:t>
      </w:r>
    </w:p>
    <w:p w14:paraId="5CA677D5" w14:textId="77777777" w:rsidR="009A51DE" w:rsidRPr="009A51DE" w:rsidRDefault="009A51DE" w:rsidP="009A51DE">
      <w:pPr>
        <w:pStyle w:val="Body"/>
        <w:rPr>
          <w:color w:val="000000" w:themeColor="text1"/>
        </w:rPr>
      </w:pPr>
    </w:p>
    <w:p w14:paraId="794FFC18" w14:textId="77777777" w:rsidR="009A51DE" w:rsidRPr="009A51DE" w:rsidRDefault="009A51DE" w:rsidP="009A51DE">
      <w:pPr>
        <w:pStyle w:val="Body"/>
        <w:rPr>
          <w:color w:val="000000" w:themeColor="text1"/>
        </w:rPr>
      </w:pPr>
      <w:r w:rsidRPr="009A51DE">
        <w:rPr>
          <w:color w:val="000000" w:themeColor="text1"/>
        </w:rPr>
        <w:t>BUMIGEB. (2023). Tanker Truck Gauging Procedure. Internal Report, Burkina Bureau of Mines and Geology.</w:t>
      </w:r>
    </w:p>
    <w:p w14:paraId="0C871D22" w14:textId="77777777" w:rsidR="009A51DE" w:rsidRPr="009A51DE" w:rsidRDefault="009A51DE" w:rsidP="009A51DE">
      <w:pPr>
        <w:pStyle w:val="Body"/>
        <w:rPr>
          <w:color w:val="000000" w:themeColor="text1"/>
        </w:rPr>
      </w:pPr>
    </w:p>
    <w:p w14:paraId="367550EF" w14:textId="77777777" w:rsidR="009A51DE" w:rsidRPr="009A51DE" w:rsidRDefault="009A51DE" w:rsidP="009A51DE">
      <w:pPr>
        <w:pStyle w:val="Body"/>
        <w:rPr>
          <w:color w:val="000000" w:themeColor="text1"/>
        </w:rPr>
      </w:pPr>
      <w:r w:rsidRPr="009A51DE">
        <w:rPr>
          <w:color w:val="000000" w:themeColor="text1"/>
        </w:rPr>
        <w:t>Castaing, C., Feybesse, J. L., Thiéblemont, D., Triboulet, C., &amp; Chèvremont, P. (2003). Paleoproterozoic Tectonism and Gold Mineralization in the Birimian of West Africa. Precambrian Research, 123(1-4), 365-380.</w:t>
      </w:r>
    </w:p>
    <w:p w14:paraId="4DAEA169" w14:textId="77777777" w:rsidR="009A51DE" w:rsidRPr="009A51DE" w:rsidRDefault="009A51DE" w:rsidP="009A51DE">
      <w:pPr>
        <w:pStyle w:val="Body"/>
        <w:rPr>
          <w:color w:val="000000" w:themeColor="text1"/>
        </w:rPr>
      </w:pPr>
    </w:p>
    <w:p w14:paraId="3F732903" w14:textId="77777777" w:rsidR="009A51DE" w:rsidRPr="009A51DE" w:rsidRDefault="009A51DE" w:rsidP="009A51DE">
      <w:pPr>
        <w:pStyle w:val="Body"/>
        <w:rPr>
          <w:color w:val="000000" w:themeColor="text1"/>
        </w:rPr>
      </w:pPr>
      <w:r w:rsidRPr="009A51DE">
        <w:rPr>
          <w:color w:val="000000" w:themeColor="text1"/>
        </w:rPr>
        <w:t>Cerniglia, C. E. (1992). Biodegradation of Polycyclic Aromatic Hydrocarbons. Biodegradation, 3(2-3), 351-368.</w:t>
      </w:r>
    </w:p>
    <w:p w14:paraId="3FF93932" w14:textId="77777777" w:rsidR="009A51DE" w:rsidRPr="009A51DE" w:rsidRDefault="009A51DE" w:rsidP="009A51DE">
      <w:pPr>
        <w:pStyle w:val="Body"/>
        <w:rPr>
          <w:color w:val="000000" w:themeColor="text1"/>
        </w:rPr>
      </w:pPr>
    </w:p>
    <w:p w14:paraId="57141C96" w14:textId="0B242A63" w:rsidR="009A51DE" w:rsidRPr="009A51DE" w:rsidRDefault="009A51DE" w:rsidP="009A51DE">
      <w:pPr>
        <w:pStyle w:val="Body"/>
        <w:rPr>
          <w:color w:val="000000" w:themeColor="text1"/>
        </w:rPr>
      </w:pPr>
      <w:r w:rsidRPr="009A51DE">
        <w:rPr>
          <w:color w:val="000000" w:themeColor="text1"/>
        </w:rPr>
        <w:t xml:space="preserve">Harmens, H., </w:t>
      </w:r>
      <w:r w:rsidR="005D70BA" w:rsidRPr="005D70BA">
        <w:rPr>
          <w:color w:val="000000" w:themeColor="text1"/>
        </w:rPr>
        <w:t>Norris, D., Mills, G</w:t>
      </w:r>
      <w:r w:rsidRPr="009A51DE">
        <w:rPr>
          <w:color w:val="000000" w:themeColor="text1"/>
        </w:rPr>
        <w:t>. (2013). Heavy metals in European mosses: 2010 survey. Atmospheric Environment, 81, 490-498.</w:t>
      </w:r>
    </w:p>
    <w:p w14:paraId="39999623" w14:textId="77777777" w:rsidR="009A51DE" w:rsidRPr="009A51DE" w:rsidRDefault="009A51DE" w:rsidP="009A51DE">
      <w:pPr>
        <w:pStyle w:val="Body"/>
        <w:rPr>
          <w:color w:val="000000" w:themeColor="text1"/>
        </w:rPr>
      </w:pPr>
    </w:p>
    <w:p w14:paraId="542188EA" w14:textId="77777777" w:rsidR="009A51DE" w:rsidRPr="009A51DE" w:rsidRDefault="009A51DE" w:rsidP="009A51DE">
      <w:pPr>
        <w:pStyle w:val="Body"/>
        <w:rPr>
          <w:color w:val="000000" w:themeColor="text1"/>
        </w:rPr>
      </w:pPr>
      <w:r w:rsidRPr="009A51DE">
        <w:rPr>
          <w:color w:val="000000" w:themeColor="text1"/>
        </w:rPr>
        <w:t>IEA (International Energy Agency). (2019). Africa Energy Outlook 2019.</w:t>
      </w:r>
    </w:p>
    <w:p w14:paraId="258E6ECC" w14:textId="77777777" w:rsidR="009A51DE" w:rsidRPr="009A51DE" w:rsidRDefault="009A51DE" w:rsidP="009A51DE">
      <w:pPr>
        <w:pStyle w:val="Body"/>
        <w:rPr>
          <w:color w:val="000000" w:themeColor="text1"/>
        </w:rPr>
      </w:pPr>
    </w:p>
    <w:p w14:paraId="643D5043" w14:textId="77777777" w:rsidR="009A51DE" w:rsidRPr="009A51DE" w:rsidRDefault="009A51DE" w:rsidP="009A51DE">
      <w:pPr>
        <w:pStyle w:val="Body"/>
        <w:rPr>
          <w:color w:val="000000" w:themeColor="text1"/>
        </w:rPr>
      </w:pPr>
      <w:r w:rsidRPr="009A51DE">
        <w:rPr>
          <w:color w:val="000000" w:themeColor="text1"/>
        </w:rPr>
        <w:t>IPCC. (2021). Climate Change 2021: The Physical Science Basis. Contribution of Working Group I to the Sixth Assessment Report.</w:t>
      </w:r>
    </w:p>
    <w:p w14:paraId="1F3D1779" w14:textId="77777777" w:rsidR="009A51DE" w:rsidRPr="009A51DE" w:rsidRDefault="009A51DE" w:rsidP="009A51DE">
      <w:pPr>
        <w:pStyle w:val="Body"/>
        <w:rPr>
          <w:color w:val="000000" w:themeColor="text1"/>
        </w:rPr>
      </w:pPr>
      <w:r w:rsidRPr="009A51DE">
        <w:rPr>
          <w:color w:val="000000" w:themeColor="text1"/>
        </w:rPr>
        <w:t>Kharaka, Y. K., Dorsey, N. S. (205). Environmental issues of petroleum exploration and production: Introduction, Environ. Geosci. (12), 61–63.</w:t>
      </w:r>
    </w:p>
    <w:p w14:paraId="05BA3D79" w14:textId="77777777" w:rsidR="009A51DE" w:rsidRPr="009A51DE" w:rsidRDefault="009A51DE" w:rsidP="009A51DE">
      <w:pPr>
        <w:pStyle w:val="Body"/>
        <w:rPr>
          <w:color w:val="000000" w:themeColor="text1"/>
        </w:rPr>
      </w:pPr>
    </w:p>
    <w:p w14:paraId="54D50D7E" w14:textId="609C4B8A" w:rsidR="009A51DE" w:rsidRPr="009A51DE" w:rsidRDefault="009A51DE" w:rsidP="009A51DE">
      <w:pPr>
        <w:pStyle w:val="Body"/>
        <w:rPr>
          <w:color w:val="000000" w:themeColor="text1"/>
        </w:rPr>
      </w:pPr>
      <w:r w:rsidRPr="009A51DE">
        <w:rPr>
          <w:color w:val="000000" w:themeColor="text1"/>
        </w:rPr>
        <w:t>Konaté, M (2018). Physico-chemical quality of urban soils in Kankan (Guinea). International Journal of Innovation and Applied Studies, 23(2), 232-240.</w:t>
      </w:r>
    </w:p>
    <w:p w14:paraId="0C738001" w14:textId="77777777" w:rsidR="009A51DE" w:rsidRPr="009A51DE" w:rsidRDefault="009A51DE" w:rsidP="009A51DE">
      <w:pPr>
        <w:pStyle w:val="Body"/>
        <w:rPr>
          <w:color w:val="000000" w:themeColor="text1"/>
        </w:rPr>
      </w:pPr>
    </w:p>
    <w:p w14:paraId="4602690D" w14:textId="77777777" w:rsidR="009A51DE" w:rsidRPr="009A51DE" w:rsidRDefault="009A51DE" w:rsidP="009A51DE">
      <w:pPr>
        <w:pStyle w:val="Body"/>
        <w:rPr>
          <w:color w:val="000000" w:themeColor="text1"/>
        </w:rPr>
      </w:pPr>
      <w:r w:rsidRPr="009A51DE">
        <w:rPr>
          <w:color w:val="000000" w:themeColor="text1"/>
        </w:rPr>
        <w:t>Mekhalif, T. (2009). Hydrocarbon Pollution and Treatment Processes. University of Liège.</w:t>
      </w:r>
    </w:p>
    <w:p w14:paraId="6584E486" w14:textId="77777777" w:rsidR="009A51DE" w:rsidRPr="009A51DE" w:rsidRDefault="009A51DE" w:rsidP="009A51DE">
      <w:pPr>
        <w:pStyle w:val="Body"/>
        <w:rPr>
          <w:color w:val="000000" w:themeColor="text1"/>
        </w:rPr>
      </w:pPr>
    </w:p>
    <w:p w14:paraId="363FC97D" w14:textId="77777777" w:rsidR="009A51DE" w:rsidRPr="009A51DE" w:rsidRDefault="009A51DE" w:rsidP="009A51DE">
      <w:pPr>
        <w:pStyle w:val="Body"/>
        <w:rPr>
          <w:color w:val="000000" w:themeColor="text1"/>
        </w:rPr>
      </w:pPr>
      <w:r w:rsidRPr="009A51DE">
        <w:rPr>
          <w:color w:val="000000" w:themeColor="text1"/>
        </w:rPr>
        <w:t>Mouhamadou, S., et al. (2017). Study of Metal Pollution in Urban Soils in Dakar. African Journal of Environmental Sciences, 12(2), 93-104.</w:t>
      </w:r>
    </w:p>
    <w:p w14:paraId="48218DF6" w14:textId="77777777" w:rsidR="009A51DE" w:rsidRPr="009A51DE" w:rsidRDefault="009A51DE" w:rsidP="009A51DE">
      <w:pPr>
        <w:pStyle w:val="Body"/>
        <w:rPr>
          <w:color w:val="000000" w:themeColor="text1"/>
        </w:rPr>
      </w:pPr>
    </w:p>
    <w:p w14:paraId="4A4FF022" w14:textId="723FF5AD" w:rsidR="009A51DE" w:rsidRPr="009A51DE" w:rsidRDefault="009A51DE" w:rsidP="009A51DE">
      <w:pPr>
        <w:pStyle w:val="Body"/>
        <w:rPr>
          <w:color w:val="000000" w:themeColor="text1"/>
        </w:rPr>
      </w:pPr>
      <w:r w:rsidRPr="009A51DE">
        <w:rPr>
          <w:color w:val="000000" w:themeColor="text1"/>
        </w:rPr>
        <w:t>N</w:t>
      </w:r>
      <w:r w:rsidR="005C469D" w:rsidRPr="005C469D">
        <w:t xml:space="preserve"> </w:t>
      </w:r>
      <w:r w:rsidR="005C469D" w:rsidRPr="005C469D">
        <w:rPr>
          <w:color w:val="000000" w:themeColor="text1"/>
        </w:rPr>
        <w:t>Nacoulma, H. B., Ouedraogo, O., Traoré, A., Babié, B., Dimobe, K., Barry, S., Bayen, P., &amp; Thiombiano, A</w:t>
      </w:r>
      <w:r w:rsidRPr="009A51DE">
        <w:rPr>
          <w:color w:val="000000" w:themeColor="text1"/>
        </w:rPr>
        <w:t>. (2015). Assessment of Lead-Contaminated Soils Around Artisanal Mines in Burkina Faso. African Journal of Environmental Science and Technology, 9(2), 132-140.</w:t>
      </w:r>
    </w:p>
    <w:p w14:paraId="77BC130D" w14:textId="77777777" w:rsidR="009A51DE" w:rsidRPr="009A51DE" w:rsidRDefault="009A51DE" w:rsidP="009A51DE">
      <w:pPr>
        <w:pStyle w:val="Body"/>
        <w:rPr>
          <w:color w:val="000000" w:themeColor="text1"/>
        </w:rPr>
      </w:pPr>
    </w:p>
    <w:p w14:paraId="0533DD9A" w14:textId="77777777" w:rsidR="009A51DE" w:rsidRPr="009A51DE" w:rsidRDefault="009A51DE" w:rsidP="009A51DE">
      <w:pPr>
        <w:pStyle w:val="Body"/>
        <w:rPr>
          <w:color w:val="000000" w:themeColor="text1"/>
        </w:rPr>
      </w:pPr>
      <w:r w:rsidRPr="009A51DE">
        <w:rPr>
          <w:color w:val="000000" w:themeColor="text1"/>
        </w:rPr>
        <w:t>Ouédraogo, G., et al. (2017). Environmental Risks Associated with Hydrocarbon Pollution in Burkina Faso. Burkinabe Journal of Sciences and Technology, 6(1), 55-64.</w:t>
      </w:r>
    </w:p>
    <w:p w14:paraId="31C9046F" w14:textId="77777777" w:rsidR="009A51DE" w:rsidRPr="009A51DE" w:rsidRDefault="009A51DE" w:rsidP="009A51DE">
      <w:pPr>
        <w:pStyle w:val="Body"/>
        <w:rPr>
          <w:color w:val="000000" w:themeColor="text1"/>
        </w:rPr>
      </w:pPr>
    </w:p>
    <w:p w14:paraId="07BBE59A" w14:textId="30AD0DD0" w:rsidR="009A51DE" w:rsidRPr="009A51DE" w:rsidRDefault="009A51DE" w:rsidP="009A51DE">
      <w:pPr>
        <w:pStyle w:val="Body"/>
        <w:rPr>
          <w:color w:val="000000" w:themeColor="text1"/>
        </w:rPr>
      </w:pPr>
      <w:r w:rsidRPr="009A51DE">
        <w:rPr>
          <w:color w:val="000000" w:themeColor="text1"/>
        </w:rPr>
        <w:t>Ouedraogo, A.,</w:t>
      </w:r>
      <w:r w:rsidR="00526AF0" w:rsidRPr="00526AF0">
        <w:t xml:space="preserve"> </w:t>
      </w:r>
      <w:r w:rsidR="00526AF0" w:rsidRPr="00526AF0">
        <w:rPr>
          <w:color w:val="000000" w:themeColor="text1"/>
        </w:rPr>
        <w:t>Nacro, H. B., Ouedraogo, O., &amp; Sedogo, M. P.</w:t>
      </w:r>
      <w:r w:rsidRPr="009A51DE">
        <w:rPr>
          <w:color w:val="000000" w:themeColor="text1"/>
        </w:rPr>
        <w:t>(2019). Characterization of Soils Contaminated by Urban Waste in Bobo-Dioulasso. Journal of Environmental Protection, 10(2), 243-253.</w:t>
      </w:r>
    </w:p>
    <w:p w14:paraId="4E63FF2A" w14:textId="77777777" w:rsidR="009A51DE" w:rsidRPr="009A51DE" w:rsidRDefault="009A51DE" w:rsidP="009A51DE">
      <w:pPr>
        <w:pStyle w:val="Body"/>
        <w:rPr>
          <w:color w:val="000000" w:themeColor="text1"/>
        </w:rPr>
      </w:pPr>
      <w:r w:rsidRPr="009A51DE">
        <w:rPr>
          <w:color w:val="000000" w:themeColor="text1"/>
        </w:rPr>
        <w:t>Pilon-Smits, E. (2005). Phytoremediation. Annual Review of Plant Biology, 56, 15-39.</w:t>
      </w:r>
    </w:p>
    <w:p w14:paraId="6D40CD44" w14:textId="77777777" w:rsidR="009A51DE" w:rsidRPr="009A51DE" w:rsidRDefault="009A51DE" w:rsidP="009A51DE">
      <w:pPr>
        <w:pStyle w:val="Body"/>
        <w:rPr>
          <w:color w:val="000000" w:themeColor="text1"/>
        </w:rPr>
      </w:pPr>
      <w:r w:rsidRPr="009A51DE">
        <w:rPr>
          <w:color w:val="000000" w:themeColor="text1"/>
        </w:rPr>
        <w:t>Qiu, Y., et al. (1997). Bioremediation of hydrocarbon-contaminated soils. Environmental Health Perspectives, 105(S1), 293-296.</w:t>
      </w:r>
    </w:p>
    <w:p w14:paraId="6A0F8FD4" w14:textId="77777777" w:rsidR="009A51DE" w:rsidRPr="009A51DE" w:rsidRDefault="009A51DE" w:rsidP="009A51DE">
      <w:pPr>
        <w:pStyle w:val="Body"/>
        <w:rPr>
          <w:color w:val="000000" w:themeColor="text1"/>
        </w:rPr>
      </w:pPr>
    </w:p>
    <w:p w14:paraId="720DA808" w14:textId="77777777" w:rsidR="009A51DE" w:rsidRPr="009A51DE" w:rsidRDefault="009A51DE" w:rsidP="009A51DE">
      <w:pPr>
        <w:pStyle w:val="Body"/>
        <w:rPr>
          <w:color w:val="000000" w:themeColor="text1"/>
        </w:rPr>
      </w:pPr>
      <w:r w:rsidRPr="009A51DE">
        <w:rPr>
          <w:color w:val="000000" w:themeColor="text1"/>
        </w:rPr>
        <w:t>Savadogo, M. (1984). Hydrogeology of the crystalline and crystallophyllian basement of the Ouagadougou region (Burkina Faso). Postgraduate thesis, University of Ouagadougou.</w:t>
      </w:r>
    </w:p>
    <w:p w14:paraId="10F429F4" w14:textId="77777777" w:rsidR="009A51DE" w:rsidRPr="009A51DE" w:rsidRDefault="009A51DE" w:rsidP="009A51DE">
      <w:pPr>
        <w:pStyle w:val="Body"/>
        <w:rPr>
          <w:color w:val="000000" w:themeColor="text1"/>
        </w:rPr>
      </w:pPr>
      <w:r w:rsidRPr="009A51DE">
        <w:rPr>
          <w:color w:val="000000" w:themeColor="text1"/>
        </w:rPr>
        <w:t>Udoh, U.G. (2024). Effect of Solid Waste Generation on Soil Quality Dynamics, 1–13.</w:t>
      </w:r>
    </w:p>
    <w:p w14:paraId="01FA309D" w14:textId="77777777" w:rsidR="009A51DE" w:rsidRPr="009A51DE" w:rsidRDefault="009A51DE" w:rsidP="009A51DE">
      <w:pPr>
        <w:pStyle w:val="Body"/>
        <w:rPr>
          <w:color w:val="000000" w:themeColor="text1"/>
        </w:rPr>
      </w:pPr>
    </w:p>
    <w:p w14:paraId="7627A8A2" w14:textId="77777777" w:rsidR="009A51DE" w:rsidRPr="009A51DE" w:rsidRDefault="009A51DE" w:rsidP="009A51DE">
      <w:pPr>
        <w:pStyle w:val="Body"/>
        <w:rPr>
          <w:color w:val="000000" w:themeColor="text1"/>
        </w:rPr>
      </w:pPr>
      <w:r w:rsidRPr="009A51DE">
        <w:rPr>
          <w:color w:val="000000" w:themeColor="text1"/>
        </w:rPr>
        <w:t>U.S. Energy Information Administration. (2020). International Energy Outlook 2020.</w:t>
      </w:r>
    </w:p>
    <w:p w14:paraId="6A7D587F" w14:textId="77777777" w:rsidR="009A51DE" w:rsidRPr="009A51DE" w:rsidRDefault="009A51DE" w:rsidP="009A51DE">
      <w:pPr>
        <w:pStyle w:val="Body"/>
        <w:rPr>
          <w:color w:val="000000" w:themeColor="text1"/>
        </w:rPr>
      </w:pPr>
      <w:r w:rsidRPr="009A51DE">
        <w:rPr>
          <w:color w:val="000000" w:themeColor="text1"/>
        </w:rPr>
        <w:t>Wright, E. P. (1992). The hydrogeology of crystalline basement aquifers in Africa. In Hydrogeology of Crystalline Basement Aquifers in Africa (pp. 1-27). Geological Society Special Publication.</w:t>
      </w:r>
    </w:p>
    <w:p w14:paraId="65B8E477" w14:textId="77777777" w:rsidR="009A51DE" w:rsidRPr="009A51DE" w:rsidRDefault="009A51DE" w:rsidP="009A51DE">
      <w:pPr>
        <w:pStyle w:val="Body"/>
        <w:rPr>
          <w:color w:val="000000" w:themeColor="text1"/>
        </w:rPr>
      </w:pPr>
    </w:p>
    <w:p w14:paraId="01218B64" w14:textId="4D5CAFFF" w:rsidR="009A51DE" w:rsidRPr="009A51DE" w:rsidRDefault="009A51DE" w:rsidP="009A51DE">
      <w:pPr>
        <w:pStyle w:val="Body"/>
        <w:rPr>
          <w:color w:val="000000" w:themeColor="text1"/>
        </w:rPr>
      </w:pPr>
      <w:r w:rsidRPr="0042594D">
        <w:rPr>
          <w:color w:val="000000" w:themeColor="text1"/>
          <w:lang w:val="fr-FR"/>
        </w:rPr>
        <w:t>Zhou, Q., et a</w:t>
      </w:r>
      <w:r w:rsidR="0042594D" w:rsidRPr="0042594D">
        <w:rPr>
          <w:lang w:val="fr-FR"/>
        </w:rPr>
        <w:t xml:space="preserve"> </w:t>
      </w:r>
      <w:r w:rsidR="0042594D" w:rsidRPr="0042594D">
        <w:rPr>
          <w:color w:val="000000" w:themeColor="text1"/>
          <w:lang w:val="fr-FR"/>
        </w:rPr>
        <w:t>Zhou, Q., Li, Z., Shuang, F., Li, W., &amp; Jiang, G.</w:t>
      </w:r>
      <w:r w:rsidRPr="0042594D">
        <w:rPr>
          <w:color w:val="000000" w:themeColor="text1"/>
          <w:lang w:val="fr-FR"/>
        </w:rPr>
        <w:t xml:space="preserve">l. (2014). </w:t>
      </w:r>
      <w:r w:rsidRPr="009A51DE">
        <w:rPr>
          <w:color w:val="000000" w:themeColor="text1"/>
        </w:rPr>
        <w:t>Ecological and health risk assessment of heavy metals in soils. Ecotoxicology and Environmental Safety, 104, 43-49.</w:t>
      </w:r>
    </w:p>
    <w:p w14:paraId="738B45B4" w14:textId="1FDDEE1E" w:rsidR="00536A48" w:rsidRDefault="00783014" w:rsidP="00783014">
      <w:pPr>
        <w:pStyle w:val="Body"/>
        <w:rPr>
          <w:color w:val="000000" w:themeColor="text1"/>
        </w:rPr>
      </w:pPr>
      <w:r w:rsidRPr="00783014">
        <w:rPr>
          <w:color w:val="000000" w:themeColor="text1"/>
        </w:rPr>
        <w:lastRenderedPageBreak/>
        <w:t>Zongo, I., Tapsoba, F., Traoré, A., Dianou, D., &amp; Savadogo, P. W</w:t>
      </w:r>
      <w:r>
        <w:rPr>
          <w:color w:val="000000" w:themeColor="text1"/>
        </w:rPr>
        <w:t>.</w:t>
      </w:r>
      <w:r w:rsidR="009A51DE" w:rsidRPr="009A51DE">
        <w:rPr>
          <w:color w:val="000000" w:themeColor="text1"/>
        </w:rPr>
        <w:t>(2020). Soil contamination by mercury in gold panning areas of Burkina Faso. African Journal of Environmental Science and Technology, 14(5), 145-154.</w:t>
      </w:r>
    </w:p>
    <w:p w14:paraId="64DB70CA" w14:textId="13C0C0B1" w:rsidR="00A222C6" w:rsidRDefault="00A222C6" w:rsidP="00783014">
      <w:pPr>
        <w:pStyle w:val="Body"/>
        <w:rPr>
          <w:color w:val="000000" w:themeColor="text1"/>
        </w:rPr>
      </w:pPr>
      <w:r w:rsidRPr="0013259E">
        <w:rPr>
          <w:color w:val="000000" w:themeColor="text1"/>
          <w:highlight w:val="yellow"/>
        </w:rPr>
        <w:t xml:space="preserve">Alain, T. K., Luc , B. T., Ali , D., Zongo, I., &amp; Zougmoré , F. (2023). Assessment of Soil Pollution by Heavy Metals in the Market Gardening Areas of Korsimoro. Physical Science International Journal, 27(6), 16–24. </w:t>
      </w:r>
      <w:hyperlink r:id="rId23" w:history="1">
        <w:r w:rsidRPr="0013259E">
          <w:rPr>
            <w:rStyle w:val="Hyperlink"/>
            <w:highlight w:val="yellow"/>
          </w:rPr>
          <w:t>https://doi.org/10.9734/psij/2023/v27i6807</w:t>
        </w:r>
      </w:hyperlink>
      <w:r>
        <w:rPr>
          <w:color w:val="000000" w:themeColor="text1"/>
        </w:rPr>
        <w:t xml:space="preserve"> </w:t>
      </w:r>
    </w:p>
    <w:p w14:paraId="3B04836A" w14:textId="3D74B059" w:rsidR="00873742" w:rsidRDefault="00873742" w:rsidP="00783014">
      <w:pPr>
        <w:pStyle w:val="Body"/>
        <w:rPr>
          <w:color w:val="000000" w:themeColor="text1"/>
        </w:rPr>
      </w:pPr>
      <w:r w:rsidRPr="00873742">
        <w:rPr>
          <w:color w:val="000000" w:themeColor="text1"/>
          <w:highlight w:val="yellow"/>
        </w:rPr>
        <w:t>Ahmad, W., Alharthy, R. D., Zubair, M., Ahmed, M., Hameed, A., &amp; Rafique, S. (2021). Toxic and heavy metals contamination assessment in soil and water to evaluate human health risk. Scientific reports, 11(1), 17006.</w:t>
      </w:r>
    </w:p>
    <w:p w14:paraId="78849664" w14:textId="77777777" w:rsidR="00625989" w:rsidRPr="00783014" w:rsidRDefault="00625989" w:rsidP="00783014">
      <w:pPr>
        <w:pStyle w:val="Body"/>
        <w:rPr>
          <w:color w:val="000000" w:themeColor="text1"/>
        </w:rPr>
      </w:pPr>
    </w:p>
    <w:p w14:paraId="5204E970" w14:textId="77777777" w:rsidR="00536A48" w:rsidRPr="004E2493" w:rsidRDefault="00536A48" w:rsidP="00441B6F">
      <w:pPr>
        <w:pStyle w:val="Body"/>
        <w:spacing w:after="0"/>
        <w:rPr>
          <w:rFonts w:ascii="Arial" w:hAnsi="Arial" w:cs="Arial"/>
          <w:color w:val="000000" w:themeColor="text1"/>
        </w:rPr>
      </w:pPr>
    </w:p>
    <w:p w14:paraId="5EBAA388" w14:textId="77777777" w:rsidR="00536A48" w:rsidRPr="004E2493" w:rsidRDefault="00536A48" w:rsidP="00441B6F">
      <w:pPr>
        <w:pStyle w:val="Body"/>
        <w:spacing w:after="0"/>
        <w:rPr>
          <w:rFonts w:ascii="Arial" w:hAnsi="Arial" w:cs="Arial"/>
          <w:color w:val="000000" w:themeColor="text1"/>
        </w:rPr>
      </w:pPr>
    </w:p>
    <w:p w14:paraId="3A872F20" w14:textId="77777777" w:rsidR="00536A48" w:rsidRPr="004E2493" w:rsidRDefault="00536A48" w:rsidP="00441B6F">
      <w:pPr>
        <w:pStyle w:val="Body"/>
        <w:spacing w:after="0"/>
        <w:rPr>
          <w:rFonts w:ascii="Arial" w:hAnsi="Arial" w:cs="Arial"/>
          <w:color w:val="000000" w:themeColor="text1"/>
        </w:rPr>
      </w:pPr>
    </w:p>
    <w:p w14:paraId="7674BD92" w14:textId="77777777" w:rsidR="00536A48" w:rsidRPr="004E2493" w:rsidRDefault="00536A48" w:rsidP="00441B6F">
      <w:pPr>
        <w:pStyle w:val="Body"/>
        <w:spacing w:after="0"/>
        <w:rPr>
          <w:rFonts w:ascii="Arial" w:hAnsi="Arial" w:cs="Arial"/>
          <w:color w:val="000000" w:themeColor="text1"/>
        </w:rPr>
      </w:pPr>
    </w:p>
    <w:p w14:paraId="45D419F2" w14:textId="77777777" w:rsidR="00536A48" w:rsidRPr="004E2493" w:rsidRDefault="00536A48" w:rsidP="00441B6F">
      <w:pPr>
        <w:pStyle w:val="Body"/>
        <w:spacing w:after="0"/>
        <w:rPr>
          <w:rFonts w:ascii="Arial" w:hAnsi="Arial" w:cs="Arial"/>
          <w:color w:val="000000" w:themeColor="text1"/>
        </w:rPr>
      </w:pPr>
    </w:p>
    <w:p w14:paraId="01B68E5C" w14:textId="77777777" w:rsidR="00536A48" w:rsidRPr="004E2493" w:rsidRDefault="00536A48" w:rsidP="00441B6F">
      <w:pPr>
        <w:pStyle w:val="Body"/>
        <w:spacing w:after="0"/>
        <w:rPr>
          <w:rFonts w:ascii="Arial" w:hAnsi="Arial" w:cs="Arial"/>
          <w:color w:val="000000" w:themeColor="text1"/>
        </w:rPr>
      </w:pPr>
    </w:p>
    <w:p w14:paraId="5DC144B1" w14:textId="77777777" w:rsidR="00536A48" w:rsidRPr="004E2493" w:rsidRDefault="00536A48" w:rsidP="00441B6F">
      <w:pPr>
        <w:pStyle w:val="Body"/>
        <w:spacing w:after="0"/>
        <w:rPr>
          <w:rFonts w:ascii="Arial" w:hAnsi="Arial" w:cs="Arial"/>
          <w:color w:val="000000" w:themeColor="text1"/>
        </w:rPr>
      </w:pPr>
    </w:p>
    <w:p w14:paraId="1DF7CE5A" w14:textId="77777777" w:rsidR="000D689F" w:rsidRPr="004E2493" w:rsidRDefault="000D689F" w:rsidP="00441B6F">
      <w:pPr>
        <w:pStyle w:val="Body"/>
        <w:spacing w:after="0"/>
        <w:rPr>
          <w:color w:val="000000" w:themeColor="text1"/>
        </w:rPr>
      </w:pPr>
    </w:p>
    <w:p w14:paraId="4475AE3B" w14:textId="77777777" w:rsidR="00441B6F" w:rsidRPr="004E2493" w:rsidRDefault="00441B6F" w:rsidP="00441B6F">
      <w:pPr>
        <w:pStyle w:val="Body"/>
        <w:spacing w:after="0"/>
        <w:jc w:val="left"/>
        <w:rPr>
          <w:color w:val="000000" w:themeColor="text1"/>
        </w:rPr>
      </w:pPr>
    </w:p>
    <w:p w14:paraId="71A9F18A" w14:textId="77777777" w:rsidR="00441B6F" w:rsidRPr="004E2493" w:rsidRDefault="00441B6F" w:rsidP="00441B6F">
      <w:pPr>
        <w:pStyle w:val="Body"/>
        <w:spacing w:after="0"/>
        <w:jc w:val="left"/>
        <w:rPr>
          <w:rFonts w:ascii="Arial" w:hAnsi="Arial" w:cs="Arial"/>
          <w:color w:val="000000" w:themeColor="text1"/>
        </w:rPr>
      </w:pPr>
    </w:p>
    <w:p w14:paraId="1FA41F64" w14:textId="77777777" w:rsidR="00B01FCD" w:rsidRPr="004E2493" w:rsidRDefault="00B01FCD" w:rsidP="00441B6F">
      <w:pPr>
        <w:pStyle w:val="Reference"/>
        <w:numPr>
          <w:ilvl w:val="0"/>
          <w:numId w:val="0"/>
        </w:numPr>
        <w:spacing w:line="240" w:lineRule="auto"/>
        <w:rPr>
          <w:rFonts w:ascii="Arial" w:hAnsi="Arial" w:cs="Arial"/>
          <w:color w:val="000000" w:themeColor="text1"/>
        </w:rPr>
      </w:pPr>
    </w:p>
    <w:p w14:paraId="5B3D120A" w14:textId="63EF2D96" w:rsidR="004D4277" w:rsidRPr="004E2493" w:rsidRDefault="004D4277" w:rsidP="00536A48">
      <w:pPr>
        <w:pStyle w:val="DefAcrHead"/>
        <w:spacing w:after="0"/>
        <w:jc w:val="both"/>
        <w:rPr>
          <w:rFonts w:ascii="Arial" w:hAnsi="Arial" w:cs="Arial"/>
          <w:color w:val="000000" w:themeColor="text1"/>
        </w:rPr>
        <w:sectPr w:rsidR="004D4277" w:rsidRPr="004E2493" w:rsidSect="00630277">
          <w:headerReference w:type="even" r:id="rId24"/>
          <w:headerReference w:type="default" r:id="rId25"/>
          <w:footerReference w:type="default" r:id="rId26"/>
          <w:headerReference w:type="first" r:id="rId27"/>
          <w:type w:val="continuous"/>
          <w:pgSz w:w="12240" w:h="15840"/>
          <w:pgMar w:top="1440" w:right="2016" w:bottom="2016" w:left="2016" w:header="720" w:footer="1123" w:gutter="0"/>
          <w:cols w:space="720"/>
          <w:docGrid w:linePitch="272"/>
        </w:sectPr>
      </w:pPr>
    </w:p>
    <w:p w14:paraId="50E9E040" w14:textId="77777777" w:rsidR="00B01FCD" w:rsidRPr="004E2493" w:rsidRDefault="00B01FCD" w:rsidP="00441B6F">
      <w:pPr>
        <w:pStyle w:val="Appendix"/>
        <w:spacing w:after="0"/>
        <w:jc w:val="both"/>
        <w:rPr>
          <w:rFonts w:ascii="Arial" w:hAnsi="Arial" w:cs="Arial"/>
          <w:b w:val="0"/>
          <w:color w:val="000000" w:themeColor="text1"/>
        </w:rPr>
      </w:pPr>
    </w:p>
    <w:sectPr w:rsidR="00B01FCD" w:rsidRPr="004E2493" w:rsidSect="0063027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777ED" w14:textId="77777777" w:rsidR="00657A11" w:rsidRDefault="00657A11" w:rsidP="00C37E61">
      <w:r>
        <w:separator/>
      </w:r>
    </w:p>
  </w:endnote>
  <w:endnote w:type="continuationSeparator" w:id="0">
    <w:p w14:paraId="66076FAC" w14:textId="77777777" w:rsidR="00657A11" w:rsidRDefault="00657A1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DB213" w14:textId="77777777" w:rsidR="00630277" w:rsidRDefault="00630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91B2A" w14:textId="77777777" w:rsidR="00630277" w:rsidRDefault="006302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74F4B" w14:textId="60C8807C" w:rsidR="00754C9A" w:rsidRPr="00630277" w:rsidRDefault="00754C9A" w:rsidP="006302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BC94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A9889" w14:textId="77777777" w:rsidR="00657A11" w:rsidRDefault="00657A11" w:rsidP="00C37E61">
      <w:r>
        <w:separator/>
      </w:r>
    </w:p>
  </w:footnote>
  <w:footnote w:type="continuationSeparator" w:id="0">
    <w:p w14:paraId="2A63B28A" w14:textId="77777777" w:rsidR="00657A11" w:rsidRDefault="00657A1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C447E" w14:textId="532F110D" w:rsidR="00630277" w:rsidRDefault="00000000">
    <w:pPr>
      <w:pStyle w:val="Header"/>
    </w:pPr>
    <w:r>
      <w:rPr>
        <w:noProof/>
      </w:rPr>
      <w:pict w14:anchorId="66FB56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50360"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86B73" w14:textId="3C2E8CF1" w:rsidR="00630277" w:rsidRDefault="00000000">
    <w:pPr>
      <w:pStyle w:val="Header"/>
    </w:pPr>
    <w:r>
      <w:rPr>
        <w:noProof/>
      </w:rPr>
      <w:pict w14:anchorId="776D6E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50361"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E3381" w14:textId="4713D0C3" w:rsidR="00296529" w:rsidRPr="00296529" w:rsidRDefault="00000000" w:rsidP="00296529">
    <w:pPr>
      <w:ind w:left="2160"/>
      <w:jc w:val="center"/>
      <w:rPr>
        <w:rFonts w:ascii="Times New Roman" w:eastAsia="Calibri" w:hAnsi="Times New Roman"/>
        <w:i/>
        <w:sz w:val="18"/>
        <w:szCs w:val="22"/>
      </w:rPr>
    </w:pPr>
    <w:r>
      <w:rPr>
        <w:noProof/>
      </w:rPr>
      <w:pict w14:anchorId="6BD0DF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50359"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3FA86B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D0F3D2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CA9C1C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77AF8F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3AE964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BC87E4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402BF" w14:textId="6451E39A" w:rsidR="00630277" w:rsidRDefault="00000000">
    <w:pPr>
      <w:pStyle w:val="Header"/>
    </w:pPr>
    <w:r>
      <w:rPr>
        <w:noProof/>
      </w:rPr>
      <w:pict w14:anchorId="4ED534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50363"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F7991" w14:textId="357190B0" w:rsidR="00630277" w:rsidRDefault="00000000">
    <w:pPr>
      <w:pStyle w:val="Header"/>
    </w:pPr>
    <w:r>
      <w:rPr>
        <w:noProof/>
      </w:rPr>
      <w:pict w14:anchorId="6E2C52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50364"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5DEC1" w14:textId="5DFE2F5F" w:rsidR="00630277" w:rsidRDefault="00000000">
    <w:pPr>
      <w:pStyle w:val="Header"/>
    </w:pPr>
    <w:r>
      <w:rPr>
        <w:noProof/>
      </w:rPr>
      <w:pict w14:anchorId="4ACAB7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50362"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04D1426"/>
    <w:multiLevelType w:val="hybridMultilevel"/>
    <w:tmpl w:val="553A267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304839"/>
    <w:multiLevelType w:val="hybridMultilevel"/>
    <w:tmpl w:val="6CBAAEF8"/>
    <w:lvl w:ilvl="0" w:tplc="040C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A173428"/>
    <w:multiLevelType w:val="hybridMultilevel"/>
    <w:tmpl w:val="8A2AD84A"/>
    <w:lvl w:ilvl="0" w:tplc="A15009D2">
      <w:start w:val="1"/>
      <w:numFmt w:val="bullet"/>
      <w:lvlText w:val="-"/>
      <w:lvlJc w:val="left"/>
      <w:pPr>
        <w:ind w:left="72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812F2E"/>
    <w:multiLevelType w:val="hybridMultilevel"/>
    <w:tmpl w:val="648607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B75F4E"/>
    <w:multiLevelType w:val="hybridMultilevel"/>
    <w:tmpl w:val="5D5857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E275559"/>
    <w:multiLevelType w:val="hybridMultilevel"/>
    <w:tmpl w:val="108633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E54E42"/>
    <w:multiLevelType w:val="hybridMultilevel"/>
    <w:tmpl w:val="8CECB5BE"/>
    <w:lvl w:ilvl="0" w:tplc="3AFEB238">
      <w:start w:val="44"/>
      <w:numFmt w:val="bullet"/>
      <w:lvlText w:val=""/>
      <w:lvlJc w:val="left"/>
      <w:pPr>
        <w:ind w:left="420" w:hanging="360"/>
      </w:pPr>
      <w:rPr>
        <w:rFonts w:ascii="Wingdings" w:eastAsia="Calibri" w:hAnsi="Wingdings"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5147637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55147765">
    <w:abstractNumId w:val="19"/>
  </w:num>
  <w:num w:numId="3" w16cid:durableId="376317184">
    <w:abstractNumId w:val="29"/>
  </w:num>
  <w:num w:numId="4" w16cid:durableId="75374098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67144719">
    <w:abstractNumId w:val="8"/>
  </w:num>
  <w:num w:numId="6" w16cid:durableId="1226184701">
    <w:abstractNumId w:val="6"/>
  </w:num>
  <w:num w:numId="7" w16cid:durableId="595218">
    <w:abstractNumId w:val="1"/>
  </w:num>
  <w:num w:numId="8" w16cid:durableId="19669498">
    <w:abstractNumId w:val="13"/>
  </w:num>
  <w:num w:numId="9" w16cid:durableId="1307782811">
    <w:abstractNumId w:val="32"/>
  </w:num>
  <w:num w:numId="10" w16cid:durableId="1653829978">
    <w:abstractNumId w:val="2"/>
  </w:num>
  <w:num w:numId="11" w16cid:durableId="2139882120">
    <w:abstractNumId w:val="24"/>
  </w:num>
  <w:num w:numId="12" w16cid:durableId="781998688">
    <w:abstractNumId w:val="3"/>
  </w:num>
  <w:num w:numId="13" w16cid:durableId="2007899938">
    <w:abstractNumId w:val="23"/>
  </w:num>
  <w:num w:numId="14" w16cid:durableId="1536042037">
    <w:abstractNumId w:val="9"/>
  </w:num>
  <w:num w:numId="15" w16cid:durableId="616377204">
    <w:abstractNumId w:val="27"/>
  </w:num>
  <w:num w:numId="16" w16cid:durableId="1750691112">
    <w:abstractNumId w:val="5"/>
  </w:num>
  <w:num w:numId="17" w16cid:durableId="821308158">
    <w:abstractNumId w:val="28"/>
  </w:num>
  <w:num w:numId="18" w16cid:durableId="755595376">
    <w:abstractNumId w:val="15"/>
  </w:num>
  <w:num w:numId="19" w16cid:durableId="2118670492">
    <w:abstractNumId w:val="35"/>
  </w:num>
  <w:num w:numId="20" w16cid:durableId="925500804">
    <w:abstractNumId w:val="12"/>
  </w:num>
  <w:num w:numId="21" w16cid:durableId="753474103">
    <w:abstractNumId w:val="10"/>
  </w:num>
  <w:num w:numId="22" w16cid:durableId="1633166745">
    <w:abstractNumId w:val="14"/>
  </w:num>
  <w:num w:numId="23" w16cid:durableId="829906096">
    <w:abstractNumId w:val="25"/>
  </w:num>
  <w:num w:numId="24" w16cid:durableId="1057632751">
    <w:abstractNumId w:val="33"/>
  </w:num>
  <w:num w:numId="25" w16cid:durableId="713694418">
    <w:abstractNumId w:val="4"/>
  </w:num>
  <w:num w:numId="26" w16cid:durableId="2004314850">
    <w:abstractNumId w:val="20"/>
  </w:num>
  <w:num w:numId="27" w16cid:durableId="2001883936">
    <w:abstractNumId w:val="26"/>
  </w:num>
  <w:num w:numId="28" w16cid:durableId="934481436">
    <w:abstractNumId w:val="34"/>
  </w:num>
  <w:num w:numId="29" w16cid:durableId="13659244">
    <w:abstractNumId w:val="31"/>
  </w:num>
  <w:num w:numId="30" w16cid:durableId="1182746940">
    <w:abstractNumId w:val="11"/>
  </w:num>
  <w:num w:numId="31" w16cid:durableId="696738342">
    <w:abstractNumId w:val="16"/>
  </w:num>
  <w:num w:numId="32" w16cid:durableId="935790282">
    <w:abstractNumId w:val="7"/>
  </w:num>
  <w:num w:numId="33" w16cid:durableId="2110662724">
    <w:abstractNumId w:val="17"/>
  </w:num>
  <w:num w:numId="34" w16cid:durableId="830293768">
    <w:abstractNumId w:val="21"/>
  </w:num>
  <w:num w:numId="35" w16cid:durableId="764963185">
    <w:abstractNumId w:val="30"/>
  </w:num>
  <w:num w:numId="36" w16cid:durableId="2103066551">
    <w:abstractNumId w:val="18"/>
  </w:num>
  <w:num w:numId="37" w16cid:durableId="7794923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cwtrA0NjA3MTczMDdQ0lEKTi0uzszPAykwrAUAJ80UlywAAAA="/>
  </w:docVars>
  <w:rsids>
    <w:rsidRoot w:val="00AA6219"/>
    <w:rsid w:val="00000F8F"/>
    <w:rsid w:val="00016C23"/>
    <w:rsid w:val="00030174"/>
    <w:rsid w:val="000411CF"/>
    <w:rsid w:val="0004579C"/>
    <w:rsid w:val="000608DA"/>
    <w:rsid w:val="00060C86"/>
    <w:rsid w:val="00082CFC"/>
    <w:rsid w:val="000A47FA"/>
    <w:rsid w:val="000A65D3"/>
    <w:rsid w:val="000A7D14"/>
    <w:rsid w:val="000B1E33"/>
    <w:rsid w:val="000C0735"/>
    <w:rsid w:val="000D689F"/>
    <w:rsid w:val="000E7B7B"/>
    <w:rsid w:val="000E7D62"/>
    <w:rsid w:val="00103357"/>
    <w:rsid w:val="0010785A"/>
    <w:rsid w:val="00123263"/>
    <w:rsid w:val="00123C9F"/>
    <w:rsid w:val="00126190"/>
    <w:rsid w:val="00130F17"/>
    <w:rsid w:val="001320BF"/>
    <w:rsid w:val="0013259E"/>
    <w:rsid w:val="0014140E"/>
    <w:rsid w:val="00163BC4"/>
    <w:rsid w:val="0017112D"/>
    <w:rsid w:val="00191062"/>
    <w:rsid w:val="00192370"/>
    <w:rsid w:val="00192AE0"/>
    <w:rsid w:val="00192B72"/>
    <w:rsid w:val="001A29D8"/>
    <w:rsid w:val="001A5CAA"/>
    <w:rsid w:val="001B0427"/>
    <w:rsid w:val="001D3A51"/>
    <w:rsid w:val="001E10D2"/>
    <w:rsid w:val="001E25B4"/>
    <w:rsid w:val="001E44FE"/>
    <w:rsid w:val="001E6E14"/>
    <w:rsid w:val="00200595"/>
    <w:rsid w:val="00204835"/>
    <w:rsid w:val="00206441"/>
    <w:rsid w:val="00231920"/>
    <w:rsid w:val="0023195C"/>
    <w:rsid w:val="0023250F"/>
    <w:rsid w:val="0024282C"/>
    <w:rsid w:val="002460DC"/>
    <w:rsid w:val="0024788F"/>
    <w:rsid w:val="00250985"/>
    <w:rsid w:val="002556F6"/>
    <w:rsid w:val="00283105"/>
    <w:rsid w:val="00284C4C"/>
    <w:rsid w:val="00287E68"/>
    <w:rsid w:val="00296529"/>
    <w:rsid w:val="002B27FB"/>
    <w:rsid w:val="002B685A"/>
    <w:rsid w:val="002C513D"/>
    <w:rsid w:val="002C571B"/>
    <w:rsid w:val="002C57D2"/>
    <w:rsid w:val="002E0D56"/>
    <w:rsid w:val="00315186"/>
    <w:rsid w:val="00321B48"/>
    <w:rsid w:val="00322949"/>
    <w:rsid w:val="0033343E"/>
    <w:rsid w:val="00340BB4"/>
    <w:rsid w:val="003512C2"/>
    <w:rsid w:val="00371FB6"/>
    <w:rsid w:val="003763C1"/>
    <w:rsid w:val="00376BBE"/>
    <w:rsid w:val="0039224F"/>
    <w:rsid w:val="00395D57"/>
    <w:rsid w:val="00396B7A"/>
    <w:rsid w:val="003A0ED5"/>
    <w:rsid w:val="003A43A4"/>
    <w:rsid w:val="003A7E18"/>
    <w:rsid w:val="003C4C86"/>
    <w:rsid w:val="003C6258"/>
    <w:rsid w:val="003E2904"/>
    <w:rsid w:val="00401927"/>
    <w:rsid w:val="0041027F"/>
    <w:rsid w:val="00412475"/>
    <w:rsid w:val="0041269F"/>
    <w:rsid w:val="00423789"/>
    <w:rsid w:val="0042594D"/>
    <w:rsid w:val="00440F43"/>
    <w:rsid w:val="00441B6F"/>
    <w:rsid w:val="00446221"/>
    <w:rsid w:val="00450E62"/>
    <w:rsid w:val="004539DB"/>
    <w:rsid w:val="00460B02"/>
    <w:rsid w:val="00471A80"/>
    <w:rsid w:val="004755D3"/>
    <w:rsid w:val="0047595E"/>
    <w:rsid w:val="004811BA"/>
    <w:rsid w:val="004862DB"/>
    <w:rsid w:val="004D305E"/>
    <w:rsid w:val="004D4277"/>
    <w:rsid w:val="004E2493"/>
    <w:rsid w:val="00502516"/>
    <w:rsid w:val="00505F06"/>
    <w:rsid w:val="00506828"/>
    <w:rsid w:val="00526AF0"/>
    <w:rsid w:val="0053056E"/>
    <w:rsid w:val="00536A48"/>
    <w:rsid w:val="00550FCD"/>
    <w:rsid w:val="00554FDA"/>
    <w:rsid w:val="00570F7B"/>
    <w:rsid w:val="00575DA6"/>
    <w:rsid w:val="00577CF7"/>
    <w:rsid w:val="00584F91"/>
    <w:rsid w:val="00591751"/>
    <w:rsid w:val="005B5007"/>
    <w:rsid w:val="005C469D"/>
    <w:rsid w:val="005C784C"/>
    <w:rsid w:val="005D17F6"/>
    <w:rsid w:val="005D70BA"/>
    <w:rsid w:val="005E5539"/>
    <w:rsid w:val="00602BF5"/>
    <w:rsid w:val="00617613"/>
    <w:rsid w:val="00617FDD"/>
    <w:rsid w:val="00625989"/>
    <w:rsid w:val="00626167"/>
    <w:rsid w:val="00630277"/>
    <w:rsid w:val="00633614"/>
    <w:rsid w:val="00633F68"/>
    <w:rsid w:val="00636EB2"/>
    <w:rsid w:val="006375B8"/>
    <w:rsid w:val="00640C95"/>
    <w:rsid w:val="00657A11"/>
    <w:rsid w:val="0066510A"/>
    <w:rsid w:val="00671A1E"/>
    <w:rsid w:val="00673F9F"/>
    <w:rsid w:val="00686953"/>
    <w:rsid w:val="00687DEA"/>
    <w:rsid w:val="00687E67"/>
    <w:rsid w:val="006911D9"/>
    <w:rsid w:val="00691FCF"/>
    <w:rsid w:val="006967F7"/>
    <w:rsid w:val="006A250C"/>
    <w:rsid w:val="006B21D3"/>
    <w:rsid w:val="006B57D0"/>
    <w:rsid w:val="006C76E2"/>
    <w:rsid w:val="006D30FF"/>
    <w:rsid w:val="006D6940"/>
    <w:rsid w:val="006D7CDA"/>
    <w:rsid w:val="006F11EC"/>
    <w:rsid w:val="0070082C"/>
    <w:rsid w:val="00726FCB"/>
    <w:rsid w:val="007369E6"/>
    <w:rsid w:val="00746E59"/>
    <w:rsid w:val="00754C9A"/>
    <w:rsid w:val="0075599A"/>
    <w:rsid w:val="00761D52"/>
    <w:rsid w:val="0077749E"/>
    <w:rsid w:val="00783014"/>
    <w:rsid w:val="00790ADA"/>
    <w:rsid w:val="00791B58"/>
    <w:rsid w:val="007A5DB1"/>
    <w:rsid w:val="007D2288"/>
    <w:rsid w:val="007E088F"/>
    <w:rsid w:val="007F1E99"/>
    <w:rsid w:val="007F7B32"/>
    <w:rsid w:val="00804BC2"/>
    <w:rsid w:val="0081431A"/>
    <w:rsid w:val="0083216F"/>
    <w:rsid w:val="00850BC6"/>
    <w:rsid w:val="00860000"/>
    <w:rsid w:val="00863BD3"/>
    <w:rsid w:val="008641ED"/>
    <w:rsid w:val="00866D66"/>
    <w:rsid w:val="008671C6"/>
    <w:rsid w:val="00873742"/>
    <w:rsid w:val="00875803"/>
    <w:rsid w:val="008B459E"/>
    <w:rsid w:val="008C1D8A"/>
    <w:rsid w:val="008C6B09"/>
    <w:rsid w:val="008E13AE"/>
    <w:rsid w:val="008E1506"/>
    <w:rsid w:val="008E40E9"/>
    <w:rsid w:val="008E710C"/>
    <w:rsid w:val="008F69D6"/>
    <w:rsid w:val="00902823"/>
    <w:rsid w:val="00915CA6"/>
    <w:rsid w:val="00927834"/>
    <w:rsid w:val="00940FEE"/>
    <w:rsid w:val="009500A6"/>
    <w:rsid w:val="00957BA3"/>
    <w:rsid w:val="00957C18"/>
    <w:rsid w:val="009659BA"/>
    <w:rsid w:val="00983040"/>
    <w:rsid w:val="009A51DE"/>
    <w:rsid w:val="009B3EE0"/>
    <w:rsid w:val="009B3FB9"/>
    <w:rsid w:val="009C2465"/>
    <w:rsid w:val="009C3F6B"/>
    <w:rsid w:val="009D35A0"/>
    <w:rsid w:val="009D7EB7"/>
    <w:rsid w:val="009E048A"/>
    <w:rsid w:val="009E08E9"/>
    <w:rsid w:val="009E3DB9"/>
    <w:rsid w:val="009E6E35"/>
    <w:rsid w:val="009F0EDA"/>
    <w:rsid w:val="00A03B96"/>
    <w:rsid w:val="00A05B19"/>
    <w:rsid w:val="00A1134E"/>
    <w:rsid w:val="00A222C6"/>
    <w:rsid w:val="00A24E7E"/>
    <w:rsid w:val="00A258C3"/>
    <w:rsid w:val="00A347C0"/>
    <w:rsid w:val="00A46BD7"/>
    <w:rsid w:val="00A51431"/>
    <w:rsid w:val="00A539AD"/>
    <w:rsid w:val="00A60781"/>
    <w:rsid w:val="00A933D2"/>
    <w:rsid w:val="00A93CDA"/>
    <w:rsid w:val="00A94063"/>
    <w:rsid w:val="00AA6219"/>
    <w:rsid w:val="00AA74E0"/>
    <w:rsid w:val="00AB703F"/>
    <w:rsid w:val="00AC573C"/>
    <w:rsid w:val="00AC6BB8"/>
    <w:rsid w:val="00AE008F"/>
    <w:rsid w:val="00AF0B98"/>
    <w:rsid w:val="00AF6B02"/>
    <w:rsid w:val="00AF6F46"/>
    <w:rsid w:val="00B01FCD"/>
    <w:rsid w:val="00B103B4"/>
    <w:rsid w:val="00B1776C"/>
    <w:rsid w:val="00B2353C"/>
    <w:rsid w:val="00B52583"/>
    <w:rsid w:val="00B52896"/>
    <w:rsid w:val="00B65A5C"/>
    <w:rsid w:val="00B75E5F"/>
    <w:rsid w:val="00B93B9E"/>
    <w:rsid w:val="00B95236"/>
    <w:rsid w:val="00B96BD9"/>
    <w:rsid w:val="00BA1B01"/>
    <w:rsid w:val="00BA2641"/>
    <w:rsid w:val="00BB37AA"/>
    <w:rsid w:val="00BB43BF"/>
    <w:rsid w:val="00BC53A0"/>
    <w:rsid w:val="00BE62AD"/>
    <w:rsid w:val="00BF121F"/>
    <w:rsid w:val="00BF1F80"/>
    <w:rsid w:val="00C166EF"/>
    <w:rsid w:val="00C17EB0"/>
    <w:rsid w:val="00C247BB"/>
    <w:rsid w:val="00C27F5F"/>
    <w:rsid w:val="00C30A0F"/>
    <w:rsid w:val="00C37E61"/>
    <w:rsid w:val="00C57773"/>
    <w:rsid w:val="00C63CB2"/>
    <w:rsid w:val="00C70F1B"/>
    <w:rsid w:val="00C71A47"/>
    <w:rsid w:val="00C7464C"/>
    <w:rsid w:val="00C85588"/>
    <w:rsid w:val="00C9777B"/>
    <w:rsid w:val="00CD6755"/>
    <w:rsid w:val="00CD6856"/>
    <w:rsid w:val="00CE0089"/>
    <w:rsid w:val="00CE16D7"/>
    <w:rsid w:val="00CE793C"/>
    <w:rsid w:val="00CE7CE4"/>
    <w:rsid w:val="00CF193C"/>
    <w:rsid w:val="00D173F1"/>
    <w:rsid w:val="00D53B85"/>
    <w:rsid w:val="00D73721"/>
    <w:rsid w:val="00D74CB0"/>
    <w:rsid w:val="00D8295D"/>
    <w:rsid w:val="00D932F7"/>
    <w:rsid w:val="00DC2A65"/>
    <w:rsid w:val="00DE15F0"/>
    <w:rsid w:val="00DE5663"/>
    <w:rsid w:val="00DE78AA"/>
    <w:rsid w:val="00E053D0"/>
    <w:rsid w:val="00E15994"/>
    <w:rsid w:val="00E3114E"/>
    <w:rsid w:val="00E31A70"/>
    <w:rsid w:val="00E33C39"/>
    <w:rsid w:val="00E35B02"/>
    <w:rsid w:val="00E502D3"/>
    <w:rsid w:val="00E66496"/>
    <w:rsid w:val="00E66B35"/>
    <w:rsid w:val="00E66E10"/>
    <w:rsid w:val="00E769F6"/>
    <w:rsid w:val="00E8407C"/>
    <w:rsid w:val="00E84F3C"/>
    <w:rsid w:val="00E871EE"/>
    <w:rsid w:val="00EA012C"/>
    <w:rsid w:val="00EB7C9C"/>
    <w:rsid w:val="00EC6A55"/>
    <w:rsid w:val="00ED0288"/>
    <w:rsid w:val="00ED4BD6"/>
    <w:rsid w:val="00EE52CB"/>
    <w:rsid w:val="00EF36B8"/>
    <w:rsid w:val="00EF3BD4"/>
    <w:rsid w:val="00EF581D"/>
    <w:rsid w:val="00EF7FD8"/>
    <w:rsid w:val="00F06F59"/>
    <w:rsid w:val="00F17988"/>
    <w:rsid w:val="00F469F0"/>
    <w:rsid w:val="00F53273"/>
    <w:rsid w:val="00F712A3"/>
    <w:rsid w:val="00F755E4"/>
    <w:rsid w:val="00F77D02"/>
    <w:rsid w:val="00FB2FFD"/>
    <w:rsid w:val="00FB3A86"/>
    <w:rsid w:val="00FD2C19"/>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26336A3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tionnonrsolue1">
    <w:name w:val="Mention non résolue1"/>
    <w:basedOn w:val="DefaultParagraphFont"/>
    <w:uiPriority w:val="99"/>
    <w:semiHidden/>
    <w:unhideWhenUsed/>
    <w:rsid w:val="00287E68"/>
    <w:rPr>
      <w:color w:val="605E5C"/>
      <w:shd w:val="clear" w:color="auto" w:fill="E1DFDD"/>
    </w:rPr>
  </w:style>
  <w:style w:type="character" w:customStyle="1" w:styleId="fontstyle01">
    <w:name w:val="fontstyle01"/>
    <w:basedOn w:val="DefaultParagraphFont"/>
    <w:rsid w:val="00FD2C19"/>
    <w:rPr>
      <w:rFonts w:ascii="ArialMT" w:hAnsi="ArialMT" w:hint="default"/>
      <w:b w:val="0"/>
      <w:bCs w:val="0"/>
      <w:i w:val="0"/>
      <w:iCs w:val="0"/>
      <w:color w:val="000000"/>
      <w:sz w:val="24"/>
      <w:szCs w:val="24"/>
    </w:rPr>
  </w:style>
  <w:style w:type="paragraph" w:styleId="ListParagraph">
    <w:name w:val="List Paragraph"/>
    <w:basedOn w:val="Normal"/>
    <w:uiPriority w:val="34"/>
    <w:qFormat/>
    <w:rsid w:val="00940FEE"/>
    <w:pPr>
      <w:ind w:left="720"/>
      <w:contextualSpacing/>
    </w:pPr>
  </w:style>
  <w:style w:type="table" w:styleId="PlainTable2">
    <w:name w:val="Plain Table 2"/>
    <w:basedOn w:val="TableNormal"/>
    <w:uiPriority w:val="42"/>
    <w:rsid w:val="00536A4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2C571B"/>
    <w:rPr>
      <w:rFonts w:ascii="Helvetica" w:hAnsi="Helvetica"/>
    </w:rPr>
  </w:style>
  <w:style w:type="character" w:styleId="UnresolvedMention">
    <w:name w:val="Unresolved Mention"/>
    <w:basedOn w:val="DefaultParagraphFont"/>
    <w:uiPriority w:val="99"/>
    <w:semiHidden/>
    <w:unhideWhenUsed/>
    <w:rsid w:val="00A22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doi.org/10.9734/psij/2023/v27i6807"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Coulibaly\Desktop\Resltat%20XRF\R&#233;sultat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Coulibaly\Desktop\Resltat%20XRF\R&#233;sultat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Coulibaly\Desktop\Resltat%20XRF\R&#233;sultats.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Coulibaly\Desktop\Resltat%20XRF\R&#233;sultats.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Coulibaly\Desktop\Resltat%20XRF\R&#233;sultats.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Coulibaly\Desktop\Resltat%20XRF\R&#233;sultats.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Coulibaly\Desktop\Resltat%20XRF\R&#233;sultats.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Coulibaly\Desktop\Resltat%20XRF\R&#233;sultats.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Coulibaly\Desktop\Resltat%20XRF\R&#233;sulta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cap="none" spc="20" baseline="0">
                <a:solidFill>
                  <a:sysClr val="windowText" lastClr="000000">
                    <a:lumMod val="50000"/>
                    <a:lumOff val="50000"/>
                  </a:sysClr>
                </a:solidFill>
                <a:latin typeface="+mn-lt"/>
                <a:ea typeface="+mn-ea"/>
                <a:cs typeface="+mn-cs"/>
              </a:defRPr>
            </a:pPr>
            <a:r>
              <a:rPr lang="en-US" sz="1200" b="0">
                <a:effectLst/>
                <a:latin typeface="Arial" panose="020B0604020202020204" pitchFamily="34" charset="0"/>
                <a:cs typeface="Arial" panose="020B0604020202020204" pitchFamily="34" charset="0"/>
              </a:rPr>
              <a:t>Chromium (Cr)</a:t>
            </a:r>
            <a:r>
              <a:rPr lang="fr-FR" sz="1200" b="0" baseline="0">
                <a:effectLst/>
                <a:latin typeface="Arial" panose="020B0604020202020204" pitchFamily="34" charset="0"/>
                <a:cs typeface="Arial" panose="020B0604020202020204" pitchFamily="34" charset="0"/>
              </a:rPr>
              <a:t> Concentration by Sample</a:t>
            </a:r>
            <a:endParaRPr lang="fr-FR" sz="1200">
              <a:effectLst/>
              <a:latin typeface="Arial" panose="020B0604020202020204" pitchFamily="34" charset="0"/>
              <a:cs typeface="Arial" panose="020B0604020202020204" pitchFamily="34" charset="0"/>
            </a:endParaRPr>
          </a:p>
        </c:rich>
      </c:tx>
      <c:overlay val="1"/>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cap="none" spc="20" baseline="0">
              <a:solidFill>
                <a:sysClr val="windowText" lastClr="000000">
                  <a:lumMod val="50000"/>
                  <a:lumOff val="50000"/>
                </a:sysClr>
              </a:solidFill>
              <a:latin typeface="+mn-lt"/>
              <a:ea typeface="+mn-ea"/>
              <a:cs typeface="+mn-cs"/>
            </a:defRPr>
          </a:pPr>
          <a:endParaRPr lang="fr-FR"/>
        </a:p>
      </c:txPr>
    </c:title>
    <c:autoTitleDeleted val="0"/>
    <c:plotArea>
      <c:layout/>
      <c:barChart>
        <c:barDir val="col"/>
        <c:grouping val="clustered"/>
        <c:varyColors val="0"/>
        <c:ser>
          <c:idx val="0"/>
          <c:order val="0"/>
          <c:tx>
            <c:strRef>
              <c:f>Chrome!$F$2</c:f>
              <c:strCache>
                <c:ptCount val="1"/>
                <c:pt idx="0">
                  <c:v>Chrome (Cr)</c:v>
                </c:pt>
              </c:strCache>
            </c:strRef>
          </c:tx>
          <c:spPr>
            <a:solidFill>
              <a:schemeClr val="accent2"/>
            </a:solidFill>
            <a:ln w="9525" cap="flat" cmpd="sng" algn="ctr">
              <a:solidFill>
                <a:schemeClr val="accent1">
                  <a:shade val="95000"/>
                </a:schemeClr>
              </a:solidFill>
              <a:round/>
            </a:ln>
            <a:effectLst/>
          </c:spPr>
          <c:invertIfNegative val="0"/>
          <c:cat>
            <c:strRef>
              <c:f>Chrome!$E$3:$E$10</c:f>
              <c:strCache>
                <c:ptCount val="8"/>
                <c:pt idx="0">
                  <c:v>Sample 1</c:v>
                </c:pt>
                <c:pt idx="1">
                  <c:v>Sample 2</c:v>
                </c:pt>
                <c:pt idx="2">
                  <c:v>Sample 3</c:v>
                </c:pt>
                <c:pt idx="3">
                  <c:v>Sample 4</c:v>
                </c:pt>
                <c:pt idx="4">
                  <c:v>Sample 5</c:v>
                </c:pt>
                <c:pt idx="5">
                  <c:v>Sample 6</c:v>
                </c:pt>
                <c:pt idx="6">
                  <c:v>Sample 7  </c:v>
                </c:pt>
                <c:pt idx="7">
                  <c:v>Sample 8 </c:v>
                </c:pt>
              </c:strCache>
            </c:strRef>
          </c:cat>
          <c:val>
            <c:numRef>
              <c:f>Chrome!$F$3:$F$10</c:f>
              <c:numCache>
                <c:formatCode>General</c:formatCode>
                <c:ptCount val="8"/>
                <c:pt idx="0">
                  <c:v>169.46</c:v>
                </c:pt>
                <c:pt idx="1">
                  <c:v>205.27</c:v>
                </c:pt>
                <c:pt idx="2">
                  <c:v>146.75</c:v>
                </c:pt>
                <c:pt idx="3">
                  <c:v>182.63</c:v>
                </c:pt>
                <c:pt idx="4">
                  <c:v>260.54000000000002</c:v>
                </c:pt>
                <c:pt idx="5">
                  <c:v>175.8</c:v>
                </c:pt>
                <c:pt idx="6">
                  <c:v>151.57</c:v>
                </c:pt>
                <c:pt idx="7">
                  <c:v>233.13</c:v>
                </c:pt>
              </c:numCache>
            </c:numRef>
          </c:val>
          <c:extLst>
            <c:ext xmlns:c16="http://schemas.microsoft.com/office/drawing/2014/chart" uri="{C3380CC4-5D6E-409C-BE32-E72D297353CC}">
              <c16:uniqueId val="{00000000-3DB9-4C62-BE8B-0BDEB44DEF4A}"/>
            </c:ext>
          </c:extLst>
        </c:ser>
        <c:dLbls>
          <c:showLegendKey val="0"/>
          <c:showVal val="0"/>
          <c:showCatName val="0"/>
          <c:showSerName val="0"/>
          <c:showPercent val="0"/>
          <c:showBubbleSize val="0"/>
        </c:dLbls>
        <c:gapWidth val="75"/>
        <c:axId val="1561391791"/>
        <c:axId val="1561393231"/>
      </c:barChart>
      <c:catAx>
        <c:axId val="156139179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561393231"/>
        <c:crosses val="autoZero"/>
        <c:auto val="1"/>
        <c:lblAlgn val="ctr"/>
        <c:lblOffset val="100"/>
        <c:noMultiLvlLbl val="0"/>
      </c:catAx>
      <c:valAx>
        <c:axId val="1561393231"/>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5613917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sz="1200" b="0" i="0" u="none" strike="noStrike" kern="1200" cap="none" spc="20" baseline="0">
                <a:solidFill>
                  <a:sysClr val="windowText" lastClr="000000">
                    <a:lumMod val="50000"/>
                    <a:lumOff val="50000"/>
                  </a:sysClr>
                </a:solidFill>
                <a:effectLst/>
                <a:latin typeface="Arial" panose="020B0604020202020204" pitchFamily="34" charset="0"/>
                <a:cs typeface="Arial" panose="020B0604020202020204" pitchFamily="34" charset="0"/>
              </a:rPr>
              <a:t>Cobalt (Co)</a:t>
            </a:r>
            <a:r>
              <a:rPr lang="fr-FR" sz="1200" b="0" i="0" u="none" strike="noStrike" kern="1200" cap="none" spc="20" baseline="0">
                <a:solidFill>
                  <a:sysClr val="windowText" lastClr="000000">
                    <a:lumMod val="50000"/>
                    <a:lumOff val="50000"/>
                  </a:sysClr>
                </a:solidFill>
                <a:effectLst/>
                <a:latin typeface="Arial" panose="020B0604020202020204" pitchFamily="34" charset="0"/>
                <a:cs typeface="Arial" panose="020B0604020202020204" pitchFamily="34" charset="0"/>
              </a:rPr>
              <a:t> Concentration by Sample</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Cobalt!$C$5</c:f>
              <c:strCache>
                <c:ptCount val="1"/>
                <c:pt idx="0">
                  <c:v>Cobalt (Co)</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Cobalt!$B$6:$B$13</c:f>
              <c:strCache>
                <c:ptCount val="8"/>
                <c:pt idx="0">
                  <c:v>Sample 1</c:v>
                </c:pt>
                <c:pt idx="1">
                  <c:v>Sample 2</c:v>
                </c:pt>
                <c:pt idx="2">
                  <c:v>Sample 3  </c:v>
                </c:pt>
                <c:pt idx="3">
                  <c:v>Sample 4  </c:v>
                </c:pt>
                <c:pt idx="4">
                  <c:v>Sample 5</c:v>
                </c:pt>
                <c:pt idx="5">
                  <c:v>Sample 6</c:v>
                </c:pt>
                <c:pt idx="6">
                  <c:v>Sample 7</c:v>
                </c:pt>
                <c:pt idx="7">
                  <c:v>Sample 8</c:v>
                </c:pt>
              </c:strCache>
            </c:strRef>
          </c:cat>
          <c:val>
            <c:numRef>
              <c:f>Cobalt!$C$6:$C$13</c:f>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0-485D-4F9D-8BCE-5F5785AB19F9}"/>
            </c:ext>
          </c:extLst>
        </c:ser>
        <c:dLbls>
          <c:showLegendKey val="0"/>
          <c:showVal val="1"/>
          <c:showCatName val="0"/>
          <c:showSerName val="0"/>
          <c:showPercent val="0"/>
          <c:showBubbleSize val="0"/>
        </c:dLbls>
        <c:gapWidth val="75"/>
        <c:axId val="1561440095"/>
        <c:axId val="1561441055"/>
      </c:barChart>
      <c:catAx>
        <c:axId val="1561440095"/>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1441055"/>
        <c:crosses val="autoZero"/>
        <c:auto val="1"/>
        <c:lblAlgn val="ctr"/>
        <c:lblOffset val="100"/>
        <c:noMultiLvlLbl val="0"/>
      </c:catAx>
      <c:valAx>
        <c:axId val="156144105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14400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u="none" strike="noStrike" kern="1200" cap="none" spc="20" baseline="0">
                <a:solidFill>
                  <a:sysClr val="windowText" lastClr="000000">
                    <a:lumMod val="50000"/>
                    <a:lumOff val="50000"/>
                  </a:sysClr>
                </a:solidFill>
                <a:effectLst/>
                <a:latin typeface="Arial" panose="020B0604020202020204" pitchFamily="34" charset="0"/>
                <a:cs typeface="Arial" panose="020B0604020202020204" pitchFamily="34" charset="0"/>
              </a:rPr>
              <a:t>Nickel (Ni)</a:t>
            </a:r>
            <a:r>
              <a:rPr lang="fr-FR" sz="1200" b="0" i="0" u="none" strike="noStrike" kern="1200" cap="none" spc="20" baseline="0">
                <a:solidFill>
                  <a:sysClr val="windowText" lastClr="000000">
                    <a:lumMod val="50000"/>
                    <a:lumOff val="50000"/>
                  </a:sysClr>
                </a:solidFill>
                <a:effectLst/>
                <a:latin typeface="Arial" panose="020B0604020202020204" pitchFamily="34" charset="0"/>
                <a:cs typeface="Arial" panose="020B0604020202020204" pitchFamily="34" charset="0"/>
              </a:rPr>
              <a:t> Concentration by Sample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Nickel!$C$2</c:f>
              <c:strCache>
                <c:ptCount val="1"/>
                <c:pt idx="0">
                  <c:v>Nickel (Ni)</c:v>
                </c:pt>
              </c:strCache>
            </c:strRef>
          </c:tx>
          <c:spPr>
            <a:solidFill>
              <a:schemeClr val="accent1"/>
            </a:solidFill>
            <a:ln>
              <a:noFill/>
            </a:ln>
            <a:effectLst/>
          </c:spPr>
          <c:invertIfNegative val="0"/>
          <c:dPt>
            <c:idx val="6"/>
            <c:invertIfNegative val="0"/>
            <c:bubble3D val="0"/>
            <c:spPr>
              <a:solidFill>
                <a:schemeClr val="accent2"/>
              </a:solidFill>
              <a:ln>
                <a:noFill/>
              </a:ln>
              <a:effectLst/>
            </c:spPr>
            <c:extLst>
              <c:ext xmlns:c16="http://schemas.microsoft.com/office/drawing/2014/chart" uri="{C3380CC4-5D6E-409C-BE32-E72D297353CC}">
                <c16:uniqueId val="{00000001-6BA5-4CA1-9F92-6DD9ABA9948B}"/>
              </c:ext>
            </c:extLst>
          </c:dPt>
          <c:cat>
            <c:strRef>
              <c:f>Nickel!$B$3:$B$10</c:f>
              <c:strCache>
                <c:ptCount val="8"/>
                <c:pt idx="0">
                  <c:v>Sample 1 </c:v>
                </c:pt>
                <c:pt idx="1">
                  <c:v>Sample 2</c:v>
                </c:pt>
                <c:pt idx="2">
                  <c:v>Sample 3</c:v>
                </c:pt>
                <c:pt idx="3">
                  <c:v>Sample 4</c:v>
                </c:pt>
                <c:pt idx="4">
                  <c:v>Sample 5</c:v>
                </c:pt>
                <c:pt idx="5">
                  <c:v>Sample 6</c:v>
                </c:pt>
                <c:pt idx="6">
                  <c:v>Sample 7</c:v>
                </c:pt>
                <c:pt idx="7">
                  <c:v>Sample 8</c:v>
                </c:pt>
              </c:strCache>
            </c:strRef>
          </c:cat>
          <c:val>
            <c:numRef>
              <c:f>Nickel!$C$3:$C$10</c:f>
              <c:numCache>
                <c:formatCode>General</c:formatCode>
                <c:ptCount val="8"/>
                <c:pt idx="0">
                  <c:v>0</c:v>
                </c:pt>
                <c:pt idx="1">
                  <c:v>0</c:v>
                </c:pt>
                <c:pt idx="2">
                  <c:v>0</c:v>
                </c:pt>
                <c:pt idx="3">
                  <c:v>0</c:v>
                </c:pt>
                <c:pt idx="4">
                  <c:v>0</c:v>
                </c:pt>
                <c:pt idx="5">
                  <c:v>0</c:v>
                </c:pt>
                <c:pt idx="6">
                  <c:v>22.29</c:v>
                </c:pt>
                <c:pt idx="7">
                  <c:v>0</c:v>
                </c:pt>
              </c:numCache>
            </c:numRef>
          </c:val>
          <c:extLst>
            <c:ext xmlns:c16="http://schemas.microsoft.com/office/drawing/2014/chart" uri="{C3380CC4-5D6E-409C-BE32-E72D297353CC}">
              <c16:uniqueId val="{00000002-6BA5-4CA1-9F92-6DD9ABA9948B}"/>
            </c:ext>
          </c:extLst>
        </c:ser>
        <c:dLbls>
          <c:showLegendKey val="0"/>
          <c:showVal val="0"/>
          <c:showCatName val="0"/>
          <c:showSerName val="0"/>
          <c:showPercent val="0"/>
          <c:showBubbleSize val="0"/>
        </c:dLbls>
        <c:gapWidth val="75"/>
        <c:axId val="1454342112"/>
        <c:axId val="1454344512"/>
      </c:barChart>
      <c:catAx>
        <c:axId val="1454342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4344512"/>
        <c:crosses val="autoZero"/>
        <c:auto val="1"/>
        <c:lblAlgn val="ctr"/>
        <c:lblOffset val="100"/>
        <c:noMultiLvlLbl val="0"/>
      </c:catAx>
      <c:valAx>
        <c:axId val="14543445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4342112"/>
        <c:crosses val="autoZero"/>
        <c:crossBetween val="between"/>
      </c:valAx>
      <c:spPr>
        <a:solidFill>
          <a:sysClr val="window" lastClr="FFFFFF"/>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a:effectLst/>
              </a:rPr>
              <a:t>Copper (Cu) </a:t>
            </a:r>
            <a:r>
              <a:rPr lang="fr-FR" sz="1200" b="0" i="0" u="none" strike="noStrike" kern="1200" cap="none" spc="20" baseline="0">
                <a:solidFill>
                  <a:sysClr val="windowText" lastClr="000000">
                    <a:lumMod val="50000"/>
                    <a:lumOff val="50000"/>
                  </a:sysClr>
                </a:solidFill>
                <a:effectLst/>
                <a:latin typeface="Arial" panose="020B0604020202020204" pitchFamily="34" charset="0"/>
                <a:cs typeface="Arial" panose="020B0604020202020204" pitchFamily="34" charset="0"/>
              </a:rPr>
              <a:t>Concentration by Sample</a:t>
            </a:r>
            <a:endParaRPr lang="fr-FR"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Cuivre!$D$3</c:f>
              <c:strCache>
                <c:ptCount val="1"/>
                <c:pt idx="0">
                  <c:v>Cuivre (Cu)</c:v>
                </c:pt>
              </c:strCache>
            </c:strRef>
          </c:tx>
          <c:spPr>
            <a:solidFill>
              <a:schemeClr val="accent2"/>
            </a:solidFill>
            <a:ln>
              <a:noFill/>
            </a:ln>
            <a:effectLst/>
          </c:spPr>
          <c:invertIfNegative val="0"/>
          <c:cat>
            <c:strRef>
              <c:f>Cuivre!$C$4:$C$11</c:f>
              <c:strCache>
                <c:ptCount val="8"/>
                <c:pt idx="0">
                  <c:v>Sample 1 </c:v>
                </c:pt>
                <c:pt idx="1">
                  <c:v>Sample 2</c:v>
                </c:pt>
                <c:pt idx="2">
                  <c:v>Sample 3</c:v>
                </c:pt>
                <c:pt idx="3">
                  <c:v>Sample 4</c:v>
                </c:pt>
                <c:pt idx="4">
                  <c:v>Sample 5</c:v>
                </c:pt>
                <c:pt idx="5">
                  <c:v>Sample 6</c:v>
                </c:pt>
                <c:pt idx="6">
                  <c:v>Sample 7</c:v>
                </c:pt>
                <c:pt idx="7">
                  <c:v>Sample 8</c:v>
                </c:pt>
              </c:strCache>
            </c:strRef>
          </c:cat>
          <c:val>
            <c:numRef>
              <c:f>Cuivre!$D$4:$D$11</c:f>
              <c:numCache>
                <c:formatCode>General</c:formatCode>
                <c:ptCount val="8"/>
                <c:pt idx="0">
                  <c:v>34.25</c:v>
                </c:pt>
                <c:pt idx="1">
                  <c:v>45.47</c:v>
                </c:pt>
                <c:pt idx="2">
                  <c:v>42.83</c:v>
                </c:pt>
                <c:pt idx="3">
                  <c:v>33.96</c:v>
                </c:pt>
                <c:pt idx="4">
                  <c:v>71.260000000000005</c:v>
                </c:pt>
                <c:pt idx="5">
                  <c:v>44.43</c:v>
                </c:pt>
                <c:pt idx="6">
                  <c:v>45.39</c:v>
                </c:pt>
                <c:pt idx="7">
                  <c:v>148.58000000000001</c:v>
                </c:pt>
              </c:numCache>
            </c:numRef>
          </c:val>
          <c:extLst>
            <c:ext xmlns:c16="http://schemas.microsoft.com/office/drawing/2014/chart" uri="{C3380CC4-5D6E-409C-BE32-E72D297353CC}">
              <c16:uniqueId val="{00000000-C21A-4C7A-80E3-45D77AFDDE92}"/>
            </c:ext>
          </c:extLst>
        </c:ser>
        <c:dLbls>
          <c:showLegendKey val="0"/>
          <c:showVal val="0"/>
          <c:showCatName val="0"/>
          <c:showSerName val="0"/>
          <c:showPercent val="0"/>
          <c:showBubbleSize val="0"/>
        </c:dLbls>
        <c:gapWidth val="75"/>
        <c:axId val="1457054960"/>
        <c:axId val="1457053520"/>
      </c:barChart>
      <c:catAx>
        <c:axId val="1457054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7053520"/>
        <c:crosses val="autoZero"/>
        <c:auto val="1"/>
        <c:lblAlgn val="ctr"/>
        <c:lblOffset val="100"/>
        <c:noMultiLvlLbl val="0"/>
      </c:catAx>
      <c:valAx>
        <c:axId val="14570535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70549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latin typeface="Arial" panose="020B0604020202020204" pitchFamily="34" charset="0"/>
                <a:cs typeface="Arial" panose="020B0604020202020204" pitchFamily="34" charset="0"/>
              </a:rPr>
              <a:t>Zinc (Zn) </a:t>
            </a:r>
            <a:r>
              <a:rPr lang="fr-FR" sz="1400" b="0" i="0" u="none" strike="noStrike" kern="1200" cap="none" spc="20" baseline="0">
                <a:solidFill>
                  <a:sysClr val="windowText" lastClr="000000">
                    <a:lumMod val="50000"/>
                    <a:lumOff val="50000"/>
                  </a:sysClr>
                </a:solidFill>
                <a:effectLst/>
                <a:latin typeface="Arial" panose="020B0604020202020204" pitchFamily="34" charset="0"/>
                <a:cs typeface="Arial" panose="020B0604020202020204" pitchFamily="34" charset="0"/>
              </a:rPr>
              <a:t>Concentration by Sample</a:t>
            </a:r>
            <a:endParaRPr lang="fr-FR">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title>
    <c:autoTitleDeleted val="0"/>
    <c:plotArea>
      <c:layout/>
      <c:barChart>
        <c:barDir val="col"/>
        <c:grouping val="clustered"/>
        <c:varyColors val="0"/>
        <c:ser>
          <c:idx val="0"/>
          <c:order val="0"/>
          <c:tx>
            <c:strRef>
              <c:f>Zinc!$D$3</c:f>
              <c:strCache>
                <c:ptCount val="1"/>
                <c:pt idx="0">
                  <c:v>Zinc (Zn)</c:v>
                </c:pt>
              </c:strCache>
            </c:strRef>
          </c:tx>
          <c:spPr>
            <a:solidFill>
              <a:schemeClr val="accent2"/>
            </a:solidFill>
            <a:ln>
              <a:noFill/>
            </a:ln>
            <a:effectLst/>
          </c:spPr>
          <c:invertIfNegative val="0"/>
          <c:cat>
            <c:strRef>
              <c:f>Zinc!$C$4:$C$11</c:f>
              <c:strCache>
                <c:ptCount val="8"/>
                <c:pt idx="0">
                  <c:v> Sample 1 </c:v>
                </c:pt>
                <c:pt idx="1">
                  <c:v>Sample 2</c:v>
                </c:pt>
                <c:pt idx="2">
                  <c:v>Sample 3</c:v>
                </c:pt>
                <c:pt idx="3">
                  <c:v>Sample 4</c:v>
                </c:pt>
                <c:pt idx="4">
                  <c:v>Sample 5</c:v>
                </c:pt>
                <c:pt idx="5">
                  <c:v>Sample 6</c:v>
                </c:pt>
                <c:pt idx="6">
                  <c:v>Sample 7</c:v>
                </c:pt>
                <c:pt idx="7">
                  <c:v>Sample 8</c:v>
                </c:pt>
              </c:strCache>
            </c:strRef>
          </c:cat>
          <c:val>
            <c:numRef>
              <c:f>Zinc!$D$4:$D$11</c:f>
              <c:numCache>
                <c:formatCode>General</c:formatCode>
                <c:ptCount val="8"/>
                <c:pt idx="0">
                  <c:v>46.75</c:v>
                </c:pt>
                <c:pt idx="1">
                  <c:v>93.85</c:v>
                </c:pt>
                <c:pt idx="2">
                  <c:v>43.24</c:v>
                </c:pt>
                <c:pt idx="3">
                  <c:v>54.76</c:v>
                </c:pt>
                <c:pt idx="4">
                  <c:v>677.32</c:v>
                </c:pt>
                <c:pt idx="5">
                  <c:v>98.65</c:v>
                </c:pt>
                <c:pt idx="6">
                  <c:v>77.05</c:v>
                </c:pt>
                <c:pt idx="7">
                  <c:v>506.12</c:v>
                </c:pt>
              </c:numCache>
            </c:numRef>
          </c:val>
          <c:extLst>
            <c:ext xmlns:c16="http://schemas.microsoft.com/office/drawing/2014/chart" uri="{C3380CC4-5D6E-409C-BE32-E72D297353CC}">
              <c16:uniqueId val="{00000000-B43A-438B-84AD-770324B9983D}"/>
            </c:ext>
          </c:extLst>
        </c:ser>
        <c:dLbls>
          <c:showLegendKey val="0"/>
          <c:showVal val="0"/>
          <c:showCatName val="0"/>
          <c:showSerName val="0"/>
          <c:showPercent val="0"/>
          <c:showBubbleSize val="0"/>
        </c:dLbls>
        <c:gapWidth val="75"/>
        <c:axId val="1451127280"/>
        <c:axId val="1451127760"/>
      </c:barChart>
      <c:catAx>
        <c:axId val="1451127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1127760"/>
        <c:crosses val="autoZero"/>
        <c:auto val="1"/>
        <c:lblAlgn val="ctr"/>
        <c:lblOffset val="100"/>
        <c:noMultiLvlLbl val="0"/>
      </c:catAx>
      <c:valAx>
        <c:axId val="14511277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11272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200">
                <a:latin typeface="Arial" panose="020B0604020202020204" pitchFamily="34" charset="0"/>
                <a:cs typeface="Arial" panose="020B0604020202020204" pitchFamily="34" charset="0"/>
              </a:rPr>
              <a:t>Arsenic (As)</a:t>
            </a:r>
            <a:r>
              <a:rPr lang="en-US" sz="1200" b="0" i="1" u="none" strike="noStrike" baseline="0">
                <a:effectLst/>
                <a:latin typeface="Arial" panose="020B0604020202020204" pitchFamily="34" charset="0"/>
                <a:cs typeface="Arial" panose="020B0604020202020204" pitchFamily="34" charset="0"/>
              </a:rPr>
              <a:t> Concentration by Sample</a:t>
            </a:r>
            <a:endParaRPr lang="fr-FR" sz="12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Arsenic!$C$3</c:f>
              <c:strCache>
                <c:ptCount val="1"/>
                <c:pt idx="0">
                  <c:v>Arsenic (As)</c:v>
                </c:pt>
              </c:strCache>
            </c:strRef>
          </c:tx>
          <c:spPr>
            <a:solidFill>
              <a:schemeClr val="accent2"/>
            </a:solidFill>
            <a:ln>
              <a:noFill/>
            </a:ln>
            <a:effectLst/>
          </c:spPr>
          <c:invertIfNegative val="0"/>
          <c:dLbls>
            <c:delete val="1"/>
          </c:dLbls>
          <c:cat>
            <c:strRef>
              <c:f>Arsenic!$B$4:$B$11</c:f>
              <c:strCache>
                <c:ptCount val="8"/>
                <c:pt idx="0">
                  <c:v>Sample 1 </c:v>
                </c:pt>
                <c:pt idx="1">
                  <c:v>Sample 2</c:v>
                </c:pt>
                <c:pt idx="2">
                  <c:v>Sample 3</c:v>
                </c:pt>
                <c:pt idx="3">
                  <c:v>Sample 4</c:v>
                </c:pt>
                <c:pt idx="4">
                  <c:v>Sample 5</c:v>
                </c:pt>
                <c:pt idx="5">
                  <c:v>Sample 6</c:v>
                </c:pt>
                <c:pt idx="6">
                  <c:v>Sample 7</c:v>
                </c:pt>
                <c:pt idx="7">
                  <c:v>Sample 8</c:v>
                </c:pt>
              </c:strCache>
            </c:strRef>
          </c:cat>
          <c:val>
            <c:numRef>
              <c:f>Arsenic!$C$4:$C$11</c:f>
              <c:numCache>
                <c:formatCode>General</c:formatCode>
                <c:ptCount val="8"/>
                <c:pt idx="0">
                  <c:v>7.28</c:v>
                </c:pt>
                <c:pt idx="1">
                  <c:v>8.56</c:v>
                </c:pt>
                <c:pt idx="2">
                  <c:v>7</c:v>
                </c:pt>
                <c:pt idx="3">
                  <c:v>0</c:v>
                </c:pt>
                <c:pt idx="4">
                  <c:v>0</c:v>
                </c:pt>
                <c:pt idx="5">
                  <c:v>9.07</c:v>
                </c:pt>
                <c:pt idx="6">
                  <c:v>7.68</c:v>
                </c:pt>
                <c:pt idx="7">
                  <c:v>0</c:v>
                </c:pt>
              </c:numCache>
            </c:numRef>
          </c:val>
          <c:extLst>
            <c:ext xmlns:c16="http://schemas.microsoft.com/office/drawing/2014/chart" uri="{C3380CC4-5D6E-409C-BE32-E72D297353CC}">
              <c16:uniqueId val="{00000000-57DE-442D-873D-CD07DD5AF966}"/>
            </c:ext>
          </c:extLst>
        </c:ser>
        <c:dLbls>
          <c:showLegendKey val="0"/>
          <c:showVal val="1"/>
          <c:showCatName val="0"/>
          <c:showSerName val="0"/>
          <c:showPercent val="0"/>
          <c:showBubbleSize val="0"/>
        </c:dLbls>
        <c:gapWidth val="75"/>
        <c:axId val="1098356384"/>
        <c:axId val="1098365024"/>
      </c:barChart>
      <c:catAx>
        <c:axId val="109835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8365024"/>
        <c:crosses val="autoZero"/>
        <c:auto val="1"/>
        <c:lblAlgn val="ctr"/>
        <c:lblOffset val="100"/>
        <c:noMultiLvlLbl val="0"/>
      </c:catAx>
      <c:valAx>
        <c:axId val="10983650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83563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fr-FR"/>
              <a:t>Cadmium (Cd) </a:t>
            </a:r>
            <a:r>
              <a:rPr lang="en-US" sz="1400" b="0" i="1" u="none" strike="noStrike" kern="1200" spc="0" baseline="0">
                <a:solidFill>
                  <a:sysClr val="windowText" lastClr="000000">
                    <a:lumMod val="65000"/>
                    <a:lumOff val="35000"/>
                  </a:sysClr>
                </a:solidFill>
                <a:effectLst/>
                <a:latin typeface="Arial" panose="020B0604020202020204" pitchFamily="34" charset="0"/>
                <a:cs typeface="Arial" panose="020B0604020202020204" pitchFamily="34" charset="0"/>
              </a:rPr>
              <a:t>Concentration by Sample</a:t>
            </a:r>
            <a:endParaRPr lang="fr-FR" sz="140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fr-F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fr-FR"/>
        </a:p>
      </c:txPr>
    </c:title>
    <c:autoTitleDeleted val="0"/>
    <c:plotArea>
      <c:layout/>
      <c:barChart>
        <c:barDir val="col"/>
        <c:grouping val="clustered"/>
        <c:varyColors val="0"/>
        <c:ser>
          <c:idx val="0"/>
          <c:order val="0"/>
          <c:tx>
            <c:strRef>
              <c:f>Cadmium!$C$4</c:f>
              <c:strCache>
                <c:ptCount val="1"/>
                <c:pt idx="0">
                  <c:v>Cadmium (Cd)</c:v>
                </c:pt>
              </c:strCache>
            </c:strRef>
          </c:tx>
          <c:spPr>
            <a:solidFill>
              <a:schemeClr val="accent1"/>
            </a:solidFill>
            <a:ln>
              <a:noFill/>
            </a:ln>
            <a:effectLst/>
          </c:spPr>
          <c:invertIfNegative val="0"/>
          <c:cat>
            <c:strRef>
              <c:f>Cadmium!$B$5:$B$12</c:f>
              <c:strCache>
                <c:ptCount val="8"/>
                <c:pt idx="0">
                  <c:v>Sample 1 </c:v>
                </c:pt>
                <c:pt idx="1">
                  <c:v>Sample 2</c:v>
                </c:pt>
                <c:pt idx="2">
                  <c:v>Sample 3</c:v>
                </c:pt>
                <c:pt idx="3">
                  <c:v>Sample 4</c:v>
                </c:pt>
                <c:pt idx="4">
                  <c:v>Sample 5</c:v>
                </c:pt>
                <c:pt idx="5">
                  <c:v>Sample 6</c:v>
                </c:pt>
                <c:pt idx="6">
                  <c:v>Sample 7</c:v>
                </c:pt>
                <c:pt idx="7">
                  <c:v>Sample 8</c:v>
                </c:pt>
              </c:strCache>
            </c:strRef>
          </c:cat>
          <c:val>
            <c:numRef>
              <c:f>Cadmium!$C$5:$C$12</c:f>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0-DF4A-4C9E-85CF-E984C318863B}"/>
            </c:ext>
          </c:extLst>
        </c:ser>
        <c:dLbls>
          <c:showLegendKey val="0"/>
          <c:showVal val="0"/>
          <c:showCatName val="0"/>
          <c:showSerName val="0"/>
          <c:showPercent val="0"/>
          <c:showBubbleSize val="0"/>
        </c:dLbls>
        <c:gapWidth val="75"/>
        <c:axId val="1356918896"/>
        <c:axId val="1356919376"/>
      </c:barChart>
      <c:catAx>
        <c:axId val="1356918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6919376"/>
        <c:crosses val="autoZero"/>
        <c:auto val="1"/>
        <c:lblAlgn val="ctr"/>
        <c:lblOffset val="100"/>
        <c:noMultiLvlLbl val="0"/>
      </c:catAx>
      <c:valAx>
        <c:axId val="13569193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69188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Mercury (Hg) </a:t>
            </a:r>
            <a:r>
              <a:rPr lang="en-US" sz="1400" b="0" i="1" u="none" strike="noStrike" kern="1200" spc="0" baseline="0">
                <a:solidFill>
                  <a:sysClr val="windowText" lastClr="000000">
                    <a:lumMod val="65000"/>
                    <a:lumOff val="35000"/>
                  </a:sysClr>
                </a:solidFill>
                <a:effectLst/>
                <a:latin typeface="Arial" panose="020B0604020202020204" pitchFamily="34" charset="0"/>
                <a:cs typeface="Arial" panose="020B0604020202020204" pitchFamily="34" charset="0"/>
              </a:rPr>
              <a:t>Concentration by Sample</a:t>
            </a:r>
            <a:endParaRPr lang="fr-FR" sz="140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Mercure!$C$3</c:f>
              <c:strCache>
                <c:ptCount val="1"/>
                <c:pt idx="0">
                  <c:v>Mercure (Hg)</c:v>
                </c:pt>
              </c:strCache>
            </c:strRef>
          </c:tx>
          <c:spPr>
            <a:solidFill>
              <a:schemeClr val="accent1"/>
            </a:solidFill>
            <a:ln>
              <a:noFill/>
            </a:ln>
            <a:effectLst/>
          </c:spPr>
          <c:invertIfNegative val="0"/>
          <c:cat>
            <c:strRef>
              <c:f>Mercure!$B$4:$B$11</c:f>
              <c:strCache>
                <c:ptCount val="8"/>
                <c:pt idx="0">
                  <c:v>Sample 1 </c:v>
                </c:pt>
                <c:pt idx="1">
                  <c:v>Sample 2</c:v>
                </c:pt>
                <c:pt idx="2">
                  <c:v>Sample 3</c:v>
                </c:pt>
                <c:pt idx="3">
                  <c:v>Sample 4</c:v>
                </c:pt>
                <c:pt idx="4">
                  <c:v>Sample 5</c:v>
                </c:pt>
                <c:pt idx="5">
                  <c:v>Sample 6</c:v>
                </c:pt>
                <c:pt idx="6">
                  <c:v>Sample 7</c:v>
                </c:pt>
                <c:pt idx="7">
                  <c:v>Sample 8</c:v>
                </c:pt>
              </c:strCache>
            </c:strRef>
          </c:cat>
          <c:val>
            <c:numRef>
              <c:f>Mercure!$C$4:$C$11</c:f>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0-266B-4A44-A124-95A1455F3832}"/>
            </c:ext>
          </c:extLst>
        </c:ser>
        <c:dLbls>
          <c:showLegendKey val="0"/>
          <c:showVal val="0"/>
          <c:showCatName val="0"/>
          <c:showSerName val="0"/>
          <c:showPercent val="0"/>
          <c:showBubbleSize val="0"/>
        </c:dLbls>
        <c:gapWidth val="75"/>
        <c:axId val="1098378464"/>
        <c:axId val="1098373664"/>
      </c:barChart>
      <c:catAx>
        <c:axId val="1098378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8373664"/>
        <c:crosses val="autoZero"/>
        <c:auto val="1"/>
        <c:lblAlgn val="ctr"/>
        <c:lblOffset val="100"/>
        <c:noMultiLvlLbl val="0"/>
      </c:catAx>
      <c:valAx>
        <c:axId val="109837366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83784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u="none" strike="noStrike" baseline="0">
                <a:effectLst/>
                <a:latin typeface="Arial" panose="020B0604020202020204" pitchFamily="34" charset="0"/>
                <a:cs typeface="Arial" panose="020B0604020202020204" pitchFamily="34" charset="0"/>
              </a:rPr>
              <a:t>Lead (Pb) Concentration by Sample</a:t>
            </a:r>
            <a:endParaRPr lang="fr-FR" sz="120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Plomb!$C$3</c:f>
              <c:strCache>
                <c:ptCount val="1"/>
                <c:pt idx="0">
                  <c:v>Plomb (Pb)</c:v>
                </c:pt>
              </c:strCache>
            </c:strRef>
          </c:tx>
          <c:spPr>
            <a:solidFill>
              <a:schemeClr val="accent2"/>
            </a:solidFill>
            <a:ln>
              <a:noFill/>
            </a:ln>
            <a:effectLst/>
          </c:spPr>
          <c:invertIfNegative val="0"/>
          <c:cat>
            <c:strRef>
              <c:f>Plomb!$B$4:$B$11</c:f>
              <c:strCache>
                <c:ptCount val="8"/>
                <c:pt idx="0">
                  <c:v>Sample 1 </c:v>
                </c:pt>
                <c:pt idx="1">
                  <c:v>Sample 2</c:v>
                </c:pt>
                <c:pt idx="2">
                  <c:v>Sample 3</c:v>
                </c:pt>
                <c:pt idx="3">
                  <c:v>Sample 4</c:v>
                </c:pt>
                <c:pt idx="4">
                  <c:v>Sample 5</c:v>
                </c:pt>
                <c:pt idx="5">
                  <c:v>Sample 6</c:v>
                </c:pt>
                <c:pt idx="6">
                  <c:v>Sample 7</c:v>
                </c:pt>
                <c:pt idx="7">
                  <c:v>Sample 8</c:v>
                </c:pt>
              </c:strCache>
            </c:strRef>
          </c:cat>
          <c:val>
            <c:numRef>
              <c:f>Plomb!$C$4:$C$11</c:f>
              <c:numCache>
                <c:formatCode>General</c:formatCode>
                <c:ptCount val="8"/>
                <c:pt idx="0">
                  <c:v>48.82</c:v>
                </c:pt>
                <c:pt idx="1">
                  <c:v>59.03</c:v>
                </c:pt>
                <c:pt idx="2">
                  <c:v>53.33</c:v>
                </c:pt>
                <c:pt idx="3">
                  <c:v>52.51</c:v>
                </c:pt>
                <c:pt idx="4">
                  <c:v>99.64</c:v>
                </c:pt>
                <c:pt idx="5">
                  <c:v>121.41</c:v>
                </c:pt>
                <c:pt idx="6">
                  <c:v>44.74</c:v>
                </c:pt>
                <c:pt idx="7">
                  <c:v>167.82</c:v>
                </c:pt>
              </c:numCache>
            </c:numRef>
          </c:val>
          <c:extLst>
            <c:ext xmlns:c16="http://schemas.microsoft.com/office/drawing/2014/chart" uri="{C3380CC4-5D6E-409C-BE32-E72D297353CC}">
              <c16:uniqueId val="{00000000-079B-4EB9-A63E-7FD0C92FF863}"/>
            </c:ext>
          </c:extLst>
        </c:ser>
        <c:dLbls>
          <c:showLegendKey val="0"/>
          <c:showVal val="0"/>
          <c:showCatName val="0"/>
          <c:showSerName val="0"/>
          <c:showPercent val="0"/>
          <c:showBubbleSize val="0"/>
        </c:dLbls>
        <c:gapWidth val="75"/>
        <c:axId val="1363480064"/>
        <c:axId val="1363481024"/>
      </c:barChart>
      <c:catAx>
        <c:axId val="1363480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3481024"/>
        <c:crosses val="autoZero"/>
        <c:auto val="1"/>
        <c:lblAlgn val="ctr"/>
        <c:lblOffset val="100"/>
        <c:noMultiLvlLbl val="0"/>
      </c:catAx>
      <c:valAx>
        <c:axId val="13634810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34800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D09B7-334F-46F1-818F-209684E7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337</TotalTime>
  <Pages>17</Pages>
  <Words>5450</Words>
  <Characters>30579</Characters>
  <Application>Microsoft Office Word</Application>
  <DocSecurity>0</DocSecurity>
  <Lines>745</Lines>
  <Paragraphs>333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35696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Editor-26</cp:lastModifiedBy>
  <cp:revision>96</cp:revision>
  <cp:lastPrinted>1999-07-06T11:00:00Z</cp:lastPrinted>
  <dcterms:created xsi:type="dcterms:W3CDTF">2014-10-25T14:34:00Z</dcterms:created>
  <dcterms:modified xsi:type="dcterms:W3CDTF">2025-07-15T08:17:00Z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30538f7f-0042-47ae-8ad7-f70a1590e398</vt:lpwstr>
  </property>
</Properties>
</file>