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D13B73" w:rsidRDefault="00D13B73" w:rsidP="000D41DD">
      <w:pPr>
        <w:pStyle w:val="Author"/>
        <w:rPr>
          <w:rFonts w:ascii="Arial" w:hAnsi="Arial" w:cs="Arial"/>
          <w:bCs/>
          <w:iCs/>
          <w:kern w:val="28"/>
          <w:sz w:val="36"/>
        </w:rPr>
      </w:pPr>
    </w:p>
    <w:p w:rsidR="000D41DD" w:rsidRPr="000D41DD" w:rsidRDefault="000D41DD" w:rsidP="00EF6515">
      <w:pPr>
        <w:pStyle w:val="Author"/>
        <w:spacing w:line="240" w:lineRule="auto"/>
        <w:rPr>
          <w:rFonts w:ascii="Arial" w:hAnsi="Arial" w:cs="Arial"/>
          <w:bCs/>
          <w:iCs/>
          <w:kern w:val="28"/>
          <w:sz w:val="36"/>
        </w:rPr>
      </w:pPr>
      <w:r w:rsidRPr="000D41DD">
        <w:rPr>
          <w:rFonts w:ascii="Arial" w:hAnsi="Arial" w:cs="Arial"/>
          <w:bCs/>
          <w:iCs/>
          <w:kern w:val="28"/>
          <w:sz w:val="36"/>
        </w:rPr>
        <w:t xml:space="preserve">The association of HbA1c with severity of coronary artery disease in patients </w:t>
      </w:r>
    </w:p>
    <w:p w:rsidR="000D41DD" w:rsidRDefault="000D41DD" w:rsidP="00EF6515">
      <w:pPr>
        <w:pStyle w:val="Author"/>
        <w:spacing w:line="240" w:lineRule="auto"/>
        <w:rPr>
          <w:rFonts w:ascii="Arial" w:hAnsi="Arial" w:cs="Arial"/>
          <w:bCs/>
          <w:iCs/>
          <w:kern w:val="28"/>
          <w:sz w:val="36"/>
        </w:rPr>
      </w:pPr>
      <w:r w:rsidRPr="000D41DD">
        <w:rPr>
          <w:rFonts w:ascii="Arial" w:hAnsi="Arial" w:cs="Arial"/>
          <w:bCs/>
          <w:iCs/>
          <w:kern w:val="28"/>
          <w:sz w:val="36"/>
        </w:rPr>
        <w:t>presenting as acute coronary syndrome</w:t>
      </w: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B44E93"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Introduction:</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Diabetes mellitus (DM) is recognized as a critical and independent predictor of mortality in coronary artery disease (CAD). Glycated hemoglobin (HbA1c) serves as a crucial indicator for monitoring blood sugar control in diabetic individuals. </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Aim:</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This study aimed to explore how HbA1c levels correlate with the severity of coronary artery disease in patients presenting with acute coronary syndrome (ACS). </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Materials and methods:</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We performed an observational retrospective study including 90 patients who underwent coronary angiography due to angina were enrolled. All patients gave their informed consent before taking part.</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Results:</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The study included 90 patients, with a demographic breakdown of 77% male and 23% female. </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Within this group, 33% were hypertensive, 50% were smokers, and 43% had dyslipidemia. Analysis of HbA1c levels revealed that 13% of participants had values in the </w:t>
            </w:r>
            <w:proofErr w:type="spellStart"/>
            <w:r w:rsidRPr="000D41DD">
              <w:rPr>
                <w:rFonts w:ascii="Arial" w:eastAsia="Calibri" w:hAnsi="Arial" w:cs="Arial"/>
                <w:szCs w:val="22"/>
              </w:rPr>
              <w:t>non diabetic</w:t>
            </w:r>
            <w:proofErr w:type="spellEnd"/>
            <w:r w:rsidRPr="000D41DD">
              <w:rPr>
                <w:rFonts w:ascii="Arial" w:eastAsia="Calibri" w:hAnsi="Arial" w:cs="Arial"/>
                <w:szCs w:val="22"/>
              </w:rPr>
              <w:t xml:space="preserve"> range, 46% were classified as pre-diabetic, and 40% were within the diabetic range (7% had HbA1c levels between 6.5-7%, 13% ranged from 7-8%, and 20% exceeded 8%). </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The predominant type of ACS observed was ST-elevation myocardial infarction, present in 70% of cases, followed by NSTEMI in 26% and unstable angina in 4%. </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Coronary angiography findings indicated single-vessel disease in 43% of patients, double-vessel disease in 33%, and triple-vessel disease in 24%. </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And the left anterior descending (LAD) artery was the most frequently affected seen in 90% of cases.</w:t>
            </w:r>
          </w:p>
          <w:p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Conclusion:</w:t>
            </w:r>
          </w:p>
          <w:p w:rsidR="00505F06" w:rsidRPr="00BA1B01" w:rsidRDefault="000D41DD" w:rsidP="000D41DD">
            <w:pPr>
              <w:pStyle w:val="Body"/>
              <w:spacing w:after="0"/>
              <w:rPr>
                <w:rFonts w:ascii="Arial" w:eastAsia="Calibri" w:hAnsi="Arial" w:cs="Arial"/>
                <w:szCs w:val="22"/>
              </w:rPr>
            </w:pPr>
            <w:r w:rsidRPr="000D41DD">
              <w:rPr>
                <w:rFonts w:ascii="Arial" w:eastAsia="Calibri" w:hAnsi="Arial" w:cs="Arial"/>
                <w:szCs w:val="22"/>
              </w:rPr>
              <w:t>Our analysis indicates that HbA1c variability plays a role for the severity of CAD in patients with T2DM. HbA1c variability may provide additional information and require management even at the glycemic target</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C00F73">
        <w:rPr>
          <w:rFonts w:ascii="Arial" w:hAnsi="Arial" w:cs="Arial"/>
          <w:i/>
        </w:rPr>
        <w:t xml:space="preserve">Aortic stenosis; multivalvular disease; AVA; hemodynamic valvular assessment </w:t>
      </w:r>
    </w:p>
    <w:p w:rsidR="00790ADA" w:rsidRDefault="00790ADA" w:rsidP="00441B6F">
      <w:pPr>
        <w:pStyle w:val="Body"/>
        <w:spacing w:after="0"/>
        <w:rPr>
          <w:rFonts w:ascii="Arial" w:hAnsi="Arial" w:cs="Arial"/>
          <w:i/>
        </w:rPr>
      </w:pPr>
    </w:p>
    <w:p w:rsidR="00B52896" w:rsidRDefault="00B52896" w:rsidP="002F3FBF">
      <w:pPr>
        <w:pStyle w:val="Body"/>
        <w:spacing w:after="0"/>
        <w:rPr>
          <w:rFonts w:ascii="Arial" w:hAnsi="Arial" w:cs="Arial"/>
          <w:i/>
          <w:sz w:val="18"/>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EF6515" w:rsidRPr="00FB3A86" w:rsidRDefault="00EF6515" w:rsidP="00441B6F">
      <w:pPr>
        <w:pStyle w:val="AbstHead"/>
        <w:spacing w:after="0"/>
        <w:jc w:val="both"/>
        <w:rPr>
          <w:rFonts w:ascii="Arial" w:hAnsi="Arial" w:cs="Arial"/>
        </w:rPr>
      </w:pPr>
    </w:p>
    <w:p w:rsidR="000D41DD" w:rsidRPr="000D41DD" w:rsidRDefault="004B4401" w:rsidP="000D41DD">
      <w:pPr>
        <w:pStyle w:val="Body"/>
        <w:rPr>
          <w:rFonts w:ascii="Arial" w:hAnsi="Arial" w:cs="Arial"/>
        </w:rPr>
      </w:pPr>
      <w:r>
        <w:rPr>
          <w:rFonts w:ascii="Arial" w:hAnsi="Arial" w:cs="Arial"/>
        </w:rPr>
        <w:t>“</w:t>
      </w:r>
      <w:r w:rsidR="000D41DD" w:rsidRPr="000D41DD">
        <w:rPr>
          <w:rFonts w:ascii="Arial" w:hAnsi="Arial" w:cs="Arial"/>
        </w:rPr>
        <w:t>With the improvement of living standard, the prevalence of diabetes is increasing year by year. According to the latest epidemiological survey and research in Morocco, more than 2 million people aged 18 and older are diabetic</w:t>
      </w:r>
      <w:r>
        <w:rPr>
          <w:rFonts w:ascii="Arial" w:hAnsi="Arial" w:cs="Arial"/>
        </w:rPr>
        <w:t>”</w:t>
      </w:r>
      <w:r w:rsidR="000D41DD" w:rsidRPr="000D41DD">
        <w:rPr>
          <w:rFonts w:ascii="Arial" w:hAnsi="Arial" w:cs="Arial"/>
        </w:rPr>
        <w:t xml:space="preserve">. [1] </w:t>
      </w:r>
      <w:r>
        <w:rPr>
          <w:rFonts w:ascii="Arial" w:hAnsi="Arial" w:cs="Arial"/>
        </w:rPr>
        <w:t>“</w:t>
      </w:r>
      <w:r w:rsidR="000D41DD" w:rsidRPr="000D41DD">
        <w:rPr>
          <w:rFonts w:ascii="Arial" w:hAnsi="Arial" w:cs="Arial"/>
        </w:rPr>
        <w:t>Diabetes has become a global public health problem and danger to human health</w:t>
      </w:r>
      <w:proofErr w:type="gramStart"/>
      <w:r>
        <w:rPr>
          <w:rFonts w:ascii="Arial" w:hAnsi="Arial" w:cs="Arial"/>
        </w:rPr>
        <w:t>”</w:t>
      </w:r>
      <w:r w:rsidR="000D41DD" w:rsidRPr="000D41DD">
        <w:rPr>
          <w:rFonts w:ascii="Arial" w:hAnsi="Arial" w:cs="Arial"/>
        </w:rPr>
        <w:t>.[</w:t>
      </w:r>
      <w:proofErr w:type="gramEnd"/>
      <w:r w:rsidR="000D41DD" w:rsidRPr="000D41DD">
        <w:rPr>
          <w:rFonts w:ascii="Arial" w:hAnsi="Arial" w:cs="Arial"/>
        </w:rPr>
        <w:t xml:space="preserve">2]As known patients with diabetes have a higher risk of cardiovascular events so a higher risk of </w:t>
      </w:r>
      <w:proofErr w:type="spellStart"/>
      <w:r w:rsidR="000D41DD" w:rsidRPr="000D41DD">
        <w:rPr>
          <w:rFonts w:ascii="Arial" w:hAnsi="Arial" w:cs="Arial"/>
        </w:rPr>
        <w:t>morbi</w:t>
      </w:r>
      <w:proofErr w:type="spellEnd"/>
      <w:r w:rsidR="000D41DD" w:rsidRPr="000D41DD">
        <w:rPr>
          <w:rFonts w:ascii="Arial" w:hAnsi="Arial" w:cs="Arial"/>
        </w:rPr>
        <w:t>-mortality related to MACEs.[3]</w:t>
      </w:r>
    </w:p>
    <w:p w:rsidR="000D41DD" w:rsidRPr="000D41DD" w:rsidRDefault="004B4401" w:rsidP="000D41DD">
      <w:pPr>
        <w:pStyle w:val="Body"/>
        <w:rPr>
          <w:rFonts w:ascii="Arial" w:hAnsi="Arial" w:cs="Arial"/>
        </w:rPr>
      </w:pPr>
      <w:r>
        <w:rPr>
          <w:rFonts w:ascii="Arial" w:hAnsi="Arial" w:cs="Arial"/>
        </w:rPr>
        <w:t>“</w:t>
      </w:r>
      <w:r w:rsidR="000D41DD" w:rsidRPr="000D41DD">
        <w:rPr>
          <w:rFonts w:ascii="Arial" w:hAnsi="Arial" w:cs="Arial"/>
        </w:rPr>
        <w:t>Glycosylated hemoglobin (HbA1c), as an indicator that reflects the average blood glucose level over the past 3 months, is recommended as a gold standard in blood glucose management. However, recent clinical trials of intensive glycemic control in patients with Type 2 diabetes did not demonstrate beneficial effects on cardiovascular complications suggesting that focusing only on HbA1c standard may have limitations</w:t>
      </w:r>
      <w:proofErr w:type="gramStart"/>
      <w:r>
        <w:rPr>
          <w:rFonts w:ascii="Arial" w:hAnsi="Arial" w:cs="Arial"/>
        </w:rPr>
        <w:t>”</w:t>
      </w:r>
      <w:r w:rsidR="000D41DD" w:rsidRPr="000D41DD">
        <w:rPr>
          <w:rFonts w:ascii="Arial" w:hAnsi="Arial" w:cs="Arial"/>
        </w:rPr>
        <w:t>.[</w:t>
      </w:r>
      <w:proofErr w:type="gramEnd"/>
      <w:r w:rsidR="000D41DD" w:rsidRPr="000D41DD">
        <w:rPr>
          <w:rFonts w:ascii="Arial" w:hAnsi="Arial" w:cs="Arial"/>
        </w:rPr>
        <w:t>4]</w:t>
      </w:r>
    </w:p>
    <w:p w:rsidR="00C00F73" w:rsidRDefault="000D41DD" w:rsidP="000D41DD">
      <w:pPr>
        <w:pStyle w:val="Body"/>
        <w:spacing w:after="0"/>
        <w:rPr>
          <w:rFonts w:ascii="Arial" w:hAnsi="Arial" w:cs="Arial"/>
        </w:rPr>
      </w:pPr>
      <w:r w:rsidRPr="000D41DD">
        <w:rPr>
          <w:rFonts w:ascii="Arial" w:hAnsi="Arial" w:cs="Arial"/>
        </w:rPr>
        <w:t xml:space="preserve">The severity of coronary artery disease (CAD) can influence patient prognosis. However, there is a limited amount of research exploring the connection between long-term glucose variability and the severity of CAD in individuals with type 2 diabetes mellitus (T2DM). Currently, </w:t>
      </w:r>
      <w:r w:rsidR="004B4401">
        <w:rPr>
          <w:rFonts w:ascii="Arial" w:hAnsi="Arial" w:cs="Arial"/>
        </w:rPr>
        <w:t>“</w:t>
      </w:r>
      <w:r w:rsidRPr="000D41DD">
        <w:rPr>
          <w:rFonts w:ascii="Arial" w:hAnsi="Arial" w:cs="Arial"/>
        </w:rPr>
        <w:t xml:space="preserve">there are a variety of scoring systems used for quantitative analysis of coronary artery </w:t>
      </w:r>
      <w:proofErr w:type="spellStart"/>
      <w:proofErr w:type="gramStart"/>
      <w:r w:rsidRPr="000D41DD">
        <w:rPr>
          <w:rFonts w:ascii="Arial" w:hAnsi="Arial" w:cs="Arial"/>
        </w:rPr>
        <w:t>lesions;The</w:t>
      </w:r>
      <w:proofErr w:type="spellEnd"/>
      <w:proofErr w:type="gramEnd"/>
      <w:r w:rsidRPr="000D41DD">
        <w:rPr>
          <w:rFonts w:ascii="Arial" w:hAnsi="Arial" w:cs="Arial"/>
        </w:rPr>
        <w:t xml:space="preserve"> SYNTAX score is generated using a computer program that features a series of sequential and interactive self-guided questions. This algorithm includes twelve primary questions, which can be categorized into two groups. The first three questions assess the dominance, the total number of lesions, and the vessel segments involved for each lesion, and they are presented only </w:t>
      </w:r>
      <w:r w:rsidR="001711F4" w:rsidRPr="000D41DD">
        <w:rPr>
          <w:rFonts w:ascii="Arial" w:hAnsi="Arial" w:cs="Arial"/>
        </w:rPr>
        <w:t>once. The</w:t>
      </w:r>
      <w:r w:rsidRPr="000D41DD">
        <w:rPr>
          <w:rFonts w:ascii="Arial" w:hAnsi="Arial" w:cs="Arial"/>
        </w:rPr>
        <w:t xml:space="preserve"> last nine questions refer to adverse lesion characteristics and are repeated for each lesion</w:t>
      </w:r>
      <w:proofErr w:type="gramStart"/>
      <w:r w:rsidR="004B4401">
        <w:rPr>
          <w:rFonts w:ascii="Arial" w:hAnsi="Arial" w:cs="Arial"/>
        </w:rPr>
        <w:t>”</w:t>
      </w:r>
      <w:bookmarkStart w:id="0" w:name="_GoBack"/>
      <w:bookmarkEnd w:id="0"/>
      <w:r w:rsidRPr="000D41DD">
        <w:rPr>
          <w:rFonts w:ascii="Arial" w:hAnsi="Arial" w:cs="Arial"/>
        </w:rPr>
        <w:t>.[</w:t>
      </w:r>
      <w:proofErr w:type="gramEnd"/>
      <w:r w:rsidRPr="000D41DD">
        <w:rPr>
          <w:rFonts w:ascii="Arial" w:hAnsi="Arial" w:cs="Arial"/>
        </w:rPr>
        <w:t>5] This study aimed to explore how HbA1c levels correlate with the severity of coronary artery disease in patients presenting with acute coronary syndrome (ACS).</w:t>
      </w:r>
    </w:p>
    <w:p w:rsidR="000D41DD" w:rsidRDefault="000D41DD" w:rsidP="000D41DD">
      <w:pPr>
        <w:pStyle w:val="Body"/>
        <w:spacing w:after="0"/>
        <w:rPr>
          <w:rFonts w:ascii="Arial" w:hAnsi="Arial" w:cs="Arial"/>
        </w:rPr>
      </w:pPr>
    </w:p>
    <w:p w:rsidR="000D41DD" w:rsidRPr="00FB3A86" w:rsidRDefault="000D41DD" w:rsidP="000D41DD">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395BE1" w:rsidRPr="00395BE1" w:rsidRDefault="00395BE1" w:rsidP="00395BE1">
      <w:pPr>
        <w:pStyle w:val="Body"/>
        <w:rPr>
          <w:rFonts w:ascii="Arial" w:hAnsi="Arial" w:cs="Arial"/>
          <w:b/>
          <w:bCs/>
          <w:sz w:val="22"/>
          <w:szCs w:val="22"/>
          <w:u w:val="single"/>
        </w:rPr>
      </w:pPr>
      <w:r w:rsidRPr="00395BE1">
        <w:rPr>
          <w:rFonts w:ascii="Arial" w:hAnsi="Arial" w:cs="Arial"/>
          <w:b/>
          <w:bCs/>
          <w:sz w:val="22"/>
          <w:szCs w:val="22"/>
          <w:u w:val="single"/>
        </w:rPr>
        <w:t>Study design and population</w:t>
      </w:r>
    </w:p>
    <w:p w:rsidR="00395BE1" w:rsidRPr="00395BE1" w:rsidRDefault="00395BE1" w:rsidP="00395BE1">
      <w:pPr>
        <w:pStyle w:val="Body"/>
        <w:rPr>
          <w:rFonts w:ascii="Arial" w:hAnsi="Arial" w:cs="Arial"/>
          <w:sz w:val="22"/>
          <w:szCs w:val="22"/>
        </w:rPr>
      </w:pPr>
      <w:r w:rsidRPr="00395BE1">
        <w:rPr>
          <w:rFonts w:ascii="Arial" w:hAnsi="Arial" w:cs="Arial"/>
          <w:sz w:val="22"/>
          <w:szCs w:val="22"/>
        </w:rPr>
        <w:t xml:space="preserve">To underline the relation between HBA1C and the severity of coronary disease we performed an observational retrospective study including 90 patients admitted to our hospital between June 2024 and January 2025. </w:t>
      </w:r>
    </w:p>
    <w:p w:rsidR="00395BE1" w:rsidRPr="00395BE1" w:rsidRDefault="00395BE1" w:rsidP="00395BE1">
      <w:pPr>
        <w:pStyle w:val="Body"/>
        <w:rPr>
          <w:rFonts w:ascii="Arial" w:hAnsi="Arial" w:cs="Arial"/>
          <w:sz w:val="22"/>
          <w:szCs w:val="22"/>
        </w:rPr>
      </w:pPr>
      <w:r w:rsidRPr="00395BE1">
        <w:rPr>
          <w:rFonts w:ascii="Arial" w:hAnsi="Arial" w:cs="Arial"/>
          <w:sz w:val="22"/>
          <w:szCs w:val="22"/>
        </w:rPr>
        <w:t>All the patients  underwent coronary angiography due to acute coronary disease defined as the ESC 2023 recommendation.</w:t>
      </w:r>
      <w:r w:rsidRPr="00395BE1">
        <w:rPr>
          <w:rFonts w:ascii="Arial" w:hAnsi="Arial" w:cs="Arial"/>
          <w:sz w:val="22"/>
          <w:szCs w:val="22"/>
        </w:rPr>
        <w:fldChar w:fldCharType="begin"/>
      </w:r>
      <w:r w:rsidRPr="00395BE1">
        <w:rPr>
          <w:rFonts w:ascii="Arial" w:hAnsi="Arial" w:cs="Arial"/>
          <w:sz w:val="22"/>
          <w:szCs w:val="22"/>
        </w:rPr>
        <w:instrText xml:space="preserve"> ADDIN ZOTERO_ITEM CSL_CITATION {"citationID":"5mcZjgGS","properties":{"formattedCitation":"[1]","plainCitation":"[1]","noteIndex":0},"citationItems":[{"id":1184,"uris":["http://zotero.org/users/local/DjaAH9g0/items/564B4QWE"],"itemData":{"id":1184,"type":"webpage","abstract":"This guideline provides a comprehensive overview of the management of patients presenting with Acute coronary syndrome (ACS)  from the point of diagnosis and risk stratification at initial presentation, through to long-term management after the initial hospitalisation period. Particular focus is given to the importance of anti-thrombotic therapy, invasive assessment and revascularisation as well as providing patient centered care throughout the patients ACS journey.","title":"2023 ESC Guidelines for the management of acute coronary syndromes","URL":"https://www.escardio.org/Guidelines/Clinical-Practice-Guidelines/Acute-Coronary-Syndromes-ACS-Guidelines, https://www.escardio.org/Guidelines/Clinical-Practice-Guidelines/Acute-Coronary-Syndromes-ACS-Guidelines","accessed":{"date-parts":[["2024",11,20]]}}}],"schema":"https://github.com/citation-style-language/schema/raw/master/csl-citation.json"} </w:instrText>
      </w:r>
      <w:r w:rsidRPr="00395BE1">
        <w:rPr>
          <w:rFonts w:ascii="Arial" w:hAnsi="Arial" w:cs="Arial"/>
          <w:sz w:val="22"/>
          <w:szCs w:val="22"/>
        </w:rPr>
        <w:fldChar w:fldCharType="separate"/>
      </w:r>
      <w:r w:rsidRPr="00395BE1">
        <w:rPr>
          <w:rFonts w:ascii="Arial" w:hAnsi="Arial" w:cs="Arial"/>
          <w:noProof/>
          <w:sz w:val="22"/>
          <w:szCs w:val="22"/>
        </w:rPr>
        <w:t>[6]</w:t>
      </w:r>
      <w:r w:rsidRPr="00395BE1">
        <w:rPr>
          <w:rFonts w:ascii="Arial" w:hAnsi="Arial" w:cs="Arial"/>
          <w:sz w:val="22"/>
          <w:szCs w:val="22"/>
        </w:rPr>
        <w:fldChar w:fldCharType="end"/>
      </w:r>
      <w:r w:rsidRPr="00395BE1">
        <w:rPr>
          <w:rFonts w:ascii="Arial" w:hAnsi="Arial" w:cs="Arial"/>
          <w:sz w:val="22"/>
          <w:szCs w:val="22"/>
        </w:rPr>
        <w:t xml:space="preserve"> The whole spectrum of ACS including unstable angina, non ST segment elevation myocardial infarction and ST segment elevation myocardial </w:t>
      </w:r>
      <w:r w:rsidR="001711F4" w:rsidRPr="00395BE1">
        <w:rPr>
          <w:rFonts w:ascii="Arial" w:hAnsi="Arial" w:cs="Arial"/>
          <w:sz w:val="22"/>
          <w:szCs w:val="22"/>
        </w:rPr>
        <w:t>infarction. The</w:t>
      </w:r>
      <w:r w:rsidRPr="00395BE1">
        <w:rPr>
          <w:rFonts w:ascii="Arial" w:hAnsi="Arial" w:cs="Arial"/>
          <w:sz w:val="22"/>
          <w:szCs w:val="22"/>
        </w:rPr>
        <w:t xml:space="preserve"> severity of CAD was expressed by the number of involved vessels and the syntax score.</w:t>
      </w:r>
    </w:p>
    <w:p w:rsidR="00395BE1" w:rsidRPr="00395BE1" w:rsidRDefault="00395BE1" w:rsidP="00395BE1">
      <w:pPr>
        <w:pStyle w:val="Body"/>
        <w:rPr>
          <w:rFonts w:ascii="Arial" w:hAnsi="Arial" w:cs="Arial"/>
          <w:sz w:val="22"/>
          <w:szCs w:val="22"/>
        </w:rPr>
      </w:pPr>
      <w:r w:rsidRPr="00395BE1">
        <w:rPr>
          <w:rFonts w:ascii="Arial" w:hAnsi="Arial" w:cs="Arial"/>
          <w:sz w:val="22"/>
          <w:szCs w:val="22"/>
        </w:rPr>
        <w:t>Analysis of HBA1c on admission was done in every patient with ACS.Diabetes mellitus was defined by HBA1c&gt;6.5%</w:t>
      </w:r>
    </w:p>
    <w:p w:rsidR="00395BE1" w:rsidRPr="00395BE1" w:rsidRDefault="00395BE1" w:rsidP="00395BE1">
      <w:pPr>
        <w:pStyle w:val="Body"/>
        <w:rPr>
          <w:rFonts w:ascii="Arial" w:hAnsi="Arial" w:cs="Arial"/>
          <w:b/>
          <w:bCs/>
          <w:sz w:val="22"/>
          <w:szCs w:val="22"/>
          <w:u w:val="single"/>
        </w:rPr>
      </w:pPr>
      <w:r w:rsidRPr="00395BE1">
        <w:rPr>
          <w:rFonts w:ascii="Arial" w:hAnsi="Arial" w:cs="Arial"/>
          <w:b/>
          <w:bCs/>
          <w:sz w:val="22"/>
          <w:szCs w:val="22"/>
          <w:u w:val="single"/>
        </w:rPr>
        <w:t>Data collection:</w:t>
      </w:r>
    </w:p>
    <w:p w:rsidR="00395BE1" w:rsidRPr="00395BE1" w:rsidRDefault="00395BE1" w:rsidP="00395BE1">
      <w:pPr>
        <w:pStyle w:val="Body"/>
        <w:rPr>
          <w:rFonts w:ascii="Arial" w:hAnsi="Arial" w:cs="Arial"/>
          <w:sz w:val="22"/>
          <w:szCs w:val="22"/>
        </w:rPr>
      </w:pPr>
      <w:r w:rsidRPr="00395BE1">
        <w:rPr>
          <w:rFonts w:ascii="Arial" w:hAnsi="Arial" w:cs="Arial"/>
          <w:sz w:val="22"/>
          <w:szCs w:val="22"/>
        </w:rPr>
        <w:t>Clinical information from each patient was gathered through review of clinical notes and charts. Demographic data and past medical history, including cardiovascular (CV) risk factors and comorbidities, were collected. The investigation results including blood tests and electro</w:t>
      </w:r>
      <w:r w:rsidR="001711F4">
        <w:rPr>
          <w:rFonts w:ascii="Arial" w:hAnsi="Arial" w:cs="Arial"/>
          <w:sz w:val="22"/>
          <w:szCs w:val="22"/>
        </w:rPr>
        <w:t>cardiographic</w:t>
      </w:r>
      <w:r w:rsidRPr="00395BE1">
        <w:rPr>
          <w:rFonts w:ascii="Arial" w:hAnsi="Arial" w:cs="Arial"/>
          <w:sz w:val="22"/>
          <w:szCs w:val="22"/>
        </w:rPr>
        <w:t xml:space="preserve"> findings were also recorded. The type of reperfusion therapy (thrombolytic therapy, percutaneous coronary intervention (PCI), and coronary artery bypass grafting) was documented.</w:t>
      </w:r>
    </w:p>
    <w:p w:rsidR="00395BE1" w:rsidRPr="00395BE1" w:rsidRDefault="00395BE1" w:rsidP="00395BE1">
      <w:pPr>
        <w:pStyle w:val="Body"/>
        <w:rPr>
          <w:rFonts w:ascii="Arial" w:hAnsi="Arial" w:cs="Arial"/>
          <w:b/>
          <w:bCs/>
          <w:sz w:val="22"/>
          <w:szCs w:val="22"/>
          <w:u w:val="single"/>
        </w:rPr>
      </w:pPr>
      <w:r w:rsidRPr="00395BE1">
        <w:rPr>
          <w:rFonts w:ascii="Arial" w:hAnsi="Arial" w:cs="Arial"/>
          <w:b/>
          <w:bCs/>
          <w:sz w:val="22"/>
          <w:szCs w:val="22"/>
          <w:u w:val="single"/>
        </w:rPr>
        <w:t>Ethical Considerations</w:t>
      </w:r>
    </w:p>
    <w:p w:rsidR="00395BE1" w:rsidRPr="00395BE1" w:rsidRDefault="00395BE1" w:rsidP="00395BE1">
      <w:pPr>
        <w:pStyle w:val="Body"/>
        <w:spacing w:after="0"/>
        <w:rPr>
          <w:rFonts w:ascii="Arial" w:hAnsi="Arial" w:cs="Arial"/>
          <w:sz w:val="22"/>
          <w:szCs w:val="22"/>
        </w:rPr>
      </w:pPr>
      <w:r w:rsidRPr="00395BE1">
        <w:rPr>
          <w:rFonts w:ascii="Arial" w:hAnsi="Arial" w:cs="Arial"/>
          <w:sz w:val="22"/>
          <w:szCs w:val="22"/>
        </w:rPr>
        <w:t>Data collection was carried out in accordance with general ethical guidelines, respecting patient confidentiality and data protection.</w:t>
      </w:r>
    </w:p>
    <w:p w:rsidR="00395BE1" w:rsidRPr="00395BE1" w:rsidRDefault="00395BE1" w:rsidP="00395BE1">
      <w:pPr>
        <w:pStyle w:val="Body"/>
        <w:spacing w:after="0"/>
        <w:rPr>
          <w:rFonts w:ascii="Arial" w:hAnsi="Arial" w:cs="Arial"/>
          <w:sz w:val="22"/>
          <w:szCs w:val="22"/>
        </w:rPr>
      </w:pPr>
    </w:p>
    <w:p w:rsidR="00395BE1" w:rsidRPr="00395BE1" w:rsidRDefault="00395BE1" w:rsidP="00395BE1">
      <w:pPr>
        <w:pStyle w:val="Body"/>
        <w:spacing w:after="0"/>
        <w:rPr>
          <w:rFonts w:ascii="Arial" w:hAnsi="Arial" w:cs="Arial"/>
          <w:sz w:val="22"/>
          <w:szCs w:val="22"/>
        </w:rPr>
      </w:pPr>
    </w:p>
    <w:p w:rsidR="00395BE1" w:rsidRPr="00395BE1" w:rsidRDefault="00395BE1" w:rsidP="00395BE1">
      <w:pPr>
        <w:pStyle w:val="Head1"/>
        <w:spacing w:after="0"/>
        <w:jc w:val="both"/>
        <w:rPr>
          <w:rFonts w:ascii="Arial" w:hAnsi="Arial" w:cs="Arial"/>
          <w:szCs w:val="22"/>
        </w:rPr>
      </w:pPr>
      <w:r w:rsidRPr="00395BE1">
        <w:rPr>
          <w:rFonts w:ascii="Arial" w:hAnsi="Arial" w:cs="Arial"/>
          <w:szCs w:val="22"/>
        </w:rPr>
        <w:t>3. results and discussion</w:t>
      </w:r>
    </w:p>
    <w:p w:rsidR="00395BE1" w:rsidRPr="00395BE1" w:rsidRDefault="00395BE1" w:rsidP="00395BE1">
      <w:pPr>
        <w:pStyle w:val="Head1"/>
        <w:spacing w:after="0"/>
        <w:jc w:val="both"/>
        <w:rPr>
          <w:rFonts w:ascii="Arial" w:hAnsi="Arial" w:cs="Arial"/>
          <w:szCs w:val="22"/>
        </w:rPr>
      </w:pPr>
    </w:p>
    <w:p w:rsidR="00395BE1" w:rsidRPr="00395BE1" w:rsidRDefault="00395BE1" w:rsidP="00395BE1">
      <w:pPr>
        <w:pStyle w:val="BodyText"/>
        <w:spacing w:line="261" w:lineRule="auto"/>
        <w:ind w:right="23"/>
        <w:jc w:val="both"/>
        <w:rPr>
          <w:b/>
          <w:bCs/>
          <w:sz w:val="22"/>
          <w:szCs w:val="22"/>
          <w:u w:val="single"/>
        </w:rPr>
      </w:pPr>
      <w:r w:rsidRPr="00395BE1">
        <w:rPr>
          <w:b/>
          <w:bCs/>
          <w:sz w:val="22"/>
          <w:szCs w:val="22"/>
          <w:u w:val="single"/>
        </w:rPr>
        <w:t xml:space="preserve">Results:  </w:t>
      </w:r>
    </w:p>
    <w:p w:rsidR="00395BE1" w:rsidRPr="00395BE1" w:rsidRDefault="00395BE1" w:rsidP="00395BE1">
      <w:pPr>
        <w:pStyle w:val="BodyText"/>
        <w:spacing w:line="261" w:lineRule="auto"/>
        <w:ind w:right="23"/>
        <w:jc w:val="both"/>
        <w:rPr>
          <w:bCs/>
          <w:sz w:val="22"/>
          <w:szCs w:val="22"/>
          <w:u w:val="single"/>
        </w:rPr>
      </w:pPr>
      <w:r w:rsidRPr="00395BE1">
        <w:rPr>
          <w:bCs/>
          <w:sz w:val="22"/>
          <w:szCs w:val="22"/>
          <w:u w:val="single"/>
        </w:rPr>
        <w:lastRenderedPageBreak/>
        <w:t>Basic Characteristics of the Study Population:</w:t>
      </w:r>
    </w:p>
    <w:p w:rsidR="00395BE1" w:rsidRPr="00395BE1" w:rsidRDefault="00395BE1" w:rsidP="00395BE1">
      <w:pPr>
        <w:pStyle w:val="BodyText"/>
        <w:spacing w:line="261" w:lineRule="auto"/>
        <w:ind w:right="23"/>
        <w:rPr>
          <w:sz w:val="22"/>
          <w:szCs w:val="22"/>
        </w:rPr>
      </w:pPr>
      <w:r w:rsidRPr="00395BE1">
        <w:rPr>
          <w:sz w:val="22"/>
          <w:szCs w:val="22"/>
        </w:rPr>
        <w:t>The study included 90 patients, with a demographic breakdown of 77% male and 23% female.</w:t>
      </w:r>
    </w:p>
    <w:p w:rsidR="00395BE1" w:rsidRPr="00395BE1" w:rsidRDefault="00395BE1" w:rsidP="00395BE1">
      <w:pPr>
        <w:pStyle w:val="BodyText"/>
        <w:spacing w:line="261" w:lineRule="auto"/>
        <w:ind w:right="23"/>
        <w:jc w:val="center"/>
        <w:rPr>
          <w:sz w:val="22"/>
          <w:szCs w:val="22"/>
        </w:rPr>
      </w:pPr>
      <w:r w:rsidRPr="00395BE1">
        <w:rPr>
          <w:sz w:val="22"/>
          <w:szCs w:val="22"/>
        </w:rPr>
        <w:t xml:space="preserve"> </w:t>
      </w:r>
      <w:r w:rsidRPr="00395BE1">
        <w:rPr>
          <w:noProof/>
          <w:sz w:val="22"/>
          <w:szCs w:val="22"/>
        </w:rPr>
        <w:drawing>
          <wp:inline distT="0" distB="0" distL="0" distR="0" wp14:anchorId="43C71FA6" wp14:editId="4915FEA4">
            <wp:extent cx="2655570" cy="1593215"/>
            <wp:effectExtent l="0" t="0" r="11430" b="6985"/>
            <wp:docPr id="5" name="Graphique 5">
              <a:extLst xmlns:a="http://schemas.openxmlformats.org/drawingml/2006/main">
                <a:ext uri="{FF2B5EF4-FFF2-40B4-BE49-F238E27FC236}">
                  <a16:creationId xmlns:a16="http://schemas.microsoft.com/office/drawing/2014/main" id="{88DFB2EC-D920-4548-8068-5EA1EB0738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5BE1" w:rsidRPr="00395BE1" w:rsidRDefault="00395BE1" w:rsidP="00395BE1">
      <w:pPr>
        <w:pStyle w:val="BodyText"/>
        <w:spacing w:line="261" w:lineRule="auto"/>
        <w:ind w:right="23"/>
        <w:jc w:val="center"/>
        <w:rPr>
          <w:b/>
          <w:bCs/>
          <w:sz w:val="22"/>
          <w:szCs w:val="22"/>
          <w:u w:val="single"/>
        </w:rPr>
      </w:pPr>
      <w:r w:rsidRPr="00395BE1">
        <w:rPr>
          <w:b/>
          <w:bCs/>
          <w:sz w:val="22"/>
          <w:szCs w:val="22"/>
          <w:u w:val="single"/>
        </w:rPr>
        <w:t>Figure 1: distribution by sex</w:t>
      </w:r>
    </w:p>
    <w:p w:rsidR="00395BE1" w:rsidRPr="00395BE1" w:rsidRDefault="00395BE1" w:rsidP="00395BE1">
      <w:pPr>
        <w:pStyle w:val="BodyText"/>
        <w:spacing w:line="261" w:lineRule="auto"/>
        <w:ind w:right="23"/>
        <w:rPr>
          <w:sz w:val="22"/>
          <w:szCs w:val="22"/>
        </w:rPr>
      </w:pPr>
      <w:r w:rsidRPr="00395BE1">
        <w:rPr>
          <w:sz w:val="22"/>
          <w:szCs w:val="22"/>
        </w:rPr>
        <w:t xml:space="preserve">The mean age of our patients was 65 </w:t>
      </w:r>
      <w:r w:rsidR="001711F4">
        <w:rPr>
          <w:sz w:val="22"/>
          <w:szCs w:val="22"/>
        </w:rPr>
        <w:t>Y.O</w:t>
      </w:r>
      <w:r w:rsidRPr="00395BE1">
        <w:rPr>
          <w:sz w:val="22"/>
          <w:szCs w:val="22"/>
        </w:rPr>
        <w:t xml:space="preserve"> with a min of 41 </w:t>
      </w:r>
      <w:r w:rsidR="001711F4">
        <w:rPr>
          <w:sz w:val="22"/>
          <w:szCs w:val="22"/>
        </w:rPr>
        <w:t>Y.O</w:t>
      </w:r>
      <w:r w:rsidRPr="00395BE1">
        <w:rPr>
          <w:sz w:val="22"/>
          <w:szCs w:val="22"/>
        </w:rPr>
        <w:t xml:space="preserve"> and a max of 89 </w:t>
      </w:r>
      <w:r w:rsidR="001711F4">
        <w:rPr>
          <w:sz w:val="22"/>
          <w:szCs w:val="22"/>
        </w:rPr>
        <w:t>Y.O</w:t>
      </w:r>
    </w:p>
    <w:p w:rsidR="00395BE1" w:rsidRPr="00395BE1" w:rsidRDefault="00395BE1" w:rsidP="00395BE1">
      <w:pPr>
        <w:pStyle w:val="BodyText"/>
        <w:spacing w:line="261" w:lineRule="auto"/>
        <w:ind w:right="23"/>
        <w:rPr>
          <w:sz w:val="22"/>
          <w:szCs w:val="22"/>
        </w:rPr>
      </w:pPr>
      <w:r w:rsidRPr="00395BE1">
        <w:rPr>
          <w:sz w:val="22"/>
          <w:szCs w:val="22"/>
        </w:rPr>
        <w:t xml:space="preserve">Concerning major </w:t>
      </w:r>
      <w:r w:rsidR="001711F4" w:rsidRPr="00395BE1">
        <w:rPr>
          <w:sz w:val="22"/>
          <w:szCs w:val="22"/>
        </w:rPr>
        <w:t>modifiable</w:t>
      </w:r>
      <w:r w:rsidRPr="00395BE1">
        <w:rPr>
          <w:sz w:val="22"/>
          <w:szCs w:val="22"/>
        </w:rPr>
        <w:t xml:space="preserve"> risk factors, within this group, 50% were smokers for an average duration of 5 years, 33% were controlled hypertensives which 89% were on dual antihypertensive therapy and 43% had dyslipidemia with an average of </w:t>
      </w:r>
      <w:proofErr w:type="spellStart"/>
      <w:r w:rsidRPr="00395BE1">
        <w:rPr>
          <w:sz w:val="22"/>
          <w:szCs w:val="22"/>
        </w:rPr>
        <w:t>LDLc</w:t>
      </w:r>
      <w:proofErr w:type="spellEnd"/>
      <w:r w:rsidRPr="00395BE1">
        <w:rPr>
          <w:sz w:val="22"/>
          <w:szCs w:val="22"/>
        </w:rPr>
        <w:t xml:space="preserve"> of 1.12g/</w:t>
      </w:r>
      <w:proofErr w:type="gramStart"/>
      <w:r w:rsidRPr="00395BE1">
        <w:rPr>
          <w:sz w:val="22"/>
          <w:szCs w:val="22"/>
        </w:rPr>
        <w:t>L .</w:t>
      </w:r>
      <w:proofErr w:type="gramEnd"/>
    </w:p>
    <w:p w:rsidR="00395BE1" w:rsidRPr="00395BE1" w:rsidRDefault="00395BE1" w:rsidP="00395BE1">
      <w:pPr>
        <w:pStyle w:val="BodyText"/>
        <w:spacing w:line="261" w:lineRule="auto"/>
        <w:ind w:right="23"/>
        <w:jc w:val="center"/>
        <w:rPr>
          <w:sz w:val="22"/>
          <w:szCs w:val="22"/>
        </w:rPr>
      </w:pPr>
      <w:r w:rsidRPr="00395BE1">
        <w:rPr>
          <w:noProof/>
          <w:sz w:val="22"/>
          <w:szCs w:val="22"/>
        </w:rPr>
        <w:drawing>
          <wp:inline distT="0" distB="0" distL="0" distR="0" wp14:anchorId="6BD6C386" wp14:editId="2917E5BD">
            <wp:extent cx="2655570" cy="1593215"/>
            <wp:effectExtent l="0" t="0" r="11430" b="6985"/>
            <wp:docPr id="2" name="Graphique 2">
              <a:extLst xmlns:a="http://schemas.openxmlformats.org/drawingml/2006/main">
                <a:ext uri="{FF2B5EF4-FFF2-40B4-BE49-F238E27FC236}">
                  <a16:creationId xmlns:a16="http://schemas.microsoft.com/office/drawing/2014/main" id="{3CE907EE-4AD7-6D47-8F3E-3F0E0151ED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5BE1" w:rsidRPr="00395BE1" w:rsidRDefault="00395BE1" w:rsidP="00395BE1">
      <w:pPr>
        <w:pStyle w:val="BodyText"/>
        <w:spacing w:line="261" w:lineRule="auto"/>
        <w:ind w:right="23"/>
        <w:jc w:val="center"/>
        <w:rPr>
          <w:b/>
          <w:bCs/>
          <w:sz w:val="22"/>
          <w:szCs w:val="22"/>
          <w:u w:val="single"/>
        </w:rPr>
      </w:pPr>
      <w:r w:rsidRPr="00395BE1">
        <w:rPr>
          <w:b/>
          <w:bCs/>
          <w:sz w:val="22"/>
          <w:szCs w:val="22"/>
          <w:u w:val="single"/>
        </w:rPr>
        <w:t>Figure 2: distribution of major risk factors</w:t>
      </w:r>
    </w:p>
    <w:p w:rsidR="00395BE1" w:rsidRPr="00395BE1" w:rsidRDefault="00395BE1" w:rsidP="00395BE1">
      <w:pPr>
        <w:pStyle w:val="BodyText"/>
        <w:spacing w:line="261" w:lineRule="auto"/>
        <w:ind w:right="23"/>
        <w:rPr>
          <w:sz w:val="22"/>
          <w:szCs w:val="22"/>
        </w:rPr>
      </w:pPr>
      <w:r w:rsidRPr="00395BE1">
        <w:rPr>
          <w:sz w:val="22"/>
          <w:szCs w:val="22"/>
        </w:rPr>
        <w:t xml:space="preserve">Analysis of HbA1c levels revealed that 13% of participants had values in the </w:t>
      </w:r>
      <w:proofErr w:type="spellStart"/>
      <w:r w:rsidRPr="00395BE1">
        <w:rPr>
          <w:sz w:val="22"/>
          <w:szCs w:val="22"/>
        </w:rPr>
        <w:t>non diabetic</w:t>
      </w:r>
      <w:proofErr w:type="spellEnd"/>
      <w:r w:rsidRPr="00395BE1">
        <w:rPr>
          <w:sz w:val="22"/>
          <w:szCs w:val="22"/>
        </w:rPr>
        <w:t xml:space="preserve"> range, 46% were classified as pre-diabetic, and 40% were within the diabetic range (7% had HbA1c levels between 6.5-7%, 13% ranged from 7-8%, and 20% exceeded 8%). </w:t>
      </w:r>
    </w:p>
    <w:p w:rsidR="00395BE1" w:rsidRPr="00395BE1" w:rsidRDefault="00395BE1" w:rsidP="00395BE1">
      <w:pPr>
        <w:pStyle w:val="BodyText"/>
        <w:spacing w:line="261" w:lineRule="auto"/>
        <w:ind w:right="23"/>
        <w:jc w:val="center"/>
        <w:rPr>
          <w:sz w:val="22"/>
          <w:szCs w:val="22"/>
        </w:rPr>
      </w:pPr>
      <w:r w:rsidRPr="00395BE1">
        <w:rPr>
          <w:noProof/>
          <w:sz w:val="22"/>
          <w:szCs w:val="22"/>
        </w:rPr>
        <w:drawing>
          <wp:inline distT="0" distB="0" distL="0" distR="0" wp14:anchorId="14D55975" wp14:editId="57D59028">
            <wp:extent cx="2655570" cy="1593215"/>
            <wp:effectExtent l="0" t="0" r="0" b="0"/>
            <wp:docPr id="3" name="Graphique 3">
              <a:extLst xmlns:a="http://schemas.openxmlformats.org/drawingml/2006/main">
                <a:ext uri="{FF2B5EF4-FFF2-40B4-BE49-F238E27FC236}">
                  <a16:creationId xmlns:a16="http://schemas.microsoft.com/office/drawing/2014/main" id="{155593A7-5D84-F14A-8131-FC3CCCF5F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5BE1" w:rsidRPr="00395BE1" w:rsidRDefault="00395BE1" w:rsidP="00395BE1">
      <w:pPr>
        <w:pStyle w:val="BodyText"/>
        <w:spacing w:line="261" w:lineRule="auto"/>
        <w:ind w:right="23"/>
        <w:jc w:val="center"/>
        <w:rPr>
          <w:b/>
          <w:bCs/>
          <w:sz w:val="22"/>
          <w:szCs w:val="22"/>
          <w:u w:val="single"/>
        </w:rPr>
      </w:pPr>
      <w:r w:rsidRPr="00395BE1">
        <w:rPr>
          <w:b/>
          <w:bCs/>
          <w:sz w:val="22"/>
          <w:szCs w:val="22"/>
          <w:u w:val="single"/>
        </w:rPr>
        <w:t>Figure 3: Distribution of HBA1C in diabetes patient</w:t>
      </w:r>
    </w:p>
    <w:p w:rsidR="00395BE1" w:rsidRPr="00395BE1" w:rsidRDefault="00395BE1" w:rsidP="00395BE1">
      <w:pPr>
        <w:pStyle w:val="BodyText"/>
        <w:spacing w:line="261" w:lineRule="auto"/>
        <w:ind w:right="23"/>
        <w:rPr>
          <w:sz w:val="22"/>
          <w:szCs w:val="22"/>
        </w:rPr>
      </w:pPr>
      <w:r w:rsidRPr="00395BE1">
        <w:rPr>
          <w:sz w:val="22"/>
          <w:szCs w:val="22"/>
        </w:rPr>
        <w:t xml:space="preserve">The predominant type of ACS observed was ST-elevation myocardial infarction, present in 70% of cases, followed by NSTEMI in 26% and unstable angina in 4%. </w:t>
      </w:r>
    </w:p>
    <w:p w:rsidR="00395BE1" w:rsidRPr="00395BE1" w:rsidRDefault="00395BE1" w:rsidP="00395BE1">
      <w:pPr>
        <w:pStyle w:val="BodyText"/>
        <w:spacing w:line="261" w:lineRule="auto"/>
        <w:ind w:right="23"/>
        <w:rPr>
          <w:sz w:val="22"/>
          <w:szCs w:val="22"/>
        </w:rPr>
      </w:pPr>
      <w:r w:rsidRPr="00395BE1">
        <w:rPr>
          <w:sz w:val="22"/>
          <w:szCs w:val="22"/>
        </w:rPr>
        <w:t xml:space="preserve">Coronary angiography findings indicated single-vessel disease in 43% of patients, double-vessel disease in 33%, and triple-vessel disease in 24%. </w:t>
      </w:r>
    </w:p>
    <w:p w:rsidR="00395BE1" w:rsidRPr="00395BE1" w:rsidRDefault="00395BE1" w:rsidP="00395BE1">
      <w:pPr>
        <w:pStyle w:val="BodyText"/>
        <w:spacing w:line="261" w:lineRule="auto"/>
        <w:ind w:right="23"/>
        <w:rPr>
          <w:sz w:val="22"/>
          <w:szCs w:val="22"/>
        </w:rPr>
      </w:pPr>
      <w:r w:rsidRPr="00395BE1">
        <w:rPr>
          <w:sz w:val="22"/>
          <w:szCs w:val="22"/>
        </w:rPr>
        <w:t>And the left anterior descending (LAD) artery was the most frequently affected seen in 90% of cases.</w:t>
      </w:r>
    </w:p>
    <w:p w:rsidR="00395BE1" w:rsidRPr="00395BE1" w:rsidRDefault="00395BE1" w:rsidP="00395BE1">
      <w:pPr>
        <w:pStyle w:val="BodyText"/>
        <w:spacing w:line="261" w:lineRule="auto"/>
        <w:ind w:right="23"/>
        <w:rPr>
          <w:sz w:val="22"/>
          <w:szCs w:val="22"/>
        </w:rPr>
      </w:pPr>
      <w:r w:rsidRPr="00395BE1">
        <w:rPr>
          <w:sz w:val="22"/>
          <w:szCs w:val="22"/>
        </w:rPr>
        <w:lastRenderedPageBreak/>
        <w:t>In our study, the severity of coronary artery disease was evaluated according to the extent of stenosis. Of the affected coronary arteries, 83% exhibited severe stenosis, 11% had moderate stenosis, and the remaining percentage was classified as mild.</w:t>
      </w:r>
    </w:p>
    <w:p w:rsidR="00395BE1" w:rsidRPr="00395BE1" w:rsidRDefault="00395BE1" w:rsidP="00395BE1">
      <w:pPr>
        <w:pStyle w:val="BodyText"/>
        <w:spacing w:line="261" w:lineRule="auto"/>
        <w:ind w:right="23"/>
        <w:rPr>
          <w:sz w:val="22"/>
          <w:szCs w:val="22"/>
        </w:rPr>
      </w:pPr>
      <w:r w:rsidRPr="00395BE1">
        <w:rPr>
          <w:sz w:val="22"/>
          <w:szCs w:val="22"/>
        </w:rPr>
        <w:t xml:space="preserve">The correlation between HbA1c levels and the severity of the coronary disease is shown in the following </w:t>
      </w:r>
      <w:proofErr w:type="gramStart"/>
      <w:r w:rsidRPr="00395BE1">
        <w:rPr>
          <w:sz w:val="22"/>
          <w:szCs w:val="22"/>
        </w:rPr>
        <w:t>tables :</w:t>
      </w:r>
      <w:proofErr w:type="gramEnd"/>
    </w:p>
    <w:p w:rsidR="00395BE1" w:rsidRPr="00395BE1" w:rsidRDefault="00395BE1" w:rsidP="00395BE1">
      <w:pPr>
        <w:pStyle w:val="BodyText"/>
        <w:spacing w:line="261" w:lineRule="auto"/>
        <w:ind w:right="23"/>
        <w:jc w:val="center"/>
        <w:rPr>
          <w:b/>
          <w:sz w:val="22"/>
          <w:szCs w:val="22"/>
          <w:u w:val="single"/>
        </w:rPr>
      </w:pPr>
      <w:r w:rsidRPr="00395BE1">
        <w:rPr>
          <w:b/>
          <w:sz w:val="22"/>
          <w:szCs w:val="22"/>
          <w:u w:val="single"/>
        </w:rPr>
        <w:t xml:space="preserve">Table </w:t>
      </w:r>
      <w:r w:rsidR="00EF6515">
        <w:rPr>
          <w:b/>
          <w:sz w:val="22"/>
          <w:szCs w:val="22"/>
          <w:u w:val="single"/>
        </w:rPr>
        <w:t>1</w:t>
      </w:r>
      <w:r w:rsidRPr="00395BE1">
        <w:rPr>
          <w:b/>
          <w:sz w:val="22"/>
          <w:szCs w:val="22"/>
          <w:u w:val="single"/>
        </w:rPr>
        <w:t>:</w:t>
      </w:r>
      <w:r w:rsidR="001711F4">
        <w:rPr>
          <w:b/>
          <w:sz w:val="22"/>
          <w:szCs w:val="22"/>
          <w:u w:val="single"/>
        </w:rPr>
        <w:t xml:space="preserve"> </w:t>
      </w:r>
      <w:r w:rsidRPr="00395BE1">
        <w:rPr>
          <w:b/>
          <w:sz w:val="22"/>
          <w:szCs w:val="22"/>
          <w:u w:val="single"/>
        </w:rPr>
        <w:t xml:space="preserve">The correlation between HBA1c and the number of </w:t>
      </w:r>
      <w:proofErr w:type="gramStart"/>
      <w:r w:rsidRPr="00395BE1">
        <w:rPr>
          <w:b/>
          <w:sz w:val="22"/>
          <w:szCs w:val="22"/>
          <w:u w:val="single"/>
        </w:rPr>
        <w:t>coronary</w:t>
      </w:r>
      <w:proofErr w:type="gramEnd"/>
    </w:p>
    <w:p w:rsidR="00395BE1" w:rsidRPr="00395BE1" w:rsidRDefault="00395BE1" w:rsidP="00395BE1">
      <w:pPr>
        <w:pStyle w:val="Heading1"/>
        <w:ind w:left="708" w:firstLine="708"/>
        <w:rPr>
          <w:rFonts w:ascii="Helvetica" w:hAnsi="Helvetica"/>
          <w:b w:val="0"/>
          <w:kern w:val="0"/>
          <w:sz w:val="22"/>
          <w:szCs w:val="22"/>
        </w:rPr>
      </w:pPr>
      <w:r w:rsidRPr="00395BE1">
        <w:rPr>
          <w:rFonts w:ascii="Helvetica" w:hAnsi="Helvetica"/>
          <w:b w:val="0"/>
          <w:kern w:val="0"/>
          <w:sz w:val="22"/>
          <w:szCs w:val="22"/>
        </w:rPr>
        <w:t xml:space="preserve">Number of </w:t>
      </w:r>
      <w:proofErr w:type="gramStart"/>
      <w:r w:rsidRPr="00395BE1">
        <w:rPr>
          <w:rFonts w:ascii="Helvetica" w:hAnsi="Helvetica"/>
          <w:b w:val="0"/>
          <w:kern w:val="0"/>
          <w:sz w:val="22"/>
          <w:szCs w:val="22"/>
        </w:rPr>
        <w:t>coronary</w:t>
      </w:r>
      <w:proofErr w:type="gramEnd"/>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HbA1c</w:t>
      </w:r>
      <w:r w:rsidRPr="00395BE1">
        <w:rPr>
          <w:rFonts w:ascii="Helvetica" w:hAnsi="Helvetica"/>
          <w:b w:val="0"/>
          <w:kern w:val="0"/>
          <w:sz w:val="22"/>
          <w:szCs w:val="22"/>
        </w:rPr>
        <w:tab/>
      </w:r>
      <w:r w:rsidRPr="00395BE1">
        <w:rPr>
          <w:rFonts w:ascii="Helvetica" w:hAnsi="Helvetica"/>
          <w:b w:val="0"/>
          <w:kern w:val="0"/>
          <w:sz w:val="22"/>
          <w:szCs w:val="22"/>
        </w:rPr>
        <w:tab/>
        <w:t>Single vessel</w:t>
      </w:r>
      <w:r w:rsidRPr="00395BE1">
        <w:rPr>
          <w:rFonts w:ascii="Helvetica" w:hAnsi="Helvetica"/>
          <w:b w:val="0"/>
          <w:kern w:val="0"/>
          <w:sz w:val="22"/>
          <w:szCs w:val="22"/>
        </w:rPr>
        <w:tab/>
        <w:t>Double vessel</w:t>
      </w:r>
      <w:r w:rsidRPr="00395BE1">
        <w:rPr>
          <w:rFonts w:ascii="Helvetica" w:hAnsi="Helvetica"/>
          <w:b w:val="0"/>
          <w:kern w:val="0"/>
          <w:sz w:val="22"/>
          <w:szCs w:val="22"/>
        </w:rPr>
        <w:tab/>
        <w:t>Triple vessel</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&lt;5,8</w:t>
      </w:r>
      <w:r w:rsidRPr="00395BE1">
        <w:rPr>
          <w:rFonts w:ascii="Helvetica" w:hAnsi="Helvetica"/>
          <w:b w:val="0"/>
          <w:kern w:val="0"/>
          <w:sz w:val="22"/>
          <w:szCs w:val="22"/>
        </w:rPr>
        <w:tab/>
        <w:t>6</w:t>
      </w:r>
      <w:r w:rsidRPr="00395BE1">
        <w:rPr>
          <w:rFonts w:ascii="Helvetica" w:hAnsi="Helvetica"/>
          <w:b w:val="0"/>
          <w:kern w:val="0"/>
          <w:sz w:val="22"/>
          <w:szCs w:val="22"/>
        </w:rPr>
        <w:tab/>
        <w:t>6</w:t>
      </w:r>
      <w:r w:rsidRPr="00395BE1">
        <w:rPr>
          <w:rFonts w:ascii="Helvetica" w:hAnsi="Helvetica"/>
          <w:b w:val="0"/>
          <w:kern w:val="0"/>
          <w:sz w:val="22"/>
          <w:szCs w:val="22"/>
        </w:rPr>
        <w:tab/>
        <w:t>0</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5,8-6,5</w:t>
      </w:r>
      <w:r w:rsidRPr="00395BE1">
        <w:rPr>
          <w:rFonts w:ascii="Helvetica" w:hAnsi="Helvetica"/>
          <w:b w:val="0"/>
          <w:kern w:val="0"/>
          <w:sz w:val="22"/>
          <w:szCs w:val="22"/>
        </w:rPr>
        <w:tab/>
        <w:t>15</w:t>
      </w:r>
      <w:r w:rsidRPr="00395BE1">
        <w:rPr>
          <w:rFonts w:ascii="Helvetica" w:hAnsi="Helvetica"/>
          <w:b w:val="0"/>
          <w:kern w:val="0"/>
          <w:sz w:val="22"/>
          <w:szCs w:val="22"/>
        </w:rPr>
        <w:tab/>
        <w:t>6</w:t>
      </w:r>
      <w:r w:rsidRPr="00395BE1">
        <w:rPr>
          <w:rFonts w:ascii="Helvetica" w:hAnsi="Helvetica"/>
          <w:b w:val="0"/>
          <w:kern w:val="0"/>
          <w:sz w:val="22"/>
          <w:szCs w:val="22"/>
        </w:rPr>
        <w:tab/>
        <w:t>3</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6,5-7</w:t>
      </w:r>
      <w:r w:rsidRPr="00395BE1">
        <w:rPr>
          <w:rFonts w:ascii="Helvetica" w:hAnsi="Helvetica"/>
          <w:b w:val="0"/>
          <w:kern w:val="0"/>
          <w:sz w:val="22"/>
          <w:szCs w:val="22"/>
        </w:rPr>
        <w:tab/>
        <w:t>6</w:t>
      </w:r>
      <w:r w:rsidRPr="00395BE1">
        <w:rPr>
          <w:rFonts w:ascii="Helvetica" w:hAnsi="Helvetica"/>
          <w:b w:val="0"/>
          <w:kern w:val="0"/>
          <w:sz w:val="22"/>
          <w:szCs w:val="22"/>
        </w:rPr>
        <w:tab/>
        <w:t>0</w:t>
      </w:r>
      <w:r w:rsidRPr="00395BE1">
        <w:rPr>
          <w:rFonts w:ascii="Helvetica" w:hAnsi="Helvetica"/>
          <w:b w:val="0"/>
          <w:kern w:val="0"/>
          <w:sz w:val="22"/>
          <w:szCs w:val="22"/>
        </w:rPr>
        <w:tab/>
        <w:t>3</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7-8</w:t>
      </w:r>
      <w:r w:rsidRPr="00395BE1">
        <w:rPr>
          <w:rFonts w:ascii="Helvetica" w:hAnsi="Helvetica"/>
          <w:b w:val="0"/>
          <w:kern w:val="0"/>
          <w:sz w:val="22"/>
          <w:szCs w:val="22"/>
        </w:rPr>
        <w:tab/>
        <w:t>9</w:t>
      </w:r>
      <w:r w:rsidRPr="00395BE1">
        <w:rPr>
          <w:rFonts w:ascii="Helvetica" w:hAnsi="Helvetica"/>
          <w:b w:val="0"/>
          <w:kern w:val="0"/>
          <w:sz w:val="22"/>
          <w:szCs w:val="22"/>
        </w:rPr>
        <w:tab/>
        <w:t>6</w:t>
      </w:r>
      <w:r w:rsidRPr="00395BE1">
        <w:rPr>
          <w:rFonts w:ascii="Helvetica" w:hAnsi="Helvetica"/>
          <w:b w:val="0"/>
          <w:kern w:val="0"/>
          <w:sz w:val="22"/>
          <w:szCs w:val="22"/>
        </w:rPr>
        <w:tab/>
        <w:t>6</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&gt;8</w:t>
      </w:r>
      <w:r w:rsidRPr="00395BE1">
        <w:rPr>
          <w:rFonts w:ascii="Helvetica" w:hAnsi="Helvetica"/>
          <w:b w:val="0"/>
          <w:kern w:val="0"/>
          <w:sz w:val="22"/>
          <w:szCs w:val="22"/>
        </w:rPr>
        <w:tab/>
        <w:t>3</w:t>
      </w:r>
      <w:r w:rsidRPr="00395BE1">
        <w:rPr>
          <w:rFonts w:ascii="Helvetica" w:hAnsi="Helvetica"/>
          <w:b w:val="0"/>
          <w:kern w:val="0"/>
          <w:sz w:val="22"/>
          <w:szCs w:val="22"/>
        </w:rPr>
        <w:tab/>
        <w:t>13</w:t>
      </w:r>
      <w:r w:rsidRPr="00395BE1">
        <w:rPr>
          <w:rFonts w:ascii="Helvetica" w:hAnsi="Helvetica"/>
          <w:b w:val="0"/>
          <w:kern w:val="0"/>
          <w:sz w:val="22"/>
          <w:szCs w:val="22"/>
        </w:rPr>
        <w:tab/>
        <w:t>9</w:t>
      </w:r>
    </w:p>
    <w:p w:rsidR="00395BE1" w:rsidRPr="00395BE1" w:rsidRDefault="00395BE1" w:rsidP="00395BE1">
      <w:pPr>
        <w:pStyle w:val="Heading1"/>
        <w:rPr>
          <w:rFonts w:ascii="Helvetica" w:hAnsi="Helvetica"/>
          <w:b w:val="0"/>
          <w:kern w:val="0"/>
          <w:sz w:val="22"/>
          <w:szCs w:val="22"/>
        </w:rPr>
      </w:pPr>
    </w:p>
    <w:p w:rsidR="00395BE1" w:rsidRPr="00395BE1" w:rsidRDefault="00395BE1" w:rsidP="00395BE1">
      <w:pPr>
        <w:pStyle w:val="Heading1"/>
        <w:jc w:val="center"/>
        <w:rPr>
          <w:rFonts w:ascii="Helvetica" w:hAnsi="Helvetica"/>
          <w:bCs/>
          <w:kern w:val="0"/>
          <w:sz w:val="22"/>
          <w:szCs w:val="22"/>
          <w:u w:val="single"/>
        </w:rPr>
      </w:pPr>
      <w:r w:rsidRPr="00395BE1">
        <w:rPr>
          <w:rFonts w:ascii="Helvetica" w:hAnsi="Helvetica"/>
          <w:bCs/>
          <w:kern w:val="0"/>
          <w:sz w:val="22"/>
          <w:szCs w:val="22"/>
          <w:u w:val="single"/>
        </w:rPr>
        <w:t xml:space="preserve">Table </w:t>
      </w:r>
      <w:r w:rsidR="00EF6515">
        <w:rPr>
          <w:rFonts w:ascii="Helvetica" w:hAnsi="Helvetica"/>
          <w:bCs/>
          <w:kern w:val="0"/>
          <w:sz w:val="22"/>
          <w:szCs w:val="22"/>
          <w:u w:val="single"/>
        </w:rPr>
        <w:t>2</w:t>
      </w:r>
      <w:r w:rsidRPr="00395BE1">
        <w:rPr>
          <w:rFonts w:ascii="Helvetica" w:hAnsi="Helvetica"/>
          <w:bCs/>
          <w:kern w:val="0"/>
          <w:sz w:val="22"/>
          <w:szCs w:val="22"/>
          <w:u w:val="single"/>
        </w:rPr>
        <w:t>: the correlation between HBA1c and the severity of CAD</w:t>
      </w:r>
    </w:p>
    <w:p w:rsidR="00395BE1" w:rsidRPr="00395BE1" w:rsidRDefault="00395BE1" w:rsidP="00395BE1">
      <w:pPr>
        <w:pStyle w:val="Heading1"/>
        <w:ind w:left="1416" w:firstLine="708"/>
        <w:rPr>
          <w:rFonts w:ascii="Helvetica" w:hAnsi="Helvetica"/>
          <w:b w:val="0"/>
          <w:kern w:val="0"/>
          <w:sz w:val="22"/>
          <w:szCs w:val="22"/>
        </w:rPr>
      </w:pPr>
      <w:r w:rsidRPr="00395BE1">
        <w:rPr>
          <w:rFonts w:ascii="Helvetica" w:hAnsi="Helvetica"/>
          <w:b w:val="0"/>
          <w:kern w:val="0"/>
          <w:sz w:val="22"/>
          <w:szCs w:val="22"/>
        </w:rPr>
        <w:t>Severity of coronary disease</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HbA1c</w:t>
      </w:r>
      <w:r w:rsidRPr="00395BE1">
        <w:rPr>
          <w:rFonts w:ascii="Helvetica" w:hAnsi="Helvetica"/>
          <w:b w:val="0"/>
          <w:kern w:val="0"/>
          <w:sz w:val="22"/>
          <w:szCs w:val="22"/>
        </w:rPr>
        <w:tab/>
      </w:r>
      <w:r w:rsidRPr="00395BE1">
        <w:rPr>
          <w:rFonts w:ascii="Helvetica" w:hAnsi="Helvetica"/>
          <w:b w:val="0"/>
          <w:kern w:val="0"/>
          <w:sz w:val="22"/>
          <w:szCs w:val="22"/>
        </w:rPr>
        <w:tab/>
        <w:t>Mild stenosis</w:t>
      </w:r>
      <w:r w:rsidRPr="00395BE1">
        <w:rPr>
          <w:rFonts w:ascii="Helvetica" w:hAnsi="Helvetica"/>
          <w:b w:val="0"/>
          <w:kern w:val="0"/>
          <w:sz w:val="22"/>
          <w:szCs w:val="22"/>
        </w:rPr>
        <w:tab/>
        <w:t>Moderate stenosis</w:t>
      </w:r>
      <w:r w:rsidRPr="00395BE1">
        <w:rPr>
          <w:rFonts w:ascii="Helvetica" w:hAnsi="Helvetica"/>
          <w:b w:val="0"/>
          <w:kern w:val="0"/>
          <w:sz w:val="22"/>
          <w:szCs w:val="22"/>
        </w:rPr>
        <w:tab/>
        <w:t>Severe stenosis</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&lt;5,8</w:t>
      </w:r>
      <w:r w:rsidRPr="00395BE1">
        <w:rPr>
          <w:rFonts w:ascii="Helvetica" w:hAnsi="Helvetica"/>
          <w:b w:val="0"/>
          <w:kern w:val="0"/>
          <w:sz w:val="22"/>
          <w:szCs w:val="22"/>
        </w:rPr>
        <w:tab/>
        <w:t>3</w:t>
      </w:r>
      <w:r w:rsidRPr="00395BE1">
        <w:rPr>
          <w:rFonts w:ascii="Helvetica" w:hAnsi="Helvetica"/>
          <w:b w:val="0"/>
          <w:kern w:val="0"/>
          <w:sz w:val="22"/>
          <w:szCs w:val="22"/>
        </w:rPr>
        <w:tab/>
        <w:t>0</w:t>
      </w:r>
      <w:r w:rsidRPr="00395BE1">
        <w:rPr>
          <w:rFonts w:ascii="Helvetica" w:hAnsi="Helvetica"/>
          <w:b w:val="0"/>
          <w:kern w:val="0"/>
          <w:sz w:val="22"/>
          <w:szCs w:val="22"/>
        </w:rPr>
        <w:tab/>
        <w:t>15</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5,8-6,5</w:t>
      </w:r>
      <w:r w:rsidRPr="00395BE1">
        <w:rPr>
          <w:rFonts w:ascii="Helvetica" w:hAnsi="Helvetica"/>
          <w:b w:val="0"/>
          <w:kern w:val="0"/>
          <w:sz w:val="22"/>
          <w:szCs w:val="22"/>
        </w:rPr>
        <w:tab/>
        <w:t>3</w:t>
      </w:r>
      <w:r w:rsidRPr="00395BE1">
        <w:rPr>
          <w:rFonts w:ascii="Helvetica" w:hAnsi="Helvetica"/>
          <w:b w:val="0"/>
          <w:kern w:val="0"/>
          <w:sz w:val="22"/>
          <w:szCs w:val="22"/>
        </w:rPr>
        <w:tab/>
        <w:t>6</w:t>
      </w:r>
      <w:r w:rsidRPr="00395BE1">
        <w:rPr>
          <w:rFonts w:ascii="Helvetica" w:hAnsi="Helvetica"/>
          <w:b w:val="0"/>
          <w:kern w:val="0"/>
          <w:sz w:val="22"/>
          <w:szCs w:val="22"/>
        </w:rPr>
        <w:tab/>
        <w:t>27</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6,5-7</w:t>
      </w:r>
      <w:r w:rsidRPr="00395BE1">
        <w:rPr>
          <w:rFonts w:ascii="Helvetica" w:hAnsi="Helvetica"/>
          <w:b w:val="0"/>
          <w:kern w:val="0"/>
          <w:sz w:val="22"/>
          <w:szCs w:val="22"/>
        </w:rPr>
        <w:tab/>
        <w:t>0</w:t>
      </w:r>
      <w:r w:rsidRPr="00395BE1">
        <w:rPr>
          <w:rFonts w:ascii="Helvetica" w:hAnsi="Helvetica"/>
          <w:b w:val="0"/>
          <w:kern w:val="0"/>
          <w:sz w:val="22"/>
          <w:szCs w:val="22"/>
        </w:rPr>
        <w:tab/>
        <w:t>0</w:t>
      </w:r>
      <w:r w:rsidRPr="00395BE1">
        <w:rPr>
          <w:rFonts w:ascii="Helvetica" w:hAnsi="Helvetica"/>
          <w:b w:val="0"/>
          <w:kern w:val="0"/>
          <w:sz w:val="22"/>
          <w:szCs w:val="22"/>
        </w:rPr>
        <w:tab/>
        <w:t>15</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7-8</w:t>
      </w:r>
      <w:r w:rsidRPr="00395BE1">
        <w:rPr>
          <w:rFonts w:ascii="Helvetica" w:hAnsi="Helvetica"/>
          <w:b w:val="0"/>
          <w:kern w:val="0"/>
          <w:sz w:val="22"/>
          <w:szCs w:val="22"/>
        </w:rPr>
        <w:tab/>
        <w:t>6</w:t>
      </w:r>
      <w:r w:rsidRPr="00395BE1">
        <w:rPr>
          <w:rFonts w:ascii="Helvetica" w:hAnsi="Helvetica"/>
          <w:b w:val="0"/>
          <w:kern w:val="0"/>
          <w:sz w:val="22"/>
          <w:szCs w:val="22"/>
        </w:rPr>
        <w:tab/>
        <w:t>3</w:t>
      </w:r>
      <w:r w:rsidRPr="00395BE1">
        <w:rPr>
          <w:rFonts w:ascii="Helvetica" w:hAnsi="Helvetica"/>
          <w:b w:val="0"/>
          <w:kern w:val="0"/>
          <w:sz w:val="22"/>
          <w:szCs w:val="22"/>
        </w:rPr>
        <w:tab/>
        <w:t>30</w:t>
      </w:r>
    </w:p>
    <w:p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&gt;8</w:t>
      </w:r>
      <w:r w:rsidRPr="00395BE1">
        <w:rPr>
          <w:rFonts w:ascii="Helvetica" w:hAnsi="Helvetica"/>
          <w:b w:val="0"/>
          <w:kern w:val="0"/>
          <w:sz w:val="22"/>
          <w:szCs w:val="22"/>
        </w:rPr>
        <w:tab/>
        <w:t>0</w:t>
      </w:r>
      <w:r w:rsidRPr="00395BE1">
        <w:rPr>
          <w:rFonts w:ascii="Helvetica" w:hAnsi="Helvetica"/>
          <w:b w:val="0"/>
          <w:kern w:val="0"/>
          <w:sz w:val="22"/>
          <w:szCs w:val="22"/>
        </w:rPr>
        <w:tab/>
        <w:t>9</w:t>
      </w:r>
      <w:r w:rsidRPr="00395BE1">
        <w:rPr>
          <w:rFonts w:ascii="Helvetica" w:hAnsi="Helvetica"/>
          <w:b w:val="0"/>
          <w:kern w:val="0"/>
          <w:sz w:val="22"/>
          <w:szCs w:val="22"/>
        </w:rPr>
        <w:tab/>
        <w:t>45</w:t>
      </w:r>
    </w:p>
    <w:p w:rsidR="00395BE1" w:rsidRPr="00395BE1" w:rsidRDefault="00395BE1" w:rsidP="00395BE1">
      <w:pPr>
        <w:pStyle w:val="Heading1"/>
        <w:rPr>
          <w:rFonts w:ascii="Helvetica" w:hAnsi="Helvetica"/>
          <w:b w:val="0"/>
          <w:kern w:val="0"/>
          <w:sz w:val="22"/>
          <w:szCs w:val="22"/>
        </w:rPr>
      </w:pPr>
      <w:r w:rsidRPr="00395BE1">
        <w:rPr>
          <w:rFonts w:ascii="Times New Roman" w:hAnsi="Times New Roman"/>
          <w:spacing w:val="-2"/>
          <w:sz w:val="22"/>
          <w:szCs w:val="22"/>
          <w:u w:val="single"/>
        </w:rPr>
        <w:t>Discussion:</w:t>
      </w:r>
    </w:p>
    <w:p w:rsidR="00395BE1" w:rsidRPr="00395BE1" w:rsidRDefault="00395BE1" w:rsidP="00395BE1">
      <w:pPr>
        <w:rPr>
          <w:sz w:val="22"/>
          <w:szCs w:val="22"/>
        </w:rPr>
      </w:pPr>
    </w:p>
    <w:p w:rsidR="00395BE1" w:rsidRPr="00395BE1" w:rsidRDefault="00395BE1" w:rsidP="00395BE1">
      <w:pPr>
        <w:pStyle w:val="Body"/>
        <w:rPr>
          <w:rFonts w:ascii="Arial" w:hAnsi="Arial" w:cs="Arial"/>
          <w:sz w:val="22"/>
          <w:szCs w:val="22"/>
        </w:rPr>
      </w:pPr>
      <w:r w:rsidRPr="00395BE1">
        <w:rPr>
          <w:rFonts w:ascii="Arial" w:hAnsi="Arial" w:cs="Arial"/>
          <w:sz w:val="22"/>
          <w:szCs w:val="22"/>
        </w:rPr>
        <w:t>HBA1</w:t>
      </w:r>
      <w:proofErr w:type="gramStart"/>
      <w:r w:rsidRPr="00395BE1">
        <w:rPr>
          <w:rFonts w:ascii="Arial" w:hAnsi="Arial" w:cs="Arial"/>
          <w:sz w:val="22"/>
          <w:szCs w:val="22"/>
        </w:rPr>
        <w:t>c ,</w:t>
      </w:r>
      <w:proofErr w:type="gramEnd"/>
      <w:r w:rsidRPr="00395BE1">
        <w:rPr>
          <w:rFonts w:ascii="Arial" w:hAnsi="Arial" w:cs="Arial"/>
          <w:sz w:val="22"/>
          <w:szCs w:val="22"/>
        </w:rPr>
        <w:t xml:space="preserve"> the most used indicator of chronic glucose, is commonly known as a prominent  risk factor of cardiovascular disease. </w:t>
      </w:r>
      <w:r w:rsidR="004B4401">
        <w:rPr>
          <w:rFonts w:ascii="Arial" w:hAnsi="Arial" w:cs="Arial"/>
          <w:sz w:val="22"/>
          <w:szCs w:val="22"/>
        </w:rPr>
        <w:t>“</w:t>
      </w:r>
      <w:r w:rsidRPr="00395BE1">
        <w:rPr>
          <w:rFonts w:ascii="Arial" w:hAnsi="Arial" w:cs="Arial"/>
          <w:sz w:val="22"/>
          <w:szCs w:val="22"/>
        </w:rPr>
        <w:t>Diabetes mellitus has two to eightfold higher risks for occurrence of cardiovascular disease compared with nondiabetic individuals of comparable sex, age and ethnicity</w:t>
      </w:r>
      <w:proofErr w:type="gramStart"/>
      <w:r w:rsidR="004B4401">
        <w:rPr>
          <w:rFonts w:ascii="Arial" w:hAnsi="Arial" w:cs="Arial"/>
          <w:sz w:val="22"/>
          <w:szCs w:val="22"/>
        </w:rPr>
        <w:t>”</w:t>
      </w:r>
      <w:r w:rsidRPr="00395BE1">
        <w:rPr>
          <w:rFonts w:ascii="Arial" w:hAnsi="Arial" w:cs="Arial"/>
          <w:sz w:val="22"/>
          <w:szCs w:val="22"/>
        </w:rPr>
        <w:t>.(</w:t>
      </w:r>
      <w:proofErr w:type="gramEnd"/>
      <w:r w:rsidRPr="00395BE1">
        <w:rPr>
          <w:rFonts w:ascii="Arial" w:hAnsi="Arial" w:cs="Arial"/>
          <w:sz w:val="22"/>
          <w:szCs w:val="22"/>
        </w:rPr>
        <w:t xml:space="preserve">7). The duration of diabetes mellitus is also a known of the appearance of cardiovascular </w:t>
      </w:r>
      <w:proofErr w:type="gramStart"/>
      <w:r w:rsidRPr="00395BE1">
        <w:rPr>
          <w:rFonts w:ascii="Arial" w:hAnsi="Arial" w:cs="Arial"/>
          <w:sz w:val="22"/>
          <w:szCs w:val="22"/>
        </w:rPr>
        <w:t>complications.(</w:t>
      </w:r>
      <w:proofErr w:type="gramEnd"/>
      <w:r w:rsidRPr="00395BE1">
        <w:rPr>
          <w:rFonts w:ascii="Arial" w:hAnsi="Arial" w:cs="Arial"/>
          <w:sz w:val="22"/>
          <w:szCs w:val="22"/>
        </w:rPr>
        <w:t>8)</w:t>
      </w:r>
    </w:p>
    <w:p w:rsidR="00395BE1" w:rsidRPr="00395BE1" w:rsidRDefault="00395BE1" w:rsidP="00395BE1">
      <w:pPr>
        <w:pStyle w:val="Body"/>
        <w:rPr>
          <w:rFonts w:ascii="Arial" w:hAnsi="Arial" w:cs="Arial"/>
          <w:sz w:val="22"/>
          <w:szCs w:val="22"/>
        </w:rPr>
      </w:pPr>
      <w:r w:rsidRPr="00395BE1">
        <w:rPr>
          <w:rFonts w:ascii="Arial" w:hAnsi="Arial" w:cs="Arial"/>
          <w:sz w:val="22"/>
          <w:szCs w:val="22"/>
        </w:rPr>
        <w:t>This study aimed to explore the relationship between HbA1c levels and the severity of coronary artery disease (CAD) in patients presenting with acute coronary syndrome (ACS). Our findings highlight important differences in CAD burden among diabetic, pre-diabetic, and non-diabetic patients, offering insights into the impact of chronic glycemic status on coronary pathology.</w:t>
      </w:r>
    </w:p>
    <w:p w:rsidR="00395BE1" w:rsidRPr="00395BE1" w:rsidRDefault="00395BE1" w:rsidP="00395BE1">
      <w:pPr>
        <w:pStyle w:val="Body"/>
        <w:rPr>
          <w:rFonts w:ascii="Arial" w:hAnsi="Arial" w:cs="Arial"/>
          <w:sz w:val="22"/>
          <w:szCs w:val="22"/>
        </w:rPr>
      </w:pPr>
      <w:r w:rsidRPr="00395BE1">
        <w:rPr>
          <w:rFonts w:ascii="Arial" w:hAnsi="Arial" w:cs="Arial"/>
          <w:sz w:val="22"/>
          <w:szCs w:val="22"/>
        </w:rPr>
        <w:t xml:space="preserve">The mean age of the study group was 65 years, indicating that ACS among </w:t>
      </w:r>
      <w:proofErr w:type="gramStart"/>
      <w:r w:rsidRPr="00395BE1">
        <w:rPr>
          <w:rFonts w:ascii="Arial" w:hAnsi="Arial" w:cs="Arial"/>
          <w:sz w:val="22"/>
          <w:szCs w:val="22"/>
        </w:rPr>
        <w:t>our  patients</w:t>
      </w:r>
      <w:proofErr w:type="gramEnd"/>
      <w:r w:rsidRPr="00395BE1">
        <w:rPr>
          <w:rFonts w:ascii="Arial" w:hAnsi="Arial" w:cs="Arial"/>
          <w:sz w:val="22"/>
          <w:szCs w:val="22"/>
        </w:rPr>
        <w:t xml:space="preserve"> was more common in advanced age groups. Our findings are also linked to the study of Ahmed A. (9</w:t>
      </w:r>
      <w:proofErr w:type="gramStart"/>
      <w:r w:rsidRPr="00395BE1">
        <w:rPr>
          <w:rFonts w:ascii="Arial" w:hAnsi="Arial" w:cs="Arial"/>
          <w:sz w:val="22"/>
          <w:szCs w:val="22"/>
        </w:rPr>
        <w:t>),Mohamed</w:t>
      </w:r>
      <w:proofErr w:type="gramEnd"/>
      <w:r w:rsidRPr="00395BE1">
        <w:rPr>
          <w:rFonts w:ascii="Arial" w:hAnsi="Arial" w:cs="Arial"/>
          <w:sz w:val="22"/>
          <w:szCs w:val="22"/>
        </w:rPr>
        <w:t xml:space="preserve"> H. et al. [10] and Hertz et al. which had reported similar results [11].</w:t>
      </w:r>
    </w:p>
    <w:p w:rsidR="00395BE1" w:rsidRPr="00395BE1" w:rsidRDefault="00395BE1" w:rsidP="00395BE1">
      <w:pPr>
        <w:pStyle w:val="Body"/>
        <w:rPr>
          <w:rFonts w:ascii="Arial" w:hAnsi="Arial" w:cs="Arial"/>
          <w:sz w:val="22"/>
          <w:szCs w:val="22"/>
        </w:rPr>
      </w:pPr>
      <w:r w:rsidRPr="00395BE1">
        <w:rPr>
          <w:rFonts w:ascii="Arial" w:hAnsi="Arial" w:cs="Arial"/>
          <w:sz w:val="22"/>
          <w:szCs w:val="22"/>
        </w:rPr>
        <w:lastRenderedPageBreak/>
        <w:t>A higher incidence of ST-elevation myocardial infarction (STEMI) was observed in both the diabetic (51.5%) and non-diabetic (48.8%) groups. This may suggest that ACS in these populations could, in part, result from underlying pro-thrombotic mechanisms. In contrast, patients with diabetes exhibited greater prevalence of non-ST-elevation ACS presentations, such as unstable angina and NSTEMI, aligning with previous observations [12,13].</w:t>
      </w:r>
    </w:p>
    <w:p w:rsidR="00395BE1" w:rsidRPr="00395BE1" w:rsidRDefault="00395BE1" w:rsidP="00395BE1">
      <w:pPr>
        <w:pStyle w:val="Body"/>
        <w:rPr>
          <w:rFonts w:ascii="Arial" w:hAnsi="Arial" w:cs="Arial"/>
          <w:sz w:val="22"/>
          <w:szCs w:val="22"/>
        </w:rPr>
      </w:pPr>
      <w:r w:rsidRPr="00395BE1">
        <w:rPr>
          <w:rFonts w:ascii="Arial" w:hAnsi="Arial" w:cs="Arial"/>
          <w:sz w:val="22"/>
          <w:szCs w:val="22"/>
        </w:rPr>
        <w:t>Our results confirm that diabetic patients had significantly more severe coronary involvement compared to non-diabetics. This included a higher frequency of multivessel disease, particularly triple-vessel involvement, which was found in 19% of diabetics but only about 3% of pre-diabetics. Pre-diabetic patients tended to present with milder forms, often with single-vessel disease. These findings are consistent with prior studies demonstrating the extent of multi</w:t>
      </w:r>
      <w:r w:rsidR="001711F4">
        <w:rPr>
          <w:rFonts w:ascii="Arial" w:hAnsi="Arial" w:cs="Arial"/>
          <w:sz w:val="22"/>
          <w:szCs w:val="22"/>
        </w:rPr>
        <w:t xml:space="preserve"> </w:t>
      </w:r>
      <w:r w:rsidRPr="00395BE1">
        <w:rPr>
          <w:rFonts w:ascii="Arial" w:hAnsi="Arial" w:cs="Arial"/>
          <w:sz w:val="22"/>
          <w:szCs w:val="22"/>
        </w:rPr>
        <w:t>vascular disease in individuals with diabetes [14,15].</w:t>
      </w:r>
    </w:p>
    <w:p w:rsidR="00395BE1" w:rsidRPr="00395BE1" w:rsidRDefault="004B4401" w:rsidP="00395BE1">
      <w:pPr>
        <w:pStyle w:val="Body"/>
        <w:rPr>
          <w:rFonts w:ascii="Arial" w:hAnsi="Arial" w:cs="Arial"/>
          <w:sz w:val="22"/>
          <w:szCs w:val="22"/>
        </w:rPr>
      </w:pPr>
      <w:r>
        <w:rPr>
          <w:rFonts w:ascii="Arial" w:hAnsi="Arial" w:cs="Arial"/>
          <w:sz w:val="22"/>
          <w:szCs w:val="22"/>
        </w:rPr>
        <w:t>“</w:t>
      </w:r>
      <w:r w:rsidR="00395BE1" w:rsidRPr="00395BE1">
        <w:rPr>
          <w:rFonts w:ascii="Arial" w:hAnsi="Arial" w:cs="Arial"/>
          <w:sz w:val="22"/>
          <w:szCs w:val="22"/>
        </w:rPr>
        <w:t>HbA1c, as an indicator of average blood glucose concentrations over the preceding two to three months, serves as a reliable marker for long-term glycemic control</w:t>
      </w:r>
      <w:r>
        <w:rPr>
          <w:rFonts w:ascii="Arial" w:hAnsi="Arial" w:cs="Arial"/>
          <w:sz w:val="22"/>
          <w:szCs w:val="22"/>
        </w:rPr>
        <w:t>”</w:t>
      </w:r>
      <w:r w:rsidR="00395BE1" w:rsidRPr="00395BE1">
        <w:rPr>
          <w:rFonts w:ascii="Arial" w:hAnsi="Arial" w:cs="Arial"/>
          <w:sz w:val="22"/>
          <w:szCs w:val="22"/>
        </w:rPr>
        <w:t xml:space="preserve"> [16]. The normal value of HbA1c is below 42 mmol/mol (6.0%). Prediabetes is classified HbA1c value ranges from 42 to 47 mmol/mol (6.0% to 6.4%). Diabetes is when HbA1c value above 48 mmol/mol (6.5% or over). Elevated HbA1c levels were positively correlated with more severe angiographic findings in our study, reinforcing the growing body of evidence that chronic hyperglycemia is a key driver in the pathogenesis and progression of atherosclerosis. Its clinical relevance extends beyond glycemic monitoring; elevated HbA1c levels have been associated with structural and functional changes in the vasculature that predispose individuals to atherosclerotic cardiovascular disease.</w:t>
      </w:r>
    </w:p>
    <w:p w:rsidR="00395BE1" w:rsidRPr="00395BE1" w:rsidRDefault="00395BE1" w:rsidP="00395BE1">
      <w:pPr>
        <w:pStyle w:val="Body"/>
        <w:rPr>
          <w:rFonts w:ascii="Arial" w:hAnsi="Arial" w:cs="Arial"/>
          <w:sz w:val="22"/>
          <w:szCs w:val="22"/>
        </w:rPr>
      </w:pPr>
      <w:r w:rsidRPr="00395BE1">
        <w:rPr>
          <w:rFonts w:ascii="Arial" w:hAnsi="Arial" w:cs="Arial"/>
          <w:sz w:val="22"/>
          <w:szCs w:val="22"/>
        </w:rPr>
        <w:t>Chronic hyperglycemia exerts its harmful effects through several interrelated mechanisms. These include endothelial dysfunction, where the inner lining of blood vessels loses its ability to regulate vascular tone and maintain homeostasis; increased oxidative stress, which damages cellular structures and impairs nitric oxide availability; and a pro-inflammatory state that facilitates monocyte adhesion, lipid infiltration, and plaque formation. Additionally, persistent high glucose levels promote the formation of advanced glycation end-products (AGEs), which cross-link with proteins in the vascular wall and accelerate stiffening and plaque instability. Collectively, these processes contribute to both the initiation and progression of coronary artery disease (CAD).</w:t>
      </w:r>
    </w:p>
    <w:p w:rsidR="00395BE1" w:rsidRPr="00395BE1" w:rsidRDefault="00395BE1" w:rsidP="00395BE1">
      <w:pPr>
        <w:pStyle w:val="Body"/>
        <w:rPr>
          <w:rFonts w:ascii="Arial" w:hAnsi="Arial" w:cs="Arial"/>
          <w:sz w:val="22"/>
          <w:szCs w:val="22"/>
        </w:rPr>
      </w:pPr>
    </w:p>
    <w:p w:rsidR="00395BE1" w:rsidRPr="00395BE1" w:rsidRDefault="00395BE1" w:rsidP="00395BE1">
      <w:pPr>
        <w:pStyle w:val="Body"/>
        <w:rPr>
          <w:rFonts w:ascii="Arial" w:hAnsi="Arial" w:cs="Arial"/>
          <w:sz w:val="22"/>
          <w:szCs w:val="22"/>
        </w:rPr>
      </w:pPr>
      <w:r w:rsidRPr="00395BE1">
        <w:rPr>
          <w:rFonts w:ascii="Arial" w:hAnsi="Arial" w:cs="Arial"/>
          <w:sz w:val="22"/>
          <w:szCs w:val="22"/>
        </w:rPr>
        <w:t>Beyond absolute HbA1c levels, recent evidence has shed light on the significance of HbA1c variability — the degree to which glycemic levels fluctuate over time. Emerging studies suggest that such variability may exert independent adverse effects on the vasculature, regardless of the mean HbA1c. Frequent glucose excursions may trigger repeated endothelial injury and amplify oxidative stress, thereby compounding vascular damage. This "metabolic memory" effect — where past glycemic instability continues to influence vascular outcomes — may explain why some patients with moderately controlled HbA1c still develop significant cardiovascular complications. Thus, both sustained hyperglycemia and glycemic instability appear to synergistically enhance the risk of atherosclerosis.</w:t>
      </w:r>
    </w:p>
    <w:p w:rsidR="00395BE1" w:rsidRPr="00395BE1" w:rsidRDefault="00395BE1" w:rsidP="00395BE1">
      <w:pPr>
        <w:pStyle w:val="Body"/>
        <w:rPr>
          <w:rFonts w:ascii="Arial" w:hAnsi="Arial" w:cs="Arial"/>
          <w:sz w:val="22"/>
          <w:szCs w:val="22"/>
        </w:rPr>
      </w:pPr>
    </w:p>
    <w:p w:rsidR="00395BE1" w:rsidRPr="00395BE1" w:rsidRDefault="00395BE1" w:rsidP="00395BE1">
      <w:pPr>
        <w:pStyle w:val="Body"/>
        <w:rPr>
          <w:rFonts w:ascii="Arial" w:hAnsi="Arial" w:cs="Arial"/>
          <w:sz w:val="22"/>
          <w:szCs w:val="22"/>
        </w:rPr>
      </w:pPr>
      <w:r w:rsidRPr="00395BE1">
        <w:rPr>
          <w:rFonts w:ascii="Arial" w:hAnsi="Arial" w:cs="Arial"/>
          <w:sz w:val="22"/>
          <w:szCs w:val="22"/>
        </w:rPr>
        <w:t>Importantly, our findings also highlight a significant gradient in CAD severity between pre-diabetic and non-diabetic individuals, a trend that has been echoed in several prior studies [17]. This observation suggests that the atherosclerotic process does not begin only at the onset of overt diabetes but rather starts much earlier, during the phase of impaired glucose regulation. Even modest elevations in glucose and HbA1c levels — within the pre-diabetic range — may initiate low-grade vascular inflammation and endothelial changes that predispose individuals to future cardiovascular events. Consequently, this underscores the need for proactive screening, lifestyle interventions, and possibly pharmacologic strategies in pre-diabetic populations to halt or slow the progression of atherosclerosis before it culminates in clinically significant CAD.</w:t>
      </w:r>
    </w:p>
    <w:p w:rsidR="00395BE1" w:rsidRPr="00395BE1" w:rsidRDefault="00395BE1" w:rsidP="00395BE1">
      <w:pPr>
        <w:pStyle w:val="Body"/>
        <w:rPr>
          <w:rFonts w:ascii="Arial" w:hAnsi="Arial" w:cs="Arial"/>
          <w:sz w:val="22"/>
          <w:szCs w:val="22"/>
        </w:rPr>
      </w:pPr>
    </w:p>
    <w:p w:rsidR="00395BE1" w:rsidRPr="00395BE1" w:rsidRDefault="00395BE1" w:rsidP="00395BE1">
      <w:pPr>
        <w:pStyle w:val="Body"/>
        <w:spacing w:after="0"/>
        <w:rPr>
          <w:rFonts w:ascii="Arial" w:hAnsi="Arial" w:cs="Arial"/>
          <w:sz w:val="22"/>
          <w:szCs w:val="22"/>
        </w:rPr>
      </w:pPr>
      <w:r w:rsidRPr="00395BE1">
        <w:rPr>
          <w:rFonts w:ascii="Arial" w:hAnsi="Arial" w:cs="Arial"/>
          <w:sz w:val="22"/>
          <w:szCs w:val="22"/>
        </w:rPr>
        <w:t xml:space="preserve">In summary, the relationship between HbA1c and CAD severity is multifaceted, involving not only the cumulative burden of hyperglycemia but also the dynamic fluctuations in glucose levels over time. Addressing </w:t>
      </w:r>
      <w:r w:rsidRPr="00395BE1">
        <w:rPr>
          <w:rFonts w:ascii="Arial" w:hAnsi="Arial" w:cs="Arial"/>
          <w:sz w:val="22"/>
          <w:szCs w:val="22"/>
        </w:rPr>
        <w:lastRenderedPageBreak/>
        <w:t>both aspects in clinical practice could play a crucial role in reducing cardiovascular risk and improving outcomes in at-risk populations.</w:t>
      </w:r>
    </w:p>
    <w:p w:rsidR="00067D42" w:rsidRDefault="00067D42" w:rsidP="00D13B73">
      <w:pPr>
        <w:pStyle w:val="Body"/>
        <w:spacing w:after="0"/>
        <w:rPr>
          <w:rFonts w:ascii="Arial" w:hAnsi="Arial" w:cs="Arial"/>
        </w:rPr>
      </w:pPr>
    </w:p>
    <w:p w:rsidR="000D41DD" w:rsidRPr="000D41DD" w:rsidRDefault="000D41DD" w:rsidP="000D41DD">
      <w:pPr>
        <w:pStyle w:val="ConcHead"/>
        <w:jc w:val="both"/>
        <w:rPr>
          <w:rFonts w:ascii="Arial" w:hAnsi="Arial" w:cs="Arial"/>
        </w:rPr>
      </w:pPr>
      <w:r>
        <w:rPr>
          <w:rFonts w:ascii="Arial" w:hAnsi="Arial" w:cs="Arial"/>
        </w:rPr>
        <w:t xml:space="preserve">5. </w:t>
      </w:r>
      <w:proofErr w:type="gramStart"/>
      <w:r w:rsidRPr="000D41DD">
        <w:rPr>
          <w:rFonts w:ascii="Arial" w:hAnsi="Arial" w:cs="Arial"/>
        </w:rPr>
        <w:t>Conclusion :</w:t>
      </w:r>
      <w:proofErr w:type="gramEnd"/>
    </w:p>
    <w:p w:rsidR="000D41DD" w:rsidRPr="000D41DD" w:rsidRDefault="000D41DD" w:rsidP="000D41DD">
      <w:pPr>
        <w:pStyle w:val="ConcHead"/>
        <w:jc w:val="both"/>
        <w:rPr>
          <w:rFonts w:ascii="Arial" w:hAnsi="Arial" w:cs="Arial"/>
        </w:rPr>
      </w:pPr>
    </w:p>
    <w:p w:rsidR="00C00F73" w:rsidRPr="000D41DD" w:rsidRDefault="000D41DD" w:rsidP="000D41DD">
      <w:pPr>
        <w:pStyle w:val="ConcHead"/>
        <w:jc w:val="both"/>
        <w:rPr>
          <w:rFonts w:ascii="Arial" w:hAnsi="Arial" w:cs="Arial"/>
          <w:b w:val="0"/>
          <w:caps w:val="0"/>
          <w:sz w:val="20"/>
        </w:rPr>
      </w:pPr>
      <w:r w:rsidRPr="000D41DD">
        <w:rPr>
          <w:rFonts w:ascii="Arial" w:hAnsi="Arial" w:cs="Arial"/>
          <w:b w:val="0"/>
          <w:caps w:val="0"/>
          <w:sz w:val="20"/>
        </w:rPr>
        <w:t>Our analysis suggests that HbA1c variability is significantly associated with the severity of coronary artery disease (CAD) in patients with type 2 diabetes mellitus (T2DM). While maintaining HbA1c within target ranges has long been a central goal in diabetes management, our findings highlight that fluctuations in HbA1c levels over time—even when average values remain within the recommended limits—may have important clinical implications. This variability could reflect underlying metabolic instability, glycemic excursions, or inconsistent treatment adherence, all of which may contribute to the progression of atherosclerosis and cardiovascular risk.</w:t>
      </w:r>
    </w:p>
    <w:p w:rsidR="00C00F73" w:rsidRDefault="00C00F73" w:rsidP="00441B6F">
      <w:pPr>
        <w:pStyle w:val="Body"/>
        <w:spacing w:after="0"/>
        <w:rPr>
          <w:rFonts w:ascii="Arial" w:hAnsi="Arial" w:cs="Arial"/>
        </w:rPr>
      </w:pPr>
    </w:p>
    <w:p w:rsidR="00C00F73" w:rsidRPr="00EF6515" w:rsidRDefault="00C00F73" w:rsidP="00441B6F">
      <w:pPr>
        <w:pStyle w:val="Body"/>
        <w:spacing w:after="0"/>
        <w:rPr>
          <w:rFonts w:ascii="Arial" w:hAnsi="Arial" w:cs="Arial"/>
          <w:b/>
        </w:rPr>
      </w:pPr>
    </w:p>
    <w:p w:rsidR="00EF6515" w:rsidRPr="00EF6515" w:rsidRDefault="00EF6515" w:rsidP="00EF6515">
      <w:pPr>
        <w:pStyle w:val="Body"/>
        <w:rPr>
          <w:rFonts w:ascii="Arial" w:hAnsi="Arial" w:cs="Arial"/>
          <w:b/>
        </w:rPr>
      </w:pPr>
      <w:r w:rsidRPr="00EF6515">
        <w:rPr>
          <w:rFonts w:ascii="Arial" w:hAnsi="Arial" w:cs="Arial"/>
          <w:b/>
        </w:rPr>
        <w:t xml:space="preserve">LIMITATIONS: </w:t>
      </w:r>
    </w:p>
    <w:p w:rsidR="00C00F73" w:rsidRDefault="00EF6515" w:rsidP="00EF6515">
      <w:pPr>
        <w:pStyle w:val="Body"/>
        <w:spacing w:after="0"/>
        <w:rPr>
          <w:rFonts w:ascii="Arial" w:hAnsi="Arial" w:cs="Arial"/>
        </w:rPr>
      </w:pPr>
      <w:r w:rsidRPr="00EF6515">
        <w:rPr>
          <w:rFonts w:ascii="Arial" w:hAnsi="Arial" w:cs="Arial"/>
        </w:rPr>
        <w:t>The study has several limitations. Firstly, the sample size was small, which limits the generalizability of the findings. Therefore, larger studies involving both pre-diabetic and non-diabetic populations are warranted. Secondly, the short duration of the study did not allow for long-term follow-up of the patients. Additionally, potential underlying mechanisms—such as insulin resistance or pro-thrombotic states—were not explored. Future prospective studies in pre-diabetic individuals are essential to better understand these mechanisms and to inform management strategies. Lastly, the assessment of coronary angiographic and echocardiographic findings was based on visual interpretation, which may be subject to inter- and intra-observer variability.</w:t>
      </w:r>
    </w:p>
    <w:p w:rsidR="00C00F73" w:rsidRPr="00FB3A86" w:rsidRDefault="00C00F73" w:rsidP="00441B6F">
      <w:pPr>
        <w:pStyle w:val="Body"/>
        <w:spacing w:after="0"/>
        <w:rPr>
          <w:rFonts w:ascii="Arial" w:hAnsi="Arial" w:cs="Arial"/>
        </w:rPr>
      </w:pPr>
    </w:p>
    <w:p w:rsidR="00315186" w:rsidRPr="00315186" w:rsidRDefault="00315186" w:rsidP="00441B6F"/>
    <w:p w:rsidR="00315186" w:rsidRPr="00315186" w:rsidRDefault="00315186" w:rsidP="00441B6F"/>
    <w:p w:rsidR="00315186" w:rsidRPr="00EF6515" w:rsidRDefault="00315186" w:rsidP="00441B6F">
      <w:pPr>
        <w:rPr>
          <w:b/>
        </w:rPr>
      </w:pPr>
    </w:p>
    <w:p w:rsidR="002F3FBF" w:rsidRPr="00EF6515" w:rsidRDefault="002F3FBF" w:rsidP="002F3FBF">
      <w:pPr>
        <w:rPr>
          <w:rFonts w:asciiTheme="minorHAnsi" w:hAnsiTheme="minorHAnsi"/>
          <w:b/>
        </w:rPr>
      </w:pPr>
      <w:r w:rsidRPr="00EF6515">
        <w:rPr>
          <w:b/>
        </w:rPr>
        <w:t>Disclaimer (Artificial intelligence)</w:t>
      </w:r>
    </w:p>
    <w:p w:rsidR="002F3FBF" w:rsidRDefault="002F3FBF" w:rsidP="002F3FBF">
      <w:r>
        <w:t xml:space="preserve">Option 1: </w:t>
      </w:r>
    </w:p>
    <w:p w:rsidR="002F3FBF" w:rsidRDefault="002F3FBF" w:rsidP="002F3FB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2F3FBF" w:rsidRDefault="002F3FBF" w:rsidP="002F3FBF">
      <w:r>
        <w:t xml:space="preserve">Option 2: </w:t>
      </w:r>
    </w:p>
    <w:p w:rsidR="002F3FBF" w:rsidRDefault="002F3FBF" w:rsidP="002F3FB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F3FBF" w:rsidRDefault="002F3FBF" w:rsidP="002F3FBF">
      <w:r>
        <w:t>Details of the AI usage are given below:</w:t>
      </w:r>
    </w:p>
    <w:p w:rsidR="002F3FBF" w:rsidRDefault="002F3FBF" w:rsidP="002F3FBF">
      <w:r>
        <w:t>1.</w:t>
      </w:r>
    </w:p>
    <w:p w:rsidR="002F3FBF" w:rsidRDefault="002F3FBF" w:rsidP="002F3FBF">
      <w:r>
        <w:t>2.</w:t>
      </w:r>
    </w:p>
    <w:p w:rsidR="002F3FBF" w:rsidRDefault="002F3FBF" w:rsidP="002F3FBF">
      <w:r>
        <w:t>3.</w:t>
      </w:r>
    </w:p>
    <w:p w:rsidR="002F3FBF" w:rsidRDefault="002F3FBF" w:rsidP="002F3FBF"/>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rsidR="00EF6515" w:rsidRPr="002B685A" w:rsidRDefault="00EF6515" w:rsidP="00441B6F">
      <w:pPr>
        <w:pStyle w:val="ReferHead"/>
        <w:spacing w:after="0"/>
        <w:jc w:val="both"/>
        <w:rPr>
          <w:rFonts w:ascii="Arial" w:hAnsi="Arial" w:cs="Arial"/>
          <w:bCs/>
        </w:rPr>
      </w:pPr>
    </w:p>
    <w:p w:rsidR="001A29D8" w:rsidRDefault="00EF6515" w:rsidP="00441B6F">
      <w:pPr>
        <w:pStyle w:val="ReferHead"/>
        <w:spacing w:after="0"/>
        <w:jc w:val="both"/>
        <w:rPr>
          <w:rFonts w:ascii="Arial" w:hAnsi="Arial" w:cs="Arial"/>
          <w:b w:val="0"/>
          <w:caps w:val="0"/>
          <w:sz w:val="20"/>
        </w:rPr>
      </w:pPr>
      <w:r w:rsidRPr="00EF6515">
        <w:rPr>
          <w:rFonts w:ascii="Arial" w:hAnsi="Arial" w:cs="Arial"/>
          <w:b w:val="0"/>
          <w:caps w:val="0"/>
          <w:sz w:val="20"/>
        </w:rPr>
        <w:t>As per international standards or university standards, patient(s) written consent has been collected and preserved by the author(s).</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w:t>
      </w:r>
    </w:p>
    <w:p w:rsidR="005C784C" w:rsidRPr="002B685A" w:rsidRDefault="005C784C" w:rsidP="00441B6F">
      <w:pPr>
        <w:pStyle w:val="ReferHead"/>
        <w:spacing w:after="0"/>
        <w:jc w:val="both"/>
        <w:rPr>
          <w:rFonts w:ascii="Arial" w:hAnsi="Arial" w:cs="Arial"/>
          <w:bCs/>
        </w:rPr>
      </w:pPr>
    </w:p>
    <w:p w:rsidR="00860000" w:rsidRDefault="00860000" w:rsidP="00441B6F">
      <w:pPr>
        <w:pStyle w:val="ReferHead"/>
        <w:spacing w:after="0"/>
        <w:jc w:val="both"/>
        <w:rPr>
          <w:rFonts w:ascii="Arial" w:hAnsi="Arial" w:cs="Arial"/>
        </w:rPr>
      </w:pPr>
    </w:p>
    <w:p w:rsidR="00EF6515" w:rsidRPr="00EF6515" w:rsidRDefault="00EF6515" w:rsidP="00EF6515">
      <w:pPr>
        <w:spacing w:after="200" w:line="276" w:lineRule="auto"/>
        <w:rPr>
          <w:rFonts w:asciiTheme="minorHAnsi" w:eastAsiaTheme="minorEastAsia" w:hAnsiTheme="minorHAnsi" w:cstheme="minorBidi"/>
          <w:sz w:val="22"/>
          <w:szCs w:val="22"/>
        </w:rPr>
      </w:pPr>
      <w:r w:rsidRPr="00EF6515">
        <w:rPr>
          <w:rFonts w:asciiTheme="minorHAnsi" w:eastAsiaTheme="minorEastAsia" w:hAnsiTheme="minorHAnsi" w:cstheme="minorBidi"/>
          <w:sz w:val="22"/>
          <w:szCs w:val="22"/>
        </w:rPr>
        <w:t>As per international standards or university standards written ethical approval has been collected and preserved by the author(s).</w:t>
      </w:r>
    </w:p>
    <w:p w:rsidR="00EF6515" w:rsidRDefault="00EF6515" w:rsidP="00441B6F">
      <w:pPr>
        <w:pStyle w:val="ReferHead"/>
        <w:spacing w:after="0"/>
        <w:jc w:val="both"/>
        <w:rPr>
          <w:rFonts w:ascii="Arial" w:hAnsi="Arial" w:cs="Arial"/>
          <w:lang w:val="fr-MA"/>
        </w:rPr>
      </w:pPr>
    </w:p>
    <w:p w:rsidR="00EF6515" w:rsidRDefault="00EF6515" w:rsidP="00441B6F">
      <w:pPr>
        <w:pStyle w:val="ReferHead"/>
        <w:spacing w:after="0"/>
        <w:jc w:val="both"/>
        <w:rPr>
          <w:rFonts w:ascii="Arial" w:hAnsi="Arial" w:cs="Arial"/>
          <w:lang w:val="fr-MA"/>
        </w:rPr>
      </w:pPr>
    </w:p>
    <w:p w:rsidR="00B01FCD" w:rsidRPr="000D41DD" w:rsidRDefault="00B01FCD" w:rsidP="00441B6F">
      <w:pPr>
        <w:pStyle w:val="ReferHead"/>
        <w:spacing w:after="0"/>
        <w:jc w:val="both"/>
        <w:rPr>
          <w:rFonts w:ascii="Arial" w:hAnsi="Arial" w:cs="Arial"/>
          <w:lang w:val="fr-MA"/>
        </w:rPr>
      </w:pPr>
      <w:r w:rsidRPr="000D41DD">
        <w:rPr>
          <w:rFonts w:ascii="Arial" w:hAnsi="Arial" w:cs="Arial"/>
          <w:lang w:val="fr-MA"/>
        </w:rPr>
        <w:t>References</w:t>
      </w:r>
    </w:p>
    <w:p w:rsidR="00790ADA" w:rsidRPr="000D41DD" w:rsidRDefault="00790ADA" w:rsidP="000D41DD">
      <w:pPr>
        <w:pStyle w:val="ReferHead"/>
        <w:spacing w:after="0"/>
        <w:jc w:val="both"/>
        <w:rPr>
          <w:rFonts w:ascii="Arial" w:hAnsi="Arial" w:cs="Arial"/>
          <w:lang w:val="fr-MA"/>
        </w:rPr>
      </w:pPr>
    </w:p>
    <w:p w:rsidR="000D41DD" w:rsidRPr="000D41DD" w:rsidRDefault="000D41DD" w:rsidP="000D41DD">
      <w:pPr>
        <w:pStyle w:val="Reference"/>
        <w:numPr>
          <w:ilvl w:val="0"/>
          <w:numId w:val="0"/>
        </w:numPr>
        <w:rPr>
          <w:lang w:val="fr-MA"/>
        </w:rPr>
      </w:pPr>
      <w:r w:rsidRPr="000D41DD">
        <w:rPr>
          <w:lang w:val="fr-MA"/>
        </w:rPr>
        <w:t xml:space="preserve">1. </w:t>
      </w:r>
      <w:r w:rsidRPr="000D41DD">
        <w:rPr>
          <w:lang w:val="fr-MA"/>
        </w:rPr>
        <w:tab/>
        <w:t xml:space="preserve">Accueil [Internet]. [cité 3 </w:t>
      </w:r>
      <w:proofErr w:type="spellStart"/>
      <w:r w:rsidRPr="000D41DD">
        <w:rPr>
          <w:lang w:val="fr-MA"/>
        </w:rPr>
        <w:t>nov</w:t>
      </w:r>
      <w:proofErr w:type="spellEnd"/>
      <w:r w:rsidRPr="000D41DD">
        <w:rPr>
          <w:lang w:val="fr-MA"/>
        </w:rPr>
        <w:t xml:space="preserve"> 2024]. Disponible sur: https://www.sante.gov.ma/Pages/Communiques.aspx?IDCom=308</w:t>
      </w:r>
    </w:p>
    <w:p w:rsidR="000D41DD" w:rsidRPr="000D41DD" w:rsidRDefault="000D41DD" w:rsidP="000D41DD">
      <w:pPr>
        <w:pStyle w:val="Reference"/>
        <w:numPr>
          <w:ilvl w:val="0"/>
          <w:numId w:val="0"/>
        </w:numPr>
        <w:rPr>
          <w:lang w:val="fr-MA"/>
        </w:rPr>
      </w:pPr>
      <w:r w:rsidRPr="000D41DD">
        <w:t xml:space="preserve">2. </w:t>
      </w:r>
      <w:r w:rsidRPr="000D41DD">
        <w:tab/>
      </w:r>
      <w:proofErr w:type="spellStart"/>
      <w:r w:rsidRPr="000D41DD">
        <w:t>Zimmet</w:t>
      </w:r>
      <w:proofErr w:type="spellEnd"/>
      <w:r w:rsidRPr="000D41DD">
        <w:t xml:space="preserve"> PZ, Magliano DJ, Herman WH, Shaw JE. Diabetes: a 21st century challenge. </w:t>
      </w:r>
      <w:r w:rsidRPr="000D41DD">
        <w:rPr>
          <w:lang w:val="fr-MA"/>
        </w:rPr>
        <w:t xml:space="preserve">The Lancet </w:t>
      </w:r>
      <w:proofErr w:type="spellStart"/>
      <w:r w:rsidRPr="000D41DD">
        <w:rPr>
          <w:lang w:val="fr-MA"/>
        </w:rPr>
        <w:t>Diabetes</w:t>
      </w:r>
      <w:proofErr w:type="spellEnd"/>
      <w:r w:rsidRPr="000D41DD">
        <w:rPr>
          <w:lang w:val="fr-MA"/>
        </w:rPr>
        <w:t xml:space="preserve"> &amp; </w:t>
      </w:r>
      <w:proofErr w:type="spellStart"/>
      <w:r w:rsidRPr="000D41DD">
        <w:rPr>
          <w:lang w:val="fr-MA"/>
        </w:rPr>
        <w:t>Endocrinology</w:t>
      </w:r>
      <w:proofErr w:type="spellEnd"/>
      <w:r w:rsidRPr="000D41DD">
        <w:rPr>
          <w:lang w:val="fr-MA"/>
        </w:rPr>
        <w:t xml:space="preserve"> [Internet]. 1 </w:t>
      </w:r>
      <w:proofErr w:type="spellStart"/>
      <w:r w:rsidRPr="000D41DD">
        <w:rPr>
          <w:lang w:val="fr-MA"/>
        </w:rPr>
        <w:t>janv</w:t>
      </w:r>
      <w:proofErr w:type="spellEnd"/>
      <w:r w:rsidRPr="000D41DD">
        <w:rPr>
          <w:lang w:val="fr-MA"/>
        </w:rPr>
        <w:t xml:space="preserve"> 2014 [cité 3 </w:t>
      </w:r>
      <w:proofErr w:type="spellStart"/>
      <w:r w:rsidRPr="000D41DD">
        <w:rPr>
          <w:lang w:val="fr-MA"/>
        </w:rPr>
        <w:t>nov</w:t>
      </w:r>
      <w:proofErr w:type="spellEnd"/>
      <w:r w:rsidRPr="000D41DD">
        <w:rPr>
          <w:lang w:val="fr-MA"/>
        </w:rPr>
        <w:t xml:space="preserve"> 2024];2(1):56‑64. Disponible sur: https://www.thelancet.com/journals/landia/article/PIIS2213-8587(13)70112-8/abstract</w:t>
      </w:r>
    </w:p>
    <w:p w:rsidR="000D41DD" w:rsidRPr="000D41DD" w:rsidRDefault="000D41DD" w:rsidP="000D41DD">
      <w:pPr>
        <w:pStyle w:val="Reference"/>
        <w:numPr>
          <w:ilvl w:val="0"/>
          <w:numId w:val="0"/>
        </w:numPr>
        <w:rPr>
          <w:lang w:val="fr-MA"/>
        </w:rPr>
      </w:pPr>
      <w:r w:rsidRPr="000D41DD">
        <w:t xml:space="preserve">3. </w:t>
      </w:r>
      <w:r w:rsidRPr="000D41DD">
        <w:tab/>
        <w:t xml:space="preserve">Hayward RA, </w:t>
      </w:r>
      <w:proofErr w:type="spellStart"/>
      <w:r w:rsidRPr="000D41DD">
        <w:t>Reaven</w:t>
      </w:r>
      <w:proofErr w:type="spellEnd"/>
      <w:r w:rsidRPr="000D41DD">
        <w:t xml:space="preserve"> PD, </w:t>
      </w:r>
      <w:proofErr w:type="spellStart"/>
      <w:r w:rsidRPr="000D41DD">
        <w:t>Wiitala</w:t>
      </w:r>
      <w:proofErr w:type="spellEnd"/>
      <w:r w:rsidRPr="000D41DD">
        <w:t xml:space="preserve"> WL, Bahn GD, Reda DJ, Ge L, et al. Follow-up of Glycemic Control and Cardiovascular Outcomes in Type 2 Diabetes. </w:t>
      </w:r>
      <w:r w:rsidRPr="000D41DD">
        <w:rPr>
          <w:lang w:val="fr-MA"/>
        </w:rPr>
        <w:t xml:space="preserve">New </w:t>
      </w:r>
      <w:proofErr w:type="spellStart"/>
      <w:r w:rsidRPr="000D41DD">
        <w:rPr>
          <w:lang w:val="fr-MA"/>
        </w:rPr>
        <w:t>England</w:t>
      </w:r>
      <w:proofErr w:type="spellEnd"/>
      <w:r w:rsidRPr="000D41DD">
        <w:rPr>
          <w:lang w:val="fr-MA"/>
        </w:rPr>
        <w:t xml:space="preserve"> Journal of </w:t>
      </w:r>
      <w:proofErr w:type="spellStart"/>
      <w:r w:rsidRPr="000D41DD">
        <w:rPr>
          <w:lang w:val="fr-MA"/>
        </w:rPr>
        <w:t>Medicine</w:t>
      </w:r>
      <w:proofErr w:type="spellEnd"/>
      <w:r w:rsidRPr="000D41DD">
        <w:rPr>
          <w:lang w:val="fr-MA"/>
        </w:rPr>
        <w:t xml:space="preserve"> [Internet]. 4 juin 2015 [cité 3 </w:t>
      </w:r>
      <w:proofErr w:type="spellStart"/>
      <w:r w:rsidRPr="000D41DD">
        <w:rPr>
          <w:lang w:val="fr-MA"/>
        </w:rPr>
        <w:t>nov</w:t>
      </w:r>
      <w:proofErr w:type="spellEnd"/>
      <w:r w:rsidRPr="000D41DD">
        <w:rPr>
          <w:lang w:val="fr-MA"/>
        </w:rPr>
        <w:t xml:space="preserve"> 2024];372(23):2197‑206. Disponible sur: https://www.nejm.org/doi/full/10.1056/NEJMoa1414266</w:t>
      </w:r>
    </w:p>
    <w:p w:rsidR="000D41DD" w:rsidRPr="000D41DD" w:rsidRDefault="000D41DD" w:rsidP="000D41DD">
      <w:pPr>
        <w:pStyle w:val="Reference"/>
        <w:numPr>
          <w:ilvl w:val="0"/>
          <w:numId w:val="0"/>
        </w:numPr>
        <w:rPr>
          <w:lang w:val="fr-MA"/>
        </w:rPr>
      </w:pPr>
      <w:r w:rsidRPr="000D41DD">
        <w:rPr>
          <w:lang w:val="fr-MA"/>
        </w:rPr>
        <w:t xml:space="preserve">4. </w:t>
      </w:r>
      <w:r w:rsidRPr="000D41DD">
        <w:rPr>
          <w:lang w:val="fr-MA"/>
        </w:rPr>
        <w:tab/>
        <w:t xml:space="preserve">Davies MJ, D’Alessio DA, </w:t>
      </w:r>
      <w:proofErr w:type="spellStart"/>
      <w:r w:rsidRPr="000D41DD">
        <w:rPr>
          <w:lang w:val="fr-MA"/>
        </w:rPr>
        <w:t>Fradkin</w:t>
      </w:r>
      <w:proofErr w:type="spellEnd"/>
      <w:r w:rsidRPr="000D41DD">
        <w:rPr>
          <w:lang w:val="fr-MA"/>
        </w:rPr>
        <w:t xml:space="preserve"> J, </w:t>
      </w:r>
      <w:proofErr w:type="spellStart"/>
      <w:r w:rsidRPr="000D41DD">
        <w:rPr>
          <w:lang w:val="fr-MA"/>
        </w:rPr>
        <w:t>Kernan</w:t>
      </w:r>
      <w:proofErr w:type="spellEnd"/>
      <w:r w:rsidRPr="000D41DD">
        <w:rPr>
          <w:lang w:val="fr-MA"/>
        </w:rPr>
        <w:t xml:space="preserve"> WN, Mathieu C, </w:t>
      </w:r>
      <w:proofErr w:type="spellStart"/>
      <w:r w:rsidRPr="000D41DD">
        <w:rPr>
          <w:lang w:val="fr-MA"/>
        </w:rPr>
        <w:t>Mingrone</w:t>
      </w:r>
      <w:proofErr w:type="spellEnd"/>
      <w:r w:rsidRPr="000D41DD">
        <w:rPr>
          <w:lang w:val="fr-MA"/>
        </w:rPr>
        <w:t xml:space="preserve"> G, et al. </w:t>
      </w:r>
      <w:r w:rsidRPr="000D41DD">
        <w:t xml:space="preserve">Management of Hyperglycemia in Type 2 Diabetes, 2018. A Consensus Report by the American Diabetes Association (ADA) and the European Association for the Study of Diabetes (EASD). </w:t>
      </w:r>
      <w:proofErr w:type="spellStart"/>
      <w:r w:rsidRPr="000D41DD">
        <w:rPr>
          <w:lang w:val="fr-MA"/>
        </w:rPr>
        <w:t>Diabetes</w:t>
      </w:r>
      <w:proofErr w:type="spellEnd"/>
      <w:r w:rsidRPr="000D41DD">
        <w:rPr>
          <w:lang w:val="fr-MA"/>
        </w:rPr>
        <w:t xml:space="preserve"> Care [Internet]. 5 </w:t>
      </w:r>
      <w:proofErr w:type="spellStart"/>
      <w:r w:rsidRPr="000D41DD">
        <w:rPr>
          <w:lang w:val="fr-MA"/>
        </w:rPr>
        <w:t>oct</w:t>
      </w:r>
      <w:proofErr w:type="spellEnd"/>
      <w:r w:rsidRPr="000D41DD">
        <w:rPr>
          <w:lang w:val="fr-MA"/>
        </w:rPr>
        <w:t xml:space="preserve"> 2018 [cité 3 </w:t>
      </w:r>
      <w:proofErr w:type="spellStart"/>
      <w:r w:rsidRPr="000D41DD">
        <w:rPr>
          <w:lang w:val="fr-MA"/>
        </w:rPr>
        <w:t>nov</w:t>
      </w:r>
      <w:proofErr w:type="spellEnd"/>
      <w:r w:rsidRPr="000D41DD">
        <w:rPr>
          <w:lang w:val="fr-MA"/>
        </w:rPr>
        <w:t xml:space="preserve"> 2024];41(12):2669‑701. Disponible sur: https://doi.org/10.2337/dci18-0033</w:t>
      </w:r>
    </w:p>
    <w:p w:rsidR="000D41DD" w:rsidRDefault="000D41DD" w:rsidP="000D41DD">
      <w:pPr>
        <w:pStyle w:val="Reference"/>
        <w:numPr>
          <w:ilvl w:val="0"/>
          <w:numId w:val="0"/>
        </w:numPr>
        <w:rPr>
          <w:lang w:val="fr-MA"/>
        </w:rPr>
      </w:pPr>
      <w:r w:rsidRPr="000D41DD">
        <w:t xml:space="preserve">5. </w:t>
      </w:r>
      <w:r w:rsidRPr="000D41DD">
        <w:tab/>
      </w:r>
      <w:proofErr w:type="spellStart"/>
      <w:r w:rsidRPr="000D41DD">
        <w:t>Sianos</w:t>
      </w:r>
      <w:proofErr w:type="spellEnd"/>
      <w:r w:rsidRPr="000D41DD">
        <w:t xml:space="preserve"> et al. - The SYNTAX Score an angiographic tool grading the.pdf [Internet]. </w:t>
      </w:r>
      <w:r w:rsidRPr="000D41DD">
        <w:rPr>
          <w:lang w:val="fr-MA"/>
        </w:rPr>
        <w:t xml:space="preserve">[cité 3 </w:t>
      </w:r>
      <w:proofErr w:type="spellStart"/>
      <w:r w:rsidRPr="000D41DD">
        <w:rPr>
          <w:lang w:val="fr-MA"/>
        </w:rPr>
        <w:t>nov</w:t>
      </w:r>
      <w:proofErr w:type="spellEnd"/>
      <w:r w:rsidRPr="000D41DD">
        <w:rPr>
          <w:lang w:val="fr-MA"/>
        </w:rPr>
        <w:t xml:space="preserve"> 2024]. Disponible sur: </w:t>
      </w:r>
      <w:hyperlink r:id="rId13" w:history="1">
        <w:r w:rsidR="00067D42" w:rsidRPr="002F6F69">
          <w:rPr>
            <w:rStyle w:val="Hyperlink"/>
            <w:lang w:val="fr-MA"/>
          </w:rPr>
          <w:t>https://citeseerx.ist.psu.edu/document?repid=rep1&amp;type=pdf&amp;doi=698980c1be66d16c68a2394f7cad3a73e20766ae</w:t>
        </w:r>
      </w:hyperlink>
    </w:p>
    <w:p w:rsidR="00067D42" w:rsidRDefault="00067D42" w:rsidP="000D41DD">
      <w:pPr>
        <w:pStyle w:val="Reference"/>
        <w:numPr>
          <w:ilvl w:val="0"/>
          <w:numId w:val="0"/>
        </w:numPr>
      </w:pPr>
      <w:r w:rsidRPr="00067D42">
        <w:t>6.</w:t>
      </w:r>
      <w:r w:rsidRPr="00067D42">
        <w:tab/>
        <w:t xml:space="preserve">Robert A </w:t>
      </w:r>
      <w:proofErr w:type="gramStart"/>
      <w:r w:rsidRPr="00067D42">
        <w:t>Byrne ,</w:t>
      </w:r>
      <w:proofErr w:type="gramEnd"/>
      <w:r w:rsidRPr="00067D42">
        <w:t xml:space="preserve">  Xavier Rossello ,  J </w:t>
      </w:r>
      <w:proofErr w:type="spellStart"/>
      <w:r w:rsidRPr="00067D42">
        <w:t>J</w:t>
      </w:r>
      <w:proofErr w:type="spellEnd"/>
      <w:r w:rsidRPr="00067D42">
        <w:t xml:space="preserve"> Coughlan ,  Emanuele </w:t>
      </w:r>
      <w:proofErr w:type="spellStart"/>
      <w:r w:rsidRPr="00067D42">
        <w:t>Barbato</w:t>
      </w:r>
      <w:proofErr w:type="spellEnd"/>
      <w:r w:rsidRPr="00067D42">
        <w:t xml:space="preserve"> ,  Colin Berry ,  </w:t>
      </w:r>
      <w:proofErr w:type="spellStart"/>
      <w:r w:rsidRPr="00067D42">
        <w:t>Alaide</w:t>
      </w:r>
      <w:proofErr w:type="spellEnd"/>
      <w:r w:rsidRPr="00067D42">
        <w:t xml:space="preserve"> </w:t>
      </w:r>
      <w:proofErr w:type="spellStart"/>
      <w:r w:rsidRPr="00067D42">
        <w:t>Chieffo</w:t>
      </w:r>
      <w:proofErr w:type="spellEnd"/>
      <w:r w:rsidRPr="00067D42">
        <w:t xml:space="preserve"> , and th</w:t>
      </w:r>
      <w:r>
        <w:t xml:space="preserve">e </w:t>
      </w:r>
      <w:r w:rsidRPr="00067D42">
        <w:t>ESC Scientific Document Group</w:t>
      </w:r>
    </w:p>
    <w:p w:rsidR="00067D42" w:rsidRDefault="00067D42" w:rsidP="000D41DD">
      <w:pPr>
        <w:pStyle w:val="Reference"/>
        <w:numPr>
          <w:ilvl w:val="0"/>
          <w:numId w:val="0"/>
        </w:numPr>
      </w:pPr>
      <w:r w:rsidRPr="00067D42">
        <w:t>2023 ESC Guidelines for the management of acute coronary syndromes: Developed by the task force on the management of acute coronary syndromes of the European Society of Cardiology</w:t>
      </w:r>
    </w:p>
    <w:p w:rsidR="00395BE1" w:rsidRDefault="00395BE1" w:rsidP="00395BE1">
      <w:pPr>
        <w:pStyle w:val="Reference"/>
        <w:numPr>
          <w:ilvl w:val="0"/>
          <w:numId w:val="0"/>
        </w:numPr>
        <w:ind w:left="360" w:hanging="360"/>
      </w:pPr>
      <w:r>
        <w:t>7. Klein R 1995 Hyperglycemia and microvascular and macrovascular disease in diabetes. Diabetes care 18(2):258-268</w:t>
      </w:r>
    </w:p>
    <w:p w:rsidR="00395BE1" w:rsidRDefault="00395BE1" w:rsidP="00395BE1">
      <w:pPr>
        <w:pStyle w:val="Reference"/>
        <w:numPr>
          <w:ilvl w:val="0"/>
          <w:numId w:val="0"/>
        </w:numPr>
        <w:ind w:left="360" w:hanging="360"/>
      </w:pPr>
      <w:r>
        <w:t xml:space="preserve">8. </w:t>
      </w:r>
      <w:proofErr w:type="spellStart"/>
      <w:r>
        <w:t>Awadalla</w:t>
      </w:r>
      <w:proofErr w:type="spellEnd"/>
      <w:r>
        <w:t xml:space="preserve"> H, Noor S, </w:t>
      </w:r>
      <w:proofErr w:type="spellStart"/>
      <w:r>
        <w:t>Elmadhoun</w:t>
      </w:r>
      <w:proofErr w:type="spellEnd"/>
      <w:r>
        <w:t xml:space="preserve"> W, et al. (2017). Diabetes complications in Sudanese individuals with type 2 diabetes: overlooked problems in sub-Saharan </w:t>
      </w:r>
      <w:proofErr w:type="gramStart"/>
      <w:r>
        <w:t>Africa?.</w:t>
      </w:r>
      <w:proofErr w:type="gramEnd"/>
      <w:r>
        <w:t xml:space="preserve"> Diabetes &amp; Metabolic Syndrome:</w:t>
      </w:r>
    </w:p>
    <w:p w:rsidR="00395BE1" w:rsidRDefault="00395BE1" w:rsidP="00395BE1">
      <w:pPr>
        <w:pStyle w:val="Reference"/>
        <w:numPr>
          <w:ilvl w:val="0"/>
          <w:numId w:val="0"/>
        </w:numPr>
        <w:ind w:left="360"/>
      </w:pPr>
      <w:r>
        <w:t>Clinical Research &amp; Reviews. 11. https://doi.org/10.1016/j.dsx.2017.07.039</w:t>
      </w:r>
    </w:p>
    <w:p w:rsidR="00395BE1" w:rsidRDefault="00395BE1" w:rsidP="00395BE1">
      <w:pPr>
        <w:pStyle w:val="Reference"/>
        <w:numPr>
          <w:ilvl w:val="0"/>
          <w:numId w:val="0"/>
        </w:numPr>
        <w:ind w:left="360" w:hanging="360"/>
      </w:pPr>
      <w:r>
        <w:t xml:space="preserve">9. </w:t>
      </w:r>
      <w:proofErr w:type="spellStart"/>
      <w:r>
        <w:t>Albashir</w:t>
      </w:r>
      <w:proofErr w:type="spellEnd"/>
      <w:r>
        <w:t xml:space="preserve">, A. A. D., </w:t>
      </w:r>
      <w:proofErr w:type="spellStart"/>
      <w:r>
        <w:t>Elawad</w:t>
      </w:r>
      <w:proofErr w:type="spellEnd"/>
      <w:r>
        <w:t xml:space="preserve">, O. A. M. A., &amp; </w:t>
      </w:r>
      <w:proofErr w:type="spellStart"/>
      <w:r>
        <w:t>Khougali</w:t>
      </w:r>
      <w:proofErr w:type="spellEnd"/>
      <w:r>
        <w:t xml:space="preserve"> Mohamed, H. (2021). The use of glycosylated hemoglobin (HbA1c) as a predictor of the severity of acute coronary syndrome among diabetic patients. Irish Journal of Medical Science (1971-), 190(2), 609-614.</w:t>
      </w:r>
    </w:p>
    <w:p w:rsidR="00395BE1" w:rsidRDefault="00395BE1" w:rsidP="00395BE1">
      <w:pPr>
        <w:pStyle w:val="Reference"/>
        <w:numPr>
          <w:ilvl w:val="0"/>
          <w:numId w:val="0"/>
        </w:numPr>
        <w:ind w:left="360" w:hanging="360"/>
      </w:pPr>
      <w:r>
        <w:t xml:space="preserve">10. Ahmed MH, </w:t>
      </w:r>
      <w:proofErr w:type="spellStart"/>
      <w:r>
        <w:t>Awadalla</w:t>
      </w:r>
      <w:proofErr w:type="spellEnd"/>
      <w:r>
        <w:t xml:space="preserve"> H, </w:t>
      </w:r>
      <w:proofErr w:type="spellStart"/>
      <w:r>
        <w:t>Elmadhoun</w:t>
      </w:r>
      <w:proofErr w:type="spellEnd"/>
      <w:r>
        <w:t xml:space="preserve"> WM et al (2017) Prevalence and risk factors for acute coronary syndrome among Sudanese individuals with diabetes: a population-based study. </w:t>
      </w:r>
      <w:proofErr w:type="spellStart"/>
      <w:r>
        <w:t>Cardiol</w:t>
      </w:r>
      <w:proofErr w:type="spellEnd"/>
      <w:r>
        <w:t xml:space="preserve"> Res 8(5):184–189. https://doi.org/10.14740/cr616w</w:t>
      </w:r>
    </w:p>
    <w:p w:rsidR="00395BE1" w:rsidRPr="00067D42" w:rsidRDefault="00395BE1" w:rsidP="00395BE1">
      <w:pPr>
        <w:pStyle w:val="Reference"/>
        <w:numPr>
          <w:ilvl w:val="0"/>
          <w:numId w:val="0"/>
        </w:numPr>
      </w:pPr>
      <w:r>
        <w:t xml:space="preserve">11. Hertz JT, Reardon JM, Rodrigues CG et al (2014) Acute myocardial infarction in sub-Saharan Africa: the need for data. </w:t>
      </w:r>
      <w:proofErr w:type="spellStart"/>
      <w:r>
        <w:t>PLoS</w:t>
      </w:r>
      <w:proofErr w:type="spellEnd"/>
      <w:r>
        <w:t xml:space="preserve"> One 9(5</w:t>
      </w:r>
      <w:proofErr w:type="gramStart"/>
      <w:r>
        <w:t>):e</w:t>
      </w:r>
      <w:proofErr w:type="gramEnd"/>
      <w:r>
        <w:t>96688. https://doi.org/10.1371/journal.pone.0096688 e Collection 2014</w:t>
      </w:r>
    </w:p>
    <w:p w:rsidR="000D41DD" w:rsidRPr="001711F4" w:rsidRDefault="00395BE1" w:rsidP="00395BE1">
      <w:pPr>
        <w:pStyle w:val="Reference"/>
        <w:numPr>
          <w:ilvl w:val="0"/>
          <w:numId w:val="0"/>
        </w:numPr>
        <w:rPr>
          <w:lang w:val="fr-MA"/>
        </w:rPr>
      </w:pPr>
      <w:r>
        <w:t>12</w:t>
      </w:r>
      <w:r w:rsidR="00067D42">
        <w:t>.</w:t>
      </w:r>
      <w:r w:rsidR="000D41DD" w:rsidRPr="000D41DD">
        <w:t xml:space="preserve"> </w:t>
      </w:r>
      <w:r w:rsidR="000D41DD" w:rsidRPr="000D41DD">
        <w:tab/>
        <w:t xml:space="preserve">Ali SMN, Ali J, Rahman J, Shah A, Amin M, Ullah Z. CORRELATION OF ANGIOGRAPHIC SEVERITY OF CORONARY ARTERY DISEASE WITH GLYCOCYLATED HEMOGLOBIN IN ST-SEGMENT ELEVATION MYOCARDIAL INFARCTION. Journal of Medical &amp; Health Sciences Review [Internet]. 9 </w:t>
      </w:r>
      <w:proofErr w:type="spellStart"/>
      <w:r w:rsidR="000D41DD" w:rsidRPr="000D41DD">
        <w:t>janv</w:t>
      </w:r>
      <w:proofErr w:type="spellEnd"/>
      <w:r w:rsidR="000D41DD" w:rsidRPr="000D41DD">
        <w:t xml:space="preserve"> 2025 [</w:t>
      </w:r>
      <w:proofErr w:type="spellStart"/>
      <w:r w:rsidR="000D41DD" w:rsidRPr="000D41DD">
        <w:t>cité</w:t>
      </w:r>
      <w:proofErr w:type="spellEnd"/>
      <w:r w:rsidR="000D41DD" w:rsidRPr="000D41DD">
        <w:t xml:space="preserve"> 24 </w:t>
      </w:r>
      <w:proofErr w:type="spellStart"/>
      <w:r w:rsidR="000D41DD" w:rsidRPr="000D41DD">
        <w:t>juill</w:t>
      </w:r>
      <w:proofErr w:type="spellEnd"/>
      <w:r w:rsidR="000D41DD" w:rsidRPr="000D41DD">
        <w:t xml:space="preserve"> 2025];2(2). </w:t>
      </w:r>
      <w:r w:rsidR="000D41DD" w:rsidRPr="000D41DD">
        <w:rPr>
          <w:lang w:val="fr-MA"/>
        </w:rPr>
        <w:t>Disponible sur: http://jmhsr.com/index.php/jmhsr/article/view/328</w:t>
      </w:r>
    </w:p>
    <w:p w:rsidR="000D41DD" w:rsidRPr="000D41DD" w:rsidRDefault="00395BE1" w:rsidP="000D41DD">
      <w:pPr>
        <w:pStyle w:val="Reference"/>
        <w:numPr>
          <w:ilvl w:val="0"/>
          <w:numId w:val="0"/>
        </w:numPr>
      </w:pPr>
      <w:r>
        <w:t>13</w:t>
      </w:r>
      <w:r w:rsidR="000D41DD" w:rsidRPr="000D41DD">
        <w:t xml:space="preserve">. </w:t>
      </w:r>
      <w:r w:rsidR="000D41DD" w:rsidRPr="000D41DD">
        <w:tab/>
      </w:r>
      <w:proofErr w:type="spellStart"/>
      <w:r w:rsidR="000D41DD" w:rsidRPr="000D41DD">
        <w:t>Gaballah</w:t>
      </w:r>
      <w:proofErr w:type="spellEnd"/>
      <w:r w:rsidR="000D41DD" w:rsidRPr="000D41DD">
        <w:t xml:space="preserve"> SM, El-</w:t>
      </w:r>
      <w:proofErr w:type="spellStart"/>
      <w:r w:rsidR="000D41DD" w:rsidRPr="000D41DD">
        <w:t>khashab</w:t>
      </w:r>
      <w:proofErr w:type="spellEnd"/>
      <w:r w:rsidR="000D41DD" w:rsidRPr="000D41DD">
        <w:t xml:space="preserve"> KA, Soliman H, Khalifa N, </w:t>
      </w:r>
      <w:proofErr w:type="spellStart"/>
      <w:r w:rsidR="000D41DD" w:rsidRPr="000D41DD">
        <w:t>Elmallwany</w:t>
      </w:r>
      <w:proofErr w:type="spellEnd"/>
      <w:r w:rsidR="000D41DD" w:rsidRPr="000D41DD">
        <w:t xml:space="preserve"> M. Insulin Resistance and Severity of Coronary Lesions in Patients with Acute Coronary Syndrome. 2025; </w:t>
      </w:r>
    </w:p>
    <w:p w:rsidR="000D41DD" w:rsidRPr="000D41DD" w:rsidRDefault="00395BE1" w:rsidP="000D41DD">
      <w:pPr>
        <w:pStyle w:val="Reference"/>
        <w:numPr>
          <w:ilvl w:val="0"/>
          <w:numId w:val="0"/>
        </w:numPr>
        <w:rPr>
          <w:lang w:val="fr-MA"/>
        </w:rPr>
      </w:pPr>
      <w:r>
        <w:t>14</w:t>
      </w:r>
      <w:r w:rsidR="000D41DD" w:rsidRPr="000D41DD">
        <w:t xml:space="preserve">. </w:t>
      </w:r>
      <w:r w:rsidR="000D41DD" w:rsidRPr="000D41DD">
        <w:tab/>
      </w:r>
      <w:proofErr w:type="spellStart"/>
      <w:r w:rsidR="000D41DD" w:rsidRPr="000D41DD">
        <w:t>Elgohari</w:t>
      </w:r>
      <w:proofErr w:type="spellEnd"/>
      <w:r w:rsidR="000D41DD" w:rsidRPr="000D41DD">
        <w:t xml:space="preserve"> A. Association of HBA1C with severity of coronary artery disease in patients presenting as non-diabetic acute coronary syndrome. </w:t>
      </w:r>
      <w:proofErr w:type="spellStart"/>
      <w:r w:rsidR="000D41DD" w:rsidRPr="000D41DD">
        <w:rPr>
          <w:lang w:val="fr-MA"/>
        </w:rPr>
        <w:t>Atherosclerosis</w:t>
      </w:r>
      <w:proofErr w:type="spellEnd"/>
      <w:r w:rsidR="000D41DD" w:rsidRPr="000D41DD">
        <w:rPr>
          <w:lang w:val="fr-MA"/>
        </w:rPr>
        <w:t xml:space="preserve"> [Internet]. 1 août 2023 [cité 24 </w:t>
      </w:r>
      <w:proofErr w:type="spellStart"/>
      <w:r w:rsidR="000D41DD" w:rsidRPr="000D41DD">
        <w:rPr>
          <w:lang w:val="fr-MA"/>
        </w:rPr>
        <w:t>juill</w:t>
      </w:r>
      <w:proofErr w:type="spellEnd"/>
      <w:r w:rsidR="000D41DD" w:rsidRPr="000D41DD">
        <w:rPr>
          <w:lang w:val="fr-MA"/>
        </w:rPr>
        <w:t xml:space="preserve"> 2025];379:S160. Disponible sur: https://www.atherosclerosis-journal.com/article/S0021-9150(23)04635-X/abstract</w:t>
      </w:r>
    </w:p>
    <w:p w:rsidR="000D41DD" w:rsidRPr="000D41DD" w:rsidRDefault="00395BE1" w:rsidP="000D41DD">
      <w:pPr>
        <w:pStyle w:val="Reference"/>
        <w:numPr>
          <w:ilvl w:val="0"/>
          <w:numId w:val="0"/>
        </w:numPr>
      </w:pPr>
      <w:r>
        <w:t>15</w:t>
      </w:r>
      <w:r w:rsidR="000D41DD" w:rsidRPr="000D41DD">
        <w:t xml:space="preserve">. </w:t>
      </w:r>
      <w:r w:rsidR="000D41DD" w:rsidRPr="000D41DD">
        <w:tab/>
      </w:r>
      <w:proofErr w:type="spellStart"/>
      <w:r w:rsidR="000D41DD" w:rsidRPr="000D41DD">
        <w:t>Calton</w:t>
      </w:r>
      <w:proofErr w:type="spellEnd"/>
      <w:r w:rsidR="000D41DD" w:rsidRPr="000D41DD">
        <w:t xml:space="preserve"> R, </w:t>
      </w:r>
      <w:proofErr w:type="spellStart"/>
      <w:r w:rsidR="000D41DD" w:rsidRPr="000D41DD">
        <w:t>Calton</w:t>
      </w:r>
      <w:proofErr w:type="spellEnd"/>
      <w:r w:rsidR="000D41DD" w:rsidRPr="000D41DD">
        <w:t xml:space="preserve"> R, </w:t>
      </w:r>
      <w:proofErr w:type="spellStart"/>
      <w:r w:rsidR="000D41DD" w:rsidRPr="000D41DD">
        <w:t>Dhanoa</w:t>
      </w:r>
      <w:proofErr w:type="spellEnd"/>
      <w:r w:rsidR="000D41DD" w:rsidRPr="000D41DD">
        <w:t xml:space="preserve"> J, Jaison TM. Angiographic severity and morphological spectrum of coronary artery disease in </w:t>
      </w:r>
      <w:proofErr w:type="spellStart"/>
      <w:r w:rsidR="000D41DD" w:rsidRPr="000D41DD">
        <w:t>non insulin</w:t>
      </w:r>
      <w:proofErr w:type="spellEnd"/>
      <w:r w:rsidR="000D41DD" w:rsidRPr="000D41DD">
        <w:t xml:space="preserve"> dependent diabetes mellitus. Indian Heart J. 1995;47(4):343‑8. </w:t>
      </w:r>
    </w:p>
    <w:p w:rsidR="000D41DD" w:rsidRPr="001711F4" w:rsidRDefault="000D41DD" w:rsidP="000D41DD">
      <w:pPr>
        <w:pStyle w:val="Reference"/>
        <w:numPr>
          <w:ilvl w:val="0"/>
          <w:numId w:val="0"/>
        </w:numPr>
      </w:pPr>
      <w:r w:rsidRPr="000D41DD">
        <w:t>1</w:t>
      </w:r>
      <w:r w:rsidR="00395BE1">
        <w:t>6</w:t>
      </w:r>
      <w:r w:rsidRPr="000D41DD">
        <w:t xml:space="preserve">. </w:t>
      </w:r>
      <w:r w:rsidRPr="000D41DD">
        <w:tab/>
      </w:r>
      <w:proofErr w:type="spellStart"/>
      <w:r w:rsidRPr="000D41DD">
        <w:t>Sajjanar</w:t>
      </w:r>
      <w:proofErr w:type="spellEnd"/>
      <w:r w:rsidRPr="000D41DD">
        <w:t xml:space="preserve"> DSL, Math DM swami D, Mishra DJ. Angiographic Severity of Coronary Artery Disease </w:t>
      </w:r>
      <w:proofErr w:type="gramStart"/>
      <w:r w:rsidRPr="000D41DD">
        <w:t>In</w:t>
      </w:r>
      <w:proofErr w:type="gramEnd"/>
      <w:r w:rsidRPr="000D41DD">
        <w:t xml:space="preserve"> Patients With Acute Coronary Syndrome In Correlation To Their Glycemic Status. European Journal of Cardiovascular Medicine [Internet]. 9 sept 2024 [</w:t>
      </w:r>
      <w:proofErr w:type="spellStart"/>
      <w:r w:rsidRPr="000D41DD">
        <w:t>cité</w:t>
      </w:r>
      <w:proofErr w:type="spellEnd"/>
      <w:r w:rsidRPr="000D41DD">
        <w:t xml:space="preserve"> 24 </w:t>
      </w:r>
      <w:proofErr w:type="spellStart"/>
      <w:r w:rsidRPr="000D41DD">
        <w:t>juill</w:t>
      </w:r>
      <w:proofErr w:type="spellEnd"/>
      <w:r w:rsidRPr="000D41DD">
        <w:t xml:space="preserve"> 2025</w:t>
      </w:r>
      <w:proofErr w:type="gramStart"/>
      <w:r w:rsidRPr="000D41DD">
        <w:t>];14:83</w:t>
      </w:r>
      <w:proofErr w:type="gramEnd"/>
      <w:r w:rsidRPr="000D41DD">
        <w:t xml:space="preserve">‑8. </w:t>
      </w:r>
      <w:r w:rsidRPr="001711F4">
        <w:t xml:space="preserve">Disponible sur: </w:t>
      </w:r>
      <w:hyperlink r:id="rId14" w:history="1">
        <w:r w:rsidR="00395BE1" w:rsidRPr="001711F4">
          <w:rPr>
            <w:rStyle w:val="Hyperlink"/>
          </w:rPr>
          <w:t>https://healthcare-bulletin.co.uk/article/angiographic-severity-of-coronary-artery-disease-in-patients-with-acute-coronary-syndrome-in-correlation-to-their-glycemic-status--2391/</w:t>
        </w:r>
      </w:hyperlink>
    </w:p>
    <w:p w:rsidR="00395BE1" w:rsidRPr="00395BE1" w:rsidRDefault="00395BE1" w:rsidP="00395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395BE1">
        <w:t>17. Leon BM, Maddox TM (2015) Diabetes and cardiovascular disease: epidemiology,</w:t>
      </w:r>
      <w:r>
        <w:t xml:space="preserve"> </w:t>
      </w:r>
      <w:r w:rsidRPr="00395BE1">
        <w:t>biological mechanisms, treatment recommendations and future research. World J Diabetes 6(13):1246–1258.https://doi.org/10.4239/wjd.v6.i13.1246</w:t>
      </w:r>
    </w:p>
    <w:p w:rsidR="00C00F73" w:rsidRPr="00395BE1" w:rsidRDefault="00C00F73" w:rsidP="00C00F73">
      <w:pPr>
        <w:pStyle w:val="Reference"/>
        <w:numPr>
          <w:ilvl w:val="0"/>
          <w:numId w:val="0"/>
        </w:numPr>
        <w:ind w:left="360"/>
      </w:pPr>
    </w:p>
    <w:p w:rsidR="00B01FCD" w:rsidRPr="00395BE1" w:rsidRDefault="00B01FCD" w:rsidP="00441B6F">
      <w:pPr>
        <w:pStyle w:val="Reference"/>
        <w:numPr>
          <w:ilvl w:val="0"/>
          <w:numId w:val="0"/>
        </w:numPr>
        <w:spacing w:line="240" w:lineRule="auto"/>
        <w:rPr>
          <w:rFonts w:ascii="Arial" w:hAnsi="Arial" w:cs="Arial"/>
        </w:rPr>
      </w:pPr>
    </w:p>
    <w:p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rsidR="00B01FCD" w:rsidRPr="00FB3A86" w:rsidRDefault="00B01FCD" w:rsidP="00441B6F">
      <w:pPr>
        <w:pStyle w:val="Body"/>
        <w:spacing w:after="0"/>
        <w:rPr>
          <w:rFonts w:ascii="Arial" w:hAnsi="Arial" w:cs="Arial"/>
          <w:sz w:val="24"/>
        </w:rPr>
      </w:pPr>
      <w:r w:rsidRPr="00FB3A86">
        <w:rPr>
          <w:rFonts w:ascii="Arial" w:hAnsi="Arial" w:cs="Arial"/>
        </w:rPr>
        <w:t>Here is the Definitions section.  This is an optional section.</w:t>
      </w:r>
      <w:r w:rsidRPr="00FB3A86">
        <w:rPr>
          <w:rFonts w:ascii="Arial" w:hAnsi="Arial" w:cs="Arial"/>
          <w:sz w:val="24"/>
        </w:rPr>
        <w:t xml:space="preserve"> </w:t>
      </w:r>
    </w:p>
    <w:p w:rsidR="00B01FCD" w:rsidRDefault="00B01FCD" w:rsidP="00441B6F">
      <w:pPr>
        <w:pStyle w:val="Body"/>
        <w:spacing w:after="0"/>
        <w:rPr>
          <w:rFonts w:ascii="Arial" w:hAnsi="Arial" w:cs="Arial"/>
        </w:rPr>
      </w:pPr>
      <w:r w:rsidRPr="00FB3A86">
        <w:rPr>
          <w:rFonts w:ascii="Arial" w:hAnsi="Arial" w:cs="Arial"/>
          <w:b/>
        </w:rPr>
        <w:t>Term</w:t>
      </w:r>
      <w:r w:rsidRPr="00FB3A86">
        <w:rPr>
          <w:rFonts w:ascii="Arial" w:hAnsi="Arial" w:cs="Arial"/>
        </w:rPr>
        <w:t>: Definition for the term</w:t>
      </w:r>
    </w:p>
    <w:p w:rsidR="00790ADA" w:rsidRPr="00FB3A86" w:rsidRDefault="00790ADA"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1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E93" w:rsidRDefault="00B44E93" w:rsidP="00C37E61">
      <w:r>
        <w:separator/>
      </w:r>
    </w:p>
  </w:endnote>
  <w:endnote w:type="continuationSeparator" w:id="0">
    <w:p w:rsidR="00B44E93" w:rsidRDefault="00B44E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E93" w:rsidRDefault="00B44E93" w:rsidP="00C37E61">
      <w:r>
        <w:separator/>
      </w:r>
    </w:p>
  </w:footnote>
  <w:footnote w:type="continuationSeparator" w:id="0">
    <w:p w:rsidR="00B44E93" w:rsidRDefault="00B44E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654348"/>
    <w:multiLevelType w:val="hybridMultilevel"/>
    <w:tmpl w:val="D884F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6AA1"/>
    <w:rsid w:val="00067D42"/>
    <w:rsid w:val="000A47FA"/>
    <w:rsid w:val="000A65D3"/>
    <w:rsid w:val="000B1E33"/>
    <w:rsid w:val="000D41DD"/>
    <w:rsid w:val="000D689F"/>
    <w:rsid w:val="000E7B7B"/>
    <w:rsid w:val="000E7D62"/>
    <w:rsid w:val="00103357"/>
    <w:rsid w:val="00123C9F"/>
    <w:rsid w:val="00126190"/>
    <w:rsid w:val="00130F17"/>
    <w:rsid w:val="001320BF"/>
    <w:rsid w:val="00163BC4"/>
    <w:rsid w:val="001711F4"/>
    <w:rsid w:val="00182CF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FBF"/>
    <w:rsid w:val="00315186"/>
    <w:rsid w:val="0033343E"/>
    <w:rsid w:val="003512C2"/>
    <w:rsid w:val="00371FB6"/>
    <w:rsid w:val="0037230D"/>
    <w:rsid w:val="003763C1"/>
    <w:rsid w:val="00376BBE"/>
    <w:rsid w:val="0039224F"/>
    <w:rsid w:val="00395BE1"/>
    <w:rsid w:val="003A43A4"/>
    <w:rsid w:val="003A7E18"/>
    <w:rsid w:val="003C4C86"/>
    <w:rsid w:val="003C6258"/>
    <w:rsid w:val="003E2904"/>
    <w:rsid w:val="003F18BE"/>
    <w:rsid w:val="00401927"/>
    <w:rsid w:val="0041027F"/>
    <w:rsid w:val="00412475"/>
    <w:rsid w:val="00423789"/>
    <w:rsid w:val="00430BF4"/>
    <w:rsid w:val="00440F43"/>
    <w:rsid w:val="00441B6F"/>
    <w:rsid w:val="00446221"/>
    <w:rsid w:val="00450E62"/>
    <w:rsid w:val="004539DB"/>
    <w:rsid w:val="00471A80"/>
    <w:rsid w:val="004870BA"/>
    <w:rsid w:val="004B4401"/>
    <w:rsid w:val="004D305E"/>
    <w:rsid w:val="004D4277"/>
    <w:rsid w:val="00501F11"/>
    <w:rsid w:val="00502516"/>
    <w:rsid w:val="00505F06"/>
    <w:rsid w:val="00506828"/>
    <w:rsid w:val="0053056E"/>
    <w:rsid w:val="00554FDA"/>
    <w:rsid w:val="005717FA"/>
    <w:rsid w:val="0059764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201"/>
    <w:rsid w:val="007369E6"/>
    <w:rsid w:val="00746E59"/>
    <w:rsid w:val="00754AB0"/>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051"/>
    <w:rsid w:val="008F69D6"/>
    <w:rsid w:val="00902823"/>
    <w:rsid w:val="00902E3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4E93"/>
    <w:rsid w:val="00B52583"/>
    <w:rsid w:val="00B52896"/>
    <w:rsid w:val="00B95236"/>
    <w:rsid w:val="00B96BD9"/>
    <w:rsid w:val="00BA1B01"/>
    <w:rsid w:val="00BA2641"/>
    <w:rsid w:val="00BB37AA"/>
    <w:rsid w:val="00BC53A0"/>
    <w:rsid w:val="00BE62AD"/>
    <w:rsid w:val="00BF121F"/>
    <w:rsid w:val="00BF1F80"/>
    <w:rsid w:val="00C00F73"/>
    <w:rsid w:val="00C166EF"/>
    <w:rsid w:val="00C17EB0"/>
    <w:rsid w:val="00C27F5F"/>
    <w:rsid w:val="00C30A0F"/>
    <w:rsid w:val="00C37E61"/>
    <w:rsid w:val="00C70F1B"/>
    <w:rsid w:val="00C71A47"/>
    <w:rsid w:val="00C7464C"/>
    <w:rsid w:val="00C85588"/>
    <w:rsid w:val="00CB5698"/>
    <w:rsid w:val="00CD6755"/>
    <w:rsid w:val="00CD6856"/>
    <w:rsid w:val="00CE0089"/>
    <w:rsid w:val="00CE793C"/>
    <w:rsid w:val="00CF193C"/>
    <w:rsid w:val="00D13B73"/>
    <w:rsid w:val="00D173F1"/>
    <w:rsid w:val="00D74CB0"/>
    <w:rsid w:val="00D8295D"/>
    <w:rsid w:val="00DC2A65"/>
    <w:rsid w:val="00DE15F0"/>
    <w:rsid w:val="00DE5663"/>
    <w:rsid w:val="00DE78AA"/>
    <w:rsid w:val="00E053D0"/>
    <w:rsid w:val="00E15599"/>
    <w:rsid w:val="00E15994"/>
    <w:rsid w:val="00E3114E"/>
    <w:rsid w:val="00E31A70"/>
    <w:rsid w:val="00E35B02"/>
    <w:rsid w:val="00E50E7B"/>
    <w:rsid w:val="00E66496"/>
    <w:rsid w:val="00E66B35"/>
    <w:rsid w:val="00E66E10"/>
    <w:rsid w:val="00E769F6"/>
    <w:rsid w:val="00E8407C"/>
    <w:rsid w:val="00E84F3C"/>
    <w:rsid w:val="00EA012C"/>
    <w:rsid w:val="00EA1441"/>
    <w:rsid w:val="00EC6A55"/>
    <w:rsid w:val="00ED0288"/>
    <w:rsid w:val="00EE52CB"/>
    <w:rsid w:val="00EF581D"/>
    <w:rsid w:val="00EF6515"/>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A5AE2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C00F73"/>
    <w:pPr>
      <w:spacing w:after="120"/>
    </w:pPr>
  </w:style>
  <w:style w:type="character" w:customStyle="1" w:styleId="BodyTextChar">
    <w:name w:val="Body Text Char"/>
    <w:basedOn w:val="DefaultParagraphFont"/>
    <w:link w:val="BodyText"/>
    <w:rsid w:val="00C00F73"/>
    <w:rPr>
      <w:rFonts w:ascii="Helvetica" w:hAnsi="Helvetica"/>
    </w:rPr>
  </w:style>
  <w:style w:type="table" w:styleId="PlainTable5">
    <w:name w:val="Plain Table 5"/>
    <w:basedOn w:val="TableNormal"/>
    <w:uiPriority w:val="45"/>
    <w:rsid w:val="00C00F73"/>
    <w:rPr>
      <w:rFonts w:asciiTheme="minorHAnsi" w:eastAsiaTheme="minorHAnsi" w:hAnsiTheme="minorHAnsi" w:cstheme="minorBidi"/>
      <w:sz w:val="22"/>
      <w:szCs w:val="22"/>
      <w:lang w:val="fr-F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D13B73"/>
  </w:style>
  <w:style w:type="character" w:styleId="Strong">
    <w:name w:val="Strong"/>
    <w:basedOn w:val="DefaultParagraphFont"/>
    <w:uiPriority w:val="22"/>
    <w:qFormat/>
    <w:rsid w:val="00D13B73"/>
    <w:rPr>
      <w:b/>
      <w:bCs/>
    </w:rPr>
  </w:style>
  <w:style w:type="character" w:customStyle="1" w:styleId="Heading1Char">
    <w:name w:val="Heading 1 Char"/>
    <w:basedOn w:val="DefaultParagraphFont"/>
    <w:link w:val="Heading1"/>
    <w:rsid w:val="00395BE1"/>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8053778">
      <w:bodyDiv w:val="1"/>
      <w:marLeft w:val="0"/>
      <w:marRight w:val="0"/>
      <w:marTop w:val="0"/>
      <w:marBottom w:val="0"/>
      <w:divBdr>
        <w:top w:val="none" w:sz="0" w:space="0" w:color="auto"/>
        <w:left w:val="none" w:sz="0" w:space="0" w:color="auto"/>
        <w:bottom w:val="none" w:sz="0" w:space="0" w:color="auto"/>
        <w:right w:val="none" w:sz="0" w:space="0" w:color="auto"/>
      </w:divBdr>
      <w:divsChild>
        <w:div w:id="434789666">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183983">
      <w:bodyDiv w:val="1"/>
      <w:marLeft w:val="0"/>
      <w:marRight w:val="0"/>
      <w:marTop w:val="0"/>
      <w:marBottom w:val="0"/>
      <w:divBdr>
        <w:top w:val="none" w:sz="0" w:space="0" w:color="auto"/>
        <w:left w:val="none" w:sz="0" w:space="0" w:color="auto"/>
        <w:bottom w:val="none" w:sz="0" w:space="0" w:color="auto"/>
        <w:right w:val="none" w:sz="0" w:space="0" w:color="auto"/>
      </w:divBdr>
    </w:div>
    <w:div w:id="301346980">
      <w:bodyDiv w:val="1"/>
      <w:marLeft w:val="0"/>
      <w:marRight w:val="0"/>
      <w:marTop w:val="0"/>
      <w:marBottom w:val="0"/>
      <w:divBdr>
        <w:top w:val="none" w:sz="0" w:space="0" w:color="auto"/>
        <w:left w:val="none" w:sz="0" w:space="0" w:color="auto"/>
        <w:bottom w:val="none" w:sz="0" w:space="0" w:color="auto"/>
        <w:right w:val="none" w:sz="0" w:space="0" w:color="auto"/>
      </w:divBdr>
    </w:div>
    <w:div w:id="391581652">
      <w:bodyDiv w:val="1"/>
      <w:marLeft w:val="0"/>
      <w:marRight w:val="0"/>
      <w:marTop w:val="0"/>
      <w:marBottom w:val="0"/>
      <w:divBdr>
        <w:top w:val="none" w:sz="0" w:space="0" w:color="auto"/>
        <w:left w:val="none" w:sz="0" w:space="0" w:color="auto"/>
        <w:bottom w:val="none" w:sz="0" w:space="0" w:color="auto"/>
        <w:right w:val="none" w:sz="0" w:space="0" w:color="auto"/>
      </w:divBdr>
    </w:div>
    <w:div w:id="46316110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66216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325059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252508">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iteseerx.ist.psu.edu/document?repid=rep1&amp;type=pdf&amp;doi=698980c1be66d16c68a2394f7cad3a73e20766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ealthcare-bulletin.co.uk/article/angiographic-severity-of-coronary-artery-disease-in-patients-with-acute-coronary-syndrome-in-correlation-to-their-glycemic-status--23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kawtar\Desktop\ilias\travail\Classeur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kawtar\Desktop\ilias\travail\Classeur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kawtar\Desktop\ilias\travail\Classeur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a:t>Distribution</a:t>
            </a:r>
            <a:r>
              <a:rPr lang="fr-FR" baseline="0"/>
              <a:t> by sex </a:t>
            </a:r>
            <a:endParaRPr lang="fr-F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AF-9949-97BA-B686090FD086}"/>
              </c:ext>
            </c:extLst>
          </c:dPt>
          <c:dPt>
            <c:idx val="1"/>
            <c:bubble3D val="0"/>
            <c:spPr>
              <a:solidFill>
                <a:schemeClr val="accent1">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AF-9949-97BA-B686090FD08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Feuil2!$O$5:$O$6</c:f>
              <c:strCache>
                <c:ptCount val="2"/>
                <c:pt idx="0">
                  <c:v>M</c:v>
                </c:pt>
                <c:pt idx="1">
                  <c:v>F</c:v>
                </c:pt>
              </c:strCache>
            </c:strRef>
          </c:cat>
          <c:val>
            <c:numRef>
              <c:f>Feuil2!$P$5:$P$6</c:f>
              <c:numCache>
                <c:formatCode>General</c:formatCode>
                <c:ptCount val="2"/>
                <c:pt idx="0">
                  <c:v>23</c:v>
                </c:pt>
                <c:pt idx="1">
                  <c:v>7</c:v>
                </c:pt>
              </c:numCache>
            </c:numRef>
          </c:val>
          <c:extLst>
            <c:ext xmlns:c16="http://schemas.microsoft.com/office/drawing/2014/chart" uri="{C3380CC4-5D6E-409C-BE32-E72D297353CC}">
              <c16:uniqueId val="{00000004-E0AF-9949-97BA-B686090FD0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150511811023623"/>
          <c:y val="0.30839056576261303"/>
          <c:w val="0.12939326334208223"/>
          <c:h val="0.1562510936132983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r>
              <a:rPr lang="fr-FR" sz="2000"/>
              <a:t>Major</a:t>
            </a:r>
            <a:r>
              <a:rPr lang="fr-FR" sz="2000" baseline="0"/>
              <a:t> risk factors </a:t>
            </a:r>
            <a:endParaRPr lang="fr-FR" sz="2000"/>
          </a:p>
        </c:rich>
      </c:tx>
      <c:overlay val="0"/>
      <c:spPr>
        <a:noFill/>
        <a:ln>
          <a:noFill/>
        </a:ln>
        <a:effectLst/>
      </c:spPr>
      <c:txPr>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Feuil1!$G$37:$G$40</c:f>
              <c:strCache>
                <c:ptCount val="4"/>
                <c:pt idx="0">
                  <c:v>HTA</c:v>
                </c:pt>
                <c:pt idx="1">
                  <c:v>Smoking</c:v>
                </c:pt>
                <c:pt idx="2">
                  <c:v>Dyslipidemia</c:v>
                </c:pt>
                <c:pt idx="3">
                  <c:v>Diabetes </c:v>
                </c:pt>
              </c:strCache>
            </c:strRef>
          </c:cat>
          <c:val>
            <c:numRef>
              <c:f>Feuil1!$H$37:$H$40</c:f>
              <c:numCache>
                <c:formatCode>General</c:formatCode>
                <c:ptCount val="4"/>
                <c:pt idx="0">
                  <c:v>33</c:v>
                </c:pt>
                <c:pt idx="1">
                  <c:v>50</c:v>
                </c:pt>
                <c:pt idx="2">
                  <c:v>43</c:v>
                </c:pt>
                <c:pt idx="3">
                  <c:v>40</c:v>
                </c:pt>
              </c:numCache>
            </c:numRef>
          </c:val>
          <c:extLst>
            <c:ext xmlns:c16="http://schemas.microsoft.com/office/drawing/2014/chart" uri="{C3380CC4-5D6E-409C-BE32-E72D297353CC}">
              <c16:uniqueId val="{00000000-C9E1-4240-A41C-8DEE557D8C37}"/>
            </c:ext>
          </c:extLst>
        </c:ser>
        <c:dLbls>
          <c:showLegendKey val="0"/>
          <c:showVal val="0"/>
          <c:showCatName val="0"/>
          <c:showSerName val="0"/>
          <c:showPercent val="0"/>
          <c:showBubbleSize val="0"/>
        </c:dLbls>
        <c:gapWidth val="182"/>
        <c:axId val="65672319"/>
        <c:axId val="68985167"/>
      </c:barChart>
      <c:catAx>
        <c:axId val="65672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85167"/>
        <c:crosses val="autoZero"/>
        <c:auto val="1"/>
        <c:lblAlgn val="ctr"/>
        <c:lblOffset val="100"/>
        <c:noMultiLvlLbl val="0"/>
      </c:catAx>
      <c:valAx>
        <c:axId val="689851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723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a:t>Distribution of HBA1C in diabetes patient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CF-704B-8A1F-0F59127FE040}"/>
              </c:ext>
            </c:extLst>
          </c:dPt>
          <c:dPt>
            <c:idx val="1"/>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CF-704B-8A1F-0F59127FE040}"/>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CF-704B-8A1F-0F59127FE040}"/>
              </c:ext>
            </c:extLst>
          </c:dPt>
          <c:dLbls>
            <c:dLbl>
              <c:idx val="0"/>
              <c:layout>
                <c:manualLayout>
                  <c:x val="2.7400520415579329E-2"/>
                  <c:y val="9.7915221737178496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2CF-704B-8A1F-0F59127FE040}"/>
                </c:ext>
              </c:extLst>
            </c:dLbl>
            <c:dLbl>
              <c:idx val="1"/>
              <c:layout>
                <c:manualLayout>
                  <c:x val="2.6552868122474649E-2"/>
                  <c:y val="2.564249018494051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2CF-704B-8A1F-0F59127FE040}"/>
                </c:ext>
              </c:extLst>
            </c:dLbl>
            <c:dLbl>
              <c:idx val="2"/>
              <c:layout>
                <c:manualLayout>
                  <c:x val="1.1939056398438E-2"/>
                  <c:y val="-4.78278198485453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2CF-704B-8A1F-0F59127FE04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Feuil7!$D$38:$D$40</c:f>
              <c:strCache>
                <c:ptCount val="3"/>
                <c:pt idx="0">
                  <c:v>6.5-7%</c:v>
                </c:pt>
                <c:pt idx="1">
                  <c:v>7-8%</c:v>
                </c:pt>
                <c:pt idx="2">
                  <c:v>&gt;8%</c:v>
                </c:pt>
              </c:strCache>
            </c:strRef>
          </c:cat>
          <c:val>
            <c:numRef>
              <c:f>Feuil7!$E$38:$E$40</c:f>
              <c:numCache>
                <c:formatCode>General</c:formatCode>
                <c:ptCount val="3"/>
                <c:pt idx="0">
                  <c:v>7</c:v>
                </c:pt>
                <c:pt idx="1">
                  <c:v>13</c:v>
                </c:pt>
                <c:pt idx="2">
                  <c:v>20</c:v>
                </c:pt>
              </c:numCache>
            </c:numRef>
          </c:val>
          <c:extLst>
            <c:ext xmlns:c16="http://schemas.microsoft.com/office/drawing/2014/chart" uri="{C3380CC4-5D6E-409C-BE32-E72D297353CC}">
              <c16:uniqueId val="{00000006-D2CF-704B-8A1F-0F59127FE04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FA222-56B3-4ED7-9088-811939C3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8</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21402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13</cp:revision>
  <cp:lastPrinted>1999-07-06T11:00:00Z</cp:lastPrinted>
  <dcterms:created xsi:type="dcterms:W3CDTF">2025-08-11T17:41:00Z</dcterms:created>
  <dcterms:modified xsi:type="dcterms:W3CDTF">2025-08-22T07:14:00Z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id="rNrivOJA"/&gt;&lt;style id="http://www.zotero.org/styles/vancouver-brackets" locale="fr-FR" hasBibliography="1" bibliographyStyleHasBeenSet="0"/&gt;&lt;prefs&gt;&lt;pref name="fieldType" value="Field"/&gt;&lt;/prefs&gt;&lt;/d</vt:lpwstr>
  </property>
  <property fmtid="{D5CDD505-2E9C-101B-9397-08002B2CF9AE}" pid="3" name="ZOTERO_PREF_2">
    <vt:lpwstr>ata&gt;</vt:lpwstr>
  </property>
</Properties>
</file>