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DFD" w:rsidRDefault="005B6768" w:rsidP="00880DFD">
      <w:pPr>
        <w:spacing w:after="0" w:line="240" w:lineRule="auto"/>
        <w:jc w:val="center"/>
        <w:rPr>
          <w:b/>
        </w:rPr>
      </w:pPr>
      <w:r>
        <w:rPr>
          <w:b/>
        </w:rPr>
        <w:t xml:space="preserve">A Comparative Study on The </w:t>
      </w:r>
      <w:r w:rsidRPr="00A47BC0">
        <w:rPr>
          <w:b/>
        </w:rPr>
        <w:t xml:space="preserve">Effect </w:t>
      </w:r>
      <w:r>
        <w:rPr>
          <w:b/>
        </w:rPr>
        <w:t>o</w:t>
      </w:r>
      <w:r w:rsidRPr="00A47BC0">
        <w:rPr>
          <w:b/>
        </w:rPr>
        <w:t xml:space="preserve">f Phosphorus on </w:t>
      </w:r>
      <w:r>
        <w:rPr>
          <w:b/>
        </w:rPr>
        <w:t xml:space="preserve">Soil Properties, Cowpea and </w:t>
      </w:r>
      <w:r w:rsidRPr="00A47BC0">
        <w:rPr>
          <w:b/>
        </w:rPr>
        <w:t>African Ya</w:t>
      </w:r>
      <w:r>
        <w:rPr>
          <w:b/>
        </w:rPr>
        <w:t xml:space="preserve">m Beans in </w:t>
      </w:r>
      <w:proofErr w:type="spellStart"/>
      <w:r>
        <w:rPr>
          <w:b/>
        </w:rPr>
        <w:t>Akwa</w:t>
      </w:r>
      <w:proofErr w:type="spellEnd"/>
      <w:r>
        <w:rPr>
          <w:b/>
        </w:rPr>
        <w:t xml:space="preserve"> Ibom State, Nigeria</w:t>
      </w:r>
    </w:p>
    <w:p w:rsidR="00880DFD" w:rsidRPr="00BA7ED7" w:rsidRDefault="00880DFD" w:rsidP="00880DFD">
      <w:pPr>
        <w:spacing w:after="0" w:line="240" w:lineRule="auto"/>
        <w:jc w:val="center"/>
      </w:pPr>
    </w:p>
    <w:p w:rsidR="00880DFD" w:rsidRDefault="00880DFD" w:rsidP="00880DFD">
      <w:pPr>
        <w:spacing w:after="0" w:line="240" w:lineRule="auto"/>
        <w:jc w:val="center"/>
      </w:pPr>
    </w:p>
    <w:p w:rsidR="00880DFD" w:rsidRDefault="00880DFD" w:rsidP="00880DFD">
      <w:pPr>
        <w:spacing w:after="0" w:line="240" w:lineRule="auto"/>
        <w:jc w:val="center"/>
      </w:pPr>
    </w:p>
    <w:p w:rsidR="00880DFD" w:rsidRDefault="00880DFD" w:rsidP="00880DFD">
      <w:pPr>
        <w:spacing w:after="0" w:line="240" w:lineRule="auto"/>
        <w:jc w:val="center"/>
      </w:pPr>
      <w:r>
        <w:t>ABSTRACT</w:t>
      </w:r>
    </w:p>
    <w:p w:rsidR="00880DFD" w:rsidRDefault="00880DFD" w:rsidP="00880DFD">
      <w:pPr>
        <w:spacing w:after="0" w:line="240" w:lineRule="auto"/>
        <w:jc w:val="center"/>
      </w:pPr>
    </w:p>
    <w:p w:rsidR="00880DFD" w:rsidRDefault="00880DFD" w:rsidP="00880DFD">
      <w:pPr>
        <w:spacing w:line="240" w:lineRule="auto"/>
        <w:jc w:val="both"/>
      </w:pPr>
      <w:r>
        <w:t xml:space="preserve">A study was conducted to investigate effect of </w:t>
      </w:r>
      <w:r w:rsidRPr="00BE1A8E">
        <w:rPr>
          <w:bCs/>
        </w:rPr>
        <w:t>ph</w:t>
      </w:r>
      <w:r>
        <w:rPr>
          <w:bCs/>
        </w:rPr>
        <w:t xml:space="preserve">osphorus on soil properties, </w:t>
      </w:r>
      <w:r w:rsidRPr="00BE1A8E">
        <w:rPr>
          <w:bCs/>
        </w:rPr>
        <w:t>cowpea</w:t>
      </w:r>
      <w:r>
        <w:rPr>
          <w:bCs/>
        </w:rPr>
        <w:t xml:space="preserve"> a</w:t>
      </w:r>
      <w:r w:rsidRPr="00BE1A8E">
        <w:rPr>
          <w:bCs/>
        </w:rPr>
        <w:t xml:space="preserve">nd </w:t>
      </w:r>
      <w:r>
        <w:rPr>
          <w:bCs/>
        </w:rPr>
        <w:t>African</w:t>
      </w:r>
      <w:r w:rsidRPr="00BE1A8E">
        <w:rPr>
          <w:bCs/>
        </w:rPr>
        <w:t xml:space="preserve"> yam beans grown in </w:t>
      </w:r>
      <w:proofErr w:type="spellStart"/>
      <w:r>
        <w:rPr>
          <w:bCs/>
        </w:rPr>
        <w:t>Akwa</w:t>
      </w:r>
      <w:proofErr w:type="spellEnd"/>
      <w:r>
        <w:rPr>
          <w:bCs/>
        </w:rPr>
        <w:t xml:space="preserve"> Ibom</w:t>
      </w:r>
      <w:r w:rsidRPr="00BE1A8E">
        <w:rPr>
          <w:bCs/>
        </w:rPr>
        <w:t xml:space="preserve"> </w:t>
      </w:r>
      <w:r>
        <w:rPr>
          <w:bCs/>
        </w:rPr>
        <w:t xml:space="preserve">State, Nigeria. </w:t>
      </w:r>
      <w:r>
        <w:t xml:space="preserve">The site selection was a flat land of 20 m X 17 m for the cultivation of cowpea and African yam beans. The bed measured 4 m in length and 1.8 m in width was raised. Spacing between plots was 1 m and plant spacing was 40 cm </w:t>
      </w:r>
      <w:r>
        <w:rPr>
          <w:rFonts w:cstheme="minorHAnsi"/>
        </w:rPr>
        <w:t>×</w:t>
      </w:r>
      <w:r>
        <w:t xml:space="preserve"> 60 cm. Phosphorus was applied at the rates of 0 kg, 45 kg, 65 kg, and 85 kg. Pha</w:t>
      </w:r>
      <w:r>
        <w:rPr>
          <w:vertAlign w:val="superscript"/>
        </w:rPr>
        <w:t>-1</w:t>
      </w:r>
      <w:r>
        <w:t xml:space="preserve">. The experiment was laid down in a randomized complete block design (RCBD) in 3 replicates. The plots </w:t>
      </w:r>
      <w:proofErr w:type="gramStart"/>
      <w:r>
        <w:t>measures</w:t>
      </w:r>
      <w:proofErr w:type="gramEnd"/>
      <w:r>
        <w:t xml:space="preserve"> 21 m in length and 17 m in width having a total of 38 m </w:t>
      </w:r>
      <w:r>
        <w:rPr>
          <w:rFonts w:cstheme="minorHAnsi"/>
        </w:rPr>
        <w:t>×</w:t>
      </w:r>
      <w:r>
        <w:t xml:space="preserve"> 38 m being 76 m. Soil samples were collected before and after the experiment. Also plant data were taken, Plant height was measured and taken randomly every fortnight. Data collected were subjected to analysis of variance (ANOVA) at p = 0.05 %. Results showed that soils in the study area were predominantly sand. Before planting, sand was 90.70 %, while silt and clay percentages were 3.20 % and 6.10 % respectively. The low organic matter content, 2.00 % could be due to the effect of soil erosion, leaching and bush burning predominant in the study area.  At 40 kg. P ha</w:t>
      </w:r>
      <w:r>
        <w:rPr>
          <w:vertAlign w:val="superscript"/>
        </w:rPr>
        <w:t>1</w:t>
      </w:r>
      <w:r>
        <w:t xml:space="preserve"> of phosphorus rate, the highest significant stem girth (1.4 cm) was found in white cowpea, while the lowest significant stem girth (0.6 cm) was found in African Yam Bean. It was concluded that </w:t>
      </w:r>
      <w:r w:rsidRPr="00F42FD2">
        <w:t xml:space="preserve">African yam beans showed excellent vegetative growth but have </w:t>
      </w:r>
      <w:r>
        <w:t xml:space="preserve">a </w:t>
      </w:r>
      <w:r w:rsidRPr="00F42FD2">
        <w:t>longer duration of maturity. Triple super phosphate application at 40</w:t>
      </w:r>
      <w:r>
        <w:t xml:space="preserve"> </w:t>
      </w:r>
      <w:r w:rsidRPr="00F42FD2">
        <w:t>kg</w:t>
      </w:r>
      <w:r>
        <w:t xml:space="preserve">. P </w:t>
      </w:r>
      <w:r w:rsidRPr="00F42FD2">
        <w:t>ha</w:t>
      </w:r>
      <w:r>
        <w:rPr>
          <w:vertAlign w:val="superscript"/>
        </w:rPr>
        <w:t>-1</w:t>
      </w:r>
      <w:r w:rsidRPr="00F42FD2">
        <w:t xml:space="preserve"> recorded the best yield in white cowpea.</w:t>
      </w:r>
    </w:p>
    <w:p w:rsidR="00880DFD" w:rsidRDefault="00880DFD" w:rsidP="00880DFD">
      <w:pPr>
        <w:spacing w:after="0" w:line="240" w:lineRule="auto"/>
        <w:jc w:val="both"/>
      </w:pPr>
    </w:p>
    <w:p w:rsidR="00880DFD" w:rsidRPr="00CE6D0A" w:rsidRDefault="00880DFD" w:rsidP="00880DFD">
      <w:pPr>
        <w:spacing w:after="0" w:line="240" w:lineRule="auto"/>
        <w:jc w:val="both"/>
        <w:rPr>
          <w:b/>
          <w:bCs/>
        </w:rPr>
      </w:pPr>
      <w:r w:rsidRPr="000216FC">
        <w:rPr>
          <w:b/>
          <w:bCs/>
        </w:rPr>
        <w:t>Keywords</w:t>
      </w:r>
      <w:r>
        <w:t xml:space="preserve">: Phosphorus rate, soil properties, </w:t>
      </w:r>
      <w:r w:rsidRPr="00F739C9">
        <w:rPr>
          <w:i/>
          <w:iCs/>
        </w:rPr>
        <w:t>African Yam Bean, Cowpea</w:t>
      </w:r>
      <w:r>
        <w:rPr>
          <w:i/>
          <w:iCs/>
        </w:rPr>
        <w:t xml:space="preserve">, growth, yield parameter. </w:t>
      </w:r>
    </w:p>
    <w:p w:rsidR="00880DFD" w:rsidRDefault="00880DFD" w:rsidP="00880DFD">
      <w:pPr>
        <w:spacing w:after="0" w:line="240" w:lineRule="auto"/>
      </w:pPr>
    </w:p>
    <w:p w:rsidR="00880DFD" w:rsidRPr="005B6768" w:rsidRDefault="00880DFD" w:rsidP="00880DFD">
      <w:pPr>
        <w:spacing w:after="0" w:line="240" w:lineRule="auto"/>
        <w:jc w:val="center"/>
        <w:rPr>
          <w:b/>
        </w:rPr>
      </w:pPr>
    </w:p>
    <w:p w:rsidR="00880DFD" w:rsidRPr="005B6768" w:rsidRDefault="00880DFD" w:rsidP="00880DFD">
      <w:pPr>
        <w:jc w:val="both"/>
        <w:rPr>
          <w:b/>
        </w:rPr>
      </w:pPr>
      <w:r w:rsidRPr="005B6768">
        <w:rPr>
          <w:b/>
        </w:rPr>
        <w:t>INTRODUCTION</w:t>
      </w:r>
    </w:p>
    <w:p w:rsidR="00880DFD" w:rsidRDefault="007A7789" w:rsidP="00880DFD">
      <w:pPr>
        <w:jc w:val="both"/>
      </w:pPr>
      <w:r>
        <w:t>“</w:t>
      </w:r>
      <w:r w:rsidR="00880DFD">
        <w:t>Phosphorus is important for cowpea and African yam beans production and is inherently low in many tropical soils. The deficiency can be so acute in some soils that plant growth ceases as soon as the phosphorus stored in the seed is exhausted</w:t>
      </w:r>
      <w:r>
        <w:t>”</w:t>
      </w:r>
      <w:r w:rsidR="00880DFD">
        <w:t xml:space="preserve"> (</w:t>
      </w:r>
      <w:proofErr w:type="spellStart"/>
      <w:r w:rsidR="00880DFD">
        <w:t>Mokwunye</w:t>
      </w:r>
      <w:proofErr w:type="spellEnd"/>
      <w:r w:rsidR="00880DFD">
        <w:t xml:space="preserve"> </w:t>
      </w:r>
      <w:r w:rsidR="00880DFD" w:rsidRPr="00E24B64">
        <w:rPr>
          <w:i/>
        </w:rPr>
        <w:t>et al</w:t>
      </w:r>
      <w:r w:rsidR="00880DFD">
        <w:t xml:space="preserve">., 1986). It plays key roles in many plant processes such as energy metabolism, nitrogen fixation, synthesis of nucleic acid and membranes, photosynthesis, respiration and enzyme regulation. </w:t>
      </w:r>
    </w:p>
    <w:p w:rsidR="00880DFD" w:rsidRDefault="00880DFD" w:rsidP="00880DFD">
      <w:pPr>
        <w:jc w:val="both"/>
      </w:pPr>
      <w:r>
        <w:t xml:space="preserve">Cowpea (Vigna </w:t>
      </w:r>
      <w:proofErr w:type="spellStart"/>
      <w:r>
        <w:t>unguiculata</w:t>
      </w:r>
      <w:proofErr w:type="spellEnd"/>
      <w:r>
        <w:t>) from the genus Vigna is one of the most important legumes crops grown extensively in all continents of the world except Antarctica. Cowpea originated in Africa (</w:t>
      </w:r>
      <w:proofErr w:type="spellStart"/>
      <w:r>
        <w:t>Egho</w:t>
      </w:r>
      <w:proofErr w:type="spellEnd"/>
      <w:r>
        <w:t xml:space="preserve">, 2012).  It is common in central and West Africa, particularly in Cameroon, Cote d’ Ivoire, Ghana, Nigeria, Togo, Gabon, Democratic Republic of Congo, </w:t>
      </w:r>
      <w:proofErr w:type="spellStart"/>
      <w:r>
        <w:t>thiopia</w:t>
      </w:r>
      <w:proofErr w:type="spellEnd"/>
      <w:r>
        <w:t xml:space="preserve"> and part of east Africa.</w:t>
      </w:r>
      <w:r w:rsidRPr="00DF459E">
        <w:t xml:space="preserve"> </w:t>
      </w:r>
      <w:r>
        <w:t>Cowpea originated in Africa (</w:t>
      </w:r>
      <w:proofErr w:type="spellStart"/>
      <w:r>
        <w:t>Egho</w:t>
      </w:r>
      <w:proofErr w:type="spellEnd"/>
      <w:r>
        <w:t xml:space="preserve"> and </w:t>
      </w:r>
      <w:proofErr w:type="spellStart"/>
      <w:r>
        <w:t>Enujeke</w:t>
      </w:r>
      <w:proofErr w:type="spellEnd"/>
      <w:r>
        <w:t>, 2012.</w:t>
      </w:r>
    </w:p>
    <w:p w:rsidR="00880DFD" w:rsidRDefault="00880DFD" w:rsidP="00880DFD">
      <w:pPr>
        <w:jc w:val="both"/>
      </w:pPr>
      <w:r>
        <w:t xml:space="preserve">     Cowpea is an annual vigorous climbing herbaceous legume with vine whose height can reach 1.5 – 3 m or more (Adewale &amp; </w:t>
      </w:r>
      <w:proofErr w:type="spellStart"/>
      <w:r>
        <w:t>Dumet</w:t>
      </w:r>
      <w:proofErr w:type="spellEnd"/>
      <w:r>
        <w:t xml:space="preserve">, 2011). </w:t>
      </w:r>
      <w:r w:rsidR="007A7789">
        <w:t>“</w:t>
      </w:r>
      <w:r>
        <w:t xml:space="preserve">The main vine/stem produces many branches which also twine strongly on available stakes, cowpea flowers profusely in 100 – 150 days, producing brightly-colored flowers which may be pink, purple or greenish, white, which matured into lightly woody pods containing about 20 – 30 seed. The flowers </w:t>
      </w:r>
      <w:proofErr w:type="gramStart"/>
      <w:r>
        <w:t>seems</w:t>
      </w:r>
      <w:proofErr w:type="gramEnd"/>
      <w:r>
        <w:t xml:space="preserve"> to exhibit self – pollution: up to six pods/peduncle result after fertilization with usually linear and long pod which turn brown when matured</w:t>
      </w:r>
      <w:r w:rsidR="007A7789">
        <w:t>”</w:t>
      </w:r>
      <w:r>
        <w:t xml:space="preserve"> (Gomez, 2004; </w:t>
      </w:r>
      <w:proofErr w:type="spellStart"/>
      <w:r>
        <w:t>Adekiya</w:t>
      </w:r>
      <w:proofErr w:type="spellEnd"/>
      <w:r>
        <w:t xml:space="preserve">, </w:t>
      </w:r>
      <w:r>
        <w:lastRenderedPageBreak/>
        <w:t xml:space="preserve">2022). The pods which are sometimes flat or raised in a ridge-like from of both margins are usually prone to shattering: they dehisce along the dorsal and ventral sutures when dry. The seeds are sometimes round, oval, oblong or rhomboid with different colors and size. </w:t>
      </w:r>
      <w:r>
        <w:rPr>
          <w:i/>
        </w:rPr>
        <w:t xml:space="preserve"> </w:t>
      </w:r>
      <w:r>
        <w:t xml:space="preserve">     </w:t>
      </w:r>
    </w:p>
    <w:p w:rsidR="00880DFD" w:rsidRPr="00737B4D" w:rsidRDefault="007A7789" w:rsidP="00880DFD">
      <w:pPr>
        <w:jc w:val="both"/>
      </w:pPr>
      <w:r>
        <w:t>“</w:t>
      </w:r>
      <w:r w:rsidR="00880DFD">
        <w:t xml:space="preserve">Cowpea is tolerance in sandy soil where root growth </w:t>
      </w:r>
      <w:proofErr w:type="gramStart"/>
      <w:r w:rsidR="00880DFD">
        <w:t>are</w:t>
      </w:r>
      <w:proofErr w:type="gramEnd"/>
      <w:r w:rsidR="00880DFD">
        <w:t xml:space="preserve"> not restricted and low rainfall it is an important crop in the semi-arid regions across Africa and other countries</w:t>
      </w:r>
      <w:r>
        <w:t>”</w:t>
      </w:r>
      <w:r w:rsidR="00880DFD">
        <w:t xml:space="preserve"> (DAFF, 2011).  The crop requires well-drained soils with a pH of 5.6-6.0, but can still produce reasonable yield in waterlogged and heavy soils</w:t>
      </w:r>
      <w:r w:rsidR="008F7623">
        <w:t>.</w:t>
      </w:r>
      <w:r w:rsidR="00880DFD">
        <w:t xml:space="preserve"> It requires very few inputs, as the plant root nodules are able to fix atmospheric nitrogen, making it a valuable crop for resource - poor farmers and well-suited to intercropping with other crops. The whole plant is used as forage for animals with its use as cattle feed likely responsible for its name. </w:t>
      </w:r>
    </w:p>
    <w:p w:rsidR="00880DFD" w:rsidRDefault="007A7789" w:rsidP="00880DFD">
      <w:pPr>
        <w:jc w:val="both"/>
      </w:pPr>
      <w:r>
        <w:t>“</w:t>
      </w:r>
      <w:r w:rsidR="00880DFD">
        <w:t>African yam bean (</w:t>
      </w:r>
      <w:proofErr w:type="spellStart"/>
      <w:r w:rsidR="00880DFD">
        <w:rPr>
          <w:i/>
        </w:rPr>
        <w:t>Sphenostylis</w:t>
      </w:r>
      <w:proofErr w:type="spellEnd"/>
      <w:r w:rsidR="00880DFD">
        <w:rPr>
          <w:i/>
        </w:rPr>
        <w:t xml:space="preserve"> </w:t>
      </w:r>
      <w:proofErr w:type="spellStart"/>
      <w:r w:rsidR="00880DFD">
        <w:rPr>
          <w:i/>
        </w:rPr>
        <w:t>stenocarpa</w:t>
      </w:r>
      <w:proofErr w:type="spellEnd"/>
      <w:r w:rsidR="00880DFD">
        <w:t xml:space="preserve">) belong to the </w:t>
      </w:r>
      <w:proofErr w:type="spellStart"/>
      <w:r w:rsidR="00880DFD">
        <w:t>fabaceae</w:t>
      </w:r>
      <w:proofErr w:type="spellEnd"/>
      <w:r w:rsidR="00880DFD">
        <w:t xml:space="preserve"> family and by its name is indigenous to tropical African evolved the generic name </w:t>
      </w:r>
      <w:proofErr w:type="spellStart"/>
      <w:r w:rsidR="00880DFD">
        <w:rPr>
          <w:i/>
        </w:rPr>
        <w:t>unguiculata</w:t>
      </w:r>
      <w:proofErr w:type="spellEnd"/>
      <w:r w:rsidR="00880DFD">
        <w:rPr>
          <w:i/>
        </w:rPr>
        <w:t xml:space="preserve"> </w:t>
      </w:r>
      <w:r w:rsidR="00880DFD">
        <w:t xml:space="preserve">as the botanical genus to describe a group of distinctive leguminous taxon formerly grouped within the </w:t>
      </w:r>
      <w:proofErr w:type="spellStart"/>
      <w:r w:rsidR="00880DFD">
        <w:t>Dolichos</w:t>
      </w:r>
      <w:proofErr w:type="spellEnd"/>
      <w:r w:rsidR="00880DFD">
        <w:t xml:space="preserve"> and Vigna genera</w:t>
      </w:r>
      <w:r>
        <w:t>”</w:t>
      </w:r>
      <w:r w:rsidR="00880DFD">
        <w:t xml:space="preserve"> (Adewale &amp; </w:t>
      </w:r>
      <w:proofErr w:type="spellStart"/>
      <w:r w:rsidR="00880DFD">
        <w:t>Odoh</w:t>
      </w:r>
      <w:proofErr w:type="spellEnd"/>
      <w:r w:rsidR="00880DFD">
        <w:t xml:space="preserve">, 2012). It has a </w:t>
      </w:r>
      <w:proofErr w:type="gramStart"/>
      <w:r w:rsidR="00880DFD">
        <w:t>climbing or prostrate vines</w:t>
      </w:r>
      <w:proofErr w:type="gramEnd"/>
      <w:r w:rsidR="00880DFD">
        <w:t xml:space="preserve">.  </w:t>
      </w:r>
      <w:r>
        <w:t>“</w:t>
      </w:r>
      <w:r w:rsidR="00880DFD">
        <w:t xml:space="preserve">The vine produces linear pods, 20 – 30 seeds are borne. The seeds are usually brown, cream, orange-brown or mottled and ovoid in shape. The yam beans are usually inter planted with yams and other vegetables in the traditional village farm settings. According to </w:t>
      </w:r>
      <w:proofErr w:type="spellStart"/>
      <w:r w:rsidR="00880DFD">
        <w:t>Ezueh</w:t>
      </w:r>
      <w:proofErr w:type="spellEnd"/>
      <w:r w:rsidR="00880DFD">
        <w:t xml:space="preserve"> (1984), flowering occurs 80-120 days after planting seeds maturity after 150-300 days. Seed yield is very poor in Nigeria, about 300-500kg/ha</w:t>
      </w:r>
      <w:r>
        <w:t>”</w:t>
      </w:r>
      <w:r w:rsidR="00880DFD">
        <w:t xml:space="preserve"> (</w:t>
      </w:r>
      <w:proofErr w:type="spellStart"/>
      <w:r w:rsidR="00880DFD">
        <w:t>Ezueh</w:t>
      </w:r>
      <w:proofErr w:type="spellEnd"/>
      <w:r w:rsidR="00880DFD">
        <w:t xml:space="preserve"> 1984), although much higher estimates of yield (2000-3000kg/ha) have being reported for fertile soils (</w:t>
      </w:r>
      <w:proofErr w:type="spellStart"/>
      <w:r w:rsidR="00880DFD">
        <w:t>Akata</w:t>
      </w:r>
      <w:proofErr w:type="spellEnd"/>
      <w:r w:rsidR="00880DFD" w:rsidRPr="00286828">
        <w:rPr>
          <w:i/>
        </w:rPr>
        <w:t xml:space="preserve"> et al</w:t>
      </w:r>
      <w:r w:rsidR="00880DFD">
        <w:t>., 2025a). However, it is not well known as a food source outside Africa and is grown as an ornamental plant in Europe and elsewhere.</w:t>
      </w:r>
    </w:p>
    <w:p w:rsidR="00880DFD" w:rsidRDefault="007A7789" w:rsidP="00880DFD">
      <w:pPr>
        <w:jc w:val="both"/>
      </w:pPr>
      <w:r>
        <w:rPr>
          <w:i/>
        </w:rPr>
        <w:t>“</w:t>
      </w:r>
      <w:r w:rsidR="00880DFD">
        <w:rPr>
          <w:i/>
        </w:rPr>
        <w:t>African yam bean (</w:t>
      </w:r>
      <w:proofErr w:type="spellStart"/>
      <w:r w:rsidR="00880DFD">
        <w:rPr>
          <w:i/>
        </w:rPr>
        <w:t>Sphenostylis</w:t>
      </w:r>
      <w:proofErr w:type="spellEnd"/>
      <w:r w:rsidR="00880DFD">
        <w:rPr>
          <w:i/>
        </w:rPr>
        <w:t xml:space="preserve"> </w:t>
      </w:r>
      <w:proofErr w:type="spellStart"/>
      <w:r w:rsidR="00880DFD">
        <w:rPr>
          <w:i/>
        </w:rPr>
        <w:t>stenocarpa</w:t>
      </w:r>
      <w:proofErr w:type="spellEnd"/>
      <w:r w:rsidR="00880DFD">
        <w:rPr>
          <w:i/>
        </w:rPr>
        <w:t xml:space="preserve">) </w:t>
      </w:r>
      <w:r w:rsidR="00880DFD">
        <w:t>is native to tropical west and central. Africa and is cultivated in southern and eastern Africa. It thrives on deep, loose sandy and loamy soils with good organic content and good drainage</w:t>
      </w:r>
      <w:r>
        <w:t>”</w:t>
      </w:r>
      <w:r w:rsidR="00880DFD">
        <w:t xml:space="preserve"> (</w:t>
      </w:r>
      <w:proofErr w:type="spellStart"/>
      <w:r w:rsidR="00880DFD">
        <w:t>Akata</w:t>
      </w:r>
      <w:proofErr w:type="spellEnd"/>
      <w:r w:rsidR="00880DFD" w:rsidRPr="00286828">
        <w:rPr>
          <w:i/>
        </w:rPr>
        <w:t xml:space="preserve"> et al</w:t>
      </w:r>
      <w:r w:rsidR="00880DFD">
        <w:t xml:space="preserve">., 2024a; Essien </w:t>
      </w:r>
      <w:r w:rsidR="00880DFD" w:rsidRPr="00286828">
        <w:rPr>
          <w:i/>
        </w:rPr>
        <w:t>et al.</w:t>
      </w:r>
      <w:r w:rsidR="00880DFD">
        <w:t>, 2024b). It grows better in regions where annual rainfall ranges between 800 and 1400 mm, and where temperatures are comprised between 19 and 27</w:t>
      </w:r>
      <w:r w:rsidR="00880DFD">
        <w:rPr>
          <w:vertAlign w:val="superscript"/>
        </w:rPr>
        <w:t>0</w:t>
      </w:r>
      <w:r w:rsidR="00880DFD">
        <w:t xml:space="preserve">C. </w:t>
      </w:r>
      <w:r>
        <w:t>“</w:t>
      </w:r>
      <w:r w:rsidR="00880DFD">
        <w:t>Application of phosphorus has been reported by several authors to improve yield of cowpea and African yam beans, about 70-90% are adsorbed and become locked in various soil phosphorus compounds of low solubility without giving any immediate consideration to crop production</w:t>
      </w:r>
      <w:r>
        <w:t>”</w:t>
      </w:r>
      <w:bookmarkStart w:id="0" w:name="_GoBack"/>
      <w:bookmarkEnd w:id="0"/>
      <w:r w:rsidR="00880DFD">
        <w:t xml:space="preserve"> (Holford, 1997; </w:t>
      </w:r>
      <w:proofErr w:type="spellStart"/>
      <w:r w:rsidR="00880DFD">
        <w:t>Akata</w:t>
      </w:r>
      <w:proofErr w:type="spellEnd"/>
      <w:r w:rsidR="00880DFD" w:rsidRPr="00286828">
        <w:rPr>
          <w:i/>
        </w:rPr>
        <w:t xml:space="preserve"> et al</w:t>
      </w:r>
      <w:r w:rsidR="00880DFD">
        <w:t xml:space="preserve">., 2025b). Attempts to improve cowpea and African yam bean production are inadequate. </w:t>
      </w:r>
      <w:proofErr w:type="gramStart"/>
      <w:r w:rsidR="00880DFD">
        <w:t>Therefore</w:t>
      </w:r>
      <w:proofErr w:type="gramEnd"/>
      <w:r w:rsidR="00880DFD">
        <w:t xml:space="preserve"> understanding and manipulation of these crops to achieved compatible management of agronomic/cultural practices such as mineral, particularly phosphorus fertilizer management strategies are necessary.  </w:t>
      </w:r>
    </w:p>
    <w:p w:rsidR="00880DFD" w:rsidRPr="005B6768" w:rsidRDefault="00880DFD" w:rsidP="00880DFD">
      <w:pPr>
        <w:jc w:val="both"/>
        <w:rPr>
          <w:b/>
        </w:rPr>
      </w:pPr>
      <w:r w:rsidRPr="005B6768">
        <w:rPr>
          <w:b/>
        </w:rPr>
        <w:t>MATERIALS AND METHODS</w:t>
      </w:r>
    </w:p>
    <w:p w:rsidR="00880DFD" w:rsidRDefault="00880DFD" w:rsidP="00880DFD">
      <w:pPr>
        <w:jc w:val="both"/>
      </w:pPr>
      <w:r>
        <w:t>Description of Experimental Site</w:t>
      </w:r>
    </w:p>
    <w:p w:rsidR="00880DFD" w:rsidRDefault="00880DFD" w:rsidP="00880DFD">
      <w:pPr>
        <w:jc w:val="both"/>
      </w:pPr>
      <w:r>
        <w:t xml:space="preserve">The study was conducted at the </w:t>
      </w:r>
      <w:proofErr w:type="spellStart"/>
      <w:r>
        <w:t>Akwa</w:t>
      </w:r>
      <w:proofErr w:type="spellEnd"/>
      <w:r>
        <w:t xml:space="preserve"> Ibom State University teaching and research farm located at </w:t>
      </w:r>
      <w:proofErr w:type="spellStart"/>
      <w:r>
        <w:t>Obio</w:t>
      </w:r>
      <w:proofErr w:type="spellEnd"/>
      <w:r>
        <w:t xml:space="preserve"> </w:t>
      </w:r>
      <w:proofErr w:type="spellStart"/>
      <w:r>
        <w:t>Akpa</w:t>
      </w:r>
      <w:proofErr w:type="spellEnd"/>
      <w:r>
        <w:t xml:space="preserve"> Campus in </w:t>
      </w:r>
      <w:proofErr w:type="spellStart"/>
      <w:r>
        <w:t>Oruk</w:t>
      </w:r>
      <w:proofErr w:type="spellEnd"/>
      <w:r>
        <w:t xml:space="preserve"> </w:t>
      </w:r>
      <w:proofErr w:type="spellStart"/>
      <w:r>
        <w:t>Anam</w:t>
      </w:r>
      <w:proofErr w:type="spellEnd"/>
      <w:r>
        <w:t xml:space="preserve"> Local Government Area. The farm lies between latitude 4</w:t>
      </w:r>
      <w:r>
        <w:rPr>
          <w:vertAlign w:val="superscript"/>
        </w:rPr>
        <w:t>0</w:t>
      </w:r>
      <w:r>
        <w:t>30</w:t>
      </w:r>
      <w:r>
        <w:rPr>
          <w:vertAlign w:val="superscript"/>
        </w:rPr>
        <w:t>I</w:t>
      </w:r>
      <w:r>
        <w:t xml:space="preserve"> and 5</w:t>
      </w:r>
      <w:r>
        <w:rPr>
          <w:vertAlign w:val="superscript"/>
        </w:rPr>
        <w:t>0</w:t>
      </w:r>
      <w:r>
        <w:t>30</w:t>
      </w:r>
      <w:r>
        <w:rPr>
          <w:vertAlign w:val="superscript"/>
        </w:rPr>
        <w:t xml:space="preserve">I </w:t>
      </w:r>
      <w:r>
        <w:t>N and longitude 7</w:t>
      </w:r>
      <w:r>
        <w:rPr>
          <w:vertAlign w:val="superscript"/>
        </w:rPr>
        <w:t>0</w:t>
      </w:r>
      <w:r>
        <w:t>30</w:t>
      </w:r>
      <w:r>
        <w:rPr>
          <w:vertAlign w:val="superscript"/>
        </w:rPr>
        <w:t>I</w:t>
      </w:r>
      <w:r>
        <w:t xml:space="preserve"> and 8</w:t>
      </w:r>
      <w:r>
        <w:rPr>
          <w:vertAlign w:val="superscript"/>
        </w:rPr>
        <w:t>0</w:t>
      </w:r>
      <w:r>
        <w:t>00</w:t>
      </w:r>
      <w:r>
        <w:rPr>
          <w:vertAlign w:val="superscript"/>
        </w:rPr>
        <w:t>I</w:t>
      </w:r>
      <w:r>
        <w:t>E of the Greenwich meridian (SLUS-AK, 1989).</w:t>
      </w:r>
      <w:r w:rsidRPr="00046E41">
        <w:t xml:space="preserve"> </w:t>
      </w:r>
      <w:r>
        <w:t>The latitude is 38.1 m above the sea level. The area is in humid tropical region, characterized by two seasons (rain and dry seasons).  The dry season spans from November to March, while the rainy season begins from April to October with short dry spell in August. The mean annual rainfall in the study area was 2000 mm with bimodal pattern which peaks in June and October (SLUS-AK, 1989). The area has an average temperature of about 24</w:t>
      </w:r>
      <w:r>
        <w:rPr>
          <w:vertAlign w:val="superscript"/>
        </w:rPr>
        <w:t>0</w:t>
      </w:r>
      <w:r>
        <w:t>C to 30</w:t>
      </w:r>
      <w:r>
        <w:rPr>
          <w:vertAlign w:val="superscript"/>
        </w:rPr>
        <w:t>0</w:t>
      </w:r>
      <w:r>
        <w:t>C with relative humidity ranging from 75% to 80% (SLUS-AK, 1989).</w:t>
      </w:r>
    </w:p>
    <w:p w:rsidR="00880DFD" w:rsidRDefault="00880DFD" w:rsidP="00880DFD">
      <w:pPr>
        <w:jc w:val="both"/>
      </w:pPr>
      <w:r>
        <w:lastRenderedPageBreak/>
        <w:t>Site Selection</w:t>
      </w:r>
    </w:p>
    <w:p w:rsidR="00880DFD" w:rsidRDefault="00880DFD" w:rsidP="00880DFD">
      <w:pPr>
        <w:jc w:val="both"/>
      </w:pPr>
      <w:r>
        <w:t>The site selection was a flat land of 20m X 17m for the cultivation of cowpea.</w:t>
      </w:r>
    </w:p>
    <w:p w:rsidR="00880DFD" w:rsidRDefault="00880DFD" w:rsidP="00880DFD">
      <w:pPr>
        <w:jc w:val="both"/>
      </w:pPr>
      <w:r>
        <w:t xml:space="preserve"> Layout and Experimental Design</w:t>
      </w:r>
    </w:p>
    <w:p w:rsidR="00880DFD" w:rsidRDefault="00880DFD" w:rsidP="00880DFD">
      <w:pPr>
        <w:jc w:val="both"/>
      </w:pPr>
      <w:r>
        <w:t xml:space="preserve">The bed measured 4 m in length and 1.8 m in width was raised. Spacing between plots was 1 m and plant spacing was 40 cm </w:t>
      </w:r>
      <w:r>
        <w:rPr>
          <w:rFonts w:cstheme="minorHAnsi"/>
        </w:rPr>
        <w:t>×</w:t>
      </w:r>
      <w:r>
        <w:t xml:space="preserve"> 60 cm. The experimental area was hoe-weeded regularly before maturity to enable the plants developed under </w:t>
      </w:r>
      <w:proofErr w:type="gramStart"/>
      <w:r>
        <w:t>non limiting</w:t>
      </w:r>
      <w:proofErr w:type="gramEnd"/>
      <w:r>
        <w:t xml:space="preserve"> conditions. Insect pests were controlled with </w:t>
      </w:r>
      <w:proofErr w:type="spellStart"/>
      <w:r>
        <w:t>Cypermetrine</w:t>
      </w:r>
      <w:proofErr w:type="spellEnd"/>
      <w:r>
        <w:t xml:space="preserve"> applied at 20 ml in 15 liters of water using knapsack. The experiment was laid down in a randomized complete block design (RCBD) in 3 replicates. The plots </w:t>
      </w:r>
      <w:proofErr w:type="gramStart"/>
      <w:r>
        <w:t>measures</w:t>
      </w:r>
      <w:proofErr w:type="gramEnd"/>
      <w:r>
        <w:t xml:space="preserve"> 21 m in length and 17 m in width having a total of 38 m </w:t>
      </w:r>
      <w:r>
        <w:rPr>
          <w:rFonts w:cstheme="minorHAnsi"/>
        </w:rPr>
        <w:t>×</w:t>
      </w:r>
      <w:r>
        <w:t xml:space="preserve"> 38 m being 76 m.</w:t>
      </w:r>
    </w:p>
    <w:p w:rsidR="00880DFD" w:rsidRDefault="00880DFD" w:rsidP="00880DFD">
      <w:pPr>
        <w:jc w:val="both"/>
      </w:pPr>
      <w:r>
        <w:t xml:space="preserve"> Treatment; Phosphorus was applied at the rate of 0kg, 45kg, 65kg, and 85kg P/ha.</w:t>
      </w:r>
    </w:p>
    <w:p w:rsidR="00880DFD" w:rsidRDefault="00880DFD" w:rsidP="00880DFD">
      <w:pPr>
        <w:jc w:val="both"/>
      </w:pPr>
      <w:r>
        <w:t xml:space="preserve"> Data Collection; the following growth and yield parameters were collected.</w:t>
      </w:r>
    </w:p>
    <w:p w:rsidR="00880DFD" w:rsidRDefault="00880DFD" w:rsidP="00880DFD">
      <w:pPr>
        <w:jc w:val="both"/>
      </w:pPr>
      <w:r>
        <w:t xml:space="preserve"> Plant height were measured and taken randomly from the two varieties of beans every forth night using rope and a meter rule. Stem Girth; Six plants in each plot were measured to determine the average diameter using a thread and a meter rule. The leaf area was measured using the factor of 0.05 (</w:t>
      </w:r>
      <w:proofErr w:type="spellStart"/>
      <w:r>
        <w:t>Agbogidi</w:t>
      </w:r>
      <w:proofErr w:type="spellEnd"/>
      <w:r>
        <w:t>, 2010). Numbers of Branches; this was done by counting the number of branches in the tagged plants at two weeks after planting. Number of Flowers was done by counting all the flowers in the tagged plants.   Number of Pods; this was done by counting the number of pods in the tagged plants. Number of Leaves; this was done by counting all the leaves in the tagged plants at two weeks after planting.</w:t>
      </w:r>
    </w:p>
    <w:p w:rsidR="00880DFD" w:rsidRDefault="00880DFD" w:rsidP="00880DFD">
      <w:pPr>
        <w:jc w:val="both"/>
      </w:pPr>
      <w:r>
        <w:t xml:space="preserve"> Soil Sample Collected</w:t>
      </w:r>
    </w:p>
    <w:p w:rsidR="00880DFD" w:rsidRDefault="00880DFD" w:rsidP="00880DFD">
      <w:pPr>
        <w:jc w:val="both"/>
      </w:pPr>
      <w:r>
        <w:t xml:space="preserve"> Soil sample was collected at 0 – 15 cm from 20 points before and after planting to make a composite sample using soil auger. The samples were air dried and sieved through a 2mm sieve for laboratory analysis.</w:t>
      </w:r>
    </w:p>
    <w:p w:rsidR="00880DFD" w:rsidRDefault="00880DFD" w:rsidP="00880DFD">
      <w:pPr>
        <w:jc w:val="both"/>
      </w:pPr>
      <w:r>
        <w:t xml:space="preserve"> Laboratory Analysis</w:t>
      </w:r>
    </w:p>
    <w:p w:rsidR="00880DFD" w:rsidRDefault="00880DFD" w:rsidP="00880DFD">
      <w:pPr>
        <w:jc w:val="both"/>
      </w:pPr>
      <w:r>
        <w:t xml:space="preserve">Soil pH was determined using glass electrode pH meter as described by Udo </w:t>
      </w:r>
      <w:r>
        <w:rPr>
          <w:i/>
        </w:rPr>
        <w:t>et al.</w:t>
      </w:r>
      <w:r>
        <w:t xml:space="preserve"> (2009) in 1:2.5 soils to water ratio. Organic carbon was determined with the used of wet oxidation method (Udo </w:t>
      </w:r>
      <w:r w:rsidRPr="00993A30">
        <w:rPr>
          <w:i/>
        </w:rPr>
        <w:t>et al</w:t>
      </w:r>
      <w:r>
        <w:t>., 2009). Total nitrogen was obtained by macro-</w:t>
      </w:r>
      <w:proofErr w:type="spellStart"/>
      <w:r>
        <w:t>Kjeldhal</w:t>
      </w:r>
      <w:proofErr w:type="spellEnd"/>
      <w:r>
        <w:t xml:space="preserve"> digestion method as described by Udo </w:t>
      </w:r>
      <w:r>
        <w:rPr>
          <w:i/>
        </w:rPr>
        <w:t>et al</w:t>
      </w:r>
      <w:r>
        <w:t xml:space="preserve">. (2009). Available phosphorus was determined by extraction using Bray P-1 method Murphy </w:t>
      </w:r>
      <w:r>
        <w:rPr>
          <w:i/>
        </w:rPr>
        <w:t>et al</w:t>
      </w:r>
      <w:r>
        <w:t>. (1962). Exchangeable bases: (Ca, Mg, and K) was extracted with IM NH</w:t>
      </w:r>
      <w:r>
        <w:rPr>
          <w:vertAlign w:val="subscript"/>
        </w:rPr>
        <w:t>4</w:t>
      </w:r>
      <w:r>
        <w:t>OAc. Calcium and Magnesium was used to determine by EDTA titration, while the flame photometer was used to determine potassium. Exchangeable Acidity: This was determined using 2.40 by extractions with INKCL solution. The total acidity from the exchangeable hydrogen and aluminum was determined by titration as described by IITA (1979). Effective cation exchangeable capacity (ECEC) was obtained by summation of Ca, Mg, Na, K and exchangeable acidity.                                                                                                                                                                        Base saturation (BS): This was calculated as follows</w:t>
      </w:r>
    </w:p>
    <w:p w:rsidR="00880DFD" w:rsidRPr="00446955" w:rsidRDefault="00880DFD" w:rsidP="00880DFD">
      <w:pPr>
        <w:jc w:val="both"/>
        <w:rPr>
          <w:rFonts w:eastAsiaTheme="minorEastAsia"/>
        </w:rPr>
      </w:pPr>
      <m:oMathPara>
        <m:oMath>
          <m:r>
            <w:rPr>
              <w:rFonts w:ascii="Cambria Math" w:eastAsiaTheme="minorEastAsia" w:hAnsi="Cambria Math"/>
            </w:rPr>
            <m:t>%Bs =</m:t>
          </m:r>
          <m:f>
            <m:fPr>
              <m:ctrlPr>
                <w:rPr>
                  <w:rFonts w:ascii="Cambria Math" w:hAnsi="Cambria Math"/>
                  <w:i/>
                </w:rPr>
              </m:ctrlPr>
            </m:fPr>
            <m:num>
              <m:r>
                <w:rPr>
                  <w:rFonts w:ascii="Cambria Math" w:hAnsi="Cambria Math"/>
                </w:rPr>
                <m:t>Ca +Mg +K +Na</m:t>
              </m:r>
            </m:num>
            <m:den>
              <m:r>
                <w:rPr>
                  <w:rFonts w:ascii="Cambria Math" w:hAnsi="Cambria Math"/>
                </w:rPr>
                <m:t>ECEC</m:t>
              </m:r>
            </m:den>
          </m:f>
          <m:r>
            <w:rPr>
              <w:rFonts w:ascii="Cambria Math" w:hAnsi="Cambria Math"/>
            </w:rPr>
            <m:t xml:space="preserve"> × </m:t>
          </m:r>
          <m:f>
            <m:fPr>
              <m:ctrlPr>
                <w:rPr>
                  <w:rFonts w:ascii="Cambria Math" w:hAnsi="Cambria Math"/>
                  <w:i/>
                </w:rPr>
              </m:ctrlPr>
            </m:fPr>
            <m:num>
              <m:r>
                <w:rPr>
                  <w:rFonts w:ascii="Cambria Math" w:hAnsi="Cambria Math"/>
                </w:rPr>
                <m:t>100</m:t>
              </m:r>
            </m:num>
            <m:den>
              <m:r>
                <w:rPr>
                  <w:rFonts w:ascii="Cambria Math" w:hAnsi="Cambria Math"/>
                </w:rPr>
                <m:t>1</m:t>
              </m:r>
            </m:den>
          </m:f>
        </m:oMath>
      </m:oMathPara>
    </w:p>
    <w:p w:rsidR="00880DFD" w:rsidRDefault="00880DFD" w:rsidP="00880DFD">
      <w:pPr>
        <w:spacing w:line="240" w:lineRule="auto"/>
        <w:jc w:val="both"/>
        <w:rPr>
          <w:rFonts w:eastAsiaTheme="minorEastAsia"/>
        </w:rPr>
      </w:pPr>
      <w:r>
        <w:rPr>
          <w:rFonts w:eastAsiaTheme="minorEastAsia"/>
        </w:rPr>
        <w:t>Where</w:t>
      </w:r>
    </w:p>
    <w:p w:rsidR="00880DFD" w:rsidRDefault="00880DFD" w:rsidP="00880DFD">
      <w:pPr>
        <w:spacing w:line="240" w:lineRule="auto"/>
        <w:jc w:val="both"/>
        <w:rPr>
          <w:rFonts w:eastAsiaTheme="minorEastAsia"/>
        </w:rPr>
      </w:pPr>
      <w:r>
        <w:rPr>
          <w:rFonts w:eastAsiaTheme="minorEastAsia"/>
        </w:rPr>
        <w:lastRenderedPageBreak/>
        <w:t>BS = Base Saturation</w:t>
      </w:r>
    </w:p>
    <w:p w:rsidR="00880DFD" w:rsidRDefault="00880DFD" w:rsidP="00880DFD">
      <w:pPr>
        <w:spacing w:line="240" w:lineRule="auto"/>
        <w:jc w:val="both"/>
      </w:pPr>
      <w:r>
        <w:t>ECEC = Effective Cation Exchange Capacity</w:t>
      </w:r>
    </w:p>
    <w:p w:rsidR="00880DFD" w:rsidRDefault="00880DFD" w:rsidP="00880DFD">
      <w:pPr>
        <w:spacing w:line="240" w:lineRule="auto"/>
        <w:jc w:val="both"/>
      </w:pPr>
      <w:r>
        <w:t xml:space="preserve">  Statistical Analysis</w:t>
      </w:r>
    </w:p>
    <w:p w:rsidR="00880DFD" w:rsidRDefault="00880DFD" w:rsidP="00880DFD">
      <w:pPr>
        <w:spacing w:line="240" w:lineRule="auto"/>
        <w:jc w:val="both"/>
      </w:pPr>
      <w:r>
        <w:t xml:space="preserve">  Soil and data collected were subjected to analysis of variance (ANOVA) at p=0.05%.</w:t>
      </w:r>
    </w:p>
    <w:p w:rsidR="00880DFD" w:rsidRPr="005B6768" w:rsidRDefault="00880DFD" w:rsidP="00880DFD">
      <w:pPr>
        <w:jc w:val="both"/>
        <w:rPr>
          <w:b/>
        </w:rPr>
      </w:pPr>
      <w:r w:rsidRPr="005B6768">
        <w:rPr>
          <w:b/>
        </w:rPr>
        <w:t>RESULTS AND DISCUSSION</w:t>
      </w:r>
    </w:p>
    <w:p w:rsidR="00880DFD" w:rsidRDefault="00880DFD" w:rsidP="00880DFD">
      <w:pPr>
        <w:jc w:val="both"/>
      </w:pPr>
      <w:r>
        <w:t xml:space="preserve"> </w:t>
      </w:r>
      <w:proofErr w:type="spellStart"/>
      <w:r>
        <w:t>Physico</w:t>
      </w:r>
      <w:proofErr w:type="spellEnd"/>
      <w:r>
        <w:t>-Chemical Properties of the Soil in the study Area</w:t>
      </w:r>
    </w:p>
    <w:p w:rsidR="00880DFD" w:rsidRDefault="00880DFD" w:rsidP="00880DFD">
      <w:pPr>
        <w:jc w:val="both"/>
      </w:pPr>
      <w:r>
        <w:t xml:space="preserve"> Particle size analysis results showed that soils in the study area was predominantly sand, before planting, sand was 90.70%, while silt and clay percentages were 3.20% and 6.10% respectively. After planting with a percentage of and 89.80%, the silt and clay percentage were 3.60% and 6.60% respectively. The high percentage of sand particles in line with Simeon and Essien (2023); </w:t>
      </w:r>
      <w:proofErr w:type="spellStart"/>
      <w:r>
        <w:t>Ogban</w:t>
      </w:r>
      <w:proofErr w:type="spellEnd"/>
      <w:r>
        <w:t xml:space="preserve"> </w:t>
      </w:r>
      <w:r w:rsidRPr="000E4220">
        <w:rPr>
          <w:i/>
        </w:rPr>
        <w:t>et al</w:t>
      </w:r>
      <w:r>
        <w:t xml:space="preserve">., (2022); Essien </w:t>
      </w:r>
      <w:r w:rsidRPr="000E4220">
        <w:rPr>
          <w:i/>
        </w:rPr>
        <w:t>et al</w:t>
      </w:r>
      <w:r>
        <w:t xml:space="preserve">., (2023), encourages rapid leaching of nutrient from the soil beyond the rooting zones of crop and erosion, leading to loss of nutrients and organic matter content of the soil (Essien </w:t>
      </w:r>
      <w:r w:rsidRPr="009A76E9">
        <w:rPr>
          <w:i/>
        </w:rPr>
        <w:t>et al</w:t>
      </w:r>
      <w:r>
        <w:t xml:space="preserve">., 2024a; Essien </w:t>
      </w:r>
      <w:r w:rsidRPr="009A76E9">
        <w:rPr>
          <w:i/>
        </w:rPr>
        <w:t>et al</w:t>
      </w:r>
      <w:r>
        <w:t>., 2024b). Soil pH the of study area was slightly acidic (Akpan</w:t>
      </w:r>
      <w:r w:rsidRPr="000E4220">
        <w:rPr>
          <w:i/>
        </w:rPr>
        <w:t xml:space="preserve"> et al</w:t>
      </w:r>
      <w:r>
        <w:t xml:space="preserve">., 2023; Sam </w:t>
      </w:r>
      <w:r w:rsidRPr="000E4220">
        <w:rPr>
          <w:i/>
        </w:rPr>
        <w:t>et al.</w:t>
      </w:r>
      <w:r>
        <w:t xml:space="preserve">, 2025; </w:t>
      </w:r>
      <w:proofErr w:type="spellStart"/>
      <w:r>
        <w:t>Akata</w:t>
      </w:r>
      <w:proofErr w:type="spellEnd"/>
      <w:r>
        <w:t xml:space="preserve"> </w:t>
      </w:r>
      <w:r w:rsidRPr="000E4220">
        <w:rPr>
          <w:i/>
        </w:rPr>
        <w:t>et al</w:t>
      </w:r>
      <w:r>
        <w:t>., 2024a), before planting and after planting with the pH of 5.40 and 5.30 respectively, this might be due to the high rainfall experienced in the study area which could leach out basic cation from the surface area of the soil (</w:t>
      </w:r>
      <w:proofErr w:type="spellStart"/>
      <w:r>
        <w:t>Nyong</w:t>
      </w:r>
      <w:proofErr w:type="spellEnd"/>
      <w:r>
        <w:t xml:space="preserve"> and Bassey 2019; </w:t>
      </w:r>
      <w:proofErr w:type="spellStart"/>
      <w:r>
        <w:t>Ibanga</w:t>
      </w:r>
      <w:proofErr w:type="spellEnd"/>
      <w:r>
        <w:t xml:space="preserve"> </w:t>
      </w:r>
      <w:r w:rsidRPr="00926237">
        <w:rPr>
          <w:i/>
        </w:rPr>
        <w:t>et al.</w:t>
      </w:r>
      <w:r>
        <w:t>, 2025).</w:t>
      </w:r>
    </w:p>
    <w:p w:rsidR="00880DFD" w:rsidRDefault="00880DFD" w:rsidP="00880DFD">
      <w:pPr>
        <w:jc w:val="both"/>
      </w:pPr>
      <w:r>
        <w:t xml:space="preserve"> Organic matter content of study area was low before and after planting in line with Akpan </w:t>
      </w:r>
      <w:r w:rsidRPr="00926237">
        <w:rPr>
          <w:i/>
        </w:rPr>
        <w:t>et al</w:t>
      </w:r>
      <w:r>
        <w:t xml:space="preserve">. (2021); Akpan </w:t>
      </w:r>
      <w:r w:rsidRPr="00993A30">
        <w:rPr>
          <w:i/>
        </w:rPr>
        <w:t>et al</w:t>
      </w:r>
      <w:r>
        <w:t xml:space="preserve">. (2024). According to </w:t>
      </w:r>
      <w:r w:rsidR="008F7623" w:rsidRPr="008F7623">
        <w:t>Essien et al., 2024a</w:t>
      </w:r>
      <w:r>
        <w:t>, the soil organic matter plays an important role in maintaining physical, chemical and biological properties of the soil and in turns increase crop productivity and yield. The low organic matter content 2.00% could be due to the effect of soil erosion (Ben</w:t>
      </w:r>
      <w:r w:rsidRPr="00304FCB">
        <w:rPr>
          <w:i/>
        </w:rPr>
        <w:t xml:space="preserve"> et al</w:t>
      </w:r>
      <w:r>
        <w:t>., 2024), leaching and bush burning predominant in study area. Available phosphorus in the study area before and after planting were 32.63 and 23.44 respectively.  Exchangeable Cation values before planting (Ca, Mg, Na and K) were 11.09, 4.98, 0.07, 0.10, while after planting were 12.10, 5.08, 0.06, and 0.11 respectively.  Calcium before and after planting 11.09, 12.10 were high, Magnesium before and after planting 4.98 and 5.08 were high, Sodium before and after planting 0.07 and 0.06 were very low and Potassium before and after planting 0.10 and 0.11 were also very low.</w:t>
      </w:r>
    </w:p>
    <w:p w:rsidR="00880DFD" w:rsidRDefault="00880DFD" w:rsidP="00880DFD">
      <w:pPr>
        <w:jc w:val="both"/>
      </w:pPr>
      <w:r>
        <w:t>Base saturation before planting was 88.89% and after planting was 90.28% respectively.</w:t>
      </w:r>
    </w:p>
    <w:p w:rsidR="00880DFD" w:rsidRPr="00A47BC0" w:rsidRDefault="00880DFD" w:rsidP="00880DFD">
      <w:pPr>
        <w:jc w:val="both"/>
        <w:rPr>
          <w:b/>
        </w:rPr>
      </w:pPr>
      <w:r w:rsidRPr="00A47BC0">
        <w:rPr>
          <w:b/>
        </w:rPr>
        <w:t>Table 1: Physiochemical properties of soil used in for the cultivation of cowpea</w:t>
      </w:r>
    </w:p>
    <w:tbl>
      <w:tblPr>
        <w:tblStyle w:val="TableGrid"/>
        <w:tblW w:w="0" w:type="auto"/>
        <w:tblLook w:val="04A0" w:firstRow="1" w:lastRow="0" w:firstColumn="1" w:lastColumn="0" w:noHBand="0" w:noVBand="1"/>
      </w:tblPr>
      <w:tblGrid>
        <w:gridCol w:w="4045"/>
        <w:gridCol w:w="1620"/>
        <w:gridCol w:w="1620"/>
        <w:gridCol w:w="2065"/>
      </w:tblGrid>
      <w:tr w:rsidR="00880DFD" w:rsidTr="000D05FA">
        <w:trPr>
          <w:trHeight w:val="260"/>
        </w:trPr>
        <w:tc>
          <w:tcPr>
            <w:tcW w:w="4045" w:type="dxa"/>
          </w:tcPr>
          <w:p w:rsidR="00880DFD" w:rsidRDefault="00880DFD" w:rsidP="000D05FA">
            <w:pPr>
              <w:jc w:val="both"/>
            </w:pPr>
            <w:r>
              <w:t>PARAMETERS</w:t>
            </w:r>
          </w:p>
        </w:tc>
        <w:tc>
          <w:tcPr>
            <w:tcW w:w="1620" w:type="dxa"/>
          </w:tcPr>
          <w:p w:rsidR="00880DFD" w:rsidRDefault="00880DFD" w:rsidP="000D05FA">
            <w:pPr>
              <w:jc w:val="both"/>
            </w:pPr>
            <w:r>
              <w:t>UNITS</w:t>
            </w:r>
          </w:p>
        </w:tc>
        <w:tc>
          <w:tcPr>
            <w:tcW w:w="1620" w:type="dxa"/>
          </w:tcPr>
          <w:p w:rsidR="00880DFD" w:rsidRDefault="00880DFD" w:rsidP="000D05FA">
            <w:pPr>
              <w:jc w:val="both"/>
            </w:pPr>
            <w:r>
              <w:t>BEFORE</w:t>
            </w:r>
          </w:p>
        </w:tc>
        <w:tc>
          <w:tcPr>
            <w:tcW w:w="2065" w:type="dxa"/>
          </w:tcPr>
          <w:p w:rsidR="00880DFD" w:rsidRDefault="00880DFD" w:rsidP="000D05FA">
            <w:pPr>
              <w:jc w:val="both"/>
            </w:pPr>
            <w:r>
              <w:t>AFTER</w:t>
            </w:r>
          </w:p>
        </w:tc>
      </w:tr>
      <w:tr w:rsidR="00880DFD" w:rsidTr="000D05FA">
        <w:trPr>
          <w:trHeight w:val="4570"/>
        </w:trPr>
        <w:tc>
          <w:tcPr>
            <w:tcW w:w="4045" w:type="dxa"/>
          </w:tcPr>
          <w:p w:rsidR="00880DFD" w:rsidRDefault="00880DFD" w:rsidP="000D05FA">
            <w:pPr>
              <w:jc w:val="both"/>
            </w:pPr>
            <w:r>
              <w:lastRenderedPageBreak/>
              <w:t xml:space="preserve">Sand                                       </w:t>
            </w:r>
          </w:p>
          <w:p w:rsidR="00880DFD" w:rsidRDefault="00880DFD" w:rsidP="000D05FA">
            <w:pPr>
              <w:jc w:val="both"/>
            </w:pPr>
            <w:r>
              <w:t>Silt</w:t>
            </w:r>
          </w:p>
          <w:p w:rsidR="00880DFD" w:rsidRDefault="00880DFD" w:rsidP="000D05FA">
            <w:pPr>
              <w:jc w:val="both"/>
            </w:pPr>
            <w:r>
              <w:t>Clay</w:t>
            </w:r>
          </w:p>
          <w:p w:rsidR="00880DFD" w:rsidRDefault="00880DFD" w:rsidP="000D05FA">
            <w:pPr>
              <w:jc w:val="both"/>
            </w:pPr>
            <w:r>
              <w:t>pH</w:t>
            </w:r>
          </w:p>
          <w:p w:rsidR="00880DFD" w:rsidRDefault="00880DFD" w:rsidP="000D05FA">
            <w:pPr>
              <w:jc w:val="both"/>
            </w:pPr>
            <w:r>
              <w:t>Electrical conductivity</w:t>
            </w:r>
          </w:p>
          <w:p w:rsidR="00880DFD" w:rsidRDefault="00880DFD" w:rsidP="000D05FA">
            <w:pPr>
              <w:jc w:val="both"/>
            </w:pPr>
            <w:r>
              <w:t>Organic matter</w:t>
            </w:r>
          </w:p>
          <w:p w:rsidR="00880DFD" w:rsidRDefault="00880DFD" w:rsidP="000D05FA">
            <w:pPr>
              <w:jc w:val="both"/>
            </w:pPr>
            <w:r>
              <w:t>Total nitrogen</w:t>
            </w:r>
          </w:p>
          <w:p w:rsidR="00880DFD" w:rsidRDefault="00880DFD" w:rsidP="000D05FA">
            <w:pPr>
              <w:jc w:val="both"/>
            </w:pPr>
            <w:r>
              <w:t>Available phosphorus</w:t>
            </w:r>
          </w:p>
          <w:p w:rsidR="00880DFD" w:rsidRDefault="00880DFD" w:rsidP="000D05FA">
            <w:pPr>
              <w:jc w:val="both"/>
            </w:pPr>
            <w:r>
              <w:t>Exchangeable Bases</w:t>
            </w:r>
          </w:p>
          <w:p w:rsidR="00880DFD" w:rsidRDefault="00880DFD" w:rsidP="000D05FA">
            <w:pPr>
              <w:jc w:val="both"/>
            </w:pPr>
            <w:r>
              <w:t>Calcium</w:t>
            </w:r>
          </w:p>
          <w:p w:rsidR="00880DFD" w:rsidRDefault="00880DFD" w:rsidP="000D05FA">
            <w:pPr>
              <w:jc w:val="both"/>
            </w:pPr>
            <w:r>
              <w:t>Magnesium</w:t>
            </w:r>
          </w:p>
          <w:p w:rsidR="00880DFD" w:rsidRDefault="00880DFD" w:rsidP="000D05FA">
            <w:pPr>
              <w:jc w:val="both"/>
            </w:pPr>
            <w:r>
              <w:t>Sodium</w:t>
            </w:r>
          </w:p>
          <w:p w:rsidR="00880DFD" w:rsidRDefault="00880DFD" w:rsidP="000D05FA">
            <w:pPr>
              <w:jc w:val="both"/>
            </w:pPr>
            <w:r>
              <w:t>Potassium</w:t>
            </w:r>
          </w:p>
          <w:p w:rsidR="00880DFD" w:rsidRDefault="00880DFD" w:rsidP="000D05FA">
            <w:pPr>
              <w:jc w:val="both"/>
            </w:pPr>
            <w:r>
              <w:t>Exchange acidity</w:t>
            </w:r>
          </w:p>
          <w:p w:rsidR="00880DFD" w:rsidRDefault="00880DFD" w:rsidP="000D05FA">
            <w:pPr>
              <w:jc w:val="both"/>
            </w:pPr>
            <w:r>
              <w:t>Effective cations exchange capacity</w:t>
            </w:r>
          </w:p>
          <w:p w:rsidR="00880DFD" w:rsidRDefault="00880DFD" w:rsidP="000D05FA">
            <w:pPr>
              <w:jc w:val="both"/>
            </w:pPr>
            <w:r>
              <w:t xml:space="preserve">Base Saturation </w:t>
            </w:r>
          </w:p>
          <w:p w:rsidR="00880DFD" w:rsidRDefault="00880DFD" w:rsidP="000D05FA">
            <w:pPr>
              <w:jc w:val="both"/>
            </w:pPr>
            <w:r>
              <w:t>Texture class</w:t>
            </w:r>
          </w:p>
        </w:tc>
        <w:tc>
          <w:tcPr>
            <w:tcW w:w="1620" w:type="dxa"/>
          </w:tcPr>
          <w:p w:rsidR="00880DFD" w:rsidRDefault="00880DFD" w:rsidP="000D05FA">
            <w:pPr>
              <w:jc w:val="both"/>
            </w:pPr>
            <w:r>
              <w:t>%</w:t>
            </w:r>
          </w:p>
          <w:p w:rsidR="00880DFD" w:rsidRDefault="00880DFD" w:rsidP="000D05FA">
            <w:pPr>
              <w:jc w:val="both"/>
            </w:pPr>
            <w:r>
              <w:t>%</w:t>
            </w:r>
          </w:p>
          <w:p w:rsidR="00880DFD" w:rsidRDefault="00880DFD" w:rsidP="000D05FA">
            <w:pPr>
              <w:jc w:val="both"/>
            </w:pPr>
            <w:r>
              <w:t>%</w:t>
            </w:r>
          </w:p>
          <w:p w:rsidR="00880DFD" w:rsidRDefault="00880DFD" w:rsidP="000D05FA">
            <w:pPr>
              <w:jc w:val="both"/>
            </w:pPr>
          </w:p>
          <w:p w:rsidR="00880DFD" w:rsidRDefault="00880DFD" w:rsidP="000D05FA">
            <w:pPr>
              <w:jc w:val="both"/>
            </w:pPr>
            <w:r>
              <w:t>ds/m</w:t>
            </w:r>
          </w:p>
          <w:p w:rsidR="00880DFD" w:rsidRDefault="00880DFD" w:rsidP="000D05FA">
            <w:pPr>
              <w:jc w:val="both"/>
            </w:pPr>
            <w:r>
              <w:t>%</w:t>
            </w:r>
          </w:p>
          <w:p w:rsidR="00880DFD" w:rsidRDefault="00880DFD" w:rsidP="000D05FA">
            <w:pPr>
              <w:jc w:val="both"/>
            </w:pPr>
            <w:r>
              <w:t>%</w:t>
            </w:r>
          </w:p>
          <w:p w:rsidR="00880DFD" w:rsidRDefault="00880DFD" w:rsidP="000D05FA">
            <w:pPr>
              <w:jc w:val="both"/>
            </w:pPr>
            <w:r>
              <w:t>mg/kg</w:t>
            </w:r>
          </w:p>
          <w:p w:rsidR="00880DFD" w:rsidRDefault="00880DFD" w:rsidP="000D05FA">
            <w:pPr>
              <w:jc w:val="both"/>
            </w:pPr>
            <w:proofErr w:type="spellStart"/>
            <w:r>
              <w:t>Cmol</w:t>
            </w:r>
            <w:proofErr w:type="spellEnd"/>
            <w:r>
              <w:t>/kg</w:t>
            </w:r>
          </w:p>
          <w:p w:rsidR="00880DFD" w:rsidRDefault="00880DFD" w:rsidP="000D05FA">
            <w:pPr>
              <w:jc w:val="both"/>
            </w:pPr>
            <w:proofErr w:type="spellStart"/>
            <w:r>
              <w:t>Cmol</w:t>
            </w:r>
            <w:proofErr w:type="spellEnd"/>
            <w:r>
              <w:t>/kg</w:t>
            </w:r>
          </w:p>
          <w:p w:rsidR="00880DFD" w:rsidRDefault="00880DFD" w:rsidP="000D05FA">
            <w:pPr>
              <w:jc w:val="both"/>
            </w:pPr>
            <w:proofErr w:type="spellStart"/>
            <w:r>
              <w:t>Cmol</w:t>
            </w:r>
            <w:proofErr w:type="spellEnd"/>
            <w:r>
              <w:t>/kg</w:t>
            </w:r>
          </w:p>
          <w:p w:rsidR="00880DFD" w:rsidRDefault="00880DFD" w:rsidP="000D05FA">
            <w:pPr>
              <w:jc w:val="both"/>
            </w:pPr>
            <w:proofErr w:type="spellStart"/>
            <w:r>
              <w:t>Cmol</w:t>
            </w:r>
            <w:proofErr w:type="spellEnd"/>
            <w:r>
              <w:t>/kg</w:t>
            </w:r>
          </w:p>
          <w:p w:rsidR="00880DFD" w:rsidRDefault="00880DFD" w:rsidP="000D05FA">
            <w:pPr>
              <w:jc w:val="both"/>
            </w:pPr>
            <w:proofErr w:type="spellStart"/>
            <w:r>
              <w:t>Cmol</w:t>
            </w:r>
            <w:proofErr w:type="spellEnd"/>
            <w:r>
              <w:t>/kg</w:t>
            </w:r>
          </w:p>
          <w:p w:rsidR="00880DFD" w:rsidRDefault="00880DFD" w:rsidP="000D05FA">
            <w:pPr>
              <w:jc w:val="both"/>
            </w:pPr>
            <w:proofErr w:type="spellStart"/>
            <w:r>
              <w:t>Cmol</w:t>
            </w:r>
            <w:proofErr w:type="spellEnd"/>
            <w:r>
              <w:t>/kg</w:t>
            </w:r>
          </w:p>
          <w:p w:rsidR="00880DFD" w:rsidRDefault="00880DFD" w:rsidP="000D05FA">
            <w:pPr>
              <w:jc w:val="both"/>
            </w:pPr>
            <w:proofErr w:type="spellStart"/>
            <w:r>
              <w:t>Cmol</w:t>
            </w:r>
            <w:proofErr w:type="spellEnd"/>
            <w:r>
              <w:t>/kg</w:t>
            </w:r>
          </w:p>
          <w:p w:rsidR="00880DFD" w:rsidRDefault="00880DFD" w:rsidP="000D05FA">
            <w:pPr>
              <w:jc w:val="both"/>
            </w:pPr>
            <w:r>
              <w:t>%</w:t>
            </w:r>
          </w:p>
        </w:tc>
        <w:tc>
          <w:tcPr>
            <w:tcW w:w="1620" w:type="dxa"/>
          </w:tcPr>
          <w:p w:rsidR="00880DFD" w:rsidRDefault="00880DFD" w:rsidP="000D05FA">
            <w:pPr>
              <w:jc w:val="both"/>
            </w:pPr>
            <w:r>
              <w:t>90.70</w:t>
            </w:r>
          </w:p>
          <w:p w:rsidR="00880DFD" w:rsidRDefault="00880DFD" w:rsidP="000D05FA">
            <w:pPr>
              <w:jc w:val="both"/>
            </w:pPr>
            <w:r>
              <w:t>3.20</w:t>
            </w:r>
          </w:p>
          <w:p w:rsidR="00880DFD" w:rsidRDefault="00880DFD" w:rsidP="000D05FA">
            <w:pPr>
              <w:jc w:val="both"/>
            </w:pPr>
            <w:r>
              <w:t>6.10</w:t>
            </w:r>
          </w:p>
          <w:p w:rsidR="00880DFD" w:rsidRDefault="00880DFD" w:rsidP="000D05FA">
            <w:pPr>
              <w:jc w:val="both"/>
            </w:pPr>
            <w:r>
              <w:t>5.40</w:t>
            </w:r>
          </w:p>
          <w:p w:rsidR="00880DFD" w:rsidRDefault="00880DFD" w:rsidP="000D05FA">
            <w:pPr>
              <w:jc w:val="both"/>
            </w:pPr>
            <w:r>
              <w:t>0.060</w:t>
            </w:r>
          </w:p>
          <w:p w:rsidR="00880DFD" w:rsidRDefault="00880DFD" w:rsidP="000D05FA">
            <w:pPr>
              <w:jc w:val="both"/>
            </w:pPr>
            <w:r>
              <w:t>2.00</w:t>
            </w:r>
          </w:p>
          <w:p w:rsidR="00880DFD" w:rsidRDefault="00880DFD" w:rsidP="000D05FA">
            <w:pPr>
              <w:jc w:val="both"/>
            </w:pPr>
            <w:r>
              <w:t>0.05</w:t>
            </w:r>
          </w:p>
          <w:p w:rsidR="00880DFD" w:rsidRDefault="00880DFD" w:rsidP="000D05FA">
            <w:pPr>
              <w:jc w:val="both"/>
            </w:pPr>
            <w:r>
              <w:t>32.63</w:t>
            </w:r>
          </w:p>
          <w:p w:rsidR="00880DFD" w:rsidRDefault="00880DFD" w:rsidP="000D05FA">
            <w:pPr>
              <w:jc w:val="both"/>
            </w:pPr>
          </w:p>
          <w:p w:rsidR="00880DFD" w:rsidRDefault="00880DFD" w:rsidP="000D05FA">
            <w:pPr>
              <w:jc w:val="both"/>
            </w:pPr>
            <w:r>
              <w:t>11.09</w:t>
            </w:r>
          </w:p>
          <w:p w:rsidR="00880DFD" w:rsidRDefault="00880DFD" w:rsidP="000D05FA">
            <w:pPr>
              <w:jc w:val="both"/>
            </w:pPr>
            <w:r>
              <w:t>4.98</w:t>
            </w:r>
          </w:p>
          <w:p w:rsidR="00880DFD" w:rsidRDefault="00880DFD" w:rsidP="000D05FA">
            <w:pPr>
              <w:jc w:val="both"/>
            </w:pPr>
            <w:r>
              <w:t>0.07</w:t>
            </w:r>
          </w:p>
          <w:p w:rsidR="00880DFD" w:rsidRDefault="00880DFD" w:rsidP="000D05FA">
            <w:pPr>
              <w:jc w:val="both"/>
            </w:pPr>
            <w:r>
              <w:t>0.10</w:t>
            </w:r>
          </w:p>
          <w:p w:rsidR="00880DFD" w:rsidRDefault="00880DFD" w:rsidP="000D05FA">
            <w:pPr>
              <w:jc w:val="both"/>
            </w:pPr>
            <w:r>
              <w:t>2.00</w:t>
            </w:r>
          </w:p>
          <w:p w:rsidR="00880DFD" w:rsidRDefault="00880DFD" w:rsidP="000D05FA">
            <w:pPr>
              <w:jc w:val="both"/>
            </w:pPr>
            <w:r>
              <w:t>18.25</w:t>
            </w:r>
          </w:p>
          <w:p w:rsidR="00880DFD" w:rsidRDefault="00880DFD" w:rsidP="000D05FA">
            <w:pPr>
              <w:jc w:val="both"/>
            </w:pPr>
            <w:r>
              <w:t>88.89</w:t>
            </w:r>
          </w:p>
          <w:p w:rsidR="00880DFD" w:rsidRDefault="00880DFD" w:rsidP="000D05FA">
            <w:pPr>
              <w:jc w:val="both"/>
            </w:pPr>
            <w:r>
              <w:t>Sandy.</w:t>
            </w:r>
          </w:p>
        </w:tc>
        <w:tc>
          <w:tcPr>
            <w:tcW w:w="2065" w:type="dxa"/>
          </w:tcPr>
          <w:p w:rsidR="00880DFD" w:rsidRDefault="00880DFD" w:rsidP="000D05FA">
            <w:pPr>
              <w:jc w:val="both"/>
            </w:pPr>
            <w:r>
              <w:t>89.80</w:t>
            </w:r>
          </w:p>
          <w:p w:rsidR="00880DFD" w:rsidRDefault="00880DFD" w:rsidP="000D05FA">
            <w:pPr>
              <w:jc w:val="both"/>
            </w:pPr>
            <w:r>
              <w:t>3.60</w:t>
            </w:r>
          </w:p>
          <w:p w:rsidR="00880DFD" w:rsidRDefault="00880DFD" w:rsidP="000D05FA">
            <w:pPr>
              <w:jc w:val="both"/>
            </w:pPr>
            <w:r>
              <w:t>6.60</w:t>
            </w:r>
          </w:p>
          <w:p w:rsidR="00880DFD" w:rsidRDefault="00880DFD" w:rsidP="000D05FA">
            <w:pPr>
              <w:jc w:val="both"/>
            </w:pPr>
            <w:r>
              <w:t>5.30</w:t>
            </w:r>
          </w:p>
          <w:p w:rsidR="00880DFD" w:rsidRDefault="00880DFD" w:rsidP="000D05FA">
            <w:pPr>
              <w:jc w:val="both"/>
            </w:pPr>
            <w:r>
              <w:t>0.050</w:t>
            </w:r>
          </w:p>
          <w:p w:rsidR="00880DFD" w:rsidRDefault="00880DFD" w:rsidP="000D05FA">
            <w:pPr>
              <w:jc w:val="both"/>
            </w:pPr>
            <w:r>
              <w:t>2.04</w:t>
            </w:r>
          </w:p>
          <w:p w:rsidR="00880DFD" w:rsidRDefault="00880DFD" w:rsidP="000D05FA">
            <w:pPr>
              <w:jc w:val="both"/>
            </w:pPr>
            <w:r>
              <w:t>0.051</w:t>
            </w:r>
          </w:p>
          <w:p w:rsidR="00880DFD" w:rsidRDefault="00880DFD" w:rsidP="000D05FA">
            <w:pPr>
              <w:jc w:val="both"/>
            </w:pPr>
            <w:r>
              <w:t>23.44</w:t>
            </w:r>
          </w:p>
          <w:p w:rsidR="00880DFD" w:rsidRDefault="00880DFD" w:rsidP="000D05FA">
            <w:pPr>
              <w:jc w:val="both"/>
            </w:pPr>
          </w:p>
          <w:p w:rsidR="00880DFD" w:rsidRDefault="00880DFD" w:rsidP="000D05FA">
            <w:pPr>
              <w:jc w:val="both"/>
            </w:pPr>
            <w:r>
              <w:t>12.10</w:t>
            </w:r>
          </w:p>
          <w:p w:rsidR="00880DFD" w:rsidRDefault="00880DFD" w:rsidP="000D05FA">
            <w:pPr>
              <w:jc w:val="both"/>
            </w:pPr>
            <w:r>
              <w:t>5.08</w:t>
            </w:r>
          </w:p>
          <w:p w:rsidR="00880DFD" w:rsidRDefault="00880DFD" w:rsidP="000D05FA">
            <w:pPr>
              <w:jc w:val="both"/>
            </w:pPr>
            <w:r>
              <w:t>0.06</w:t>
            </w:r>
          </w:p>
          <w:p w:rsidR="00880DFD" w:rsidRDefault="00880DFD" w:rsidP="000D05FA">
            <w:pPr>
              <w:jc w:val="both"/>
            </w:pPr>
            <w:r>
              <w:t>0.11</w:t>
            </w:r>
          </w:p>
          <w:p w:rsidR="00880DFD" w:rsidRDefault="00880DFD" w:rsidP="000D05FA">
            <w:pPr>
              <w:jc w:val="both"/>
            </w:pPr>
            <w:r>
              <w:t>1.86</w:t>
            </w:r>
          </w:p>
          <w:p w:rsidR="00880DFD" w:rsidRDefault="00880DFD" w:rsidP="000D05FA">
            <w:pPr>
              <w:jc w:val="both"/>
            </w:pPr>
            <w:r>
              <w:t>19.13</w:t>
            </w:r>
          </w:p>
          <w:p w:rsidR="00880DFD" w:rsidRDefault="00880DFD" w:rsidP="000D05FA">
            <w:pPr>
              <w:jc w:val="both"/>
            </w:pPr>
            <w:r>
              <w:t>90.28</w:t>
            </w:r>
          </w:p>
          <w:p w:rsidR="00880DFD" w:rsidRDefault="00880DFD" w:rsidP="000D05FA">
            <w:pPr>
              <w:jc w:val="both"/>
            </w:pPr>
            <w:r>
              <w:t>Sandy.</w:t>
            </w:r>
          </w:p>
        </w:tc>
      </w:tr>
    </w:tbl>
    <w:p w:rsidR="00880DFD" w:rsidRDefault="00880DFD" w:rsidP="00880DFD">
      <w:pPr>
        <w:jc w:val="both"/>
      </w:pPr>
    </w:p>
    <w:p w:rsidR="00880DFD" w:rsidRDefault="00880DFD" w:rsidP="00880DFD">
      <w:pPr>
        <w:jc w:val="both"/>
      </w:pPr>
      <w:r>
        <w:rPr>
          <w:noProof/>
        </w:rPr>
        <w:drawing>
          <wp:inline distT="0" distB="0" distL="0" distR="0" wp14:anchorId="4DF907D2" wp14:editId="65ADD0C3">
            <wp:extent cx="3530600" cy="2044700"/>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80DFD" w:rsidRPr="00410FE9" w:rsidRDefault="00880DFD" w:rsidP="00880DFD">
      <w:pPr>
        <w:jc w:val="both"/>
        <w:rPr>
          <w:b/>
        </w:rPr>
      </w:pPr>
      <w:r w:rsidRPr="00410FE9">
        <w:rPr>
          <w:b/>
        </w:rPr>
        <w:t>Fig.1. Effect of phosphorus rate on plant height</w:t>
      </w:r>
    </w:p>
    <w:p w:rsidR="00880DFD" w:rsidRPr="00410FE9" w:rsidRDefault="00880DFD" w:rsidP="00880DFD">
      <w:pPr>
        <w:jc w:val="both"/>
        <w:rPr>
          <w:b/>
        </w:rPr>
      </w:pPr>
      <w:r w:rsidRPr="00410FE9">
        <w:rPr>
          <w:b/>
        </w:rPr>
        <w:t>Effect of phosphorus rate on plant height</w:t>
      </w:r>
    </w:p>
    <w:p w:rsidR="00880DFD" w:rsidRDefault="00880DFD" w:rsidP="00880DFD">
      <w:pPr>
        <w:jc w:val="both"/>
      </w:pPr>
      <w:r>
        <w:t xml:space="preserve">Plant height of different bean </w:t>
      </w:r>
      <w:proofErr w:type="gramStart"/>
      <w:r>
        <w:t>cultivars’</w:t>
      </w:r>
      <w:proofErr w:type="gramEnd"/>
      <w:r>
        <w:t xml:space="preserve"> varied significantly at different phosphorus rates at (P &lt; 0.05). African Yam Means recorded the highest plant height of 86.9 cm at 60 </w:t>
      </w:r>
      <w:proofErr w:type="gramStart"/>
      <w:r>
        <w:t>kg.ha</w:t>
      </w:r>
      <w:proofErr w:type="gramEnd"/>
      <w:r>
        <w:rPr>
          <w:vertAlign w:val="superscript"/>
        </w:rPr>
        <w:t>-1</w:t>
      </w:r>
      <w:r>
        <w:t xml:space="preserve"> and the lowest plant height of 82.2 cm at 80 kg.Pha</w:t>
      </w:r>
      <w:r>
        <w:rPr>
          <w:vertAlign w:val="superscript"/>
        </w:rPr>
        <w:t>-1</w:t>
      </w:r>
      <w:r>
        <w:t xml:space="preserve">. And White Cowpea increases to its maximum height of 51.7 cm and also recorded the lowest height of 45.6 cm. African Yam Beans is significantly higher than White Cowpea. According to </w:t>
      </w:r>
      <w:proofErr w:type="spellStart"/>
      <w:r>
        <w:t>Shiringani</w:t>
      </w:r>
      <w:proofErr w:type="spellEnd"/>
      <w:r>
        <w:t xml:space="preserve"> and </w:t>
      </w:r>
      <w:proofErr w:type="spellStart"/>
      <w:r>
        <w:t>Shmeless</w:t>
      </w:r>
      <w:proofErr w:type="spellEnd"/>
      <w:r>
        <w:t>, (2011) African Yam Beans does well in semi-arid of the tropics where other food legumes do not perform well, the different cowpea height is varietal dependent as certain varieties are taller than others.</w:t>
      </w:r>
    </w:p>
    <w:p w:rsidR="00880DFD" w:rsidRDefault="00880DFD" w:rsidP="00880DFD">
      <w:pPr>
        <w:jc w:val="both"/>
      </w:pPr>
      <w:r>
        <w:rPr>
          <w:noProof/>
        </w:rPr>
        <w:lastRenderedPageBreak/>
        <w:drawing>
          <wp:inline distT="0" distB="0" distL="0" distR="0" wp14:anchorId="582EC1FF" wp14:editId="14D548D4">
            <wp:extent cx="3771900" cy="2089150"/>
            <wp:effectExtent l="0" t="0" r="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80DFD" w:rsidRPr="00410FE9" w:rsidRDefault="00880DFD" w:rsidP="00880DFD">
      <w:pPr>
        <w:jc w:val="both"/>
        <w:rPr>
          <w:b/>
        </w:rPr>
      </w:pPr>
      <w:r>
        <w:t xml:space="preserve">Fig.2. </w:t>
      </w:r>
      <w:r w:rsidRPr="00410FE9">
        <w:rPr>
          <w:b/>
        </w:rPr>
        <w:t>Effect of phosphorus rate on leaf area.</w:t>
      </w:r>
      <w:r>
        <w:rPr>
          <w:b/>
        </w:rPr>
        <w:tab/>
      </w:r>
      <w:r>
        <w:rPr>
          <w:b/>
        </w:rPr>
        <w:tab/>
      </w:r>
    </w:p>
    <w:p w:rsidR="00880DFD" w:rsidRPr="00410FE9" w:rsidRDefault="00880DFD" w:rsidP="00880DFD">
      <w:pPr>
        <w:jc w:val="both"/>
        <w:rPr>
          <w:b/>
        </w:rPr>
      </w:pPr>
      <w:r w:rsidRPr="00410FE9">
        <w:rPr>
          <w:b/>
        </w:rPr>
        <w:t>Effect of phosphorus rate on leaf area.</w:t>
      </w:r>
    </w:p>
    <w:p w:rsidR="00880DFD" w:rsidRDefault="00880DFD" w:rsidP="00880DFD">
      <w:pPr>
        <w:jc w:val="both"/>
      </w:pPr>
      <w:r>
        <w:t xml:space="preserve">Leaf area of different bean cultivars varied significantly at different phosphorus rate. White cowpea recorded the highest leaf area of 43.1 cm at 40 </w:t>
      </w:r>
      <w:proofErr w:type="gramStart"/>
      <w:r>
        <w:t>kg.Pha</w:t>
      </w:r>
      <w:proofErr w:type="gramEnd"/>
      <w:r>
        <w:rPr>
          <w:vertAlign w:val="superscript"/>
        </w:rPr>
        <w:t>-1</w:t>
      </w:r>
      <w:r>
        <w:t xml:space="preserve"> and also recorded the lowest leaf area of 23.5 cm at 60 kg.Pha</w:t>
      </w:r>
      <w:r>
        <w:rPr>
          <w:vertAlign w:val="superscript"/>
        </w:rPr>
        <w:t>-1</w:t>
      </w:r>
      <w:r>
        <w:t xml:space="preserve">. African yam bean recorded the highest leaf area of 20.4 cm at 80 </w:t>
      </w:r>
      <w:proofErr w:type="gramStart"/>
      <w:r>
        <w:t>kg.Pha</w:t>
      </w:r>
      <w:proofErr w:type="gramEnd"/>
      <w:r>
        <w:rPr>
          <w:vertAlign w:val="superscript"/>
        </w:rPr>
        <w:t>-1</w:t>
      </w:r>
      <w:r>
        <w:t xml:space="preserve"> and also recorded the lowest leaf area of 18 cm at 60 kg.Pha</w:t>
      </w:r>
      <w:r>
        <w:rPr>
          <w:vertAlign w:val="superscript"/>
        </w:rPr>
        <w:t>-1</w:t>
      </w:r>
      <w:r>
        <w:t xml:space="preserve">. </w:t>
      </w:r>
      <w:proofErr w:type="gramStart"/>
      <w:r>
        <w:t>Therefore</w:t>
      </w:r>
      <w:proofErr w:type="gramEnd"/>
      <w:r>
        <w:t xml:space="preserve"> white cowpea has the highest leaf area than African yam bean.</w:t>
      </w:r>
    </w:p>
    <w:p w:rsidR="00880DFD" w:rsidRDefault="00880DFD" w:rsidP="00880DFD">
      <w:pPr>
        <w:jc w:val="both"/>
      </w:pPr>
      <w:r>
        <w:rPr>
          <w:noProof/>
        </w:rPr>
        <w:drawing>
          <wp:inline distT="0" distB="0" distL="0" distR="0" wp14:anchorId="5557A3CA" wp14:editId="1E334DC2">
            <wp:extent cx="3727450" cy="1866900"/>
            <wp:effectExtent l="0" t="0" r="63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0DFD" w:rsidRPr="00D80248" w:rsidRDefault="00880DFD" w:rsidP="00880DFD">
      <w:pPr>
        <w:jc w:val="both"/>
        <w:rPr>
          <w:b/>
        </w:rPr>
      </w:pPr>
      <w:r w:rsidRPr="00D80248">
        <w:rPr>
          <w:b/>
        </w:rPr>
        <w:t>Fig.3.</w:t>
      </w:r>
      <w:r>
        <w:t xml:space="preserve"> </w:t>
      </w:r>
      <w:r w:rsidRPr="00D80248">
        <w:rPr>
          <w:b/>
        </w:rPr>
        <w:t>Effect of phosphorus rate on numbers of branches</w:t>
      </w:r>
    </w:p>
    <w:p w:rsidR="00880DFD" w:rsidRPr="00D80248" w:rsidRDefault="00880DFD" w:rsidP="00880DFD">
      <w:pPr>
        <w:jc w:val="both"/>
        <w:rPr>
          <w:b/>
        </w:rPr>
      </w:pPr>
      <w:r w:rsidRPr="00D80248">
        <w:rPr>
          <w:b/>
        </w:rPr>
        <w:t>Effect of phosphorus rate on numbers of branches</w:t>
      </w:r>
    </w:p>
    <w:p w:rsidR="00880DFD" w:rsidRDefault="00880DFD" w:rsidP="00880DFD">
      <w:pPr>
        <w:jc w:val="both"/>
      </w:pPr>
      <w:r>
        <w:t xml:space="preserve">Number of branches of different bean cultivars varied significantly at different phosphorus rate. African Yam Beans recorded the highest number of branches as 3.2 at 80 </w:t>
      </w:r>
      <w:proofErr w:type="gramStart"/>
      <w:r>
        <w:t>kg.Pha</w:t>
      </w:r>
      <w:proofErr w:type="gramEnd"/>
      <w:r>
        <w:rPr>
          <w:vertAlign w:val="superscript"/>
        </w:rPr>
        <w:t>-1</w:t>
      </w:r>
      <w:r>
        <w:t xml:space="preserve"> and recorded the lowest number of branches as 2.8 at 40 kg.Pha</w:t>
      </w:r>
      <w:r>
        <w:rPr>
          <w:vertAlign w:val="superscript"/>
        </w:rPr>
        <w:t>-1</w:t>
      </w:r>
      <w:r>
        <w:t>. White Cowpea recorded the highest number of branches as 3.3 at 80 kg.pha</w:t>
      </w:r>
      <w:r>
        <w:rPr>
          <w:vertAlign w:val="superscript"/>
        </w:rPr>
        <w:t>-1</w:t>
      </w:r>
      <w:r>
        <w:t xml:space="preserve"> and recorded the lowest number of branches as 3.0 at 60 </w:t>
      </w:r>
      <w:proofErr w:type="gramStart"/>
      <w:r>
        <w:t>kg.Pha</w:t>
      </w:r>
      <w:proofErr w:type="gramEnd"/>
      <w:r>
        <w:rPr>
          <w:vertAlign w:val="superscript"/>
        </w:rPr>
        <w:t>-1</w:t>
      </w:r>
      <w:r>
        <w:t>. White Cowpea has the highest number of branches than African Yam Bean.</w:t>
      </w:r>
    </w:p>
    <w:p w:rsidR="00880DFD" w:rsidRDefault="00880DFD" w:rsidP="00880DFD">
      <w:pPr>
        <w:jc w:val="both"/>
      </w:pPr>
      <w:r>
        <w:t xml:space="preserve">Result showed by Ali </w:t>
      </w:r>
      <w:r>
        <w:rPr>
          <w:i/>
        </w:rPr>
        <w:t>et al.,</w:t>
      </w:r>
      <w:r>
        <w:t xml:space="preserve"> (2009) proved that significant differences in number of tranches per plant was as a result of varietal differences in beans. Addo – Quaye </w:t>
      </w:r>
      <w:r>
        <w:rPr>
          <w:i/>
        </w:rPr>
        <w:t>et al</w:t>
      </w:r>
      <w:r>
        <w:t>., (2011) also reported that cowpea plant with high moisture contents produced more branches than those with deficient moisture.</w:t>
      </w:r>
    </w:p>
    <w:p w:rsidR="00880DFD" w:rsidRDefault="00880DFD" w:rsidP="00880DFD">
      <w:pPr>
        <w:jc w:val="both"/>
      </w:pPr>
      <w:r>
        <w:rPr>
          <w:noProof/>
        </w:rPr>
        <w:lastRenderedPageBreak/>
        <w:drawing>
          <wp:inline distT="0" distB="0" distL="0" distR="0" wp14:anchorId="313AC8FE" wp14:editId="373D96FC">
            <wp:extent cx="3556000" cy="1879600"/>
            <wp:effectExtent l="0" t="0" r="635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80DFD" w:rsidRPr="00A47BC0" w:rsidRDefault="00880DFD" w:rsidP="00880DFD">
      <w:pPr>
        <w:jc w:val="both"/>
        <w:rPr>
          <w:b/>
        </w:rPr>
      </w:pPr>
      <w:r>
        <w:rPr>
          <w:b/>
        </w:rPr>
        <w:t xml:space="preserve">Fig. 4. </w:t>
      </w:r>
      <w:r w:rsidRPr="00A47BC0">
        <w:rPr>
          <w:b/>
        </w:rPr>
        <w:t>Effect of phosphorus rate on number of leaves.</w:t>
      </w:r>
    </w:p>
    <w:p w:rsidR="00880DFD" w:rsidRPr="00A47BC0" w:rsidRDefault="00880DFD" w:rsidP="00880DFD">
      <w:pPr>
        <w:jc w:val="both"/>
        <w:rPr>
          <w:b/>
        </w:rPr>
      </w:pPr>
      <w:r w:rsidRPr="00A47BC0">
        <w:rPr>
          <w:b/>
        </w:rPr>
        <w:t>Effect of phosphorus rate on number of leaves.</w:t>
      </w:r>
    </w:p>
    <w:p w:rsidR="00880DFD" w:rsidRDefault="00880DFD" w:rsidP="00880DFD">
      <w:pPr>
        <w:jc w:val="both"/>
      </w:pPr>
      <w:r>
        <w:t>Number of leaves of different bean cultivars varied significantly at different phosphorus rate. At 0kgP/ha of phosphorus rate, there was a significant (p &lt; 0.05) changes in the number of leaves (1.5 cm) which was found in white cowpea while African Yam Bean showed the significantly lowest number of leaves of (0.6 cm).  At 40 kg. Pha</w:t>
      </w:r>
      <w:r>
        <w:rPr>
          <w:vertAlign w:val="superscript"/>
        </w:rPr>
        <w:t>-1</w:t>
      </w:r>
      <w:r>
        <w:t xml:space="preserve"> of phosphorus rate, the highest significantly number of leaves (1.4 cm) was found in White cowpea while African Yam Bean showed the significantly lowest number of leaves of (0.6 cm). At 60 kg. Pha</w:t>
      </w:r>
      <w:r>
        <w:rPr>
          <w:vertAlign w:val="superscript"/>
        </w:rPr>
        <w:t>-1</w:t>
      </w:r>
      <w:r>
        <w:t xml:space="preserve"> of phosphorus rate, White cowpea showed the highest number of leaves (1.4 cm) while African Yam Bean recorded the lowest number of leaves (0.6 cm). At 80 kg. Pha</w:t>
      </w:r>
      <w:r>
        <w:rPr>
          <w:vertAlign w:val="superscript"/>
        </w:rPr>
        <w:t>-1</w:t>
      </w:r>
      <w:r>
        <w:t xml:space="preserve"> of phosphorus rate, the highest significant number of leaves (1.7 cm) was found in White cowpea while African Yam Bean showed the significantly lowest number of leaves of (0.5 cm).</w:t>
      </w:r>
    </w:p>
    <w:p w:rsidR="00880DFD" w:rsidRDefault="00880DFD" w:rsidP="00880DFD">
      <w:pPr>
        <w:jc w:val="both"/>
      </w:pPr>
    </w:p>
    <w:p w:rsidR="00880DFD" w:rsidRDefault="00880DFD" w:rsidP="00880DFD">
      <w:pPr>
        <w:jc w:val="both"/>
      </w:pPr>
    </w:p>
    <w:p w:rsidR="00880DFD" w:rsidRDefault="00880DFD" w:rsidP="00880DFD">
      <w:pPr>
        <w:jc w:val="both"/>
      </w:pPr>
      <w:r>
        <w:rPr>
          <w:noProof/>
        </w:rPr>
        <w:drawing>
          <wp:inline distT="0" distB="0" distL="0" distR="0" wp14:anchorId="50D60BCD" wp14:editId="3E8F9189">
            <wp:extent cx="3473450" cy="2235200"/>
            <wp:effectExtent l="0" t="0" r="1270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80DFD" w:rsidRPr="00E82A7D" w:rsidRDefault="00880DFD" w:rsidP="00880DFD">
      <w:pPr>
        <w:jc w:val="both"/>
      </w:pPr>
      <w:r>
        <w:rPr>
          <w:b/>
        </w:rPr>
        <w:t xml:space="preserve">Fig.5.Effect of phosphorus rate on stem girth </w:t>
      </w:r>
    </w:p>
    <w:p w:rsidR="00880DFD" w:rsidRDefault="00880DFD" w:rsidP="00880DFD">
      <w:pPr>
        <w:jc w:val="both"/>
        <w:rPr>
          <w:b/>
        </w:rPr>
      </w:pPr>
      <w:r>
        <w:rPr>
          <w:b/>
        </w:rPr>
        <w:t xml:space="preserve">Effect of phosphorus rate on stem girth. </w:t>
      </w:r>
    </w:p>
    <w:p w:rsidR="00880DFD" w:rsidRDefault="00880DFD" w:rsidP="00880DFD">
      <w:pPr>
        <w:jc w:val="both"/>
      </w:pPr>
      <w:r>
        <w:t xml:space="preserve">Stem girth of different beans cultivars varied significantly at different phosphorus rate. Stem girth varied considerable (p </w:t>
      </w:r>
      <w:r>
        <w:rPr>
          <w:u w:val="single"/>
        </w:rPr>
        <w:t xml:space="preserve">&lt; </w:t>
      </w:r>
      <w:r>
        <w:t>0.05) among the bean cultivars at 0 kg. Pha</w:t>
      </w:r>
      <w:r>
        <w:rPr>
          <w:vertAlign w:val="superscript"/>
        </w:rPr>
        <w:t>-1</w:t>
      </w:r>
      <w:r>
        <w:t xml:space="preserve"> of phosphorus rate. At 0 kg. Pha</w:t>
      </w:r>
      <w:r>
        <w:rPr>
          <w:vertAlign w:val="superscript"/>
        </w:rPr>
        <w:t>-1</w:t>
      </w:r>
      <w:r>
        <w:t xml:space="preserve"> of </w:t>
      </w:r>
      <w:r>
        <w:lastRenderedPageBreak/>
        <w:t>phosphorus rate, the highest significant stem girth (1.5 cm) was found in white cowpea while the significantly lowest stem girth of (0.6 cm) was found in African Yam Bean. At 40 kg. Pha</w:t>
      </w:r>
      <w:r>
        <w:rPr>
          <w:vertAlign w:val="superscript"/>
        </w:rPr>
        <w:t>-1</w:t>
      </w:r>
      <w:r>
        <w:t xml:space="preserve"> of phosphorus rate, the highest significant stem girth (1.4 cm) was found in white cowpea while the significant lowest stem girth of (0.6 cm) was found in African Yam Bean. At 60 kg. Pha</w:t>
      </w:r>
      <w:r>
        <w:rPr>
          <w:vertAlign w:val="superscript"/>
        </w:rPr>
        <w:t>-1</w:t>
      </w:r>
      <w:r>
        <w:t xml:space="preserve"> of phosphorus rate, the highest significant stem girth (1.4 cm) was found in white cowpea and the significantly lowest stem girth of (0.06 cm) was found in African Yam Bean. At 80kgP/ha of phosphorus rate, the highest significant stem girth (1.7cm) was found in white cowpea and the significantly lowest stem girth of (0.6 cm) was found in African Yam Bean</w:t>
      </w:r>
    </w:p>
    <w:p w:rsidR="00880DFD" w:rsidRDefault="00880DFD" w:rsidP="00880DFD">
      <w:pPr>
        <w:jc w:val="both"/>
      </w:pPr>
      <w:r>
        <w:rPr>
          <w:noProof/>
        </w:rPr>
        <w:drawing>
          <wp:inline distT="0" distB="0" distL="0" distR="0" wp14:anchorId="24CF1B59" wp14:editId="3858F25C">
            <wp:extent cx="3695700" cy="1854200"/>
            <wp:effectExtent l="0" t="0" r="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80DFD" w:rsidRDefault="00880DFD" w:rsidP="00880DFD">
      <w:pPr>
        <w:jc w:val="both"/>
      </w:pPr>
      <w:r>
        <w:t xml:space="preserve">Fig. 6. </w:t>
      </w:r>
      <w:r w:rsidRPr="005F4065">
        <w:rPr>
          <w:b/>
        </w:rPr>
        <w:t>Effect of phosphorus rate on number of flowers</w:t>
      </w:r>
    </w:p>
    <w:p w:rsidR="00880DFD" w:rsidRPr="005F4065" w:rsidRDefault="00880DFD" w:rsidP="00880DFD">
      <w:pPr>
        <w:jc w:val="both"/>
        <w:rPr>
          <w:b/>
        </w:rPr>
      </w:pPr>
      <w:r w:rsidRPr="005F4065">
        <w:rPr>
          <w:b/>
        </w:rPr>
        <w:t>Effect of phosphorus rate on number of flowers</w:t>
      </w:r>
    </w:p>
    <w:p w:rsidR="00880DFD" w:rsidRDefault="00880DFD" w:rsidP="00880DFD">
      <w:pPr>
        <w:jc w:val="both"/>
      </w:pPr>
      <w:r>
        <w:t>Numbers of flowers of different cultivars varied significant at different phosphorus rate. At 0 kg. Pha</w:t>
      </w:r>
      <w:r>
        <w:rPr>
          <w:vertAlign w:val="superscript"/>
        </w:rPr>
        <w:t>-1</w:t>
      </w:r>
      <w:r>
        <w:t xml:space="preserve"> of phosphorus rate, the highest significant number of flowers (1.3) was found in white cowpea while African Yam Bean showed the significantly lowest number of flowers (0). At 40 kg. Pha</w:t>
      </w:r>
      <w:r>
        <w:rPr>
          <w:vertAlign w:val="superscript"/>
        </w:rPr>
        <w:t>-1</w:t>
      </w:r>
      <w:r>
        <w:t xml:space="preserve"> and 60 kg. Pha</w:t>
      </w:r>
      <w:r>
        <w:rPr>
          <w:vertAlign w:val="superscript"/>
        </w:rPr>
        <w:t>-1</w:t>
      </w:r>
      <w:r>
        <w:t xml:space="preserve"> phosphorus rate, the highest significant number of flowers (0.8) was found in white cowpea while African Yam Bean showed the significant lowest number of flowers (0). At 80 kg. Pha</w:t>
      </w:r>
      <w:r>
        <w:rPr>
          <w:vertAlign w:val="superscript"/>
        </w:rPr>
        <w:t>-1</w:t>
      </w:r>
      <w:r>
        <w:t xml:space="preserve"> of phosphorus rate, the highest significant number of flowers (0.8) was found in white cowpea while African Yam Bean showed the significantly lowest number of flowers (0.1) the decrease in the number of flowers was a result of flowers turning into pods in white cowpea while there was no flower in African Yam Bean because of the climate condition which occur as a result of late planting.</w:t>
      </w:r>
    </w:p>
    <w:p w:rsidR="00880DFD" w:rsidRDefault="00880DFD" w:rsidP="00880DFD">
      <w:pPr>
        <w:jc w:val="both"/>
      </w:pPr>
      <w:r>
        <w:rPr>
          <w:noProof/>
        </w:rPr>
        <w:drawing>
          <wp:inline distT="0" distB="0" distL="0" distR="0" wp14:anchorId="475682C5" wp14:editId="5CE3A71E">
            <wp:extent cx="3498850" cy="2063750"/>
            <wp:effectExtent l="0" t="0" r="635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80DFD" w:rsidRDefault="00880DFD" w:rsidP="00880DFD">
      <w:pPr>
        <w:jc w:val="both"/>
      </w:pPr>
      <w:r>
        <w:lastRenderedPageBreak/>
        <w:t>Fig.7. Effect of phosphorus rate on number of pods.</w:t>
      </w:r>
    </w:p>
    <w:p w:rsidR="00880DFD" w:rsidRPr="00C13A7C" w:rsidRDefault="00880DFD" w:rsidP="00880DFD">
      <w:pPr>
        <w:jc w:val="both"/>
        <w:rPr>
          <w:b/>
        </w:rPr>
      </w:pPr>
      <w:r w:rsidRPr="00C13A7C">
        <w:rPr>
          <w:b/>
        </w:rPr>
        <w:t>Effect of phosphorus rate on number of pods</w:t>
      </w:r>
    </w:p>
    <w:p w:rsidR="00880DFD" w:rsidRDefault="00880DFD" w:rsidP="00880DFD">
      <w:pPr>
        <w:jc w:val="both"/>
      </w:pPr>
      <w:r>
        <w:t>Number of pods different bean cultivars varied significantly at different phosphorus rate. At 0 kg. Pha</w:t>
      </w:r>
      <w:r>
        <w:rPr>
          <w:vertAlign w:val="superscript"/>
        </w:rPr>
        <w:t>-1</w:t>
      </w:r>
      <w:r>
        <w:t xml:space="preserve"> the highest significant number of pods (3.4) was found in white cowpea while African Yam Bean recorded (0) which showed the significantly lowest number of pods. At 40 kg. Pha</w:t>
      </w:r>
      <w:r>
        <w:rPr>
          <w:vertAlign w:val="superscript"/>
        </w:rPr>
        <w:t>-1</w:t>
      </w:r>
      <w:r>
        <w:t xml:space="preserve"> phosphorus rate, the significant number of pods (2.5) was found in white cowpea and (0) in African Yam Bean. At 60 kg. Pha</w:t>
      </w:r>
      <w:r>
        <w:rPr>
          <w:vertAlign w:val="superscript"/>
        </w:rPr>
        <w:t>-1</w:t>
      </w:r>
      <w:r>
        <w:t xml:space="preserve"> of phosphorus rate, the highest significant number of pods (2) was found in white cowpea and (0) in African Yam Bean. At 80 kg. Pha</w:t>
      </w:r>
      <w:r>
        <w:rPr>
          <w:vertAlign w:val="superscript"/>
        </w:rPr>
        <w:t>-1</w:t>
      </w:r>
      <w:r>
        <w:t xml:space="preserve"> of phosphorus rate, the highest significant number of pods (2.4) was found in white cowpea and (0) in African Yam Bean.</w:t>
      </w:r>
    </w:p>
    <w:p w:rsidR="00880DFD" w:rsidRPr="00945B25" w:rsidRDefault="00880DFD" w:rsidP="00880DFD">
      <w:pPr>
        <w:jc w:val="both"/>
        <w:rPr>
          <w:b/>
        </w:rPr>
      </w:pPr>
      <w:r w:rsidRPr="00FB67FF">
        <w:rPr>
          <w:b/>
          <w:noProof/>
        </w:rPr>
        <w:drawing>
          <wp:anchor distT="0" distB="0" distL="114300" distR="114300" simplePos="0" relativeHeight="251659264" behindDoc="0" locked="0" layoutInCell="1" allowOverlap="1" wp14:anchorId="248F04CA" wp14:editId="1DB77986">
            <wp:simplePos x="0" y="0"/>
            <wp:positionH relativeFrom="column">
              <wp:posOffset>0</wp:posOffset>
            </wp:positionH>
            <wp:positionV relativeFrom="paragraph">
              <wp:posOffset>46751</wp:posOffset>
            </wp:positionV>
            <wp:extent cx="3752850" cy="1987550"/>
            <wp:effectExtent l="0" t="0" r="0" b="1270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br w:type="textWrapping" w:clear="all"/>
      </w:r>
      <w:r w:rsidRPr="00945B25">
        <w:rPr>
          <w:b/>
        </w:rPr>
        <w:t>Fig.8. Effect of phosphorus rate on the yield of white cowpea</w:t>
      </w:r>
    </w:p>
    <w:p w:rsidR="00880DFD" w:rsidRPr="00BB51CB" w:rsidRDefault="00880DFD" w:rsidP="00880DFD">
      <w:pPr>
        <w:jc w:val="both"/>
      </w:pPr>
      <w:r w:rsidRPr="00C13A7C">
        <w:rPr>
          <w:b/>
        </w:rPr>
        <w:t>Effect of phosphorus rate on the yield of white cowpea</w:t>
      </w:r>
    </w:p>
    <w:p w:rsidR="00880DFD" w:rsidRDefault="00880DFD" w:rsidP="00880DFD">
      <w:pPr>
        <w:jc w:val="both"/>
      </w:pPr>
      <w:r>
        <w:t>Firstly, total weight shows the highest mean weight of pods (100.00 g). Seed weight recorded (52.00 g) of weight while the husk recorded the lowest weight (25.00 g) at 0kgP/ha (control). At 40 kg. Pha</w:t>
      </w:r>
      <w:r>
        <w:rPr>
          <w:vertAlign w:val="superscript"/>
        </w:rPr>
        <w:t>-1</w:t>
      </w:r>
      <w:r>
        <w:t xml:space="preserve"> of phosphorus rate after planting, the total weight recorded the highest weight of pod (250.00 g), seed weight recorded (150.00 g) while the husk recorded (52.00 g) as the lowest weight. At 60 kg. Pha-</w:t>
      </w:r>
      <w:r>
        <w:rPr>
          <w:vertAlign w:val="superscript"/>
        </w:rPr>
        <w:t>1</w:t>
      </w:r>
      <w:r>
        <w:t xml:space="preserve"> of phosphorus rate after planting the total weight recorded the highest weight of pod (130.00 g), seed weight recorded (100.00g) while the husk recorded (30.00 g) as the lowest weight. At 80 kg. Pha</w:t>
      </w:r>
      <w:r>
        <w:rPr>
          <w:vertAlign w:val="superscript"/>
        </w:rPr>
        <w:t>-1</w:t>
      </w:r>
      <w:r>
        <w:t xml:space="preserve"> of phosphorus rate after planting, the total weight recorded as the highest weight of pod (100.00 g), seed weight recorded (80.00g) while the husk recorded (20.00 g) as the lowest weight. In conclusion, in the four (4) phosphorus rate (0, 40, 60, and 80 kg. Pha</w:t>
      </w:r>
      <w:r>
        <w:rPr>
          <w:vertAlign w:val="superscript"/>
        </w:rPr>
        <w:t>-1</w:t>
      </w:r>
      <w:r>
        <w:t>), 40 kg. Pha</w:t>
      </w:r>
      <w:r>
        <w:rPr>
          <w:vertAlign w:val="superscript"/>
        </w:rPr>
        <w:t>-1</w:t>
      </w:r>
      <w:r>
        <w:t xml:space="preserve"> gives the highest weight of pod, seed and husk.</w:t>
      </w:r>
    </w:p>
    <w:p w:rsidR="00880DFD" w:rsidRPr="00C13A7C" w:rsidRDefault="00880DFD" w:rsidP="00880DFD">
      <w:pPr>
        <w:jc w:val="both"/>
        <w:rPr>
          <w:b/>
        </w:rPr>
      </w:pPr>
      <w:r w:rsidRPr="00C13A7C">
        <w:rPr>
          <w:b/>
        </w:rPr>
        <w:t>SUMMARY AND CONCLUSION</w:t>
      </w:r>
    </w:p>
    <w:p w:rsidR="00880DFD" w:rsidRDefault="00880DFD" w:rsidP="00880DFD">
      <w:pPr>
        <w:jc w:val="both"/>
      </w:pPr>
      <w:r>
        <w:t xml:space="preserve">This study was carried out to assess the effect of phosphorus on soil properties and yield of different varieties of bean in </w:t>
      </w:r>
      <w:proofErr w:type="spellStart"/>
      <w:r>
        <w:t>Obio</w:t>
      </w:r>
      <w:proofErr w:type="spellEnd"/>
      <w:r>
        <w:t xml:space="preserve"> </w:t>
      </w:r>
      <w:proofErr w:type="spellStart"/>
      <w:r>
        <w:t>Akpa</w:t>
      </w:r>
      <w:proofErr w:type="spellEnd"/>
      <w:r>
        <w:t xml:space="preserve">, </w:t>
      </w:r>
      <w:proofErr w:type="spellStart"/>
      <w:r>
        <w:t>Oruk</w:t>
      </w:r>
      <w:proofErr w:type="spellEnd"/>
      <w:r>
        <w:t xml:space="preserve"> </w:t>
      </w:r>
      <w:proofErr w:type="spellStart"/>
      <w:r>
        <w:t>Anam</w:t>
      </w:r>
      <w:proofErr w:type="spellEnd"/>
      <w:r>
        <w:t xml:space="preserve"> L.G.A. in </w:t>
      </w:r>
      <w:proofErr w:type="spellStart"/>
      <w:r>
        <w:t>Akwa</w:t>
      </w:r>
      <w:proofErr w:type="spellEnd"/>
      <w:r>
        <w:t xml:space="preserve"> Ibom State. Result showed that the experimental soil </w:t>
      </w:r>
      <w:proofErr w:type="gramStart"/>
      <w:r>
        <w:t>were</w:t>
      </w:r>
      <w:proofErr w:type="gramEnd"/>
      <w:r>
        <w:t xml:space="preserve"> fairly fertile as some soil properties (such as; soil pH, electrical conductivity, total nitrogen, sodium, exchangeable acidity, effective cations exchange capacity (ECEC), and percentage base saturation were within the recommended standards for crop production while others (such as; available phosphorus, exchangeable potassium, magnesium) were low. African yam beans showed excellent vegetative growth but have longer duration of maturity. Triple super phosphate application at 40kgP/ha recorded the best yield in white cowpea.</w:t>
      </w:r>
    </w:p>
    <w:p w:rsidR="00880DFD" w:rsidRDefault="00880DFD" w:rsidP="00880DFD">
      <w:pPr>
        <w:jc w:val="both"/>
      </w:pPr>
    </w:p>
    <w:p w:rsidR="00880DFD" w:rsidRDefault="00880DFD" w:rsidP="00880DFD">
      <w:pPr>
        <w:jc w:val="both"/>
      </w:pPr>
    </w:p>
    <w:p w:rsidR="00880DFD" w:rsidRPr="005B6768" w:rsidRDefault="00880DFD" w:rsidP="00880DFD">
      <w:pPr>
        <w:jc w:val="both"/>
        <w:rPr>
          <w:b/>
        </w:rPr>
      </w:pPr>
      <w:r w:rsidRPr="005B6768">
        <w:rPr>
          <w:b/>
        </w:rPr>
        <w:t>Disclaimer (Artificial intelligence)</w:t>
      </w:r>
    </w:p>
    <w:p w:rsidR="00880DFD" w:rsidRDefault="00880DFD" w:rsidP="00880DFD">
      <w:pPr>
        <w:jc w:val="both"/>
      </w:pPr>
      <w:r w:rsidRPr="00A64677">
        <w:t>Author(s) hereby declare that NO generative AI technologies such as Large Language Models (</w:t>
      </w:r>
      <w:proofErr w:type="spellStart"/>
      <w:r w:rsidRPr="00A64677">
        <w:t>ChatGPT</w:t>
      </w:r>
      <w:proofErr w:type="spellEnd"/>
      <w:r w:rsidRPr="00A64677">
        <w:t>, COPILOT, etc.) and text-to-image generators have been used during the writing</w:t>
      </w:r>
      <w:r>
        <w:t xml:space="preserve"> or editing of this manuscript.</w:t>
      </w:r>
    </w:p>
    <w:p w:rsidR="00880DFD" w:rsidRPr="00270720" w:rsidRDefault="00880DFD" w:rsidP="00880DFD">
      <w:pPr>
        <w:jc w:val="both"/>
        <w:rPr>
          <w:highlight w:val="yellow"/>
        </w:rPr>
      </w:pPr>
    </w:p>
    <w:p w:rsidR="00880DFD" w:rsidRDefault="00880DFD" w:rsidP="00880DFD">
      <w:pPr>
        <w:jc w:val="both"/>
        <w:rPr>
          <w:b/>
        </w:rPr>
      </w:pPr>
      <w:r>
        <w:rPr>
          <w:b/>
        </w:rPr>
        <w:t>REFERENCES</w:t>
      </w:r>
    </w:p>
    <w:p w:rsidR="00880DFD" w:rsidRDefault="00880DFD" w:rsidP="00880DFD">
      <w:pPr>
        <w:spacing w:after="0" w:line="276" w:lineRule="auto"/>
        <w:jc w:val="both"/>
      </w:pPr>
    </w:p>
    <w:p w:rsidR="00880DFD" w:rsidRDefault="00880DFD" w:rsidP="00880DFD">
      <w:pPr>
        <w:spacing w:after="0" w:line="276" w:lineRule="auto"/>
        <w:jc w:val="both"/>
      </w:pPr>
      <w:r>
        <w:t>Addo-</w:t>
      </w:r>
      <w:proofErr w:type="spellStart"/>
      <w:r>
        <w:t>Ouaye</w:t>
      </w:r>
      <w:proofErr w:type="spellEnd"/>
      <w:r>
        <w:t>, J., Mensah, P., &amp; Boateng, A. (</w:t>
      </w:r>
      <w:hyperlink r:id="rId14" w:history="1">
        <w:r>
          <w:rPr>
            <w:rStyle w:val="Hyperlink"/>
          </w:rPr>
          <w:t>2011</w:t>
        </w:r>
      </w:hyperlink>
      <w:r>
        <w:t xml:space="preserve">). Effects of sustainable land management practices on </w:t>
      </w:r>
    </w:p>
    <w:p w:rsidR="00880DFD" w:rsidRDefault="00880DFD" w:rsidP="00880DFD">
      <w:pPr>
        <w:spacing w:after="0" w:line="276" w:lineRule="auto"/>
        <w:jc w:val="both"/>
      </w:pPr>
      <w:r>
        <w:t xml:space="preserve">              crop yields in West Africa. African Journal of Environmental Management, 19(2), </w:t>
      </w:r>
      <w:hyperlink r:id="rId15" w:history="1">
        <w:r>
          <w:rPr>
            <w:rStyle w:val="Hyperlink"/>
          </w:rPr>
          <w:t>112</w:t>
        </w:r>
      </w:hyperlink>
      <w:r>
        <w:t>–</w:t>
      </w:r>
      <w:hyperlink r:id="rId16" w:history="1">
        <w:r>
          <w:rPr>
            <w:rStyle w:val="Hyperlink"/>
          </w:rPr>
          <w:t>124</w:t>
        </w:r>
      </w:hyperlink>
      <w:r>
        <w:t>.</w:t>
      </w:r>
    </w:p>
    <w:p w:rsidR="00880DFD" w:rsidRDefault="00880DFD" w:rsidP="00880DFD">
      <w:pPr>
        <w:spacing w:after="0" w:line="276" w:lineRule="auto"/>
        <w:jc w:val="both"/>
      </w:pPr>
    </w:p>
    <w:p w:rsidR="00880DFD" w:rsidRPr="006219AA" w:rsidRDefault="00880DFD" w:rsidP="00880DFD">
      <w:pPr>
        <w:spacing w:after="0" w:line="276" w:lineRule="auto"/>
        <w:jc w:val="both"/>
      </w:pPr>
      <w:proofErr w:type="spellStart"/>
      <w:r>
        <w:t>Adekiya</w:t>
      </w:r>
      <w:proofErr w:type="spellEnd"/>
      <w:r>
        <w:t xml:space="preserve">, A. O. (2022). Improving tropical soil productivity and cowpea (Vigna </w:t>
      </w:r>
      <w:proofErr w:type="spellStart"/>
      <w:r>
        <w:t>unguiculata</w:t>
      </w:r>
      <w:proofErr w:type="spellEnd"/>
      <w:r>
        <w:t xml:space="preserve"> (L.) </w:t>
      </w:r>
      <w:proofErr w:type="spellStart"/>
      <w:r>
        <w:t>Walp</w:t>
      </w:r>
      <w:proofErr w:type="spellEnd"/>
      <w:r>
        <w:t xml:space="preserve">) </w:t>
      </w:r>
      <w:r>
        <w:tab/>
        <w:t>performance using biochar and phosphorus fertilizer.</w:t>
      </w:r>
      <w:r>
        <w:rPr>
          <w:i/>
        </w:rPr>
        <w:t xml:space="preserve"> Communications in Soil Science and Plant </w:t>
      </w:r>
      <w:r>
        <w:rPr>
          <w:i/>
        </w:rPr>
        <w:tab/>
        <w:t xml:space="preserve">Analysis, </w:t>
      </w:r>
      <w:r>
        <w:t xml:space="preserve">53 (21); 2797 – 281. Htts://www.tendtonline.com/doi /abs/10.1080/00103624 </w:t>
      </w:r>
      <w:r>
        <w:tab/>
        <w:t>2022.2094392</w:t>
      </w:r>
    </w:p>
    <w:p w:rsidR="00880DFD" w:rsidRDefault="00880DFD" w:rsidP="00880DFD">
      <w:pPr>
        <w:spacing w:after="0" w:line="276" w:lineRule="auto"/>
        <w:jc w:val="both"/>
      </w:pPr>
    </w:p>
    <w:p w:rsidR="00880DFD" w:rsidRDefault="00880DFD" w:rsidP="00880DFD">
      <w:pPr>
        <w:spacing w:after="0" w:line="276" w:lineRule="auto"/>
        <w:jc w:val="both"/>
      </w:pPr>
      <w:r>
        <w:t xml:space="preserve">Adewale, B. D., and </w:t>
      </w:r>
      <w:proofErr w:type="spellStart"/>
      <w:r>
        <w:t>Odoh</w:t>
      </w:r>
      <w:proofErr w:type="spellEnd"/>
      <w:r>
        <w:t xml:space="preserve">, N. C. (2012). A Review on Genetics Resources, Diversity and Agronomy of </w:t>
      </w:r>
    </w:p>
    <w:p w:rsidR="00880DFD" w:rsidRDefault="00880DFD" w:rsidP="00880DFD">
      <w:pPr>
        <w:spacing w:after="0" w:line="276" w:lineRule="auto"/>
        <w:jc w:val="both"/>
      </w:pPr>
      <w:r>
        <w:t xml:space="preserve">               African Yam Bean (</w:t>
      </w:r>
      <w:proofErr w:type="spellStart"/>
      <w:r>
        <w:rPr>
          <w:i/>
        </w:rPr>
        <w:t>Sphenostylis</w:t>
      </w:r>
      <w:proofErr w:type="spellEnd"/>
      <w:r>
        <w:rPr>
          <w:i/>
        </w:rPr>
        <w:t xml:space="preserve"> </w:t>
      </w:r>
      <w:proofErr w:type="spellStart"/>
      <w:r>
        <w:rPr>
          <w:i/>
        </w:rPr>
        <w:t>stenocarpa</w:t>
      </w:r>
      <w:proofErr w:type="spellEnd"/>
      <w:r>
        <w:t xml:space="preserve"> (</w:t>
      </w:r>
      <w:proofErr w:type="spellStart"/>
      <w:r>
        <w:t>Hochst</w:t>
      </w:r>
      <w:proofErr w:type="spellEnd"/>
      <w:r>
        <w:t xml:space="preserve">. </w:t>
      </w:r>
      <w:proofErr w:type="spellStart"/>
      <w:r>
        <w:t>ExA</w:t>
      </w:r>
      <w:proofErr w:type="spellEnd"/>
      <w:r>
        <w:t>. Rich.) Harms): A potential Future Food</w:t>
      </w:r>
    </w:p>
    <w:p w:rsidR="00880DFD" w:rsidRDefault="00880DFD" w:rsidP="00880DFD">
      <w:pPr>
        <w:spacing w:after="0" w:line="276" w:lineRule="auto"/>
        <w:jc w:val="both"/>
      </w:pPr>
      <w:r>
        <w:t xml:space="preserve">              Crop. Sustainable Agric. Res., 2, 32 – 43.</w:t>
      </w:r>
    </w:p>
    <w:p w:rsidR="00880DFD" w:rsidRDefault="00880DFD" w:rsidP="00880DFD">
      <w:pPr>
        <w:spacing w:after="0" w:line="276" w:lineRule="auto"/>
        <w:jc w:val="both"/>
      </w:pPr>
      <w:r>
        <w:t xml:space="preserve">Adewale, B. D., and </w:t>
      </w:r>
      <w:proofErr w:type="spellStart"/>
      <w:r>
        <w:t>Dumet</w:t>
      </w:r>
      <w:proofErr w:type="spellEnd"/>
      <w:r>
        <w:t xml:space="preserve">, D. (2011). Descriptors for African Yam Bean, </w:t>
      </w:r>
      <w:proofErr w:type="spellStart"/>
      <w:r>
        <w:rPr>
          <w:i/>
        </w:rPr>
        <w:t>Sphenostylisstenocarpa</w:t>
      </w:r>
      <w:proofErr w:type="spellEnd"/>
      <w:r>
        <w:t xml:space="preserve"> </w:t>
      </w:r>
    </w:p>
    <w:p w:rsidR="00880DFD" w:rsidRDefault="00880DFD" w:rsidP="00880DFD">
      <w:pPr>
        <w:spacing w:after="0" w:line="276" w:lineRule="auto"/>
        <w:jc w:val="both"/>
      </w:pPr>
      <w:r>
        <w:t xml:space="preserve">              (</w:t>
      </w:r>
      <w:proofErr w:type="spellStart"/>
      <w:r>
        <w:t>Hochstex</w:t>
      </w:r>
      <w:proofErr w:type="spellEnd"/>
      <w:r>
        <w:t xml:space="preserve">. A. Rich.) Harms. </w:t>
      </w:r>
      <w:hyperlink r:id="rId17" w:history="1">
        <w:r w:rsidRPr="00BA67DE">
          <w:rPr>
            <w:rStyle w:val="Hyperlink"/>
          </w:rPr>
          <w:t>http://old.iita.org/cms/articlefiles/1488aybdescriptors</w:t>
        </w:r>
      </w:hyperlink>
      <w:r>
        <w:t>.</w:t>
      </w:r>
    </w:p>
    <w:p w:rsidR="00880DFD" w:rsidRDefault="00880DFD" w:rsidP="00880DFD">
      <w:pPr>
        <w:spacing w:after="0" w:line="276" w:lineRule="auto"/>
        <w:jc w:val="both"/>
      </w:pPr>
    </w:p>
    <w:p w:rsidR="00880DFD" w:rsidRDefault="00880DFD" w:rsidP="00880DFD">
      <w:pPr>
        <w:spacing w:after="0" w:line="276" w:lineRule="auto"/>
        <w:jc w:val="both"/>
      </w:pPr>
      <w:proofErr w:type="spellStart"/>
      <w:r>
        <w:t>Agbogidi</w:t>
      </w:r>
      <w:proofErr w:type="spellEnd"/>
      <w:r>
        <w:t>, O. M. (2010). Response of six cultivars of cowpea (</w:t>
      </w:r>
      <w:r>
        <w:rPr>
          <w:i/>
        </w:rPr>
        <w:t xml:space="preserve">Vigna </w:t>
      </w:r>
      <w:proofErr w:type="spellStart"/>
      <w:r>
        <w:rPr>
          <w:i/>
        </w:rPr>
        <w:t>unguiculata</w:t>
      </w:r>
      <w:proofErr w:type="spellEnd"/>
      <w:r>
        <w:rPr>
          <w:i/>
        </w:rPr>
        <w:t xml:space="preserve"> </w:t>
      </w:r>
      <w:r>
        <w:t xml:space="preserve">(L.) </w:t>
      </w:r>
      <w:proofErr w:type="spellStart"/>
      <w:r>
        <w:t>Walp</w:t>
      </w:r>
      <w:proofErr w:type="spellEnd"/>
      <w:r>
        <w:t>.) To spent engine</w:t>
      </w:r>
    </w:p>
    <w:p w:rsidR="00880DFD" w:rsidRDefault="00880DFD" w:rsidP="00880DFD">
      <w:pPr>
        <w:spacing w:after="0" w:line="276" w:lineRule="auto"/>
        <w:jc w:val="both"/>
      </w:pPr>
      <w:r>
        <w:t xml:space="preserve">              oil. African Journal of Food Science and Technology. 1(6): 139 – 14.</w:t>
      </w:r>
    </w:p>
    <w:p w:rsidR="00880DFD" w:rsidRDefault="00880DFD" w:rsidP="00880DFD">
      <w:pPr>
        <w:spacing w:after="0" w:line="276" w:lineRule="auto"/>
        <w:jc w:val="both"/>
      </w:pPr>
    </w:p>
    <w:p w:rsidR="00880DFD" w:rsidRDefault="00880DFD" w:rsidP="00880DFD">
      <w:pPr>
        <w:spacing w:after="0" w:line="240" w:lineRule="auto"/>
        <w:ind w:right="-180"/>
        <w:jc w:val="both"/>
        <w:rPr>
          <w:rFonts w:eastAsiaTheme="minorEastAsia" w:cstheme="minorHAnsi"/>
        </w:rPr>
      </w:pPr>
      <w:proofErr w:type="spellStart"/>
      <w:r>
        <w:rPr>
          <w:rFonts w:eastAsiaTheme="minorEastAsia" w:cstheme="minorHAnsi"/>
        </w:rPr>
        <w:t>Akata</w:t>
      </w:r>
      <w:proofErr w:type="spellEnd"/>
      <w:r>
        <w:rPr>
          <w:rFonts w:eastAsiaTheme="minorEastAsia" w:cstheme="minorHAnsi"/>
        </w:rPr>
        <w:t xml:space="preserve">, O. R., Essien. O. A., Ben, F. E., </w:t>
      </w:r>
      <w:proofErr w:type="spellStart"/>
      <w:proofErr w:type="gramStart"/>
      <w:r>
        <w:rPr>
          <w:rFonts w:eastAsiaTheme="minorEastAsia" w:cstheme="minorHAnsi"/>
        </w:rPr>
        <w:t>Enyong,J</w:t>
      </w:r>
      <w:proofErr w:type="spellEnd"/>
      <w:r>
        <w:rPr>
          <w:rFonts w:eastAsiaTheme="minorEastAsia" w:cstheme="minorHAnsi"/>
        </w:rPr>
        <w:t>.</w:t>
      </w:r>
      <w:proofErr w:type="gramEnd"/>
      <w:r>
        <w:rPr>
          <w:rFonts w:eastAsiaTheme="minorEastAsia" w:cstheme="minorHAnsi"/>
        </w:rPr>
        <w:t xml:space="preserve"> K. and </w:t>
      </w:r>
      <w:proofErr w:type="spellStart"/>
      <w:r>
        <w:rPr>
          <w:rFonts w:eastAsiaTheme="minorEastAsia" w:cstheme="minorHAnsi"/>
        </w:rPr>
        <w:t>Tochukwu</w:t>
      </w:r>
      <w:proofErr w:type="spellEnd"/>
      <w:r>
        <w:rPr>
          <w:rFonts w:eastAsiaTheme="minorEastAsia" w:cstheme="minorHAnsi"/>
        </w:rPr>
        <w:t xml:space="preserve">, N. E. ( 2024). Effect of Different Level of </w:t>
      </w:r>
    </w:p>
    <w:p w:rsidR="00880DFD" w:rsidRDefault="00880DFD" w:rsidP="00880DFD">
      <w:pPr>
        <w:spacing w:after="0" w:line="240" w:lineRule="auto"/>
        <w:ind w:right="-180"/>
        <w:jc w:val="both"/>
        <w:rPr>
          <w:rFonts w:eastAsiaTheme="minorEastAsia" w:cstheme="minorHAnsi"/>
        </w:rPr>
      </w:pPr>
      <w:r>
        <w:rPr>
          <w:rFonts w:eastAsiaTheme="minorEastAsia" w:cstheme="minorHAnsi"/>
        </w:rPr>
        <w:t xml:space="preserve">             Poultry Manure on Growth and Yield of a </w:t>
      </w:r>
      <w:proofErr w:type="spellStart"/>
      <w:r>
        <w:rPr>
          <w:rFonts w:eastAsiaTheme="minorEastAsia" w:cstheme="minorHAnsi"/>
        </w:rPr>
        <w:t>Maranthus</w:t>
      </w:r>
      <w:proofErr w:type="spellEnd"/>
      <w:r>
        <w:rPr>
          <w:rFonts w:eastAsiaTheme="minorEastAsia" w:cstheme="minorHAnsi"/>
        </w:rPr>
        <w:t xml:space="preserve"> Plant (Amaranthus </w:t>
      </w:r>
      <w:proofErr w:type="spellStart"/>
      <w:r>
        <w:rPr>
          <w:rFonts w:eastAsiaTheme="minorEastAsia" w:cstheme="minorHAnsi"/>
        </w:rPr>
        <w:t>hybridus</w:t>
      </w:r>
      <w:proofErr w:type="spellEnd"/>
      <w:r>
        <w:rPr>
          <w:rFonts w:eastAsiaTheme="minorEastAsia" w:cstheme="minorHAnsi"/>
        </w:rPr>
        <w:t xml:space="preserve">) in </w:t>
      </w:r>
      <w:proofErr w:type="spellStart"/>
      <w:r>
        <w:rPr>
          <w:rFonts w:eastAsiaTheme="minorEastAsia" w:cstheme="minorHAnsi"/>
        </w:rPr>
        <w:t>Obio</w:t>
      </w:r>
      <w:proofErr w:type="spellEnd"/>
      <w:r>
        <w:rPr>
          <w:rFonts w:eastAsiaTheme="minorEastAsia" w:cstheme="minorHAnsi"/>
        </w:rPr>
        <w:t xml:space="preserve"> </w:t>
      </w:r>
      <w:proofErr w:type="spellStart"/>
      <w:r>
        <w:rPr>
          <w:rFonts w:eastAsiaTheme="minorEastAsia" w:cstheme="minorHAnsi"/>
        </w:rPr>
        <w:t>Akpa</w:t>
      </w:r>
      <w:proofErr w:type="spellEnd"/>
      <w:r>
        <w:rPr>
          <w:rFonts w:eastAsiaTheme="minorEastAsia" w:cstheme="minorHAnsi"/>
        </w:rPr>
        <w:t xml:space="preserve">, </w:t>
      </w:r>
    </w:p>
    <w:p w:rsidR="00880DFD" w:rsidRDefault="00880DFD" w:rsidP="00880DFD">
      <w:pPr>
        <w:spacing w:after="0" w:line="240" w:lineRule="auto"/>
        <w:ind w:right="-180"/>
        <w:jc w:val="both"/>
        <w:rPr>
          <w:rFonts w:eastAsiaTheme="minorEastAsia" w:cstheme="minorHAnsi"/>
        </w:rPr>
      </w:pPr>
      <w:r>
        <w:rPr>
          <w:rFonts w:eastAsiaTheme="minorEastAsia" w:cstheme="minorHAnsi"/>
        </w:rPr>
        <w:t xml:space="preserve">             </w:t>
      </w:r>
      <w:proofErr w:type="spellStart"/>
      <w:r>
        <w:rPr>
          <w:rFonts w:eastAsiaTheme="minorEastAsia" w:cstheme="minorHAnsi"/>
        </w:rPr>
        <w:t>Akwa</w:t>
      </w:r>
      <w:proofErr w:type="spellEnd"/>
      <w:r>
        <w:rPr>
          <w:rFonts w:eastAsiaTheme="minorEastAsia" w:cstheme="minorHAnsi"/>
        </w:rPr>
        <w:t xml:space="preserve"> Ibom State, Nigeria. Asian Journal of Soil Science and Plant Nutrition, 10 (4); 744 – 751. </w:t>
      </w:r>
    </w:p>
    <w:p w:rsidR="00880DFD" w:rsidRDefault="00880DFD" w:rsidP="00880DFD">
      <w:pPr>
        <w:spacing w:after="0" w:line="276" w:lineRule="auto"/>
        <w:jc w:val="both"/>
      </w:pPr>
    </w:p>
    <w:p w:rsidR="00880DFD" w:rsidRDefault="00880DFD" w:rsidP="00880DFD">
      <w:pPr>
        <w:spacing w:after="0" w:line="276" w:lineRule="auto"/>
        <w:jc w:val="both"/>
      </w:pPr>
      <w:proofErr w:type="spellStart"/>
      <w:r>
        <w:t>Akata</w:t>
      </w:r>
      <w:proofErr w:type="spellEnd"/>
      <w:r>
        <w:t>, O. R., Essien, O. A., Akpan, E. A., and Ben, F. E. (</w:t>
      </w:r>
      <w:hyperlink r:id="rId18" w:history="1">
        <w:r>
          <w:rPr>
            <w:rStyle w:val="Hyperlink"/>
          </w:rPr>
          <w:t>2025</w:t>
        </w:r>
      </w:hyperlink>
      <w:r>
        <w:t xml:space="preserve">a). Evaluation of land preparation methods on </w:t>
      </w:r>
    </w:p>
    <w:p w:rsidR="00880DFD" w:rsidRDefault="00880DFD" w:rsidP="00880DFD">
      <w:pPr>
        <w:spacing w:after="0" w:line="276" w:lineRule="auto"/>
        <w:jc w:val="both"/>
      </w:pPr>
      <w:r>
        <w:t xml:space="preserve">             performance of </w:t>
      </w:r>
      <w:proofErr w:type="spellStart"/>
      <w:r>
        <w:t>bambara</w:t>
      </w:r>
      <w:proofErr w:type="spellEnd"/>
      <w:r>
        <w:t xml:space="preserve"> groundnut in an </w:t>
      </w:r>
      <w:proofErr w:type="spellStart"/>
      <w:r>
        <w:t>ultisol</w:t>
      </w:r>
      <w:proofErr w:type="spellEnd"/>
      <w:r>
        <w:t xml:space="preserve">. Nigerian Journal of Horticultural Science, 29(1), </w:t>
      </w:r>
    </w:p>
    <w:p w:rsidR="00880DFD" w:rsidRPr="008143DC" w:rsidRDefault="00880DFD" w:rsidP="00880DFD">
      <w:pPr>
        <w:spacing w:after="0" w:line="276" w:lineRule="auto"/>
        <w:jc w:val="both"/>
        <w:rPr>
          <w:lang w:val="es-US"/>
        </w:rPr>
      </w:pPr>
      <w:r>
        <w:t xml:space="preserve">             </w:t>
      </w:r>
      <w:r w:rsidRPr="008143DC">
        <w:rPr>
          <w:lang w:val="es-US"/>
        </w:rPr>
        <w:t>55–60.</w:t>
      </w:r>
    </w:p>
    <w:p w:rsidR="00880DFD" w:rsidRPr="008143DC" w:rsidRDefault="00880DFD" w:rsidP="00880DFD">
      <w:pPr>
        <w:spacing w:after="0" w:line="276" w:lineRule="auto"/>
        <w:jc w:val="both"/>
        <w:rPr>
          <w:lang w:val="es-US"/>
        </w:rPr>
      </w:pPr>
    </w:p>
    <w:p w:rsidR="00880DFD" w:rsidRDefault="00880DFD" w:rsidP="00880DFD">
      <w:pPr>
        <w:spacing w:after="0" w:line="276" w:lineRule="auto"/>
        <w:jc w:val="both"/>
        <w:rPr>
          <w:i/>
        </w:rPr>
      </w:pPr>
      <w:proofErr w:type="spellStart"/>
      <w:r w:rsidRPr="008143DC">
        <w:rPr>
          <w:lang w:val="es-US"/>
        </w:rPr>
        <w:t>Akata</w:t>
      </w:r>
      <w:proofErr w:type="spellEnd"/>
      <w:r w:rsidRPr="008143DC">
        <w:rPr>
          <w:lang w:val="es-US"/>
        </w:rPr>
        <w:t xml:space="preserve">, O. R., </w:t>
      </w:r>
      <w:proofErr w:type="spellStart"/>
      <w:r w:rsidRPr="008143DC">
        <w:rPr>
          <w:lang w:val="es-US"/>
        </w:rPr>
        <w:t>Essien</w:t>
      </w:r>
      <w:proofErr w:type="spellEnd"/>
      <w:r w:rsidRPr="008143DC">
        <w:rPr>
          <w:lang w:val="es-US"/>
        </w:rPr>
        <w:t>, O. A., Ben, F. E., &amp; Angus, O. I. (</w:t>
      </w:r>
      <w:hyperlink r:id="rId19" w:history="1">
        <w:r w:rsidRPr="008143DC">
          <w:rPr>
            <w:rStyle w:val="Hyperlink"/>
            <w:lang w:val="es-US"/>
          </w:rPr>
          <w:t>2025</w:t>
        </w:r>
      </w:hyperlink>
      <w:r w:rsidRPr="008143DC">
        <w:rPr>
          <w:lang w:val="es-US"/>
        </w:rPr>
        <w:t xml:space="preserve">b). </w:t>
      </w:r>
      <w:r>
        <w:t>Performance of Fluted Pumpkin (</w:t>
      </w:r>
      <w:proofErr w:type="spellStart"/>
      <w:r>
        <w:rPr>
          <w:i/>
        </w:rPr>
        <w:t>Telfairia</w:t>
      </w:r>
      <w:proofErr w:type="spellEnd"/>
    </w:p>
    <w:p w:rsidR="00880DFD" w:rsidRDefault="00880DFD" w:rsidP="00880DFD">
      <w:pPr>
        <w:spacing w:after="0" w:line="276" w:lineRule="auto"/>
        <w:jc w:val="both"/>
      </w:pPr>
      <w:r>
        <w:rPr>
          <w:i/>
        </w:rPr>
        <w:t xml:space="preserve">              </w:t>
      </w:r>
      <w:proofErr w:type="spellStart"/>
      <w:r>
        <w:rPr>
          <w:i/>
        </w:rPr>
        <w:t>Occidentalis</w:t>
      </w:r>
      <w:proofErr w:type="spellEnd"/>
      <w:r>
        <w:rPr>
          <w:i/>
        </w:rPr>
        <w:t xml:space="preserve"> Hook F.</w:t>
      </w:r>
      <w:r>
        <w:t xml:space="preserve">) under Different Nitrogen Fertilizer Grades in a High Humid Ecology of </w:t>
      </w:r>
    </w:p>
    <w:p w:rsidR="00880DFD" w:rsidRPr="001C3B91" w:rsidRDefault="00880DFD" w:rsidP="00880DFD">
      <w:pPr>
        <w:spacing w:after="0" w:line="276" w:lineRule="auto"/>
        <w:jc w:val="both"/>
      </w:pPr>
      <w:r>
        <w:t xml:space="preserve">              Southern Nigeria. AKSU Journal of Agriculture and Food Sciences. 9(2): 82 – 93.</w:t>
      </w:r>
    </w:p>
    <w:p w:rsidR="00880DFD" w:rsidRDefault="00880DFD" w:rsidP="00880DFD">
      <w:pPr>
        <w:spacing w:after="0" w:line="276" w:lineRule="auto"/>
        <w:jc w:val="both"/>
      </w:pPr>
    </w:p>
    <w:p w:rsidR="00880DFD" w:rsidRDefault="00880DFD" w:rsidP="00880DFD">
      <w:pPr>
        <w:spacing w:after="0" w:line="240" w:lineRule="auto"/>
        <w:ind w:right="-180"/>
        <w:jc w:val="both"/>
        <w:rPr>
          <w:rFonts w:eastAsiaTheme="minorEastAsia" w:cstheme="minorHAnsi"/>
        </w:rPr>
      </w:pPr>
      <w:r>
        <w:rPr>
          <w:rFonts w:eastAsiaTheme="minorEastAsia" w:cstheme="minorHAnsi"/>
        </w:rPr>
        <w:t xml:space="preserve">Akpan, E. A., Elijah, A. A. and Essien, O. A. (2021). Response of </w:t>
      </w:r>
      <w:proofErr w:type="spellStart"/>
      <w:r>
        <w:rPr>
          <w:rFonts w:eastAsiaTheme="minorEastAsia" w:cstheme="minorHAnsi"/>
        </w:rPr>
        <w:t>Carriot</w:t>
      </w:r>
      <w:proofErr w:type="spellEnd"/>
      <w:r>
        <w:rPr>
          <w:rFonts w:eastAsiaTheme="minorEastAsia" w:cstheme="minorHAnsi"/>
        </w:rPr>
        <w:t xml:space="preserve"> (Daucus </w:t>
      </w:r>
      <w:proofErr w:type="spellStart"/>
      <w:r>
        <w:rPr>
          <w:rFonts w:eastAsiaTheme="minorEastAsia" w:cstheme="minorHAnsi"/>
        </w:rPr>
        <w:t>carota</w:t>
      </w:r>
      <w:proofErr w:type="spellEnd"/>
      <w:r>
        <w:rPr>
          <w:rFonts w:eastAsiaTheme="minorEastAsia" w:cstheme="minorHAnsi"/>
        </w:rPr>
        <w:t xml:space="preserve"> L.) to Different </w:t>
      </w:r>
    </w:p>
    <w:p w:rsidR="00880DFD" w:rsidRDefault="00880DFD" w:rsidP="00880DFD">
      <w:pPr>
        <w:spacing w:after="0" w:line="240" w:lineRule="auto"/>
        <w:ind w:right="-180"/>
        <w:jc w:val="both"/>
        <w:rPr>
          <w:rFonts w:eastAsiaTheme="minorEastAsia" w:cstheme="minorHAnsi"/>
        </w:rPr>
      </w:pPr>
      <w:r>
        <w:rPr>
          <w:rFonts w:eastAsiaTheme="minorEastAsia" w:cstheme="minorHAnsi"/>
        </w:rPr>
        <w:t xml:space="preserve">             Organic Fertilizers in </w:t>
      </w:r>
      <w:proofErr w:type="spellStart"/>
      <w:r>
        <w:rPr>
          <w:rFonts w:eastAsiaTheme="minorEastAsia" w:cstheme="minorHAnsi"/>
        </w:rPr>
        <w:t>Obio</w:t>
      </w:r>
      <w:proofErr w:type="spellEnd"/>
      <w:r>
        <w:rPr>
          <w:rFonts w:eastAsiaTheme="minorEastAsia" w:cstheme="minorHAnsi"/>
        </w:rPr>
        <w:t xml:space="preserve"> </w:t>
      </w:r>
      <w:proofErr w:type="spellStart"/>
      <w:r>
        <w:rPr>
          <w:rFonts w:eastAsiaTheme="minorEastAsia" w:cstheme="minorHAnsi"/>
        </w:rPr>
        <w:t>Akpa</w:t>
      </w:r>
      <w:proofErr w:type="spellEnd"/>
      <w:r>
        <w:rPr>
          <w:rFonts w:eastAsiaTheme="minorEastAsia" w:cstheme="minorHAnsi"/>
        </w:rPr>
        <w:t xml:space="preserve">, </w:t>
      </w:r>
      <w:proofErr w:type="spellStart"/>
      <w:r>
        <w:rPr>
          <w:rFonts w:eastAsiaTheme="minorEastAsia" w:cstheme="minorHAnsi"/>
        </w:rPr>
        <w:t>Akwa</w:t>
      </w:r>
      <w:proofErr w:type="spellEnd"/>
      <w:r>
        <w:rPr>
          <w:rFonts w:eastAsiaTheme="minorEastAsia" w:cstheme="minorHAnsi"/>
        </w:rPr>
        <w:t xml:space="preserve"> Ibom State. Nigerian Journal of Agricultural Technology, 18;   </w:t>
      </w:r>
    </w:p>
    <w:p w:rsidR="00880DFD" w:rsidRDefault="00880DFD" w:rsidP="00880DFD">
      <w:pPr>
        <w:spacing w:after="0" w:line="240" w:lineRule="auto"/>
        <w:ind w:right="-180"/>
        <w:jc w:val="both"/>
        <w:rPr>
          <w:rFonts w:eastAsiaTheme="minorEastAsia" w:cstheme="minorHAnsi"/>
        </w:rPr>
      </w:pPr>
      <w:r>
        <w:rPr>
          <w:rFonts w:eastAsiaTheme="minorEastAsia" w:cstheme="minorHAnsi"/>
        </w:rPr>
        <w:lastRenderedPageBreak/>
        <w:t xml:space="preserve">             46 – 52. </w:t>
      </w:r>
    </w:p>
    <w:p w:rsidR="00880DFD" w:rsidRDefault="00880DFD" w:rsidP="00880DFD">
      <w:pPr>
        <w:spacing w:after="0" w:line="240" w:lineRule="auto"/>
        <w:ind w:right="-180"/>
        <w:jc w:val="both"/>
        <w:rPr>
          <w:rFonts w:eastAsiaTheme="minorEastAsia" w:cstheme="minorHAnsi"/>
        </w:rPr>
      </w:pPr>
    </w:p>
    <w:p w:rsidR="00880DFD" w:rsidRDefault="00880DFD" w:rsidP="00880DFD">
      <w:pPr>
        <w:spacing w:after="0" w:line="240" w:lineRule="auto"/>
        <w:ind w:right="-180"/>
        <w:jc w:val="both"/>
        <w:rPr>
          <w:rFonts w:eastAsiaTheme="minorEastAsia" w:cstheme="minorHAnsi"/>
        </w:rPr>
      </w:pPr>
      <w:r>
        <w:rPr>
          <w:rFonts w:eastAsiaTheme="minorEastAsia" w:cstheme="minorHAnsi"/>
        </w:rPr>
        <w:t xml:space="preserve">Akpan, E. A., Essien, O. A., </w:t>
      </w:r>
      <w:proofErr w:type="spellStart"/>
      <w:r>
        <w:rPr>
          <w:rFonts w:eastAsiaTheme="minorEastAsia" w:cstheme="minorHAnsi"/>
        </w:rPr>
        <w:t>Akata</w:t>
      </w:r>
      <w:proofErr w:type="spellEnd"/>
      <w:r>
        <w:rPr>
          <w:rFonts w:eastAsiaTheme="minorEastAsia" w:cstheme="minorHAnsi"/>
        </w:rPr>
        <w:t xml:space="preserve">, O. R. and </w:t>
      </w:r>
      <w:proofErr w:type="spellStart"/>
      <w:r>
        <w:rPr>
          <w:rFonts w:eastAsiaTheme="minorEastAsia" w:cstheme="minorHAnsi"/>
        </w:rPr>
        <w:t>Opeolu</w:t>
      </w:r>
      <w:proofErr w:type="spellEnd"/>
      <w:r>
        <w:rPr>
          <w:rFonts w:eastAsiaTheme="minorEastAsia" w:cstheme="minorHAnsi"/>
        </w:rPr>
        <w:t xml:space="preserve">, E. M. (2024). Effect of Palm Bunch Ash and Harvesting </w:t>
      </w:r>
    </w:p>
    <w:p w:rsidR="00880DFD" w:rsidRDefault="00880DFD" w:rsidP="00880DFD">
      <w:pPr>
        <w:spacing w:after="0" w:line="240" w:lineRule="auto"/>
        <w:ind w:right="-180"/>
        <w:jc w:val="both"/>
        <w:rPr>
          <w:rFonts w:eastAsiaTheme="minorEastAsia" w:cstheme="minorHAnsi"/>
        </w:rPr>
      </w:pPr>
      <w:r>
        <w:rPr>
          <w:rFonts w:eastAsiaTheme="minorEastAsia" w:cstheme="minorHAnsi"/>
        </w:rPr>
        <w:t xml:space="preserve">             Intervals on Okra (Abelmoschus </w:t>
      </w:r>
      <w:proofErr w:type="spellStart"/>
      <w:r>
        <w:rPr>
          <w:rFonts w:eastAsiaTheme="minorEastAsia" w:cstheme="minorHAnsi"/>
        </w:rPr>
        <w:t>esculentus</w:t>
      </w:r>
      <w:proofErr w:type="spellEnd"/>
      <w:r>
        <w:rPr>
          <w:rFonts w:eastAsiaTheme="minorEastAsia" w:cstheme="minorHAnsi"/>
        </w:rPr>
        <w:t xml:space="preserve"> L.) Cultivars in </w:t>
      </w:r>
      <w:proofErr w:type="spellStart"/>
      <w:r>
        <w:rPr>
          <w:rFonts w:eastAsiaTheme="minorEastAsia" w:cstheme="minorHAnsi"/>
        </w:rPr>
        <w:t>Obio</w:t>
      </w:r>
      <w:proofErr w:type="spellEnd"/>
      <w:r>
        <w:rPr>
          <w:rFonts w:eastAsiaTheme="minorEastAsia" w:cstheme="minorHAnsi"/>
        </w:rPr>
        <w:t xml:space="preserve"> </w:t>
      </w:r>
      <w:proofErr w:type="spellStart"/>
      <w:r>
        <w:rPr>
          <w:rFonts w:eastAsiaTheme="minorEastAsia" w:cstheme="minorHAnsi"/>
        </w:rPr>
        <w:t>Akpa</w:t>
      </w:r>
      <w:proofErr w:type="spellEnd"/>
      <w:r>
        <w:rPr>
          <w:rFonts w:eastAsiaTheme="minorEastAsia" w:cstheme="minorHAnsi"/>
        </w:rPr>
        <w:t xml:space="preserve">, </w:t>
      </w:r>
      <w:proofErr w:type="spellStart"/>
      <w:r>
        <w:rPr>
          <w:rFonts w:eastAsiaTheme="minorEastAsia" w:cstheme="minorHAnsi"/>
        </w:rPr>
        <w:t>Akwa</w:t>
      </w:r>
      <w:proofErr w:type="spellEnd"/>
      <w:r>
        <w:rPr>
          <w:rFonts w:eastAsiaTheme="minorEastAsia" w:cstheme="minorHAnsi"/>
        </w:rPr>
        <w:t xml:space="preserve"> Ibom State, Nigeria.  </w:t>
      </w:r>
    </w:p>
    <w:p w:rsidR="00880DFD" w:rsidRDefault="00880DFD" w:rsidP="00880DFD">
      <w:pPr>
        <w:spacing w:after="0" w:line="240" w:lineRule="auto"/>
        <w:ind w:right="-180"/>
        <w:jc w:val="both"/>
        <w:rPr>
          <w:rFonts w:eastAsiaTheme="minorEastAsia" w:cstheme="minorHAnsi"/>
        </w:rPr>
      </w:pPr>
      <w:r>
        <w:rPr>
          <w:rFonts w:eastAsiaTheme="minorEastAsia" w:cstheme="minorHAnsi"/>
        </w:rPr>
        <w:t xml:space="preserve">             Nigeria Journal of Agriculture, Food and Environment, 20(1); 21 – 30.</w:t>
      </w:r>
    </w:p>
    <w:p w:rsidR="00880DFD" w:rsidRDefault="00880DFD" w:rsidP="00880DFD">
      <w:pPr>
        <w:spacing w:after="0" w:line="276" w:lineRule="auto"/>
        <w:jc w:val="both"/>
      </w:pPr>
    </w:p>
    <w:p w:rsidR="00880DFD" w:rsidRDefault="00880DFD" w:rsidP="00880DFD">
      <w:pPr>
        <w:spacing w:after="0" w:line="240" w:lineRule="auto"/>
        <w:ind w:right="-180"/>
        <w:jc w:val="both"/>
        <w:rPr>
          <w:rFonts w:eastAsiaTheme="minorEastAsia" w:cstheme="minorHAnsi"/>
        </w:rPr>
      </w:pPr>
      <w:r w:rsidRPr="00475493">
        <w:rPr>
          <w:rFonts w:eastAsiaTheme="minorEastAsia" w:cstheme="minorHAnsi"/>
        </w:rPr>
        <w:t>Akpan, E. A.</w:t>
      </w:r>
      <w:r>
        <w:rPr>
          <w:rFonts w:eastAsiaTheme="minorEastAsia" w:cstheme="minorHAnsi"/>
        </w:rPr>
        <w:t>, Akpan, A. S., and Essien A., O</w:t>
      </w:r>
      <w:r w:rsidRPr="00475493">
        <w:rPr>
          <w:rFonts w:eastAsiaTheme="minorEastAsia" w:cstheme="minorHAnsi"/>
        </w:rPr>
        <w:t xml:space="preserve">. (2023). Effect of decapitation on the Growth and yield of </w:t>
      </w:r>
    </w:p>
    <w:p w:rsidR="00880DFD" w:rsidRPr="00AF5E26" w:rsidRDefault="00880DFD" w:rsidP="00880DFD">
      <w:pPr>
        <w:spacing w:after="0" w:line="240" w:lineRule="auto"/>
        <w:ind w:right="-180"/>
        <w:jc w:val="both"/>
        <w:rPr>
          <w:rFonts w:eastAsiaTheme="minorEastAsia" w:cstheme="minorHAnsi"/>
          <w:i/>
        </w:rPr>
      </w:pPr>
      <w:r>
        <w:rPr>
          <w:rFonts w:eastAsiaTheme="minorEastAsia" w:cstheme="minorHAnsi"/>
        </w:rPr>
        <w:t xml:space="preserve">             </w:t>
      </w:r>
      <w:r w:rsidRPr="00475493">
        <w:rPr>
          <w:rFonts w:eastAsiaTheme="minorEastAsia" w:cstheme="minorHAnsi"/>
        </w:rPr>
        <w:t xml:space="preserve">pepper (Capsicum annum L.) in </w:t>
      </w:r>
      <w:proofErr w:type="spellStart"/>
      <w:r w:rsidRPr="00475493">
        <w:rPr>
          <w:rFonts w:eastAsiaTheme="minorEastAsia" w:cstheme="minorHAnsi"/>
        </w:rPr>
        <w:t>Obio</w:t>
      </w:r>
      <w:proofErr w:type="spellEnd"/>
      <w:r w:rsidRPr="00475493">
        <w:rPr>
          <w:rFonts w:eastAsiaTheme="minorEastAsia" w:cstheme="minorHAnsi"/>
        </w:rPr>
        <w:t xml:space="preserve"> </w:t>
      </w:r>
      <w:proofErr w:type="spellStart"/>
      <w:r w:rsidRPr="00475493">
        <w:rPr>
          <w:rFonts w:eastAsiaTheme="minorEastAsia" w:cstheme="minorHAnsi"/>
        </w:rPr>
        <w:t>Akpa</w:t>
      </w:r>
      <w:proofErr w:type="spellEnd"/>
      <w:r w:rsidRPr="00475493">
        <w:rPr>
          <w:rFonts w:eastAsiaTheme="minorEastAsia" w:cstheme="minorHAnsi"/>
        </w:rPr>
        <w:t xml:space="preserve">, </w:t>
      </w:r>
      <w:proofErr w:type="spellStart"/>
      <w:r w:rsidRPr="00475493">
        <w:rPr>
          <w:rFonts w:eastAsiaTheme="minorEastAsia" w:cstheme="minorHAnsi"/>
        </w:rPr>
        <w:t>Akwa</w:t>
      </w:r>
      <w:proofErr w:type="spellEnd"/>
      <w:r w:rsidRPr="00475493">
        <w:rPr>
          <w:rFonts w:eastAsiaTheme="minorEastAsia" w:cstheme="minorHAnsi"/>
        </w:rPr>
        <w:t xml:space="preserve"> Ibom state. </w:t>
      </w:r>
      <w:proofErr w:type="spellStart"/>
      <w:r w:rsidRPr="00AF5E26">
        <w:rPr>
          <w:rFonts w:eastAsiaTheme="minorEastAsia" w:cstheme="minorHAnsi"/>
          <w:i/>
        </w:rPr>
        <w:t>Akwa</w:t>
      </w:r>
      <w:proofErr w:type="spellEnd"/>
      <w:r w:rsidRPr="00AF5E26">
        <w:rPr>
          <w:rFonts w:eastAsiaTheme="minorEastAsia" w:cstheme="minorHAnsi"/>
          <w:i/>
        </w:rPr>
        <w:t xml:space="preserve"> Ibom State University Journal  </w:t>
      </w:r>
    </w:p>
    <w:p w:rsidR="00880DFD" w:rsidRDefault="00880DFD" w:rsidP="00880DFD">
      <w:pPr>
        <w:spacing w:after="0" w:line="240" w:lineRule="auto"/>
        <w:ind w:right="-180"/>
        <w:jc w:val="both"/>
        <w:rPr>
          <w:rFonts w:eastAsiaTheme="minorEastAsia" w:cstheme="minorHAnsi"/>
        </w:rPr>
      </w:pPr>
      <w:r w:rsidRPr="00AF5E26">
        <w:rPr>
          <w:rFonts w:eastAsiaTheme="minorEastAsia" w:cstheme="minorHAnsi"/>
          <w:i/>
        </w:rPr>
        <w:t xml:space="preserve">             </w:t>
      </w:r>
      <w:r>
        <w:rPr>
          <w:rFonts w:eastAsiaTheme="minorEastAsia" w:cstheme="minorHAnsi"/>
          <w:i/>
        </w:rPr>
        <w:t>of Agriculture and Food S</w:t>
      </w:r>
      <w:r w:rsidRPr="00AF5E26">
        <w:rPr>
          <w:rFonts w:eastAsiaTheme="minorEastAsia" w:cstheme="minorHAnsi"/>
          <w:i/>
        </w:rPr>
        <w:t>cience.</w:t>
      </w:r>
      <w:r w:rsidRPr="00475493">
        <w:rPr>
          <w:rFonts w:eastAsiaTheme="minorEastAsia" w:cstheme="minorHAnsi"/>
        </w:rPr>
        <w:t xml:space="preserve"> 7(1): 9 – 21.    </w:t>
      </w:r>
    </w:p>
    <w:p w:rsidR="00880DFD" w:rsidRDefault="00880DFD" w:rsidP="00880DFD">
      <w:pPr>
        <w:spacing w:after="0" w:line="240" w:lineRule="auto"/>
        <w:ind w:right="-180"/>
        <w:jc w:val="both"/>
        <w:rPr>
          <w:rFonts w:eastAsiaTheme="minorEastAsia" w:cstheme="minorHAnsi"/>
        </w:rPr>
      </w:pPr>
    </w:p>
    <w:p w:rsidR="00880DFD" w:rsidRDefault="00880DFD" w:rsidP="00880DFD">
      <w:pPr>
        <w:spacing w:after="0" w:line="276" w:lineRule="auto"/>
        <w:jc w:val="both"/>
      </w:pPr>
    </w:p>
    <w:p w:rsidR="00880DFD" w:rsidRPr="008F7623" w:rsidRDefault="00880DFD" w:rsidP="00880DFD">
      <w:pPr>
        <w:spacing w:after="0" w:line="276" w:lineRule="auto"/>
        <w:jc w:val="both"/>
        <w:rPr>
          <w:highlight w:val="yellow"/>
        </w:rPr>
      </w:pPr>
      <w:r w:rsidRPr="008F7623">
        <w:rPr>
          <w:highlight w:val="yellow"/>
        </w:rPr>
        <w:t>Ali, M., Khan, S., &amp; Ahmed, R. (</w:t>
      </w:r>
      <w:hyperlink r:id="rId20" w:history="1">
        <w:r w:rsidRPr="008F7623">
          <w:rPr>
            <w:rStyle w:val="Hyperlink"/>
            <w:highlight w:val="yellow"/>
          </w:rPr>
          <w:t>2009</w:t>
        </w:r>
      </w:hyperlink>
      <w:r w:rsidRPr="008F7623">
        <w:rPr>
          <w:highlight w:val="yellow"/>
        </w:rPr>
        <w:t xml:space="preserve">). Impact of agricultural innovations on smallholder productivity. </w:t>
      </w:r>
    </w:p>
    <w:p w:rsidR="00880DFD" w:rsidRDefault="00880DFD" w:rsidP="00880DFD">
      <w:pPr>
        <w:spacing w:after="0" w:line="276" w:lineRule="auto"/>
        <w:jc w:val="both"/>
      </w:pPr>
      <w:r w:rsidRPr="008F7623">
        <w:rPr>
          <w:highlight w:val="yellow"/>
        </w:rPr>
        <w:t xml:space="preserve">             International Journal of Rural Development, 15(3), 45–58.</w:t>
      </w:r>
    </w:p>
    <w:p w:rsidR="00880DFD" w:rsidRDefault="00880DFD" w:rsidP="00880DFD">
      <w:pPr>
        <w:spacing w:after="0" w:line="276" w:lineRule="auto"/>
        <w:jc w:val="both"/>
      </w:pPr>
    </w:p>
    <w:p w:rsidR="00880DFD" w:rsidRDefault="00880DFD" w:rsidP="00880DFD">
      <w:pPr>
        <w:tabs>
          <w:tab w:val="left" w:pos="2880"/>
        </w:tabs>
        <w:spacing w:after="0" w:line="240" w:lineRule="auto"/>
        <w:jc w:val="both"/>
        <w:rPr>
          <w:rFonts w:ascii="Calibri" w:hAnsi="Calibri" w:cs="Calibri"/>
          <w:bCs/>
          <w:color w:val="000000" w:themeColor="text1"/>
        </w:rPr>
      </w:pPr>
      <w:r w:rsidRPr="008143DC">
        <w:rPr>
          <w:rFonts w:ascii="Calibri" w:hAnsi="Calibri" w:cs="Calibri"/>
          <w:bCs/>
          <w:color w:val="000000" w:themeColor="text1"/>
          <w:lang w:val="es-US"/>
        </w:rPr>
        <w:t xml:space="preserve">Ben, F. E, </w:t>
      </w:r>
      <w:proofErr w:type="spellStart"/>
      <w:r w:rsidRPr="008143DC">
        <w:rPr>
          <w:rFonts w:ascii="Calibri" w:hAnsi="Calibri" w:cs="Calibri"/>
          <w:bCs/>
          <w:color w:val="000000" w:themeColor="text1"/>
          <w:lang w:val="es-US"/>
        </w:rPr>
        <w:t>Essien</w:t>
      </w:r>
      <w:proofErr w:type="spellEnd"/>
      <w:r w:rsidRPr="008143DC">
        <w:rPr>
          <w:rFonts w:ascii="Calibri" w:hAnsi="Calibri" w:cs="Calibri"/>
          <w:bCs/>
          <w:color w:val="000000" w:themeColor="text1"/>
          <w:lang w:val="es-US"/>
        </w:rPr>
        <w:t xml:space="preserve">, O. A., </w:t>
      </w:r>
      <w:proofErr w:type="spellStart"/>
      <w:r w:rsidRPr="008143DC">
        <w:rPr>
          <w:rFonts w:ascii="Calibri" w:hAnsi="Calibri" w:cs="Calibri"/>
          <w:bCs/>
          <w:color w:val="000000" w:themeColor="text1"/>
          <w:lang w:val="es-US"/>
        </w:rPr>
        <w:t>Enyong</w:t>
      </w:r>
      <w:proofErr w:type="spellEnd"/>
      <w:r w:rsidRPr="008143DC">
        <w:rPr>
          <w:rFonts w:ascii="Calibri" w:hAnsi="Calibri" w:cs="Calibri"/>
          <w:bCs/>
          <w:color w:val="000000" w:themeColor="text1"/>
          <w:lang w:val="es-US"/>
        </w:rPr>
        <w:t xml:space="preserve">, J. F. and </w:t>
      </w:r>
      <w:proofErr w:type="spellStart"/>
      <w:r w:rsidRPr="008143DC">
        <w:rPr>
          <w:rFonts w:ascii="Calibri" w:hAnsi="Calibri" w:cs="Calibri"/>
          <w:bCs/>
          <w:color w:val="000000" w:themeColor="text1"/>
          <w:lang w:val="es-US"/>
        </w:rPr>
        <w:t>Essien</w:t>
      </w:r>
      <w:proofErr w:type="spellEnd"/>
      <w:r w:rsidRPr="008143DC">
        <w:rPr>
          <w:rFonts w:ascii="Calibri" w:hAnsi="Calibri" w:cs="Calibri"/>
          <w:bCs/>
          <w:color w:val="000000" w:themeColor="text1"/>
          <w:lang w:val="es-US"/>
        </w:rPr>
        <w:t xml:space="preserve">, I. A. (2024).  </w:t>
      </w:r>
      <w:r>
        <w:rPr>
          <w:rFonts w:ascii="Calibri" w:hAnsi="Calibri" w:cs="Calibri"/>
          <w:bCs/>
          <w:color w:val="000000" w:themeColor="text1"/>
        </w:rPr>
        <w:t xml:space="preserve">Effect of poultry manure </w:t>
      </w:r>
      <w:proofErr w:type="spellStart"/>
      <w:r w:rsidRPr="00475493">
        <w:rPr>
          <w:rFonts w:ascii="Calibri" w:hAnsi="Calibri" w:cs="Calibri"/>
          <w:bCs/>
          <w:color w:val="000000" w:themeColor="text1"/>
        </w:rPr>
        <w:t>nd</w:t>
      </w:r>
      <w:proofErr w:type="spellEnd"/>
      <w:r w:rsidRPr="00475493">
        <w:rPr>
          <w:rFonts w:ascii="Calibri" w:hAnsi="Calibri" w:cs="Calibri"/>
          <w:bCs/>
          <w:color w:val="000000" w:themeColor="text1"/>
        </w:rPr>
        <w:t xml:space="preserve"> super – Gro </w:t>
      </w:r>
    </w:p>
    <w:p w:rsidR="00880DFD" w:rsidRPr="00AF5E26" w:rsidRDefault="00880DFD" w:rsidP="00880DFD">
      <w:pPr>
        <w:tabs>
          <w:tab w:val="left" w:pos="2880"/>
        </w:tabs>
        <w:spacing w:after="0" w:line="240" w:lineRule="auto"/>
        <w:jc w:val="both"/>
        <w:rPr>
          <w:rFonts w:ascii="Calibri" w:hAnsi="Calibri" w:cs="Calibri"/>
          <w:bCs/>
          <w:i/>
          <w:color w:val="000000" w:themeColor="text1"/>
        </w:rPr>
      </w:pPr>
      <w:r>
        <w:rPr>
          <w:rFonts w:ascii="Calibri" w:hAnsi="Calibri" w:cs="Calibri"/>
          <w:bCs/>
          <w:color w:val="000000" w:themeColor="text1"/>
        </w:rPr>
        <w:t xml:space="preserve">              </w:t>
      </w:r>
      <w:r w:rsidRPr="00475493">
        <w:rPr>
          <w:rFonts w:ascii="Calibri" w:hAnsi="Calibri" w:cs="Calibri"/>
          <w:bCs/>
          <w:color w:val="000000" w:themeColor="text1"/>
        </w:rPr>
        <w:t xml:space="preserve">Fertilizer on the Performance of sweet potato in the lowland Rainforest of </w:t>
      </w:r>
      <w:proofErr w:type="spellStart"/>
      <w:r w:rsidRPr="00475493">
        <w:rPr>
          <w:rFonts w:ascii="Calibri" w:hAnsi="Calibri" w:cs="Calibri"/>
          <w:bCs/>
          <w:color w:val="000000" w:themeColor="text1"/>
        </w:rPr>
        <w:t>Obio</w:t>
      </w:r>
      <w:proofErr w:type="spellEnd"/>
      <w:r w:rsidRPr="00475493">
        <w:rPr>
          <w:rFonts w:ascii="Calibri" w:hAnsi="Calibri" w:cs="Calibri"/>
          <w:bCs/>
          <w:color w:val="000000" w:themeColor="text1"/>
        </w:rPr>
        <w:t xml:space="preserve"> </w:t>
      </w:r>
      <w:proofErr w:type="spellStart"/>
      <w:r w:rsidRPr="00475493">
        <w:rPr>
          <w:rFonts w:ascii="Calibri" w:hAnsi="Calibri" w:cs="Calibri"/>
          <w:bCs/>
          <w:color w:val="000000" w:themeColor="text1"/>
        </w:rPr>
        <w:t>Akpa</w:t>
      </w:r>
      <w:proofErr w:type="spellEnd"/>
      <w:r w:rsidRPr="00475493">
        <w:rPr>
          <w:rFonts w:ascii="Calibri" w:hAnsi="Calibri" w:cs="Calibri"/>
          <w:bCs/>
          <w:color w:val="000000" w:themeColor="text1"/>
        </w:rPr>
        <w:t xml:space="preserve">. </w:t>
      </w:r>
      <w:r w:rsidRPr="00AF5E26">
        <w:rPr>
          <w:rFonts w:ascii="Calibri" w:hAnsi="Calibri" w:cs="Calibri"/>
          <w:bCs/>
          <w:i/>
          <w:color w:val="000000" w:themeColor="text1"/>
        </w:rPr>
        <w:t xml:space="preserve">Nigerian   </w:t>
      </w:r>
    </w:p>
    <w:p w:rsidR="00880DFD" w:rsidRPr="00475493" w:rsidRDefault="00880DFD" w:rsidP="00880DFD">
      <w:pPr>
        <w:tabs>
          <w:tab w:val="left" w:pos="2880"/>
        </w:tabs>
        <w:spacing w:after="0" w:line="240" w:lineRule="auto"/>
        <w:jc w:val="both"/>
        <w:rPr>
          <w:rFonts w:ascii="Calibri" w:hAnsi="Calibri" w:cs="Calibri"/>
          <w:bCs/>
          <w:color w:val="000000" w:themeColor="text1"/>
        </w:rPr>
      </w:pPr>
      <w:r w:rsidRPr="00AF5E26">
        <w:rPr>
          <w:rFonts w:ascii="Calibri" w:hAnsi="Calibri" w:cs="Calibri"/>
          <w:bCs/>
          <w:i/>
          <w:color w:val="000000" w:themeColor="text1"/>
        </w:rPr>
        <w:t xml:space="preserve">              Journal of Horticulture Science Horticultural Society of Nigeria </w:t>
      </w:r>
      <w:r w:rsidRPr="00475493">
        <w:rPr>
          <w:rFonts w:ascii="Calibri" w:hAnsi="Calibri" w:cs="Calibri"/>
          <w:bCs/>
          <w:color w:val="000000" w:themeColor="text1"/>
        </w:rPr>
        <w:t xml:space="preserve">28(3): 28 – 33.    </w:t>
      </w:r>
    </w:p>
    <w:p w:rsidR="00880DFD" w:rsidRDefault="00880DFD" w:rsidP="00880DFD">
      <w:pPr>
        <w:spacing w:after="0" w:line="276" w:lineRule="auto"/>
        <w:jc w:val="both"/>
      </w:pPr>
    </w:p>
    <w:p w:rsidR="00880DFD" w:rsidRDefault="00880DFD" w:rsidP="00880DFD">
      <w:pPr>
        <w:spacing w:after="0" w:line="276" w:lineRule="auto"/>
        <w:jc w:val="both"/>
      </w:pPr>
      <w:r>
        <w:t>DAFF (Department of Fisheries and Forestry) (2011). Production guidelines for cowpea.</w:t>
      </w:r>
    </w:p>
    <w:p w:rsidR="00880DFD" w:rsidRDefault="00880DFD" w:rsidP="00880DFD">
      <w:pPr>
        <w:spacing w:after="0" w:line="276" w:lineRule="auto"/>
        <w:jc w:val="both"/>
      </w:pPr>
    </w:p>
    <w:p w:rsidR="00880DFD" w:rsidRDefault="00880DFD" w:rsidP="00880DFD">
      <w:pPr>
        <w:spacing w:after="0" w:line="276" w:lineRule="auto"/>
        <w:jc w:val="both"/>
      </w:pPr>
      <w:proofErr w:type="spellStart"/>
      <w:r>
        <w:t>Egho</w:t>
      </w:r>
      <w:proofErr w:type="spellEnd"/>
      <w:r>
        <w:t xml:space="preserve">, E. O. (2012). Control of major </w:t>
      </w:r>
      <w:proofErr w:type="gramStart"/>
      <w:r>
        <w:t>insects</w:t>
      </w:r>
      <w:proofErr w:type="gramEnd"/>
      <w:r>
        <w:t xml:space="preserve"> pests of cowpea (</w:t>
      </w:r>
      <w:r>
        <w:rPr>
          <w:i/>
        </w:rPr>
        <w:t xml:space="preserve">Vigna </w:t>
      </w:r>
      <w:proofErr w:type="spellStart"/>
      <w:r>
        <w:rPr>
          <w:i/>
        </w:rPr>
        <w:t>unguiculata</w:t>
      </w:r>
      <w:proofErr w:type="spellEnd"/>
      <w:r>
        <w:t xml:space="preserve"> (L.) </w:t>
      </w:r>
      <w:proofErr w:type="spellStart"/>
      <w:r>
        <w:t>Walp</w:t>
      </w:r>
      <w:proofErr w:type="spellEnd"/>
      <w:r>
        <w:t xml:space="preserve">) using </w:t>
      </w:r>
    </w:p>
    <w:p w:rsidR="00880DFD" w:rsidRDefault="00880DFD" w:rsidP="00880DFD">
      <w:pPr>
        <w:spacing w:after="0" w:line="276" w:lineRule="auto"/>
        <w:jc w:val="both"/>
      </w:pPr>
      <w:r>
        <w:t xml:space="preserve">               conventional and non – conventional chemicals. </w:t>
      </w:r>
      <w:proofErr w:type="gramStart"/>
      <w:r>
        <w:t xml:space="preserve">A  </w:t>
      </w:r>
      <w:proofErr w:type="spellStart"/>
      <w:r>
        <w:t>Ph</w:t>
      </w:r>
      <w:proofErr w:type="gramEnd"/>
      <w:r>
        <w:t>.D</w:t>
      </w:r>
      <w:proofErr w:type="spellEnd"/>
      <w:r>
        <w:t xml:space="preserve"> Thesis submitted to the Department of</w:t>
      </w:r>
    </w:p>
    <w:p w:rsidR="00880DFD" w:rsidRPr="00CA3FE9" w:rsidRDefault="00880DFD" w:rsidP="00880DFD">
      <w:pPr>
        <w:spacing w:after="0" w:line="276" w:lineRule="auto"/>
        <w:jc w:val="both"/>
      </w:pPr>
      <w:r>
        <w:t xml:space="preserve">               Agronomy, Delta State University, </w:t>
      </w:r>
      <w:proofErr w:type="spellStart"/>
      <w:r>
        <w:t>Asaba</w:t>
      </w:r>
      <w:proofErr w:type="spellEnd"/>
      <w:r>
        <w:t xml:space="preserve"> Campus. 224p.</w:t>
      </w:r>
    </w:p>
    <w:p w:rsidR="00880DFD" w:rsidRDefault="00880DFD" w:rsidP="00880DFD">
      <w:pPr>
        <w:spacing w:after="0" w:line="276" w:lineRule="auto"/>
        <w:jc w:val="both"/>
      </w:pPr>
    </w:p>
    <w:p w:rsidR="00880DFD" w:rsidRDefault="00880DFD" w:rsidP="00880DFD">
      <w:pPr>
        <w:tabs>
          <w:tab w:val="left" w:pos="2880"/>
        </w:tabs>
        <w:spacing w:after="0" w:line="240" w:lineRule="auto"/>
        <w:jc w:val="both"/>
        <w:rPr>
          <w:rFonts w:cstheme="minorHAnsi"/>
          <w:noProof/>
        </w:rPr>
      </w:pPr>
      <w:r w:rsidRPr="00475493">
        <w:rPr>
          <w:rFonts w:cstheme="minorHAnsi"/>
          <w:noProof/>
        </w:rPr>
        <w:t xml:space="preserve">Essien, O. A., Udoh, O. E. and Ijah, C. J. (2023a). Investigation of Roles of Seed Bed Method and Manure </w:t>
      </w:r>
    </w:p>
    <w:p w:rsidR="00880DFD" w:rsidRPr="00475493" w:rsidRDefault="00880DFD" w:rsidP="00880DFD">
      <w:pPr>
        <w:tabs>
          <w:tab w:val="left" w:pos="2880"/>
        </w:tabs>
        <w:spacing w:after="0" w:line="240" w:lineRule="auto"/>
        <w:jc w:val="both"/>
        <w:rPr>
          <w:rFonts w:cstheme="minorHAnsi"/>
          <w:noProof/>
        </w:rPr>
      </w:pPr>
      <w:r>
        <w:rPr>
          <w:rFonts w:cstheme="minorHAnsi"/>
          <w:noProof/>
        </w:rPr>
        <w:t xml:space="preserve">               </w:t>
      </w:r>
      <w:r w:rsidRPr="00475493">
        <w:rPr>
          <w:rFonts w:cstheme="minorHAnsi"/>
          <w:noProof/>
        </w:rPr>
        <w:t>Types on Soils Properties in Aci</w:t>
      </w:r>
      <w:r>
        <w:rPr>
          <w:rFonts w:cstheme="minorHAnsi"/>
          <w:noProof/>
        </w:rPr>
        <w:t>d Soils, Southeastern, Nigeria. b,</w:t>
      </w:r>
      <w:r w:rsidRPr="00475493">
        <w:rPr>
          <w:rFonts w:cstheme="minorHAnsi"/>
          <w:noProof/>
        </w:rPr>
        <w:t xml:space="preserve"> 5 (5); 994-1007.</w:t>
      </w:r>
    </w:p>
    <w:p w:rsidR="00880DFD" w:rsidRPr="00475493" w:rsidRDefault="00880DFD" w:rsidP="00880DFD">
      <w:pPr>
        <w:tabs>
          <w:tab w:val="left" w:pos="2880"/>
        </w:tabs>
        <w:spacing w:after="0" w:line="240" w:lineRule="auto"/>
        <w:jc w:val="both"/>
        <w:rPr>
          <w:rFonts w:cstheme="minorHAnsi"/>
          <w:noProof/>
        </w:rPr>
      </w:pPr>
    </w:p>
    <w:p w:rsidR="00880DFD" w:rsidRDefault="00880DFD" w:rsidP="00880DFD">
      <w:pPr>
        <w:tabs>
          <w:tab w:val="left" w:pos="2880"/>
        </w:tabs>
        <w:spacing w:after="0" w:line="240" w:lineRule="auto"/>
        <w:jc w:val="both"/>
        <w:rPr>
          <w:rFonts w:cstheme="minorHAnsi"/>
          <w:noProof/>
        </w:rPr>
      </w:pPr>
      <w:r w:rsidRPr="00475493">
        <w:rPr>
          <w:rFonts w:cstheme="minorHAnsi"/>
          <w:noProof/>
        </w:rPr>
        <w:t xml:space="preserve">Essien, O. A., Akpan, E. A. and Akata, O. R. (2023b). Comparative Methods of Land Use Practices Effect </w:t>
      </w:r>
      <w:r>
        <w:rPr>
          <w:rFonts w:cstheme="minorHAnsi"/>
          <w:noProof/>
        </w:rPr>
        <w:t xml:space="preserve"> </w:t>
      </w:r>
    </w:p>
    <w:p w:rsidR="00880DFD" w:rsidRDefault="00880DFD" w:rsidP="00880DFD">
      <w:pPr>
        <w:tabs>
          <w:tab w:val="left" w:pos="2880"/>
        </w:tabs>
        <w:spacing w:after="0" w:line="240" w:lineRule="auto"/>
        <w:jc w:val="both"/>
        <w:rPr>
          <w:rFonts w:cstheme="minorHAnsi"/>
          <w:b/>
          <w:noProof/>
        </w:rPr>
      </w:pPr>
      <w:r>
        <w:rPr>
          <w:rFonts w:cstheme="minorHAnsi"/>
          <w:noProof/>
        </w:rPr>
        <w:t xml:space="preserve">              </w:t>
      </w:r>
      <w:r w:rsidRPr="00475493">
        <w:rPr>
          <w:rFonts w:cstheme="minorHAnsi"/>
          <w:noProof/>
        </w:rPr>
        <w:t xml:space="preserve">on Clay Dispersion in Coastal Plain Sand Soils in Southeastern Nigeria. </w:t>
      </w:r>
      <w:r w:rsidRPr="0060505C">
        <w:rPr>
          <w:rFonts w:cstheme="minorHAnsi"/>
          <w:b/>
          <w:noProof/>
        </w:rPr>
        <w:t xml:space="preserve">Journal of Agriculture, </w:t>
      </w:r>
    </w:p>
    <w:p w:rsidR="00880DFD" w:rsidRPr="00475493" w:rsidRDefault="00880DFD" w:rsidP="00880DFD">
      <w:pPr>
        <w:tabs>
          <w:tab w:val="left" w:pos="2880"/>
        </w:tabs>
        <w:spacing w:after="0" w:line="240" w:lineRule="auto"/>
        <w:jc w:val="both"/>
        <w:rPr>
          <w:rFonts w:cstheme="minorHAnsi"/>
          <w:noProof/>
        </w:rPr>
      </w:pPr>
      <w:r>
        <w:rPr>
          <w:rFonts w:cstheme="minorHAnsi"/>
          <w:b/>
          <w:noProof/>
        </w:rPr>
        <w:t xml:space="preserve">               </w:t>
      </w:r>
      <w:r w:rsidRPr="0060505C">
        <w:rPr>
          <w:rFonts w:cstheme="minorHAnsi"/>
          <w:b/>
          <w:noProof/>
        </w:rPr>
        <w:t>Envirnmental Resources and Management</w:t>
      </w:r>
      <w:r w:rsidRPr="00475493">
        <w:rPr>
          <w:rFonts w:cstheme="minorHAnsi"/>
          <w:noProof/>
        </w:rPr>
        <w:t>, 5 (6); 1022 – 1320.</w:t>
      </w:r>
    </w:p>
    <w:p w:rsidR="00880DFD" w:rsidRPr="00475493" w:rsidRDefault="00880DFD" w:rsidP="00880DFD">
      <w:pPr>
        <w:tabs>
          <w:tab w:val="left" w:pos="2880"/>
        </w:tabs>
        <w:spacing w:after="0" w:line="240" w:lineRule="auto"/>
        <w:jc w:val="both"/>
        <w:rPr>
          <w:rFonts w:cstheme="minorHAnsi"/>
          <w:noProof/>
        </w:rPr>
      </w:pPr>
    </w:p>
    <w:p w:rsidR="00880DFD" w:rsidRDefault="00880DFD" w:rsidP="00880DFD">
      <w:pPr>
        <w:tabs>
          <w:tab w:val="left" w:pos="2880"/>
        </w:tabs>
        <w:spacing w:after="0" w:line="240" w:lineRule="auto"/>
        <w:jc w:val="both"/>
        <w:rPr>
          <w:rFonts w:cstheme="minorHAnsi"/>
          <w:noProof/>
        </w:rPr>
      </w:pPr>
      <w:r w:rsidRPr="00475493">
        <w:rPr>
          <w:rFonts w:cstheme="minorHAnsi"/>
          <w:noProof/>
        </w:rPr>
        <w:t xml:space="preserve">Essien, O. A., Ogban, P. I., Arthur, G. J., Sam, I. J. and Edet, I. G. (2024a). Effect of slope Gradient on Soil </w:t>
      </w:r>
    </w:p>
    <w:p w:rsidR="00880DFD" w:rsidRDefault="00880DFD" w:rsidP="00880DFD">
      <w:pPr>
        <w:tabs>
          <w:tab w:val="left" w:pos="2880"/>
        </w:tabs>
        <w:spacing w:after="0" w:line="240" w:lineRule="auto"/>
        <w:jc w:val="both"/>
        <w:rPr>
          <w:rFonts w:cstheme="minorHAnsi"/>
          <w:noProof/>
        </w:rPr>
      </w:pPr>
      <w:r>
        <w:rPr>
          <w:rFonts w:cstheme="minorHAnsi"/>
          <w:noProof/>
        </w:rPr>
        <w:t xml:space="preserve">               </w:t>
      </w:r>
      <w:r w:rsidRPr="00475493">
        <w:rPr>
          <w:rFonts w:cstheme="minorHAnsi"/>
          <w:noProof/>
        </w:rPr>
        <w:t xml:space="preserve">Properties and Organic matter Quality in Aggregate size Fraction on Coastal plain Sand soils </w:t>
      </w:r>
    </w:p>
    <w:p w:rsidR="00880DFD" w:rsidRPr="00475493" w:rsidRDefault="00880DFD" w:rsidP="00880DFD">
      <w:pPr>
        <w:tabs>
          <w:tab w:val="left" w:pos="2880"/>
        </w:tabs>
        <w:spacing w:after="0" w:line="240" w:lineRule="auto"/>
        <w:jc w:val="both"/>
        <w:rPr>
          <w:rFonts w:cstheme="minorHAnsi"/>
          <w:noProof/>
        </w:rPr>
      </w:pPr>
      <w:r>
        <w:rPr>
          <w:rFonts w:cstheme="minorHAnsi"/>
          <w:noProof/>
        </w:rPr>
        <w:t xml:space="preserve">               </w:t>
      </w:r>
      <w:r w:rsidRPr="00475493">
        <w:rPr>
          <w:rFonts w:cstheme="minorHAnsi"/>
          <w:noProof/>
        </w:rPr>
        <w:t xml:space="preserve">Southeastern Nigeria. </w:t>
      </w:r>
      <w:r w:rsidRPr="0060505C">
        <w:rPr>
          <w:rFonts w:cstheme="minorHAnsi"/>
          <w:b/>
          <w:noProof/>
        </w:rPr>
        <w:t>Asian  Journal of Soil Science and plant Nutrition,</w:t>
      </w:r>
      <w:r w:rsidRPr="00475493">
        <w:rPr>
          <w:rFonts w:cstheme="minorHAnsi"/>
          <w:noProof/>
          <w:u w:val="single"/>
        </w:rPr>
        <w:t xml:space="preserve"> </w:t>
      </w:r>
      <w:r w:rsidRPr="00475493">
        <w:rPr>
          <w:rFonts w:cstheme="minorHAnsi"/>
          <w:noProof/>
        </w:rPr>
        <w:t xml:space="preserve">10 (4) : 480 – 492. </w:t>
      </w:r>
    </w:p>
    <w:p w:rsidR="00880DFD" w:rsidRPr="00475493" w:rsidRDefault="00880DFD" w:rsidP="00880DFD">
      <w:pPr>
        <w:tabs>
          <w:tab w:val="left" w:pos="2880"/>
        </w:tabs>
        <w:spacing w:after="0" w:line="240" w:lineRule="auto"/>
        <w:jc w:val="both"/>
        <w:rPr>
          <w:rFonts w:cstheme="minorHAnsi"/>
          <w:noProof/>
        </w:rPr>
      </w:pPr>
    </w:p>
    <w:p w:rsidR="00880DFD" w:rsidRDefault="00880DFD" w:rsidP="00880DFD">
      <w:pPr>
        <w:tabs>
          <w:tab w:val="left" w:pos="2880"/>
        </w:tabs>
        <w:spacing w:after="0" w:line="240" w:lineRule="auto"/>
        <w:jc w:val="both"/>
        <w:rPr>
          <w:rFonts w:cstheme="minorHAnsi"/>
          <w:noProof/>
        </w:rPr>
      </w:pPr>
      <w:r w:rsidRPr="00475493">
        <w:rPr>
          <w:rFonts w:cstheme="minorHAnsi"/>
          <w:noProof/>
        </w:rPr>
        <w:t xml:space="preserve">Essien, O. A., Sam, I. J. and Udo Inyang, U. C. (2024b).  Gully Category, Slope Positions and Soil Depth </w:t>
      </w:r>
    </w:p>
    <w:p w:rsidR="00880DFD" w:rsidRDefault="00880DFD" w:rsidP="00880DFD">
      <w:pPr>
        <w:tabs>
          <w:tab w:val="left" w:pos="2880"/>
        </w:tabs>
        <w:spacing w:after="0" w:line="240" w:lineRule="auto"/>
        <w:jc w:val="both"/>
        <w:rPr>
          <w:rFonts w:cstheme="minorHAnsi"/>
          <w:noProof/>
        </w:rPr>
      </w:pPr>
      <w:r>
        <w:rPr>
          <w:rFonts w:cstheme="minorHAnsi"/>
          <w:noProof/>
        </w:rPr>
        <w:t xml:space="preserve">              studies of </w:t>
      </w:r>
      <w:r w:rsidRPr="00475493">
        <w:rPr>
          <w:rFonts w:cstheme="minorHAnsi"/>
          <w:noProof/>
        </w:rPr>
        <w:t xml:space="preserve">Acid Sand : Their Effects Upon soil Physical Properties in Akwa Ibom State </w:t>
      </w:r>
      <w:r>
        <w:rPr>
          <w:rFonts w:cstheme="minorHAnsi"/>
          <w:noProof/>
        </w:rPr>
        <w:t xml:space="preserve">          </w:t>
      </w:r>
    </w:p>
    <w:p w:rsidR="00880DFD" w:rsidRPr="00475493" w:rsidRDefault="00880DFD" w:rsidP="00880DFD">
      <w:pPr>
        <w:tabs>
          <w:tab w:val="left" w:pos="2880"/>
        </w:tabs>
        <w:spacing w:after="0" w:line="240" w:lineRule="auto"/>
        <w:jc w:val="both"/>
        <w:rPr>
          <w:rFonts w:cstheme="minorHAnsi"/>
          <w:noProof/>
        </w:rPr>
      </w:pPr>
      <w:r>
        <w:rPr>
          <w:rFonts w:cstheme="minorHAnsi"/>
          <w:noProof/>
        </w:rPr>
        <w:t xml:space="preserve">              </w:t>
      </w:r>
      <w:r w:rsidRPr="00475493">
        <w:rPr>
          <w:rFonts w:cstheme="minorHAnsi"/>
          <w:noProof/>
        </w:rPr>
        <w:t xml:space="preserve">Southeastern, Nigeria.  </w:t>
      </w:r>
      <w:r w:rsidRPr="0060505C">
        <w:rPr>
          <w:rFonts w:cstheme="minorHAnsi"/>
          <w:b/>
          <w:noProof/>
        </w:rPr>
        <w:t>Asian Journal of Soil Science and plant Nutrition</w:t>
      </w:r>
      <w:r w:rsidRPr="00475493">
        <w:rPr>
          <w:rFonts w:cstheme="minorHAnsi"/>
          <w:noProof/>
        </w:rPr>
        <w:t>,</w:t>
      </w:r>
      <w:r w:rsidRPr="00475493">
        <w:rPr>
          <w:rFonts w:cstheme="minorHAnsi"/>
          <w:noProof/>
          <w:u w:val="single"/>
        </w:rPr>
        <w:t xml:space="preserve"> </w:t>
      </w:r>
      <w:r w:rsidRPr="00475493">
        <w:rPr>
          <w:rFonts w:cstheme="minorHAnsi"/>
          <w:noProof/>
        </w:rPr>
        <w:t>10 (4) : 779 – 794.</w:t>
      </w:r>
    </w:p>
    <w:p w:rsidR="00880DFD" w:rsidRDefault="00880DFD" w:rsidP="00880DFD">
      <w:pPr>
        <w:spacing w:after="0" w:line="276" w:lineRule="auto"/>
        <w:jc w:val="both"/>
      </w:pPr>
    </w:p>
    <w:p w:rsidR="00880DFD" w:rsidRDefault="00880DFD" w:rsidP="00880DFD">
      <w:pPr>
        <w:spacing w:after="0" w:line="276" w:lineRule="auto"/>
        <w:jc w:val="both"/>
      </w:pPr>
      <w:proofErr w:type="spellStart"/>
      <w:r>
        <w:t>Ezueh</w:t>
      </w:r>
      <w:proofErr w:type="spellEnd"/>
      <w:r>
        <w:t xml:space="preserve">, M. (1984). African yam bean as a crop in Nigeria. </w:t>
      </w:r>
      <w:r>
        <w:rPr>
          <w:i/>
        </w:rPr>
        <w:t>World Crops</w:t>
      </w:r>
      <w:r>
        <w:t>, 36, 199 – 200. National Academy of</w:t>
      </w:r>
    </w:p>
    <w:p w:rsidR="00880DFD" w:rsidRDefault="00880DFD" w:rsidP="00880DFD">
      <w:pPr>
        <w:spacing w:after="0" w:line="276" w:lineRule="auto"/>
        <w:jc w:val="both"/>
      </w:pPr>
      <w:r>
        <w:t xml:space="preserve">              Sciences. (1979) African yam bean, in </w:t>
      </w:r>
      <w:r>
        <w:rPr>
          <w:i/>
        </w:rPr>
        <w:t>Tropical Legumes:</w:t>
      </w:r>
      <w:r>
        <w:t xml:space="preserve"> </w:t>
      </w:r>
      <w:r>
        <w:rPr>
          <w:i/>
        </w:rPr>
        <w:t xml:space="preserve">Resources for the Future, </w:t>
      </w:r>
      <w:r>
        <w:t xml:space="preserve">National </w:t>
      </w:r>
    </w:p>
    <w:p w:rsidR="00880DFD" w:rsidRDefault="00880DFD" w:rsidP="00880DFD">
      <w:pPr>
        <w:spacing w:after="0" w:line="276" w:lineRule="auto"/>
        <w:jc w:val="both"/>
      </w:pPr>
      <w:r>
        <w:t xml:space="preserve">              Academy of Science. Washington, DC, pp, 27 – 32.</w:t>
      </w:r>
    </w:p>
    <w:p w:rsidR="00880DFD" w:rsidRDefault="00880DFD" w:rsidP="00880DFD">
      <w:pPr>
        <w:spacing w:after="0" w:line="276" w:lineRule="auto"/>
        <w:jc w:val="both"/>
      </w:pPr>
    </w:p>
    <w:p w:rsidR="00880DFD" w:rsidRDefault="00880DFD" w:rsidP="00880DFD">
      <w:pPr>
        <w:spacing w:after="0" w:line="276" w:lineRule="auto"/>
        <w:jc w:val="both"/>
      </w:pPr>
      <w:r>
        <w:t xml:space="preserve">FAO (Food and Agriculture Organization) (2005) Cowpea production data base for Nigeria 1990  </w:t>
      </w:r>
    </w:p>
    <w:p w:rsidR="00880DFD" w:rsidRDefault="00880DFD" w:rsidP="00880DFD">
      <w:pPr>
        <w:spacing w:after="0" w:line="276" w:lineRule="auto"/>
        <w:jc w:val="both"/>
      </w:pPr>
      <w:r>
        <w:t xml:space="preserve">               2024. </w:t>
      </w:r>
      <w:hyperlink r:id="rId21" w:history="1">
        <w:r w:rsidRPr="003827F9">
          <w:rPr>
            <w:rStyle w:val="Hyperlink"/>
          </w:rPr>
          <w:t>http://www.faostat.fao.org/</w:t>
        </w:r>
      </w:hyperlink>
    </w:p>
    <w:p w:rsidR="00880DFD" w:rsidRDefault="00880DFD" w:rsidP="00880DFD">
      <w:pPr>
        <w:spacing w:after="0" w:line="276" w:lineRule="auto"/>
        <w:jc w:val="both"/>
      </w:pPr>
    </w:p>
    <w:p w:rsidR="00880DFD" w:rsidRDefault="00880DFD" w:rsidP="00880DFD">
      <w:pPr>
        <w:spacing w:after="0" w:line="276" w:lineRule="auto"/>
        <w:jc w:val="both"/>
      </w:pPr>
      <w:r>
        <w:t xml:space="preserve">Holford ICR. Soil phosphorus: its measurement and its uptake by plants. Australian Journal of Soil </w:t>
      </w:r>
    </w:p>
    <w:p w:rsidR="00880DFD" w:rsidRDefault="00880DFD" w:rsidP="00880DFD">
      <w:pPr>
        <w:spacing w:after="0" w:line="276" w:lineRule="auto"/>
        <w:jc w:val="both"/>
      </w:pPr>
      <w:r>
        <w:t xml:space="preserve">              Research. 1997; 35: 227 – 239.</w:t>
      </w:r>
    </w:p>
    <w:p w:rsidR="00880DFD" w:rsidRDefault="00880DFD" w:rsidP="00880DFD">
      <w:pPr>
        <w:spacing w:after="0" w:line="276" w:lineRule="auto"/>
        <w:jc w:val="both"/>
      </w:pPr>
      <w:proofErr w:type="spellStart"/>
      <w:r>
        <w:t>Ibanga</w:t>
      </w:r>
      <w:proofErr w:type="spellEnd"/>
      <w:r>
        <w:t xml:space="preserve">, F. I., Essien, O. A., </w:t>
      </w:r>
      <w:proofErr w:type="spellStart"/>
      <w:r>
        <w:t>Akata</w:t>
      </w:r>
      <w:proofErr w:type="spellEnd"/>
      <w:r>
        <w:t xml:space="preserve">, O. R. and Bassey, D. E. (2025). Sway of slope position on soil </w:t>
      </w:r>
    </w:p>
    <w:p w:rsidR="00880DFD" w:rsidRDefault="00880DFD" w:rsidP="00880DFD">
      <w:pPr>
        <w:spacing w:after="0" w:line="276" w:lineRule="auto"/>
        <w:jc w:val="both"/>
      </w:pPr>
      <w:r>
        <w:t xml:space="preserve">              properties, moisture content characteristics and soil stability in </w:t>
      </w:r>
      <w:proofErr w:type="spellStart"/>
      <w:r>
        <w:t>Abak</w:t>
      </w:r>
      <w:proofErr w:type="spellEnd"/>
      <w:r>
        <w:t xml:space="preserve"> River Basin, </w:t>
      </w:r>
    </w:p>
    <w:p w:rsidR="00880DFD" w:rsidRPr="006339BE" w:rsidRDefault="00880DFD" w:rsidP="00880DFD">
      <w:pPr>
        <w:spacing w:after="0" w:line="276" w:lineRule="auto"/>
        <w:jc w:val="both"/>
      </w:pPr>
      <w:r>
        <w:t xml:space="preserve">              </w:t>
      </w:r>
      <w:proofErr w:type="spellStart"/>
      <w:r>
        <w:t>Akwa</w:t>
      </w:r>
      <w:proofErr w:type="spellEnd"/>
      <w:r>
        <w:t xml:space="preserve"> Ibom State, Nigeria.</w:t>
      </w:r>
      <w:r>
        <w:rPr>
          <w:i/>
        </w:rPr>
        <w:t xml:space="preserve"> Asian Research Journal of Agriculture</w:t>
      </w:r>
      <w:r>
        <w:t>, 18 (3), 41 – 54.</w:t>
      </w:r>
    </w:p>
    <w:p w:rsidR="00880DFD" w:rsidRDefault="00880DFD" w:rsidP="00880DFD">
      <w:pPr>
        <w:spacing w:after="0" w:line="276" w:lineRule="auto"/>
        <w:jc w:val="both"/>
      </w:pPr>
    </w:p>
    <w:p w:rsidR="00880DFD" w:rsidRDefault="00880DFD" w:rsidP="00880DFD">
      <w:pPr>
        <w:spacing w:after="0" w:line="276" w:lineRule="auto"/>
        <w:jc w:val="both"/>
      </w:pPr>
      <w:r>
        <w:t>IITA (International Institute of Tropical Agriculture) (2003). Crop and farming systems.</w:t>
      </w:r>
    </w:p>
    <w:p w:rsidR="00880DFD" w:rsidRDefault="00880DFD" w:rsidP="00880DFD">
      <w:pPr>
        <w:spacing w:after="0" w:line="276" w:lineRule="auto"/>
        <w:jc w:val="both"/>
      </w:pPr>
      <w:r>
        <w:t xml:space="preserve">              </w:t>
      </w:r>
      <w:hyperlink r:id="rId22" w:history="1">
        <w:r w:rsidRPr="003827F9">
          <w:rPr>
            <w:rStyle w:val="Hyperlink"/>
          </w:rPr>
          <w:t>http://www.iita.org/crop/cowpea.htm</w:t>
        </w:r>
      </w:hyperlink>
    </w:p>
    <w:p w:rsidR="00880DFD" w:rsidRDefault="00880DFD" w:rsidP="00880DFD">
      <w:pPr>
        <w:spacing w:after="0" w:line="276" w:lineRule="auto"/>
        <w:jc w:val="both"/>
      </w:pPr>
    </w:p>
    <w:p w:rsidR="00880DFD" w:rsidRDefault="00880DFD" w:rsidP="00880DFD">
      <w:pPr>
        <w:spacing w:after="0" w:line="276" w:lineRule="auto"/>
        <w:jc w:val="both"/>
      </w:pPr>
      <w:r>
        <w:t>International Institute of Tropical Agriculture. (</w:t>
      </w:r>
      <w:hyperlink r:id="rId23" w:history="1">
        <w:r>
          <w:rPr>
            <w:rStyle w:val="Hyperlink"/>
          </w:rPr>
          <w:t>2003</w:t>
        </w:r>
      </w:hyperlink>
      <w:r>
        <w:t xml:space="preserve">). Annual report for </w:t>
      </w:r>
      <w:hyperlink r:id="rId24" w:history="1">
        <w:r>
          <w:rPr>
            <w:rStyle w:val="Hyperlink"/>
          </w:rPr>
          <w:t>2003</w:t>
        </w:r>
      </w:hyperlink>
      <w:r>
        <w:t>. Ibadan, Nigeria: IITA.</w:t>
      </w:r>
    </w:p>
    <w:p w:rsidR="00880DFD" w:rsidRDefault="00880DFD" w:rsidP="00880DFD">
      <w:pPr>
        <w:spacing w:after="0" w:line="276" w:lineRule="auto"/>
        <w:jc w:val="both"/>
      </w:pPr>
    </w:p>
    <w:p w:rsidR="00880DFD" w:rsidRDefault="00880DFD" w:rsidP="00880DFD">
      <w:pPr>
        <w:spacing w:after="0" w:line="276" w:lineRule="auto"/>
        <w:jc w:val="both"/>
      </w:pPr>
      <w:proofErr w:type="spellStart"/>
      <w:r>
        <w:t>Mokwunye</w:t>
      </w:r>
      <w:proofErr w:type="spellEnd"/>
      <w:r>
        <w:t xml:space="preserve">, A. </w:t>
      </w:r>
      <w:proofErr w:type="spellStart"/>
      <w:r>
        <w:t>Ugustine</w:t>
      </w:r>
      <w:proofErr w:type="spellEnd"/>
      <w:r>
        <w:t xml:space="preserve">, A. </w:t>
      </w:r>
      <w:proofErr w:type="gramStart"/>
      <w:r>
        <w:t>U. ,</w:t>
      </w:r>
      <w:proofErr w:type="gramEnd"/>
      <w:r>
        <w:t xml:space="preserve"> Rhodes, E. P. (1986). 1986/01/01 SP – 253 EP, 281 SN–978-94-010-</w:t>
      </w:r>
    </w:p>
    <w:p w:rsidR="00880DFD" w:rsidRDefault="00880DFD" w:rsidP="00880DFD">
      <w:pPr>
        <w:spacing w:after="0" w:line="276" w:lineRule="auto"/>
        <w:jc w:val="both"/>
      </w:pPr>
      <w:r>
        <w:t xml:space="preserve">               8456-7 TI – Phosphorus reactions with tropical African soil.</w:t>
      </w:r>
    </w:p>
    <w:p w:rsidR="00880DFD" w:rsidRDefault="00880DFD" w:rsidP="00880DFD">
      <w:pPr>
        <w:spacing w:after="0" w:line="276" w:lineRule="auto"/>
        <w:jc w:val="both"/>
      </w:pPr>
    </w:p>
    <w:p w:rsidR="00880DFD" w:rsidRPr="00926237" w:rsidRDefault="00880DFD" w:rsidP="00880DFD">
      <w:pPr>
        <w:spacing w:after="0" w:line="276" w:lineRule="auto"/>
        <w:jc w:val="both"/>
      </w:pPr>
      <w:proofErr w:type="spellStart"/>
      <w:r>
        <w:t>Nyong</w:t>
      </w:r>
      <w:proofErr w:type="spellEnd"/>
      <w:r>
        <w:t xml:space="preserve">, E. E. and Bassey, D. E. (2019). Analysis of adaptation of climate smart agriculture practices of yam farmers in </w:t>
      </w:r>
      <w:proofErr w:type="spellStart"/>
      <w:r>
        <w:t>Akwa</w:t>
      </w:r>
      <w:proofErr w:type="spellEnd"/>
      <w:r>
        <w:t xml:space="preserve"> Ibom State, Nigeria. </w:t>
      </w:r>
      <w:r>
        <w:rPr>
          <w:i/>
        </w:rPr>
        <w:t>Journal of Agriculture Environmental Resources and Management,</w:t>
      </w:r>
      <w:r>
        <w:t xml:space="preserve"> 1 (2), 24 -35.</w:t>
      </w:r>
    </w:p>
    <w:p w:rsidR="00880DFD" w:rsidRDefault="00880DFD" w:rsidP="00880DFD">
      <w:pPr>
        <w:spacing w:after="0" w:line="276" w:lineRule="auto"/>
        <w:jc w:val="both"/>
      </w:pPr>
    </w:p>
    <w:p w:rsidR="00880DFD" w:rsidRPr="00475493" w:rsidRDefault="00880DFD" w:rsidP="00880DFD">
      <w:pPr>
        <w:spacing w:after="0" w:line="240" w:lineRule="auto"/>
        <w:ind w:right="-180"/>
        <w:jc w:val="both"/>
        <w:rPr>
          <w:rFonts w:eastAsiaTheme="minorEastAsia" w:cstheme="minorHAnsi"/>
        </w:rPr>
      </w:pPr>
      <w:proofErr w:type="spellStart"/>
      <w:r w:rsidRPr="00475493">
        <w:rPr>
          <w:rFonts w:eastAsiaTheme="minorEastAsia" w:cstheme="minorHAnsi"/>
        </w:rPr>
        <w:t>Ogban</w:t>
      </w:r>
      <w:proofErr w:type="spellEnd"/>
      <w:r w:rsidRPr="00475493">
        <w:rPr>
          <w:rFonts w:eastAsiaTheme="minorEastAsia" w:cstheme="minorHAnsi"/>
        </w:rPr>
        <w:t xml:space="preserve">, P. I., </w:t>
      </w:r>
      <w:proofErr w:type="spellStart"/>
      <w:r w:rsidRPr="00475493">
        <w:rPr>
          <w:rFonts w:eastAsiaTheme="minorEastAsia" w:cstheme="minorHAnsi"/>
        </w:rPr>
        <w:t>Ibotto</w:t>
      </w:r>
      <w:proofErr w:type="spellEnd"/>
      <w:r w:rsidRPr="00475493">
        <w:rPr>
          <w:rFonts w:eastAsiaTheme="minorEastAsia" w:cstheme="minorHAnsi"/>
        </w:rPr>
        <w:t xml:space="preserve">, M. I., </w:t>
      </w:r>
      <w:proofErr w:type="spellStart"/>
      <w:r w:rsidRPr="00475493">
        <w:rPr>
          <w:rFonts w:eastAsiaTheme="minorEastAsia" w:cstheme="minorHAnsi"/>
        </w:rPr>
        <w:t>Utin</w:t>
      </w:r>
      <w:proofErr w:type="spellEnd"/>
      <w:r w:rsidRPr="00475493">
        <w:rPr>
          <w:rFonts w:eastAsiaTheme="minorEastAsia" w:cstheme="minorHAnsi"/>
        </w:rPr>
        <w:t>, U. E., Essien, O. A. and Arthur, G. A. (2022). Effect of Slope Curvature and</w:t>
      </w:r>
    </w:p>
    <w:p w:rsidR="00880DFD" w:rsidRPr="00475493" w:rsidRDefault="00880DFD" w:rsidP="00880DFD">
      <w:pPr>
        <w:spacing w:after="0" w:line="240" w:lineRule="auto"/>
        <w:ind w:right="-180"/>
        <w:jc w:val="both"/>
        <w:rPr>
          <w:rFonts w:eastAsiaTheme="minorEastAsia" w:cstheme="minorHAnsi"/>
        </w:rPr>
      </w:pPr>
      <w:r>
        <w:rPr>
          <w:rFonts w:eastAsiaTheme="minorEastAsia" w:cstheme="minorHAnsi"/>
        </w:rPr>
        <w:t xml:space="preserve">              </w:t>
      </w:r>
      <w:r w:rsidRPr="00475493">
        <w:rPr>
          <w:rFonts w:eastAsiaTheme="minorEastAsia" w:cstheme="minorHAnsi"/>
        </w:rPr>
        <w:t xml:space="preserve">Gradient on Soil Properties Affecting Erodibility of Coastal Plan Sands in </w:t>
      </w:r>
      <w:proofErr w:type="spellStart"/>
      <w:r w:rsidRPr="00475493">
        <w:rPr>
          <w:rFonts w:eastAsiaTheme="minorEastAsia" w:cstheme="minorHAnsi"/>
        </w:rPr>
        <w:t>Akwa</w:t>
      </w:r>
      <w:proofErr w:type="spellEnd"/>
      <w:r w:rsidRPr="00475493">
        <w:rPr>
          <w:rFonts w:eastAsiaTheme="minorEastAsia" w:cstheme="minorHAnsi"/>
        </w:rPr>
        <w:t xml:space="preserve"> Ibom State, Nigeria.</w:t>
      </w:r>
    </w:p>
    <w:p w:rsidR="00880DFD" w:rsidRPr="00475493" w:rsidRDefault="00880DFD" w:rsidP="00880DFD">
      <w:pPr>
        <w:spacing w:after="0" w:line="240" w:lineRule="auto"/>
        <w:ind w:right="-180"/>
        <w:jc w:val="both"/>
        <w:rPr>
          <w:rFonts w:eastAsiaTheme="minorEastAsia" w:cstheme="minorHAnsi"/>
        </w:rPr>
      </w:pPr>
      <w:r>
        <w:rPr>
          <w:rFonts w:eastAsiaTheme="minorEastAsia" w:cstheme="minorHAnsi"/>
          <w:b/>
        </w:rPr>
        <w:t xml:space="preserve">               </w:t>
      </w:r>
      <w:proofErr w:type="spellStart"/>
      <w:r w:rsidRPr="0060505C">
        <w:rPr>
          <w:rFonts w:eastAsiaTheme="minorEastAsia" w:cstheme="minorHAnsi"/>
          <w:b/>
        </w:rPr>
        <w:t>Agro</w:t>
      </w:r>
      <w:proofErr w:type="spellEnd"/>
      <w:r w:rsidRPr="0060505C">
        <w:rPr>
          <w:rFonts w:eastAsiaTheme="minorEastAsia" w:cstheme="minorHAnsi"/>
          <w:b/>
        </w:rPr>
        <w:t>- Science</w:t>
      </w:r>
      <w:r w:rsidRPr="00475493">
        <w:rPr>
          <w:rFonts w:eastAsiaTheme="minorEastAsia" w:cstheme="minorHAnsi"/>
        </w:rPr>
        <w:t>, 21 (2); 12-23.</w:t>
      </w:r>
    </w:p>
    <w:p w:rsidR="00880DFD" w:rsidRDefault="00880DFD" w:rsidP="00880DFD">
      <w:pPr>
        <w:spacing w:after="0" w:line="276" w:lineRule="auto"/>
        <w:jc w:val="both"/>
      </w:pPr>
    </w:p>
    <w:p w:rsidR="00880DFD" w:rsidRDefault="00880DFD" w:rsidP="00880DFD">
      <w:pPr>
        <w:spacing w:after="0" w:line="240" w:lineRule="auto"/>
        <w:jc w:val="both"/>
        <w:rPr>
          <w:rFonts w:ascii="Calibri" w:hAnsi="Calibri" w:cs="Calibri"/>
        </w:rPr>
      </w:pPr>
      <w:r w:rsidRPr="00475493">
        <w:rPr>
          <w:rFonts w:ascii="Calibri" w:hAnsi="Calibri" w:cs="Calibri"/>
        </w:rPr>
        <w:t xml:space="preserve">Sam, I. J., </w:t>
      </w:r>
      <w:proofErr w:type="spellStart"/>
      <w:r w:rsidRPr="00475493">
        <w:rPr>
          <w:rFonts w:ascii="Calibri" w:hAnsi="Calibri" w:cs="Calibri"/>
        </w:rPr>
        <w:t>Edet</w:t>
      </w:r>
      <w:proofErr w:type="spellEnd"/>
      <w:r w:rsidRPr="00475493">
        <w:rPr>
          <w:rFonts w:ascii="Calibri" w:hAnsi="Calibri" w:cs="Calibri"/>
        </w:rPr>
        <w:t xml:space="preserve">, I. G., Essien, O. A. and Thomas, U. F. (2025). Effect of Agricultural Land Use Practices on  </w:t>
      </w:r>
    </w:p>
    <w:p w:rsidR="00880DFD" w:rsidRDefault="00880DFD" w:rsidP="00880DFD">
      <w:pPr>
        <w:spacing w:after="0" w:line="240" w:lineRule="auto"/>
        <w:jc w:val="both"/>
        <w:rPr>
          <w:rFonts w:ascii="Calibri" w:hAnsi="Calibri" w:cs="Calibri"/>
        </w:rPr>
      </w:pPr>
      <w:r>
        <w:rPr>
          <w:rFonts w:ascii="Calibri" w:hAnsi="Calibri" w:cs="Calibri"/>
        </w:rPr>
        <w:t xml:space="preserve">               </w:t>
      </w:r>
      <w:r w:rsidRPr="00475493">
        <w:rPr>
          <w:rFonts w:ascii="Calibri" w:hAnsi="Calibri" w:cs="Calibri"/>
        </w:rPr>
        <w:t xml:space="preserve">Selected Soil Properties and Macro- Aggregate Stability; A case Study of Coastal Plain Sand, </w:t>
      </w:r>
    </w:p>
    <w:p w:rsidR="00880DFD" w:rsidRPr="00475493" w:rsidRDefault="00880DFD" w:rsidP="00880DFD">
      <w:pPr>
        <w:spacing w:after="0" w:line="240" w:lineRule="auto"/>
        <w:jc w:val="both"/>
        <w:rPr>
          <w:rFonts w:ascii="Calibri" w:hAnsi="Calibri" w:cs="Calibri"/>
        </w:rPr>
      </w:pPr>
      <w:r>
        <w:rPr>
          <w:rFonts w:ascii="Calibri" w:hAnsi="Calibri" w:cs="Calibri"/>
        </w:rPr>
        <w:t xml:space="preserve">               </w:t>
      </w:r>
      <w:proofErr w:type="spellStart"/>
      <w:r w:rsidRPr="00475493">
        <w:rPr>
          <w:rFonts w:ascii="Calibri" w:hAnsi="Calibri" w:cs="Calibri"/>
        </w:rPr>
        <w:t>Akwa</w:t>
      </w:r>
      <w:proofErr w:type="spellEnd"/>
      <w:r w:rsidRPr="00475493">
        <w:rPr>
          <w:rFonts w:ascii="Calibri" w:hAnsi="Calibri" w:cs="Calibri"/>
        </w:rPr>
        <w:t xml:space="preserve"> Ibom State, Nigeria. </w:t>
      </w:r>
      <w:r w:rsidRPr="0060505C">
        <w:rPr>
          <w:rFonts w:ascii="Calibri" w:hAnsi="Calibri" w:cs="Calibri"/>
          <w:b/>
        </w:rPr>
        <w:t>Asian Journal of Soil Science and Plan. Nutrition,</w:t>
      </w:r>
      <w:r w:rsidRPr="00475493">
        <w:rPr>
          <w:rFonts w:ascii="Calibri" w:hAnsi="Calibri" w:cs="Calibri"/>
        </w:rPr>
        <w:t xml:space="preserve"> 11(1); 25 – 36. </w:t>
      </w:r>
    </w:p>
    <w:p w:rsidR="00880DFD" w:rsidRDefault="00880DFD" w:rsidP="00880DFD">
      <w:pPr>
        <w:spacing w:after="0" w:line="276" w:lineRule="auto"/>
        <w:jc w:val="both"/>
      </w:pPr>
    </w:p>
    <w:p w:rsidR="00880DFD" w:rsidRDefault="00880DFD" w:rsidP="00880DFD">
      <w:pPr>
        <w:spacing w:after="0" w:line="276" w:lineRule="auto"/>
        <w:jc w:val="both"/>
      </w:pPr>
      <w:proofErr w:type="spellStart"/>
      <w:r>
        <w:t>Shiringani</w:t>
      </w:r>
      <w:proofErr w:type="spellEnd"/>
      <w:r>
        <w:t xml:space="preserve">, R. P., and </w:t>
      </w:r>
      <w:proofErr w:type="spellStart"/>
      <w:r>
        <w:t>Shmeles</w:t>
      </w:r>
      <w:proofErr w:type="spellEnd"/>
      <w:r>
        <w:t>,</w:t>
      </w:r>
      <w:r w:rsidRPr="001077C0">
        <w:t xml:space="preserve"> </w:t>
      </w:r>
      <w:r>
        <w:t xml:space="preserve">H. A. (2011). Yield response and stability among cowpea genotypes at three </w:t>
      </w:r>
    </w:p>
    <w:p w:rsidR="00880DFD" w:rsidRDefault="00880DFD" w:rsidP="00880DFD">
      <w:pPr>
        <w:spacing w:after="0" w:line="276" w:lineRule="auto"/>
        <w:jc w:val="both"/>
      </w:pPr>
      <w:r>
        <w:t xml:space="preserve">             planting dates and test environments. African Journal of Agricultural Research 6(14): 3259 – 3263</w:t>
      </w:r>
    </w:p>
    <w:p w:rsidR="00880DFD" w:rsidRDefault="00880DFD" w:rsidP="00880DFD">
      <w:pPr>
        <w:spacing w:after="0" w:line="276" w:lineRule="auto"/>
        <w:jc w:val="both"/>
      </w:pPr>
    </w:p>
    <w:p w:rsidR="00880DFD" w:rsidRDefault="00880DFD" w:rsidP="00880DFD">
      <w:pPr>
        <w:spacing w:after="0" w:line="240" w:lineRule="auto"/>
        <w:ind w:right="-180"/>
        <w:jc w:val="both"/>
        <w:rPr>
          <w:rFonts w:eastAsiaTheme="minorEastAsia" w:cstheme="minorHAnsi"/>
        </w:rPr>
      </w:pPr>
      <w:r w:rsidRPr="00475493">
        <w:rPr>
          <w:rFonts w:eastAsiaTheme="minorEastAsia" w:cstheme="minorHAnsi"/>
        </w:rPr>
        <w:t xml:space="preserve">Simeon, S. D. and Essien, O. A. (2023). Evaluation of Some Soil Physical and Soil Chemical Properties and </w:t>
      </w:r>
      <w:r>
        <w:rPr>
          <w:rFonts w:eastAsiaTheme="minorEastAsia" w:cstheme="minorHAnsi"/>
        </w:rPr>
        <w:t xml:space="preserve"> </w:t>
      </w:r>
    </w:p>
    <w:p w:rsidR="00880DFD" w:rsidRDefault="00880DFD" w:rsidP="00880DFD">
      <w:pPr>
        <w:spacing w:after="0" w:line="240" w:lineRule="auto"/>
        <w:ind w:right="-180"/>
        <w:jc w:val="both"/>
        <w:rPr>
          <w:rFonts w:eastAsiaTheme="minorEastAsia" w:cstheme="minorHAnsi"/>
          <w:b/>
        </w:rPr>
      </w:pPr>
      <w:r>
        <w:rPr>
          <w:rFonts w:eastAsiaTheme="minorEastAsia" w:cstheme="minorHAnsi"/>
        </w:rPr>
        <w:t xml:space="preserve">             </w:t>
      </w:r>
      <w:r w:rsidRPr="00475493">
        <w:rPr>
          <w:rFonts w:eastAsiaTheme="minorEastAsia" w:cstheme="minorHAnsi"/>
        </w:rPr>
        <w:t xml:space="preserve">Implications </w:t>
      </w:r>
      <w:r>
        <w:rPr>
          <w:rFonts w:eastAsiaTheme="minorEastAsia" w:cstheme="minorHAnsi"/>
        </w:rPr>
        <w:t>o</w:t>
      </w:r>
      <w:r w:rsidRPr="00475493">
        <w:rPr>
          <w:rFonts w:eastAsiaTheme="minorEastAsia" w:cstheme="minorHAnsi"/>
        </w:rPr>
        <w:t xml:space="preserve">n Soil Fertility in </w:t>
      </w:r>
      <w:proofErr w:type="spellStart"/>
      <w:r w:rsidRPr="00475493">
        <w:rPr>
          <w:rFonts w:eastAsiaTheme="minorEastAsia" w:cstheme="minorHAnsi"/>
        </w:rPr>
        <w:t>Etinan</w:t>
      </w:r>
      <w:proofErr w:type="spellEnd"/>
      <w:r w:rsidRPr="00475493">
        <w:rPr>
          <w:rFonts w:eastAsiaTheme="minorEastAsia" w:cstheme="minorHAnsi"/>
        </w:rPr>
        <w:t xml:space="preserve">, </w:t>
      </w:r>
      <w:proofErr w:type="spellStart"/>
      <w:r w:rsidRPr="00475493">
        <w:rPr>
          <w:rFonts w:eastAsiaTheme="minorEastAsia" w:cstheme="minorHAnsi"/>
        </w:rPr>
        <w:t>Akwa</w:t>
      </w:r>
      <w:proofErr w:type="spellEnd"/>
      <w:r w:rsidRPr="00475493">
        <w:rPr>
          <w:rFonts w:eastAsiaTheme="minorEastAsia" w:cstheme="minorHAnsi"/>
        </w:rPr>
        <w:t xml:space="preserve"> Ibom State, Nigeria. </w:t>
      </w:r>
      <w:r w:rsidRPr="0060505C">
        <w:rPr>
          <w:rFonts w:eastAsiaTheme="minorEastAsia" w:cstheme="minorHAnsi"/>
          <w:b/>
        </w:rPr>
        <w:t xml:space="preserve">AKSU Journal of Agriculture and </w:t>
      </w:r>
    </w:p>
    <w:p w:rsidR="00880DFD" w:rsidRDefault="00880DFD" w:rsidP="00880DFD">
      <w:pPr>
        <w:spacing w:after="0" w:line="240" w:lineRule="auto"/>
        <w:ind w:right="-180"/>
        <w:jc w:val="both"/>
        <w:rPr>
          <w:rFonts w:eastAsiaTheme="minorEastAsia" w:cstheme="minorHAnsi"/>
        </w:rPr>
      </w:pPr>
      <w:r>
        <w:rPr>
          <w:rFonts w:eastAsiaTheme="minorEastAsia" w:cstheme="minorHAnsi"/>
          <w:b/>
        </w:rPr>
        <w:t xml:space="preserve">             </w:t>
      </w:r>
      <w:r w:rsidRPr="0060505C">
        <w:rPr>
          <w:rFonts w:eastAsiaTheme="minorEastAsia" w:cstheme="minorHAnsi"/>
          <w:b/>
        </w:rPr>
        <w:t>Food Sciences</w:t>
      </w:r>
      <w:r w:rsidRPr="00475493">
        <w:rPr>
          <w:rFonts w:eastAsiaTheme="minorEastAsia" w:cstheme="minorHAnsi"/>
        </w:rPr>
        <w:t xml:space="preserve">, 7(3); 86 – 93. </w:t>
      </w:r>
    </w:p>
    <w:p w:rsidR="00880DFD" w:rsidRDefault="00880DFD" w:rsidP="00880DFD">
      <w:pPr>
        <w:spacing w:after="0" w:line="240" w:lineRule="auto"/>
        <w:ind w:right="-180"/>
        <w:jc w:val="both"/>
        <w:rPr>
          <w:rFonts w:eastAsiaTheme="minorEastAsia" w:cstheme="minorHAnsi"/>
        </w:rPr>
      </w:pPr>
    </w:p>
    <w:p w:rsidR="00880DFD" w:rsidRDefault="00880DFD" w:rsidP="00880DFD">
      <w:pPr>
        <w:spacing w:after="0" w:line="240" w:lineRule="auto"/>
        <w:ind w:right="-180"/>
        <w:jc w:val="both"/>
      </w:pPr>
      <w:r>
        <w:t xml:space="preserve">Soil Survey of </w:t>
      </w:r>
      <w:proofErr w:type="spellStart"/>
      <w:r>
        <w:t>Akwa</w:t>
      </w:r>
      <w:proofErr w:type="spellEnd"/>
      <w:r>
        <w:t xml:space="preserve"> Ibom State (SLUS-AK). (</w:t>
      </w:r>
      <w:hyperlink r:id="rId25" w:history="1">
        <w:r>
          <w:rPr>
            <w:rStyle w:val="Hyperlink"/>
          </w:rPr>
          <w:t>1989</w:t>
        </w:r>
      </w:hyperlink>
      <w:r>
        <w:t xml:space="preserve">). Detailed soil survey of </w:t>
      </w:r>
      <w:proofErr w:type="spellStart"/>
      <w:r>
        <w:t>Akwa</w:t>
      </w:r>
      <w:proofErr w:type="spellEnd"/>
      <w:r>
        <w:t xml:space="preserve"> Ibom State, Nigeria. Federal </w:t>
      </w:r>
    </w:p>
    <w:p w:rsidR="00880DFD" w:rsidRPr="00D32D77" w:rsidRDefault="00880DFD" w:rsidP="00880DFD">
      <w:pPr>
        <w:spacing w:after="0" w:line="240" w:lineRule="auto"/>
        <w:ind w:right="-180"/>
        <w:jc w:val="both"/>
        <w:rPr>
          <w:rFonts w:eastAsiaTheme="minorEastAsia" w:cstheme="minorHAnsi"/>
          <w:b/>
        </w:rPr>
      </w:pPr>
      <w:r>
        <w:t xml:space="preserve">             Department of Agricultural Land Resources (FDALR), Nigeria.</w:t>
      </w:r>
    </w:p>
    <w:p w:rsidR="00880DFD" w:rsidRPr="007C6082" w:rsidRDefault="00880DFD" w:rsidP="00880DFD">
      <w:pPr>
        <w:spacing w:after="0" w:line="276" w:lineRule="auto"/>
        <w:jc w:val="both"/>
        <w:rPr>
          <w:b/>
        </w:rPr>
      </w:pPr>
    </w:p>
    <w:p w:rsidR="00880DFD" w:rsidRPr="008F7623" w:rsidRDefault="00880DFD" w:rsidP="00880DFD">
      <w:pPr>
        <w:spacing w:after="0" w:line="240" w:lineRule="auto"/>
        <w:ind w:right="-180"/>
        <w:jc w:val="both"/>
        <w:rPr>
          <w:rFonts w:eastAsiaTheme="minorEastAsia" w:cstheme="minorHAnsi"/>
          <w:highlight w:val="yellow"/>
        </w:rPr>
      </w:pPr>
      <w:r>
        <w:br/>
      </w:r>
      <w:r w:rsidRPr="008F7623">
        <w:rPr>
          <w:rFonts w:eastAsiaTheme="minorEastAsia" w:cstheme="minorHAnsi"/>
          <w:highlight w:val="yellow"/>
        </w:rPr>
        <w:t xml:space="preserve">Udo, E. J., </w:t>
      </w:r>
      <w:proofErr w:type="spellStart"/>
      <w:r w:rsidRPr="008F7623">
        <w:rPr>
          <w:rFonts w:eastAsiaTheme="minorEastAsia" w:cstheme="minorHAnsi"/>
          <w:highlight w:val="yellow"/>
        </w:rPr>
        <w:t>Ibia</w:t>
      </w:r>
      <w:proofErr w:type="spellEnd"/>
      <w:r w:rsidRPr="008F7623">
        <w:rPr>
          <w:rFonts w:eastAsiaTheme="minorEastAsia" w:cstheme="minorHAnsi"/>
          <w:highlight w:val="yellow"/>
        </w:rPr>
        <w:t xml:space="preserve">, T. O., </w:t>
      </w:r>
      <w:proofErr w:type="spellStart"/>
      <w:r w:rsidRPr="008F7623">
        <w:rPr>
          <w:rFonts w:eastAsiaTheme="minorEastAsia" w:cstheme="minorHAnsi"/>
          <w:highlight w:val="yellow"/>
        </w:rPr>
        <w:t>Ogunwale</w:t>
      </w:r>
      <w:proofErr w:type="spellEnd"/>
      <w:r w:rsidRPr="008F7623">
        <w:rPr>
          <w:rFonts w:eastAsiaTheme="minorEastAsia" w:cstheme="minorHAnsi"/>
          <w:highlight w:val="yellow"/>
        </w:rPr>
        <w:t xml:space="preserve">, J. A. </w:t>
      </w:r>
      <w:proofErr w:type="spellStart"/>
      <w:r w:rsidRPr="008F7623">
        <w:rPr>
          <w:rFonts w:eastAsiaTheme="minorEastAsia" w:cstheme="minorHAnsi"/>
          <w:highlight w:val="yellow"/>
        </w:rPr>
        <w:t>Ano</w:t>
      </w:r>
      <w:proofErr w:type="spellEnd"/>
      <w:r w:rsidRPr="008F7623">
        <w:rPr>
          <w:rFonts w:eastAsiaTheme="minorEastAsia" w:cstheme="minorHAnsi"/>
          <w:highlight w:val="yellow"/>
        </w:rPr>
        <w:t xml:space="preserve">, A. O. and </w:t>
      </w:r>
      <w:proofErr w:type="spellStart"/>
      <w:r w:rsidRPr="008F7623">
        <w:rPr>
          <w:rFonts w:eastAsiaTheme="minorEastAsia" w:cstheme="minorHAnsi"/>
          <w:highlight w:val="yellow"/>
        </w:rPr>
        <w:t>Esu</w:t>
      </w:r>
      <w:proofErr w:type="spellEnd"/>
      <w:r w:rsidRPr="008F7623">
        <w:rPr>
          <w:rFonts w:eastAsiaTheme="minorEastAsia" w:cstheme="minorHAnsi"/>
          <w:highlight w:val="yellow"/>
        </w:rPr>
        <w:t>, I. E. (2009). Minerals of Soil, Plant and Water</w:t>
      </w:r>
    </w:p>
    <w:p w:rsidR="00880DFD" w:rsidRDefault="00880DFD" w:rsidP="00880DFD">
      <w:pPr>
        <w:spacing w:after="0" w:line="240" w:lineRule="auto"/>
        <w:ind w:right="-180"/>
        <w:jc w:val="both"/>
        <w:rPr>
          <w:rFonts w:eastAsiaTheme="minorEastAsia" w:cstheme="minorHAnsi"/>
        </w:rPr>
      </w:pPr>
      <w:r w:rsidRPr="008F7623">
        <w:rPr>
          <w:rFonts w:eastAsiaTheme="minorEastAsia" w:cstheme="minorHAnsi"/>
          <w:highlight w:val="yellow"/>
        </w:rPr>
        <w:t xml:space="preserve">               Analysis. </w:t>
      </w:r>
      <w:proofErr w:type="spellStart"/>
      <w:r w:rsidRPr="008F7623">
        <w:rPr>
          <w:rFonts w:eastAsiaTheme="minorEastAsia" w:cstheme="minorHAnsi"/>
          <w:highlight w:val="yellow"/>
        </w:rPr>
        <w:t>Siban</w:t>
      </w:r>
      <w:proofErr w:type="spellEnd"/>
      <w:r w:rsidRPr="008F7623">
        <w:rPr>
          <w:rFonts w:eastAsiaTheme="minorEastAsia" w:cstheme="minorHAnsi"/>
          <w:highlight w:val="yellow"/>
        </w:rPr>
        <w:t xml:space="preserve"> Books Limited.</w:t>
      </w:r>
    </w:p>
    <w:p w:rsidR="00880DFD" w:rsidRPr="00B659BC" w:rsidRDefault="00880DFD" w:rsidP="00880DFD">
      <w:pPr>
        <w:spacing w:after="0" w:line="276" w:lineRule="auto"/>
        <w:jc w:val="both"/>
      </w:pPr>
      <w:r>
        <w:br/>
      </w:r>
    </w:p>
    <w:p w:rsidR="00EE2E78" w:rsidRDefault="00EE2E78"/>
    <w:sectPr w:rsidR="00EE2E78">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9CD" w:rsidRDefault="00E369CD">
      <w:pPr>
        <w:spacing w:after="0" w:line="240" w:lineRule="auto"/>
      </w:pPr>
      <w:r>
        <w:separator/>
      </w:r>
    </w:p>
  </w:endnote>
  <w:endnote w:type="continuationSeparator" w:id="0">
    <w:p w:rsidR="00E369CD" w:rsidRDefault="00E36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974" w:rsidRDefault="00E36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974" w:rsidRDefault="00E369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974" w:rsidRDefault="00E36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9CD" w:rsidRDefault="00E369CD">
      <w:pPr>
        <w:spacing w:after="0" w:line="240" w:lineRule="auto"/>
      </w:pPr>
      <w:r>
        <w:separator/>
      </w:r>
    </w:p>
  </w:footnote>
  <w:footnote w:type="continuationSeparator" w:id="0">
    <w:p w:rsidR="00E369CD" w:rsidRDefault="00E36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974" w:rsidRDefault="00E369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73219" o:sp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974" w:rsidRDefault="00E369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73220" o:spid="_x0000_s2051"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974" w:rsidRDefault="00E369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73218"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BAITQ3MTS3NLA0sTYyUdpeDU4uLM/DyQAsNaANfF1mUsAAAA"/>
  </w:docVars>
  <w:rsids>
    <w:rsidRoot w:val="00880DFD"/>
    <w:rsid w:val="005B6768"/>
    <w:rsid w:val="007A7789"/>
    <w:rsid w:val="00880DFD"/>
    <w:rsid w:val="008F7623"/>
    <w:rsid w:val="00E369CD"/>
    <w:rsid w:val="00EE2E78"/>
    <w:rsid w:val="00EE3CC0"/>
    <w:rsid w:val="00F46450"/>
    <w:rsid w:val="00FF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D6D39"/>
  <w15:chartTrackingRefBased/>
  <w15:docId w15:val="{367C9F5B-EF16-4A1C-94E6-3D05CD1F6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0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0DFD"/>
    <w:rPr>
      <w:color w:val="0563C1" w:themeColor="hyperlink"/>
      <w:u w:val="single"/>
    </w:rPr>
  </w:style>
  <w:style w:type="paragraph" w:styleId="Header">
    <w:name w:val="header"/>
    <w:basedOn w:val="Normal"/>
    <w:link w:val="HeaderChar"/>
    <w:uiPriority w:val="99"/>
    <w:unhideWhenUsed/>
    <w:rsid w:val="00880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DFD"/>
  </w:style>
  <w:style w:type="paragraph" w:styleId="Footer">
    <w:name w:val="footer"/>
    <w:basedOn w:val="Normal"/>
    <w:link w:val="FooterChar"/>
    <w:uiPriority w:val="99"/>
    <w:unhideWhenUsed/>
    <w:rsid w:val="00880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hyperlink" Target="tel:2025"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faostat.fao.org/" TargetMode="Externa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hyperlink" Target="http://old.iita.org/cms/articlefiles/1488aybdescriptors" TargetMode="External"/><Relationship Id="rId25" Type="http://schemas.openxmlformats.org/officeDocument/2006/relationships/hyperlink" Target="tel:1989"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tel:124" TargetMode="External"/><Relationship Id="rId20" Type="http://schemas.openxmlformats.org/officeDocument/2006/relationships/hyperlink" Target="tel:2009"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yperlink" Target="tel:2003"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tel:112" TargetMode="External"/><Relationship Id="rId23" Type="http://schemas.openxmlformats.org/officeDocument/2006/relationships/hyperlink" Target="tel:2003" TargetMode="External"/><Relationship Id="rId28" Type="http://schemas.openxmlformats.org/officeDocument/2006/relationships/footer" Target="footer1.xml"/><Relationship Id="rId10" Type="http://schemas.openxmlformats.org/officeDocument/2006/relationships/chart" Target="charts/chart5.xml"/><Relationship Id="rId19" Type="http://schemas.openxmlformats.org/officeDocument/2006/relationships/hyperlink" Target="tel:2025"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yperlink" Target="tel:2011" TargetMode="External"/><Relationship Id="rId22" Type="http://schemas.openxmlformats.org/officeDocument/2006/relationships/hyperlink" Target="http://www.iita.org/crop/cowpea.ht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AYB</c:v>
                </c:pt>
              </c:strCache>
            </c:strRef>
          </c:tx>
          <c:spPr>
            <a:ln w="28575" cap="rnd">
              <a:solidFill>
                <a:schemeClr val="accent1"/>
              </a:solidFill>
              <a:round/>
            </a:ln>
            <a:effectLst/>
          </c:spPr>
          <c:marker>
            <c:symbol val="none"/>
          </c:marker>
          <c:cat>
            <c:numRef>
              <c:f>Sheet1!$A$2:$A$5</c:f>
              <c:numCache>
                <c:formatCode>General</c:formatCode>
                <c:ptCount val="4"/>
                <c:pt idx="0">
                  <c:v>0</c:v>
                </c:pt>
                <c:pt idx="1">
                  <c:v>40</c:v>
                </c:pt>
                <c:pt idx="2">
                  <c:v>60</c:v>
                </c:pt>
                <c:pt idx="3">
                  <c:v>80</c:v>
                </c:pt>
              </c:numCache>
            </c:numRef>
          </c:cat>
          <c:val>
            <c:numRef>
              <c:f>Sheet1!$B$2:$B$5</c:f>
              <c:numCache>
                <c:formatCode>General</c:formatCode>
                <c:ptCount val="4"/>
                <c:pt idx="0">
                  <c:v>85</c:v>
                </c:pt>
                <c:pt idx="1">
                  <c:v>82</c:v>
                </c:pt>
                <c:pt idx="2">
                  <c:v>85</c:v>
                </c:pt>
                <c:pt idx="3">
                  <c:v>80</c:v>
                </c:pt>
              </c:numCache>
            </c:numRef>
          </c:val>
          <c:smooth val="0"/>
          <c:extLst>
            <c:ext xmlns:c16="http://schemas.microsoft.com/office/drawing/2014/chart" uri="{C3380CC4-5D6E-409C-BE32-E72D297353CC}">
              <c16:uniqueId val="{00000000-DFEE-4DB6-9AF1-4AF148ADFD03}"/>
            </c:ext>
          </c:extLst>
        </c:ser>
        <c:ser>
          <c:idx val="1"/>
          <c:order val="1"/>
          <c:tx>
            <c:strRef>
              <c:f>Sheet1!$C$1</c:f>
              <c:strCache>
                <c:ptCount val="1"/>
                <c:pt idx="0">
                  <c:v>WCP</c:v>
                </c:pt>
              </c:strCache>
            </c:strRef>
          </c:tx>
          <c:spPr>
            <a:ln w="28575" cap="rnd">
              <a:solidFill>
                <a:schemeClr val="accent2"/>
              </a:solidFill>
              <a:round/>
            </a:ln>
            <a:effectLst/>
          </c:spPr>
          <c:marker>
            <c:symbol val="none"/>
          </c:marker>
          <c:cat>
            <c:numRef>
              <c:f>Sheet1!$A$2:$A$5</c:f>
              <c:numCache>
                <c:formatCode>General</c:formatCode>
                <c:ptCount val="4"/>
                <c:pt idx="0">
                  <c:v>0</c:v>
                </c:pt>
                <c:pt idx="1">
                  <c:v>40</c:v>
                </c:pt>
                <c:pt idx="2">
                  <c:v>60</c:v>
                </c:pt>
                <c:pt idx="3">
                  <c:v>80</c:v>
                </c:pt>
              </c:numCache>
            </c:numRef>
          </c:cat>
          <c:val>
            <c:numRef>
              <c:f>Sheet1!$C$2:$C$5</c:f>
              <c:numCache>
                <c:formatCode>General</c:formatCode>
                <c:ptCount val="4"/>
                <c:pt idx="0">
                  <c:v>58</c:v>
                </c:pt>
                <c:pt idx="1">
                  <c:v>50</c:v>
                </c:pt>
                <c:pt idx="2">
                  <c:v>43</c:v>
                </c:pt>
                <c:pt idx="3">
                  <c:v>50</c:v>
                </c:pt>
              </c:numCache>
            </c:numRef>
          </c:val>
          <c:smooth val="0"/>
          <c:extLst>
            <c:ext xmlns:c16="http://schemas.microsoft.com/office/drawing/2014/chart" uri="{C3380CC4-5D6E-409C-BE32-E72D297353CC}">
              <c16:uniqueId val="{00000001-DFEE-4DB6-9AF1-4AF148ADFD03}"/>
            </c:ext>
          </c:extLst>
        </c:ser>
        <c:dLbls>
          <c:showLegendKey val="0"/>
          <c:showVal val="0"/>
          <c:showCatName val="0"/>
          <c:showSerName val="0"/>
          <c:showPercent val="0"/>
          <c:showBubbleSize val="0"/>
        </c:dLbls>
        <c:smooth val="0"/>
        <c:axId val="346926184"/>
        <c:axId val="346924224"/>
      </c:lineChart>
      <c:catAx>
        <c:axId val="346926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924224"/>
        <c:crosses val="autoZero"/>
        <c:auto val="1"/>
        <c:lblAlgn val="ctr"/>
        <c:lblOffset val="100"/>
        <c:noMultiLvlLbl val="0"/>
      </c:catAx>
      <c:valAx>
        <c:axId val="3469242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Plant height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926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AYB</c:v>
                </c:pt>
              </c:strCache>
            </c:strRef>
          </c:tx>
          <c:spPr>
            <a:ln w="28575" cap="rnd">
              <a:solidFill>
                <a:schemeClr val="accent1"/>
              </a:solidFill>
              <a:round/>
            </a:ln>
            <a:effectLst/>
          </c:spPr>
          <c:marker>
            <c:symbol val="none"/>
          </c:marker>
          <c:cat>
            <c:numRef>
              <c:f>Sheet1!$A$2:$A$5</c:f>
              <c:numCache>
                <c:formatCode>General</c:formatCode>
                <c:ptCount val="4"/>
                <c:pt idx="0">
                  <c:v>0</c:v>
                </c:pt>
                <c:pt idx="1">
                  <c:v>40</c:v>
                </c:pt>
                <c:pt idx="2">
                  <c:v>60</c:v>
                </c:pt>
                <c:pt idx="3">
                  <c:v>80</c:v>
                </c:pt>
              </c:numCache>
            </c:numRef>
          </c:cat>
          <c:val>
            <c:numRef>
              <c:f>Sheet1!$B$2:$B$5</c:f>
              <c:numCache>
                <c:formatCode>General</c:formatCode>
                <c:ptCount val="4"/>
                <c:pt idx="0">
                  <c:v>24</c:v>
                </c:pt>
                <c:pt idx="1">
                  <c:v>26</c:v>
                </c:pt>
                <c:pt idx="2">
                  <c:v>22</c:v>
                </c:pt>
                <c:pt idx="3">
                  <c:v>23</c:v>
                </c:pt>
              </c:numCache>
            </c:numRef>
          </c:val>
          <c:smooth val="0"/>
          <c:extLst>
            <c:ext xmlns:c16="http://schemas.microsoft.com/office/drawing/2014/chart" uri="{C3380CC4-5D6E-409C-BE32-E72D297353CC}">
              <c16:uniqueId val="{00000000-3613-4341-9EF9-C4BDBFDC36AA}"/>
            </c:ext>
          </c:extLst>
        </c:ser>
        <c:ser>
          <c:idx val="1"/>
          <c:order val="1"/>
          <c:tx>
            <c:strRef>
              <c:f>Sheet1!$C$1</c:f>
              <c:strCache>
                <c:ptCount val="1"/>
                <c:pt idx="0">
                  <c:v>WCP</c:v>
                </c:pt>
              </c:strCache>
            </c:strRef>
          </c:tx>
          <c:spPr>
            <a:ln w="28575" cap="rnd">
              <a:solidFill>
                <a:schemeClr val="accent2"/>
              </a:solidFill>
              <a:round/>
            </a:ln>
            <a:effectLst/>
          </c:spPr>
          <c:marker>
            <c:symbol val="none"/>
          </c:marker>
          <c:cat>
            <c:numRef>
              <c:f>Sheet1!$A$2:$A$5</c:f>
              <c:numCache>
                <c:formatCode>General</c:formatCode>
                <c:ptCount val="4"/>
                <c:pt idx="0">
                  <c:v>0</c:v>
                </c:pt>
                <c:pt idx="1">
                  <c:v>40</c:v>
                </c:pt>
                <c:pt idx="2">
                  <c:v>60</c:v>
                </c:pt>
                <c:pt idx="3">
                  <c:v>80</c:v>
                </c:pt>
              </c:numCache>
            </c:numRef>
          </c:cat>
          <c:val>
            <c:numRef>
              <c:f>Sheet1!$C$2:$C$5</c:f>
              <c:numCache>
                <c:formatCode>General</c:formatCode>
                <c:ptCount val="4"/>
                <c:pt idx="0">
                  <c:v>20</c:v>
                </c:pt>
                <c:pt idx="1">
                  <c:v>20</c:v>
                </c:pt>
                <c:pt idx="2">
                  <c:v>17</c:v>
                </c:pt>
                <c:pt idx="3">
                  <c:v>22</c:v>
                </c:pt>
              </c:numCache>
            </c:numRef>
          </c:val>
          <c:smooth val="0"/>
          <c:extLst>
            <c:ext xmlns:c16="http://schemas.microsoft.com/office/drawing/2014/chart" uri="{C3380CC4-5D6E-409C-BE32-E72D297353CC}">
              <c16:uniqueId val="{00000001-3613-4341-9EF9-C4BDBFDC36AA}"/>
            </c:ext>
          </c:extLst>
        </c:ser>
        <c:dLbls>
          <c:showLegendKey val="0"/>
          <c:showVal val="0"/>
          <c:showCatName val="0"/>
          <c:showSerName val="0"/>
          <c:showPercent val="0"/>
          <c:showBubbleSize val="0"/>
        </c:dLbls>
        <c:smooth val="0"/>
        <c:axId val="346923440"/>
        <c:axId val="346923832"/>
      </c:lineChart>
      <c:catAx>
        <c:axId val="346923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923832"/>
        <c:crosses val="autoZero"/>
        <c:auto val="1"/>
        <c:lblAlgn val="ctr"/>
        <c:lblOffset val="100"/>
        <c:noMultiLvlLbl val="0"/>
      </c:catAx>
      <c:valAx>
        <c:axId val="346923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Leaf</a:t>
                </a:r>
                <a:r>
                  <a:rPr lang="en-US" baseline="0"/>
                  <a:t> area (cm</a:t>
                </a:r>
                <a:r>
                  <a:rPr lang="en-US" baseline="30000"/>
                  <a:t>2</a:t>
                </a:r>
                <a:r>
                  <a:rPr lang="en-US" baseline="0"/>
                  <a:t>)</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9234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AYB</c:v>
                </c:pt>
              </c:strCache>
            </c:strRef>
          </c:tx>
          <c:spPr>
            <a:ln w="28575" cap="rnd">
              <a:solidFill>
                <a:schemeClr val="accent1"/>
              </a:solidFill>
              <a:round/>
            </a:ln>
            <a:effectLst/>
          </c:spPr>
          <c:marker>
            <c:symbol val="none"/>
          </c:marker>
          <c:cat>
            <c:numRef>
              <c:f>Sheet1!$A$2:$A$5</c:f>
              <c:numCache>
                <c:formatCode>General</c:formatCode>
                <c:ptCount val="4"/>
                <c:pt idx="0">
                  <c:v>0</c:v>
                </c:pt>
                <c:pt idx="1">
                  <c:v>40</c:v>
                </c:pt>
                <c:pt idx="2">
                  <c:v>60</c:v>
                </c:pt>
                <c:pt idx="3">
                  <c:v>80</c:v>
                </c:pt>
              </c:numCache>
            </c:numRef>
          </c:cat>
          <c:val>
            <c:numRef>
              <c:f>Sheet1!$B$2:$B$5</c:f>
              <c:numCache>
                <c:formatCode>General</c:formatCode>
                <c:ptCount val="4"/>
                <c:pt idx="0">
                  <c:v>3</c:v>
                </c:pt>
                <c:pt idx="1">
                  <c:v>2.9</c:v>
                </c:pt>
                <c:pt idx="2">
                  <c:v>2.9</c:v>
                </c:pt>
                <c:pt idx="3">
                  <c:v>2.7</c:v>
                </c:pt>
              </c:numCache>
            </c:numRef>
          </c:val>
          <c:smooth val="0"/>
          <c:extLst>
            <c:ext xmlns:c16="http://schemas.microsoft.com/office/drawing/2014/chart" uri="{C3380CC4-5D6E-409C-BE32-E72D297353CC}">
              <c16:uniqueId val="{00000000-5F51-4C1F-AE9B-80143456BB30}"/>
            </c:ext>
          </c:extLst>
        </c:ser>
        <c:ser>
          <c:idx val="1"/>
          <c:order val="1"/>
          <c:tx>
            <c:strRef>
              <c:f>Sheet1!$C$1</c:f>
              <c:strCache>
                <c:ptCount val="1"/>
                <c:pt idx="0">
                  <c:v>WCP</c:v>
                </c:pt>
              </c:strCache>
            </c:strRef>
          </c:tx>
          <c:spPr>
            <a:ln w="28575" cap="rnd">
              <a:solidFill>
                <a:schemeClr val="accent2"/>
              </a:solidFill>
              <a:round/>
            </a:ln>
            <a:effectLst/>
          </c:spPr>
          <c:marker>
            <c:symbol val="none"/>
          </c:marker>
          <c:cat>
            <c:numRef>
              <c:f>Sheet1!$A$2:$A$5</c:f>
              <c:numCache>
                <c:formatCode>General</c:formatCode>
                <c:ptCount val="4"/>
                <c:pt idx="0">
                  <c:v>0</c:v>
                </c:pt>
                <c:pt idx="1">
                  <c:v>40</c:v>
                </c:pt>
                <c:pt idx="2">
                  <c:v>60</c:v>
                </c:pt>
                <c:pt idx="3">
                  <c:v>80</c:v>
                </c:pt>
              </c:numCache>
            </c:numRef>
          </c:cat>
          <c:val>
            <c:numRef>
              <c:f>Sheet1!$C$2:$C$5</c:f>
              <c:numCache>
                <c:formatCode>General</c:formatCode>
                <c:ptCount val="4"/>
                <c:pt idx="0">
                  <c:v>2.5</c:v>
                </c:pt>
                <c:pt idx="1">
                  <c:v>2.6</c:v>
                </c:pt>
                <c:pt idx="2">
                  <c:v>2.4</c:v>
                </c:pt>
                <c:pt idx="3">
                  <c:v>3.5</c:v>
                </c:pt>
              </c:numCache>
            </c:numRef>
          </c:val>
          <c:smooth val="0"/>
          <c:extLst>
            <c:ext xmlns:c16="http://schemas.microsoft.com/office/drawing/2014/chart" uri="{C3380CC4-5D6E-409C-BE32-E72D297353CC}">
              <c16:uniqueId val="{00000001-5F51-4C1F-AE9B-80143456BB30}"/>
            </c:ext>
          </c:extLst>
        </c:ser>
        <c:dLbls>
          <c:showLegendKey val="0"/>
          <c:showVal val="0"/>
          <c:showCatName val="0"/>
          <c:showSerName val="0"/>
          <c:showPercent val="0"/>
          <c:showBubbleSize val="0"/>
        </c:dLbls>
        <c:smooth val="0"/>
        <c:axId val="350797264"/>
        <c:axId val="350795696"/>
      </c:lineChart>
      <c:catAx>
        <c:axId val="350797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795696"/>
        <c:crosses val="autoZero"/>
        <c:auto val="1"/>
        <c:lblAlgn val="ctr"/>
        <c:lblOffset val="100"/>
        <c:noMultiLvlLbl val="0"/>
      </c:catAx>
      <c:valAx>
        <c:axId val="350795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branches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79726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AYB</c:v>
                </c:pt>
              </c:strCache>
            </c:strRef>
          </c:tx>
          <c:spPr>
            <a:ln w="28575" cap="rnd">
              <a:solidFill>
                <a:schemeClr val="accent1"/>
              </a:solidFill>
              <a:round/>
            </a:ln>
            <a:effectLst/>
          </c:spPr>
          <c:marker>
            <c:symbol val="none"/>
          </c:marker>
          <c:cat>
            <c:numRef>
              <c:f>Sheet1!$A$2:$A$5</c:f>
              <c:numCache>
                <c:formatCode>General</c:formatCode>
                <c:ptCount val="4"/>
                <c:pt idx="0">
                  <c:v>0</c:v>
                </c:pt>
                <c:pt idx="1">
                  <c:v>40</c:v>
                </c:pt>
                <c:pt idx="2">
                  <c:v>60</c:v>
                </c:pt>
                <c:pt idx="3">
                  <c:v>80</c:v>
                </c:pt>
              </c:numCache>
            </c:numRef>
          </c:cat>
          <c:val>
            <c:numRef>
              <c:f>Sheet1!$B$2:$B$5</c:f>
              <c:numCache>
                <c:formatCode>General</c:formatCode>
                <c:ptCount val="4"/>
                <c:pt idx="0">
                  <c:v>0.6</c:v>
                </c:pt>
                <c:pt idx="1">
                  <c:v>0.53</c:v>
                </c:pt>
                <c:pt idx="2">
                  <c:v>0.5</c:v>
                </c:pt>
                <c:pt idx="3">
                  <c:v>0.5</c:v>
                </c:pt>
              </c:numCache>
            </c:numRef>
          </c:val>
          <c:smooth val="0"/>
          <c:extLst>
            <c:ext xmlns:c16="http://schemas.microsoft.com/office/drawing/2014/chart" uri="{C3380CC4-5D6E-409C-BE32-E72D297353CC}">
              <c16:uniqueId val="{00000000-44E4-40AE-80E9-4E114550E11E}"/>
            </c:ext>
          </c:extLst>
        </c:ser>
        <c:ser>
          <c:idx val="1"/>
          <c:order val="1"/>
          <c:tx>
            <c:strRef>
              <c:f>Sheet1!$C$1</c:f>
              <c:strCache>
                <c:ptCount val="1"/>
                <c:pt idx="0">
                  <c:v>WCP</c:v>
                </c:pt>
              </c:strCache>
            </c:strRef>
          </c:tx>
          <c:spPr>
            <a:ln w="28575" cap="rnd">
              <a:solidFill>
                <a:schemeClr val="accent2"/>
              </a:solidFill>
              <a:round/>
            </a:ln>
            <a:effectLst/>
          </c:spPr>
          <c:marker>
            <c:symbol val="none"/>
          </c:marker>
          <c:cat>
            <c:numRef>
              <c:f>Sheet1!$A$2:$A$5</c:f>
              <c:numCache>
                <c:formatCode>General</c:formatCode>
                <c:ptCount val="4"/>
                <c:pt idx="0">
                  <c:v>0</c:v>
                </c:pt>
                <c:pt idx="1">
                  <c:v>40</c:v>
                </c:pt>
                <c:pt idx="2">
                  <c:v>60</c:v>
                </c:pt>
                <c:pt idx="3">
                  <c:v>80</c:v>
                </c:pt>
              </c:numCache>
            </c:numRef>
          </c:cat>
          <c:val>
            <c:numRef>
              <c:f>Sheet1!$C$2:$C$5</c:f>
              <c:numCache>
                <c:formatCode>General</c:formatCode>
                <c:ptCount val="4"/>
                <c:pt idx="0">
                  <c:v>1.5</c:v>
                </c:pt>
                <c:pt idx="1">
                  <c:v>1.4</c:v>
                </c:pt>
                <c:pt idx="2">
                  <c:v>1.4</c:v>
                </c:pt>
                <c:pt idx="3">
                  <c:v>1.7</c:v>
                </c:pt>
              </c:numCache>
            </c:numRef>
          </c:val>
          <c:smooth val="0"/>
          <c:extLst>
            <c:ext xmlns:c16="http://schemas.microsoft.com/office/drawing/2014/chart" uri="{C3380CC4-5D6E-409C-BE32-E72D297353CC}">
              <c16:uniqueId val="{00000001-44E4-40AE-80E9-4E114550E11E}"/>
            </c:ext>
          </c:extLst>
        </c:ser>
        <c:dLbls>
          <c:showLegendKey val="0"/>
          <c:showVal val="0"/>
          <c:showCatName val="0"/>
          <c:showSerName val="0"/>
          <c:showPercent val="0"/>
          <c:showBubbleSize val="0"/>
        </c:dLbls>
        <c:smooth val="0"/>
        <c:axId val="355561688"/>
        <c:axId val="355562080"/>
      </c:lineChart>
      <c:catAx>
        <c:axId val="355561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562080"/>
        <c:crosses val="autoZero"/>
        <c:auto val="1"/>
        <c:lblAlgn val="ctr"/>
        <c:lblOffset val="100"/>
        <c:noMultiLvlLbl val="0"/>
      </c:catAx>
      <c:valAx>
        <c:axId val="355562080"/>
        <c:scaling>
          <c:orientation val="minMax"/>
          <c:max val="1.8"/>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leaves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5561688"/>
        <c:crosses val="autoZero"/>
        <c:crossBetween val="between"/>
        <c:majorUnit val="0.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AYB</c:v>
                </c:pt>
              </c:strCache>
            </c:strRef>
          </c:tx>
          <c:spPr>
            <a:ln w="28575" cap="rnd">
              <a:solidFill>
                <a:schemeClr val="accent1"/>
              </a:solidFill>
              <a:round/>
            </a:ln>
            <a:effectLst/>
          </c:spPr>
          <c:marker>
            <c:symbol val="none"/>
          </c:marker>
          <c:cat>
            <c:numRef>
              <c:f>Sheet1!$A$2:$A$5</c:f>
              <c:numCache>
                <c:formatCode>General</c:formatCode>
                <c:ptCount val="4"/>
                <c:pt idx="0">
                  <c:v>0</c:v>
                </c:pt>
                <c:pt idx="1">
                  <c:v>40</c:v>
                </c:pt>
                <c:pt idx="2">
                  <c:v>60</c:v>
                </c:pt>
                <c:pt idx="3">
                  <c:v>80</c:v>
                </c:pt>
              </c:numCache>
            </c:numRef>
          </c:cat>
          <c:val>
            <c:numRef>
              <c:f>Sheet1!$B$2:$B$5</c:f>
              <c:numCache>
                <c:formatCode>General</c:formatCode>
                <c:ptCount val="4"/>
                <c:pt idx="0">
                  <c:v>1.5</c:v>
                </c:pt>
                <c:pt idx="1">
                  <c:v>1.4</c:v>
                </c:pt>
                <c:pt idx="2">
                  <c:v>1.4</c:v>
                </c:pt>
                <c:pt idx="3">
                  <c:v>1.6</c:v>
                </c:pt>
              </c:numCache>
            </c:numRef>
          </c:val>
          <c:smooth val="0"/>
          <c:extLst>
            <c:ext xmlns:c16="http://schemas.microsoft.com/office/drawing/2014/chart" uri="{C3380CC4-5D6E-409C-BE32-E72D297353CC}">
              <c16:uniqueId val="{00000000-CFA6-46D5-B1AF-00B681A85740}"/>
            </c:ext>
          </c:extLst>
        </c:ser>
        <c:ser>
          <c:idx val="1"/>
          <c:order val="1"/>
          <c:tx>
            <c:strRef>
              <c:f>Sheet1!$C$1</c:f>
              <c:strCache>
                <c:ptCount val="1"/>
                <c:pt idx="0">
                  <c:v>WCP</c:v>
                </c:pt>
              </c:strCache>
            </c:strRef>
          </c:tx>
          <c:spPr>
            <a:ln w="28575" cap="rnd">
              <a:solidFill>
                <a:schemeClr val="accent2"/>
              </a:solidFill>
              <a:round/>
            </a:ln>
            <a:effectLst/>
          </c:spPr>
          <c:marker>
            <c:symbol val="none"/>
          </c:marker>
          <c:cat>
            <c:numRef>
              <c:f>Sheet1!$A$2:$A$5</c:f>
              <c:numCache>
                <c:formatCode>General</c:formatCode>
                <c:ptCount val="4"/>
                <c:pt idx="0">
                  <c:v>0</c:v>
                </c:pt>
                <c:pt idx="1">
                  <c:v>40</c:v>
                </c:pt>
                <c:pt idx="2">
                  <c:v>60</c:v>
                </c:pt>
                <c:pt idx="3">
                  <c:v>80</c:v>
                </c:pt>
              </c:numCache>
            </c:numRef>
          </c:cat>
          <c:val>
            <c:numRef>
              <c:f>Sheet1!$C$2:$C$5</c:f>
              <c:numCache>
                <c:formatCode>General</c:formatCode>
                <c:ptCount val="4"/>
                <c:pt idx="0">
                  <c:v>0.68</c:v>
                </c:pt>
                <c:pt idx="1">
                  <c:v>0.6</c:v>
                </c:pt>
                <c:pt idx="2">
                  <c:v>0.57999999999999996</c:v>
                </c:pt>
                <c:pt idx="3">
                  <c:v>0.57999999999999996</c:v>
                </c:pt>
              </c:numCache>
            </c:numRef>
          </c:val>
          <c:smooth val="0"/>
          <c:extLst>
            <c:ext xmlns:c16="http://schemas.microsoft.com/office/drawing/2014/chart" uri="{C3380CC4-5D6E-409C-BE32-E72D297353CC}">
              <c16:uniqueId val="{00000001-CFA6-46D5-B1AF-00B681A85740}"/>
            </c:ext>
          </c:extLst>
        </c:ser>
        <c:dLbls>
          <c:showLegendKey val="0"/>
          <c:showVal val="0"/>
          <c:showCatName val="0"/>
          <c:showSerName val="0"/>
          <c:showPercent val="0"/>
          <c:showBubbleSize val="0"/>
        </c:dLbls>
        <c:smooth val="0"/>
        <c:axId val="353414688"/>
        <c:axId val="354062144"/>
      </c:lineChart>
      <c:catAx>
        <c:axId val="353414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4062144"/>
        <c:crosses val="autoZero"/>
        <c:auto val="1"/>
        <c:lblAlgn val="ctr"/>
        <c:lblOffset val="100"/>
        <c:noMultiLvlLbl val="0"/>
      </c:catAx>
      <c:valAx>
        <c:axId val="3540621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Sterm</a:t>
                </a:r>
                <a:r>
                  <a:rPr lang="en-US" baseline="0"/>
                  <a:t> girth</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4146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AYB</c:v>
                </c:pt>
              </c:strCache>
            </c:strRef>
          </c:tx>
          <c:spPr>
            <a:ln w="28575" cap="rnd">
              <a:solidFill>
                <a:schemeClr val="accent1"/>
              </a:solidFill>
              <a:round/>
            </a:ln>
            <a:effectLst/>
          </c:spPr>
          <c:marker>
            <c:symbol val="none"/>
          </c:marker>
          <c:cat>
            <c:numRef>
              <c:f>Sheet1!$A$2:$A$5</c:f>
              <c:numCache>
                <c:formatCode>General</c:formatCode>
                <c:ptCount val="4"/>
                <c:pt idx="0">
                  <c:v>0</c:v>
                </c:pt>
                <c:pt idx="1">
                  <c:v>40</c:v>
                </c:pt>
                <c:pt idx="2">
                  <c:v>60</c:v>
                </c:pt>
                <c:pt idx="3">
                  <c:v>80</c:v>
                </c:pt>
              </c:numCache>
            </c:numRef>
          </c:cat>
          <c:val>
            <c:numRef>
              <c:f>Sheet1!$B$2:$B$5</c:f>
              <c:numCache>
                <c:formatCode>General</c:formatCode>
                <c:ptCount val="4"/>
                <c:pt idx="0">
                  <c:v>1.3</c:v>
                </c:pt>
                <c:pt idx="1">
                  <c:v>0.85</c:v>
                </c:pt>
                <c:pt idx="2">
                  <c:v>0.8</c:v>
                </c:pt>
                <c:pt idx="3">
                  <c:v>0.87</c:v>
                </c:pt>
              </c:numCache>
            </c:numRef>
          </c:val>
          <c:smooth val="0"/>
          <c:extLst>
            <c:ext xmlns:c16="http://schemas.microsoft.com/office/drawing/2014/chart" uri="{C3380CC4-5D6E-409C-BE32-E72D297353CC}">
              <c16:uniqueId val="{00000000-0D50-42FE-B77C-55A09162C9C3}"/>
            </c:ext>
          </c:extLst>
        </c:ser>
        <c:ser>
          <c:idx val="1"/>
          <c:order val="1"/>
          <c:tx>
            <c:strRef>
              <c:f>Sheet1!$C$1</c:f>
              <c:strCache>
                <c:ptCount val="1"/>
                <c:pt idx="0">
                  <c:v>WCP</c:v>
                </c:pt>
              </c:strCache>
            </c:strRef>
          </c:tx>
          <c:spPr>
            <a:ln w="28575" cap="rnd">
              <a:solidFill>
                <a:schemeClr val="accent2"/>
              </a:solidFill>
              <a:round/>
            </a:ln>
            <a:effectLst/>
          </c:spPr>
          <c:marker>
            <c:symbol val="none"/>
          </c:marker>
          <c:cat>
            <c:numRef>
              <c:f>Sheet1!$A$2:$A$5</c:f>
              <c:numCache>
                <c:formatCode>General</c:formatCode>
                <c:ptCount val="4"/>
                <c:pt idx="0">
                  <c:v>0</c:v>
                </c:pt>
                <c:pt idx="1">
                  <c:v>40</c:v>
                </c:pt>
                <c:pt idx="2">
                  <c:v>60</c:v>
                </c:pt>
                <c:pt idx="3">
                  <c:v>80</c:v>
                </c:pt>
              </c:numCache>
            </c:numRef>
          </c:cat>
          <c:val>
            <c:numRef>
              <c:f>Sheet1!$C$2:$C$5</c:f>
              <c:numCache>
                <c:formatCode>General</c:formatCode>
                <c:ptCount val="4"/>
                <c:pt idx="0">
                  <c:v>0</c:v>
                </c:pt>
                <c:pt idx="1">
                  <c:v>0</c:v>
                </c:pt>
                <c:pt idx="2">
                  <c:v>0</c:v>
                </c:pt>
                <c:pt idx="3">
                  <c:v>0.1</c:v>
                </c:pt>
              </c:numCache>
            </c:numRef>
          </c:val>
          <c:smooth val="0"/>
          <c:extLst>
            <c:ext xmlns:c16="http://schemas.microsoft.com/office/drawing/2014/chart" uri="{C3380CC4-5D6E-409C-BE32-E72D297353CC}">
              <c16:uniqueId val="{00000001-0D50-42FE-B77C-55A09162C9C3}"/>
            </c:ext>
          </c:extLst>
        </c:ser>
        <c:dLbls>
          <c:showLegendKey val="0"/>
          <c:showVal val="0"/>
          <c:showCatName val="0"/>
          <c:showSerName val="0"/>
          <c:showPercent val="0"/>
          <c:showBubbleSize val="0"/>
        </c:dLbls>
        <c:smooth val="0"/>
        <c:axId val="416529600"/>
        <c:axId val="416528816"/>
      </c:lineChart>
      <c:catAx>
        <c:axId val="416529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528816"/>
        <c:crosses val="autoZero"/>
        <c:auto val="1"/>
        <c:lblAlgn val="ctr"/>
        <c:lblOffset val="100"/>
        <c:noMultiLvlLbl val="0"/>
      </c:catAx>
      <c:valAx>
        <c:axId val="416528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Numbers of flowers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52960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WCP</c:v>
                </c:pt>
              </c:strCache>
            </c:strRef>
          </c:tx>
          <c:spPr>
            <a:ln w="28575" cap="rnd">
              <a:solidFill>
                <a:schemeClr val="accent1"/>
              </a:solidFill>
              <a:round/>
            </a:ln>
            <a:effectLst/>
          </c:spPr>
          <c:marker>
            <c:symbol val="none"/>
          </c:marker>
          <c:cat>
            <c:numRef>
              <c:f>Sheet1!$A$2:$A$5</c:f>
              <c:numCache>
                <c:formatCode>General</c:formatCode>
                <c:ptCount val="4"/>
                <c:pt idx="0">
                  <c:v>0</c:v>
                </c:pt>
                <c:pt idx="1">
                  <c:v>40</c:v>
                </c:pt>
                <c:pt idx="2">
                  <c:v>60</c:v>
                </c:pt>
                <c:pt idx="3">
                  <c:v>80</c:v>
                </c:pt>
              </c:numCache>
            </c:numRef>
          </c:cat>
          <c:val>
            <c:numRef>
              <c:f>Sheet1!$B$2:$B$5</c:f>
              <c:numCache>
                <c:formatCode>General</c:formatCode>
                <c:ptCount val="4"/>
                <c:pt idx="0">
                  <c:v>0</c:v>
                </c:pt>
                <c:pt idx="1">
                  <c:v>0</c:v>
                </c:pt>
                <c:pt idx="2">
                  <c:v>0</c:v>
                </c:pt>
                <c:pt idx="3">
                  <c:v>0</c:v>
                </c:pt>
              </c:numCache>
            </c:numRef>
          </c:val>
          <c:smooth val="0"/>
          <c:extLst>
            <c:ext xmlns:c16="http://schemas.microsoft.com/office/drawing/2014/chart" uri="{C3380CC4-5D6E-409C-BE32-E72D297353CC}">
              <c16:uniqueId val="{00000000-62B7-4253-AC30-E41BDDFBFE66}"/>
            </c:ext>
          </c:extLst>
        </c:ser>
        <c:ser>
          <c:idx val="1"/>
          <c:order val="1"/>
          <c:tx>
            <c:strRef>
              <c:f>Sheet1!$C$1</c:f>
              <c:strCache>
                <c:ptCount val="1"/>
                <c:pt idx="0">
                  <c:v>Column1</c:v>
                </c:pt>
              </c:strCache>
            </c:strRef>
          </c:tx>
          <c:spPr>
            <a:ln w="28575" cap="rnd">
              <a:solidFill>
                <a:schemeClr val="accent2"/>
              </a:solidFill>
              <a:round/>
            </a:ln>
            <a:effectLst/>
          </c:spPr>
          <c:marker>
            <c:symbol val="none"/>
          </c:marker>
          <c:cat>
            <c:numRef>
              <c:f>Sheet1!$A$2:$A$5</c:f>
              <c:numCache>
                <c:formatCode>General</c:formatCode>
                <c:ptCount val="4"/>
                <c:pt idx="0">
                  <c:v>0</c:v>
                </c:pt>
                <c:pt idx="1">
                  <c:v>40</c:v>
                </c:pt>
                <c:pt idx="2">
                  <c:v>60</c:v>
                </c:pt>
                <c:pt idx="3">
                  <c:v>80</c:v>
                </c:pt>
              </c:numCache>
            </c:numRef>
          </c:cat>
          <c:val>
            <c:numRef>
              <c:f>Sheet1!$C$2:$C$5</c:f>
              <c:numCache>
                <c:formatCode>General</c:formatCode>
                <c:ptCount val="4"/>
                <c:pt idx="0">
                  <c:v>3.25</c:v>
                </c:pt>
                <c:pt idx="1">
                  <c:v>2.5</c:v>
                </c:pt>
                <c:pt idx="2">
                  <c:v>1.75</c:v>
                </c:pt>
                <c:pt idx="3">
                  <c:v>2</c:v>
                </c:pt>
              </c:numCache>
            </c:numRef>
          </c:val>
          <c:smooth val="0"/>
          <c:extLst>
            <c:ext xmlns:c16="http://schemas.microsoft.com/office/drawing/2014/chart" uri="{C3380CC4-5D6E-409C-BE32-E72D297353CC}">
              <c16:uniqueId val="{00000001-62B7-4253-AC30-E41BDDFBFE66}"/>
            </c:ext>
          </c:extLst>
        </c:ser>
        <c:ser>
          <c:idx val="2"/>
          <c:order val="2"/>
          <c:tx>
            <c:strRef>
              <c:f>Sheet1!$D$1</c:f>
              <c:strCache>
                <c:ptCount val="1"/>
                <c:pt idx="0">
                  <c:v>AYB</c:v>
                </c:pt>
              </c:strCache>
            </c:strRef>
          </c:tx>
          <c:spPr>
            <a:ln w="28575" cap="rnd">
              <a:solidFill>
                <a:schemeClr val="accent3"/>
              </a:solidFill>
              <a:round/>
            </a:ln>
            <a:effectLst/>
          </c:spPr>
          <c:marker>
            <c:symbol val="none"/>
          </c:marker>
          <c:cat>
            <c:numRef>
              <c:f>Sheet1!$A$2:$A$5</c:f>
              <c:numCache>
                <c:formatCode>General</c:formatCode>
                <c:ptCount val="4"/>
                <c:pt idx="0">
                  <c:v>0</c:v>
                </c:pt>
                <c:pt idx="1">
                  <c:v>40</c:v>
                </c:pt>
                <c:pt idx="2">
                  <c:v>60</c:v>
                </c:pt>
                <c:pt idx="3">
                  <c:v>80</c:v>
                </c:pt>
              </c:numCache>
            </c:numRef>
          </c:cat>
          <c:val>
            <c:numRef>
              <c:f>Sheet1!$D$2:$D$5</c:f>
              <c:numCache>
                <c:formatCode>General</c:formatCode>
                <c:ptCount val="4"/>
              </c:numCache>
            </c:numRef>
          </c:val>
          <c:smooth val="0"/>
          <c:extLst>
            <c:ext xmlns:c16="http://schemas.microsoft.com/office/drawing/2014/chart" uri="{C3380CC4-5D6E-409C-BE32-E72D297353CC}">
              <c16:uniqueId val="{00000002-62B7-4253-AC30-E41BDDFBFE66}"/>
            </c:ext>
          </c:extLst>
        </c:ser>
        <c:dLbls>
          <c:showLegendKey val="0"/>
          <c:showVal val="0"/>
          <c:showCatName val="0"/>
          <c:showSerName val="0"/>
          <c:showPercent val="0"/>
          <c:showBubbleSize val="0"/>
        </c:dLbls>
        <c:smooth val="0"/>
        <c:axId val="416530776"/>
        <c:axId val="416527248"/>
      </c:lineChart>
      <c:catAx>
        <c:axId val="416530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527248"/>
        <c:crosses val="autoZero"/>
        <c:auto val="1"/>
        <c:lblAlgn val="ctr"/>
        <c:lblOffset val="100"/>
        <c:noMultiLvlLbl val="0"/>
      </c:catAx>
      <c:valAx>
        <c:axId val="416527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pods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530776"/>
        <c:crosses val="autoZero"/>
        <c:crossBetween val="between"/>
      </c:valAx>
      <c:spPr>
        <a:noFill/>
        <a:ln>
          <a:noFill/>
        </a:ln>
        <a:effectLst/>
      </c:spPr>
    </c:plotArea>
    <c:legend>
      <c:legendPos val="r"/>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Total wt</c:v>
                </c:pt>
              </c:strCache>
            </c:strRef>
          </c:tx>
          <c:spPr>
            <a:solidFill>
              <a:schemeClr val="accent1"/>
            </a:solidFill>
            <a:ln>
              <a:noFill/>
            </a:ln>
            <a:effectLst/>
          </c:spPr>
          <c:invertIfNegative val="0"/>
          <c:cat>
            <c:numRef>
              <c:f>Sheet1!$A$2:$A$5</c:f>
              <c:numCache>
                <c:formatCode>General</c:formatCode>
                <c:ptCount val="4"/>
                <c:pt idx="0">
                  <c:v>0</c:v>
                </c:pt>
                <c:pt idx="1">
                  <c:v>40</c:v>
                </c:pt>
                <c:pt idx="2">
                  <c:v>60</c:v>
                </c:pt>
                <c:pt idx="3">
                  <c:v>80</c:v>
                </c:pt>
              </c:numCache>
            </c:numRef>
          </c:cat>
          <c:val>
            <c:numRef>
              <c:f>Sheet1!$B$2:$B$5</c:f>
              <c:numCache>
                <c:formatCode>General</c:formatCode>
                <c:ptCount val="4"/>
                <c:pt idx="0">
                  <c:v>100</c:v>
                </c:pt>
                <c:pt idx="1">
                  <c:v>225</c:v>
                </c:pt>
                <c:pt idx="2">
                  <c:v>130</c:v>
                </c:pt>
                <c:pt idx="3">
                  <c:v>100</c:v>
                </c:pt>
              </c:numCache>
            </c:numRef>
          </c:val>
          <c:extLst>
            <c:ext xmlns:c16="http://schemas.microsoft.com/office/drawing/2014/chart" uri="{C3380CC4-5D6E-409C-BE32-E72D297353CC}">
              <c16:uniqueId val="{00000000-2A4F-4DF5-9E2F-0F7BC93EA71E}"/>
            </c:ext>
          </c:extLst>
        </c:ser>
        <c:ser>
          <c:idx val="1"/>
          <c:order val="1"/>
          <c:tx>
            <c:strRef>
              <c:f>Sheet1!$C$1</c:f>
              <c:strCache>
                <c:ptCount val="1"/>
                <c:pt idx="0">
                  <c:v>Seed wt</c:v>
                </c:pt>
              </c:strCache>
            </c:strRef>
          </c:tx>
          <c:spPr>
            <a:solidFill>
              <a:schemeClr val="accent2"/>
            </a:solidFill>
            <a:ln>
              <a:noFill/>
            </a:ln>
            <a:effectLst/>
          </c:spPr>
          <c:invertIfNegative val="0"/>
          <c:cat>
            <c:numRef>
              <c:f>Sheet1!$A$2:$A$5</c:f>
              <c:numCache>
                <c:formatCode>General</c:formatCode>
                <c:ptCount val="4"/>
                <c:pt idx="0">
                  <c:v>0</c:v>
                </c:pt>
                <c:pt idx="1">
                  <c:v>40</c:v>
                </c:pt>
                <c:pt idx="2">
                  <c:v>60</c:v>
                </c:pt>
                <c:pt idx="3">
                  <c:v>80</c:v>
                </c:pt>
              </c:numCache>
            </c:numRef>
          </c:cat>
          <c:val>
            <c:numRef>
              <c:f>Sheet1!$C$2:$C$5</c:f>
              <c:numCache>
                <c:formatCode>General</c:formatCode>
                <c:ptCount val="4"/>
                <c:pt idx="0">
                  <c:v>70</c:v>
                </c:pt>
                <c:pt idx="1">
                  <c:v>150</c:v>
                </c:pt>
                <c:pt idx="2">
                  <c:v>90</c:v>
                </c:pt>
                <c:pt idx="3">
                  <c:v>80</c:v>
                </c:pt>
              </c:numCache>
            </c:numRef>
          </c:val>
          <c:extLst>
            <c:ext xmlns:c16="http://schemas.microsoft.com/office/drawing/2014/chart" uri="{C3380CC4-5D6E-409C-BE32-E72D297353CC}">
              <c16:uniqueId val="{00000001-2A4F-4DF5-9E2F-0F7BC93EA71E}"/>
            </c:ext>
          </c:extLst>
        </c:ser>
        <c:ser>
          <c:idx val="2"/>
          <c:order val="2"/>
          <c:tx>
            <c:strRef>
              <c:f>Sheet1!$D$1</c:f>
              <c:strCache>
                <c:ptCount val="1"/>
                <c:pt idx="0">
                  <c:v>Husk</c:v>
                </c:pt>
              </c:strCache>
            </c:strRef>
          </c:tx>
          <c:spPr>
            <a:solidFill>
              <a:schemeClr val="accent3"/>
            </a:solidFill>
            <a:ln>
              <a:noFill/>
            </a:ln>
            <a:effectLst/>
          </c:spPr>
          <c:invertIfNegative val="0"/>
          <c:cat>
            <c:numRef>
              <c:f>Sheet1!$A$2:$A$5</c:f>
              <c:numCache>
                <c:formatCode>General</c:formatCode>
                <c:ptCount val="4"/>
                <c:pt idx="0">
                  <c:v>0</c:v>
                </c:pt>
                <c:pt idx="1">
                  <c:v>40</c:v>
                </c:pt>
                <c:pt idx="2">
                  <c:v>60</c:v>
                </c:pt>
                <c:pt idx="3">
                  <c:v>80</c:v>
                </c:pt>
              </c:numCache>
            </c:numRef>
          </c:cat>
          <c:val>
            <c:numRef>
              <c:f>Sheet1!$D$2:$D$5</c:f>
              <c:numCache>
                <c:formatCode>General</c:formatCode>
                <c:ptCount val="4"/>
                <c:pt idx="0">
                  <c:v>25</c:v>
                </c:pt>
                <c:pt idx="1">
                  <c:v>50</c:v>
                </c:pt>
                <c:pt idx="2">
                  <c:v>30</c:v>
                </c:pt>
                <c:pt idx="3">
                  <c:v>20</c:v>
                </c:pt>
              </c:numCache>
            </c:numRef>
          </c:val>
          <c:extLst>
            <c:ext xmlns:c16="http://schemas.microsoft.com/office/drawing/2014/chart" uri="{C3380CC4-5D6E-409C-BE32-E72D297353CC}">
              <c16:uniqueId val="{00000002-2A4F-4DF5-9E2F-0F7BC93EA71E}"/>
            </c:ext>
          </c:extLst>
        </c:ser>
        <c:dLbls>
          <c:showLegendKey val="0"/>
          <c:showVal val="0"/>
          <c:showCatName val="0"/>
          <c:showSerName val="0"/>
          <c:showPercent val="0"/>
          <c:showBubbleSize val="0"/>
        </c:dLbls>
        <c:gapWidth val="150"/>
        <c:axId val="416528032"/>
        <c:axId val="416528424"/>
      </c:barChart>
      <c:catAx>
        <c:axId val="416528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Phosphorus rates (kg/ha)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528424"/>
        <c:crosses val="autoZero"/>
        <c:auto val="1"/>
        <c:lblAlgn val="ctr"/>
        <c:lblOffset val="100"/>
        <c:noMultiLvlLbl val="0"/>
      </c:catAx>
      <c:valAx>
        <c:axId val="4165284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Weight (g)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652803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4366</Words>
  <Characters>24889</Characters>
  <Application>Microsoft Office Word</Application>
  <DocSecurity>0</DocSecurity>
  <Lines>207</Lines>
  <Paragraphs>58</Paragraphs>
  <ScaleCrop>false</ScaleCrop>
  <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5</cp:revision>
  <dcterms:created xsi:type="dcterms:W3CDTF">2025-08-13T08:40:00Z</dcterms:created>
  <dcterms:modified xsi:type="dcterms:W3CDTF">2025-08-18T12:43:00Z</dcterms:modified>
</cp:coreProperties>
</file>