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FDFDD" w14:textId="77777777" w:rsidR="00E60AAE" w:rsidRPr="00E60AAE" w:rsidRDefault="00E60AAE" w:rsidP="00E60AAE">
      <w:pPr>
        <w:spacing w:after="160" w:line="278" w:lineRule="auto"/>
        <w:jc w:val="center"/>
        <w:rPr>
          <w:rFonts w:asciiTheme="minorBidi" w:eastAsiaTheme="minorEastAsia" w:hAnsiTheme="minorBidi" w:cstheme="minorBidi"/>
          <w:b/>
          <w:bCs/>
          <w:i/>
          <w:iCs/>
          <w:sz w:val="36"/>
          <w:szCs w:val="36"/>
          <w:u w:val="single"/>
        </w:rPr>
      </w:pPr>
      <w:r w:rsidRPr="00E60AAE">
        <w:rPr>
          <w:rFonts w:asciiTheme="minorBidi" w:eastAsiaTheme="minorEastAsia" w:hAnsiTheme="minorBidi" w:cstheme="minorBidi"/>
          <w:b/>
          <w:bCs/>
          <w:i/>
          <w:iCs/>
          <w:sz w:val="36"/>
          <w:szCs w:val="36"/>
          <w:u w:val="single"/>
        </w:rPr>
        <w:t xml:space="preserve">Case report </w:t>
      </w:r>
    </w:p>
    <w:p w14:paraId="7E0AFA9E" w14:textId="77777777" w:rsidR="000510C3" w:rsidRDefault="000510C3" w:rsidP="000510C3">
      <w:pPr>
        <w:spacing w:after="160" w:line="278" w:lineRule="auto"/>
        <w:jc w:val="center"/>
        <w:rPr>
          <w:rFonts w:asciiTheme="minorBidi" w:eastAsiaTheme="minorEastAsia" w:hAnsiTheme="minorBidi" w:cstheme="minorBidi"/>
          <w:b/>
          <w:bCs/>
          <w:sz w:val="36"/>
          <w:szCs w:val="36"/>
        </w:rPr>
      </w:pPr>
      <w:r w:rsidRPr="00F552AB">
        <w:rPr>
          <w:rFonts w:asciiTheme="minorBidi" w:eastAsiaTheme="minorEastAsia" w:hAnsiTheme="minorBidi" w:cstheme="minorBidi"/>
          <w:b/>
          <w:bCs/>
          <w:sz w:val="36"/>
          <w:szCs w:val="36"/>
        </w:rPr>
        <w:t xml:space="preserve">IRIDIAN AND CHORIORETINAL COLOBOMA: </w:t>
      </w:r>
    </w:p>
    <w:p w14:paraId="39BB2770" w14:textId="2AE71485" w:rsidR="000510C3" w:rsidRPr="00F552AB" w:rsidRDefault="000510C3" w:rsidP="000510C3">
      <w:pPr>
        <w:spacing w:after="160" w:line="278" w:lineRule="auto"/>
        <w:jc w:val="center"/>
        <w:rPr>
          <w:rFonts w:asciiTheme="minorBidi" w:hAnsiTheme="minorBidi" w:cstheme="minorBidi"/>
          <w:sz w:val="36"/>
          <w:szCs w:val="36"/>
        </w:rPr>
      </w:pPr>
      <w:r w:rsidRPr="00F552AB">
        <w:rPr>
          <w:rFonts w:asciiTheme="minorBidi" w:eastAsiaTheme="minorEastAsia" w:hAnsiTheme="minorBidi" w:cstheme="minorBidi"/>
          <w:b/>
          <w:bCs/>
          <w:sz w:val="36"/>
          <w:szCs w:val="36"/>
        </w:rPr>
        <w:t>A CASE REPORT</w:t>
      </w:r>
    </w:p>
    <w:p w14:paraId="438BC4A6" w14:textId="77777777" w:rsidR="00A258C3" w:rsidRPr="00790ADA" w:rsidRDefault="00A258C3" w:rsidP="00441B6F">
      <w:pPr>
        <w:pStyle w:val="Author"/>
        <w:spacing w:line="240" w:lineRule="auto"/>
        <w:jc w:val="both"/>
        <w:rPr>
          <w:rFonts w:ascii="Arial" w:hAnsi="Arial" w:cs="Arial"/>
          <w:sz w:val="36"/>
        </w:rPr>
      </w:pPr>
    </w:p>
    <w:p w14:paraId="60F9E194" w14:textId="77777777" w:rsidR="002C57D2" w:rsidRPr="00FB3A86" w:rsidRDefault="002C57D2" w:rsidP="00441B6F">
      <w:pPr>
        <w:pStyle w:val="Affiliation"/>
        <w:spacing w:after="0" w:line="240" w:lineRule="auto"/>
        <w:jc w:val="both"/>
        <w:rPr>
          <w:rFonts w:ascii="Arial" w:hAnsi="Arial" w:cs="Arial"/>
        </w:rPr>
      </w:pPr>
    </w:p>
    <w:p w14:paraId="6D4FE798" w14:textId="726AC1A4" w:rsidR="00B01FCD" w:rsidRPr="00FB3A86" w:rsidRDefault="002B60F0" w:rsidP="00441B6F">
      <w:pPr>
        <w:pStyle w:val="Copyright"/>
        <w:spacing w:after="0" w:line="240" w:lineRule="auto"/>
        <w:jc w:val="both"/>
        <w:rPr>
          <w:rFonts w:ascii="Arial" w:hAnsi="Arial" w:cs="Arial"/>
        </w:rPr>
        <w:sectPr w:rsidR="00B01FCD" w:rsidRPr="00FB3A86" w:rsidSect="00B67E7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7F113B0" wp14:editId="7A8C461D">
                <wp:extent cx="5303520" cy="635"/>
                <wp:effectExtent l="17145" t="11430" r="13335" b="17145"/>
                <wp:docPr id="136230500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24EE0B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EB48496" w14:textId="62C44248" w:rsidR="00790ADA" w:rsidRPr="00FB3A86" w:rsidRDefault="00E60AAE" w:rsidP="00441B6F">
      <w:pPr>
        <w:pStyle w:val="AbstHead"/>
        <w:spacing w:after="0"/>
        <w:jc w:val="both"/>
        <w:rPr>
          <w:rFonts w:ascii="Arial" w:hAnsi="Arial" w:cs="Arial"/>
        </w:rPr>
      </w:pPr>
      <w:proofErr w:type="gramStart"/>
      <w:r>
        <w:rPr>
          <w:rFonts w:ascii="Arial" w:hAnsi="Arial" w:cs="Arial"/>
        </w:rPr>
        <w:t>abstract :</w:t>
      </w:r>
      <w:proofErr w:type="gramEnd"/>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3074D38" w14:textId="77777777" w:rsidTr="001E44FE">
        <w:tc>
          <w:tcPr>
            <w:tcW w:w="9576" w:type="dxa"/>
            <w:shd w:val="clear" w:color="auto" w:fill="F2F2F2"/>
          </w:tcPr>
          <w:p w14:paraId="36C92A03" w14:textId="77777777" w:rsidR="00E3114E" w:rsidRDefault="00E3114E" w:rsidP="00441B6F">
            <w:pPr>
              <w:pStyle w:val="Body"/>
              <w:spacing w:after="0"/>
              <w:rPr>
                <w:rFonts w:ascii="Arial" w:eastAsia="Calibri" w:hAnsi="Arial" w:cs="Arial"/>
                <w:szCs w:val="22"/>
              </w:rPr>
            </w:pPr>
          </w:p>
          <w:p w14:paraId="653E80D7" w14:textId="77777777" w:rsidR="0009062A" w:rsidRDefault="00BA1B01" w:rsidP="0009062A">
            <w:pPr>
              <w:pStyle w:val="Body"/>
              <w:spacing w:after="0"/>
              <w:rPr>
                <w:rFonts w:ascii="Arial" w:eastAsia="Calibri" w:hAnsi="Arial" w:cs="Arial"/>
                <w:bCs/>
                <w:szCs w:val="22"/>
              </w:rPr>
            </w:pPr>
            <w:r w:rsidRPr="00BA1B01">
              <w:rPr>
                <w:rFonts w:ascii="Arial" w:eastAsia="Calibri" w:hAnsi="Arial" w:cs="Arial"/>
                <w:b/>
                <w:szCs w:val="22"/>
              </w:rPr>
              <w:t>Aims</w:t>
            </w:r>
            <w:r w:rsidR="00170EE9">
              <w:rPr>
                <w:rFonts w:ascii="Arial" w:eastAsia="Calibri" w:hAnsi="Arial" w:cs="Arial"/>
                <w:b/>
                <w:szCs w:val="22"/>
              </w:rPr>
              <w:t xml:space="preserve">: </w:t>
            </w:r>
            <w:r w:rsidR="00170EE9" w:rsidRPr="00170EE9">
              <w:rPr>
                <w:rFonts w:ascii="Arial" w:eastAsia="Calibri" w:hAnsi="Arial" w:cs="Arial"/>
                <w:bCs/>
                <w:szCs w:val="22"/>
              </w:rPr>
              <w:t>To report a</w:t>
            </w:r>
            <w:r w:rsidR="0009062A">
              <w:rPr>
                <w:rFonts w:ascii="Arial" w:eastAsia="Calibri" w:hAnsi="Arial" w:cs="Arial"/>
                <w:bCs/>
                <w:szCs w:val="22"/>
              </w:rPr>
              <w:t xml:space="preserve">n </w:t>
            </w:r>
            <w:r w:rsidR="0009062A" w:rsidRPr="0009062A">
              <w:rPr>
                <w:rFonts w:ascii="Arial" w:eastAsia="Calibri" w:hAnsi="Arial" w:cs="Arial"/>
                <w:bCs/>
                <w:szCs w:val="22"/>
              </w:rPr>
              <w:t>unusual bilateral presentation combining anterior and posterior segment colobomas with marked asymmetry in visual outcome</w:t>
            </w:r>
            <w:r w:rsidR="00170EE9" w:rsidRPr="00170EE9">
              <w:rPr>
                <w:rFonts w:ascii="Arial" w:eastAsia="Calibri" w:hAnsi="Arial" w:cs="Arial"/>
                <w:bCs/>
                <w:szCs w:val="22"/>
              </w:rPr>
              <w:t xml:space="preserve">, highlighting the importance of </w:t>
            </w:r>
          </w:p>
          <w:p w14:paraId="068725A6" w14:textId="416716DC" w:rsidR="00BA1B01" w:rsidRPr="00BA1B01" w:rsidRDefault="0009062A" w:rsidP="0009062A">
            <w:pPr>
              <w:pStyle w:val="Body"/>
              <w:spacing w:after="0"/>
              <w:rPr>
                <w:rFonts w:ascii="Arial" w:eastAsia="Calibri" w:hAnsi="Arial" w:cs="Arial"/>
                <w:szCs w:val="22"/>
              </w:rPr>
            </w:pPr>
            <w:r>
              <w:rPr>
                <w:rFonts w:ascii="Arial" w:eastAsia="Calibri" w:hAnsi="Arial" w:cs="Arial"/>
                <w:bCs/>
                <w:szCs w:val="22"/>
              </w:rPr>
              <w:t>de</w:t>
            </w:r>
            <w:r w:rsidRPr="0009062A">
              <w:rPr>
                <w:rFonts w:ascii="Arial" w:eastAsia="Calibri" w:hAnsi="Arial" w:cs="Arial"/>
                <w:bCs/>
                <w:szCs w:val="22"/>
              </w:rPr>
              <w:t>tailed clinical and imaging assessment particularly when there is significant asymmetry in anatomical involvement and visual outcome.</w:t>
            </w:r>
          </w:p>
          <w:p w14:paraId="04014016" w14:textId="07CE79A7" w:rsidR="00170EE9" w:rsidRDefault="00170EE9" w:rsidP="00963DDC">
            <w:pPr>
              <w:rPr>
                <w:rFonts w:eastAsia="Calibri"/>
              </w:rPr>
            </w:pPr>
            <w:r w:rsidRPr="00170EE9">
              <w:rPr>
                <w:rFonts w:eastAsia="Calibri"/>
                <w:b/>
                <w:bCs/>
              </w:rPr>
              <w:t>Presentation</w:t>
            </w:r>
            <w:r w:rsidR="00060151">
              <w:rPr>
                <w:rFonts w:eastAsia="Calibri"/>
                <w:b/>
                <w:bCs/>
              </w:rPr>
              <w:t xml:space="preserve"> </w:t>
            </w:r>
            <w:r w:rsidRPr="00170EE9">
              <w:rPr>
                <w:rFonts w:eastAsia="Calibri"/>
                <w:b/>
                <w:bCs/>
              </w:rPr>
              <w:t>of</w:t>
            </w:r>
            <w:r w:rsidR="00060151">
              <w:rPr>
                <w:rFonts w:eastAsia="Calibri"/>
                <w:b/>
                <w:bCs/>
              </w:rPr>
              <w:t xml:space="preserve"> </w:t>
            </w:r>
            <w:r w:rsidRPr="00170EE9">
              <w:rPr>
                <w:rFonts w:eastAsia="Calibri"/>
                <w:b/>
                <w:bCs/>
              </w:rPr>
              <w:t>Case:</w:t>
            </w:r>
            <w:r w:rsidRPr="00170EE9">
              <w:rPr>
                <w:rFonts w:eastAsia="Calibri"/>
              </w:rPr>
              <w:br/>
            </w:r>
            <w:r w:rsidR="00FD529F" w:rsidRPr="00FD529F">
              <w:rPr>
                <w:rFonts w:eastAsia="Calibri"/>
              </w:rPr>
              <w:t xml:space="preserve">A 17-year-old female with no significant medical or familial history presented with decreased visual acuity in her right eye. </w:t>
            </w:r>
            <w:r w:rsidR="00963DDC" w:rsidRPr="00963DDC">
              <w:rPr>
                <w:rFonts w:eastAsia="Calibri"/>
              </w:rPr>
              <w:t>Visual acuity was limited to counting fingers in the right eye and 20/20 in the left.</w:t>
            </w:r>
            <w:r w:rsidR="00FD529F" w:rsidRPr="00963DDC">
              <w:rPr>
                <w:rFonts w:eastAsia="Calibri"/>
              </w:rPr>
              <w:t xml:space="preserve"> S</w:t>
            </w:r>
            <w:r w:rsidR="00FD529F" w:rsidRPr="00FD529F">
              <w:rPr>
                <w:rFonts w:eastAsia="Calibri"/>
              </w:rPr>
              <w:t xml:space="preserve">lit-lamp examination revealed an iris coloboma in the left eye. Fundus examination showed a large </w:t>
            </w:r>
            <w:proofErr w:type="spellStart"/>
            <w:r w:rsidR="00FD529F" w:rsidRPr="00FD529F">
              <w:rPr>
                <w:rFonts w:eastAsia="Calibri"/>
              </w:rPr>
              <w:t>chorioretinal</w:t>
            </w:r>
            <w:proofErr w:type="spellEnd"/>
            <w:r w:rsidR="00FD529F" w:rsidRPr="00FD529F">
              <w:rPr>
                <w:rFonts w:eastAsia="Calibri"/>
              </w:rPr>
              <w:t xml:space="preserve"> coloboma involving the optic disc and inferior retina in the right eye. A smaller, inferotemporal </w:t>
            </w:r>
            <w:proofErr w:type="spellStart"/>
            <w:r w:rsidR="00FD529F" w:rsidRPr="00FD529F">
              <w:rPr>
                <w:rFonts w:eastAsia="Calibri"/>
              </w:rPr>
              <w:t>chorioretinal</w:t>
            </w:r>
            <w:proofErr w:type="spellEnd"/>
            <w:r w:rsidR="00FD529F" w:rsidRPr="00FD529F">
              <w:rPr>
                <w:rFonts w:eastAsia="Calibri"/>
              </w:rPr>
              <w:t xml:space="preserve"> coloboma was also observed in the left eye, sparing the macula. Neurological and systemic evaluations were unremarkable.</w:t>
            </w:r>
          </w:p>
          <w:p w14:paraId="78BB537A" w14:textId="77E9CFA4" w:rsidR="00170EE9" w:rsidRPr="00BA1B01" w:rsidRDefault="00170EE9" w:rsidP="00FD529F">
            <w:pPr>
              <w:pStyle w:val="Body"/>
              <w:spacing w:after="0"/>
              <w:rPr>
                <w:rFonts w:ascii="Arial" w:eastAsia="Calibri" w:hAnsi="Arial" w:cs="Arial"/>
                <w:szCs w:val="22"/>
              </w:rPr>
            </w:pPr>
            <w:r w:rsidRPr="00170EE9">
              <w:rPr>
                <w:rFonts w:ascii="Arial" w:eastAsia="Calibri" w:hAnsi="Arial" w:cs="Arial"/>
                <w:b/>
                <w:bCs/>
                <w:szCs w:val="22"/>
              </w:rPr>
              <w:t>Discussion:</w:t>
            </w:r>
            <w:r w:rsidRPr="00170EE9">
              <w:rPr>
                <w:rFonts w:ascii="Arial" w:eastAsia="Calibri" w:hAnsi="Arial" w:cs="Arial"/>
                <w:szCs w:val="22"/>
              </w:rPr>
              <w:br/>
            </w:r>
            <w:r w:rsidR="00FD529F" w:rsidRPr="00FD529F">
              <w:rPr>
                <w:rFonts w:ascii="Arial" w:eastAsia="Calibri" w:hAnsi="Arial" w:cs="Arial"/>
                <w:szCs w:val="22"/>
              </w:rPr>
              <w:t xml:space="preserve">This case illustrates the heterogeneity of </w:t>
            </w:r>
            <w:proofErr w:type="spellStart"/>
            <w:r w:rsidR="00FD529F" w:rsidRPr="00FD529F">
              <w:rPr>
                <w:rFonts w:ascii="Arial" w:eastAsia="Calibri" w:hAnsi="Arial" w:cs="Arial"/>
                <w:szCs w:val="22"/>
              </w:rPr>
              <w:t>colobomatous</w:t>
            </w:r>
            <w:proofErr w:type="spellEnd"/>
            <w:r w:rsidR="00FD529F" w:rsidRPr="00FD529F">
              <w:rPr>
                <w:rFonts w:ascii="Arial" w:eastAsia="Calibri" w:hAnsi="Arial" w:cs="Arial"/>
                <w:szCs w:val="22"/>
              </w:rPr>
              <w:t xml:space="preserve"> malformations in terms of anatomical presentation and visual prognosis. The presence of extensive posterior segment involvement in the right eye was associated with severe visual loss, while the functionally preserved left eye showed limited involvement. Multimodal imaging plays a key role in defining the extent of the lesions and ruling out associated anomalies or syndromic forms. The distribution of the lesions along the embryonic fissure supports their classification as typical colobomas.</w:t>
            </w:r>
          </w:p>
          <w:p w14:paraId="3669DF15" w14:textId="7105F1F1" w:rsidR="00636EB2" w:rsidRDefault="00BA1B01" w:rsidP="00DD4EE7">
            <w:pPr>
              <w:pStyle w:val="Body"/>
              <w:spacing w:after="0"/>
              <w:rPr>
                <w:rFonts w:ascii="Arial" w:eastAsia="Calibri" w:hAnsi="Arial" w:cs="Arial"/>
                <w:b/>
                <w:bCs/>
                <w:szCs w:val="22"/>
              </w:rPr>
            </w:pPr>
            <w:r w:rsidRPr="00BA1B01">
              <w:rPr>
                <w:rFonts w:ascii="Arial" w:eastAsia="Calibri" w:hAnsi="Arial" w:cs="Arial"/>
                <w:b/>
                <w:bCs/>
                <w:szCs w:val="22"/>
              </w:rPr>
              <w:t>Conclusion</w:t>
            </w:r>
            <w:r w:rsidR="00DD4EE7">
              <w:rPr>
                <w:rFonts w:ascii="Arial" w:eastAsia="Calibri" w:hAnsi="Arial" w:cs="Arial"/>
                <w:b/>
                <w:bCs/>
                <w:szCs w:val="22"/>
              </w:rPr>
              <w:t xml:space="preserve">: </w:t>
            </w:r>
          </w:p>
          <w:p w14:paraId="7CB84D3C" w14:textId="2A98EBFF" w:rsidR="00FD529F" w:rsidRPr="00DD4EE7" w:rsidRDefault="00FD529F" w:rsidP="00FD529F">
            <w:pPr>
              <w:pStyle w:val="Body"/>
              <w:spacing w:after="0"/>
              <w:rPr>
                <w:rFonts w:ascii="Arial" w:eastAsia="Calibri" w:hAnsi="Arial" w:cs="Arial"/>
                <w:szCs w:val="22"/>
              </w:rPr>
            </w:pPr>
            <w:r w:rsidRPr="00FD529F">
              <w:rPr>
                <w:rFonts w:ascii="Arial" w:eastAsia="Calibri" w:hAnsi="Arial" w:cs="Arial"/>
                <w:szCs w:val="22"/>
              </w:rPr>
              <w:t>Colobomas can present with bilateral but asymmetrical involvement of ocular structures. Early diagnosis, comprehensive imaging, and long-term monitoring are essential to anticipate complications and guide visual rehabilitation. This case highlights the importance of individualized assessment in the management of congenital ocular malformations.</w:t>
            </w:r>
          </w:p>
          <w:p w14:paraId="169FFF06" w14:textId="4CFA5B68" w:rsidR="00505F06" w:rsidRPr="00BA1B01" w:rsidRDefault="00505F06" w:rsidP="00441B6F">
            <w:pPr>
              <w:pStyle w:val="Body"/>
              <w:spacing w:after="0"/>
              <w:rPr>
                <w:rFonts w:ascii="Arial" w:eastAsia="Calibri" w:hAnsi="Arial" w:cs="Arial"/>
                <w:szCs w:val="22"/>
              </w:rPr>
            </w:pPr>
          </w:p>
        </w:tc>
      </w:tr>
    </w:tbl>
    <w:p w14:paraId="1A2A0E20" w14:textId="77777777" w:rsidR="00636EB2" w:rsidRDefault="00636EB2" w:rsidP="00441B6F">
      <w:pPr>
        <w:pStyle w:val="Body"/>
        <w:spacing w:after="0"/>
        <w:rPr>
          <w:rFonts w:ascii="Arial" w:hAnsi="Arial" w:cs="Arial"/>
          <w:i/>
        </w:rPr>
      </w:pPr>
    </w:p>
    <w:p w14:paraId="7316F1EF" w14:textId="19CCB4AF" w:rsidR="00D022E3" w:rsidRPr="00D022E3" w:rsidRDefault="00A24E7E" w:rsidP="00D022E3">
      <w:pPr>
        <w:pStyle w:val="Body"/>
        <w:spacing w:after="0"/>
        <w:rPr>
          <w:rFonts w:ascii="Arial" w:hAnsi="Arial" w:cs="Arial"/>
          <w:i/>
        </w:rPr>
      </w:pPr>
      <w:r>
        <w:rPr>
          <w:rFonts w:ascii="Arial" w:hAnsi="Arial" w:cs="Arial"/>
          <w:i/>
        </w:rPr>
        <w:t>Keywords</w:t>
      </w:r>
      <w:r w:rsidR="0044482D">
        <w:rPr>
          <w:rFonts w:ascii="Arial" w:hAnsi="Arial" w:cs="Arial"/>
          <w:i/>
        </w:rPr>
        <w:t>:</w:t>
      </w:r>
      <w:r w:rsidR="00D022E3">
        <w:rPr>
          <w:rFonts w:ascii="Arial" w:hAnsi="Arial" w:cs="Arial"/>
          <w:i/>
        </w:rPr>
        <w:t xml:space="preserve"> </w:t>
      </w:r>
      <w:r w:rsidR="00D022E3" w:rsidRPr="00D022E3">
        <w:rPr>
          <w:rFonts w:ascii="Arial" w:hAnsi="Arial" w:cs="Arial"/>
          <w:bCs/>
          <w:i/>
        </w:rPr>
        <w:t>Congenital coloboma,</w:t>
      </w:r>
      <w:r w:rsidR="00BD5EF6">
        <w:rPr>
          <w:rFonts w:ascii="Arial" w:hAnsi="Arial" w:cs="Arial"/>
          <w:bCs/>
          <w:i/>
        </w:rPr>
        <w:t xml:space="preserve"> </w:t>
      </w:r>
      <w:proofErr w:type="spellStart"/>
      <w:r w:rsidR="00D022E3" w:rsidRPr="00D022E3">
        <w:rPr>
          <w:rFonts w:ascii="Arial" w:hAnsi="Arial" w:cs="Arial"/>
          <w:i/>
        </w:rPr>
        <w:t>Chorioretinal</w:t>
      </w:r>
      <w:proofErr w:type="spellEnd"/>
      <w:r w:rsidR="00D022E3" w:rsidRPr="00D022E3">
        <w:rPr>
          <w:rFonts w:ascii="Arial" w:hAnsi="Arial" w:cs="Arial"/>
          <w:i/>
        </w:rPr>
        <w:t xml:space="preserve"> </w:t>
      </w:r>
      <w:proofErr w:type="spellStart"/>
      <w:proofErr w:type="gramStart"/>
      <w:r w:rsidR="00D022E3" w:rsidRPr="00D022E3">
        <w:rPr>
          <w:rFonts w:ascii="Arial" w:hAnsi="Arial" w:cs="Arial"/>
          <w:i/>
        </w:rPr>
        <w:t>anomaly,Optic</w:t>
      </w:r>
      <w:proofErr w:type="spellEnd"/>
      <w:proofErr w:type="gramEnd"/>
      <w:r w:rsidR="00D022E3" w:rsidRPr="00D022E3">
        <w:rPr>
          <w:rFonts w:ascii="Arial" w:hAnsi="Arial" w:cs="Arial"/>
          <w:i/>
        </w:rPr>
        <w:t xml:space="preserve"> disc involvement, Ocular imaging</w:t>
      </w:r>
    </w:p>
    <w:p w14:paraId="0DFE56C9" w14:textId="36DF3AE1" w:rsidR="0044482D" w:rsidRPr="00D022E3" w:rsidRDefault="0044482D" w:rsidP="00D022E3">
      <w:pPr>
        <w:pStyle w:val="Body"/>
        <w:spacing w:after="0"/>
        <w:rPr>
          <w:rFonts w:ascii="Arial" w:hAnsi="Arial" w:cs="Arial"/>
          <w:i/>
        </w:rPr>
      </w:pPr>
      <w:r w:rsidRPr="00D022E3">
        <w:rPr>
          <w:rFonts w:ascii="Arial" w:hAnsi="Arial" w:cs="Arial"/>
          <w:i/>
        </w:rPr>
        <w:t xml:space="preserve"> </w:t>
      </w:r>
    </w:p>
    <w:p w14:paraId="5A6C9E9E" w14:textId="7252B120" w:rsidR="00A24E7E" w:rsidRDefault="00A24E7E" w:rsidP="00441B6F">
      <w:pPr>
        <w:pStyle w:val="Body"/>
        <w:spacing w:after="0"/>
        <w:rPr>
          <w:rFonts w:ascii="Arial" w:hAnsi="Arial" w:cs="Arial"/>
          <w:i/>
        </w:rPr>
      </w:pPr>
    </w:p>
    <w:p w14:paraId="140DE7B2" w14:textId="77777777" w:rsidR="00790ADA" w:rsidRDefault="00790ADA" w:rsidP="00441B6F">
      <w:pPr>
        <w:pStyle w:val="Body"/>
        <w:spacing w:after="0"/>
        <w:rPr>
          <w:rFonts w:ascii="Arial" w:hAnsi="Arial" w:cs="Arial"/>
          <w:i/>
        </w:rPr>
      </w:pPr>
    </w:p>
    <w:p w14:paraId="3DEE87FA" w14:textId="1E7E2562" w:rsidR="007F7B32" w:rsidRDefault="00902823" w:rsidP="00FD0C43">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2E35179" w14:textId="77777777" w:rsidR="00790ADA" w:rsidRPr="00FB3A86" w:rsidRDefault="00790ADA" w:rsidP="00441B6F">
      <w:pPr>
        <w:pStyle w:val="AbstHead"/>
        <w:spacing w:after="0"/>
        <w:jc w:val="both"/>
        <w:rPr>
          <w:rFonts w:ascii="Arial" w:hAnsi="Arial" w:cs="Arial"/>
        </w:rPr>
      </w:pPr>
    </w:p>
    <w:p w14:paraId="0A938C60" w14:textId="77777777" w:rsidR="00B811A2" w:rsidRDefault="00B811A2" w:rsidP="00B811A2">
      <w:pPr>
        <w:spacing w:after="160" w:line="278" w:lineRule="auto"/>
        <w:jc w:val="both"/>
      </w:pPr>
      <w:r w:rsidRPr="00E875FA">
        <w:t>Congenital ocular colobomas are rare developmental anomalies that arise due to incomplete closure of the embryonic (fetal) fissure during the fifth to seventh weeks of gestation</w:t>
      </w:r>
      <w:r>
        <w:t xml:space="preserve"> (</w:t>
      </w:r>
      <w:proofErr w:type="spellStart"/>
      <w:r w:rsidRPr="00F84B6B">
        <w:t>Onwochei</w:t>
      </w:r>
      <w:proofErr w:type="spellEnd"/>
      <w:r w:rsidRPr="00F84B6B">
        <w:t xml:space="preserve"> BC</w:t>
      </w:r>
      <w:r w:rsidRPr="00D81968">
        <w:t xml:space="preserve"> </w:t>
      </w:r>
      <w:r>
        <w:t>et al, 2000)</w:t>
      </w:r>
      <w:r w:rsidRPr="00E875FA">
        <w:t xml:space="preserve">. This disruption in normal ocular morphogenesis results in a spectrum of structural defects, which may involve one or multiple ocular tissues depending on </w:t>
      </w:r>
      <w:r w:rsidRPr="00E875FA">
        <w:lastRenderedPageBreak/>
        <w:t>the extent and location of the closure failure</w:t>
      </w:r>
      <w:r>
        <w:t xml:space="preserve"> (</w:t>
      </w:r>
      <w:r w:rsidRPr="00F84B6B">
        <w:t>Chang L</w:t>
      </w:r>
      <w:r>
        <w:t xml:space="preserve"> et al, 2006)</w:t>
      </w:r>
      <w:r w:rsidRPr="00E875FA">
        <w:t>. Clinically, colobomas may present as isolated anterior segment anomalies such as iris colobomas, or may extend posteriorly to affect the optic nerve, choroid, and retina, potentially leading to significant visual impairment</w:t>
      </w:r>
      <w:r>
        <w:t xml:space="preserve"> (</w:t>
      </w:r>
      <w:r w:rsidRPr="00A750FF">
        <w:t>Gregory-Evans K</w:t>
      </w:r>
      <w:r>
        <w:t xml:space="preserve"> et al, 2004)</w:t>
      </w:r>
      <w:r w:rsidRPr="00E875FA">
        <w:t>.</w:t>
      </w:r>
    </w:p>
    <w:p w14:paraId="6022EF7F" w14:textId="7F819A46" w:rsidR="00B811A2" w:rsidRDefault="00B811A2" w:rsidP="00B811A2">
      <w:pPr>
        <w:spacing w:after="160" w:line="278" w:lineRule="auto"/>
        <w:jc w:val="both"/>
      </w:pPr>
      <w:r>
        <w:t xml:space="preserve">This case </w:t>
      </w:r>
      <w:proofErr w:type="gramStart"/>
      <w:r>
        <w:t>report</w:t>
      </w:r>
      <w:proofErr w:type="gramEnd"/>
      <w:r>
        <w:t xml:space="preserve"> a rare presentation </w:t>
      </w:r>
      <w:r w:rsidR="0088484A">
        <w:t xml:space="preserve">of </w:t>
      </w:r>
      <w:r w:rsidR="0088484A" w:rsidRPr="00E875FA">
        <w:t>unilateral</w:t>
      </w:r>
      <w:r w:rsidRPr="00E875FA">
        <w:t xml:space="preserve"> iris coloboma associated with a </w:t>
      </w:r>
      <w:proofErr w:type="spellStart"/>
      <w:r w:rsidRPr="00E875FA">
        <w:t>chorioretinal</w:t>
      </w:r>
      <w:proofErr w:type="spellEnd"/>
      <w:r w:rsidRPr="00E875FA">
        <w:t xml:space="preserve"> coloboma, highlighting the clinical features, multimodal imaging findings, and potential visual implications of this combined anomaly</w:t>
      </w:r>
      <w:r w:rsidR="001A2692">
        <w:t>.</w:t>
      </w:r>
    </w:p>
    <w:p w14:paraId="102DD78C" w14:textId="77777777" w:rsidR="00821E9F" w:rsidRPr="00FB3A86" w:rsidRDefault="00821E9F" w:rsidP="00441B6F">
      <w:pPr>
        <w:pStyle w:val="Body"/>
        <w:spacing w:after="0"/>
        <w:rPr>
          <w:rFonts w:ascii="Arial" w:hAnsi="Arial" w:cs="Arial"/>
        </w:rPr>
      </w:pPr>
    </w:p>
    <w:p w14:paraId="7F235D9E" w14:textId="31152FCE" w:rsidR="007F7B32" w:rsidRDefault="00902823" w:rsidP="000E1391">
      <w:pPr>
        <w:pStyle w:val="AbstHead"/>
        <w:spacing w:after="0"/>
        <w:jc w:val="both"/>
        <w:rPr>
          <w:rFonts w:ascii="Arial" w:hAnsi="Arial" w:cs="Arial"/>
        </w:rPr>
      </w:pPr>
      <w:r>
        <w:rPr>
          <w:rFonts w:ascii="Arial" w:hAnsi="Arial" w:cs="Arial"/>
        </w:rPr>
        <w:t xml:space="preserve">2. </w:t>
      </w:r>
      <w:r w:rsidR="000E1391" w:rsidRPr="000E1391">
        <w:rPr>
          <w:rFonts w:ascii="Arial" w:hAnsi="Arial" w:cs="Arial"/>
        </w:rPr>
        <w:t>PRESENTATION OF CASE</w:t>
      </w:r>
    </w:p>
    <w:p w14:paraId="05903C16" w14:textId="77777777" w:rsidR="000E1391" w:rsidRDefault="000E1391" w:rsidP="00441B6F">
      <w:pPr>
        <w:pStyle w:val="AbstHead"/>
        <w:spacing w:after="0"/>
        <w:jc w:val="both"/>
        <w:rPr>
          <w:rFonts w:ascii="Arial" w:hAnsi="Arial" w:cs="Arial"/>
        </w:rPr>
      </w:pPr>
    </w:p>
    <w:p w14:paraId="4000825E" w14:textId="761FA857" w:rsidR="001E6FD5" w:rsidRDefault="003F0690" w:rsidP="00F84BFF">
      <w:pPr>
        <w:jc w:val="both"/>
      </w:pPr>
      <w:r w:rsidRPr="00F552AB">
        <w:rPr>
          <w:rFonts w:eastAsiaTheme="minorEastAsia"/>
        </w:rPr>
        <w:t xml:space="preserve">A 17-year-old female patient with no significant medical history presented with vision problems in her right eye. The visual acuity in this eye was limited to counting fingers, while it was </w:t>
      </w:r>
      <w:r w:rsidR="00AB7395">
        <w:rPr>
          <w:rFonts w:eastAsiaTheme="minorEastAsia"/>
        </w:rPr>
        <w:t>20</w:t>
      </w:r>
      <w:r w:rsidRPr="00F552AB">
        <w:rPr>
          <w:rFonts w:eastAsiaTheme="minorEastAsia"/>
        </w:rPr>
        <w:t>/</w:t>
      </w:r>
      <w:r w:rsidR="00AB7395">
        <w:rPr>
          <w:rFonts w:eastAsiaTheme="minorEastAsia"/>
        </w:rPr>
        <w:t>2</w:t>
      </w:r>
      <w:r w:rsidRPr="00F552AB">
        <w:rPr>
          <w:rFonts w:eastAsiaTheme="minorEastAsia"/>
        </w:rPr>
        <w:t xml:space="preserve">0 in the left eye. </w:t>
      </w:r>
      <w:r w:rsidR="00F84BFF" w:rsidRPr="00F84BFF">
        <w:rPr>
          <w:rFonts w:eastAsiaTheme="minorEastAsia"/>
        </w:rPr>
        <w:t>The examination of the anterior segment revealed an iris coloboma in the left eye (Figure 1), while the right eye showed no iris coloboma or other anterior segment anomalies</w:t>
      </w:r>
      <w:r w:rsidRPr="00F84BFF">
        <w:rPr>
          <w:rFonts w:eastAsiaTheme="minorEastAsia"/>
        </w:rPr>
        <w:t>.</w:t>
      </w:r>
      <w:r w:rsidRPr="00F552AB">
        <w:rPr>
          <w:rFonts w:eastAsiaTheme="minorEastAsia"/>
        </w:rPr>
        <w:t xml:space="preserve"> Fundus examination identified a </w:t>
      </w:r>
      <w:proofErr w:type="spellStart"/>
      <w:r w:rsidRPr="00F552AB">
        <w:rPr>
          <w:rFonts w:eastAsiaTheme="minorEastAsia"/>
        </w:rPr>
        <w:t>chorioretinal</w:t>
      </w:r>
      <w:proofErr w:type="spellEnd"/>
      <w:r w:rsidRPr="00F552AB">
        <w:rPr>
          <w:rFonts w:eastAsiaTheme="minorEastAsia"/>
        </w:rPr>
        <w:t xml:space="preserve"> coloboma involving the optic disc and adjacent retina extending inferiorly in the right eye. In the left eye, the retina showed a </w:t>
      </w:r>
      <w:proofErr w:type="spellStart"/>
      <w:r w:rsidRPr="00F552AB">
        <w:rPr>
          <w:rFonts w:eastAsiaTheme="minorEastAsia"/>
        </w:rPr>
        <w:t>chorioretinal</w:t>
      </w:r>
      <w:proofErr w:type="spellEnd"/>
      <w:r w:rsidRPr="00F552AB">
        <w:rPr>
          <w:rFonts w:eastAsiaTheme="minorEastAsia"/>
        </w:rPr>
        <w:t xml:space="preserve"> coloboma below the inferior temporal arterial arcades (Figure 2). The general examination was unremarkable, including the neurological assessment.</w:t>
      </w:r>
    </w:p>
    <w:p w14:paraId="5AE04398" w14:textId="77777777" w:rsidR="000E1391" w:rsidRDefault="000E1391" w:rsidP="00441B6F">
      <w:pPr>
        <w:pStyle w:val="Body"/>
        <w:spacing w:after="0"/>
        <w:rPr>
          <w:rFonts w:ascii="Arial" w:eastAsia="Calibri" w:hAnsi="Arial" w:cs="Arial"/>
          <w:szCs w:val="22"/>
        </w:rPr>
      </w:pPr>
    </w:p>
    <w:p w14:paraId="011E2BC4" w14:textId="0D4E1507" w:rsidR="000E1391" w:rsidRDefault="004A1C7B" w:rsidP="00441B6F">
      <w:pPr>
        <w:pStyle w:val="Body"/>
        <w:spacing w:after="0"/>
        <w:rPr>
          <w:rFonts w:ascii="Arial" w:eastAsia="Calibri" w:hAnsi="Arial" w:cs="Arial"/>
          <w:szCs w:val="22"/>
        </w:rPr>
      </w:pPr>
      <w:r>
        <w:rPr>
          <w:noProof/>
          <w:lang w:val="fr-FR"/>
        </w:rPr>
        <mc:AlternateContent>
          <mc:Choice Requires="wps">
            <w:drawing>
              <wp:anchor distT="0" distB="0" distL="114300" distR="114300" simplePos="0" relativeHeight="251660288" behindDoc="0" locked="0" layoutInCell="1" allowOverlap="1" wp14:anchorId="0789697D" wp14:editId="6653FB0F">
                <wp:simplePos x="0" y="0"/>
                <wp:positionH relativeFrom="column">
                  <wp:posOffset>1024890</wp:posOffset>
                </wp:positionH>
                <wp:positionV relativeFrom="paragraph">
                  <wp:posOffset>2040890</wp:posOffset>
                </wp:positionV>
                <wp:extent cx="466725" cy="47625"/>
                <wp:effectExtent l="0" t="57150" r="28575" b="47625"/>
                <wp:wrapNone/>
                <wp:docPr id="796750397" name="Connecteur droit avec flèche 3"/>
                <wp:cNvGraphicFramePr/>
                <a:graphic xmlns:a="http://schemas.openxmlformats.org/drawingml/2006/main">
                  <a:graphicData uri="http://schemas.microsoft.com/office/word/2010/wordprocessingShape">
                    <wps:wsp>
                      <wps:cNvCnPr/>
                      <wps:spPr>
                        <a:xfrm flipV="1">
                          <a:off x="0" y="0"/>
                          <a:ext cx="466725"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101E9E6" id="_x0000_t32" coordsize="21600,21600" o:spt="32" o:oned="t" path="m,l21600,21600e" filled="f">
                <v:path arrowok="t" fillok="f" o:connecttype="none"/>
                <o:lock v:ext="edit" shapetype="t"/>
              </v:shapetype>
              <v:shape id="Connecteur droit avec flèche 3" o:spid="_x0000_s1026" type="#_x0000_t32" style="position:absolute;margin-left:80.7pt;margin-top:160.7pt;width:36.75pt;height:3.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" strokecolor="#4579b8 [3044]">
                <v:stroke endarrow="block"/>
              </v:shape>
            </w:pict>
          </mc:Fallback>
        </mc:AlternateContent>
      </w:r>
      <w:r w:rsidR="001E6FD5" w:rsidRPr="001431ED">
        <w:rPr>
          <w:noProof/>
          <w:lang w:val="fr-FR"/>
        </w:rPr>
        <w:drawing>
          <wp:inline distT="0" distB="0" distL="0" distR="0" wp14:anchorId="3AE5B3CF" wp14:editId="192FE824">
            <wp:extent cx="4260836" cy="3039589"/>
            <wp:effectExtent l="0" t="0" r="6985" b="8890"/>
            <wp:docPr id="6" name="Image 5" descr="Une image contenant yeux, gros plan, organe, Iris&#10;&#10;Le contenu généré par l’IA peut être incorrect.">
              <a:extLst xmlns:a="http://schemas.openxmlformats.org/drawingml/2006/main">
                <a:ext uri="{FF2B5EF4-FFF2-40B4-BE49-F238E27FC236}">
                  <a16:creationId xmlns:a16="http://schemas.microsoft.com/office/drawing/2014/main" id="{19271DBA-0C42-CF17-C827-52F4A4B78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yeux, gros plan, organe, Iris&#10;&#10;Le contenu généré par l’IA peut être incorrect.">
                      <a:extLst>
                        <a:ext uri="{FF2B5EF4-FFF2-40B4-BE49-F238E27FC236}">
                          <a16:creationId xmlns:a16="http://schemas.microsoft.com/office/drawing/2014/main" id="{19271DBA-0C42-CF17-C827-52F4A4B78F65}"/>
                        </a:ext>
                      </a:extLst>
                    </pic:cNvPr>
                    <pic:cNvPicPr>
                      <a:picLocks noChangeAspect="1"/>
                    </pic:cNvPicPr>
                  </pic:nvPicPr>
                  <pic:blipFill>
                    <a:blip r:embed="rId14"/>
                    <a:stretch>
                      <a:fillRect/>
                    </a:stretch>
                  </pic:blipFill>
                  <pic:spPr>
                    <a:xfrm>
                      <a:off x="0" y="0"/>
                      <a:ext cx="4260836" cy="3039589"/>
                    </a:xfrm>
                    <a:prstGeom prst="rect">
                      <a:avLst/>
                    </a:prstGeom>
                  </pic:spPr>
                </pic:pic>
              </a:graphicData>
            </a:graphic>
          </wp:inline>
        </w:drawing>
      </w:r>
    </w:p>
    <w:p w14:paraId="320DC91D" w14:textId="77777777" w:rsidR="001E6FD5" w:rsidRDefault="001E6FD5" w:rsidP="001E6FD5">
      <w:pPr>
        <w:jc w:val="both"/>
        <w:rPr>
          <w:rFonts w:eastAsiaTheme="minorEastAsia"/>
        </w:rPr>
      </w:pPr>
      <w:r w:rsidRPr="001431ED">
        <w:rPr>
          <w:rFonts w:eastAsiaTheme="minorEastAsia"/>
        </w:rPr>
        <w:t xml:space="preserve">         </w:t>
      </w:r>
    </w:p>
    <w:p w14:paraId="1C4EF5BB" w14:textId="4E446CC6" w:rsidR="001E6FD5" w:rsidRDefault="001E6FD5" w:rsidP="001E6FD5">
      <w:pPr>
        <w:jc w:val="both"/>
      </w:pPr>
      <w:r w:rsidRPr="001431ED">
        <w:rPr>
          <w:rFonts w:eastAsiaTheme="minorEastAsia"/>
        </w:rPr>
        <w:t>Fi</w:t>
      </w:r>
      <w:r>
        <w:rPr>
          <w:rFonts w:eastAsiaTheme="minorEastAsia"/>
        </w:rPr>
        <w:t>g.</w:t>
      </w:r>
      <w:r w:rsidRPr="001431ED">
        <w:rPr>
          <w:rFonts w:eastAsiaTheme="minorEastAsia"/>
        </w:rPr>
        <w:t xml:space="preserve"> 1</w:t>
      </w:r>
      <w:r>
        <w:rPr>
          <w:rFonts w:eastAsiaTheme="minorEastAsia"/>
        </w:rPr>
        <w:t xml:space="preserve">. </w:t>
      </w:r>
      <w:r w:rsidRPr="001431ED">
        <w:rPr>
          <w:rFonts w:eastAsiaTheme="minorEastAsia"/>
        </w:rPr>
        <w:t xml:space="preserve">Iridian coloboma in the left eye       </w:t>
      </w:r>
    </w:p>
    <w:p w14:paraId="24E2B1C4" w14:textId="3E65DA91" w:rsidR="001E6FD5" w:rsidRDefault="004A1C7B" w:rsidP="00441B6F">
      <w:pPr>
        <w:pStyle w:val="Body"/>
        <w:spacing w:after="0"/>
        <w:rPr>
          <w:rFonts w:ascii="Arial" w:eastAsia="Calibri" w:hAnsi="Arial" w:cs="Arial"/>
          <w:szCs w:val="22"/>
        </w:rPr>
      </w:pPr>
      <w:r>
        <w:rPr>
          <w:noProof/>
          <w:lang w:val="fr-FR"/>
        </w:rPr>
        <w:lastRenderedPageBreak/>
        <mc:AlternateContent>
          <mc:Choice Requires="wps">
            <w:drawing>
              <wp:anchor distT="0" distB="0" distL="114300" distR="114300" simplePos="0" relativeHeight="251659264" behindDoc="0" locked="0" layoutInCell="1" allowOverlap="1" wp14:anchorId="647EBF78" wp14:editId="4AF4860B">
                <wp:simplePos x="0" y="0"/>
                <wp:positionH relativeFrom="column">
                  <wp:posOffset>1644015</wp:posOffset>
                </wp:positionH>
                <wp:positionV relativeFrom="paragraph">
                  <wp:posOffset>1209675</wp:posOffset>
                </wp:positionV>
                <wp:extent cx="371475" cy="342900"/>
                <wp:effectExtent l="38100" t="0" r="28575" b="57150"/>
                <wp:wrapNone/>
                <wp:docPr id="235115005" name="Connecteur droit avec flèche 2"/>
                <wp:cNvGraphicFramePr/>
                <a:graphic xmlns:a="http://schemas.openxmlformats.org/drawingml/2006/main">
                  <a:graphicData uri="http://schemas.microsoft.com/office/word/2010/wordprocessingShape">
                    <wps:wsp>
                      <wps:cNvCnPr/>
                      <wps:spPr>
                        <a:xfrm flipH="1">
                          <a:off x="0" y="0"/>
                          <a:ext cx="37147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24BC3A" id="Connecteur droit avec flèche 2" o:spid="_x0000_s1026" type="#_x0000_t32" style="position:absolute;margin-left:129.45pt;margin-top:95.25pt;width:29.25pt;height:27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" strokecolor="#4579b8 [3044]">
                <v:stroke endarrow="block"/>
              </v:shape>
            </w:pict>
          </mc:Fallback>
        </mc:AlternateContent>
      </w:r>
      <w:r w:rsidR="00817C0A" w:rsidRPr="001431ED">
        <w:rPr>
          <w:noProof/>
          <w:lang w:val="fr-FR"/>
        </w:rPr>
        <w:drawing>
          <wp:inline distT="0" distB="0" distL="0" distR="0" wp14:anchorId="6676D01C" wp14:editId="771AB2C9">
            <wp:extent cx="4260546" cy="3039588"/>
            <wp:effectExtent l="0" t="0" r="6985" b="8890"/>
            <wp:docPr id="7" name="Image 6" descr="Une image contenant objet astronomique, nature, planète, sphère&#10;&#10;Le contenu généré par l’IA peut être incorrect.">
              <a:extLst xmlns:a="http://schemas.openxmlformats.org/drawingml/2006/main">
                <a:ext uri="{FF2B5EF4-FFF2-40B4-BE49-F238E27FC236}">
                  <a16:creationId xmlns:a16="http://schemas.microsoft.com/office/drawing/2014/main" id="{D69538C6-235B-01C0-2D3A-AF7C0388F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objet astronomique, nature, planète, sphère&#10;&#10;Le contenu généré par l’IA peut être incorrect.">
                      <a:extLst>
                        <a:ext uri="{FF2B5EF4-FFF2-40B4-BE49-F238E27FC236}">
                          <a16:creationId xmlns:a16="http://schemas.microsoft.com/office/drawing/2014/main" id="{D69538C6-235B-01C0-2D3A-AF7C0388F84D}"/>
                        </a:ext>
                      </a:extLst>
                    </pic:cNvPr>
                    <pic:cNvPicPr>
                      <a:picLocks noChangeAspect="1"/>
                    </pic:cNvPicPr>
                  </pic:nvPicPr>
                  <pic:blipFill>
                    <a:blip r:embed="rId15"/>
                    <a:stretch>
                      <a:fillRect/>
                    </a:stretch>
                  </pic:blipFill>
                  <pic:spPr>
                    <a:xfrm>
                      <a:off x="0" y="0"/>
                      <a:ext cx="4260546" cy="3039588"/>
                    </a:xfrm>
                    <a:prstGeom prst="rect">
                      <a:avLst/>
                    </a:prstGeom>
                  </pic:spPr>
                </pic:pic>
              </a:graphicData>
            </a:graphic>
          </wp:inline>
        </w:drawing>
      </w:r>
    </w:p>
    <w:p w14:paraId="1B676D4A" w14:textId="095C377B" w:rsidR="00790ADA" w:rsidRPr="00FB3A86" w:rsidRDefault="00790ADA" w:rsidP="00441B6F">
      <w:pPr>
        <w:pStyle w:val="Body"/>
        <w:spacing w:after="0"/>
        <w:rPr>
          <w:rFonts w:ascii="Arial" w:hAnsi="Arial" w:cs="Arial"/>
        </w:rPr>
      </w:pPr>
    </w:p>
    <w:p w14:paraId="7D572382" w14:textId="66FA7B09" w:rsidR="00817C0A" w:rsidRDefault="00817C0A" w:rsidP="00817C0A">
      <w:pPr>
        <w:jc w:val="both"/>
      </w:pPr>
      <w:r w:rsidRPr="001431ED">
        <w:rPr>
          <w:rFonts w:eastAsiaTheme="minorEastAsia"/>
        </w:rPr>
        <w:t>Fig</w:t>
      </w:r>
      <w:r>
        <w:rPr>
          <w:rFonts w:eastAsiaTheme="minorEastAsia"/>
        </w:rPr>
        <w:t>.</w:t>
      </w:r>
      <w:r w:rsidRPr="001431ED">
        <w:rPr>
          <w:rFonts w:eastAsiaTheme="minorEastAsia"/>
        </w:rPr>
        <w:t xml:space="preserve"> 2</w:t>
      </w:r>
      <w:r>
        <w:rPr>
          <w:rFonts w:eastAsiaTheme="minorEastAsia"/>
        </w:rPr>
        <w:t>.</w:t>
      </w:r>
      <w:r w:rsidRPr="001431ED">
        <w:rPr>
          <w:rFonts w:eastAsiaTheme="minorEastAsia"/>
        </w:rPr>
        <w:t xml:space="preserve"> </w:t>
      </w:r>
      <w:proofErr w:type="spellStart"/>
      <w:r w:rsidRPr="001431ED">
        <w:rPr>
          <w:rFonts w:eastAsiaTheme="minorEastAsia"/>
        </w:rPr>
        <w:t>Chorioretinal</w:t>
      </w:r>
      <w:proofErr w:type="spellEnd"/>
      <w:r w:rsidRPr="001431ED">
        <w:rPr>
          <w:rFonts w:eastAsiaTheme="minorEastAsia"/>
        </w:rPr>
        <w:t xml:space="preserve"> coloboma in the left eye</w:t>
      </w:r>
    </w:p>
    <w:p w14:paraId="719E8049" w14:textId="50689052" w:rsidR="00505F06" w:rsidRDefault="00505F06" w:rsidP="00441B6F">
      <w:pPr>
        <w:pStyle w:val="Body"/>
        <w:spacing w:after="0"/>
        <w:rPr>
          <w:rFonts w:ascii="Arial" w:hAnsi="Arial" w:cs="Arial"/>
        </w:rPr>
      </w:pPr>
    </w:p>
    <w:p w14:paraId="36E3C39E" w14:textId="27DC1C9C" w:rsidR="00790ADA" w:rsidRPr="00FB3A86" w:rsidRDefault="00790ADA" w:rsidP="00441B6F">
      <w:pPr>
        <w:pStyle w:val="Body"/>
        <w:spacing w:after="0"/>
        <w:rPr>
          <w:rFonts w:ascii="Arial" w:hAnsi="Arial" w:cs="Arial"/>
        </w:rPr>
      </w:pPr>
    </w:p>
    <w:p w14:paraId="30C6FF7F" w14:textId="77777777" w:rsidR="000E1391" w:rsidRDefault="000E1391" w:rsidP="00441B6F">
      <w:pPr>
        <w:pStyle w:val="Head1"/>
        <w:spacing w:after="0"/>
        <w:jc w:val="both"/>
        <w:rPr>
          <w:rFonts w:ascii="Arial" w:hAnsi="Arial" w:cs="Arial"/>
        </w:rPr>
      </w:pPr>
    </w:p>
    <w:p w14:paraId="5AD45791" w14:textId="1BDBE6F8"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441E94DB" w14:textId="77777777" w:rsidR="00E135AF" w:rsidRDefault="00E135AF" w:rsidP="00441B6F">
      <w:pPr>
        <w:pStyle w:val="Head1"/>
        <w:spacing w:after="0"/>
        <w:jc w:val="both"/>
        <w:rPr>
          <w:rFonts w:ascii="Arial" w:hAnsi="Arial" w:cs="Arial"/>
        </w:rPr>
      </w:pPr>
    </w:p>
    <w:p w14:paraId="4FDA8065" w14:textId="77777777" w:rsidR="00EE586B" w:rsidRPr="00D81968" w:rsidRDefault="00EE586B" w:rsidP="00EE586B">
      <w:pPr>
        <w:spacing w:after="160" w:line="278" w:lineRule="auto"/>
        <w:jc w:val="both"/>
      </w:pPr>
      <w:r w:rsidRPr="00D81968">
        <w:t xml:space="preserve">Colobomas are congenital malformations of the eye that arise due to incomplete closure of the fetal fissure during the early stages of ocular development </w:t>
      </w:r>
      <w:r>
        <w:t>(</w:t>
      </w:r>
      <w:proofErr w:type="spellStart"/>
      <w:r w:rsidRPr="00F84B6B">
        <w:t>Onwochei</w:t>
      </w:r>
      <w:proofErr w:type="spellEnd"/>
      <w:r w:rsidRPr="00F84B6B">
        <w:t xml:space="preserve"> BC</w:t>
      </w:r>
      <w:r w:rsidRPr="00D81968">
        <w:t xml:space="preserve"> </w:t>
      </w:r>
      <w:r>
        <w:t>et al, 2000)</w:t>
      </w:r>
      <w:r w:rsidRPr="00D81968">
        <w:t>. This defect can affect any ocular structure, including the iris, lens, retina, choroid, and optic nerve, with clinical manifestations varying widely depending on the site and extent of the anomaly. When the posterior segment is involved</w:t>
      </w:r>
      <w:r>
        <w:t xml:space="preserve"> </w:t>
      </w:r>
      <w:r w:rsidRPr="00D81968">
        <w:t>particularly the retina, choroid, and optic disc</w:t>
      </w:r>
      <w:r>
        <w:t xml:space="preserve"> </w:t>
      </w:r>
      <w:r w:rsidRPr="00D81968">
        <w:t>the risk of irreversible visual impairment and secondary complications such as retinal detachment increases significantly</w:t>
      </w:r>
      <w:r>
        <w:t xml:space="preserve"> (</w:t>
      </w:r>
      <w:r w:rsidRPr="00F84B6B">
        <w:t>Chang L</w:t>
      </w:r>
      <w:r>
        <w:t xml:space="preserve"> et al, 2006)</w:t>
      </w:r>
      <w:r w:rsidRPr="00D81968">
        <w:t>.</w:t>
      </w:r>
    </w:p>
    <w:p w14:paraId="0C7C7604" w14:textId="3DD58020" w:rsidR="00EE586B" w:rsidRDefault="00EE586B" w:rsidP="00C1315D">
      <w:pPr>
        <w:spacing w:after="160" w:line="278" w:lineRule="auto"/>
        <w:jc w:val="both"/>
      </w:pPr>
      <w:r w:rsidRPr="00D81968">
        <w:t xml:space="preserve">In the present case, a 17-year-old female presented with markedly decreased vision in the right eye, while the left eye maintained normal visual acuity (10/10). Fundoscopic examination revealed a large </w:t>
      </w:r>
      <w:proofErr w:type="spellStart"/>
      <w:r w:rsidRPr="00D81968">
        <w:t>chorioretinal</w:t>
      </w:r>
      <w:proofErr w:type="spellEnd"/>
      <w:r w:rsidRPr="00D81968">
        <w:t xml:space="preserve"> coloboma in the right eye involving the optic disc and extending inferiorly, a typical distribution following the embryonic fissure pathway. Interestingly, the left eye, which was functionally intact, exhibited an iris coloboma and a small </w:t>
      </w:r>
      <w:proofErr w:type="spellStart"/>
      <w:r w:rsidRPr="00D81968">
        <w:t>chorioretinal</w:t>
      </w:r>
      <w:proofErr w:type="spellEnd"/>
      <w:r w:rsidRPr="00D81968">
        <w:t xml:space="preserve"> coloboma located below the inferior temporal arcades</w:t>
      </w:r>
      <w:r>
        <w:t xml:space="preserve"> </w:t>
      </w:r>
      <w:r w:rsidRPr="00D81968">
        <w:t xml:space="preserve">an uncommon finding in patients with preserved vision. The asymmetry between the two eyes in terms of both anatomical severity and functional impact is not rare in </w:t>
      </w:r>
      <w:proofErr w:type="spellStart"/>
      <w:r w:rsidRPr="00D81968">
        <w:t>colobomatous</w:t>
      </w:r>
      <w:proofErr w:type="spellEnd"/>
      <w:r w:rsidRPr="00D81968">
        <w:t xml:space="preserve"> cases and underscores the heterogeneity of this condition.</w:t>
      </w:r>
      <w:r w:rsidR="00C1315D" w:rsidRPr="00C1315D">
        <w:rPr>
          <w:rFonts w:ascii="Segoe UI" w:hAnsi="Segoe UI" w:cs="Segoe UI"/>
          <w:color w:val="404040"/>
          <w:shd w:val="clear" w:color="auto" w:fill="FFFFFF"/>
        </w:rPr>
        <w:t xml:space="preserve"> </w:t>
      </w:r>
      <w:r w:rsidR="00C1315D" w:rsidRPr="00C1315D">
        <w:t>Patel et al</w:t>
      </w:r>
      <w:r w:rsidR="001E1100">
        <w:t xml:space="preserve"> </w:t>
      </w:r>
      <w:r w:rsidR="00C1315D" w:rsidRPr="00C1315D">
        <w:t>in their case series of atypical colobomas</w:t>
      </w:r>
      <w:r w:rsidR="00C1315D">
        <w:t xml:space="preserve"> report</w:t>
      </w:r>
      <w:r w:rsidR="003A6819">
        <w:t>s</w:t>
      </w:r>
      <w:r w:rsidR="00C1315D">
        <w:t xml:space="preserve"> </w:t>
      </w:r>
      <w:r w:rsidR="00C1315D" w:rsidRPr="00C1315D">
        <w:t xml:space="preserve">similarly demonstrated marked asymmetry unilateral iris </w:t>
      </w:r>
      <w:r w:rsidR="007935FD" w:rsidRPr="00C1315D">
        <w:t>coloboma versus</w:t>
      </w:r>
      <w:r w:rsidR="00C1315D" w:rsidRPr="00C1315D">
        <w:t xml:space="preserve"> contralateral </w:t>
      </w:r>
      <w:proofErr w:type="spellStart"/>
      <w:r w:rsidR="00C1315D" w:rsidRPr="00C1315D">
        <w:t>chorioretinal</w:t>
      </w:r>
      <w:proofErr w:type="spellEnd"/>
      <w:r w:rsidR="00C1315D" w:rsidRPr="00C1315D">
        <w:t xml:space="preserve"> coloboma underscoring how anatomical differences correlate with visual potential</w:t>
      </w:r>
      <w:r w:rsidR="00F85FCE">
        <w:t xml:space="preserve"> (</w:t>
      </w:r>
      <w:r w:rsidR="00F85FCE" w:rsidRPr="00C1315D">
        <w:t>Patel et al</w:t>
      </w:r>
      <w:r w:rsidR="00F85FCE">
        <w:t xml:space="preserve">, </w:t>
      </w:r>
      <w:r w:rsidR="00F85FCE" w:rsidRPr="00C1315D">
        <w:t>2021)</w:t>
      </w:r>
    </w:p>
    <w:p w14:paraId="14DC3BC1" w14:textId="7B57919E" w:rsidR="00E76E80" w:rsidRPr="00D81968" w:rsidRDefault="00E76E80" w:rsidP="00E76E80">
      <w:pPr>
        <w:spacing w:after="160" w:line="278" w:lineRule="auto"/>
        <w:jc w:val="both"/>
      </w:pPr>
      <w:r w:rsidRPr="00E76E80">
        <w:t xml:space="preserve">The marked asymmetry in our </w:t>
      </w:r>
      <w:r w:rsidR="003121DC" w:rsidRPr="00E76E80">
        <w:t>case</w:t>
      </w:r>
      <w:r w:rsidR="003121DC">
        <w:t xml:space="preserve">: </w:t>
      </w:r>
      <w:r w:rsidRPr="00E76E80">
        <w:t>severe posterior segment involvement (counting fingers vision) in the right eye versus preserved 20/20 acuity in the left</w:t>
      </w:r>
      <w:r>
        <w:t xml:space="preserve"> </w:t>
      </w:r>
      <w:proofErr w:type="gramStart"/>
      <w:r w:rsidRPr="00E76E80">
        <w:t>parallels</w:t>
      </w:r>
      <w:proofErr w:type="gramEnd"/>
      <w:r w:rsidRPr="00E76E80">
        <w:t xml:space="preserve"> observations by </w:t>
      </w:r>
      <w:proofErr w:type="spellStart"/>
      <w:r w:rsidRPr="00E76E80">
        <w:lastRenderedPageBreak/>
        <w:t>Uhumwangho</w:t>
      </w:r>
      <w:proofErr w:type="spellEnd"/>
      <w:r w:rsidRPr="00E76E80">
        <w:t xml:space="preserve"> &amp; </w:t>
      </w:r>
      <w:proofErr w:type="spellStart"/>
      <w:r w:rsidRPr="00E76E80">
        <w:t>Jalali</w:t>
      </w:r>
      <w:proofErr w:type="spellEnd"/>
      <w:r w:rsidRPr="00E76E80">
        <w:t xml:space="preserve"> in their pediatric cohort. They reported that macular sparing, as seen in our patient’s left eye, is the strongest predictor of favorable visual outcomes, while optic disc involvement (present in our right eye) correlates with profound vision loss. This dichotomy underscores the importance of tailored assessments: while the left eye required only monitoring, the right eye necessitated low-vision rehabilitation and retinal detachment prophylaxis</w:t>
      </w:r>
      <w:r w:rsidR="003121DC">
        <w:t xml:space="preserve"> (</w:t>
      </w:r>
      <w:proofErr w:type="spellStart"/>
      <w:r w:rsidR="003121DC" w:rsidRPr="00E76E80">
        <w:t>Uhumwangho</w:t>
      </w:r>
      <w:proofErr w:type="spellEnd"/>
      <w:r w:rsidR="003121DC" w:rsidRPr="00E76E80">
        <w:t xml:space="preserve"> &amp; </w:t>
      </w:r>
      <w:proofErr w:type="spellStart"/>
      <w:r w:rsidR="003121DC" w:rsidRPr="00E76E80">
        <w:t>Jalali</w:t>
      </w:r>
      <w:proofErr w:type="spellEnd"/>
      <w:r w:rsidR="003121DC">
        <w:t xml:space="preserve">, </w:t>
      </w:r>
      <w:r w:rsidR="003121DC" w:rsidRPr="00E76E80">
        <w:t>2014)</w:t>
      </w:r>
    </w:p>
    <w:p w14:paraId="1DC82A55" w14:textId="77777777" w:rsidR="00EE586B" w:rsidRPr="00D81968" w:rsidRDefault="00EE586B" w:rsidP="00EE586B">
      <w:pPr>
        <w:spacing w:after="160" w:line="278" w:lineRule="auto"/>
        <w:jc w:val="both"/>
      </w:pPr>
      <w:r w:rsidRPr="00D81968">
        <w:t>Microphthalmia, frequently observed in extensive colobomas, was absent in our patient, as confirmed by both the clinical examination and normal globe size on imaging. Additionally, systemic and neurological assessments were unremarkable, suggesting an isolated, non-syndromic presentation. While several genetic syndromes such as CHARGE or COACH are known to include ocular colobomas within their spectrum, the absence of extraocular anomalies and the patient’s normal development make a syndromic association unlikely in this case</w:t>
      </w:r>
      <w:r>
        <w:t xml:space="preserve"> (</w:t>
      </w:r>
      <w:r w:rsidRPr="00F84B6B">
        <w:t>Brodsky MC</w:t>
      </w:r>
      <w:r>
        <w:t>, 2010)</w:t>
      </w:r>
      <w:r w:rsidRPr="00D81968">
        <w:t>.</w:t>
      </w:r>
    </w:p>
    <w:p w14:paraId="230CBF2B" w14:textId="58211640" w:rsidR="00EE586B" w:rsidRPr="00D81968" w:rsidRDefault="00EE586B" w:rsidP="00EE586B">
      <w:pPr>
        <w:spacing w:after="160" w:line="278" w:lineRule="auto"/>
        <w:jc w:val="both"/>
      </w:pPr>
      <w:r w:rsidRPr="00D81968">
        <w:t xml:space="preserve">Some posterior segment colobomas, particularly those involving the optic disc, may be misdiagnosed as other congenital optic disc anomalies such as morning glory disc anomaly or optic disc pit. However, the characteristic excavation, the presence of </w:t>
      </w:r>
      <w:proofErr w:type="spellStart"/>
      <w:r w:rsidRPr="00D81968">
        <w:t>retinochoroidal</w:t>
      </w:r>
      <w:proofErr w:type="spellEnd"/>
      <w:r w:rsidRPr="00D81968">
        <w:t xml:space="preserve"> tissue absence, and the inferonasal extension seen on fundus imaging support the diagnosis of typical </w:t>
      </w:r>
      <w:proofErr w:type="spellStart"/>
      <w:r w:rsidRPr="00D81968">
        <w:t>chorioretinal</w:t>
      </w:r>
      <w:proofErr w:type="spellEnd"/>
      <w:r w:rsidRPr="00D81968">
        <w:t xml:space="preserve"> coloboma</w:t>
      </w:r>
      <w:r>
        <w:t xml:space="preserve"> </w:t>
      </w:r>
      <w:r w:rsidR="00770764">
        <w:t>(</w:t>
      </w:r>
      <w:r w:rsidR="00C405D5" w:rsidRPr="00C405D5">
        <w:t>Shah</w:t>
      </w:r>
      <w:r w:rsidR="00770764" w:rsidRPr="00F85FCE">
        <w:t xml:space="preserve"> </w:t>
      </w:r>
      <w:r w:rsidR="00770764">
        <w:t>et al 202</w:t>
      </w:r>
      <w:r w:rsidR="00C405D5">
        <w:t>4</w:t>
      </w:r>
      <w:r w:rsidR="00770764">
        <w:t>)</w:t>
      </w:r>
      <w:r w:rsidR="00770764" w:rsidRPr="006B0581">
        <w:rPr>
          <w:rFonts w:eastAsiaTheme="minorEastAsia"/>
        </w:rPr>
        <w:t>.</w:t>
      </w:r>
      <w:r w:rsidRPr="00D81968">
        <w:t xml:space="preserve"> In the left eye</w:t>
      </w:r>
      <w:r>
        <w:t xml:space="preserve"> of our patient</w:t>
      </w:r>
      <w:r w:rsidRPr="00D81968">
        <w:t xml:space="preserve"> the preserved visual function despite the </w:t>
      </w:r>
      <w:proofErr w:type="spellStart"/>
      <w:r w:rsidRPr="00D81968">
        <w:t>colobomatous</w:t>
      </w:r>
      <w:proofErr w:type="spellEnd"/>
      <w:r w:rsidRPr="00D81968">
        <w:t xml:space="preserve"> defect suggests sparing of the macula and central visual pathways, a finding previously described in patients with peripherally located colobomas</w:t>
      </w:r>
      <w:r>
        <w:t xml:space="preserve"> (</w:t>
      </w:r>
      <w:r w:rsidRPr="00F84B6B">
        <w:t>Chang L</w:t>
      </w:r>
      <w:r>
        <w:t xml:space="preserve"> et al, 2006)</w:t>
      </w:r>
      <w:r w:rsidRPr="00D81968">
        <w:t>.</w:t>
      </w:r>
    </w:p>
    <w:p w14:paraId="3B0EA89E" w14:textId="1B531574" w:rsidR="00EE586B" w:rsidRPr="00D81968" w:rsidRDefault="002D3DE9" w:rsidP="002D3DE9">
      <w:pPr>
        <w:spacing w:after="160" w:line="278" w:lineRule="auto"/>
        <w:jc w:val="both"/>
      </w:pPr>
      <w:r w:rsidRPr="002D3DE9">
        <w:t>Contemporary studies confirm that colobomas typically occur along the embryonic fissure meridian, with inferonasal localization being most characteristic of 'typical' colobomas (</w:t>
      </w:r>
      <w:r w:rsidR="00C405D5" w:rsidRPr="00C405D5">
        <w:t>Azzam</w:t>
      </w:r>
      <w:r w:rsidRPr="002D3DE9">
        <w:t xml:space="preserve"> &amp; </w:t>
      </w:r>
      <w:proofErr w:type="spellStart"/>
      <w:r w:rsidR="00C405D5" w:rsidRPr="00C405D5">
        <w:t>Bordoni</w:t>
      </w:r>
      <w:proofErr w:type="spellEnd"/>
      <w:r w:rsidRPr="002D3DE9">
        <w:t>, 202</w:t>
      </w:r>
      <w:r w:rsidR="00C405D5">
        <w:t>3</w:t>
      </w:r>
      <w:bookmarkStart w:id="0" w:name="_GoBack"/>
      <w:bookmarkEnd w:id="0"/>
      <w:r w:rsidRPr="002D3DE9">
        <w:t>)</w:t>
      </w:r>
      <w:r>
        <w:t xml:space="preserve">. </w:t>
      </w:r>
      <w:r w:rsidR="00EE586B" w:rsidRPr="00D81968">
        <w:t xml:space="preserve">In our case, both </w:t>
      </w:r>
      <w:proofErr w:type="spellStart"/>
      <w:r w:rsidR="00EE586B" w:rsidRPr="00D81968">
        <w:t>chorioretinal</w:t>
      </w:r>
      <w:proofErr w:type="spellEnd"/>
      <w:r w:rsidR="00EE586B" w:rsidRPr="00D81968">
        <w:t xml:space="preserve"> lesions followed this inferonasal or inferior-temporal distribution, reinforcing the embryological consistency of the presentation.</w:t>
      </w:r>
    </w:p>
    <w:p w14:paraId="635BE4B7" w14:textId="7361B694" w:rsidR="00CB3399" w:rsidRDefault="003F0690" w:rsidP="00EE586B">
      <w:pPr>
        <w:spacing w:after="160" w:line="278" w:lineRule="auto"/>
        <w:jc w:val="both"/>
        <w:rPr>
          <w:rFonts w:eastAsiaTheme="minorEastAsia"/>
        </w:rPr>
      </w:pPr>
      <w:r w:rsidRPr="006B0581">
        <w:rPr>
          <w:rFonts w:eastAsiaTheme="minorEastAsia"/>
        </w:rPr>
        <w:t>Imaging is recommended in cases of diagnostic uncertainty, especially in young children. Ocular ultrasound reveals a localized defect in the posterior wall and searches for associated ocular anomalies (such as cataracts) or complications (such as retinal detachment)</w:t>
      </w:r>
      <w:r w:rsidR="00EE586B">
        <w:t xml:space="preserve"> (</w:t>
      </w:r>
      <w:r w:rsidR="00C405D5" w:rsidRPr="00C405D5">
        <w:t xml:space="preserve">Shah </w:t>
      </w:r>
      <w:r w:rsidR="00EE586B">
        <w:t>et al 20</w:t>
      </w:r>
      <w:r w:rsidR="00770764">
        <w:t>2</w:t>
      </w:r>
      <w:r w:rsidR="00C405D5">
        <w:t>4</w:t>
      </w:r>
      <w:r w:rsidR="00EE586B">
        <w:t>)</w:t>
      </w:r>
      <w:r w:rsidRPr="006B0581">
        <w:rPr>
          <w:rFonts w:eastAsiaTheme="minorEastAsia"/>
        </w:rPr>
        <w:t xml:space="preserve">. Computed tomography and magnetic resonance imaging show a focal </w:t>
      </w:r>
      <w:proofErr w:type="spellStart"/>
      <w:r w:rsidRPr="006B0581">
        <w:rPr>
          <w:rFonts w:eastAsiaTheme="minorEastAsia"/>
        </w:rPr>
        <w:t>ectatic</w:t>
      </w:r>
      <w:proofErr w:type="spellEnd"/>
      <w:r w:rsidRPr="006B0581">
        <w:rPr>
          <w:rFonts w:eastAsiaTheme="minorEastAsia"/>
        </w:rPr>
        <w:t xml:space="preserve"> lesion </w:t>
      </w:r>
      <w:proofErr w:type="spellStart"/>
      <w:r w:rsidRPr="006B0581">
        <w:rPr>
          <w:rFonts w:eastAsiaTheme="minorEastAsia"/>
        </w:rPr>
        <w:t>postero</w:t>
      </w:r>
      <w:proofErr w:type="spellEnd"/>
      <w:r w:rsidRPr="006B0581">
        <w:rPr>
          <w:rFonts w:eastAsiaTheme="minorEastAsia"/>
        </w:rPr>
        <w:t>-inferior-nasal to the ocular globe wall with clear liquid content (T1 hypointense, T2 hyperintense on MRI; hypodense on CT scan)</w:t>
      </w:r>
      <w:r w:rsidR="00EE586B">
        <w:t xml:space="preserve"> (</w:t>
      </w:r>
      <w:r w:rsidR="00EE586B" w:rsidRPr="00FB2705">
        <w:t>Morales-</w:t>
      </w:r>
      <w:proofErr w:type="spellStart"/>
      <w:r w:rsidR="00EE586B" w:rsidRPr="00FB2705">
        <w:t>Cantón</w:t>
      </w:r>
      <w:proofErr w:type="spellEnd"/>
      <w:r w:rsidR="00EE586B" w:rsidRPr="00FB2705">
        <w:t xml:space="preserve"> V</w:t>
      </w:r>
      <w:r w:rsidR="00EE586B">
        <w:t xml:space="preserve"> et al 2020)</w:t>
      </w:r>
      <w:r w:rsidRPr="006B0581">
        <w:rPr>
          <w:rFonts w:eastAsiaTheme="minorEastAsia"/>
        </w:rPr>
        <w:t>. These imaging modalities also help identify other associated orbital, cerebral, and ENT anomalies and rule out other differential diagnoses</w:t>
      </w:r>
      <w:r w:rsidR="00EE586B">
        <w:t xml:space="preserve"> </w:t>
      </w:r>
      <w:r w:rsidRPr="006B0581">
        <w:rPr>
          <w:rFonts w:eastAsiaTheme="minorEastAsia"/>
        </w:rPr>
        <w:t>(</w:t>
      </w:r>
      <w:r w:rsidR="00EE586B" w:rsidRPr="00FB2705">
        <w:t>Kaur S</w:t>
      </w:r>
      <w:r w:rsidR="00EE586B">
        <w:t xml:space="preserve"> et al 2022</w:t>
      </w:r>
      <w:r w:rsidRPr="006B0581">
        <w:rPr>
          <w:rFonts w:eastAsiaTheme="minorEastAsia"/>
        </w:rPr>
        <w:t>).</w:t>
      </w:r>
    </w:p>
    <w:p w14:paraId="2CCE81CB" w14:textId="4810802B" w:rsidR="00E76E80" w:rsidRPr="00F802A2" w:rsidRDefault="00E76E80" w:rsidP="00E76E80">
      <w:pPr>
        <w:spacing w:after="160" w:line="278" w:lineRule="auto"/>
        <w:jc w:val="both"/>
        <w:rPr>
          <w:rFonts w:asciiTheme="minorBidi" w:hAnsiTheme="minorBidi"/>
        </w:rPr>
      </w:pPr>
      <w:r w:rsidRPr="00E76E80">
        <w:rPr>
          <w:rFonts w:asciiTheme="minorBidi" w:hAnsiTheme="minorBidi"/>
        </w:rPr>
        <w:t xml:space="preserve">As demonstrated </w:t>
      </w:r>
      <w:r w:rsidR="00F802A2">
        <w:rPr>
          <w:rFonts w:asciiTheme="minorBidi" w:hAnsiTheme="minorBidi"/>
        </w:rPr>
        <w:t xml:space="preserve">by Barnard et al, </w:t>
      </w:r>
      <w:r w:rsidRPr="00E76E80">
        <w:rPr>
          <w:rFonts w:asciiTheme="minorBidi" w:hAnsiTheme="minorBidi"/>
        </w:rPr>
        <w:t xml:space="preserve">ultra-widefield imaging is critical for delineating the full extent of </w:t>
      </w:r>
      <w:proofErr w:type="spellStart"/>
      <w:r w:rsidRPr="00E76E80">
        <w:rPr>
          <w:rFonts w:asciiTheme="minorBidi" w:hAnsiTheme="minorBidi"/>
        </w:rPr>
        <w:t>chorioretinal</w:t>
      </w:r>
      <w:proofErr w:type="spellEnd"/>
      <w:r w:rsidRPr="00E76E80">
        <w:rPr>
          <w:rFonts w:asciiTheme="minorBidi" w:hAnsiTheme="minorBidi"/>
        </w:rPr>
        <w:t xml:space="preserve"> involvement, particularly in asymmetric presentations like ours. Their work highlighted how advanced imaging can detect subtle bilateral colobomas missed on conventional examination</w:t>
      </w:r>
      <w:r w:rsidR="00F802A2">
        <w:rPr>
          <w:rFonts w:asciiTheme="minorBidi" w:hAnsiTheme="minorBidi"/>
        </w:rPr>
        <w:t xml:space="preserve"> </w:t>
      </w:r>
      <w:r w:rsidRPr="00E76E80">
        <w:rPr>
          <w:rFonts w:asciiTheme="minorBidi" w:hAnsiTheme="minorBidi"/>
        </w:rPr>
        <w:t>a finding relevant to our patient, where the right eye’s extensive optic disc coloboma contrasted sharply with the left eye’s localized inferotemporal defect</w:t>
      </w:r>
      <w:r w:rsidR="00F802A2">
        <w:rPr>
          <w:rFonts w:asciiTheme="minorBidi" w:hAnsiTheme="minorBidi"/>
        </w:rPr>
        <w:t xml:space="preserve"> </w:t>
      </w:r>
      <w:r w:rsidR="00F802A2" w:rsidRPr="00F802A2">
        <w:rPr>
          <w:rFonts w:asciiTheme="minorBidi" w:hAnsiTheme="minorBidi"/>
        </w:rPr>
        <w:t>(Barnard et al, 2012)</w:t>
      </w:r>
      <w:r w:rsidRPr="00F802A2">
        <w:rPr>
          <w:rFonts w:asciiTheme="minorBidi" w:hAnsiTheme="minorBidi"/>
        </w:rPr>
        <w:t>.</w:t>
      </w:r>
    </w:p>
    <w:p w14:paraId="349DF8B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B5ACD1C" w14:textId="77777777" w:rsidR="00790ADA" w:rsidRPr="00FB3A86" w:rsidRDefault="00790ADA" w:rsidP="00441B6F">
      <w:pPr>
        <w:pStyle w:val="ConcHead"/>
        <w:spacing w:after="0"/>
        <w:jc w:val="both"/>
        <w:rPr>
          <w:rFonts w:ascii="Arial" w:hAnsi="Arial" w:cs="Arial"/>
        </w:rPr>
      </w:pPr>
    </w:p>
    <w:p w14:paraId="54E2E1B1" w14:textId="77777777" w:rsidR="00D34703" w:rsidRPr="004A1C7B" w:rsidRDefault="003F0690" w:rsidP="00EE586B">
      <w:pPr>
        <w:spacing w:after="160" w:line="278" w:lineRule="auto"/>
        <w:jc w:val="both"/>
      </w:pPr>
      <w:r w:rsidRPr="006B0581">
        <w:rPr>
          <w:rFonts w:eastAsiaTheme="minorEastAsia"/>
        </w:rPr>
        <w:t xml:space="preserve">Ocular coloboma is a developmental anomaly of the lens, iris, choroid, or retina that occurs around the sixth week of embryonic life. It results from a failure of closure of the embryonic </w:t>
      </w:r>
      <w:r w:rsidRPr="006B0581">
        <w:rPr>
          <w:rFonts w:eastAsiaTheme="minorEastAsia"/>
        </w:rPr>
        <w:lastRenderedPageBreak/>
        <w:t xml:space="preserve">fissure. The involvement can vary greatly, ranging from a simple inferior </w:t>
      </w:r>
      <w:proofErr w:type="spellStart"/>
      <w:r w:rsidRPr="006B0581">
        <w:rPr>
          <w:rFonts w:eastAsiaTheme="minorEastAsia"/>
        </w:rPr>
        <w:t>iridian</w:t>
      </w:r>
      <w:proofErr w:type="spellEnd"/>
      <w:r w:rsidRPr="006B0581">
        <w:rPr>
          <w:rFonts w:eastAsiaTheme="minorEastAsia"/>
        </w:rPr>
        <w:t xml:space="preserve"> notch to the absence of retinal tissue over a significant portion of the lower retina. It can also encompass the optic disc</w:t>
      </w:r>
    </w:p>
    <w:p w14:paraId="40A1847A" w14:textId="77777777" w:rsidR="000E1391" w:rsidRDefault="000E1391" w:rsidP="00441B6F">
      <w:pPr>
        <w:pStyle w:val="Body"/>
        <w:spacing w:after="0"/>
        <w:rPr>
          <w:rFonts w:ascii="Arial" w:hAnsi="Arial" w:cs="Arial"/>
        </w:rPr>
      </w:pPr>
    </w:p>
    <w:p w14:paraId="7A6B0B78" w14:textId="77777777" w:rsidR="00DE2D13" w:rsidRDefault="00DE2D13" w:rsidP="00DE2D13">
      <w:pPr>
        <w:pStyle w:val="Body"/>
        <w:rPr>
          <w:rFonts w:ascii="Arial" w:hAnsi="Arial" w:cs="Arial"/>
          <w:b/>
          <w:bCs/>
        </w:rPr>
      </w:pPr>
      <w:r w:rsidRPr="00DE2D13">
        <w:rPr>
          <w:rFonts w:ascii="Arial" w:hAnsi="Arial" w:cs="Arial"/>
          <w:b/>
          <w:bCs/>
        </w:rPr>
        <w:t>CONSENT</w:t>
      </w:r>
    </w:p>
    <w:p w14:paraId="4062B2AD" w14:textId="12CB3BAE" w:rsidR="00E00D17" w:rsidRDefault="00E00D17" w:rsidP="00DE2D13">
      <w:pPr>
        <w:pStyle w:val="Body"/>
        <w:rPr>
          <w:rFonts w:ascii="Arial" w:hAnsi="Arial" w:cs="Arial"/>
        </w:rPr>
      </w:pPr>
      <w:r w:rsidRPr="00E00D17">
        <w:rPr>
          <w:rFonts w:ascii="Arial" w:hAnsi="Arial" w:cs="Arial"/>
        </w:rPr>
        <w:t>All authors declare that ‘written informed consent was obtained from the patient for publication of this case report and accompanying images.</w:t>
      </w:r>
    </w:p>
    <w:p w14:paraId="05675A79" w14:textId="12D3EF6E" w:rsidR="00E508BB" w:rsidRPr="00E508BB" w:rsidRDefault="00E508BB" w:rsidP="00DE2D13">
      <w:pPr>
        <w:pStyle w:val="Body"/>
        <w:rPr>
          <w:rFonts w:asciiTheme="minorBidi" w:hAnsiTheme="minorBidi" w:cstheme="minorBidi"/>
        </w:rPr>
      </w:pPr>
      <w:r w:rsidRPr="00E508BB">
        <w:rPr>
          <w:rFonts w:asciiTheme="minorBidi" w:hAnsiTheme="minorBidi" w:cstheme="minorBidi"/>
          <w:b/>
          <w:bCs/>
          <w:color w:val="2F312F"/>
          <w:bdr w:val="none" w:sz="0" w:space="0" w:color="auto" w:frame="1"/>
        </w:rPr>
        <w:t>DATA AVAILABILITY</w:t>
      </w:r>
    </w:p>
    <w:p w14:paraId="7383EFE2" w14:textId="1164A3FD" w:rsidR="00E508BB" w:rsidRPr="00E508BB" w:rsidRDefault="00E508BB" w:rsidP="00DE2D13">
      <w:pPr>
        <w:pStyle w:val="Body"/>
        <w:rPr>
          <w:rFonts w:asciiTheme="minorBidi" w:hAnsiTheme="minorBidi" w:cstheme="minorBidi"/>
        </w:rPr>
      </w:pPr>
      <w:r>
        <w:rPr>
          <w:rFonts w:asciiTheme="minorBidi" w:hAnsiTheme="minorBidi" w:cstheme="minorBidi"/>
          <w:color w:val="2F312F"/>
        </w:rPr>
        <w:t>N</w:t>
      </w:r>
      <w:r w:rsidRPr="00E508BB">
        <w:rPr>
          <w:rFonts w:asciiTheme="minorBidi" w:hAnsiTheme="minorBidi" w:cstheme="minorBidi"/>
          <w:color w:val="2F312F"/>
        </w:rPr>
        <w:t>ot applicable </w:t>
      </w:r>
    </w:p>
    <w:p w14:paraId="7D16EC99" w14:textId="77777777" w:rsidR="00DE2D13" w:rsidRPr="00DE2D13" w:rsidRDefault="00DE2D13" w:rsidP="00DE2D13">
      <w:pPr>
        <w:pStyle w:val="Body"/>
        <w:rPr>
          <w:rFonts w:ascii="Arial" w:hAnsi="Arial" w:cs="Arial"/>
          <w:b/>
          <w:bCs/>
        </w:rPr>
      </w:pPr>
      <w:r w:rsidRPr="00DE2D13">
        <w:rPr>
          <w:rFonts w:ascii="Arial" w:hAnsi="Arial" w:cs="Arial"/>
          <w:b/>
          <w:bCs/>
        </w:rPr>
        <w:t xml:space="preserve">ETHICAL APPROVAL </w:t>
      </w:r>
    </w:p>
    <w:p w14:paraId="4B7062F8" w14:textId="77777777" w:rsidR="00DE2D13" w:rsidRDefault="00DE2D13" w:rsidP="00DE2D13">
      <w:pPr>
        <w:pStyle w:val="Body"/>
        <w:rPr>
          <w:rFonts w:ascii="Arial" w:hAnsi="Arial" w:cs="Arial"/>
        </w:rPr>
      </w:pPr>
      <w:r w:rsidRPr="00DE2D13">
        <w:rPr>
          <w:rFonts w:ascii="Arial" w:hAnsi="Arial" w:cs="Arial"/>
        </w:rPr>
        <w:t>As   per   international   standards   or   university standards   written   ethical   approval   has   been collected and preserved by the author(s).</w:t>
      </w:r>
    </w:p>
    <w:p w14:paraId="4C2C58C4" w14:textId="77777777" w:rsidR="00565E09" w:rsidRPr="002F33E0" w:rsidRDefault="00565E09" w:rsidP="00565E09">
      <w:pPr>
        <w:rPr>
          <w:rFonts w:asciiTheme="minorBidi" w:eastAsia="Calibri" w:hAnsiTheme="minorBidi" w:cstheme="minorBidi"/>
          <w:kern w:val="2"/>
        </w:rPr>
      </w:pPr>
      <w:bookmarkStart w:id="1" w:name="_Hlk201835975"/>
      <w:bookmarkStart w:id="2" w:name="_Hlk193540946"/>
      <w:bookmarkStart w:id="3" w:name="_Hlk180402183"/>
      <w:bookmarkStart w:id="4" w:name="_Hlk183680988"/>
      <w:bookmarkStart w:id="5" w:name="_Hlk197173371"/>
      <w:r w:rsidRPr="002F33E0">
        <w:rPr>
          <w:rFonts w:asciiTheme="minorBidi" w:eastAsia="Calibri" w:hAnsiTheme="minorBidi" w:cstheme="minorBidi"/>
          <w:b/>
          <w:bCs/>
          <w:kern w:val="2"/>
        </w:rPr>
        <w:t>Disclaimer (Artificial intelligence</w:t>
      </w:r>
      <w:r w:rsidRPr="002F33E0">
        <w:rPr>
          <w:rFonts w:asciiTheme="minorBidi" w:eastAsia="Calibri" w:hAnsiTheme="minorBidi" w:cstheme="minorBidi"/>
          <w:kern w:val="2"/>
        </w:rPr>
        <w:t>)</w:t>
      </w:r>
    </w:p>
    <w:p w14:paraId="73229377" w14:textId="77777777" w:rsidR="00565E09" w:rsidRPr="002F33E0" w:rsidRDefault="00565E09" w:rsidP="00565E09">
      <w:pPr>
        <w:rPr>
          <w:rFonts w:asciiTheme="minorBidi" w:eastAsia="Calibri" w:hAnsiTheme="minorBidi" w:cstheme="minorBidi"/>
          <w:kern w:val="2"/>
        </w:rPr>
      </w:pPr>
      <w:r w:rsidRPr="002F33E0">
        <w:rPr>
          <w:rFonts w:asciiTheme="minorBidi" w:eastAsia="Calibri" w:hAnsiTheme="minorBidi" w:cstheme="minorBidi"/>
          <w:kern w:val="2"/>
        </w:rPr>
        <w:t xml:space="preserve">Author(s) hereby declare that NO generative AI technologies such as Large Language Models (ChatGPT, manuscript. </w:t>
      </w:r>
    </w:p>
    <w:bookmarkEnd w:id="1"/>
    <w:bookmarkEnd w:id="2"/>
    <w:bookmarkEnd w:id="3"/>
    <w:bookmarkEnd w:id="4"/>
    <w:bookmarkEnd w:id="5"/>
    <w:p w14:paraId="76BA25C3" w14:textId="77777777" w:rsidR="00860000" w:rsidRDefault="00860000" w:rsidP="00441B6F">
      <w:pPr>
        <w:pStyle w:val="ReferHead"/>
        <w:spacing w:after="0"/>
        <w:jc w:val="both"/>
        <w:rPr>
          <w:rFonts w:ascii="Arial" w:hAnsi="Arial" w:cs="Arial"/>
        </w:rPr>
      </w:pPr>
    </w:p>
    <w:p w14:paraId="5E47A63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C9D05C4" w14:textId="77777777" w:rsidR="00E508BB" w:rsidRDefault="00E508BB" w:rsidP="00441B6F">
      <w:pPr>
        <w:pStyle w:val="ReferHead"/>
        <w:spacing w:after="0"/>
        <w:jc w:val="both"/>
        <w:rPr>
          <w:rFonts w:ascii="Arial" w:hAnsi="Arial" w:cs="Arial"/>
        </w:rPr>
      </w:pPr>
    </w:p>
    <w:p w14:paraId="6EDA08A2" w14:textId="77777777" w:rsidR="00AB1E6C" w:rsidRPr="00F84B6B" w:rsidRDefault="00AB1E6C" w:rsidP="00F04FD0">
      <w:pPr>
        <w:pStyle w:val="ListParagraph"/>
        <w:numPr>
          <w:ilvl w:val="0"/>
          <w:numId w:val="33"/>
        </w:numPr>
        <w:spacing w:after="160" w:line="278" w:lineRule="auto"/>
      </w:pPr>
      <w:proofErr w:type="spellStart"/>
      <w:r w:rsidRPr="00F84B6B">
        <w:t>Onwochei</w:t>
      </w:r>
      <w:proofErr w:type="spellEnd"/>
      <w:r w:rsidRPr="00F84B6B">
        <w:t xml:space="preserve"> BC, Simon JW, Bateman JB, Couture KC, Mir E. </w:t>
      </w:r>
      <w:proofErr w:type="spellStart"/>
      <w:r w:rsidRPr="00F04FD0">
        <w:rPr>
          <w:i/>
          <w:iCs/>
        </w:rPr>
        <w:t>Ocular</w:t>
      </w:r>
      <w:proofErr w:type="spellEnd"/>
      <w:r w:rsidRPr="00F04FD0">
        <w:rPr>
          <w:i/>
          <w:iCs/>
        </w:rPr>
        <w:t xml:space="preserve"> </w:t>
      </w:r>
      <w:proofErr w:type="spellStart"/>
      <w:r w:rsidRPr="00F04FD0">
        <w:rPr>
          <w:i/>
          <w:iCs/>
        </w:rPr>
        <w:t>colobomata</w:t>
      </w:r>
      <w:proofErr w:type="spellEnd"/>
      <w:r w:rsidRPr="00F84B6B">
        <w:t xml:space="preserve">. </w:t>
      </w:r>
      <w:proofErr w:type="spellStart"/>
      <w:r w:rsidRPr="00F84B6B">
        <w:t>Surv</w:t>
      </w:r>
      <w:proofErr w:type="spellEnd"/>
      <w:r w:rsidRPr="00F84B6B">
        <w:t xml:space="preserve"> </w:t>
      </w:r>
      <w:proofErr w:type="spellStart"/>
      <w:r w:rsidRPr="00F84B6B">
        <w:t>Ophthalmol</w:t>
      </w:r>
      <w:proofErr w:type="spellEnd"/>
      <w:r w:rsidRPr="00F84B6B">
        <w:t xml:space="preserve">. </w:t>
      </w:r>
      <w:proofErr w:type="gramStart"/>
      <w:r w:rsidRPr="00F84B6B">
        <w:t>2000;</w:t>
      </w:r>
      <w:proofErr w:type="gramEnd"/>
      <w:r w:rsidRPr="00F84B6B">
        <w:t xml:space="preserve">45(3):175–194. </w:t>
      </w:r>
      <w:proofErr w:type="gramStart"/>
      <w:r w:rsidRPr="00F84B6B">
        <w:t>doi:</w:t>
      </w:r>
      <w:proofErr w:type="gramEnd"/>
      <w:r w:rsidRPr="00F84B6B">
        <w:t>10.1016/S0039-6257(00)00148-3</w:t>
      </w:r>
    </w:p>
    <w:p w14:paraId="3D8A264A" w14:textId="77777777" w:rsidR="00AB1E6C" w:rsidRDefault="00AB1E6C" w:rsidP="00F04FD0">
      <w:pPr>
        <w:pStyle w:val="ListParagraph"/>
        <w:numPr>
          <w:ilvl w:val="0"/>
          <w:numId w:val="33"/>
        </w:numPr>
      </w:pPr>
      <w:r w:rsidRPr="00F84B6B">
        <w:t xml:space="preserve">Chang L, Blain D, Bertuzzi S, Brooks BP. </w:t>
      </w:r>
      <w:r w:rsidRPr="00F04FD0">
        <w:rPr>
          <w:i/>
          <w:iCs/>
        </w:rPr>
        <w:t xml:space="preserve">Uveal </w:t>
      </w:r>
      <w:proofErr w:type="gramStart"/>
      <w:r w:rsidRPr="00F04FD0">
        <w:rPr>
          <w:i/>
          <w:iCs/>
        </w:rPr>
        <w:t>coloboma:</w:t>
      </w:r>
      <w:proofErr w:type="gramEnd"/>
      <w:r w:rsidRPr="00F04FD0">
        <w:rPr>
          <w:i/>
          <w:iCs/>
        </w:rPr>
        <w:t xml:space="preserve"> clinical and basic science update</w:t>
      </w:r>
      <w:r w:rsidRPr="00F84B6B">
        <w:t xml:space="preserve">. </w:t>
      </w:r>
      <w:proofErr w:type="spellStart"/>
      <w:r w:rsidRPr="00F84B6B">
        <w:t>Curr</w:t>
      </w:r>
      <w:proofErr w:type="spellEnd"/>
      <w:r w:rsidRPr="00F84B6B">
        <w:t xml:space="preserve"> </w:t>
      </w:r>
      <w:proofErr w:type="spellStart"/>
      <w:r w:rsidRPr="00F84B6B">
        <w:t>Opin</w:t>
      </w:r>
      <w:proofErr w:type="spellEnd"/>
      <w:r w:rsidRPr="00F84B6B">
        <w:t xml:space="preserve"> </w:t>
      </w:r>
      <w:proofErr w:type="spellStart"/>
      <w:r w:rsidRPr="00F84B6B">
        <w:t>Ophthalmol</w:t>
      </w:r>
      <w:proofErr w:type="spellEnd"/>
      <w:r w:rsidRPr="00F84B6B">
        <w:t xml:space="preserve">. </w:t>
      </w:r>
      <w:proofErr w:type="gramStart"/>
      <w:r w:rsidRPr="00F84B6B">
        <w:t>2006;</w:t>
      </w:r>
      <w:proofErr w:type="gramEnd"/>
      <w:r w:rsidRPr="00F84B6B">
        <w:t xml:space="preserve">17(5):447–470. </w:t>
      </w:r>
      <w:proofErr w:type="gramStart"/>
      <w:r w:rsidRPr="00F84B6B">
        <w:t>doi:10.1097/01.icu</w:t>
      </w:r>
      <w:proofErr w:type="gramEnd"/>
      <w:r w:rsidRPr="00F84B6B">
        <w:t>.0000233952.37325.b3</w:t>
      </w:r>
    </w:p>
    <w:p w14:paraId="33DB763B" w14:textId="77777777" w:rsidR="00AB1E6C" w:rsidRDefault="00AB1E6C" w:rsidP="00AB1E6C"/>
    <w:p w14:paraId="77EBB86D" w14:textId="77777777" w:rsidR="00AB1E6C" w:rsidRPr="00A750FF" w:rsidRDefault="00AB1E6C" w:rsidP="00F04FD0">
      <w:pPr>
        <w:pStyle w:val="ListParagraph"/>
        <w:numPr>
          <w:ilvl w:val="0"/>
          <w:numId w:val="33"/>
        </w:numPr>
        <w:spacing w:after="160" w:line="278" w:lineRule="auto"/>
      </w:pPr>
      <w:r w:rsidRPr="00A750FF">
        <w:t xml:space="preserve">Gregory-Evans K, Williams MJ, Halford S, Gregory-Evans CY. </w:t>
      </w:r>
      <w:r w:rsidRPr="00F04FD0">
        <w:rPr>
          <w:i/>
          <w:iCs/>
        </w:rPr>
        <w:t xml:space="preserve">Ocular </w:t>
      </w:r>
      <w:proofErr w:type="gramStart"/>
      <w:r w:rsidRPr="00F04FD0">
        <w:rPr>
          <w:i/>
          <w:iCs/>
        </w:rPr>
        <w:t>coloboma:</w:t>
      </w:r>
      <w:proofErr w:type="gramEnd"/>
      <w:r w:rsidRPr="00F04FD0">
        <w:rPr>
          <w:i/>
          <w:iCs/>
        </w:rPr>
        <w:t xml:space="preserve"> a reassessment in the age of molecular neuroscience</w:t>
      </w:r>
      <w:r w:rsidRPr="00A750FF">
        <w:t xml:space="preserve">. J Med Genet. </w:t>
      </w:r>
      <w:proofErr w:type="gramStart"/>
      <w:r w:rsidRPr="00A750FF">
        <w:t>2004;</w:t>
      </w:r>
      <w:proofErr w:type="gramEnd"/>
      <w:r w:rsidRPr="00A750FF">
        <w:t xml:space="preserve">41(12):881–891. </w:t>
      </w:r>
      <w:proofErr w:type="gramStart"/>
      <w:r w:rsidRPr="00A750FF">
        <w:t>doi:</w:t>
      </w:r>
      <w:proofErr w:type="gramEnd"/>
      <w:r w:rsidRPr="00A750FF">
        <w:t>10.1136/jmg.2004.024760</w:t>
      </w:r>
    </w:p>
    <w:p w14:paraId="290F1BBE" w14:textId="248B99E4" w:rsidR="00AB1E6C" w:rsidRDefault="00AB1E6C" w:rsidP="00F04FD0">
      <w:pPr>
        <w:pStyle w:val="ListParagraph"/>
        <w:numPr>
          <w:ilvl w:val="0"/>
          <w:numId w:val="33"/>
        </w:numPr>
        <w:spacing w:after="160" w:line="278" w:lineRule="auto"/>
      </w:pPr>
      <w:r w:rsidRPr="00F84B6B">
        <w:t xml:space="preserve">Brodsky MC. </w:t>
      </w:r>
      <w:r w:rsidRPr="00F04FD0">
        <w:rPr>
          <w:i/>
          <w:iCs/>
        </w:rPr>
        <w:t>Congenital optic disc anomalies</w:t>
      </w:r>
      <w:r w:rsidRPr="00F84B6B">
        <w:t xml:space="preserve">. </w:t>
      </w:r>
      <w:proofErr w:type="gramStart"/>
      <w:r w:rsidRPr="00F84B6B">
        <w:t>In:</w:t>
      </w:r>
      <w:proofErr w:type="gramEnd"/>
      <w:r w:rsidRPr="00F84B6B">
        <w:t xml:space="preserve"> Pediatric Neuro-Ophthalmology. </w:t>
      </w:r>
      <w:proofErr w:type="gramStart"/>
      <w:r w:rsidRPr="00F84B6B">
        <w:t>Springer;</w:t>
      </w:r>
      <w:proofErr w:type="gramEnd"/>
      <w:r w:rsidRPr="00F84B6B">
        <w:t xml:space="preserve"> 2010. p. 59–75. </w:t>
      </w:r>
      <w:proofErr w:type="gramStart"/>
      <w:r w:rsidRPr="00F84B6B">
        <w:t>doi:</w:t>
      </w:r>
      <w:proofErr w:type="gramEnd"/>
      <w:r w:rsidRPr="00F84B6B">
        <w:t>10.1007/978-1-4419-1106-7_5</w:t>
      </w:r>
    </w:p>
    <w:p w14:paraId="2354C3F2" w14:textId="77777777" w:rsidR="00C405D5" w:rsidRPr="00C405D5" w:rsidRDefault="00C405D5" w:rsidP="00F04FD0">
      <w:pPr>
        <w:pStyle w:val="ReferHead"/>
        <w:numPr>
          <w:ilvl w:val="0"/>
          <w:numId w:val="33"/>
        </w:numPr>
        <w:jc w:val="both"/>
        <w:rPr>
          <w:rFonts w:ascii="Arial" w:hAnsi="Arial" w:cs="Arial"/>
          <w:b w:val="0"/>
          <w:sz w:val="20"/>
        </w:rPr>
      </w:pPr>
      <w:r w:rsidRPr="00C405D5">
        <w:rPr>
          <w:rFonts w:ascii="Calibri" w:eastAsia="Arial Unicode MS" w:hAnsi="Calibri" w:cs="Arial Unicode MS"/>
          <w:b w:val="0"/>
          <w:caps w:val="0"/>
          <w:color w:val="000000"/>
          <w:kern w:val="2"/>
          <w:sz w:val="24"/>
          <w:szCs w:val="24"/>
          <w:u w:color="000000"/>
          <w:bdr w:val="nil"/>
          <w:lang w:val="fr-FR" w:eastAsia="fr-FR"/>
        </w:rPr>
        <w:t xml:space="preserve">Azzam, D., &amp; </w:t>
      </w:r>
      <w:proofErr w:type="spellStart"/>
      <w:r w:rsidRPr="00C405D5">
        <w:rPr>
          <w:rFonts w:ascii="Calibri" w:eastAsia="Arial Unicode MS" w:hAnsi="Calibri" w:cs="Arial Unicode MS"/>
          <w:b w:val="0"/>
          <w:caps w:val="0"/>
          <w:color w:val="000000"/>
          <w:kern w:val="2"/>
          <w:sz w:val="24"/>
          <w:szCs w:val="24"/>
          <w:u w:color="000000"/>
          <w:bdr w:val="nil"/>
          <w:lang w:val="fr-FR" w:eastAsia="fr-FR"/>
        </w:rPr>
        <w:t>Bordoni</w:t>
      </w:r>
      <w:proofErr w:type="spellEnd"/>
      <w:r w:rsidRPr="00C405D5">
        <w:rPr>
          <w:rFonts w:ascii="Calibri" w:eastAsia="Arial Unicode MS" w:hAnsi="Calibri" w:cs="Arial Unicode MS"/>
          <w:b w:val="0"/>
          <w:caps w:val="0"/>
          <w:color w:val="000000"/>
          <w:kern w:val="2"/>
          <w:sz w:val="24"/>
          <w:szCs w:val="24"/>
          <w:u w:color="000000"/>
          <w:bdr w:val="nil"/>
          <w:lang w:val="fr-FR" w:eastAsia="fr-FR"/>
        </w:rPr>
        <w:t xml:space="preserve">, B. (2023). </w:t>
      </w:r>
      <w:proofErr w:type="spellStart"/>
      <w:r w:rsidRPr="00C405D5">
        <w:rPr>
          <w:rFonts w:ascii="Calibri" w:eastAsia="Arial Unicode MS" w:hAnsi="Calibri" w:cs="Arial Unicode MS"/>
          <w:b w:val="0"/>
          <w:caps w:val="0"/>
          <w:color w:val="000000"/>
          <w:kern w:val="2"/>
          <w:sz w:val="24"/>
          <w:szCs w:val="24"/>
          <w:u w:color="000000"/>
          <w:bdr w:val="nil"/>
          <w:lang w:val="fr-FR" w:eastAsia="fr-FR"/>
        </w:rPr>
        <w:t>Embryology</w:t>
      </w:r>
      <w:proofErr w:type="spellEnd"/>
      <w:r w:rsidRPr="00C405D5">
        <w:rPr>
          <w:rFonts w:ascii="Calibri" w:eastAsia="Arial Unicode MS" w:hAnsi="Calibri" w:cs="Arial Unicode MS"/>
          <w:b w:val="0"/>
          <w:caps w:val="0"/>
          <w:color w:val="000000"/>
          <w:kern w:val="2"/>
          <w:sz w:val="24"/>
          <w:szCs w:val="24"/>
          <w:u w:color="000000"/>
          <w:bdr w:val="nil"/>
          <w:lang w:val="fr-FR" w:eastAsia="fr-FR"/>
        </w:rPr>
        <w:t xml:space="preserve">, </w:t>
      </w:r>
      <w:proofErr w:type="spellStart"/>
      <w:r w:rsidRPr="00C405D5">
        <w:rPr>
          <w:rFonts w:ascii="Calibri" w:eastAsia="Arial Unicode MS" w:hAnsi="Calibri" w:cs="Arial Unicode MS"/>
          <w:b w:val="0"/>
          <w:caps w:val="0"/>
          <w:color w:val="000000"/>
          <w:kern w:val="2"/>
          <w:sz w:val="24"/>
          <w:szCs w:val="24"/>
          <w:u w:color="000000"/>
          <w:bdr w:val="nil"/>
          <w:lang w:val="fr-FR" w:eastAsia="fr-FR"/>
        </w:rPr>
        <w:t>optic</w:t>
      </w:r>
      <w:proofErr w:type="spellEnd"/>
      <w:r w:rsidRPr="00C405D5">
        <w:rPr>
          <w:rFonts w:ascii="Calibri" w:eastAsia="Arial Unicode MS" w:hAnsi="Calibri" w:cs="Arial Unicode MS"/>
          <w:b w:val="0"/>
          <w:caps w:val="0"/>
          <w:color w:val="000000"/>
          <w:kern w:val="2"/>
          <w:sz w:val="24"/>
          <w:szCs w:val="24"/>
          <w:u w:color="000000"/>
          <w:bdr w:val="nil"/>
          <w:lang w:val="fr-FR" w:eastAsia="fr-FR"/>
        </w:rPr>
        <w:t xml:space="preserve"> fissure. In </w:t>
      </w:r>
      <w:proofErr w:type="spellStart"/>
      <w:r w:rsidRPr="00C405D5">
        <w:rPr>
          <w:rFonts w:ascii="Calibri" w:eastAsia="Arial Unicode MS" w:hAnsi="Calibri" w:cs="Arial Unicode MS"/>
          <w:b w:val="0"/>
          <w:caps w:val="0"/>
          <w:color w:val="000000"/>
          <w:kern w:val="2"/>
          <w:sz w:val="24"/>
          <w:szCs w:val="24"/>
          <w:u w:color="000000"/>
          <w:bdr w:val="nil"/>
          <w:lang w:val="fr-FR" w:eastAsia="fr-FR"/>
        </w:rPr>
        <w:t>StatPearls</w:t>
      </w:r>
      <w:proofErr w:type="spellEnd"/>
      <w:r w:rsidRPr="00C405D5">
        <w:rPr>
          <w:rFonts w:ascii="Calibri" w:eastAsia="Arial Unicode MS" w:hAnsi="Calibri" w:cs="Arial Unicode MS"/>
          <w:b w:val="0"/>
          <w:caps w:val="0"/>
          <w:color w:val="000000"/>
          <w:kern w:val="2"/>
          <w:sz w:val="24"/>
          <w:szCs w:val="24"/>
          <w:u w:color="000000"/>
          <w:bdr w:val="nil"/>
          <w:lang w:val="fr-FR" w:eastAsia="fr-FR"/>
        </w:rPr>
        <w:t xml:space="preserve"> [Internet]. </w:t>
      </w:r>
      <w:proofErr w:type="spellStart"/>
      <w:r w:rsidRPr="00C405D5">
        <w:rPr>
          <w:rFonts w:ascii="Calibri" w:eastAsia="Arial Unicode MS" w:hAnsi="Calibri" w:cs="Arial Unicode MS"/>
          <w:b w:val="0"/>
          <w:caps w:val="0"/>
          <w:color w:val="000000"/>
          <w:kern w:val="2"/>
          <w:sz w:val="24"/>
          <w:szCs w:val="24"/>
          <w:u w:color="000000"/>
          <w:bdr w:val="nil"/>
          <w:lang w:val="fr-FR" w:eastAsia="fr-FR"/>
        </w:rPr>
        <w:t>StatPearls</w:t>
      </w:r>
      <w:proofErr w:type="spellEnd"/>
      <w:r w:rsidRPr="00C405D5">
        <w:rPr>
          <w:rFonts w:ascii="Calibri" w:eastAsia="Arial Unicode MS" w:hAnsi="Calibri" w:cs="Arial Unicode MS"/>
          <w:b w:val="0"/>
          <w:caps w:val="0"/>
          <w:color w:val="000000"/>
          <w:kern w:val="2"/>
          <w:sz w:val="24"/>
          <w:szCs w:val="24"/>
          <w:u w:color="000000"/>
          <w:bdr w:val="nil"/>
          <w:lang w:val="fr-FR" w:eastAsia="fr-FR"/>
        </w:rPr>
        <w:t xml:space="preserve"> </w:t>
      </w:r>
      <w:proofErr w:type="spellStart"/>
      <w:r w:rsidRPr="00C405D5">
        <w:rPr>
          <w:rFonts w:ascii="Calibri" w:eastAsia="Arial Unicode MS" w:hAnsi="Calibri" w:cs="Arial Unicode MS"/>
          <w:b w:val="0"/>
          <w:caps w:val="0"/>
          <w:color w:val="000000"/>
          <w:kern w:val="2"/>
          <w:sz w:val="24"/>
          <w:szCs w:val="24"/>
          <w:u w:color="000000"/>
          <w:bdr w:val="nil"/>
          <w:lang w:val="fr-FR" w:eastAsia="fr-FR"/>
        </w:rPr>
        <w:t>Publishing</w:t>
      </w:r>
      <w:proofErr w:type="spellEnd"/>
      <w:r w:rsidRPr="00C405D5">
        <w:rPr>
          <w:rFonts w:ascii="Calibri" w:eastAsia="Arial Unicode MS" w:hAnsi="Calibri" w:cs="Arial Unicode MS"/>
          <w:b w:val="0"/>
          <w:caps w:val="0"/>
          <w:color w:val="000000"/>
          <w:kern w:val="2"/>
          <w:sz w:val="24"/>
          <w:szCs w:val="24"/>
          <w:u w:color="000000"/>
          <w:bdr w:val="nil"/>
          <w:lang w:val="fr-FR" w:eastAsia="fr-FR"/>
        </w:rPr>
        <w:t>.</w:t>
      </w:r>
    </w:p>
    <w:p w14:paraId="36537707" w14:textId="4560882B" w:rsidR="00C405D5" w:rsidRPr="00C405D5" w:rsidRDefault="00C405D5" w:rsidP="00F04FD0">
      <w:pPr>
        <w:pStyle w:val="ReferHead"/>
        <w:numPr>
          <w:ilvl w:val="0"/>
          <w:numId w:val="33"/>
        </w:numPr>
        <w:jc w:val="both"/>
        <w:rPr>
          <w:rFonts w:ascii="Arial" w:hAnsi="Arial" w:cs="Arial"/>
          <w:b w:val="0"/>
          <w:sz w:val="20"/>
        </w:rPr>
      </w:pPr>
      <w:r w:rsidRPr="00C405D5">
        <w:rPr>
          <w:rFonts w:ascii="Calibri" w:eastAsia="Arial Unicode MS" w:hAnsi="Calibri" w:cs="Arial Unicode MS"/>
          <w:b w:val="0"/>
          <w:caps w:val="0"/>
          <w:color w:val="000000"/>
          <w:kern w:val="2"/>
          <w:sz w:val="24"/>
          <w:szCs w:val="24"/>
          <w:u w:color="000000"/>
          <w:bdr w:val="nil"/>
          <w:lang w:val="fr-FR" w:eastAsia="fr-FR"/>
        </w:rPr>
        <w:t xml:space="preserve">Shah, S., da Cruz, N. F. S., </w:t>
      </w:r>
      <w:proofErr w:type="spellStart"/>
      <w:r w:rsidRPr="00C405D5">
        <w:rPr>
          <w:rFonts w:ascii="Calibri" w:eastAsia="Arial Unicode MS" w:hAnsi="Calibri" w:cs="Arial Unicode MS"/>
          <w:b w:val="0"/>
          <w:caps w:val="0"/>
          <w:color w:val="000000"/>
          <w:kern w:val="2"/>
          <w:sz w:val="24"/>
          <w:szCs w:val="24"/>
          <w:u w:color="000000"/>
          <w:bdr w:val="nil"/>
          <w:lang w:val="fr-FR" w:eastAsia="fr-FR"/>
        </w:rPr>
        <w:t>Staropoli</w:t>
      </w:r>
      <w:proofErr w:type="spellEnd"/>
      <w:r w:rsidRPr="00C405D5">
        <w:rPr>
          <w:rFonts w:ascii="Calibri" w:eastAsia="Arial Unicode MS" w:hAnsi="Calibri" w:cs="Arial Unicode MS"/>
          <w:b w:val="0"/>
          <w:caps w:val="0"/>
          <w:color w:val="000000"/>
          <w:kern w:val="2"/>
          <w:sz w:val="24"/>
          <w:szCs w:val="24"/>
          <w:u w:color="000000"/>
          <w:bdr w:val="nil"/>
          <w:lang w:val="fr-FR" w:eastAsia="fr-FR"/>
        </w:rPr>
        <w:t xml:space="preserve">, P., Lopez-Font, F., Chang, T. C. P., &amp; </w:t>
      </w:r>
      <w:proofErr w:type="spellStart"/>
      <w:r w:rsidRPr="00C405D5">
        <w:rPr>
          <w:rFonts w:ascii="Calibri" w:eastAsia="Arial Unicode MS" w:hAnsi="Calibri" w:cs="Arial Unicode MS"/>
          <w:b w:val="0"/>
          <w:caps w:val="0"/>
          <w:color w:val="000000"/>
          <w:kern w:val="2"/>
          <w:sz w:val="24"/>
          <w:szCs w:val="24"/>
          <w:u w:color="000000"/>
          <w:bdr w:val="nil"/>
          <w:lang w:val="fr-FR" w:eastAsia="fr-FR"/>
        </w:rPr>
        <w:t>Berrocal</w:t>
      </w:r>
      <w:proofErr w:type="spellEnd"/>
      <w:r w:rsidRPr="00C405D5">
        <w:rPr>
          <w:rFonts w:ascii="Calibri" w:eastAsia="Arial Unicode MS" w:hAnsi="Calibri" w:cs="Arial Unicode MS"/>
          <w:b w:val="0"/>
          <w:caps w:val="0"/>
          <w:color w:val="000000"/>
          <w:kern w:val="2"/>
          <w:sz w:val="24"/>
          <w:szCs w:val="24"/>
          <w:u w:color="000000"/>
          <w:bdr w:val="nil"/>
          <w:lang w:val="fr-FR" w:eastAsia="fr-FR"/>
        </w:rPr>
        <w:t xml:space="preserve">, A. (2024). Non-nasal, </w:t>
      </w:r>
      <w:proofErr w:type="spellStart"/>
      <w:r w:rsidRPr="00C405D5">
        <w:rPr>
          <w:rFonts w:ascii="Calibri" w:eastAsia="Arial Unicode MS" w:hAnsi="Calibri" w:cs="Arial Unicode MS"/>
          <w:b w:val="0"/>
          <w:caps w:val="0"/>
          <w:color w:val="000000"/>
          <w:kern w:val="2"/>
          <w:sz w:val="24"/>
          <w:szCs w:val="24"/>
          <w:u w:color="000000"/>
          <w:bdr w:val="nil"/>
          <w:lang w:val="fr-FR" w:eastAsia="fr-FR"/>
        </w:rPr>
        <w:t>atypical</w:t>
      </w:r>
      <w:proofErr w:type="spellEnd"/>
      <w:r w:rsidRPr="00C405D5">
        <w:rPr>
          <w:rFonts w:ascii="Calibri" w:eastAsia="Arial Unicode MS" w:hAnsi="Calibri" w:cs="Arial Unicode MS"/>
          <w:b w:val="0"/>
          <w:caps w:val="0"/>
          <w:color w:val="000000"/>
          <w:kern w:val="2"/>
          <w:sz w:val="24"/>
          <w:szCs w:val="24"/>
          <w:u w:color="000000"/>
          <w:bdr w:val="nil"/>
          <w:lang w:val="fr-FR" w:eastAsia="fr-FR"/>
        </w:rPr>
        <w:t xml:space="preserve"> </w:t>
      </w:r>
      <w:proofErr w:type="spellStart"/>
      <w:r w:rsidRPr="00C405D5">
        <w:rPr>
          <w:rFonts w:ascii="Calibri" w:eastAsia="Arial Unicode MS" w:hAnsi="Calibri" w:cs="Arial Unicode MS"/>
          <w:b w:val="0"/>
          <w:caps w:val="0"/>
          <w:color w:val="000000"/>
          <w:kern w:val="2"/>
          <w:sz w:val="24"/>
          <w:szCs w:val="24"/>
          <w:u w:color="000000"/>
          <w:bdr w:val="nil"/>
          <w:lang w:val="fr-FR" w:eastAsia="fr-FR"/>
        </w:rPr>
        <w:t>retinochoroidal</w:t>
      </w:r>
      <w:proofErr w:type="spellEnd"/>
      <w:r w:rsidRPr="00C405D5">
        <w:rPr>
          <w:rFonts w:ascii="Calibri" w:eastAsia="Arial Unicode MS" w:hAnsi="Calibri" w:cs="Arial Unicode MS"/>
          <w:b w:val="0"/>
          <w:caps w:val="0"/>
          <w:color w:val="000000"/>
          <w:kern w:val="2"/>
          <w:sz w:val="24"/>
          <w:szCs w:val="24"/>
          <w:u w:color="000000"/>
          <w:bdr w:val="nil"/>
          <w:lang w:val="fr-FR" w:eastAsia="fr-FR"/>
        </w:rPr>
        <w:t xml:space="preserve"> </w:t>
      </w:r>
      <w:proofErr w:type="spellStart"/>
      <w:r w:rsidRPr="00C405D5">
        <w:rPr>
          <w:rFonts w:ascii="Calibri" w:eastAsia="Arial Unicode MS" w:hAnsi="Calibri" w:cs="Arial Unicode MS"/>
          <w:b w:val="0"/>
          <w:caps w:val="0"/>
          <w:color w:val="000000"/>
          <w:kern w:val="2"/>
          <w:sz w:val="24"/>
          <w:szCs w:val="24"/>
          <w:u w:color="000000"/>
          <w:bdr w:val="nil"/>
          <w:lang w:val="fr-FR" w:eastAsia="fr-FR"/>
        </w:rPr>
        <w:t>coloboma</w:t>
      </w:r>
      <w:proofErr w:type="spellEnd"/>
      <w:r w:rsidRPr="00C405D5">
        <w:rPr>
          <w:rFonts w:ascii="Calibri" w:eastAsia="Arial Unicode MS" w:hAnsi="Calibri" w:cs="Arial Unicode MS"/>
          <w:b w:val="0"/>
          <w:caps w:val="0"/>
          <w:color w:val="000000"/>
          <w:kern w:val="2"/>
          <w:sz w:val="24"/>
          <w:szCs w:val="24"/>
          <w:u w:color="000000"/>
          <w:bdr w:val="nil"/>
          <w:lang w:val="fr-FR" w:eastAsia="fr-FR"/>
        </w:rPr>
        <w:t xml:space="preserve"> in </w:t>
      </w:r>
      <w:proofErr w:type="spellStart"/>
      <w:r w:rsidRPr="00C405D5">
        <w:rPr>
          <w:rFonts w:ascii="Calibri" w:eastAsia="Arial Unicode MS" w:hAnsi="Calibri" w:cs="Arial Unicode MS"/>
          <w:b w:val="0"/>
          <w:caps w:val="0"/>
          <w:color w:val="000000"/>
          <w:kern w:val="2"/>
          <w:sz w:val="24"/>
          <w:szCs w:val="24"/>
          <w:u w:color="000000"/>
          <w:bdr w:val="nil"/>
          <w:lang w:val="fr-FR" w:eastAsia="fr-FR"/>
        </w:rPr>
        <w:t>pediatric</w:t>
      </w:r>
      <w:proofErr w:type="spellEnd"/>
      <w:r w:rsidRPr="00C405D5">
        <w:rPr>
          <w:rFonts w:ascii="Calibri" w:eastAsia="Arial Unicode MS" w:hAnsi="Calibri" w:cs="Arial Unicode MS"/>
          <w:b w:val="0"/>
          <w:caps w:val="0"/>
          <w:color w:val="000000"/>
          <w:kern w:val="2"/>
          <w:sz w:val="24"/>
          <w:szCs w:val="24"/>
          <w:u w:color="000000"/>
          <w:bdr w:val="nil"/>
          <w:lang w:val="fr-FR" w:eastAsia="fr-FR"/>
        </w:rPr>
        <w:t xml:space="preserve"> </w:t>
      </w:r>
      <w:proofErr w:type="gramStart"/>
      <w:r w:rsidRPr="00C405D5">
        <w:rPr>
          <w:rFonts w:ascii="Calibri" w:eastAsia="Arial Unicode MS" w:hAnsi="Calibri" w:cs="Arial Unicode MS"/>
          <w:b w:val="0"/>
          <w:caps w:val="0"/>
          <w:color w:val="000000"/>
          <w:kern w:val="2"/>
          <w:sz w:val="24"/>
          <w:szCs w:val="24"/>
          <w:u w:color="000000"/>
          <w:bdr w:val="nil"/>
          <w:lang w:val="fr-FR" w:eastAsia="fr-FR"/>
        </w:rPr>
        <w:lastRenderedPageBreak/>
        <w:t>patients:</w:t>
      </w:r>
      <w:proofErr w:type="gramEnd"/>
      <w:r w:rsidRPr="00C405D5">
        <w:rPr>
          <w:rFonts w:ascii="Calibri" w:eastAsia="Arial Unicode MS" w:hAnsi="Calibri" w:cs="Arial Unicode MS"/>
          <w:b w:val="0"/>
          <w:caps w:val="0"/>
          <w:color w:val="000000"/>
          <w:kern w:val="2"/>
          <w:sz w:val="24"/>
          <w:szCs w:val="24"/>
          <w:u w:color="000000"/>
          <w:bdr w:val="nil"/>
          <w:lang w:val="fr-FR" w:eastAsia="fr-FR"/>
        </w:rPr>
        <w:t xml:space="preserve"> Case </w:t>
      </w:r>
      <w:proofErr w:type="spellStart"/>
      <w:r w:rsidRPr="00C405D5">
        <w:rPr>
          <w:rFonts w:ascii="Calibri" w:eastAsia="Arial Unicode MS" w:hAnsi="Calibri" w:cs="Arial Unicode MS"/>
          <w:b w:val="0"/>
          <w:caps w:val="0"/>
          <w:color w:val="000000"/>
          <w:kern w:val="2"/>
          <w:sz w:val="24"/>
          <w:szCs w:val="24"/>
          <w:u w:color="000000"/>
          <w:bdr w:val="nil"/>
          <w:lang w:val="fr-FR" w:eastAsia="fr-FR"/>
        </w:rPr>
        <w:t>series</w:t>
      </w:r>
      <w:proofErr w:type="spellEnd"/>
      <w:r w:rsidRPr="00C405D5">
        <w:rPr>
          <w:rFonts w:ascii="Calibri" w:eastAsia="Arial Unicode MS" w:hAnsi="Calibri" w:cs="Arial Unicode MS"/>
          <w:b w:val="0"/>
          <w:caps w:val="0"/>
          <w:color w:val="000000"/>
          <w:kern w:val="2"/>
          <w:sz w:val="24"/>
          <w:szCs w:val="24"/>
          <w:u w:color="000000"/>
          <w:bdr w:val="nil"/>
          <w:lang w:val="fr-FR" w:eastAsia="fr-FR"/>
        </w:rPr>
        <w:t xml:space="preserve"> and </w:t>
      </w:r>
      <w:proofErr w:type="spellStart"/>
      <w:r w:rsidRPr="00C405D5">
        <w:rPr>
          <w:rFonts w:ascii="Calibri" w:eastAsia="Arial Unicode MS" w:hAnsi="Calibri" w:cs="Arial Unicode MS"/>
          <w:b w:val="0"/>
          <w:caps w:val="0"/>
          <w:color w:val="000000"/>
          <w:kern w:val="2"/>
          <w:sz w:val="24"/>
          <w:szCs w:val="24"/>
          <w:u w:color="000000"/>
          <w:bdr w:val="nil"/>
          <w:lang w:val="fr-FR" w:eastAsia="fr-FR"/>
        </w:rPr>
        <w:t>review</w:t>
      </w:r>
      <w:proofErr w:type="spellEnd"/>
      <w:r w:rsidRPr="00C405D5">
        <w:rPr>
          <w:rFonts w:ascii="Calibri" w:eastAsia="Arial Unicode MS" w:hAnsi="Calibri" w:cs="Arial Unicode MS"/>
          <w:b w:val="0"/>
          <w:caps w:val="0"/>
          <w:color w:val="000000"/>
          <w:kern w:val="2"/>
          <w:sz w:val="24"/>
          <w:szCs w:val="24"/>
          <w:u w:color="000000"/>
          <w:bdr w:val="nil"/>
          <w:lang w:val="fr-FR" w:eastAsia="fr-FR"/>
        </w:rPr>
        <w:t xml:space="preserve">. American journal of </w:t>
      </w:r>
      <w:proofErr w:type="spellStart"/>
      <w:r w:rsidRPr="00C405D5">
        <w:rPr>
          <w:rFonts w:ascii="Calibri" w:eastAsia="Arial Unicode MS" w:hAnsi="Calibri" w:cs="Arial Unicode MS"/>
          <w:b w:val="0"/>
          <w:caps w:val="0"/>
          <w:color w:val="000000"/>
          <w:kern w:val="2"/>
          <w:sz w:val="24"/>
          <w:szCs w:val="24"/>
          <w:u w:color="000000"/>
          <w:bdr w:val="nil"/>
          <w:lang w:val="fr-FR" w:eastAsia="fr-FR"/>
        </w:rPr>
        <w:t>ophthalmology</w:t>
      </w:r>
      <w:proofErr w:type="spellEnd"/>
      <w:r w:rsidRPr="00C405D5">
        <w:rPr>
          <w:rFonts w:ascii="Calibri" w:eastAsia="Arial Unicode MS" w:hAnsi="Calibri" w:cs="Arial Unicode MS"/>
          <w:b w:val="0"/>
          <w:caps w:val="0"/>
          <w:color w:val="000000"/>
          <w:kern w:val="2"/>
          <w:sz w:val="24"/>
          <w:szCs w:val="24"/>
          <w:u w:color="000000"/>
          <w:bdr w:val="nil"/>
          <w:lang w:val="fr-FR" w:eastAsia="fr-FR"/>
        </w:rPr>
        <w:t xml:space="preserve"> case reports, 34, 102015. </w:t>
      </w:r>
    </w:p>
    <w:p w14:paraId="3DACC2C1" w14:textId="571AB30A" w:rsidR="00F802A2" w:rsidRPr="00F802A2" w:rsidRDefault="00F802A2" w:rsidP="00F04FD0">
      <w:pPr>
        <w:pStyle w:val="ReferHead"/>
        <w:numPr>
          <w:ilvl w:val="0"/>
          <w:numId w:val="33"/>
        </w:numPr>
        <w:jc w:val="both"/>
        <w:rPr>
          <w:rFonts w:ascii="Arial" w:hAnsi="Arial" w:cs="Arial"/>
          <w:b w:val="0"/>
          <w:sz w:val="20"/>
        </w:rPr>
      </w:pPr>
      <w:r w:rsidRPr="00F802A2">
        <w:rPr>
          <w:rFonts w:ascii="Arial" w:hAnsi="Arial" w:cs="Arial"/>
          <w:b w:val="0"/>
          <w:caps w:val="0"/>
          <w:sz w:val="20"/>
        </w:rPr>
        <w:t xml:space="preserve">Barnard, s., </w:t>
      </w:r>
      <w:proofErr w:type="spellStart"/>
      <w:r w:rsidRPr="00F802A2">
        <w:rPr>
          <w:rFonts w:ascii="Arial" w:hAnsi="Arial" w:cs="Arial"/>
          <w:b w:val="0"/>
          <w:caps w:val="0"/>
          <w:sz w:val="20"/>
        </w:rPr>
        <w:t>shneor</w:t>
      </w:r>
      <w:proofErr w:type="spellEnd"/>
      <w:r w:rsidRPr="00F802A2">
        <w:rPr>
          <w:rFonts w:ascii="Arial" w:hAnsi="Arial" w:cs="Arial"/>
          <w:b w:val="0"/>
          <w:caps w:val="0"/>
          <w:sz w:val="20"/>
        </w:rPr>
        <w:t xml:space="preserve">, e., </w:t>
      </w:r>
      <w:proofErr w:type="spellStart"/>
      <w:r w:rsidRPr="00F802A2">
        <w:rPr>
          <w:rFonts w:ascii="Arial" w:hAnsi="Arial" w:cs="Arial"/>
          <w:b w:val="0"/>
          <w:caps w:val="0"/>
          <w:sz w:val="20"/>
        </w:rPr>
        <w:t>brauner</w:t>
      </w:r>
      <w:proofErr w:type="spellEnd"/>
      <w:r w:rsidRPr="00F802A2">
        <w:rPr>
          <w:rFonts w:ascii="Arial" w:hAnsi="Arial" w:cs="Arial"/>
          <w:b w:val="0"/>
          <w:caps w:val="0"/>
          <w:sz w:val="20"/>
        </w:rPr>
        <w:t xml:space="preserve">, j., </w:t>
      </w:r>
      <w:proofErr w:type="spellStart"/>
      <w:r w:rsidRPr="00F802A2">
        <w:rPr>
          <w:rFonts w:ascii="Arial" w:hAnsi="Arial" w:cs="Arial"/>
          <w:b w:val="0"/>
          <w:caps w:val="0"/>
          <w:sz w:val="20"/>
        </w:rPr>
        <w:t>millodot</w:t>
      </w:r>
      <w:proofErr w:type="spellEnd"/>
      <w:r w:rsidRPr="00F802A2">
        <w:rPr>
          <w:rFonts w:ascii="Arial" w:hAnsi="Arial" w:cs="Arial"/>
          <w:b w:val="0"/>
          <w:caps w:val="0"/>
          <w:sz w:val="20"/>
        </w:rPr>
        <w:t xml:space="preserve">, m., &amp; </w:t>
      </w:r>
      <w:proofErr w:type="spellStart"/>
      <w:r w:rsidRPr="00F802A2">
        <w:rPr>
          <w:rFonts w:ascii="Arial" w:hAnsi="Arial" w:cs="Arial"/>
          <w:b w:val="0"/>
          <w:caps w:val="0"/>
          <w:sz w:val="20"/>
        </w:rPr>
        <w:t>gordon-shaag</w:t>
      </w:r>
      <w:proofErr w:type="spellEnd"/>
      <w:r w:rsidRPr="00F802A2">
        <w:rPr>
          <w:rFonts w:ascii="Arial" w:hAnsi="Arial" w:cs="Arial"/>
          <w:b w:val="0"/>
          <w:caps w:val="0"/>
          <w:sz w:val="20"/>
        </w:rPr>
        <w:t xml:space="preserve">, a. (2012). Bilateral </w:t>
      </w:r>
      <w:proofErr w:type="spellStart"/>
      <w:r w:rsidRPr="00F802A2">
        <w:rPr>
          <w:rFonts w:ascii="Arial" w:hAnsi="Arial" w:cs="Arial"/>
          <w:b w:val="0"/>
          <w:caps w:val="0"/>
          <w:sz w:val="20"/>
        </w:rPr>
        <w:t>chorioretinal</w:t>
      </w:r>
      <w:proofErr w:type="spellEnd"/>
      <w:r w:rsidRPr="00F802A2">
        <w:rPr>
          <w:rFonts w:ascii="Arial" w:hAnsi="Arial" w:cs="Arial"/>
          <w:b w:val="0"/>
          <w:caps w:val="0"/>
          <w:sz w:val="20"/>
        </w:rPr>
        <w:t xml:space="preserve"> coloboma discovered with ultra-wide field retinal imaging. </w:t>
      </w:r>
      <w:r w:rsidRPr="00F802A2">
        <w:rPr>
          <w:rFonts w:ascii="Arial" w:hAnsi="Arial" w:cs="Arial"/>
          <w:b w:val="0"/>
          <w:i/>
          <w:iCs/>
          <w:caps w:val="0"/>
          <w:sz w:val="20"/>
        </w:rPr>
        <w:t>Journal of optometry, 5</w:t>
      </w:r>
      <w:r w:rsidRPr="00F802A2">
        <w:rPr>
          <w:rFonts w:ascii="Arial" w:hAnsi="Arial" w:cs="Arial"/>
          <w:b w:val="0"/>
          <w:sz w:val="20"/>
        </w:rPr>
        <w:t>(3), 150–154. </w:t>
      </w:r>
      <w:hyperlink r:id="rId16" w:tgtFrame="_blank" w:history="1">
        <w:r w:rsidRPr="00F802A2">
          <w:rPr>
            <w:rStyle w:val="Hyperlink"/>
            <w:rFonts w:ascii="Arial" w:hAnsi="Arial" w:cs="Arial"/>
            <w:b w:val="0"/>
            <w:caps w:val="0"/>
            <w:color w:val="auto"/>
            <w:sz w:val="20"/>
            <w:u w:val="none"/>
          </w:rPr>
          <w:t>Https://doi.org/10.1016/j.optom.2012.06.003</w:t>
        </w:r>
      </w:hyperlink>
    </w:p>
    <w:p w14:paraId="27B82F9F" w14:textId="1D3C85DF" w:rsidR="00F802A2" w:rsidRPr="00F802A2" w:rsidRDefault="00F802A2" w:rsidP="00F04FD0">
      <w:pPr>
        <w:pStyle w:val="ReferHead"/>
        <w:numPr>
          <w:ilvl w:val="0"/>
          <w:numId w:val="33"/>
        </w:numPr>
        <w:jc w:val="both"/>
        <w:rPr>
          <w:rFonts w:ascii="Arial" w:hAnsi="Arial" w:cs="Arial"/>
          <w:b w:val="0"/>
          <w:sz w:val="20"/>
          <w:lang w:val="fr-FR"/>
        </w:rPr>
      </w:pPr>
      <w:proofErr w:type="spellStart"/>
      <w:r w:rsidRPr="00F802A2">
        <w:rPr>
          <w:rFonts w:ascii="Arial" w:hAnsi="Arial" w:cs="Arial"/>
          <w:b w:val="0"/>
          <w:caps w:val="0"/>
          <w:sz w:val="20"/>
        </w:rPr>
        <w:t>Uhumwangho</w:t>
      </w:r>
      <w:proofErr w:type="spellEnd"/>
      <w:r w:rsidRPr="00F802A2">
        <w:rPr>
          <w:rFonts w:ascii="Arial" w:hAnsi="Arial" w:cs="Arial"/>
          <w:b w:val="0"/>
          <w:caps w:val="0"/>
          <w:sz w:val="20"/>
        </w:rPr>
        <w:t xml:space="preserve">, o. M., &amp; </w:t>
      </w:r>
      <w:proofErr w:type="spellStart"/>
      <w:r w:rsidRPr="00F802A2">
        <w:rPr>
          <w:rFonts w:ascii="Arial" w:hAnsi="Arial" w:cs="Arial"/>
          <w:b w:val="0"/>
          <w:caps w:val="0"/>
          <w:sz w:val="20"/>
        </w:rPr>
        <w:t>jalali</w:t>
      </w:r>
      <w:proofErr w:type="spellEnd"/>
      <w:r w:rsidRPr="00F802A2">
        <w:rPr>
          <w:rFonts w:ascii="Arial" w:hAnsi="Arial" w:cs="Arial"/>
          <w:b w:val="0"/>
          <w:caps w:val="0"/>
          <w:sz w:val="20"/>
        </w:rPr>
        <w:t>, s. (2014). </w:t>
      </w:r>
      <w:proofErr w:type="spellStart"/>
      <w:r w:rsidRPr="00F802A2">
        <w:rPr>
          <w:rFonts w:ascii="Arial" w:hAnsi="Arial" w:cs="Arial"/>
          <w:b w:val="0"/>
          <w:caps w:val="0"/>
          <w:sz w:val="20"/>
        </w:rPr>
        <w:t>Chorioretinal</w:t>
      </w:r>
      <w:proofErr w:type="spellEnd"/>
      <w:r w:rsidRPr="00F802A2">
        <w:rPr>
          <w:rFonts w:ascii="Arial" w:hAnsi="Arial" w:cs="Arial"/>
          <w:b w:val="0"/>
          <w:caps w:val="0"/>
          <w:sz w:val="20"/>
        </w:rPr>
        <w:t xml:space="preserve"> coloboma in a </w:t>
      </w:r>
      <w:proofErr w:type="spellStart"/>
      <w:r w:rsidRPr="00F802A2">
        <w:rPr>
          <w:rFonts w:ascii="Arial" w:hAnsi="Arial" w:cs="Arial"/>
          <w:b w:val="0"/>
          <w:caps w:val="0"/>
          <w:sz w:val="20"/>
        </w:rPr>
        <w:t>paediatric</w:t>
      </w:r>
      <w:proofErr w:type="spellEnd"/>
      <w:r w:rsidRPr="00F802A2">
        <w:rPr>
          <w:rFonts w:ascii="Arial" w:hAnsi="Arial" w:cs="Arial"/>
          <w:b w:val="0"/>
          <w:caps w:val="0"/>
          <w:sz w:val="20"/>
        </w:rPr>
        <w:t xml:space="preserve"> population. </w:t>
      </w:r>
      <w:r w:rsidRPr="00F802A2">
        <w:rPr>
          <w:rFonts w:ascii="Arial" w:hAnsi="Arial" w:cs="Arial"/>
          <w:b w:val="0"/>
          <w:i/>
          <w:iCs/>
          <w:caps w:val="0"/>
          <w:sz w:val="20"/>
          <w:lang w:val="fr-FR"/>
        </w:rPr>
        <w:t>Eye, 28</w:t>
      </w:r>
      <w:r w:rsidRPr="00F802A2">
        <w:rPr>
          <w:rFonts w:ascii="Arial" w:hAnsi="Arial" w:cs="Arial"/>
          <w:b w:val="0"/>
          <w:sz w:val="20"/>
          <w:lang w:val="fr-FR"/>
        </w:rPr>
        <w:t>(6), 728–733. </w:t>
      </w:r>
      <w:hyperlink r:id="rId17" w:tgtFrame="_blank" w:history="1">
        <w:r w:rsidRPr="00F802A2">
          <w:rPr>
            <w:rStyle w:val="Hyperlink"/>
            <w:rFonts w:ascii="Arial" w:hAnsi="Arial" w:cs="Arial"/>
            <w:b w:val="0"/>
            <w:caps w:val="0"/>
            <w:color w:val="auto"/>
            <w:sz w:val="20"/>
            <w:u w:val="none"/>
            <w:lang w:val="fr-FR"/>
          </w:rPr>
          <w:t>Https://doi.org/10.1038/eye.2014.61</w:t>
        </w:r>
      </w:hyperlink>
    </w:p>
    <w:p w14:paraId="73A0828C" w14:textId="77777777" w:rsidR="00E508BB" w:rsidRPr="00F802A2" w:rsidRDefault="00E508BB" w:rsidP="00441B6F">
      <w:pPr>
        <w:pStyle w:val="ReferHead"/>
        <w:spacing w:after="0"/>
        <w:jc w:val="both"/>
        <w:rPr>
          <w:rFonts w:ascii="Arial" w:hAnsi="Arial" w:cs="Arial"/>
          <w:b w:val="0"/>
          <w:sz w:val="20"/>
        </w:rPr>
      </w:pPr>
    </w:p>
    <w:sectPr w:rsidR="00E508BB" w:rsidRPr="00F802A2" w:rsidSect="00B67E7C">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0938DC" w14:textId="77777777" w:rsidR="00C9133C" w:rsidRDefault="00C9133C" w:rsidP="00C37E61">
      <w:r>
        <w:separator/>
      </w:r>
    </w:p>
  </w:endnote>
  <w:endnote w:type="continuationSeparator" w:id="0">
    <w:p w14:paraId="34DF1C2C" w14:textId="77777777" w:rsidR="00C9133C" w:rsidRDefault="00C9133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6FE06" w14:textId="77777777" w:rsidR="00B67E7C" w:rsidRDefault="00B67E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F8994" w14:textId="77777777" w:rsidR="00B67E7C" w:rsidRDefault="00B67E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E48B7" w14:textId="0CD5030C" w:rsidR="00754C9A" w:rsidRPr="00120615" w:rsidRDefault="00754C9A" w:rsidP="00120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99024" w14:textId="77777777" w:rsidR="00C9133C" w:rsidRDefault="00C9133C" w:rsidP="00C37E61">
      <w:r>
        <w:separator/>
      </w:r>
    </w:p>
  </w:footnote>
  <w:footnote w:type="continuationSeparator" w:id="0">
    <w:p w14:paraId="4EB2A10E" w14:textId="77777777" w:rsidR="00C9133C" w:rsidRDefault="00C9133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B81B2" w14:textId="52837F49" w:rsidR="00B67E7C" w:rsidRDefault="00C405D5">
    <w:pPr>
      <w:pStyle w:val="Header"/>
    </w:pPr>
    <w:r>
      <w:rPr>
        <w:noProof/>
      </w:rPr>
      <w:pict w14:anchorId="3CF307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447938"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08211" w14:textId="7B51146C" w:rsidR="00B67E7C" w:rsidRDefault="00C405D5">
    <w:pPr>
      <w:pStyle w:val="Header"/>
    </w:pPr>
    <w:r>
      <w:rPr>
        <w:noProof/>
      </w:rPr>
      <w:pict w14:anchorId="4F4DE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447939"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3E555" w14:textId="751FC767" w:rsidR="00296529" w:rsidRPr="00296529" w:rsidRDefault="00C405D5" w:rsidP="00296529">
    <w:pPr>
      <w:ind w:left="2160"/>
      <w:jc w:val="center"/>
      <w:rPr>
        <w:rFonts w:ascii="Times New Roman" w:eastAsia="Calibri" w:hAnsi="Times New Roman"/>
        <w:i/>
        <w:sz w:val="18"/>
        <w:szCs w:val="22"/>
      </w:rPr>
    </w:pPr>
    <w:r>
      <w:rPr>
        <w:noProof/>
      </w:rPr>
      <w:pict w14:anchorId="1A1A1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447937"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9B1CD6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2225B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A0CA40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1FDB19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C9353F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B08D73C"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A7D77"/>
    <w:multiLevelType w:val="hybridMultilevel"/>
    <w:tmpl w:val="44C0E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EA379AC"/>
    <w:multiLevelType w:val="hybridMultilevel"/>
    <w:tmpl w:val="04B25F9E"/>
    <w:lvl w:ilvl="0" w:tplc="2000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3159A7"/>
    <w:multiLevelType w:val="multilevel"/>
    <w:tmpl w:val="5EDC7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4"/>
  </w:num>
  <w:num w:numId="9">
    <w:abstractNumId w:val="28"/>
  </w:num>
  <w:num w:numId="10">
    <w:abstractNumId w:val="3"/>
  </w:num>
  <w:num w:numId="11">
    <w:abstractNumId w:val="21"/>
  </w:num>
  <w:num w:numId="12">
    <w:abstractNumId w:val="4"/>
  </w:num>
  <w:num w:numId="13">
    <w:abstractNumId w:val="19"/>
  </w:num>
  <w:num w:numId="14">
    <w:abstractNumId w:val="9"/>
  </w:num>
  <w:num w:numId="15">
    <w:abstractNumId w:val="24"/>
  </w:num>
  <w:num w:numId="16">
    <w:abstractNumId w:val="6"/>
  </w:num>
  <w:num w:numId="17">
    <w:abstractNumId w:val="25"/>
  </w:num>
  <w:num w:numId="18">
    <w:abstractNumId w:val="16"/>
  </w:num>
  <w:num w:numId="19">
    <w:abstractNumId w:val="31"/>
  </w:num>
  <w:num w:numId="20">
    <w:abstractNumId w:val="13"/>
  </w:num>
  <w:num w:numId="21">
    <w:abstractNumId w:val="11"/>
  </w:num>
  <w:num w:numId="22">
    <w:abstractNumId w:val="15"/>
  </w:num>
  <w:num w:numId="23">
    <w:abstractNumId w:val="22"/>
  </w:num>
  <w:num w:numId="24">
    <w:abstractNumId w:val="29"/>
  </w:num>
  <w:num w:numId="25">
    <w:abstractNumId w:val="5"/>
  </w:num>
  <w:num w:numId="26">
    <w:abstractNumId w:val="18"/>
  </w:num>
  <w:num w:numId="27">
    <w:abstractNumId w:val="23"/>
  </w:num>
  <w:num w:numId="28">
    <w:abstractNumId w:val="30"/>
  </w:num>
  <w:num w:numId="29">
    <w:abstractNumId w:val="27"/>
  </w:num>
  <w:num w:numId="30">
    <w:abstractNumId w:val="12"/>
  </w:num>
  <w:num w:numId="31">
    <w:abstractNumId w:val="10"/>
  </w:num>
  <w:num w:numId="32">
    <w:abstractNumId w:val="2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2C9A"/>
    <w:rsid w:val="0004579C"/>
    <w:rsid w:val="000510C3"/>
    <w:rsid w:val="000532F7"/>
    <w:rsid w:val="00060151"/>
    <w:rsid w:val="0009062A"/>
    <w:rsid w:val="000A47FA"/>
    <w:rsid w:val="000A65D3"/>
    <w:rsid w:val="000B0055"/>
    <w:rsid w:val="000B1E33"/>
    <w:rsid w:val="000D689F"/>
    <w:rsid w:val="000E1391"/>
    <w:rsid w:val="000E7B7B"/>
    <w:rsid w:val="000E7D62"/>
    <w:rsid w:val="00103357"/>
    <w:rsid w:val="00120615"/>
    <w:rsid w:val="00123C9F"/>
    <w:rsid w:val="00126190"/>
    <w:rsid w:val="00130F17"/>
    <w:rsid w:val="001320BF"/>
    <w:rsid w:val="001355BA"/>
    <w:rsid w:val="00163BC4"/>
    <w:rsid w:val="00170EE9"/>
    <w:rsid w:val="00171920"/>
    <w:rsid w:val="00191062"/>
    <w:rsid w:val="00192B72"/>
    <w:rsid w:val="001A2692"/>
    <w:rsid w:val="001A29D8"/>
    <w:rsid w:val="001A5CAA"/>
    <w:rsid w:val="001B0427"/>
    <w:rsid w:val="001D3A51"/>
    <w:rsid w:val="001E10D2"/>
    <w:rsid w:val="001E1100"/>
    <w:rsid w:val="001E25B4"/>
    <w:rsid w:val="001E44FE"/>
    <w:rsid w:val="001E6FD5"/>
    <w:rsid w:val="00200595"/>
    <w:rsid w:val="00204835"/>
    <w:rsid w:val="00231920"/>
    <w:rsid w:val="0023195C"/>
    <w:rsid w:val="0024282C"/>
    <w:rsid w:val="002460DC"/>
    <w:rsid w:val="00250985"/>
    <w:rsid w:val="002556F6"/>
    <w:rsid w:val="00283105"/>
    <w:rsid w:val="00283847"/>
    <w:rsid w:val="00284C4C"/>
    <w:rsid w:val="00287E68"/>
    <w:rsid w:val="00296529"/>
    <w:rsid w:val="002B27FB"/>
    <w:rsid w:val="002B60F0"/>
    <w:rsid w:val="002B685A"/>
    <w:rsid w:val="002C57D2"/>
    <w:rsid w:val="002D3DE9"/>
    <w:rsid w:val="002E0D56"/>
    <w:rsid w:val="002F33E0"/>
    <w:rsid w:val="002F7E49"/>
    <w:rsid w:val="003045F9"/>
    <w:rsid w:val="003121DC"/>
    <w:rsid w:val="00315186"/>
    <w:rsid w:val="0033343E"/>
    <w:rsid w:val="003512C2"/>
    <w:rsid w:val="00370A24"/>
    <w:rsid w:val="00371297"/>
    <w:rsid w:val="00371FB6"/>
    <w:rsid w:val="003763C1"/>
    <w:rsid w:val="00376BBE"/>
    <w:rsid w:val="0038525B"/>
    <w:rsid w:val="0039224F"/>
    <w:rsid w:val="003A43A4"/>
    <w:rsid w:val="003A6819"/>
    <w:rsid w:val="003A7E18"/>
    <w:rsid w:val="003C43EC"/>
    <w:rsid w:val="003C4C86"/>
    <w:rsid w:val="003C6258"/>
    <w:rsid w:val="003E2904"/>
    <w:rsid w:val="003F0690"/>
    <w:rsid w:val="003F17F6"/>
    <w:rsid w:val="00401927"/>
    <w:rsid w:val="0041027F"/>
    <w:rsid w:val="00412475"/>
    <w:rsid w:val="00423789"/>
    <w:rsid w:val="00440F43"/>
    <w:rsid w:val="00441B6F"/>
    <w:rsid w:val="0044482D"/>
    <w:rsid w:val="00446221"/>
    <w:rsid w:val="00450E62"/>
    <w:rsid w:val="004539DB"/>
    <w:rsid w:val="00471A80"/>
    <w:rsid w:val="004938ED"/>
    <w:rsid w:val="004A1C7B"/>
    <w:rsid w:val="004D305E"/>
    <w:rsid w:val="004D4277"/>
    <w:rsid w:val="004E23B8"/>
    <w:rsid w:val="004F0DCC"/>
    <w:rsid w:val="00501DAD"/>
    <w:rsid w:val="00502516"/>
    <w:rsid w:val="00505F06"/>
    <w:rsid w:val="00506828"/>
    <w:rsid w:val="0053056E"/>
    <w:rsid w:val="00554FDA"/>
    <w:rsid w:val="00565E09"/>
    <w:rsid w:val="005B1E7C"/>
    <w:rsid w:val="005C784C"/>
    <w:rsid w:val="005D17F6"/>
    <w:rsid w:val="005E5539"/>
    <w:rsid w:val="00602BF5"/>
    <w:rsid w:val="00617FDD"/>
    <w:rsid w:val="006313A8"/>
    <w:rsid w:val="00633614"/>
    <w:rsid w:val="00633F68"/>
    <w:rsid w:val="00636EB2"/>
    <w:rsid w:val="006375B8"/>
    <w:rsid w:val="0066510A"/>
    <w:rsid w:val="00673F9F"/>
    <w:rsid w:val="00686953"/>
    <w:rsid w:val="00687DEA"/>
    <w:rsid w:val="00687E67"/>
    <w:rsid w:val="006967F7"/>
    <w:rsid w:val="006A1F14"/>
    <w:rsid w:val="006A250C"/>
    <w:rsid w:val="006B21D3"/>
    <w:rsid w:val="006B57D0"/>
    <w:rsid w:val="006D30FF"/>
    <w:rsid w:val="006D6940"/>
    <w:rsid w:val="006F11EC"/>
    <w:rsid w:val="006F39DD"/>
    <w:rsid w:val="0070082C"/>
    <w:rsid w:val="007369E6"/>
    <w:rsid w:val="00746E59"/>
    <w:rsid w:val="007532DD"/>
    <w:rsid w:val="00754C9A"/>
    <w:rsid w:val="0075599A"/>
    <w:rsid w:val="00761D52"/>
    <w:rsid w:val="00770764"/>
    <w:rsid w:val="0077749E"/>
    <w:rsid w:val="00790ADA"/>
    <w:rsid w:val="007935FD"/>
    <w:rsid w:val="007A602E"/>
    <w:rsid w:val="007D2288"/>
    <w:rsid w:val="007E088F"/>
    <w:rsid w:val="007E13AD"/>
    <w:rsid w:val="007F7B32"/>
    <w:rsid w:val="00804BC2"/>
    <w:rsid w:val="0081431A"/>
    <w:rsid w:val="00817C0A"/>
    <w:rsid w:val="00821E9F"/>
    <w:rsid w:val="0083216F"/>
    <w:rsid w:val="00860000"/>
    <w:rsid w:val="00863BD3"/>
    <w:rsid w:val="008641ED"/>
    <w:rsid w:val="00866D66"/>
    <w:rsid w:val="008671C6"/>
    <w:rsid w:val="00875803"/>
    <w:rsid w:val="0088484A"/>
    <w:rsid w:val="00894D84"/>
    <w:rsid w:val="008B122F"/>
    <w:rsid w:val="008B459E"/>
    <w:rsid w:val="008E13AE"/>
    <w:rsid w:val="008E1506"/>
    <w:rsid w:val="008E710C"/>
    <w:rsid w:val="008F69D6"/>
    <w:rsid w:val="00902823"/>
    <w:rsid w:val="00915CA6"/>
    <w:rsid w:val="00927834"/>
    <w:rsid w:val="009500A6"/>
    <w:rsid w:val="00957C18"/>
    <w:rsid w:val="00963B4F"/>
    <w:rsid w:val="00963DDC"/>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6427"/>
    <w:rsid w:val="00A51431"/>
    <w:rsid w:val="00A539AD"/>
    <w:rsid w:val="00A54B60"/>
    <w:rsid w:val="00A619BB"/>
    <w:rsid w:val="00A94063"/>
    <w:rsid w:val="00AA6219"/>
    <w:rsid w:val="00AA74E0"/>
    <w:rsid w:val="00AB1E6C"/>
    <w:rsid w:val="00AB703F"/>
    <w:rsid w:val="00AB7395"/>
    <w:rsid w:val="00AC6BB8"/>
    <w:rsid w:val="00AC74AD"/>
    <w:rsid w:val="00AE008F"/>
    <w:rsid w:val="00B01FCD"/>
    <w:rsid w:val="00B1776C"/>
    <w:rsid w:val="00B52583"/>
    <w:rsid w:val="00B52896"/>
    <w:rsid w:val="00B67E7C"/>
    <w:rsid w:val="00B811A2"/>
    <w:rsid w:val="00B95236"/>
    <w:rsid w:val="00B96BD9"/>
    <w:rsid w:val="00BA1B01"/>
    <w:rsid w:val="00BA2641"/>
    <w:rsid w:val="00BB37AA"/>
    <w:rsid w:val="00BC53A0"/>
    <w:rsid w:val="00BD5EF6"/>
    <w:rsid w:val="00BE62AD"/>
    <w:rsid w:val="00BF121F"/>
    <w:rsid w:val="00BF1F80"/>
    <w:rsid w:val="00C1315D"/>
    <w:rsid w:val="00C166EF"/>
    <w:rsid w:val="00C17EB0"/>
    <w:rsid w:val="00C27F5F"/>
    <w:rsid w:val="00C30A0F"/>
    <w:rsid w:val="00C34E63"/>
    <w:rsid w:val="00C37E61"/>
    <w:rsid w:val="00C405D5"/>
    <w:rsid w:val="00C70F1B"/>
    <w:rsid w:val="00C71A47"/>
    <w:rsid w:val="00C7464C"/>
    <w:rsid w:val="00C85588"/>
    <w:rsid w:val="00C900E2"/>
    <w:rsid w:val="00C9133C"/>
    <w:rsid w:val="00CB3399"/>
    <w:rsid w:val="00CD6755"/>
    <w:rsid w:val="00CD6856"/>
    <w:rsid w:val="00CE0089"/>
    <w:rsid w:val="00CE793C"/>
    <w:rsid w:val="00CF193C"/>
    <w:rsid w:val="00D022E3"/>
    <w:rsid w:val="00D173F1"/>
    <w:rsid w:val="00D34703"/>
    <w:rsid w:val="00D62264"/>
    <w:rsid w:val="00D74CB0"/>
    <w:rsid w:val="00D8295D"/>
    <w:rsid w:val="00DC2A65"/>
    <w:rsid w:val="00DD0E55"/>
    <w:rsid w:val="00DD4EE7"/>
    <w:rsid w:val="00DE15F0"/>
    <w:rsid w:val="00DE2D13"/>
    <w:rsid w:val="00DE3734"/>
    <w:rsid w:val="00DE5663"/>
    <w:rsid w:val="00DE78AA"/>
    <w:rsid w:val="00DF3CC7"/>
    <w:rsid w:val="00E00D17"/>
    <w:rsid w:val="00E053D0"/>
    <w:rsid w:val="00E135AF"/>
    <w:rsid w:val="00E15994"/>
    <w:rsid w:val="00E3114E"/>
    <w:rsid w:val="00E31A70"/>
    <w:rsid w:val="00E35B02"/>
    <w:rsid w:val="00E508BB"/>
    <w:rsid w:val="00E60AAE"/>
    <w:rsid w:val="00E66496"/>
    <w:rsid w:val="00E66B35"/>
    <w:rsid w:val="00E66E10"/>
    <w:rsid w:val="00E769F6"/>
    <w:rsid w:val="00E76E80"/>
    <w:rsid w:val="00E8407C"/>
    <w:rsid w:val="00E84F3C"/>
    <w:rsid w:val="00EA012C"/>
    <w:rsid w:val="00EB71E7"/>
    <w:rsid w:val="00EC6A55"/>
    <w:rsid w:val="00ED0288"/>
    <w:rsid w:val="00EE52CB"/>
    <w:rsid w:val="00EE586B"/>
    <w:rsid w:val="00EE7545"/>
    <w:rsid w:val="00EF581D"/>
    <w:rsid w:val="00EF7FD8"/>
    <w:rsid w:val="00F04FD0"/>
    <w:rsid w:val="00F06F59"/>
    <w:rsid w:val="00F17988"/>
    <w:rsid w:val="00F469F0"/>
    <w:rsid w:val="00F53273"/>
    <w:rsid w:val="00F755E4"/>
    <w:rsid w:val="00F77D02"/>
    <w:rsid w:val="00F802A2"/>
    <w:rsid w:val="00F84BFF"/>
    <w:rsid w:val="00F85FCE"/>
    <w:rsid w:val="00FB3A86"/>
    <w:rsid w:val="00FD0C43"/>
    <w:rsid w:val="00FD36C8"/>
    <w:rsid w:val="00FD52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42ADE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B811A2"/>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fr-FR"/>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2B60F0"/>
    <w:pPr>
      <w:spacing w:before="100" w:beforeAutospacing="1" w:after="100" w:afterAutospacing="1"/>
    </w:pPr>
    <w:rPr>
      <w:rFonts w:ascii="Times New Roman" w:hAnsi="Times New Roman"/>
      <w:sz w:val="24"/>
      <w:szCs w:val="24"/>
      <w:lang w:val="fr-FR" w:eastAsia="fr-FR"/>
    </w:rPr>
  </w:style>
  <w:style w:type="paragraph" w:styleId="ListParagraph">
    <w:name w:val="List Paragraph"/>
    <w:qFormat/>
    <w:rsid w:val="00963B4F"/>
    <w:pPr>
      <w:pBdr>
        <w:top w:val="nil"/>
        <w:left w:val="nil"/>
        <w:bottom w:val="nil"/>
        <w:right w:val="nil"/>
        <w:between w:val="nil"/>
        <w:bar w:val="nil"/>
      </w:pBdr>
      <w:ind w:left="720"/>
    </w:pPr>
    <w:rPr>
      <w:rFonts w:ascii="Calibri" w:eastAsia="Arial Unicode MS" w:hAnsi="Calibri" w:cs="Arial Unicode MS"/>
      <w:color w:val="000000"/>
      <w:kern w:val="2"/>
      <w:sz w:val="24"/>
      <w:szCs w:val="24"/>
      <w:u w:color="000000"/>
      <w:bdr w:val="nil"/>
      <w:lang w:val="fr-FR" w:eastAsia="fr-FR"/>
    </w:rPr>
  </w:style>
  <w:style w:type="character" w:customStyle="1" w:styleId="Heading3Char">
    <w:name w:val="Heading 3 Char"/>
    <w:basedOn w:val="DefaultParagraphFont"/>
    <w:link w:val="Heading3"/>
    <w:uiPriority w:val="9"/>
    <w:semiHidden/>
    <w:rsid w:val="00B811A2"/>
    <w:rPr>
      <w:rFonts w:asciiTheme="minorHAnsi" w:eastAsiaTheme="majorEastAsia" w:hAnsiTheme="minorHAnsi" w:cstheme="majorBidi"/>
      <w:color w:val="365F91" w:themeColor="accent1" w:themeShade="BF"/>
      <w:kern w:val="2"/>
      <w:sz w:val="28"/>
      <w:szCs w:val="28"/>
      <w:lang w:val="fr-FR"/>
      <w14:ligatures w14:val="standardContextual"/>
    </w:rPr>
  </w:style>
  <w:style w:type="character" w:styleId="Strong">
    <w:name w:val="Strong"/>
    <w:basedOn w:val="DefaultParagraphFont"/>
    <w:qFormat/>
    <w:rsid w:val="002D3D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38/eye.2014.61" TargetMode="External"/><Relationship Id="rId2" Type="http://schemas.openxmlformats.org/officeDocument/2006/relationships/numbering" Target="numbering.xml"/><Relationship Id="rId16" Type="http://schemas.openxmlformats.org/officeDocument/2006/relationships/hyperlink" Target="https://doi.org/10.1016/j.optom.2012.06.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FD2A5-7B66-4981-A616-2443E40E6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136</TotalTime>
  <Pages>6</Pages>
  <Words>1570</Words>
  <Characters>9778</Characters>
  <Application>Microsoft Office Word</Application>
  <DocSecurity>0</DocSecurity>
  <Lines>81</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11326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21</cp:revision>
  <cp:lastPrinted>1999-07-06T11:00:00Z</cp:lastPrinted>
  <dcterms:created xsi:type="dcterms:W3CDTF">2025-08-08T16:19:00Z</dcterms:created>
  <dcterms:modified xsi:type="dcterms:W3CDTF">2025-08-13T07:44:00Z</dcterms:modified>
</cp:coreProperties>
</file>