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205E" w14:textId="09402BAD" w:rsidR="00CC090A" w:rsidRDefault="00CC090A" w:rsidP="006D1B06">
      <w:pPr>
        <w:spacing w:line="360" w:lineRule="auto"/>
        <w:rPr>
          <w:rFonts w:ascii="Arial" w:hAnsi="Arial" w:cs="Arial"/>
          <w:b/>
          <w:bCs/>
          <w:caps/>
        </w:rPr>
      </w:pPr>
      <w:r>
        <w:rPr>
          <w:rFonts w:ascii="Arial" w:hAnsi="Arial" w:cs="Arial"/>
          <w:b/>
          <w:bCs/>
          <w:caps/>
        </w:rPr>
        <w:t>ORIGINAL RESEARCH ARTICLE</w:t>
      </w:r>
    </w:p>
    <w:p w14:paraId="01ABFB5A" w14:textId="2C74A26E" w:rsidR="00BE4A55" w:rsidRPr="009B7BE3" w:rsidRDefault="00BE4A55" w:rsidP="006D1B06">
      <w:pPr>
        <w:spacing w:line="360" w:lineRule="auto"/>
        <w:rPr>
          <w:rFonts w:ascii="Arial" w:hAnsi="Arial" w:cs="Arial"/>
          <w:b/>
          <w:bCs/>
          <w:caps/>
        </w:rPr>
      </w:pPr>
      <w:r w:rsidRPr="009B7BE3">
        <w:rPr>
          <w:rFonts w:ascii="Arial" w:hAnsi="Arial" w:cs="Arial"/>
          <w:b/>
          <w:bCs/>
          <w:caps/>
        </w:rPr>
        <w:t>Estimated Glomerular Filtration Rate and Its Clinical Correlates Among Outpatients in a Nigerian Teaching Hospital</w:t>
      </w:r>
    </w:p>
    <w:p w14:paraId="4DA60087" w14:textId="4CF4FE62" w:rsidR="00BE4A55" w:rsidRDefault="00BE4A55" w:rsidP="00BA3FC7">
      <w:pPr>
        <w:spacing w:line="360" w:lineRule="auto"/>
        <w:jc w:val="right"/>
        <w:rPr>
          <w:rFonts w:ascii="Arial" w:hAnsi="Arial" w:cs="Arial"/>
          <w:b/>
          <w:bCs/>
        </w:rPr>
      </w:pPr>
    </w:p>
    <w:p w14:paraId="6DCFDF06" w14:textId="5AABD8D2" w:rsidR="00674715" w:rsidRDefault="00674715" w:rsidP="00BA3FC7">
      <w:pPr>
        <w:spacing w:line="360" w:lineRule="auto"/>
        <w:jc w:val="right"/>
        <w:rPr>
          <w:rFonts w:ascii="Arial" w:hAnsi="Arial" w:cs="Arial"/>
          <w:b/>
          <w:bCs/>
        </w:rPr>
      </w:pPr>
    </w:p>
    <w:p w14:paraId="0DA9E302" w14:textId="49767AB9" w:rsidR="00674715" w:rsidRDefault="00674715" w:rsidP="00BA3FC7">
      <w:pPr>
        <w:spacing w:line="360" w:lineRule="auto"/>
        <w:jc w:val="right"/>
        <w:rPr>
          <w:rFonts w:ascii="Arial" w:hAnsi="Arial" w:cs="Arial"/>
          <w:b/>
          <w:bCs/>
        </w:rPr>
      </w:pPr>
    </w:p>
    <w:p w14:paraId="614EF17C" w14:textId="2C92F991" w:rsidR="00674715" w:rsidRDefault="00674715" w:rsidP="00BA3FC7">
      <w:pPr>
        <w:spacing w:line="360" w:lineRule="auto"/>
        <w:jc w:val="right"/>
        <w:rPr>
          <w:rFonts w:ascii="Arial" w:hAnsi="Arial" w:cs="Arial"/>
          <w:b/>
          <w:bCs/>
        </w:rPr>
      </w:pPr>
    </w:p>
    <w:p w14:paraId="1D7CE926" w14:textId="77777777" w:rsidR="00674715" w:rsidRPr="009B7BE3" w:rsidRDefault="00674715" w:rsidP="00BA3FC7">
      <w:pPr>
        <w:spacing w:line="360" w:lineRule="auto"/>
        <w:jc w:val="right"/>
        <w:rPr>
          <w:rFonts w:ascii="Arial" w:hAnsi="Arial" w:cs="Arial"/>
          <w:b/>
          <w:bCs/>
        </w:rPr>
      </w:pPr>
    </w:p>
    <w:p w14:paraId="5F730B6D" w14:textId="77777777" w:rsidR="00CF4A14" w:rsidRPr="009B7BE3" w:rsidRDefault="00CF4A14" w:rsidP="00CF4A14">
      <w:pPr>
        <w:spacing w:line="360" w:lineRule="auto"/>
        <w:rPr>
          <w:rFonts w:ascii="Arial" w:hAnsi="Arial" w:cs="Arial"/>
          <w:b/>
          <w:bCs/>
          <w:caps/>
          <w:sz w:val="22"/>
        </w:rPr>
      </w:pPr>
      <w:r w:rsidRPr="009B7BE3">
        <w:rPr>
          <w:rFonts w:ascii="Arial" w:hAnsi="Arial" w:cs="Arial"/>
          <w:b/>
          <w:bCs/>
          <w:caps/>
          <w:sz w:val="22"/>
        </w:rPr>
        <w:t>Abstract</w:t>
      </w:r>
    </w:p>
    <w:p w14:paraId="5B8A2BF6" w14:textId="77777777" w:rsidR="00CF4A14" w:rsidRPr="001D153E" w:rsidRDefault="00CF4A14" w:rsidP="00CF4A14">
      <w:pPr>
        <w:spacing w:line="276" w:lineRule="auto"/>
        <w:rPr>
          <w:rFonts w:ascii="Arial" w:hAnsi="Arial" w:cs="Arial"/>
          <w:b/>
          <w:bCs/>
          <w:sz w:val="20"/>
          <w:szCs w:val="20"/>
        </w:rPr>
      </w:pPr>
      <w:r w:rsidRPr="001D153E">
        <w:rPr>
          <w:rFonts w:ascii="Arial" w:hAnsi="Arial" w:cs="Arial"/>
          <w:b/>
          <w:bCs/>
          <w:sz w:val="20"/>
          <w:szCs w:val="20"/>
        </w:rPr>
        <w:t xml:space="preserve">Background: </w:t>
      </w:r>
      <w:r w:rsidRPr="001D153E">
        <w:rPr>
          <w:rFonts w:ascii="Arial" w:hAnsi="Arial" w:cs="Arial"/>
          <w:sz w:val="20"/>
          <w:szCs w:val="20"/>
        </w:rPr>
        <w:t>Chronic kidney disease is a growing public health concern, particularly in low- and middle-income countries like Nigeria. Early identification of individuals at risk through estimated glomerular filtration rate assessment is crucial for effective intervention.</w:t>
      </w:r>
    </w:p>
    <w:p w14:paraId="5EC574A0" w14:textId="77777777" w:rsidR="00CF4A14" w:rsidRPr="001D153E" w:rsidRDefault="00CF4A14" w:rsidP="00CF4A14">
      <w:pPr>
        <w:spacing w:line="276" w:lineRule="auto"/>
        <w:rPr>
          <w:rFonts w:ascii="Arial" w:hAnsi="Arial" w:cs="Arial"/>
          <w:sz w:val="20"/>
          <w:szCs w:val="20"/>
        </w:rPr>
      </w:pPr>
      <w:r w:rsidRPr="001D153E">
        <w:rPr>
          <w:rFonts w:ascii="Arial" w:hAnsi="Arial" w:cs="Arial"/>
          <w:b/>
          <w:bCs/>
          <w:sz w:val="20"/>
          <w:szCs w:val="20"/>
        </w:rPr>
        <w:t xml:space="preserve">Objective: </w:t>
      </w:r>
      <w:r w:rsidRPr="001D153E">
        <w:rPr>
          <w:rFonts w:ascii="Arial" w:hAnsi="Arial" w:cs="Arial"/>
          <w:sz w:val="20"/>
          <w:szCs w:val="20"/>
        </w:rPr>
        <w:t>To assess kidney function using eGFR and examine its associations with demographic, clinical, and anthropometric factors among adult outpatients in a tertiary hospital in Nigeria.</w:t>
      </w:r>
    </w:p>
    <w:p w14:paraId="58180C6B" w14:textId="77777777" w:rsidR="00CF4A14" w:rsidRDefault="00CF4A14" w:rsidP="00CF4A14">
      <w:pPr>
        <w:spacing w:line="276" w:lineRule="auto"/>
        <w:rPr>
          <w:rFonts w:ascii="Arial" w:hAnsi="Arial" w:cs="Arial"/>
          <w:sz w:val="20"/>
          <w:szCs w:val="20"/>
        </w:rPr>
      </w:pPr>
      <w:r w:rsidRPr="001D153E">
        <w:rPr>
          <w:rFonts w:ascii="Arial" w:hAnsi="Arial" w:cs="Arial"/>
          <w:b/>
          <w:bCs/>
          <w:sz w:val="20"/>
          <w:szCs w:val="20"/>
        </w:rPr>
        <w:t xml:space="preserve">Methods: </w:t>
      </w:r>
      <w:r w:rsidRPr="00674E7C">
        <w:rPr>
          <w:rFonts w:ascii="Arial" w:hAnsi="Arial" w:cs="Arial"/>
          <w:sz w:val="20"/>
          <w:szCs w:val="20"/>
        </w:rPr>
        <w:t xml:space="preserve">A hospital-based cross-sectional study was conducted among 213 adult patients attending the medical outpatient and nephrology clinics of the University of Benin Teaching Hospital. Participants were recruited consecutively and data were collected using structured interviews, standardized anthropometric measurements, and laboratory investigations. </w:t>
      </w:r>
    </w:p>
    <w:p w14:paraId="2DA14D19" w14:textId="77777777" w:rsidR="00CF4A14" w:rsidRDefault="00CF4A14" w:rsidP="00CF4A14">
      <w:pPr>
        <w:spacing w:line="276" w:lineRule="auto"/>
        <w:rPr>
          <w:rFonts w:ascii="Arial" w:hAnsi="Arial" w:cs="Arial"/>
          <w:sz w:val="20"/>
          <w:szCs w:val="20"/>
        </w:rPr>
      </w:pPr>
      <w:r w:rsidRPr="00674E7C">
        <w:rPr>
          <w:rFonts w:ascii="Arial" w:hAnsi="Arial" w:cs="Arial"/>
          <w:sz w:val="20"/>
          <w:szCs w:val="20"/>
        </w:rPr>
        <w:t xml:space="preserve">Kidney function was assessed by estimating glomerular filtration rate (eGFR) using the CKD-EPI equation based on serum creatinine levels. Urinalysis with dipstick testing evaluated proteinuria and haematuria. Data analysis included descriptive statistics, independent t-tests, ANOVA, Pearson correlation, and </w:t>
      </w:r>
      <w:r>
        <w:rPr>
          <w:rFonts w:ascii="Arial" w:hAnsi="Arial" w:cs="Arial"/>
          <w:sz w:val="20"/>
          <w:szCs w:val="20"/>
        </w:rPr>
        <w:t>multiple</w:t>
      </w:r>
      <w:r w:rsidRPr="00674E7C">
        <w:rPr>
          <w:rFonts w:ascii="Arial" w:hAnsi="Arial" w:cs="Arial"/>
          <w:sz w:val="20"/>
          <w:szCs w:val="20"/>
        </w:rPr>
        <w:t xml:space="preserve"> logistic regression to identify predictors of reduced kidney function, with significance set at P &lt; .05</w:t>
      </w:r>
    </w:p>
    <w:p w14:paraId="201784F6" w14:textId="77777777" w:rsidR="00CF4A14" w:rsidRDefault="00CF4A14" w:rsidP="00CF4A14">
      <w:pPr>
        <w:spacing w:line="276" w:lineRule="auto"/>
        <w:rPr>
          <w:rFonts w:ascii="Arial" w:hAnsi="Arial" w:cs="Arial"/>
          <w:sz w:val="20"/>
          <w:szCs w:val="20"/>
        </w:rPr>
      </w:pPr>
      <w:r w:rsidRPr="001D153E">
        <w:rPr>
          <w:rFonts w:ascii="Arial" w:hAnsi="Arial" w:cs="Arial"/>
          <w:b/>
          <w:bCs/>
          <w:sz w:val="20"/>
          <w:szCs w:val="20"/>
        </w:rPr>
        <w:t xml:space="preserve">Results: </w:t>
      </w:r>
      <w:r w:rsidRPr="00E17DBA">
        <w:rPr>
          <w:rFonts w:ascii="Arial" w:hAnsi="Arial" w:cs="Arial"/>
          <w:sz w:val="20"/>
          <w:szCs w:val="20"/>
        </w:rPr>
        <w:t>Mean eGFR decreased significantly with advancing age (P &lt; .01), with no significant difference observed between males and females. Participants presenting with haematuria had significantly lower eGFR values (P = .04). Although diabetes, hypertension, and proteinuria were linked to reduced eGFR, these associations did not reach statistical significance. Both waist–hip ratio and body mass index demonstrated significant negative correlations with eGFR (r = –0.203, P = .02 and r = –0.169, P = .049, respectively). On multivariate analysis, advancing age (P = .010) and presence of haematuria (P = .026) remained independent predictors of reduced kidney function, while gender, waist–hip ratio, and BMI were not statistically significant after adjustment.</w:t>
      </w:r>
    </w:p>
    <w:p w14:paraId="415492C8" w14:textId="77777777" w:rsidR="00CF4A14" w:rsidRPr="001D153E" w:rsidRDefault="00CF4A14" w:rsidP="00CF4A14">
      <w:pPr>
        <w:spacing w:line="276" w:lineRule="auto"/>
        <w:rPr>
          <w:rFonts w:ascii="Arial" w:hAnsi="Arial" w:cs="Arial"/>
          <w:sz w:val="20"/>
          <w:szCs w:val="20"/>
        </w:rPr>
      </w:pPr>
      <w:r w:rsidRPr="00E00A53">
        <w:rPr>
          <w:rFonts w:ascii="Arial" w:hAnsi="Arial" w:cs="Arial"/>
          <w:b/>
          <w:bCs/>
          <w:sz w:val="20"/>
          <w:szCs w:val="20"/>
        </w:rPr>
        <w:t>Conclusion:</w:t>
      </w:r>
      <w:r>
        <w:rPr>
          <w:rFonts w:ascii="Arial" w:hAnsi="Arial" w:cs="Arial"/>
          <w:sz w:val="20"/>
          <w:szCs w:val="20"/>
        </w:rPr>
        <w:t xml:space="preserve"> </w:t>
      </w:r>
      <w:r w:rsidRPr="00E00A53">
        <w:rPr>
          <w:rFonts w:ascii="Arial" w:hAnsi="Arial" w:cs="Arial"/>
          <w:sz w:val="20"/>
          <w:szCs w:val="20"/>
        </w:rPr>
        <w:t>Advancing age and haematuria independently predict reduced kidney function among adult outpatients at UBTH. Routine eGFR screening focusing on these risk factors can improve early detection of chronic kidney disease. Central obesity showed association on univariate analysis but was not an independent predictor.</w:t>
      </w:r>
    </w:p>
    <w:p w14:paraId="648FCC16" w14:textId="77777777" w:rsidR="00CF4A14" w:rsidRPr="002C7C49" w:rsidRDefault="00CF4A14" w:rsidP="00CF4A14">
      <w:pPr>
        <w:spacing w:line="276" w:lineRule="auto"/>
        <w:jc w:val="left"/>
        <w:rPr>
          <w:rFonts w:ascii="Arial" w:hAnsi="Arial" w:cs="Arial"/>
          <w:b/>
          <w:bCs/>
          <w:i/>
          <w:iCs/>
          <w:sz w:val="20"/>
          <w:szCs w:val="20"/>
        </w:rPr>
      </w:pPr>
      <w:r w:rsidRPr="002C7C49">
        <w:rPr>
          <w:rFonts w:ascii="Arial" w:hAnsi="Arial" w:cs="Arial"/>
          <w:b/>
          <w:bCs/>
          <w:i/>
          <w:iCs/>
          <w:sz w:val="20"/>
          <w:szCs w:val="20"/>
        </w:rPr>
        <w:t>Keywords: Chronic kidney disease, eGFR, obesity, hypertension, Nigeria</w:t>
      </w:r>
    </w:p>
    <w:p w14:paraId="5B5FDA5C" w14:textId="12EBC6C1" w:rsidR="001918C5" w:rsidRPr="00E352F6" w:rsidRDefault="00E352F6" w:rsidP="006D1B06">
      <w:pPr>
        <w:spacing w:line="360" w:lineRule="auto"/>
        <w:rPr>
          <w:rFonts w:ascii="Arial" w:hAnsi="Arial" w:cs="Arial"/>
          <w:b/>
          <w:bCs/>
          <w:sz w:val="22"/>
        </w:rPr>
      </w:pPr>
      <w:r w:rsidRPr="00E352F6">
        <w:rPr>
          <w:rFonts w:ascii="Arial" w:hAnsi="Arial" w:cs="Arial"/>
          <w:b/>
          <w:bCs/>
          <w:sz w:val="22"/>
        </w:rPr>
        <w:lastRenderedPageBreak/>
        <w:t>BACKGROUND</w:t>
      </w:r>
    </w:p>
    <w:p w14:paraId="0748D244" w14:textId="7A2382CB" w:rsidR="001918C5" w:rsidRPr="001D6041" w:rsidRDefault="001918C5" w:rsidP="006D1B06">
      <w:pPr>
        <w:spacing w:line="360" w:lineRule="auto"/>
        <w:rPr>
          <w:rFonts w:ascii="Arial" w:hAnsi="Arial" w:cs="Arial"/>
          <w:sz w:val="20"/>
          <w:szCs w:val="20"/>
        </w:rPr>
      </w:pPr>
      <w:r w:rsidRPr="001D6041">
        <w:rPr>
          <w:rFonts w:ascii="Arial" w:hAnsi="Arial" w:cs="Arial"/>
          <w:sz w:val="20"/>
          <w:szCs w:val="20"/>
        </w:rPr>
        <w:t>Chronic kidney disease (CKD) has become a major global health concern, affecting approximately 850 million people worldwide, with increasing prevalence reported across both developed and developing countries.</w:t>
      </w:r>
      <w:sdt>
        <w:sdtPr>
          <w:rPr>
            <w:rFonts w:ascii="Arial" w:hAnsi="Arial" w:cs="Arial"/>
            <w:color w:val="000000"/>
            <w:sz w:val="20"/>
            <w:szCs w:val="20"/>
          </w:rPr>
          <w:tag w:val="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"/>
          <w:id w:val="-1162085282"/>
          <w:placeholder>
            <w:docPart w:val="DefaultPlaceholder_-1854013440"/>
          </w:placeholder>
        </w:sdtPr>
        <w:sdtContent>
          <w:r w:rsidR="003960AA" w:rsidRPr="003960AA">
            <w:rPr>
              <w:rFonts w:ascii="Arial" w:hAnsi="Arial" w:cs="Arial"/>
              <w:color w:val="000000"/>
              <w:sz w:val="20"/>
              <w:szCs w:val="20"/>
            </w:rPr>
            <w:t>(Deng et al., 2025; Francis et al., 2024)</w:t>
          </w:r>
        </w:sdtContent>
      </w:sdt>
      <w:r w:rsidRPr="001D6041">
        <w:rPr>
          <w:rFonts w:ascii="Arial" w:hAnsi="Arial" w:cs="Arial"/>
          <w:sz w:val="20"/>
          <w:szCs w:val="20"/>
        </w:rPr>
        <w:t xml:space="preserve"> The disease is characterized by a gradual loss of kidney function over time, often progressing silently until the late stages when complications such as end-stage renal disease (ESRD), cardiovascular disease, and death become imminent.</w:t>
      </w:r>
      <w:sdt>
        <w:sdtPr>
          <w:rPr>
            <w:rFonts w:ascii="Arial" w:hAnsi="Arial" w:cs="Arial"/>
            <w:color w:val="000000"/>
            <w:sz w:val="20"/>
            <w:szCs w:val="20"/>
          </w:rPr>
          <w:tag w:val="MENDELEY_CITATION_v3_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"/>
          <w:id w:val="-1921324922"/>
          <w:placeholder>
            <w:docPart w:val="DefaultPlaceholder_-1854013440"/>
          </w:placeholder>
        </w:sdtPr>
        <w:sdtContent>
          <w:r w:rsidR="003960AA" w:rsidRPr="003960AA">
            <w:rPr>
              <w:rFonts w:eastAsia="Times New Roman"/>
              <w:color w:val="000000"/>
              <w:sz w:val="20"/>
            </w:rPr>
            <w:t>(Vaidya &amp; Aeddula, 2024)</w:t>
          </w:r>
        </w:sdtContent>
      </w:sdt>
      <w:r w:rsidRPr="001D6041">
        <w:rPr>
          <w:rFonts w:ascii="Arial" w:hAnsi="Arial" w:cs="Arial"/>
          <w:sz w:val="20"/>
          <w:szCs w:val="20"/>
        </w:rPr>
        <w:t xml:space="preserve"> In many low- and middle-income countries (LMICs), including Nigeria, the burden of CKD is particularly alarming due to the dual challenges of underdiagnosis and limited access to renal replacement therapies such as dialysis and transplantation.</w:t>
      </w:r>
      <w:sdt>
        <w:sdtPr>
          <w:rPr>
            <w:rFonts w:ascii="Arial" w:hAnsi="Arial" w:cs="Arial"/>
            <w:color w:val="000000"/>
            <w:sz w:val="20"/>
            <w:szCs w:val="20"/>
          </w:rPr>
          <w:tag w:val="MENDELEY_CITATION_v3_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"/>
          <w:id w:val="-1030486905"/>
          <w:placeholder>
            <w:docPart w:val="DefaultPlaceholder_-1854013440"/>
          </w:placeholder>
        </w:sdtPr>
        <w:sdtContent>
          <w:r w:rsidR="003960AA" w:rsidRPr="003960AA">
            <w:rPr>
              <w:rFonts w:eastAsia="Times New Roman"/>
              <w:color w:val="000000"/>
              <w:sz w:val="20"/>
            </w:rPr>
            <w:t>(Adetunji &amp; Fatokun, 2023; Stanifer et al., 2016)</w:t>
          </w:r>
        </w:sdtContent>
      </w:sdt>
    </w:p>
    <w:p w14:paraId="0FB74230" w14:textId="0CEB6FC1" w:rsidR="001918C5" w:rsidRPr="001D6041" w:rsidRDefault="001918C5" w:rsidP="006D1B06">
      <w:pPr>
        <w:spacing w:line="360" w:lineRule="auto"/>
        <w:rPr>
          <w:rFonts w:ascii="Arial" w:hAnsi="Arial" w:cs="Arial"/>
          <w:sz w:val="20"/>
          <w:szCs w:val="20"/>
        </w:rPr>
      </w:pPr>
      <w:r w:rsidRPr="001D6041">
        <w:rPr>
          <w:rFonts w:ascii="Arial" w:hAnsi="Arial" w:cs="Arial"/>
          <w:sz w:val="20"/>
          <w:szCs w:val="20"/>
        </w:rPr>
        <w:t>The estimated glomerular filtration rate (eGFR), typically derived from serum creatinine levels, serves as a practical, non-invasive, and widely accepted index for assessing kidney function in population-based settings.</w:t>
      </w:r>
      <w:sdt>
        <w:sdtPr>
          <w:rPr>
            <w:rFonts w:ascii="Arial" w:hAnsi="Arial" w:cs="Arial"/>
            <w:color w:val="000000"/>
            <w:sz w:val="20"/>
            <w:szCs w:val="20"/>
          </w:rPr>
          <w:tag w:val="MENDELEY_CITATION_v3_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"/>
          <w:id w:val="136926859"/>
          <w:placeholder>
            <w:docPart w:val="DefaultPlaceholder_-1854013440"/>
          </w:placeholder>
        </w:sdtPr>
        <w:sdtContent>
          <w:r w:rsidR="003960AA" w:rsidRPr="003960AA">
            <w:rPr>
              <w:rFonts w:ascii="Arial" w:hAnsi="Arial" w:cs="Arial"/>
              <w:color w:val="000000"/>
              <w:sz w:val="20"/>
              <w:szCs w:val="20"/>
            </w:rPr>
            <w:t>(Provenzano et al., 2024)</w:t>
          </w:r>
        </w:sdtContent>
      </w:sdt>
      <w:r w:rsidRPr="001D6041">
        <w:rPr>
          <w:rFonts w:ascii="Arial" w:hAnsi="Arial" w:cs="Arial"/>
          <w:sz w:val="20"/>
          <w:szCs w:val="20"/>
        </w:rPr>
        <w:t xml:space="preserve"> A reduced eGFR is not only indicative of impaired renal function but is also a strong independent predictor of cardiovascular events and all-cause mortality</w:t>
      </w:r>
      <w:r w:rsidR="00C41121" w:rsidRPr="001D6041">
        <w:rPr>
          <w:rFonts w:ascii="Arial" w:hAnsi="Arial" w:cs="Arial"/>
          <w:sz w:val="20"/>
          <w:szCs w:val="20"/>
        </w:rPr>
        <w:t>, therefore u</w:t>
      </w:r>
      <w:r w:rsidRPr="001D6041">
        <w:rPr>
          <w:rFonts w:ascii="Arial" w:hAnsi="Arial" w:cs="Arial"/>
          <w:sz w:val="20"/>
          <w:szCs w:val="20"/>
        </w:rPr>
        <w:t>nderstanding the distribution of eGFR and its associated risk factors within local populations is critical for early detection, risk stratification, and the implementation of appropriate public health interventions.</w:t>
      </w:r>
      <w:sdt>
        <w:sdtPr>
          <w:rPr>
            <w:rFonts w:ascii="Arial" w:hAnsi="Arial" w:cs="Arial"/>
            <w:color w:val="000000"/>
            <w:sz w:val="20"/>
            <w:szCs w:val="20"/>
          </w:rPr>
          <w:tag w:val="MENDELEY_CITATION_v3_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"/>
          <w:id w:val="-1849322274"/>
          <w:placeholder>
            <w:docPart w:val="DefaultPlaceholder_-1854013440"/>
          </w:placeholder>
        </w:sdtPr>
        <w:sdtContent>
          <w:r w:rsidR="003960AA" w:rsidRPr="003960AA">
            <w:rPr>
              <w:rFonts w:ascii="Arial" w:hAnsi="Arial" w:cs="Arial"/>
              <w:color w:val="000000"/>
              <w:sz w:val="20"/>
              <w:szCs w:val="20"/>
            </w:rPr>
            <w:t>(Guo et al., 2018)</w:t>
          </w:r>
        </w:sdtContent>
      </w:sdt>
    </w:p>
    <w:p w14:paraId="0472E9DB" w14:textId="4C024218" w:rsidR="001918C5" w:rsidRPr="001D6041" w:rsidRDefault="001918C5" w:rsidP="006D1B06">
      <w:pPr>
        <w:spacing w:line="360" w:lineRule="auto"/>
        <w:rPr>
          <w:rFonts w:ascii="Arial" w:hAnsi="Arial" w:cs="Arial"/>
          <w:sz w:val="20"/>
          <w:szCs w:val="20"/>
        </w:rPr>
      </w:pPr>
      <w:r w:rsidRPr="001D6041">
        <w:rPr>
          <w:rFonts w:ascii="Arial" w:hAnsi="Arial" w:cs="Arial"/>
          <w:sz w:val="20"/>
          <w:szCs w:val="20"/>
        </w:rPr>
        <w:t>Multiple determinants influence kidney function, ranging from non-modifiable factors such as age, sex, and genetic predisposition to modifiable risk factors including hypertension, diabetes mellitus, obesity, and lifestyle-related metabolic disturbances. In sub-Saharan Africa, hypertension and diabetes</w:t>
      </w:r>
      <w:r w:rsidR="00C41121" w:rsidRPr="001D6041">
        <w:rPr>
          <w:rFonts w:ascii="Arial" w:hAnsi="Arial" w:cs="Arial"/>
          <w:sz w:val="20"/>
          <w:szCs w:val="20"/>
        </w:rPr>
        <w:t xml:space="preserve">, </w:t>
      </w:r>
      <w:r w:rsidRPr="001D6041">
        <w:rPr>
          <w:rFonts w:ascii="Arial" w:hAnsi="Arial" w:cs="Arial"/>
          <w:sz w:val="20"/>
          <w:szCs w:val="20"/>
        </w:rPr>
        <w:t>often undiagnosed or poorly controlled</w:t>
      </w:r>
      <w:r w:rsidR="00C41121" w:rsidRPr="001D6041">
        <w:rPr>
          <w:rFonts w:ascii="Arial" w:hAnsi="Arial" w:cs="Arial"/>
          <w:sz w:val="20"/>
          <w:szCs w:val="20"/>
        </w:rPr>
        <w:t xml:space="preserve">, </w:t>
      </w:r>
      <w:r w:rsidRPr="001D6041">
        <w:rPr>
          <w:rFonts w:ascii="Arial" w:hAnsi="Arial" w:cs="Arial"/>
          <w:sz w:val="20"/>
          <w:szCs w:val="20"/>
        </w:rPr>
        <w:t>remain the leading contributors to CKD, with significant overlap among individuals with concurrent cardiometabolic risk factors.</w:t>
      </w:r>
      <w:sdt>
        <w:sdtPr>
          <w:rPr>
            <w:rFonts w:ascii="Arial" w:hAnsi="Arial" w:cs="Arial"/>
            <w:color w:val="000000"/>
            <w:sz w:val="20"/>
            <w:szCs w:val="20"/>
          </w:rPr>
          <w:tag w:val="MENDELEY_CITATION_v3_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"/>
          <w:id w:val="-1766830582"/>
          <w:placeholder>
            <w:docPart w:val="DefaultPlaceholder_-1854013440"/>
          </w:placeholder>
        </w:sdtPr>
        <w:sdtContent>
          <w:r w:rsidR="003960AA" w:rsidRPr="003960AA">
            <w:rPr>
              <w:rFonts w:ascii="Arial" w:hAnsi="Arial" w:cs="Arial"/>
              <w:color w:val="000000"/>
              <w:sz w:val="20"/>
              <w:szCs w:val="20"/>
            </w:rPr>
            <w:t>(Kabinga et al., 2024)</w:t>
          </w:r>
        </w:sdtContent>
      </w:sdt>
      <w:r w:rsidR="00C41121" w:rsidRPr="001D6041">
        <w:rPr>
          <w:rFonts w:ascii="Arial" w:hAnsi="Arial" w:cs="Arial"/>
          <w:sz w:val="20"/>
          <w:szCs w:val="20"/>
        </w:rPr>
        <w:t xml:space="preserve"> </w:t>
      </w:r>
      <w:r w:rsidRPr="001D6041">
        <w:rPr>
          <w:rFonts w:ascii="Arial" w:hAnsi="Arial" w:cs="Arial"/>
          <w:sz w:val="20"/>
          <w:szCs w:val="20"/>
        </w:rPr>
        <w:t>Anthropometric indices such as body mass index (BMI), waist circumference, and waist-to-hip ratio have also been linked to renal outcomes, as they reflect central adiposity, insulin resistance, and systemic inflammation, which may contribute to glomerular hyperfiltration and progressive renal injury.</w:t>
      </w:r>
      <w:sdt>
        <w:sdtPr>
          <w:rPr>
            <w:rFonts w:ascii="Arial" w:hAnsi="Arial" w:cs="Arial"/>
            <w:color w:val="000000"/>
            <w:sz w:val="20"/>
            <w:szCs w:val="20"/>
          </w:rPr>
          <w:tag w:val="MENDELEY_CITATION_v3_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"/>
          <w:id w:val="-1104497792"/>
          <w:placeholder>
            <w:docPart w:val="DefaultPlaceholder_-1854013440"/>
          </w:placeholder>
        </w:sdtPr>
        <w:sdtContent>
          <w:r w:rsidR="003960AA" w:rsidRPr="003960AA">
            <w:rPr>
              <w:rFonts w:ascii="Arial" w:hAnsi="Arial" w:cs="Arial"/>
              <w:color w:val="000000"/>
              <w:sz w:val="20"/>
              <w:szCs w:val="20"/>
            </w:rPr>
            <w:t>(Vela-Bernal et al., 2023)</w:t>
          </w:r>
        </w:sdtContent>
      </w:sdt>
    </w:p>
    <w:p w14:paraId="478235CC" w14:textId="77777777" w:rsidR="001918C5" w:rsidRPr="001D6041" w:rsidRDefault="001918C5" w:rsidP="006D1B06">
      <w:pPr>
        <w:spacing w:line="360" w:lineRule="auto"/>
        <w:rPr>
          <w:rFonts w:ascii="Arial" w:hAnsi="Arial" w:cs="Arial"/>
          <w:sz w:val="20"/>
          <w:szCs w:val="20"/>
        </w:rPr>
      </w:pPr>
      <w:r w:rsidRPr="001D6041">
        <w:rPr>
          <w:rFonts w:ascii="Arial" w:hAnsi="Arial" w:cs="Arial"/>
          <w:sz w:val="20"/>
          <w:szCs w:val="20"/>
        </w:rPr>
        <w:t>In Nigeria, while studies on CKD have been conducted among specific patient groups such as diabetics and hypertensives, there remains a scarcity of data on kidney function and its determinants in broader adult populations, especially in community or outpatient settings. Given the increasing urbanization, dietary changes, and sedentary lifestyles among Nigerians, it is imperative to identify early indicators of renal dysfunction and the modifiable risk factors that drive its progression.</w:t>
      </w:r>
    </w:p>
    <w:p w14:paraId="6956B8A3" w14:textId="244FA184" w:rsidR="001918C5" w:rsidRPr="001D6041" w:rsidRDefault="001918C5" w:rsidP="006D1B06">
      <w:pPr>
        <w:spacing w:line="360" w:lineRule="auto"/>
        <w:rPr>
          <w:rFonts w:ascii="Arial" w:hAnsi="Arial" w:cs="Arial"/>
          <w:sz w:val="20"/>
          <w:szCs w:val="20"/>
        </w:rPr>
      </w:pPr>
      <w:r w:rsidRPr="001D6041">
        <w:rPr>
          <w:rFonts w:ascii="Arial" w:hAnsi="Arial" w:cs="Arial"/>
          <w:sz w:val="20"/>
          <w:szCs w:val="20"/>
        </w:rPr>
        <w:t>This study, therefore, aims to assess the pattern of kidney function</w:t>
      </w:r>
      <w:r w:rsidR="006D1B06" w:rsidRPr="001D6041">
        <w:rPr>
          <w:rFonts w:ascii="Arial" w:hAnsi="Arial" w:cs="Arial"/>
          <w:sz w:val="20"/>
          <w:szCs w:val="20"/>
        </w:rPr>
        <w:t xml:space="preserve">, </w:t>
      </w:r>
      <w:r w:rsidRPr="001D6041">
        <w:rPr>
          <w:rFonts w:ascii="Arial" w:hAnsi="Arial" w:cs="Arial"/>
          <w:sz w:val="20"/>
          <w:szCs w:val="20"/>
        </w:rPr>
        <w:t>measured using eGFR</w:t>
      </w:r>
      <w:r w:rsidR="006D1B06" w:rsidRPr="001D6041">
        <w:rPr>
          <w:rFonts w:ascii="Arial" w:hAnsi="Arial" w:cs="Arial"/>
          <w:sz w:val="20"/>
          <w:szCs w:val="20"/>
        </w:rPr>
        <w:t xml:space="preserve">, </w:t>
      </w:r>
      <w:r w:rsidRPr="001D6041">
        <w:rPr>
          <w:rFonts w:ascii="Arial" w:hAnsi="Arial" w:cs="Arial"/>
          <w:sz w:val="20"/>
          <w:szCs w:val="20"/>
        </w:rPr>
        <w:t>among adults in a Nigerian population and to identify the demographic, clinical, and anthropometric factors associated with impaired renal function. By generating context-specific evidence, the findings are expected to inform targeted screening, early preventive strategies, and policy development aimed at reducing the growing burden of kidney disease in Nigeria.</w:t>
      </w:r>
    </w:p>
    <w:p w14:paraId="42B8993D" w14:textId="77777777" w:rsidR="001918C5" w:rsidRPr="009B7BE3" w:rsidRDefault="001918C5">
      <w:pPr>
        <w:rPr>
          <w:rFonts w:ascii="Arial" w:hAnsi="Arial" w:cs="Arial"/>
          <w:b/>
          <w:bCs/>
        </w:rPr>
      </w:pPr>
    </w:p>
    <w:p w14:paraId="43940604" w14:textId="67AB509B" w:rsidR="001918C5" w:rsidRPr="001D6041" w:rsidRDefault="001918C5">
      <w:pPr>
        <w:rPr>
          <w:rFonts w:ascii="Arial" w:hAnsi="Arial" w:cs="Arial"/>
          <w:b/>
          <w:bCs/>
          <w:sz w:val="22"/>
        </w:rPr>
      </w:pPr>
      <w:r w:rsidRPr="001D6041">
        <w:rPr>
          <w:rFonts w:ascii="Arial" w:hAnsi="Arial" w:cs="Arial"/>
          <w:b/>
          <w:bCs/>
          <w:sz w:val="22"/>
        </w:rPr>
        <w:t>METHODOLOGY</w:t>
      </w:r>
    </w:p>
    <w:p w14:paraId="6EC75346" w14:textId="77777777" w:rsidR="00A72573" w:rsidRPr="001D6041" w:rsidRDefault="00A72573" w:rsidP="006D1B06">
      <w:pPr>
        <w:spacing w:line="360" w:lineRule="auto"/>
        <w:rPr>
          <w:rFonts w:ascii="Arial" w:hAnsi="Arial" w:cs="Arial"/>
          <w:b/>
          <w:bCs/>
          <w:sz w:val="20"/>
          <w:szCs w:val="20"/>
        </w:rPr>
      </w:pPr>
      <w:r w:rsidRPr="001D6041">
        <w:rPr>
          <w:rFonts w:ascii="Arial" w:hAnsi="Arial" w:cs="Arial"/>
          <w:b/>
          <w:bCs/>
          <w:sz w:val="20"/>
          <w:szCs w:val="20"/>
        </w:rPr>
        <w:t>Study Area</w:t>
      </w:r>
    </w:p>
    <w:p w14:paraId="6FD2A574" w14:textId="77777777"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t>This study was conducted at the University of Benin Teaching Hospital (UBTH), a tertiary healthcare facility located in Benin City, Edo State, Nigeria. As one of the foremost referral centers in Southern Nigeria, UBTH provides a wide range of diagnostic and specialist services, including nephrology care, to a diverse patient population. The hospital's central role in managing both acute and chronic diseases makes it a suitable setting for evaluating kidney function and associated clinical parameters in an adult population.</w:t>
      </w:r>
    </w:p>
    <w:p w14:paraId="6C213566" w14:textId="77777777" w:rsidR="00CF4A14" w:rsidRPr="001D6041" w:rsidRDefault="00CF4A14" w:rsidP="00CF4A14">
      <w:pPr>
        <w:spacing w:line="360" w:lineRule="auto"/>
        <w:rPr>
          <w:rFonts w:ascii="Arial" w:hAnsi="Arial" w:cs="Arial"/>
          <w:b/>
          <w:bCs/>
          <w:sz w:val="20"/>
          <w:szCs w:val="20"/>
        </w:rPr>
      </w:pPr>
      <w:r w:rsidRPr="001D6041">
        <w:rPr>
          <w:rFonts w:ascii="Arial" w:hAnsi="Arial" w:cs="Arial"/>
          <w:b/>
          <w:bCs/>
          <w:sz w:val="20"/>
          <w:szCs w:val="20"/>
        </w:rPr>
        <w:t>Study Design</w:t>
      </w:r>
    </w:p>
    <w:p w14:paraId="510A8862" w14:textId="77777777" w:rsidR="00CF4A14" w:rsidRDefault="00CF4A14" w:rsidP="00CF4A14">
      <w:pPr>
        <w:spacing w:line="360" w:lineRule="auto"/>
        <w:rPr>
          <w:rFonts w:ascii="Arial" w:hAnsi="Arial" w:cs="Arial"/>
          <w:sz w:val="20"/>
          <w:szCs w:val="20"/>
        </w:rPr>
      </w:pPr>
      <w:r w:rsidRPr="009140CB">
        <w:rPr>
          <w:rFonts w:ascii="Arial" w:hAnsi="Arial" w:cs="Arial"/>
          <w:sz w:val="20"/>
          <w:szCs w:val="20"/>
        </w:rPr>
        <w:t>A hospital-based cross-sectional study was employed. Consecutive adult patients attending medical outpatient and nephrology clinics were recruited between July and September 2022. A total of 213 participants were enrolled using a convenience sampling technique, which may introduce selection bias. However, to mitigate information bias, standardized data collection tools were used, and interviewers were trained to ensure consistency during questionnaire administration, physical measurements, and laboratory evaluations.</w:t>
      </w:r>
    </w:p>
    <w:p w14:paraId="604628B8" w14:textId="77777777" w:rsidR="00A72573" w:rsidRPr="001D6041" w:rsidRDefault="00A72573" w:rsidP="006D1B06">
      <w:pPr>
        <w:spacing w:line="360" w:lineRule="auto"/>
        <w:rPr>
          <w:rFonts w:ascii="Arial" w:hAnsi="Arial" w:cs="Arial"/>
          <w:b/>
          <w:bCs/>
          <w:sz w:val="20"/>
          <w:szCs w:val="20"/>
        </w:rPr>
      </w:pPr>
      <w:r w:rsidRPr="001D6041">
        <w:rPr>
          <w:rFonts w:ascii="Arial" w:hAnsi="Arial" w:cs="Arial"/>
          <w:b/>
          <w:bCs/>
          <w:sz w:val="20"/>
          <w:szCs w:val="20"/>
        </w:rPr>
        <w:t>Study Population</w:t>
      </w:r>
    </w:p>
    <w:p w14:paraId="069D12C2" w14:textId="57CA720D" w:rsidR="006D1B06" w:rsidRPr="00CF4A14" w:rsidRDefault="00A72573" w:rsidP="006D1B06">
      <w:pPr>
        <w:spacing w:line="360" w:lineRule="auto"/>
        <w:rPr>
          <w:rFonts w:ascii="Arial" w:hAnsi="Arial" w:cs="Arial"/>
          <w:sz w:val="20"/>
          <w:szCs w:val="20"/>
        </w:rPr>
      </w:pPr>
      <w:r w:rsidRPr="001D6041">
        <w:rPr>
          <w:rFonts w:ascii="Arial" w:hAnsi="Arial" w:cs="Arial"/>
          <w:sz w:val="20"/>
          <w:szCs w:val="20"/>
        </w:rPr>
        <w:t>Inclusion criteria were adults aged 18 years and above who gave written informed consent. Patients with incomplete data or those with known chronic kidney disease on renal replacement therapy were excluded.</w:t>
      </w:r>
    </w:p>
    <w:p w14:paraId="379A9FC9" w14:textId="52EDC4A0" w:rsidR="00A72573" w:rsidRPr="001D6041" w:rsidRDefault="00A72573" w:rsidP="006D1B06">
      <w:pPr>
        <w:spacing w:line="360" w:lineRule="auto"/>
        <w:rPr>
          <w:rFonts w:ascii="Arial" w:hAnsi="Arial" w:cs="Arial"/>
          <w:b/>
          <w:bCs/>
          <w:sz w:val="20"/>
          <w:szCs w:val="20"/>
        </w:rPr>
      </w:pPr>
      <w:r w:rsidRPr="001D6041">
        <w:rPr>
          <w:rFonts w:ascii="Arial" w:hAnsi="Arial" w:cs="Arial"/>
          <w:b/>
          <w:bCs/>
          <w:sz w:val="20"/>
          <w:szCs w:val="20"/>
        </w:rPr>
        <w:t>Data Collection</w:t>
      </w:r>
    </w:p>
    <w:p w14:paraId="41F0AB3A" w14:textId="77777777"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t>Demographic data, medical history (including hypertension and diabetes), and urinalysis findings (proteinuria, haematuria) were obtained. Anthropometric measurements were taken following standard protocols. Body mass index (BMI) was calculated as weight in kilograms divided by height in meters squared, and waist–hip ratio was derived from waist and hip circumferences. Random blood sugar levels were also measured.</w:t>
      </w:r>
    </w:p>
    <w:p w14:paraId="48E5954E" w14:textId="23E0777B"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t xml:space="preserve">Venous blood samples were collected for serum creatinine estimation, and the estimated glomerular filtration rate (eGFR) was calculated using the Chronic Kidney Disease Epidemiology Collaboration (CKD-EPI) equation, expressed in mL/min/1.73 m². eGFR was treated as a continuous variable </w:t>
      </w:r>
      <w:r w:rsidR="00CF4A14">
        <w:rPr>
          <w:rFonts w:ascii="Arial" w:hAnsi="Arial" w:cs="Arial"/>
          <w:sz w:val="20"/>
          <w:szCs w:val="20"/>
        </w:rPr>
        <w:t>for the correlation, and categorized into &lt;60</w:t>
      </w:r>
      <w:r w:rsidR="00CF4A14" w:rsidRPr="00CF4A14">
        <w:rPr>
          <w:rFonts w:ascii="Arial" w:hAnsi="Arial" w:cs="Arial"/>
          <w:sz w:val="20"/>
          <w:szCs w:val="20"/>
        </w:rPr>
        <w:t xml:space="preserve"> </w:t>
      </w:r>
      <w:r w:rsidR="00CF4A14" w:rsidRPr="001D6041">
        <w:rPr>
          <w:rFonts w:ascii="Arial" w:hAnsi="Arial" w:cs="Arial"/>
          <w:sz w:val="20"/>
          <w:szCs w:val="20"/>
        </w:rPr>
        <w:t>mL/min/1.73 m²</w:t>
      </w:r>
      <w:r w:rsidR="00CF4A14">
        <w:rPr>
          <w:rFonts w:ascii="Arial" w:hAnsi="Arial" w:cs="Arial"/>
          <w:sz w:val="20"/>
          <w:szCs w:val="20"/>
        </w:rPr>
        <w:t xml:space="preserve"> for reduced eGFR and ≥60</w:t>
      </w:r>
      <w:r w:rsidR="00CF4A14" w:rsidRPr="00CF4A14">
        <w:rPr>
          <w:rFonts w:ascii="Arial" w:hAnsi="Arial" w:cs="Arial"/>
          <w:sz w:val="20"/>
          <w:szCs w:val="20"/>
        </w:rPr>
        <w:t xml:space="preserve"> </w:t>
      </w:r>
      <w:r w:rsidR="00CF4A14" w:rsidRPr="001D6041">
        <w:rPr>
          <w:rFonts w:ascii="Arial" w:hAnsi="Arial" w:cs="Arial"/>
          <w:sz w:val="20"/>
          <w:szCs w:val="20"/>
        </w:rPr>
        <w:t>mL/min/1.73 m²</w:t>
      </w:r>
      <w:r w:rsidR="00CF4A14">
        <w:rPr>
          <w:rFonts w:ascii="Arial" w:hAnsi="Arial" w:cs="Arial"/>
          <w:sz w:val="20"/>
          <w:szCs w:val="20"/>
        </w:rPr>
        <w:t xml:space="preserve"> for normal renal function.</w:t>
      </w:r>
    </w:p>
    <w:p w14:paraId="2A9DA4E2" w14:textId="77777777" w:rsidR="00A72573" w:rsidRPr="001D6041" w:rsidRDefault="00A72573" w:rsidP="006D1B06">
      <w:pPr>
        <w:spacing w:line="360" w:lineRule="auto"/>
        <w:rPr>
          <w:rFonts w:ascii="Arial" w:hAnsi="Arial" w:cs="Arial"/>
          <w:b/>
          <w:bCs/>
          <w:sz w:val="20"/>
          <w:szCs w:val="20"/>
        </w:rPr>
      </w:pPr>
      <w:r w:rsidRPr="001D6041">
        <w:rPr>
          <w:rFonts w:ascii="Arial" w:hAnsi="Arial" w:cs="Arial"/>
          <w:b/>
          <w:bCs/>
          <w:sz w:val="20"/>
          <w:szCs w:val="20"/>
        </w:rPr>
        <w:t>Data Analysis</w:t>
      </w:r>
    </w:p>
    <w:p w14:paraId="7CCB39E1" w14:textId="29B9A859"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t xml:space="preserve">Data were analyzed using IBM SPSS version </w:t>
      </w:r>
      <w:r w:rsidR="006C3508">
        <w:rPr>
          <w:rFonts w:ascii="Arial" w:hAnsi="Arial" w:cs="Arial"/>
          <w:sz w:val="20"/>
          <w:szCs w:val="20"/>
        </w:rPr>
        <w:t>27</w:t>
      </w:r>
      <w:r w:rsidRPr="001D6041">
        <w:rPr>
          <w:rFonts w:ascii="Arial" w:hAnsi="Arial" w:cs="Arial"/>
          <w:sz w:val="20"/>
          <w:szCs w:val="20"/>
        </w:rPr>
        <w:t xml:space="preserve">. Continuous variables were presented as means with standard deviations, and categorical variables as frequencies and percentages. Differences in mean eGFR </w:t>
      </w:r>
      <w:r w:rsidRPr="001D6041">
        <w:rPr>
          <w:rFonts w:ascii="Arial" w:hAnsi="Arial" w:cs="Arial"/>
          <w:sz w:val="20"/>
          <w:szCs w:val="20"/>
        </w:rPr>
        <w:lastRenderedPageBreak/>
        <w:t xml:space="preserve">across age groups, gender, and clinical subgroups (hypertension, diabetes, proteinuria, haematuria) were assessed using independent t-tests or one-way ANOVA as appropriate. Pearson’s correlation was used to evaluate relationships between continuous variables, including BMI, waist–hip ratio, random blood sugar, and eGFR. </w:t>
      </w:r>
      <w:r w:rsidR="00CF4A14">
        <w:rPr>
          <w:rFonts w:ascii="Arial" w:hAnsi="Arial" w:cs="Arial"/>
          <w:sz w:val="20"/>
          <w:szCs w:val="20"/>
        </w:rPr>
        <w:t xml:space="preserve">Multiple regression was done using variables which were significant from the prior tests to compute the model. </w:t>
      </w:r>
      <w:r w:rsidRPr="001D6041">
        <w:rPr>
          <w:rFonts w:ascii="Arial" w:hAnsi="Arial" w:cs="Arial"/>
          <w:sz w:val="20"/>
          <w:szCs w:val="20"/>
        </w:rPr>
        <w:t xml:space="preserve">A </w:t>
      </w:r>
      <w:r w:rsidR="004B0D8C">
        <w:rPr>
          <w:rFonts w:ascii="Arial" w:hAnsi="Arial" w:cs="Arial"/>
          <w:sz w:val="20"/>
          <w:szCs w:val="20"/>
        </w:rPr>
        <w:t>P</w:t>
      </w:r>
      <w:r w:rsidRPr="001D6041">
        <w:rPr>
          <w:rFonts w:ascii="Arial" w:hAnsi="Arial" w:cs="Arial"/>
          <w:sz w:val="20"/>
          <w:szCs w:val="20"/>
        </w:rPr>
        <w:t>-value less than 0.05 was considered statistically significant.</w:t>
      </w:r>
      <w:r w:rsidR="00CF4A14">
        <w:rPr>
          <w:rFonts w:ascii="Arial" w:hAnsi="Arial" w:cs="Arial"/>
          <w:sz w:val="20"/>
          <w:szCs w:val="20"/>
        </w:rPr>
        <w:t xml:space="preserve"> </w:t>
      </w:r>
    </w:p>
    <w:p w14:paraId="658386C5" w14:textId="77777777" w:rsidR="004758D3" w:rsidRDefault="004758D3" w:rsidP="006D1B06">
      <w:pPr>
        <w:spacing w:line="360" w:lineRule="auto"/>
        <w:rPr>
          <w:rFonts w:ascii="Arial" w:hAnsi="Arial" w:cs="Arial"/>
          <w:b/>
          <w:bCs/>
          <w:sz w:val="20"/>
          <w:szCs w:val="20"/>
        </w:rPr>
      </w:pPr>
    </w:p>
    <w:p w14:paraId="1B786D65" w14:textId="1F8B460E" w:rsidR="00A72573" w:rsidRPr="001D6041" w:rsidRDefault="00A72573" w:rsidP="006D1B06">
      <w:pPr>
        <w:spacing w:line="360" w:lineRule="auto"/>
        <w:rPr>
          <w:rFonts w:ascii="Arial" w:hAnsi="Arial" w:cs="Arial"/>
          <w:b/>
          <w:bCs/>
          <w:sz w:val="20"/>
          <w:szCs w:val="20"/>
        </w:rPr>
      </w:pPr>
      <w:r w:rsidRPr="001D6041">
        <w:rPr>
          <w:rFonts w:ascii="Arial" w:hAnsi="Arial" w:cs="Arial"/>
          <w:b/>
          <w:bCs/>
          <w:sz w:val="20"/>
          <w:szCs w:val="20"/>
        </w:rPr>
        <w:t xml:space="preserve">Ethical </w:t>
      </w:r>
      <w:r w:rsidR="00DC3BBB">
        <w:rPr>
          <w:rFonts w:ascii="Arial" w:hAnsi="Arial" w:cs="Arial"/>
          <w:b/>
          <w:bCs/>
          <w:sz w:val="20"/>
          <w:szCs w:val="20"/>
        </w:rPr>
        <w:t>Approval</w:t>
      </w:r>
    </w:p>
    <w:p w14:paraId="76096A85" w14:textId="77777777"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t>Ethical approval was obtained from the Research and Ethics Committee of UBTH. Written informed consent was secured from all participants prior to data collection. Confidentiality and privacy were maintained throughout the study.</w:t>
      </w:r>
    </w:p>
    <w:p w14:paraId="7D3B89A6" w14:textId="77777777" w:rsidR="006D1B06" w:rsidRPr="009B7BE3" w:rsidRDefault="006D1B06">
      <w:pPr>
        <w:rPr>
          <w:rFonts w:ascii="Arial" w:hAnsi="Arial" w:cs="Arial"/>
          <w:b/>
          <w:bCs/>
        </w:rPr>
      </w:pPr>
    </w:p>
    <w:p w14:paraId="577AC010" w14:textId="28AE34C1" w:rsidR="00857032" w:rsidRDefault="00857032" w:rsidP="000A0CEA">
      <w:pPr>
        <w:rPr>
          <w:rFonts w:ascii="Arial" w:hAnsi="Arial" w:cs="Arial"/>
          <w:b/>
          <w:bCs/>
          <w:sz w:val="22"/>
        </w:rPr>
      </w:pPr>
      <w:r w:rsidRPr="000A0CEA">
        <w:rPr>
          <w:rFonts w:ascii="Arial" w:hAnsi="Arial" w:cs="Arial"/>
          <w:b/>
          <w:bCs/>
          <w:sz w:val="22"/>
        </w:rPr>
        <w:t>RESULTS</w:t>
      </w:r>
    </w:p>
    <w:p w14:paraId="44F0A6CD" w14:textId="44858C07" w:rsidR="00CF4A14" w:rsidRDefault="00CF4A14" w:rsidP="000A0CEA">
      <w:pPr>
        <w:rPr>
          <w:rFonts w:ascii="Arial" w:hAnsi="Arial" w:cs="Arial"/>
          <w:b/>
          <w:bCs/>
          <w:sz w:val="22"/>
        </w:rPr>
      </w:pPr>
      <w:r>
        <w:rPr>
          <w:rFonts w:ascii="Arial" w:hAnsi="Arial" w:cs="Arial"/>
          <w:b/>
          <w:bCs/>
          <w:sz w:val="22"/>
        </w:rPr>
        <w:t>Prevalence of reduced eGFR (Figure 1)</w:t>
      </w:r>
    </w:p>
    <w:p w14:paraId="53EA1FE6" w14:textId="57D6A5A0" w:rsidR="00CF4A14" w:rsidRPr="000A0CEA" w:rsidRDefault="00CF4A14" w:rsidP="000A0CEA">
      <w:pPr>
        <w:rPr>
          <w:rFonts w:ascii="Arial" w:hAnsi="Arial" w:cs="Arial"/>
          <w:b/>
          <w:bCs/>
          <w:sz w:val="22"/>
        </w:rPr>
      </w:pPr>
      <w:r w:rsidRPr="001039D7">
        <w:rPr>
          <w:rFonts w:ascii="Arial" w:hAnsi="Arial" w:cs="Arial"/>
          <w:sz w:val="22"/>
        </w:rPr>
        <w:t>Among the 213 participants, 69 (32.4%) had an estimated glomerular filtration rate (eGFR) below 60 mL/min/1.73 m², indicating impaired kidney function, while 144 (67.6%) had eGFR values above 60 mL/min/1.73 m²</w:t>
      </w:r>
      <w:r>
        <w:rPr>
          <w:rFonts w:ascii="Arial" w:hAnsi="Arial" w:cs="Arial"/>
          <w:sz w:val="22"/>
        </w:rPr>
        <w:t>,</w:t>
      </w:r>
    </w:p>
    <w:p w14:paraId="64F81541" w14:textId="77777777" w:rsidR="00CF4A14" w:rsidRPr="000A0CEA" w:rsidRDefault="00CF4A14" w:rsidP="00CF4A14">
      <w:pPr>
        <w:spacing w:line="360" w:lineRule="auto"/>
        <w:rPr>
          <w:rFonts w:ascii="Arial" w:hAnsi="Arial" w:cs="Arial"/>
          <w:b/>
          <w:bCs/>
          <w:sz w:val="20"/>
          <w:szCs w:val="20"/>
        </w:rPr>
      </w:pPr>
      <w:r w:rsidRPr="000A0CEA">
        <w:rPr>
          <w:rFonts w:ascii="Arial" w:hAnsi="Arial" w:cs="Arial"/>
          <w:b/>
          <w:bCs/>
          <w:sz w:val="20"/>
          <w:szCs w:val="20"/>
        </w:rPr>
        <w:t xml:space="preserve">Association Between eGFR, Age, and Gender (Table 1 and Figure </w:t>
      </w:r>
      <w:r>
        <w:rPr>
          <w:rFonts w:ascii="Arial" w:hAnsi="Arial" w:cs="Arial"/>
          <w:b/>
          <w:bCs/>
          <w:sz w:val="20"/>
          <w:szCs w:val="20"/>
        </w:rPr>
        <w:t>2</w:t>
      </w:r>
      <w:r w:rsidRPr="000A0CEA">
        <w:rPr>
          <w:rFonts w:ascii="Arial" w:hAnsi="Arial" w:cs="Arial"/>
          <w:b/>
          <w:bCs/>
          <w:sz w:val="20"/>
          <w:szCs w:val="20"/>
        </w:rPr>
        <w:t>)</w:t>
      </w:r>
    </w:p>
    <w:p w14:paraId="1C543FCC" w14:textId="77777777" w:rsidR="00CF4A14" w:rsidRPr="000A0CEA" w:rsidRDefault="00CF4A14" w:rsidP="00CF4A14">
      <w:pPr>
        <w:spacing w:line="360" w:lineRule="auto"/>
        <w:rPr>
          <w:rFonts w:ascii="Arial" w:hAnsi="Arial" w:cs="Arial"/>
          <w:sz w:val="20"/>
          <w:szCs w:val="20"/>
        </w:rPr>
      </w:pPr>
      <w:r w:rsidRPr="000A0CEA">
        <w:rPr>
          <w:rFonts w:ascii="Arial" w:hAnsi="Arial" w:cs="Arial"/>
          <w:sz w:val="20"/>
          <w:szCs w:val="20"/>
        </w:rPr>
        <w:t xml:space="preserve">The mean estimated glomerular filtration rate (eGFR) varied significantly across age groups. Participants aged ≤40 years had the highest mean eGFR (104.46 ± 30.1 mL/min/1.73 m²), followed by those aged 41–50 years (101.82 ± 30.2 mL/min/1.73 m²). A marked decline in eGFR was observed among individuals aged 51–60 years (85.97 ± 24.4 mL/min/1.73 m²) and those above 60 years (80.48 ± 21.4 mL/min/1.73 m²). This downward trend in kidney function with increasing age was statistically significant (F = 5.941, </w:t>
      </w:r>
      <w:r>
        <w:rPr>
          <w:rFonts w:ascii="Arial" w:hAnsi="Arial" w:cs="Arial"/>
          <w:sz w:val="20"/>
          <w:szCs w:val="20"/>
        </w:rPr>
        <w:t>P &lt;</w:t>
      </w:r>
      <w:r w:rsidRPr="000A0CEA">
        <w:rPr>
          <w:rFonts w:ascii="Arial" w:hAnsi="Arial" w:cs="Arial"/>
          <w:sz w:val="20"/>
          <w:szCs w:val="20"/>
        </w:rPr>
        <w:t xml:space="preserve"> .01).</w:t>
      </w:r>
    </w:p>
    <w:p w14:paraId="67203F23" w14:textId="77777777" w:rsidR="00CF4A14" w:rsidRPr="000A0CEA" w:rsidRDefault="00CF4A14" w:rsidP="00CF4A14">
      <w:pPr>
        <w:spacing w:line="360" w:lineRule="auto"/>
        <w:rPr>
          <w:rFonts w:ascii="Arial" w:hAnsi="Arial" w:cs="Arial"/>
          <w:sz w:val="20"/>
          <w:szCs w:val="20"/>
        </w:rPr>
      </w:pPr>
      <w:r w:rsidRPr="000A0CEA">
        <w:rPr>
          <w:rFonts w:ascii="Arial" w:hAnsi="Arial" w:cs="Arial"/>
          <w:sz w:val="20"/>
          <w:szCs w:val="20"/>
        </w:rPr>
        <w:t xml:space="preserve">In contrast, no statistically significant difference in mean eGFR was observed between males and females. The mean eGFR among male participants was 95.26 ± 27.4 mL/min/1.73 m², compared to 95.58 ± 29.0 mL/min/1.73 m² in females (t = -0.116, </w:t>
      </w:r>
      <w:r>
        <w:rPr>
          <w:rFonts w:ascii="Arial" w:hAnsi="Arial" w:cs="Arial"/>
          <w:sz w:val="20"/>
          <w:szCs w:val="20"/>
        </w:rPr>
        <w:t>P =</w:t>
      </w:r>
      <w:r w:rsidRPr="000A0CEA">
        <w:rPr>
          <w:rFonts w:ascii="Arial" w:hAnsi="Arial" w:cs="Arial"/>
          <w:sz w:val="20"/>
          <w:szCs w:val="20"/>
        </w:rPr>
        <w:t xml:space="preserve"> .9</w:t>
      </w:r>
      <w:r>
        <w:rPr>
          <w:rFonts w:ascii="Arial" w:hAnsi="Arial" w:cs="Arial"/>
          <w:sz w:val="20"/>
          <w:szCs w:val="20"/>
        </w:rPr>
        <w:t>1</w:t>
      </w:r>
      <w:r w:rsidRPr="000A0CEA">
        <w:rPr>
          <w:rFonts w:ascii="Arial" w:hAnsi="Arial" w:cs="Arial"/>
          <w:sz w:val="20"/>
          <w:szCs w:val="20"/>
        </w:rPr>
        <w:t>),</w:t>
      </w:r>
    </w:p>
    <w:p w14:paraId="5B230D3C" w14:textId="77777777" w:rsidR="00CF4A14" w:rsidRPr="000A0CEA" w:rsidRDefault="00CF4A14" w:rsidP="00CF4A14">
      <w:pPr>
        <w:spacing w:line="360" w:lineRule="auto"/>
        <w:rPr>
          <w:rFonts w:ascii="Arial" w:hAnsi="Arial" w:cs="Arial"/>
          <w:b/>
          <w:bCs/>
          <w:sz w:val="20"/>
          <w:szCs w:val="20"/>
        </w:rPr>
      </w:pPr>
      <w:r w:rsidRPr="000A0CEA">
        <w:rPr>
          <w:rFonts w:ascii="Arial" w:hAnsi="Arial" w:cs="Arial"/>
          <w:b/>
          <w:bCs/>
          <w:sz w:val="20"/>
          <w:szCs w:val="20"/>
        </w:rPr>
        <w:t xml:space="preserve">Correlation Between Key Clinical Parameters (Figure </w:t>
      </w:r>
      <w:r>
        <w:rPr>
          <w:rFonts w:ascii="Arial" w:hAnsi="Arial" w:cs="Arial"/>
          <w:b/>
          <w:bCs/>
          <w:sz w:val="20"/>
          <w:szCs w:val="20"/>
        </w:rPr>
        <w:t>3</w:t>
      </w:r>
      <w:r w:rsidRPr="000A0CEA">
        <w:rPr>
          <w:rFonts w:ascii="Arial" w:hAnsi="Arial" w:cs="Arial"/>
          <w:b/>
          <w:bCs/>
          <w:sz w:val="20"/>
          <w:szCs w:val="20"/>
        </w:rPr>
        <w:t>)</w:t>
      </w:r>
    </w:p>
    <w:p w14:paraId="6ABFA9BC" w14:textId="77777777" w:rsidR="00CF4A14" w:rsidRDefault="00CF4A14" w:rsidP="00CF4A14">
      <w:pPr>
        <w:spacing w:line="360" w:lineRule="auto"/>
        <w:rPr>
          <w:rFonts w:ascii="Arial" w:hAnsi="Arial" w:cs="Arial"/>
          <w:sz w:val="20"/>
          <w:szCs w:val="20"/>
        </w:rPr>
      </w:pPr>
      <w:r w:rsidRPr="000A0CEA">
        <w:rPr>
          <w:rFonts w:ascii="Arial" w:hAnsi="Arial" w:cs="Arial"/>
          <w:sz w:val="20"/>
          <w:szCs w:val="20"/>
        </w:rPr>
        <w:t xml:space="preserve">Significant positive correlations were observed between waist–hip ratio and random blood sugar (r = 0.172, </w:t>
      </w:r>
      <w:r>
        <w:rPr>
          <w:rFonts w:ascii="Arial" w:hAnsi="Arial" w:cs="Arial"/>
          <w:sz w:val="20"/>
          <w:szCs w:val="20"/>
        </w:rPr>
        <w:t>P =</w:t>
      </w:r>
      <w:r w:rsidRPr="000A0CEA">
        <w:rPr>
          <w:rFonts w:ascii="Arial" w:hAnsi="Arial" w:cs="Arial"/>
          <w:sz w:val="20"/>
          <w:szCs w:val="20"/>
        </w:rPr>
        <w:t xml:space="preserve"> .</w:t>
      </w:r>
      <w:r>
        <w:rPr>
          <w:rFonts w:ascii="Arial" w:hAnsi="Arial" w:cs="Arial"/>
          <w:sz w:val="20"/>
          <w:szCs w:val="20"/>
        </w:rPr>
        <w:t>02</w:t>
      </w:r>
      <w:r w:rsidRPr="000A0CEA">
        <w:rPr>
          <w:rFonts w:ascii="Arial" w:hAnsi="Arial" w:cs="Arial"/>
          <w:sz w:val="20"/>
          <w:szCs w:val="20"/>
        </w:rPr>
        <w:t xml:space="preserve">), as well as waist–hip ratio and body mass index (r = 0.269, </w:t>
      </w:r>
      <w:r>
        <w:rPr>
          <w:rFonts w:ascii="Arial" w:hAnsi="Arial" w:cs="Arial"/>
          <w:sz w:val="20"/>
          <w:szCs w:val="20"/>
        </w:rPr>
        <w:t>P &lt;</w:t>
      </w:r>
      <w:r w:rsidRPr="000A0CEA">
        <w:rPr>
          <w:rFonts w:ascii="Arial" w:hAnsi="Arial" w:cs="Arial"/>
          <w:sz w:val="20"/>
          <w:szCs w:val="20"/>
        </w:rPr>
        <w:t xml:space="preserve"> .01). Waist–hip ratio also showed a significant negative correlation with estimated glomerular filtration rate (r = –0.203, </w:t>
      </w:r>
      <w:r>
        <w:rPr>
          <w:rFonts w:ascii="Arial" w:hAnsi="Arial" w:cs="Arial"/>
          <w:sz w:val="20"/>
          <w:szCs w:val="20"/>
        </w:rPr>
        <w:t>P =</w:t>
      </w:r>
      <w:r w:rsidRPr="000A0CEA">
        <w:rPr>
          <w:rFonts w:ascii="Arial" w:hAnsi="Arial" w:cs="Arial"/>
          <w:sz w:val="20"/>
          <w:szCs w:val="20"/>
        </w:rPr>
        <w:t xml:space="preserve"> .02). Similarly, estimated glomerular filtration rate was negatively correlated with body mass index (r = –0.169, </w:t>
      </w:r>
      <w:r>
        <w:rPr>
          <w:rFonts w:ascii="Arial" w:hAnsi="Arial" w:cs="Arial"/>
          <w:sz w:val="20"/>
          <w:szCs w:val="20"/>
        </w:rPr>
        <w:t>P =</w:t>
      </w:r>
      <w:r w:rsidRPr="000A0CEA">
        <w:rPr>
          <w:rFonts w:ascii="Arial" w:hAnsi="Arial" w:cs="Arial"/>
          <w:sz w:val="20"/>
          <w:szCs w:val="20"/>
        </w:rPr>
        <w:t xml:space="preserve"> 0.049). However, random blood sugar showed no statistically significant correlation with either estimated glomerular filtration rate (r = –0.162, </w:t>
      </w:r>
      <w:r>
        <w:rPr>
          <w:rFonts w:ascii="Arial" w:hAnsi="Arial" w:cs="Arial"/>
          <w:sz w:val="20"/>
          <w:szCs w:val="20"/>
        </w:rPr>
        <w:t>P =</w:t>
      </w:r>
      <w:r w:rsidRPr="000A0CEA">
        <w:rPr>
          <w:rFonts w:ascii="Arial" w:hAnsi="Arial" w:cs="Arial"/>
          <w:sz w:val="20"/>
          <w:szCs w:val="20"/>
        </w:rPr>
        <w:t xml:space="preserve"> 0.06) or body mass index (r = 0.034, </w:t>
      </w:r>
      <w:r>
        <w:rPr>
          <w:rFonts w:ascii="Arial" w:hAnsi="Arial" w:cs="Arial"/>
          <w:sz w:val="20"/>
          <w:szCs w:val="20"/>
        </w:rPr>
        <w:t>P =</w:t>
      </w:r>
      <w:r w:rsidRPr="000A0CEA">
        <w:rPr>
          <w:rFonts w:ascii="Arial" w:hAnsi="Arial" w:cs="Arial"/>
          <w:sz w:val="20"/>
          <w:szCs w:val="20"/>
        </w:rPr>
        <w:t xml:space="preserve"> </w:t>
      </w:r>
      <w:r>
        <w:rPr>
          <w:rFonts w:ascii="Arial" w:hAnsi="Arial" w:cs="Arial"/>
          <w:sz w:val="20"/>
          <w:szCs w:val="20"/>
        </w:rPr>
        <w:t>.</w:t>
      </w:r>
      <w:r w:rsidRPr="000A0CEA">
        <w:rPr>
          <w:rFonts w:ascii="Arial" w:hAnsi="Arial" w:cs="Arial"/>
          <w:sz w:val="20"/>
          <w:szCs w:val="20"/>
        </w:rPr>
        <w:t>6</w:t>
      </w:r>
      <w:r>
        <w:rPr>
          <w:rFonts w:ascii="Arial" w:hAnsi="Arial" w:cs="Arial"/>
          <w:sz w:val="20"/>
          <w:szCs w:val="20"/>
        </w:rPr>
        <w:t>4</w:t>
      </w:r>
      <w:r w:rsidRPr="000A0CEA">
        <w:rPr>
          <w:rFonts w:ascii="Arial" w:hAnsi="Arial" w:cs="Arial"/>
          <w:sz w:val="20"/>
          <w:szCs w:val="20"/>
        </w:rPr>
        <w:t>).</w:t>
      </w:r>
    </w:p>
    <w:p w14:paraId="55DF8390" w14:textId="77777777" w:rsidR="00CF4A14" w:rsidRDefault="00CF4A14" w:rsidP="00CF4A14">
      <w:pPr>
        <w:spacing w:line="360" w:lineRule="auto"/>
        <w:rPr>
          <w:rFonts w:ascii="Arial" w:hAnsi="Arial" w:cs="Arial"/>
          <w:sz w:val="20"/>
          <w:szCs w:val="20"/>
        </w:rPr>
      </w:pPr>
    </w:p>
    <w:p w14:paraId="7AC70539" w14:textId="77777777" w:rsidR="00CF4A14" w:rsidRPr="000A0CEA" w:rsidRDefault="00CF4A14" w:rsidP="00CF4A14">
      <w:pPr>
        <w:spacing w:line="360" w:lineRule="auto"/>
        <w:rPr>
          <w:rFonts w:ascii="Arial" w:hAnsi="Arial" w:cs="Arial"/>
          <w:b/>
          <w:bCs/>
          <w:sz w:val="20"/>
          <w:szCs w:val="20"/>
        </w:rPr>
      </w:pPr>
      <w:r w:rsidRPr="000A0CEA">
        <w:rPr>
          <w:rFonts w:ascii="Arial" w:hAnsi="Arial" w:cs="Arial"/>
          <w:b/>
          <w:bCs/>
          <w:sz w:val="20"/>
          <w:szCs w:val="20"/>
        </w:rPr>
        <w:lastRenderedPageBreak/>
        <w:t xml:space="preserve">Association Between eGFR and Key Clinical Variables (Figure </w:t>
      </w:r>
      <w:r>
        <w:rPr>
          <w:rFonts w:ascii="Arial" w:hAnsi="Arial" w:cs="Arial"/>
          <w:b/>
          <w:bCs/>
          <w:sz w:val="20"/>
          <w:szCs w:val="20"/>
        </w:rPr>
        <w:t>4</w:t>
      </w:r>
      <w:r w:rsidRPr="000A0CEA">
        <w:rPr>
          <w:rFonts w:ascii="Arial" w:hAnsi="Arial" w:cs="Arial"/>
          <w:b/>
          <w:bCs/>
          <w:sz w:val="20"/>
          <w:szCs w:val="20"/>
        </w:rPr>
        <w:t>)</w:t>
      </w:r>
    </w:p>
    <w:p w14:paraId="40205AB6" w14:textId="77777777" w:rsidR="00CF4A14" w:rsidRPr="000A0CEA" w:rsidRDefault="00CF4A14" w:rsidP="00CF4A14">
      <w:pPr>
        <w:spacing w:line="360" w:lineRule="auto"/>
        <w:rPr>
          <w:rFonts w:ascii="Arial" w:hAnsi="Arial" w:cs="Arial"/>
          <w:sz w:val="20"/>
          <w:szCs w:val="20"/>
        </w:rPr>
      </w:pPr>
      <w:r w:rsidRPr="000A0CEA">
        <w:rPr>
          <w:rFonts w:ascii="Arial" w:hAnsi="Arial" w:cs="Arial"/>
          <w:sz w:val="20"/>
          <w:szCs w:val="20"/>
        </w:rPr>
        <w:t>Participants with a history of diabetes mellitus had a lower mean estimated glomerular filtration rate (83.43 ± 25.0 mL/min/1.73 m²) compared to those without diabetes (96.23 ± 29.2 mL/min/1.73 m²); however, this difference was not statistically significant (</w:t>
      </w:r>
      <w:r>
        <w:rPr>
          <w:rFonts w:ascii="Arial" w:hAnsi="Arial" w:cs="Arial"/>
          <w:sz w:val="20"/>
          <w:szCs w:val="20"/>
        </w:rPr>
        <w:t>P =</w:t>
      </w:r>
      <w:r w:rsidRPr="000A0CEA">
        <w:rPr>
          <w:rFonts w:ascii="Arial" w:hAnsi="Arial" w:cs="Arial"/>
          <w:sz w:val="20"/>
          <w:szCs w:val="20"/>
        </w:rPr>
        <w:t xml:space="preserve"> </w:t>
      </w:r>
      <w:r>
        <w:rPr>
          <w:rFonts w:ascii="Arial" w:hAnsi="Arial" w:cs="Arial"/>
          <w:sz w:val="20"/>
          <w:szCs w:val="20"/>
        </w:rPr>
        <w:t>.26</w:t>
      </w:r>
      <w:r w:rsidRPr="000A0CEA">
        <w:rPr>
          <w:rFonts w:ascii="Arial" w:hAnsi="Arial" w:cs="Arial"/>
          <w:sz w:val="20"/>
          <w:szCs w:val="20"/>
        </w:rPr>
        <w:t>).</w:t>
      </w:r>
    </w:p>
    <w:p w14:paraId="3444CD76" w14:textId="77777777" w:rsidR="00CF4A14" w:rsidRPr="000A0CEA" w:rsidRDefault="00CF4A14" w:rsidP="00CF4A14">
      <w:pPr>
        <w:spacing w:line="360" w:lineRule="auto"/>
        <w:rPr>
          <w:rFonts w:ascii="Arial" w:hAnsi="Arial" w:cs="Arial"/>
          <w:sz w:val="20"/>
          <w:szCs w:val="20"/>
        </w:rPr>
      </w:pPr>
      <w:r w:rsidRPr="000A0CEA">
        <w:rPr>
          <w:rFonts w:ascii="Arial" w:hAnsi="Arial" w:cs="Arial"/>
          <w:sz w:val="20"/>
          <w:szCs w:val="20"/>
        </w:rPr>
        <w:t>Those with a history of hypertension also had a lower mean estimated glomerular filtration rate (89.00 ± 21.6 mL/min/1.73 m²) than their normotensive counterparts (97.83 ± 3</w:t>
      </w:r>
      <w:r>
        <w:rPr>
          <w:rFonts w:ascii="Arial" w:hAnsi="Arial" w:cs="Arial"/>
          <w:sz w:val="20"/>
          <w:szCs w:val="20"/>
        </w:rPr>
        <w:t>.</w:t>
      </w:r>
      <w:r w:rsidRPr="000A0CEA">
        <w:rPr>
          <w:rFonts w:ascii="Arial" w:hAnsi="Arial" w:cs="Arial"/>
          <w:sz w:val="20"/>
          <w:szCs w:val="20"/>
        </w:rPr>
        <w:t>9 mL/min/1.73 m²). This difference approached statistical significance (</w:t>
      </w:r>
      <w:r>
        <w:rPr>
          <w:rFonts w:ascii="Arial" w:hAnsi="Arial" w:cs="Arial"/>
          <w:sz w:val="20"/>
          <w:szCs w:val="20"/>
        </w:rPr>
        <w:t>P =</w:t>
      </w:r>
      <w:r w:rsidRPr="000A0CEA">
        <w:rPr>
          <w:rFonts w:ascii="Arial" w:hAnsi="Arial" w:cs="Arial"/>
          <w:sz w:val="20"/>
          <w:szCs w:val="20"/>
        </w:rPr>
        <w:t xml:space="preserve"> </w:t>
      </w:r>
      <w:r>
        <w:rPr>
          <w:rFonts w:ascii="Arial" w:hAnsi="Arial" w:cs="Arial"/>
          <w:sz w:val="20"/>
          <w:szCs w:val="20"/>
        </w:rPr>
        <w:t>.07</w:t>
      </w:r>
      <w:r w:rsidRPr="000A0CEA">
        <w:rPr>
          <w:rFonts w:ascii="Arial" w:hAnsi="Arial" w:cs="Arial"/>
          <w:sz w:val="20"/>
          <w:szCs w:val="20"/>
        </w:rPr>
        <w:t>).</w:t>
      </w:r>
    </w:p>
    <w:p w14:paraId="4E8AFD6F" w14:textId="77777777" w:rsidR="00CF4A14" w:rsidRPr="000A0CEA" w:rsidRDefault="00CF4A14" w:rsidP="00CF4A14">
      <w:pPr>
        <w:spacing w:line="360" w:lineRule="auto"/>
        <w:rPr>
          <w:rFonts w:ascii="Arial" w:hAnsi="Arial" w:cs="Arial"/>
          <w:sz w:val="20"/>
          <w:szCs w:val="20"/>
        </w:rPr>
      </w:pPr>
      <w:r w:rsidRPr="000A0CEA">
        <w:rPr>
          <w:rFonts w:ascii="Arial" w:hAnsi="Arial" w:cs="Arial"/>
          <w:sz w:val="20"/>
          <w:szCs w:val="20"/>
        </w:rPr>
        <w:t>Participants with proteinuria had a slightly lower mean estimated glomerular filtration rate (86.63 ± 2</w:t>
      </w:r>
      <w:r>
        <w:rPr>
          <w:rFonts w:ascii="Arial" w:hAnsi="Arial" w:cs="Arial"/>
          <w:sz w:val="20"/>
          <w:szCs w:val="20"/>
        </w:rPr>
        <w:t>.</w:t>
      </w:r>
      <w:r w:rsidRPr="000A0CEA">
        <w:rPr>
          <w:rFonts w:ascii="Arial" w:hAnsi="Arial" w:cs="Arial"/>
          <w:sz w:val="20"/>
          <w:szCs w:val="20"/>
        </w:rPr>
        <w:t>5 mL/min/1.73 m²) compared to those without proteinuria (96.13 ± 29.5 mL/min/1.73 m²), though this difference was not statistically significant (</w:t>
      </w:r>
      <w:r>
        <w:rPr>
          <w:rFonts w:ascii="Arial" w:hAnsi="Arial" w:cs="Arial"/>
          <w:sz w:val="20"/>
          <w:szCs w:val="20"/>
        </w:rPr>
        <w:t>P =</w:t>
      </w:r>
      <w:r w:rsidRPr="000A0CEA">
        <w:rPr>
          <w:rFonts w:ascii="Arial" w:hAnsi="Arial" w:cs="Arial"/>
          <w:sz w:val="20"/>
          <w:szCs w:val="20"/>
        </w:rPr>
        <w:t xml:space="preserve"> </w:t>
      </w:r>
      <w:r>
        <w:rPr>
          <w:rFonts w:ascii="Arial" w:hAnsi="Arial" w:cs="Arial"/>
          <w:sz w:val="20"/>
          <w:szCs w:val="20"/>
        </w:rPr>
        <w:t>.37</w:t>
      </w:r>
      <w:r w:rsidRPr="000A0CEA">
        <w:rPr>
          <w:rFonts w:ascii="Arial" w:hAnsi="Arial" w:cs="Arial"/>
          <w:sz w:val="20"/>
          <w:szCs w:val="20"/>
        </w:rPr>
        <w:t>).</w:t>
      </w:r>
    </w:p>
    <w:p w14:paraId="452975CC" w14:textId="3C982958" w:rsidR="00CF4A14" w:rsidRDefault="00CF4A14" w:rsidP="00CF4A14">
      <w:pPr>
        <w:spacing w:line="360" w:lineRule="auto"/>
        <w:rPr>
          <w:rFonts w:ascii="Arial" w:hAnsi="Arial" w:cs="Arial"/>
          <w:sz w:val="20"/>
          <w:szCs w:val="20"/>
        </w:rPr>
      </w:pPr>
      <w:r w:rsidRPr="000A0CEA">
        <w:rPr>
          <w:rFonts w:ascii="Arial" w:hAnsi="Arial" w:cs="Arial"/>
          <w:sz w:val="20"/>
          <w:szCs w:val="20"/>
        </w:rPr>
        <w:t>However, the presence of haematuria was significantly associated with lower kidney function. Participants with haematuria had a mean estimated glomerular filtration rate of 76.67 ± 21.0 mL/min/1.73 m² compared to 96.91 ± 29.1 mL/min/1.73 m² among those without haematuria (</w:t>
      </w:r>
      <w:r>
        <w:rPr>
          <w:rFonts w:ascii="Arial" w:hAnsi="Arial" w:cs="Arial"/>
          <w:sz w:val="20"/>
          <w:szCs w:val="20"/>
        </w:rPr>
        <w:t>P =</w:t>
      </w:r>
      <w:r w:rsidRPr="000A0CEA">
        <w:rPr>
          <w:rFonts w:ascii="Arial" w:hAnsi="Arial" w:cs="Arial"/>
          <w:sz w:val="20"/>
          <w:szCs w:val="20"/>
        </w:rPr>
        <w:t xml:space="preserve"> </w:t>
      </w:r>
      <w:r>
        <w:rPr>
          <w:rFonts w:ascii="Arial" w:hAnsi="Arial" w:cs="Arial"/>
          <w:sz w:val="20"/>
          <w:szCs w:val="20"/>
        </w:rPr>
        <w:t>.04</w:t>
      </w:r>
      <w:r w:rsidRPr="000A0CEA">
        <w:rPr>
          <w:rFonts w:ascii="Arial" w:hAnsi="Arial" w:cs="Arial"/>
          <w:sz w:val="20"/>
          <w:szCs w:val="20"/>
        </w:rPr>
        <w:t>).</w:t>
      </w:r>
    </w:p>
    <w:p w14:paraId="6298F138" w14:textId="77777777" w:rsidR="00CF4A14" w:rsidRPr="0094679D" w:rsidRDefault="00CF4A14" w:rsidP="00CF4A14">
      <w:pPr>
        <w:spacing w:line="360" w:lineRule="auto"/>
        <w:rPr>
          <w:rFonts w:ascii="Arial" w:hAnsi="Arial" w:cs="Arial"/>
          <w:sz w:val="20"/>
          <w:szCs w:val="20"/>
        </w:rPr>
      </w:pPr>
      <w:r>
        <w:rPr>
          <w:rFonts w:ascii="Arial" w:hAnsi="Arial" w:cs="Arial"/>
          <w:b/>
          <w:bCs/>
          <w:sz w:val="20"/>
          <w:szCs w:val="20"/>
        </w:rPr>
        <w:t>Predictors of reduced estimated glomerular filtration rate (Table 2)</w:t>
      </w:r>
    </w:p>
    <w:p w14:paraId="5AFCCB06" w14:textId="77777777" w:rsidR="00CF4A14" w:rsidRDefault="00CF4A14" w:rsidP="00CF4A14">
      <w:pPr>
        <w:spacing w:line="360" w:lineRule="auto"/>
        <w:rPr>
          <w:rFonts w:ascii="Arial" w:hAnsi="Arial" w:cs="Arial"/>
        </w:rPr>
      </w:pPr>
      <w:r w:rsidRPr="00EE5789">
        <w:rPr>
          <w:rFonts w:ascii="Arial" w:hAnsi="Arial" w:cs="Arial"/>
          <w:sz w:val="20"/>
          <w:szCs w:val="20"/>
        </w:rPr>
        <w:t>Multivariate logistic regression analysis identified age (</w:t>
      </w:r>
      <w:r>
        <w:rPr>
          <w:rFonts w:ascii="Arial" w:hAnsi="Arial" w:cs="Arial"/>
          <w:sz w:val="20"/>
          <w:szCs w:val="20"/>
        </w:rPr>
        <w:t>P</w:t>
      </w:r>
      <w:r w:rsidRPr="00EE5789">
        <w:rPr>
          <w:rFonts w:ascii="Arial" w:hAnsi="Arial" w:cs="Arial"/>
          <w:sz w:val="20"/>
          <w:szCs w:val="20"/>
        </w:rPr>
        <w:t xml:space="preserve"> = 0.010; OR = 0.915; 95% CI: 0.856–0.979) and haematuria (</w:t>
      </w:r>
      <w:r>
        <w:rPr>
          <w:rFonts w:ascii="Arial" w:hAnsi="Arial" w:cs="Arial"/>
          <w:sz w:val="20"/>
          <w:szCs w:val="20"/>
        </w:rPr>
        <w:t>P</w:t>
      </w:r>
      <w:r w:rsidRPr="00EE5789">
        <w:rPr>
          <w:rFonts w:ascii="Arial" w:hAnsi="Arial" w:cs="Arial"/>
          <w:sz w:val="20"/>
          <w:szCs w:val="20"/>
        </w:rPr>
        <w:t xml:space="preserve"> = 0.026; OR = 8.272; 95% CI: 1.285–53.258) as significant predictors of reduced kidney function. Gender (</w:t>
      </w:r>
      <w:r>
        <w:rPr>
          <w:rFonts w:ascii="Arial" w:hAnsi="Arial" w:cs="Arial"/>
          <w:sz w:val="20"/>
          <w:szCs w:val="20"/>
        </w:rPr>
        <w:t>P</w:t>
      </w:r>
      <w:r w:rsidRPr="00EE5789">
        <w:rPr>
          <w:rFonts w:ascii="Arial" w:hAnsi="Arial" w:cs="Arial"/>
          <w:sz w:val="20"/>
          <w:szCs w:val="20"/>
        </w:rPr>
        <w:t xml:space="preserve"> = 0.09), waist–hip ratio (</w:t>
      </w:r>
      <w:r>
        <w:rPr>
          <w:rFonts w:ascii="Arial" w:hAnsi="Arial" w:cs="Arial"/>
          <w:sz w:val="20"/>
          <w:szCs w:val="20"/>
        </w:rPr>
        <w:t>P</w:t>
      </w:r>
      <w:r w:rsidRPr="00EE5789">
        <w:rPr>
          <w:rFonts w:ascii="Arial" w:hAnsi="Arial" w:cs="Arial"/>
          <w:sz w:val="20"/>
          <w:szCs w:val="20"/>
        </w:rPr>
        <w:t xml:space="preserve"> = 0.11), and BMI (</w:t>
      </w:r>
      <w:r>
        <w:rPr>
          <w:rFonts w:ascii="Arial" w:hAnsi="Arial" w:cs="Arial"/>
          <w:sz w:val="20"/>
          <w:szCs w:val="20"/>
        </w:rPr>
        <w:t>P</w:t>
      </w:r>
      <w:r w:rsidRPr="00EE5789">
        <w:rPr>
          <w:rFonts w:ascii="Arial" w:hAnsi="Arial" w:cs="Arial"/>
          <w:sz w:val="20"/>
          <w:szCs w:val="20"/>
        </w:rPr>
        <w:t xml:space="preserve"> = 0.4</w:t>
      </w:r>
      <w:r>
        <w:rPr>
          <w:rFonts w:ascii="Arial" w:hAnsi="Arial" w:cs="Arial"/>
          <w:sz w:val="20"/>
          <w:szCs w:val="20"/>
        </w:rPr>
        <w:t>3</w:t>
      </w:r>
      <w:r w:rsidRPr="00EE5789">
        <w:rPr>
          <w:rFonts w:ascii="Arial" w:hAnsi="Arial" w:cs="Arial"/>
          <w:sz w:val="20"/>
          <w:szCs w:val="20"/>
        </w:rPr>
        <w:t>) were not statistically significant in the model.</w:t>
      </w:r>
      <w:r>
        <w:rPr>
          <w:rFonts w:ascii="Arial" w:hAnsi="Arial" w:cs="Arial"/>
          <w:sz w:val="20"/>
          <w:szCs w:val="20"/>
        </w:rPr>
        <w:t xml:space="preserve"> </w:t>
      </w:r>
      <w:r>
        <w:rPr>
          <w:rFonts w:ascii="Arial" w:hAnsi="Arial" w:cs="Arial"/>
          <w:noProof/>
        </w:rPr>
        <w:drawing>
          <wp:inline distT="0" distB="0" distL="0" distR="0" wp14:anchorId="4B273E9D" wp14:editId="3B99E2C1">
            <wp:extent cx="5486400" cy="3200400"/>
            <wp:effectExtent l="0" t="0" r="0" b="0"/>
            <wp:docPr id="82772090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F058085" w14:textId="77777777" w:rsidR="00CF4A14" w:rsidRPr="005B764B" w:rsidRDefault="00CF4A14" w:rsidP="00CF4A14">
      <w:pPr>
        <w:spacing w:line="360" w:lineRule="auto"/>
        <w:rPr>
          <w:rFonts w:ascii="Arial" w:hAnsi="Arial" w:cs="Arial"/>
          <w:b/>
          <w:bCs/>
          <w:i/>
          <w:iCs/>
          <w:sz w:val="22"/>
        </w:rPr>
      </w:pPr>
      <w:r w:rsidRPr="005B764B">
        <w:rPr>
          <w:rFonts w:ascii="Arial" w:hAnsi="Arial" w:cs="Arial"/>
          <w:b/>
          <w:bCs/>
          <w:i/>
          <w:iCs/>
          <w:sz w:val="22"/>
        </w:rPr>
        <w:t>Figure 1: eGFR distribution among respondents</w:t>
      </w:r>
    </w:p>
    <w:p w14:paraId="4830DBC2" w14:textId="62F6CE6F" w:rsidR="00857032" w:rsidRPr="000A0CEA" w:rsidRDefault="001918C5">
      <w:pPr>
        <w:rPr>
          <w:rFonts w:ascii="Arial" w:hAnsi="Arial" w:cs="Arial"/>
          <w:b/>
          <w:bCs/>
          <w:sz w:val="20"/>
          <w:szCs w:val="20"/>
        </w:rPr>
      </w:pPr>
      <w:r w:rsidRPr="000A0CEA">
        <w:rPr>
          <w:rFonts w:ascii="Arial" w:hAnsi="Arial" w:cs="Arial"/>
          <w:b/>
          <w:bCs/>
          <w:sz w:val="20"/>
          <w:szCs w:val="20"/>
        </w:rPr>
        <w:lastRenderedPageBreak/>
        <w:t>Table 1: Distribution of eGFR among study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899"/>
      </w:tblGrid>
      <w:tr w:rsidR="00857032" w:rsidRPr="000A0CEA" w14:paraId="23A29614" w14:textId="77777777" w:rsidTr="001918C5">
        <w:tc>
          <w:tcPr>
            <w:tcW w:w="3116" w:type="dxa"/>
            <w:tcBorders>
              <w:top w:val="single" w:sz="4" w:space="0" w:color="auto"/>
              <w:bottom w:val="single" w:sz="4" w:space="0" w:color="auto"/>
            </w:tcBorders>
          </w:tcPr>
          <w:p w14:paraId="7E7C2336" w14:textId="77777777" w:rsidR="00857032" w:rsidRPr="000A0CEA" w:rsidRDefault="00857032" w:rsidP="000A0CEA">
            <w:pPr>
              <w:spacing w:line="480" w:lineRule="auto"/>
              <w:rPr>
                <w:rFonts w:ascii="Arial" w:hAnsi="Arial" w:cs="Arial"/>
                <w:b/>
                <w:bCs/>
                <w:sz w:val="20"/>
                <w:szCs w:val="20"/>
              </w:rPr>
            </w:pPr>
            <w:r w:rsidRPr="000A0CEA">
              <w:rPr>
                <w:rFonts w:ascii="Arial" w:hAnsi="Arial" w:cs="Arial"/>
                <w:b/>
                <w:bCs/>
                <w:sz w:val="20"/>
                <w:szCs w:val="20"/>
              </w:rPr>
              <w:t>Variable</w:t>
            </w:r>
          </w:p>
        </w:tc>
        <w:tc>
          <w:tcPr>
            <w:tcW w:w="3899" w:type="dxa"/>
            <w:tcBorders>
              <w:top w:val="single" w:sz="4" w:space="0" w:color="auto"/>
              <w:bottom w:val="single" w:sz="4" w:space="0" w:color="auto"/>
            </w:tcBorders>
          </w:tcPr>
          <w:p w14:paraId="7B5FC201" w14:textId="77777777" w:rsidR="00857032" w:rsidRPr="000A0CEA" w:rsidRDefault="00857032" w:rsidP="000A0CEA">
            <w:pPr>
              <w:spacing w:line="480" w:lineRule="auto"/>
              <w:rPr>
                <w:rFonts w:ascii="Arial" w:hAnsi="Arial" w:cs="Arial"/>
                <w:b/>
                <w:bCs/>
                <w:sz w:val="20"/>
                <w:szCs w:val="20"/>
              </w:rPr>
            </w:pPr>
            <w:r w:rsidRPr="000A0CEA">
              <w:rPr>
                <w:rFonts w:ascii="Arial" w:hAnsi="Arial" w:cs="Arial"/>
                <w:b/>
                <w:bCs/>
                <w:sz w:val="20"/>
                <w:szCs w:val="20"/>
              </w:rPr>
              <w:t>Mean eGFR (mL/min/1.73 m²) ± S.D</w:t>
            </w:r>
          </w:p>
        </w:tc>
      </w:tr>
      <w:tr w:rsidR="00857032" w:rsidRPr="000A0CEA" w14:paraId="59D933EF" w14:textId="77777777" w:rsidTr="001918C5">
        <w:tc>
          <w:tcPr>
            <w:tcW w:w="3116" w:type="dxa"/>
            <w:tcBorders>
              <w:top w:val="single" w:sz="4" w:space="0" w:color="auto"/>
            </w:tcBorders>
          </w:tcPr>
          <w:p w14:paraId="2F643E88" w14:textId="77777777" w:rsidR="00857032" w:rsidRPr="000A0CEA" w:rsidRDefault="00857032" w:rsidP="000A0CEA">
            <w:pPr>
              <w:spacing w:line="480" w:lineRule="auto"/>
              <w:rPr>
                <w:rFonts w:ascii="Arial" w:hAnsi="Arial" w:cs="Arial"/>
                <w:b/>
                <w:bCs/>
                <w:sz w:val="20"/>
                <w:szCs w:val="20"/>
              </w:rPr>
            </w:pPr>
            <w:r w:rsidRPr="000A0CEA">
              <w:rPr>
                <w:rFonts w:ascii="Arial" w:hAnsi="Arial" w:cs="Arial"/>
                <w:b/>
                <w:bCs/>
                <w:sz w:val="20"/>
                <w:szCs w:val="20"/>
              </w:rPr>
              <w:t>Age</w:t>
            </w:r>
          </w:p>
        </w:tc>
        <w:tc>
          <w:tcPr>
            <w:tcW w:w="3899" w:type="dxa"/>
            <w:tcBorders>
              <w:top w:val="single" w:sz="4" w:space="0" w:color="auto"/>
            </w:tcBorders>
          </w:tcPr>
          <w:p w14:paraId="33BFA2E7" w14:textId="77777777" w:rsidR="00857032" w:rsidRPr="000A0CEA" w:rsidRDefault="00857032" w:rsidP="000A0CEA">
            <w:pPr>
              <w:spacing w:line="480" w:lineRule="auto"/>
              <w:rPr>
                <w:rFonts w:ascii="Arial" w:hAnsi="Arial" w:cs="Arial"/>
                <w:b/>
                <w:bCs/>
                <w:sz w:val="20"/>
                <w:szCs w:val="20"/>
              </w:rPr>
            </w:pPr>
          </w:p>
        </w:tc>
      </w:tr>
      <w:tr w:rsidR="00857032" w:rsidRPr="000A0CEA" w14:paraId="398CB3C4" w14:textId="77777777" w:rsidTr="001918C5">
        <w:tc>
          <w:tcPr>
            <w:tcW w:w="3116" w:type="dxa"/>
          </w:tcPr>
          <w:p w14:paraId="7CAA449E"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≤40</w:t>
            </w:r>
          </w:p>
        </w:tc>
        <w:tc>
          <w:tcPr>
            <w:tcW w:w="3899" w:type="dxa"/>
          </w:tcPr>
          <w:p w14:paraId="2B1757B6"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104.46 ± 30.1</w:t>
            </w:r>
          </w:p>
        </w:tc>
      </w:tr>
      <w:tr w:rsidR="00857032" w:rsidRPr="000A0CEA" w14:paraId="3F4D36EC" w14:textId="77777777" w:rsidTr="001918C5">
        <w:tc>
          <w:tcPr>
            <w:tcW w:w="3116" w:type="dxa"/>
          </w:tcPr>
          <w:p w14:paraId="65D92717"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41 – 50</w:t>
            </w:r>
          </w:p>
        </w:tc>
        <w:tc>
          <w:tcPr>
            <w:tcW w:w="3899" w:type="dxa"/>
          </w:tcPr>
          <w:p w14:paraId="56BD82BB"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101.82 ± 30.2</w:t>
            </w:r>
          </w:p>
        </w:tc>
      </w:tr>
      <w:tr w:rsidR="00857032" w:rsidRPr="000A0CEA" w14:paraId="57F94B58" w14:textId="77777777" w:rsidTr="001918C5">
        <w:tc>
          <w:tcPr>
            <w:tcW w:w="3116" w:type="dxa"/>
          </w:tcPr>
          <w:p w14:paraId="1040C04C"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 xml:space="preserve">51 – 60 </w:t>
            </w:r>
          </w:p>
        </w:tc>
        <w:tc>
          <w:tcPr>
            <w:tcW w:w="3899" w:type="dxa"/>
          </w:tcPr>
          <w:p w14:paraId="1F1DDECE"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85.97 ± 24.4</w:t>
            </w:r>
          </w:p>
        </w:tc>
      </w:tr>
      <w:tr w:rsidR="00857032" w:rsidRPr="000A0CEA" w14:paraId="31B168AB" w14:textId="77777777" w:rsidTr="001918C5">
        <w:tc>
          <w:tcPr>
            <w:tcW w:w="3116" w:type="dxa"/>
            <w:tcBorders>
              <w:bottom w:val="single" w:sz="4" w:space="0" w:color="auto"/>
            </w:tcBorders>
          </w:tcPr>
          <w:p w14:paraId="11CC45E4"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&gt;60</w:t>
            </w:r>
          </w:p>
        </w:tc>
        <w:tc>
          <w:tcPr>
            <w:tcW w:w="3899" w:type="dxa"/>
            <w:tcBorders>
              <w:bottom w:val="single" w:sz="4" w:space="0" w:color="auto"/>
            </w:tcBorders>
          </w:tcPr>
          <w:p w14:paraId="64A1E3EA"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80.48 ± 21.4</w:t>
            </w:r>
          </w:p>
        </w:tc>
      </w:tr>
      <w:tr w:rsidR="00857032" w:rsidRPr="000A0CEA" w14:paraId="61112F4A" w14:textId="77777777" w:rsidTr="001918C5">
        <w:tc>
          <w:tcPr>
            <w:tcW w:w="3116" w:type="dxa"/>
            <w:tcBorders>
              <w:top w:val="single" w:sz="4" w:space="0" w:color="auto"/>
              <w:bottom w:val="single" w:sz="4" w:space="0" w:color="auto"/>
            </w:tcBorders>
          </w:tcPr>
          <w:p w14:paraId="7E0927BB" w14:textId="77777777" w:rsidR="00857032" w:rsidRPr="000A0CEA" w:rsidRDefault="00857032" w:rsidP="000A0CEA">
            <w:pPr>
              <w:spacing w:line="480" w:lineRule="auto"/>
              <w:rPr>
                <w:rFonts w:ascii="Arial" w:hAnsi="Arial" w:cs="Arial"/>
                <w:b/>
                <w:bCs/>
                <w:sz w:val="20"/>
                <w:szCs w:val="20"/>
              </w:rPr>
            </w:pPr>
          </w:p>
        </w:tc>
        <w:tc>
          <w:tcPr>
            <w:tcW w:w="3899" w:type="dxa"/>
            <w:tcBorders>
              <w:top w:val="single" w:sz="4" w:space="0" w:color="auto"/>
              <w:bottom w:val="single" w:sz="4" w:space="0" w:color="auto"/>
            </w:tcBorders>
          </w:tcPr>
          <w:p w14:paraId="4046394E" w14:textId="2D4E7763" w:rsidR="00857032" w:rsidRPr="000A0CEA" w:rsidRDefault="00857032" w:rsidP="000A0CEA">
            <w:pPr>
              <w:spacing w:line="480" w:lineRule="auto"/>
              <w:rPr>
                <w:rFonts w:ascii="Arial" w:hAnsi="Arial" w:cs="Arial"/>
                <w:b/>
                <w:bCs/>
                <w:sz w:val="20"/>
                <w:szCs w:val="20"/>
              </w:rPr>
            </w:pPr>
            <w:r w:rsidRPr="000A0CEA">
              <w:rPr>
                <w:rFonts w:ascii="Arial" w:hAnsi="Arial" w:cs="Arial"/>
                <w:b/>
                <w:bCs/>
                <w:sz w:val="20"/>
                <w:szCs w:val="20"/>
              </w:rPr>
              <w:t xml:space="preserve">F = 5.941, </w:t>
            </w:r>
            <w:r w:rsidR="0021552C">
              <w:rPr>
                <w:rFonts w:ascii="Arial" w:hAnsi="Arial" w:cs="Arial"/>
                <w:b/>
                <w:bCs/>
                <w:sz w:val="20"/>
                <w:szCs w:val="20"/>
              </w:rPr>
              <w:t>P &lt;</w:t>
            </w:r>
            <w:r w:rsidRPr="000A0CEA">
              <w:rPr>
                <w:rFonts w:ascii="Arial" w:hAnsi="Arial" w:cs="Arial"/>
                <w:b/>
                <w:bCs/>
                <w:sz w:val="20"/>
                <w:szCs w:val="20"/>
              </w:rPr>
              <w:t xml:space="preserve"> .01</w:t>
            </w:r>
          </w:p>
        </w:tc>
      </w:tr>
      <w:tr w:rsidR="00857032" w:rsidRPr="000A0CEA" w14:paraId="27C33492" w14:textId="77777777" w:rsidTr="001918C5">
        <w:tc>
          <w:tcPr>
            <w:tcW w:w="3116" w:type="dxa"/>
            <w:tcBorders>
              <w:top w:val="single" w:sz="4" w:space="0" w:color="auto"/>
            </w:tcBorders>
          </w:tcPr>
          <w:p w14:paraId="6B500E6F"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Gender</w:t>
            </w:r>
          </w:p>
        </w:tc>
        <w:tc>
          <w:tcPr>
            <w:tcW w:w="3899" w:type="dxa"/>
            <w:tcBorders>
              <w:top w:val="single" w:sz="4" w:space="0" w:color="auto"/>
            </w:tcBorders>
          </w:tcPr>
          <w:p w14:paraId="7946AF62" w14:textId="77777777" w:rsidR="00857032" w:rsidRPr="000A0CEA" w:rsidRDefault="00857032" w:rsidP="000A0CEA">
            <w:pPr>
              <w:spacing w:line="480" w:lineRule="auto"/>
              <w:rPr>
                <w:rFonts w:ascii="Arial" w:hAnsi="Arial" w:cs="Arial"/>
                <w:sz w:val="20"/>
                <w:szCs w:val="20"/>
              </w:rPr>
            </w:pPr>
          </w:p>
        </w:tc>
      </w:tr>
      <w:tr w:rsidR="00857032" w:rsidRPr="000A0CEA" w14:paraId="5C9B5CFD" w14:textId="77777777" w:rsidTr="001918C5">
        <w:tc>
          <w:tcPr>
            <w:tcW w:w="3116" w:type="dxa"/>
          </w:tcPr>
          <w:p w14:paraId="06C48329"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Male</w:t>
            </w:r>
          </w:p>
        </w:tc>
        <w:tc>
          <w:tcPr>
            <w:tcW w:w="3899" w:type="dxa"/>
          </w:tcPr>
          <w:p w14:paraId="3BE85F43"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95.26 ± 27.4</w:t>
            </w:r>
          </w:p>
        </w:tc>
      </w:tr>
      <w:tr w:rsidR="00857032" w:rsidRPr="000A0CEA" w14:paraId="003193ED" w14:textId="77777777" w:rsidTr="001918C5">
        <w:tc>
          <w:tcPr>
            <w:tcW w:w="3116" w:type="dxa"/>
          </w:tcPr>
          <w:p w14:paraId="4F4B32F8"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Female</w:t>
            </w:r>
          </w:p>
        </w:tc>
        <w:tc>
          <w:tcPr>
            <w:tcW w:w="3899" w:type="dxa"/>
          </w:tcPr>
          <w:p w14:paraId="12EF44DD"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95.58 ± 29.0</w:t>
            </w:r>
          </w:p>
        </w:tc>
      </w:tr>
      <w:tr w:rsidR="00857032" w:rsidRPr="000A0CEA" w14:paraId="5AB5751B" w14:textId="77777777" w:rsidTr="001918C5">
        <w:tc>
          <w:tcPr>
            <w:tcW w:w="3116" w:type="dxa"/>
            <w:tcBorders>
              <w:bottom w:val="single" w:sz="4" w:space="0" w:color="auto"/>
            </w:tcBorders>
          </w:tcPr>
          <w:p w14:paraId="0904A313" w14:textId="77777777" w:rsidR="00857032" w:rsidRPr="000A0CEA" w:rsidRDefault="00857032" w:rsidP="000A0CEA">
            <w:pPr>
              <w:spacing w:line="480" w:lineRule="auto"/>
              <w:rPr>
                <w:rFonts w:ascii="Arial" w:hAnsi="Arial" w:cs="Arial"/>
                <w:b/>
                <w:bCs/>
                <w:sz w:val="20"/>
                <w:szCs w:val="20"/>
              </w:rPr>
            </w:pPr>
          </w:p>
        </w:tc>
        <w:tc>
          <w:tcPr>
            <w:tcW w:w="3899" w:type="dxa"/>
            <w:tcBorders>
              <w:bottom w:val="single" w:sz="4" w:space="0" w:color="auto"/>
            </w:tcBorders>
          </w:tcPr>
          <w:p w14:paraId="11F0B752" w14:textId="56F5C334" w:rsidR="00857032" w:rsidRPr="000A0CEA" w:rsidRDefault="00857032" w:rsidP="000A0CEA">
            <w:pPr>
              <w:spacing w:line="480" w:lineRule="auto"/>
              <w:rPr>
                <w:rFonts w:ascii="Arial" w:hAnsi="Arial" w:cs="Arial"/>
                <w:b/>
                <w:bCs/>
                <w:sz w:val="20"/>
                <w:szCs w:val="20"/>
              </w:rPr>
            </w:pPr>
            <w:r w:rsidRPr="000A0CEA">
              <w:rPr>
                <w:rFonts w:ascii="Arial" w:hAnsi="Arial" w:cs="Arial"/>
                <w:b/>
                <w:bCs/>
                <w:sz w:val="20"/>
                <w:szCs w:val="20"/>
              </w:rPr>
              <w:t xml:space="preserve">t = -0.116, </w:t>
            </w:r>
            <w:r w:rsidR="00AE11B0">
              <w:rPr>
                <w:rFonts w:ascii="Arial" w:hAnsi="Arial" w:cs="Arial"/>
                <w:b/>
                <w:bCs/>
                <w:sz w:val="20"/>
                <w:szCs w:val="20"/>
              </w:rPr>
              <w:t>P</w:t>
            </w:r>
            <w:r w:rsidRPr="000A0CEA">
              <w:rPr>
                <w:rFonts w:ascii="Arial" w:hAnsi="Arial" w:cs="Arial"/>
                <w:b/>
                <w:bCs/>
                <w:sz w:val="20"/>
                <w:szCs w:val="20"/>
              </w:rPr>
              <w:t xml:space="preserve"> = .9</w:t>
            </w:r>
            <w:r w:rsidR="00AE11B0">
              <w:rPr>
                <w:rFonts w:ascii="Arial" w:hAnsi="Arial" w:cs="Arial"/>
                <w:b/>
                <w:bCs/>
                <w:sz w:val="20"/>
                <w:szCs w:val="20"/>
              </w:rPr>
              <w:t>1</w:t>
            </w:r>
          </w:p>
        </w:tc>
      </w:tr>
    </w:tbl>
    <w:p w14:paraId="5510BEFF" w14:textId="77777777" w:rsidR="00857032" w:rsidRPr="009B7BE3" w:rsidRDefault="00857032">
      <w:pPr>
        <w:rPr>
          <w:rFonts w:ascii="Arial" w:hAnsi="Arial" w:cs="Arial"/>
        </w:rPr>
      </w:pPr>
    </w:p>
    <w:p w14:paraId="65966760" w14:textId="77777777" w:rsidR="001918C5" w:rsidRPr="009B7BE3" w:rsidRDefault="001918C5">
      <w:pPr>
        <w:rPr>
          <w:rFonts w:ascii="Arial" w:hAnsi="Arial" w:cs="Arial"/>
        </w:rPr>
      </w:pPr>
    </w:p>
    <w:p w14:paraId="3F62A16C" w14:textId="7C859CFE" w:rsidR="00704B5F" w:rsidRPr="009B7BE3" w:rsidRDefault="00704B5F" w:rsidP="00704B5F">
      <w:pPr>
        <w:rPr>
          <w:rFonts w:ascii="Arial" w:hAnsi="Arial" w:cs="Arial"/>
          <w:b/>
          <w:bCs/>
        </w:rPr>
      </w:pPr>
      <w:r w:rsidRPr="009B7BE3">
        <w:rPr>
          <w:rFonts w:ascii="Arial" w:hAnsi="Arial" w:cs="Arial"/>
          <w:b/>
          <w:bCs/>
          <w:noProof/>
          <w:lang w:eastAsia="en-US"/>
        </w:rPr>
        <w:drawing>
          <wp:inline distT="0" distB="0" distL="0" distR="0" wp14:anchorId="4D292AFA" wp14:editId="33F29688">
            <wp:extent cx="5943600" cy="3498850"/>
            <wp:effectExtent l="0" t="0" r="0" b="6350"/>
            <wp:docPr id="1388129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98850"/>
                    </a:xfrm>
                    <a:prstGeom prst="rect">
                      <a:avLst/>
                    </a:prstGeom>
                    <a:noFill/>
                    <a:ln>
                      <a:noFill/>
                    </a:ln>
                  </pic:spPr>
                </pic:pic>
              </a:graphicData>
            </a:graphic>
          </wp:inline>
        </w:drawing>
      </w:r>
    </w:p>
    <w:p w14:paraId="45D77597" w14:textId="4F79484F" w:rsidR="00704B5F" w:rsidRPr="004D290B" w:rsidRDefault="001918C5" w:rsidP="00704B5F">
      <w:pPr>
        <w:rPr>
          <w:rFonts w:ascii="Arial" w:hAnsi="Arial" w:cs="Arial"/>
          <w:b/>
          <w:bCs/>
          <w:sz w:val="20"/>
          <w:szCs w:val="20"/>
        </w:rPr>
      </w:pPr>
      <w:r w:rsidRPr="004D290B">
        <w:rPr>
          <w:rFonts w:ascii="Arial" w:hAnsi="Arial" w:cs="Arial"/>
          <w:b/>
          <w:bCs/>
          <w:sz w:val="20"/>
          <w:szCs w:val="20"/>
        </w:rPr>
        <w:t xml:space="preserve">Figure </w:t>
      </w:r>
      <w:r w:rsidR="00CF4A14">
        <w:rPr>
          <w:rFonts w:ascii="Arial" w:hAnsi="Arial" w:cs="Arial"/>
          <w:b/>
          <w:bCs/>
          <w:sz w:val="20"/>
          <w:szCs w:val="20"/>
        </w:rPr>
        <w:t>2</w:t>
      </w:r>
      <w:r w:rsidRPr="004D290B">
        <w:rPr>
          <w:rFonts w:ascii="Arial" w:hAnsi="Arial" w:cs="Arial"/>
          <w:b/>
          <w:bCs/>
          <w:sz w:val="20"/>
          <w:szCs w:val="20"/>
        </w:rPr>
        <w:t>: Means plot showing eGFR across age groups</w:t>
      </w:r>
    </w:p>
    <w:p w14:paraId="75C6F506" w14:textId="77777777" w:rsidR="00704B5F" w:rsidRPr="009B7BE3" w:rsidRDefault="00704B5F" w:rsidP="00704B5F">
      <w:pPr>
        <w:rPr>
          <w:rFonts w:ascii="Arial" w:hAnsi="Arial" w:cs="Arial"/>
          <w:b/>
          <w:bCs/>
        </w:rPr>
      </w:pPr>
    </w:p>
    <w:p w14:paraId="1ABCD9C6" w14:textId="4DDC66A1" w:rsidR="00704B5F" w:rsidRPr="009B7BE3" w:rsidRDefault="00BA5E8D">
      <w:pPr>
        <w:rPr>
          <w:rFonts w:ascii="Arial" w:hAnsi="Arial" w:cs="Arial"/>
          <w:b/>
          <w:bCs/>
        </w:rPr>
      </w:pPr>
      <w:r w:rsidRPr="009B7BE3">
        <w:rPr>
          <w:rFonts w:ascii="Arial" w:hAnsi="Arial" w:cs="Arial"/>
          <w:b/>
          <w:bCs/>
          <w:noProof/>
          <w:lang w:eastAsia="en-US"/>
        </w:rPr>
        <w:lastRenderedPageBreak/>
        <w:drawing>
          <wp:inline distT="0" distB="0" distL="0" distR="0" wp14:anchorId="5117E80F" wp14:editId="43F47D9A">
            <wp:extent cx="5673381" cy="4890052"/>
            <wp:effectExtent l="0" t="0" r="3810" b="6350"/>
            <wp:docPr id="3901795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5868"/>
                    <a:stretch>
                      <a:fillRect/>
                    </a:stretch>
                  </pic:blipFill>
                  <pic:spPr bwMode="auto">
                    <a:xfrm>
                      <a:off x="0" y="0"/>
                      <a:ext cx="5673381" cy="4890052"/>
                    </a:xfrm>
                    <a:prstGeom prst="rect">
                      <a:avLst/>
                    </a:prstGeom>
                    <a:noFill/>
                    <a:ln>
                      <a:noFill/>
                    </a:ln>
                    <a:extLst>
                      <a:ext uri="{53640926-AAD7-44D8-BBD7-CCE9431645EC}">
                        <a14:shadowObscured xmlns:a14="http://schemas.microsoft.com/office/drawing/2010/main"/>
                      </a:ext>
                    </a:extLst>
                  </pic:spPr>
                </pic:pic>
              </a:graphicData>
            </a:graphic>
          </wp:inline>
        </w:drawing>
      </w:r>
    </w:p>
    <w:p w14:paraId="4E127DCF" w14:textId="48EAF1A7" w:rsidR="001918C5" w:rsidRDefault="001918C5">
      <w:pPr>
        <w:rPr>
          <w:rFonts w:ascii="Arial" w:hAnsi="Arial" w:cs="Arial"/>
          <w:b/>
          <w:bCs/>
          <w:sz w:val="20"/>
          <w:szCs w:val="20"/>
        </w:rPr>
      </w:pPr>
      <w:r w:rsidRPr="004D290B">
        <w:rPr>
          <w:rFonts w:ascii="Arial" w:hAnsi="Arial" w:cs="Arial"/>
          <w:b/>
          <w:bCs/>
          <w:sz w:val="20"/>
          <w:szCs w:val="20"/>
        </w:rPr>
        <w:t xml:space="preserve">Figure </w:t>
      </w:r>
      <w:r w:rsidR="00CF4A14">
        <w:rPr>
          <w:rFonts w:ascii="Arial" w:hAnsi="Arial" w:cs="Arial"/>
          <w:b/>
          <w:bCs/>
          <w:sz w:val="20"/>
          <w:szCs w:val="20"/>
        </w:rPr>
        <w:t>3</w:t>
      </w:r>
      <w:r w:rsidRPr="004D290B">
        <w:rPr>
          <w:rFonts w:ascii="Arial" w:hAnsi="Arial" w:cs="Arial"/>
          <w:b/>
          <w:bCs/>
          <w:sz w:val="20"/>
          <w:szCs w:val="20"/>
        </w:rPr>
        <w:t>: Correlation matrix of clinical variables</w:t>
      </w:r>
    </w:p>
    <w:p w14:paraId="0A016B0C" w14:textId="77777777" w:rsidR="00CF4A14" w:rsidRDefault="00CF4A14" w:rsidP="00CF4A14">
      <w:pPr>
        <w:rPr>
          <w:rFonts w:ascii="Arial" w:hAnsi="Arial" w:cs="Arial"/>
          <w:b/>
          <w:bCs/>
          <w:sz w:val="20"/>
          <w:szCs w:val="20"/>
        </w:rPr>
      </w:pPr>
    </w:p>
    <w:p w14:paraId="73746547" w14:textId="77777777" w:rsidR="00CF4A14" w:rsidRDefault="00CF4A14" w:rsidP="00CF4A14">
      <w:pPr>
        <w:rPr>
          <w:rFonts w:ascii="Arial" w:hAnsi="Arial" w:cs="Arial"/>
          <w:b/>
          <w:bCs/>
          <w:sz w:val="20"/>
          <w:szCs w:val="20"/>
        </w:rPr>
      </w:pPr>
      <w:r>
        <w:rPr>
          <w:rFonts w:ascii="Arial" w:hAnsi="Arial" w:cs="Arial"/>
          <w:b/>
          <w:bCs/>
          <w:sz w:val="20"/>
          <w:szCs w:val="20"/>
        </w:rPr>
        <w:t>Table 2: Multiple regression assessing predictors of reduced eGFR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60"/>
        <w:gridCol w:w="1917"/>
        <w:gridCol w:w="2185"/>
        <w:gridCol w:w="2169"/>
        <w:gridCol w:w="1229"/>
      </w:tblGrid>
      <w:tr w:rsidR="00CF4A14" w:rsidRPr="00B21ACB" w14:paraId="2564B86E" w14:textId="77777777" w:rsidTr="00762544">
        <w:trPr>
          <w:tblHeader/>
          <w:tblCellSpacing w:w="15" w:type="dxa"/>
        </w:trPr>
        <w:tc>
          <w:tcPr>
            <w:tcW w:w="958" w:type="pct"/>
            <w:tcBorders>
              <w:top w:val="single" w:sz="4" w:space="0" w:color="auto"/>
              <w:bottom w:val="single" w:sz="4" w:space="0" w:color="auto"/>
            </w:tcBorders>
            <w:vAlign w:val="center"/>
            <w:hideMark/>
          </w:tcPr>
          <w:p w14:paraId="535E3E4B" w14:textId="77777777" w:rsidR="00CF4A14" w:rsidRPr="00B21ACB" w:rsidRDefault="00CF4A14" w:rsidP="00762544">
            <w:pPr>
              <w:rPr>
                <w:rFonts w:ascii="Arial" w:hAnsi="Arial" w:cs="Arial"/>
                <w:b/>
                <w:bCs/>
                <w:sz w:val="20"/>
                <w:szCs w:val="20"/>
              </w:rPr>
            </w:pPr>
            <w:r w:rsidRPr="00B21ACB">
              <w:rPr>
                <w:rFonts w:ascii="Arial" w:hAnsi="Arial" w:cs="Arial"/>
                <w:b/>
                <w:bCs/>
                <w:sz w:val="20"/>
                <w:szCs w:val="20"/>
              </w:rPr>
              <w:t>Variable</w:t>
            </w:r>
          </w:p>
        </w:tc>
        <w:tc>
          <w:tcPr>
            <w:tcW w:w="996" w:type="pct"/>
            <w:tcBorders>
              <w:top w:val="single" w:sz="4" w:space="0" w:color="auto"/>
              <w:bottom w:val="single" w:sz="4" w:space="0" w:color="auto"/>
            </w:tcBorders>
            <w:vAlign w:val="center"/>
            <w:hideMark/>
          </w:tcPr>
          <w:p w14:paraId="6188937E" w14:textId="77777777" w:rsidR="00CF4A14" w:rsidRPr="00B21ACB" w:rsidRDefault="00CF4A14" w:rsidP="00762544">
            <w:pPr>
              <w:rPr>
                <w:rFonts w:ascii="Arial" w:hAnsi="Arial" w:cs="Arial"/>
                <w:b/>
                <w:bCs/>
                <w:sz w:val="20"/>
                <w:szCs w:val="20"/>
              </w:rPr>
            </w:pPr>
            <w:r w:rsidRPr="00B21ACB">
              <w:rPr>
                <w:rFonts w:ascii="Arial" w:hAnsi="Arial" w:cs="Arial"/>
                <w:b/>
                <w:bCs/>
                <w:sz w:val="20"/>
                <w:szCs w:val="20"/>
              </w:rPr>
              <w:t>O</w:t>
            </w:r>
            <w:r>
              <w:rPr>
                <w:rFonts w:ascii="Arial" w:hAnsi="Arial" w:cs="Arial"/>
                <w:b/>
                <w:bCs/>
                <w:sz w:val="20"/>
                <w:szCs w:val="20"/>
              </w:rPr>
              <w:t>dds Ratio</w:t>
            </w:r>
          </w:p>
        </w:tc>
        <w:tc>
          <w:tcPr>
            <w:tcW w:w="1138" w:type="pct"/>
            <w:tcBorders>
              <w:top w:val="single" w:sz="4" w:space="0" w:color="auto"/>
              <w:bottom w:val="single" w:sz="4" w:space="0" w:color="auto"/>
            </w:tcBorders>
            <w:vAlign w:val="center"/>
            <w:hideMark/>
          </w:tcPr>
          <w:p w14:paraId="4F8F3738" w14:textId="77777777" w:rsidR="00CF4A14" w:rsidRPr="00B21ACB" w:rsidRDefault="00CF4A14" w:rsidP="00762544">
            <w:pPr>
              <w:rPr>
                <w:rFonts w:ascii="Arial" w:hAnsi="Arial" w:cs="Arial"/>
                <w:b/>
                <w:bCs/>
                <w:sz w:val="20"/>
                <w:szCs w:val="20"/>
              </w:rPr>
            </w:pPr>
            <w:r w:rsidRPr="00B21ACB">
              <w:rPr>
                <w:rFonts w:ascii="Arial" w:hAnsi="Arial" w:cs="Arial"/>
                <w:b/>
                <w:bCs/>
                <w:sz w:val="20"/>
                <w:szCs w:val="20"/>
              </w:rPr>
              <w:t>95% CI Lower</w:t>
            </w:r>
          </w:p>
        </w:tc>
        <w:tc>
          <w:tcPr>
            <w:tcW w:w="1129" w:type="pct"/>
            <w:tcBorders>
              <w:top w:val="single" w:sz="4" w:space="0" w:color="auto"/>
              <w:bottom w:val="single" w:sz="4" w:space="0" w:color="auto"/>
            </w:tcBorders>
            <w:vAlign w:val="center"/>
            <w:hideMark/>
          </w:tcPr>
          <w:p w14:paraId="44462F24" w14:textId="77777777" w:rsidR="00CF4A14" w:rsidRPr="00B21ACB" w:rsidRDefault="00CF4A14" w:rsidP="00762544">
            <w:pPr>
              <w:rPr>
                <w:rFonts w:ascii="Arial" w:hAnsi="Arial" w:cs="Arial"/>
                <w:b/>
                <w:bCs/>
                <w:sz w:val="20"/>
                <w:szCs w:val="20"/>
              </w:rPr>
            </w:pPr>
            <w:r w:rsidRPr="00B21ACB">
              <w:rPr>
                <w:rFonts w:ascii="Arial" w:hAnsi="Arial" w:cs="Arial"/>
                <w:b/>
                <w:bCs/>
                <w:sz w:val="20"/>
                <w:szCs w:val="20"/>
              </w:rPr>
              <w:t>95% CI Upper</w:t>
            </w:r>
          </w:p>
        </w:tc>
        <w:tc>
          <w:tcPr>
            <w:tcW w:w="625" w:type="pct"/>
            <w:tcBorders>
              <w:top w:val="single" w:sz="4" w:space="0" w:color="auto"/>
              <w:bottom w:val="single" w:sz="4" w:space="0" w:color="auto"/>
            </w:tcBorders>
            <w:vAlign w:val="center"/>
            <w:hideMark/>
          </w:tcPr>
          <w:p w14:paraId="538B6313" w14:textId="4E27A7D1" w:rsidR="00CF4A14" w:rsidRPr="00B21ACB" w:rsidRDefault="00CF4A14" w:rsidP="00762544">
            <w:pPr>
              <w:rPr>
                <w:rFonts w:ascii="Arial" w:hAnsi="Arial" w:cs="Arial"/>
                <w:b/>
                <w:bCs/>
                <w:sz w:val="20"/>
                <w:szCs w:val="20"/>
              </w:rPr>
            </w:pPr>
            <w:r>
              <w:rPr>
                <w:rFonts w:ascii="Arial" w:hAnsi="Arial" w:cs="Arial"/>
                <w:b/>
                <w:bCs/>
                <w:sz w:val="20"/>
                <w:szCs w:val="20"/>
              </w:rPr>
              <w:t>P</w:t>
            </w:r>
            <w:r w:rsidRPr="00B21ACB">
              <w:rPr>
                <w:rFonts w:ascii="Arial" w:hAnsi="Arial" w:cs="Arial"/>
                <w:b/>
                <w:bCs/>
                <w:sz w:val="20"/>
                <w:szCs w:val="20"/>
              </w:rPr>
              <w:t>-value</w:t>
            </w:r>
          </w:p>
        </w:tc>
      </w:tr>
      <w:tr w:rsidR="00CF4A14" w:rsidRPr="00B21ACB" w14:paraId="702B1A12" w14:textId="77777777" w:rsidTr="00762544">
        <w:trPr>
          <w:tblCellSpacing w:w="15" w:type="dxa"/>
        </w:trPr>
        <w:tc>
          <w:tcPr>
            <w:tcW w:w="958" w:type="pct"/>
            <w:vAlign w:val="center"/>
            <w:hideMark/>
          </w:tcPr>
          <w:p w14:paraId="24041659" w14:textId="77777777" w:rsidR="00CF4A14" w:rsidRPr="00B21ACB" w:rsidRDefault="00CF4A14" w:rsidP="00762544">
            <w:pPr>
              <w:rPr>
                <w:rFonts w:ascii="Arial" w:hAnsi="Arial" w:cs="Arial"/>
                <w:sz w:val="20"/>
                <w:szCs w:val="20"/>
              </w:rPr>
            </w:pPr>
            <w:r w:rsidRPr="00B21ACB">
              <w:rPr>
                <w:rFonts w:ascii="Arial" w:hAnsi="Arial" w:cs="Arial"/>
                <w:sz w:val="20"/>
                <w:szCs w:val="20"/>
              </w:rPr>
              <w:t>Age</w:t>
            </w:r>
          </w:p>
        </w:tc>
        <w:tc>
          <w:tcPr>
            <w:tcW w:w="996" w:type="pct"/>
            <w:vAlign w:val="center"/>
            <w:hideMark/>
          </w:tcPr>
          <w:p w14:paraId="4BDA2BA0" w14:textId="77777777" w:rsidR="00CF4A14" w:rsidRPr="00B21ACB" w:rsidRDefault="00CF4A14" w:rsidP="00762544">
            <w:pPr>
              <w:rPr>
                <w:rFonts w:ascii="Arial" w:hAnsi="Arial" w:cs="Arial"/>
                <w:sz w:val="20"/>
                <w:szCs w:val="20"/>
              </w:rPr>
            </w:pPr>
            <w:r w:rsidRPr="00B21ACB">
              <w:rPr>
                <w:rFonts w:ascii="Arial" w:hAnsi="Arial" w:cs="Arial"/>
                <w:sz w:val="20"/>
                <w:szCs w:val="20"/>
              </w:rPr>
              <w:t>0.9</w:t>
            </w:r>
            <w:r>
              <w:rPr>
                <w:rFonts w:ascii="Arial" w:hAnsi="Arial" w:cs="Arial"/>
                <w:sz w:val="20"/>
                <w:szCs w:val="20"/>
              </w:rPr>
              <w:t>2</w:t>
            </w:r>
          </w:p>
        </w:tc>
        <w:tc>
          <w:tcPr>
            <w:tcW w:w="1138" w:type="pct"/>
            <w:vAlign w:val="center"/>
            <w:hideMark/>
          </w:tcPr>
          <w:p w14:paraId="0BC8640F" w14:textId="77777777" w:rsidR="00CF4A14" w:rsidRPr="00B21ACB" w:rsidRDefault="00CF4A14" w:rsidP="00762544">
            <w:pPr>
              <w:rPr>
                <w:rFonts w:ascii="Arial" w:hAnsi="Arial" w:cs="Arial"/>
                <w:sz w:val="20"/>
                <w:szCs w:val="20"/>
              </w:rPr>
            </w:pPr>
            <w:r w:rsidRPr="00B21ACB">
              <w:rPr>
                <w:rFonts w:ascii="Arial" w:hAnsi="Arial" w:cs="Arial"/>
                <w:sz w:val="20"/>
                <w:szCs w:val="20"/>
              </w:rPr>
              <w:t>0.8</w:t>
            </w:r>
            <w:r>
              <w:rPr>
                <w:rFonts w:ascii="Arial" w:hAnsi="Arial" w:cs="Arial"/>
                <w:sz w:val="20"/>
                <w:szCs w:val="20"/>
              </w:rPr>
              <w:t>6</w:t>
            </w:r>
          </w:p>
        </w:tc>
        <w:tc>
          <w:tcPr>
            <w:tcW w:w="1129" w:type="pct"/>
            <w:vAlign w:val="center"/>
            <w:hideMark/>
          </w:tcPr>
          <w:p w14:paraId="21B33924" w14:textId="77777777" w:rsidR="00CF4A14" w:rsidRPr="00B21ACB" w:rsidRDefault="00CF4A14" w:rsidP="00762544">
            <w:pPr>
              <w:rPr>
                <w:rFonts w:ascii="Arial" w:hAnsi="Arial" w:cs="Arial"/>
                <w:sz w:val="20"/>
                <w:szCs w:val="20"/>
              </w:rPr>
            </w:pPr>
            <w:r w:rsidRPr="00B21ACB">
              <w:rPr>
                <w:rFonts w:ascii="Arial" w:hAnsi="Arial" w:cs="Arial"/>
                <w:sz w:val="20"/>
                <w:szCs w:val="20"/>
              </w:rPr>
              <w:t>0.9</w:t>
            </w:r>
            <w:r>
              <w:rPr>
                <w:rFonts w:ascii="Arial" w:hAnsi="Arial" w:cs="Arial"/>
                <w:sz w:val="20"/>
                <w:szCs w:val="20"/>
              </w:rPr>
              <w:t>8</w:t>
            </w:r>
          </w:p>
        </w:tc>
        <w:tc>
          <w:tcPr>
            <w:tcW w:w="625" w:type="pct"/>
            <w:vAlign w:val="center"/>
            <w:hideMark/>
          </w:tcPr>
          <w:p w14:paraId="73A3DB90" w14:textId="77777777" w:rsidR="00CF4A14" w:rsidRPr="00B21ACB" w:rsidRDefault="00CF4A14" w:rsidP="00762544">
            <w:pPr>
              <w:rPr>
                <w:rFonts w:ascii="Arial" w:hAnsi="Arial" w:cs="Arial"/>
                <w:sz w:val="20"/>
                <w:szCs w:val="20"/>
              </w:rPr>
            </w:pPr>
            <w:r w:rsidRPr="00B21ACB">
              <w:rPr>
                <w:rFonts w:ascii="Arial" w:hAnsi="Arial" w:cs="Arial"/>
                <w:sz w:val="20"/>
                <w:szCs w:val="20"/>
              </w:rPr>
              <w:t>.01</w:t>
            </w:r>
          </w:p>
        </w:tc>
      </w:tr>
      <w:tr w:rsidR="00CF4A14" w:rsidRPr="00B21ACB" w14:paraId="0B4C26D3" w14:textId="77777777" w:rsidTr="00762544">
        <w:trPr>
          <w:tblCellSpacing w:w="15" w:type="dxa"/>
        </w:trPr>
        <w:tc>
          <w:tcPr>
            <w:tcW w:w="958" w:type="pct"/>
            <w:vAlign w:val="center"/>
            <w:hideMark/>
          </w:tcPr>
          <w:p w14:paraId="409420FF" w14:textId="77777777" w:rsidR="00CF4A14" w:rsidRPr="00B21ACB" w:rsidRDefault="00CF4A14" w:rsidP="00762544">
            <w:pPr>
              <w:rPr>
                <w:rFonts w:ascii="Arial" w:hAnsi="Arial" w:cs="Arial"/>
                <w:sz w:val="20"/>
                <w:szCs w:val="20"/>
              </w:rPr>
            </w:pPr>
            <w:r w:rsidRPr="00B21ACB">
              <w:rPr>
                <w:rFonts w:ascii="Arial" w:hAnsi="Arial" w:cs="Arial"/>
                <w:sz w:val="20"/>
                <w:szCs w:val="20"/>
              </w:rPr>
              <w:t>Gender</w:t>
            </w:r>
          </w:p>
        </w:tc>
        <w:tc>
          <w:tcPr>
            <w:tcW w:w="996" w:type="pct"/>
            <w:vAlign w:val="center"/>
            <w:hideMark/>
          </w:tcPr>
          <w:p w14:paraId="0DC2A53D" w14:textId="77777777" w:rsidR="00CF4A14" w:rsidRPr="00B21ACB" w:rsidRDefault="00CF4A14" w:rsidP="00762544">
            <w:pPr>
              <w:rPr>
                <w:rFonts w:ascii="Arial" w:hAnsi="Arial" w:cs="Arial"/>
                <w:sz w:val="20"/>
                <w:szCs w:val="20"/>
              </w:rPr>
            </w:pPr>
            <w:r w:rsidRPr="00B21ACB">
              <w:rPr>
                <w:rFonts w:ascii="Arial" w:hAnsi="Arial" w:cs="Arial"/>
                <w:sz w:val="20"/>
                <w:szCs w:val="20"/>
              </w:rPr>
              <w:t>0.1</w:t>
            </w:r>
            <w:r>
              <w:rPr>
                <w:rFonts w:ascii="Arial" w:hAnsi="Arial" w:cs="Arial"/>
                <w:sz w:val="20"/>
                <w:szCs w:val="20"/>
              </w:rPr>
              <w:t>2</w:t>
            </w:r>
          </w:p>
        </w:tc>
        <w:tc>
          <w:tcPr>
            <w:tcW w:w="1138" w:type="pct"/>
            <w:vAlign w:val="center"/>
            <w:hideMark/>
          </w:tcPr>
          <w:p w14:paraId="7F49DD63" w14:textId="77777777" w:rsidR="00CF4A14" w:rsidRPr="00B21ACB" w:rsidRDefault="00CF4A14" w:rsidP="00762544">
            <w:pPr>
              <w:rPr>
                <w:rFonts w:ascii="Arial" w:hAnsi="Arial" w:cs="Arial"/>
                <w:sz w:val="20"/>
                <w:szCs w:val="20"/>
              </w:rPr>
            </w:pPr>
            <w:r w:rsidRPr="00B21ACB">
              <w:rPr>
                <w:rFonts w:ascii="Arial" w:hAnsi="Arial" w:cs="Arial"/>
                <w:sz w:val="20"/>
                <w:szCs w:val="20"/>
              </w:rPr>
              <w:t>0.01</w:t>
            </w:r>
          </w:p>
        </w:tc>
        <w:tc>
          <w:tcPr>
            <w:tcW w:w="1129" w:type="pct"/>
            <w:vAlign w:val="center"/>
            <w:hideMark/>
          </w:tcPr>
          <w:p w14:paraId="4FBF2310" w14:textId="77777777" w:rsidR="00CF4A14" w:rsidRPr="00B21ACB" w:rsidRDefault="00CF4A14" w:rsidP="00762544">
            <w:pPr>
              <w:rPr>
                <w:rFonts w:ascii="Arial" w:hAnsi="Arial" w:cs="Arial"/>
                <w:sz w:val="20"/>
                <w:szCs w:val="20"/>
              </w:rPr>
            </w:pPr>
            <w:r w:rsidRPr="00B21ACB">
              <w:rPr>
                <w:rFonts w:ascii="Arial" w:hAnsi="Arial" w:cs="Arial"/>
                <w:sz w:val="20"/>
                <w:szCs w:val="20"/>
              </w:rPr>
              <w:t>1.43</w:t>
            </w:r>
          </w:p>
        </w:tc>
        <w:tc>
          <w:tcPr>
            <w:tcW w:w="625" w:type="pct"/>
            <w:vAlign w:val="center"/>
            <w:hideMark/>
          </w:tcPr>
          <w:p w14:paraId="72B0FFA4" w14:textId="77777777" w:rsidR="00CF4A14" w:rsidRPr="00B21ACB" w:rsidRDefault="00CF4A14" w:rsidP="00762544">
            <w:pPr>
              <w:rPr>
                <w:rFonts w:ascii="Arial" w:hAnsi="Arial" w:cs="Arial"/>
                <w:sz w:val="20"/>
                <w:szCs w:val="20"/>
              </w:rPr>
            </w:pPr>
            <w:r w:rsidRPr="00B21ACB">
              <w:rPr>
                <w:rFonts w:ascii="Arial" w:hAnsi="Arial" w:cs="Arial"/>
                <w:sz w:val="20"/>
                <w:szCs w:val="20"/>
              </w:rPr>
              <w:t>.09</w:t>
            </w:r>
          </w:p>
        </w:tc>
      </w:tr>
      <w:tr w:rsidR="00CF4A14" w:rsidRPr="00B21ACB" w14:paraId="1F7DF095" w14:textId="77777777" w:rsidTr="00762544">
        <w:trPr>
          <w:tblCellSpacing w:w="15" w:type="dxa"/>
        </w:trPr>
        <w:tc>
          <w:tcPr>
            <w:tcW w:w="958" w:type="pct"/>
            <w:vAlign w:val="center"/>
            <w:hideMark/>
          </w:tcPr>
          <w:p w14:paraId="037A2407" w14:textId="77777777" w:rsidR="00CF4A14" w:rsidRPr="00B21ACB" w:rsidRDefault="00CF4A14" w:rsidP="00762544">
            <w:pPr>
              <w:rPr>
                <w:rFonts w:ascii="Arial" w:hAnsi="Arial" w:cs="Arial"/>
                <w:sz w:val="20"/>
                <w:szCs w:val="20"/>
              </w:rPr>
            </w:pPr>
            <w:r w:rsidRPr="00B21ACB">
              <w:rPr>
                <w:rFonts w:ascii="Arial" w:hAnsi="Arial" w:cs="Arial"/>
                <w:sz w:val="20"/>
                <w:szCs w:val="20"/>
              </w:rPr>
              <w:t>Waist-Hip</w:t>
            </w:r>
          </w:p>
        </w:tc>
        <w:tc>
          <w:tcPr>
            <w:tcW w:w="996" w:type="pct"/>
            <w:vAlign w:val="center"/>
            <w:hideMark/>
          </w:tcPr>
          <w:p w14:paraId="7FC4DCEE" w14:textId="77777777" w:rsidR="00CF4A14" w:rsidRPr="00B21ACB" w:rsidRDefault="00CF4A14" w:rsidP="00762544">
            <w:pPr>
              <w:rPr>
                <w:rFonts w:ascii="Arial" w:hAnsi="Arial" w:cs="Arial"/>
                <w:sz w:val="20"/>
                <w:szCs w:val="20"/>
              </w:rPr>
            </w:pPr>
            <w:r>
              <w:rPr>
                <w:rFonts w:ascii="Arial" w:hAnsi="Arial" w:cs="Arial"/>
                <w:sz w:val="20"/>
                <w:szCs w:val="20"/>
              </w:rPr>
              <w:t>2.22</w:t>
            </w:r>
          </w:p>
        </w:tc>
        <w:tc>
          <w:tcPr>
            <w:tcW w:w="1138" w:type="pct"/>
            <w:vAlign w:val="center"/>
            <w:hideMark/>
          </w:tcPr>
          <w:p w14:paraId="3E5CA619" w14:textId="77777777" w:rsidR="00CF4A14" w:rsidRPr="00B21ACB" w:rsidRDefault="00CF4A14" w:rsidP="00762544">
            <w:pPr>
              <w:rPr>
                <w:rFonts w:ascii="Arial" w:hAnsi="Arial" w:cs="Arial"/>
                <w:sz w:val="20"/>
                <w:szCs w:val="20"/>
              </w:rPr>
            </w:pPr>
            <w:r w:rsidRPr="00B21ACB">
              <w:rPr>
                <w:rFonts w:ascii="Arial" w:hAnsi="Arial" w:cs="Arial"/>
                <w:sz w:val="20"/>
                <w:szCs w:val="20"/>
              </w:rPr>
              <w:t>0.06</w:t>
            </w:r>
          </w:p>
        </w:tc>
        <w:tc>
          <w:tcPr>
            <w:tcW w:w="1129" w:type="pct"/>
            <w:vAlign w:val="center"/>
            <w:hideMark/>
          </w:tcPr>
          <w:p w14:paraId="035CEEDE" w14:textId="77777777" w:rsidR="00CF4A14" w:rsidRPr="00B21ACB" w:rsidRDefault="00CF4A14" w:rsidP="00762544">
            <w:pPr>
              <w:rPr>
                <w:rFonts w:ascii="Arial" w:hAnsi="Arial" w:cs="Arial"/>
                <w:sz w:val="20"/>
                <w:szCs w:val="20"/>
              </w:rPr>
            </w:pPr>
            <w:r>
              <w:rPr>
                <w:rFonts w:ascii="Arial" w:hAnsi="Arial" w:cs="Arial"/>
                <w:sz w:val="20"/>
                <w:szCs w:val="20"/>
              </w:rPr>
              <w:t>7</w:t>
            </w:r>
            <w:r w:rsidRPr="00B21ACB">
              <w:rPr>
                <w:rFonts w:ascii="Arial" w:hAnsi="Arial" w:cs="Arial"/>
                <w:sz w:val="20"/>
                <w:szCs w:val="20"/>
              </w:rPr>
              <w:t>8.22</w:t>
            </w:r>
          </w:p>
        </w:tc>
        <w:tc>
          <w:tcPr>
            <w:tcW w:w="625" w:type="pct"/>
            <w:vAlign w:val="center"/>
            <w:hideMark/>
          </w:tcPr>
          <w:p w14:paraId="1F446FB3" w14:textId="77777777" w:rsidR="00CF4A14" w:rsidRPr="00B21ACB" w:rsidRDefault="00CF4A14" w:rsidP="00762544">
            <w:pPr>
              <w:rPr>
                <w:rFonts w:ascii="Arial" w:hAnsi="Arial" w:cs="Arial"/>
                <w:sz w:val="20"/>
                <w:szCs w:val="20"/>
              </w:rPr>
            </w:pPr>
            <w:r w:rsidRPr="00B21ACB">
              <w:rPr>
                <w:rFonts w:ascii="Arial" w:hAnsi="Arial" w:cs="Arial"/>
                <w:sz w:val="20"/>
                <w:szCs w:val="20"/>
              </w:rPr>
              <w:t>.11</w:t>
            </w:r>
          </w:p>
        </w:tc>
      </w:tr>
      <w:tr w:rsidR="00CF4A14" w:rsidRPr="00B21ACB" w14:paraId="60D24590" w14:textId="77777777" w:rsidTr="00762544">
        <w:trPr>
          <w:tblCellSpacing w:w="15" w:type="dxa"/>
        </w:trPr>
        <w:tc>
          <w:tcPr>
            <w:tcW w:w="958" w:type="pct"/>
            <w:vAlign w:val="center"/>
            <w:hideMark/>
          </w:tcPr>
          <w:p w14:paraId="3D8353B4" w14:textId="77777777" w:rsidR="00CF4A14" w:rsidRPr="00B21ACB" w:rsidRDefault="00CF4A14" w:rsidP="00762544">
            <w:pPr>
              <w:rPr>
                <w:rFonts w:ascii="Arial" w:hAnsi="Arial" w:cs="Arial"/>
                <w:sz w:val="20"/>
                <w:szCs w:val="20"/>
              </w:rPr>
            </w:pPr>
            <w:r w:rsidRPr="00B21ACB">
              <w:rPr>
                <w:rFonts w:ascii="Arial" w:hAnsi="Arial" w:cs="Arial"/>
                <w:sz w:val="20"/>
                <w:szCs w:val="20"/>
              </w:rPr>
              <w:t>Haematuria</w:t>
            </w:r>
          </w:p>
        </w:tc>
        <w:tc>
          <w:tcPr>
            <w:tcW w:w="996" w:type="pct"/>
            <w:vAlign w:val="center"/>
            <w:hideMark/>
          </w:tcPr>
          <w:p w14:paraId="722EF67B" w14:textId="77777777" w:rsidR="00CF4A14" w:rsidRPr="00B21ACB" w:rsidRDefault="00CF4A14" w:rsidP="00762544">
            <w:pPr>
              <w:rPr>
                <w:rFonts w:ascii="Arial" w:hAnsi="Arial" w:cs="Arial"/>
                <w:sz w:val="20"/>
                <w:szCs w:val="20"/>
              </w:rPr>
            </w:pPr>
            <w:r w:rsidRPr="00B21ACB">
              <w:rPr>
                <w:rFonts w:ascii="Arial" w:hAnsi="Arial" w:cs="Arial"/>
                <w:sz w:val="20"/>
                <w:szCs w:val="20"/>
              </w:rPr>
              <w:t>8.27</w:t>
            </w:r>
          </w:p>
        </w:tc>
        <w:tc>
          <w:tcPr>
            <w:tcW w:w="1138" w:type="pct"/>
            <w:vAlign w:val="center"/>
            <w:hideMark/>
          </w:tcPr>
          <w:p w14:paraId="0EB2C193" w14:textId="77777777" w:rsidR="00CF4A14" w:rsidRPr="00B21ACB" w:rsidRDefault="00CF4A14" w:rsidP="00762544">
            <w:pPr>
              <w:rPr>
                <w:rFonts w:ascii="Arial" w:hAnsi="Arial" w:cs="Arial"/>
                <w:sz w:val="20"/>
                <w:szCs w:val="20"/>
              </w:rPr>
            </w:pPr>
            <w:r w:rsidRPr="00B21ACB">
              <w:rPr>
                <w:rFonts w:ascii="Arial" w:hAnsi="Arial" w:cs="Arial"/>
                <w:sz w:val="20"/>
                <w:szCs w:val="20"/>
              </w:rPr>
              <w:t>1.2</w:t>
            </w:r>
            <w:r>
              <w:rPr>
                <w:rFonts w:ascii="Arial" w:hAnsi="Arial" w:cs="Arial"/>
                <w:sz w:val="20"/>
                <w:szCs w:val="20"/>
              </w:rPr>
              <w:t>9</w:t>
            </w:r>
          </w:p>
        </w:tc>
        <w:tc>
          <w:tcPr>
            <w:tcW w:w="1129" w:type="pct"/>
            <w:vAlign w:val="center"/>
            <w:hideMark/>
          </w:tcPr>
          <w:p w14:paraId="7AB8E5A9" w14:textId="77777777" w:rsidR="00CF4A14" w:rsidRPr="00B21ACB" w:rsidRDefault="00CF4A14" w:rsidP="00762544">
            <w:pPr>
              <w:rPr>
                <w:rFonts w:ascii="Arial" w:hAnsi="Arial" w:cs="Arial"/>
                <w:sz w:val="20"/>
                <w:szCs w:val="20"/>
              </w:rPr>
            </w:pPr>
            <w:r w:rsidRPr="00B21ACB">
              <w:rPr>
                <w:rFonts w:ascii="Arial" w:hAnsi="Arial" w:cs="Arial"/>
                <w:sz w:val="20"/>
                <w:szCs w:val="20"/>
              </w:rPr>
              <w:t>53.2</w:t>
            </w:r>
            <w:r>
              <w:rPr>
                <w:rFonts w:ascii="Arial" w:hAnsi="Arial" w:cs="Arial"/>
                <w:sz w:val="20"/>
                <w:szCs w:val="20"/>
              </w:rPr>
              <w:t>6</w:t>
            </w:r>
          </w:p>
        </w:tc>
        <w:tc>
          <w:tcPr>
            <w:tcW w:w="625" w:type="pct"/>
            <w:vAlign w:val="center"/>
            <w:hideMark/>
          </w:tcPr>
          <w:p w14:paraId="224F8C9E" w14:textId="77777777" w:rsidR="00CF4A14" w:rsidRPr="00B21ACB" w:rsidRDefault="00CF4A14" w:rsidP="00762544">
            <w:pPr>
              <w:rPr>
                <w:rFonts w:ascii="Arial" w:hAnsi="Arial" w:cs="Arial"/>
                <w:sz w:val="20"/>
                <w:szCs w:val="20"/>
              </w:rPr>
            </w:pPr>
            <w:r w:rsidRPr="00B21ACB">
              <w:rPr>
                <w:rFonts w:ascii="Arial" w:hAnsi="Arial" w:cs="Arial"/>
                <w:sz w:val="20"/>
                <w:szCs w:val="20"/>
              </w:rPr>
              <w:t>.0</w:t>
            </w:r>
            <w:r>
              <w:rPr>
                <w:rFonts w:ascii="Arial" w:hAnsi="Arial" w:cs="Arial"/>
                <w:sz w:val="20"/>
                <w:szCs w:val="20"/>
              </w:rPr>
              <w:t>3</w:t>
            </w:r>
          </w:p>
        </w:tc>
      </w:tr>
      <w:tr w:rsidR="00CF4A14" w:rsidRPr="00B21ACB" w14:paraId="5AE45C3D" w14:textId="77777777" w:rsidTr="00762544">
        <w:trPr>
          <w:tblCellSpacing w:w="15" w:type="dxa"/>
        </w:trPr>
        <w:tc>
          <w:tcPr>
            <w:tcW w:w="958" w:type="pct"/>
            <w:tcBorders>
              <w:bottom w:val="single" w:sz="4" w:space="0" w:color="auto"/>
            </w:tcBorders>
            <w:vAlign w:val="center"/>
            <w:hideMark/>
          </w:tcPr>
          <w:p w14:paraId="7DC3A00B" w14:textId="77777777" w:rsidR="00CF4A14" w:rsidRPr="00B21ACB" w:rsidRDefault="00CF4A14" w:rsidP="00762544">
            <w:pPr>
              <w:rPr>
                <w:rFonts w:ascii="Arial" w:hAnsi="Arial" w:cs="Arial"/>
                <w:sz w:val="20"/>
                <w:szCs w:val="20"/>
              </w:rPr>
            </w:pPr>
            <w:r w:rsidRPr="00B21ACB">
              <w:rPr>
                <w:rFonts w:ascii="Arial" w:hAnsi="Arial" w:cs="Arial"/>
                <w:sz w:val="20"/>
                <w:szCs w:val="20"/>
              </w:rPr>
              <w:t>BMI</w:t>
            </w:r>
          </w:p>
        </w:tc>
        <w:tc>
          <w:tcPr>
            <w:tcW w:w="996" w:type="pct"/>
            <w:tcBorders>
              <w:bottom w:val="single" w:sz="4" w:space="0" w:color="auto"/>
            </w:tcBorders>
            <w:vAlign w:val="center"/>
            <w:hideMark/>
          </w:tcPr>
          <w:p w14:paraId="54DFB411" w14:textId="77777777" w:rsidR="00CF4A14" w:rsidRPr="00B21ACB" w:rsidRDefault="00CF4A14" w:rsidP="00762544">
            <w:pPr>
              <w:rPr>
                <w:rFonts w:ascii="Arial" w:hAnsi="Arial" w:cs="Arial"/>
                <w:sz w:val="20"/>
                <w:szCs w:val="20"/>
              </w:rPr>
            </w:pPr>
            <w:r w:rsidRPr="00B21ACB">
              <w:rPr>
                <w:rFonts w:ascii="Arial" w:hAnsi="Arial" w:cs="Arial"/>
                <w:sz w:val="20"/>
                <w:szCs w:val="20"/>
              </w:rPr>
              <w:t>0.93</w:t>
            </w:r>
          </w:p>
        </w:tc>
        <w:tc>
          <w:tcPr>
            <w:tcW w:w="1138" w:type="pct"/>
            <w:tcBorders>
              <w:bottom w:val="single" w:sz="4" w:space="0" w:color="auto"/>
            </w:tcBorders>
            <w:vAlign w:val="center"/>
            <w:hideMark/>
          </w:tcPr>
          <w:p w14:paraId="250BC393" w14:textId="77777777" w:rsidR="00CF4A14" w:rsidRPr="00B21ACB" w:rsidRDefault="00CF4A14" w:rsidP="00762544">
            <w:pPr>
              <w:rPr>
                <w:rFonts w:ascii="Arial" w:hAnsi="Arial" w:cs="Arial"/>
                <w:sz w:val="20"/>
                <w:szCs w:val="20"/>
              </w:rPr>
            </w:pPr>
            <w:r w:rsidRPr="00B21ACB">
              <w:rPr>
                <w:rFonts w:ascii="Arial" w:hAnsi="Arial" w:cs="Arial"/>
                <w:sz w:val="20"/>
                <w:szCs w:val="20"/>
              </w:rPr>
              <w:t>0.78</w:t>
            </w:r>
          </w:p>
        </w:tc>
        <w:tc>
          <w:tcPr>
            <w:tcW w:w="1129" w:type="pct"/>
            <w:tcBorders>
              <w:bottom w:val="single" w:sz="4" w:space="0" w:color="auto"/>
            </w:tcBorders>
            <w:vAlign w:val="center"/>
            <w:hideMark/>
          </w:tcPr>
          <w:p w14:paraId="4F5A983F" w14:textId="77777777" w:rsidR="00CF4A14" w:rsidRPr="00B21ACB" w:rsidRDefault="00CF4A14" w:rsidP="00762544">
            <w:pPr>
              <w:rPr>
                <w:rFonts w:ascii="Arial" w:hAnsi="Arial" w:cs="Arial"/>
                <w:sz w:val="20"/>
                <w:szCs w:val="20"/>
              </w:rPr>
            </w:pPr>
            <w:r w:rsidRPr="00B21ACB">
              <w:rPr>
                <w:rFonts w:ascii="Arial" w:hAnsi="Arial" w:cs="Arial"/>
                <w:sz w:val="20"/>
                <w:szCs w:val="20"/>
              </w:rPr>
              <w:t>1.11</w:t>
            </w:r>
          </w:p>
        </w:tc>
        <w:tc>
          <w:tcPr>
            <w:tcW w:w="625" w:type="pct"/>
            <w:tcBorders>
              <w:bottom w:val="single" w:sz="4" w:space="0" w:color="auto"/>
            </w:tcBorders>
            <w:vAlign w:val="center"/>
            <w:hideMark/>
          </w:tcPr>
          <w:p w14:paraId="618F8B6A" w14:textId="77777777" w:rsidR="00CF4A14" w:rsidRPr="00B21ACB" w:rsidRDefault="00CF4A14" w:rsidP="00762544">
            <w:pPr>
              <w:rPr>
                <w:rFonts w:ascii="Arial" w:hAnsi="Arial" w:cs="Arial"/>
                <w:sz w:val="20"/>
                <w:szCs w:val="20"/>
              </w:rPr>
            </w:pPr>
            <w:r w:rsidRPr="00B21ACB">
              <w:rPr>
                <w:rFonts w:ascii="Arial" w:hAnsi="Arial" w:cs="Arial"/>
                <w:sz w:val="20"/>
                <w:szCs w:val="20"/>
              </w:rPr>
              <w:t>.4</w:t>
            </w:r>
            <w:r>
              <w:rPr>
                <w:rFonts w:ascii="Arial" w:hAnsi="Arial" w:cs="Arial"/>
                <w:sz w:val="20"/>
                <w:szCs w:val="20"/>
              </w:rPr>
              <w:t>3</w:t>
            </w:r>
          </w:p>
        </w:tc>
      </w:tr>
    </w:tbl>
    <w:p w14:paraId="71E56FDD" w14:textId="77777777" w:rsidR="00CF4A14" w:rsidRPr="004D290B" w:rsidRDefault="00CF4A14">
      <w:pPr>
        <w:rPr>
          <w:rFonts w:ascii="Arial" w:hAnsi="Arial" w:cs="Arial"/>
          <w:b/>
          <w:bCs/>
          <w:sz w:val="20"/>
          <w:szCs w:val="20"/>
        </w:rPr>
      </w:pPr>
    </w:p>
    <w:p w14:paraId="31DA2555" w14:textId="0C3050F1" w:rsidR="001918C5" w:rsidRPr="009B7BE3" w:rsidRDefault="001918C5">
      <w:pPr>
        <w:rPr>
          <w:rFonts w:ascii="Arial" w:hAnsi="Arial" w:cs="Arial"/>
          <w:b/>
          <w:bCs/>
        </w:rPr>
      </w:pPr>
      <w:r w:rsidRPr="009B7BE3">
        <w:rPr>
          <w:rFonts w:ascii="Arial" w:hAnsi="Arial" w:cs="Arial"/>
          <w:b/>
          <w:bCs/>
          <w:noProof/>
          <w:lang w:eastAsia="en-US"/>
        </w:rPr>
        <w:lastRenderedPageBreak/>
        <w:drawing>
          <wp:inline distT="0" distB="0" distL="0" distR="0" wp14:anchorId="349DE78C" wp14:editId="10B8DB6F">
            <wp:extent cx="5486400" cy="3200400"/>
            <wp:effectExtent l="0" t="0" r="0" b="0"/>
            <wp:docPr id="171427803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EA580D" w14:textId="1C4191FC" w:rsidR="001918C5" w:rsidRPr="009B7BE3" w:rsidRDefault="001918C5">
      <w:pPr>
        <w:rPr>
          <w:rFonts w:ascii="Arial" w:hAnsi="Arial" w:cs="Arial"/>
          <w:b/>
          <w:bCs/>
        </w:rPr>
      </w:pPr>
      <w:r w:rsidRPr="009B7BE3">
        <w:rPr>
          <w:rFonts w:ascii="Arial" w:hAnsi="Arial" w:cs="Arial"/>
          <w:b/>
          <w:bCs/>
        </w:rPr>
        <w:t xml:space="preserve">Figure </w:t>
      </w:r>
      <w:r w:rsidR="00CF4A14">
        <w:rPr>
          <w:rFonts w:ascii="Arial" w:hAnsi="Arial" w:cs="Arial"/>
          <w:b/>
          <w:bCs/>
        </w:rPr>
        <w:t>4</w:t>
      </w:r>
      <w:r w:rsidRPr="009B7BE3">
        <w:rPr>
          <w:rFonts w:ascii="Arial" w:hAnsi="Arial" w:cs="Arial"/>
          <w:b/>
          <w:bCs/>
        </w:rPr>
        <w:t>: Mean eGFR in relation to co-morbidities</w:t>
      </w:r>
    </w:p>
    <w:p w14:paraId="1E1F40AA" w14:textId="77777777" w:rsidR="00A72573" w:rsidRPr="009B7BE3" w:rsidRDefault="00A72573">
      <w:pPr>
        <w:rPr>
          <w:rFonts w:ascii="Arial" w:hAnsi="Arial" w:cs="Arial"/>
          <w:b/>
          <w:bCs/>
        </w:rPr>
      </w:pPr>
    </w:p>
    <w:p w14:paraId="0E9212C4" w14:textId="77777777" w:rsidR="00A72573" w:rsidRPr="00666EFA" w:rsidRDefault="00A72573" w:rsidP="00A72573">
      <w:pPr>
        <w:rPr>
          <w:rFonts w:ascii="Arial" w:hAnsi="Arial" w:cs="Arial"/>
          <w:b/>
          <w:bCs/>
          <w:sz w:val="22"/>
        </w:rPr>
      </w:pPr>
      <w:r w:rsidRPr="00666EFA">
        <w:rPr>
          <w:rFonts w:ascii="Arial" w:hAnsi="Arial" w:cs="Arial"/>
          <w:b/>
          <w:bCs/>
          <w:sz w:val="22"/>
        </w:rPr>
        <w:t>DISCUSSION</w:t>
      </w:r>
    </w:p>
    <w:p w14:paraId="36154F11" w14:textId="77777777" w:rsidR="00CF4A14" w:rsidRPr="00666EFA" w:rsidRDefault="00CF4A14" w:rsidP="00CF4A14">
      <w:pPr>
        <w:spacing w:line="360" w:lineRule="auto"/>
        <w:rPr>
          <w:rFonts w:ascii="Arial" w:hAnsi="Arial" w:cs="Arial"/>
          <w:sz w:val="20"/>
          <w:szCs w:val="20"/>
        </w:rPr>
      </w:pPr>
      <w:r w:rsidRPr="00666EFA">
        <w:rPr>
          <w:rFonts w:ascii="Arial" w:hAnsi="Arial" w:cs="Arial"/>
          <w:sz w:val="20"/>
          <w:szCs w:val="20"/>
        </w:rPr>
        <w:t>A key observation was the significant decline in kidney function with increasing age. The mean eGFR was highest among participants aged ≤40 years and declined progressively across older age groups, reaching the lowest value among those aged &gt;60 years. This trend is consistent with existing literature, which identifies aging as a non-modifiable risk factor for reduced renal function due to nephron loss, decreased renal perfusion, and age-associated glomerulosclerosis.</w:t>
      </w:r>
      <w:sdt>
        <w:sdtPr>
          <w:rPr>
            <w:rFonts w:ascii="Arial" w:hAnsi="Arial" w:cs="Arial"/>
            <w:color w:val="000000"/>
            <w:sz w:val="20"/>
            <w:szCs w:val="20"/>
          </w:rPr>
          <w:tag w:val="MENDELEY_CITATION_v3_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"/>
          <w:id w:val="1461147533"/>
          <w:placeholder>
            <w:docPart w:val="E524C90C877A4E9EABE9096B6AECCC9C"/>
          </w:placeholder>
        </w:sdtPr>
        <w:sdtContent>
          <w:r w:rsidRPr="003960AA">
            <w:rPr>
              <w:rFonts w:ascii="Arial" w:hAnsi="Arial" w:cs="Arial"/>
              <w:color w:val="000000"/>
              <w:sz w:val="20"/>
              <w:szCs w:val="20"/>
            </w:rPr>
            <w:t>(Denic et al., 2016)</w:t>
          </w:r>
        </w:sdtContent>
      </w:sdt>
      <w:r w:rsidRPr="00666EFA">
        <w:rPr>
          <w:rFonts w:ascii="Arial" w:hAnsi="Arial" w:cs="Arial"/>
          <w:sz w:val="20"/>
          <w:szCs w:val="20"/>
        </w:rPr>
        <w:t xml:space="preserve"> In our study, this decline shows the need for routine renal function monitoring in older adults, even in the absence of overt disease.</w:t>
      </w:r>
    </w:p>
    <w:p w14:paraId="6A871CE9" w14:textId="77777777" w:rsidR="00CF4A14" w:rsidRPr="00666EFA" w:rsidRDefault="00CF4A14" w:rsidP="00CF4A14">
      <w:pPr>
        <w:spacing w:line="360" w:lineRule="auto"/>
        <w:rPr>
          <w:rFonts w:ascii="Arial" w:hAnsi="Arial" w:cs="Arial"/>
          <w:sz w:val="20"/>
          <w:szCs w:val="20"/>
        </w:rPr>
      </w:pPr>
      <w:r w:rsidRPr="00666EFA">
        <w:rPr>
          <w:rFonts w:ascii="Arial" w:hAnsi="Arial" w:cs="Arial"/>
          <w:sz w:val="20"/>
          <w:szCs w:val="20"/>
        </w:rPr>
        <w:t>Unlike age, gender did not demonstrate a significant association with eGFR, as both male and female participants had similar mean values. This aligns with previous studies that found negligible gender differences when eGFR is indexed to body surface area.</w:t>
      </w:r>
      <w:sdt>
        <w:sdtPr>
          <w:rPr>
            <w:rFonts w:ascii="Arial" w:hAnsi="Arial" w:cs="Arial"/>
            <w:color w:val="000000"/>
            <w:sz w:val="20"/>
            <w:szCs w:val="20"/>
          </w:rPr>
          <w:tag w:val="MENDELEY_CITATION_v3_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"/>
          <w:id w:val="-345016278"/>
          <w:placeholder>
            <w:docPart w:val="E524C90C877A4E9EABE9096B6AECCC9C"/>
          </w:placeholder>
        </w:sdtPr>
        <w:sdtContent>
          <w:r w:rsidRPr="003960AA">
            <w:rPr>
              <w:rFonts w:ascii="Arial" w:hAnsi="Arial" w:cs="Arial"/>
              <w:color w:val="000000"/>
              <w:sz w:val="20"/>
              <w:szCs w:val="20"/>
            </w:rPr>
            <w:t>(Ellam et al., 2013)</w:t>
          </w:r>
        </w:sdtContent>
      </w:sdt>
      <w:r w:rsidRPr="00666EFA">
        <w:rPr>
          <w:rFonts w:ascii="Arial" w:hAnsi="Arial" w:cs="Arial"/>
          <w:sz w:val="20"/>
          <w:szCs w:val="20"/>
        </w:rPr>
        <w:t xml:space="preserve"> However, other studies have reported gender variations in renal function, possibly influenced by hormonal, muscle mass, and dietary factors.</w:t>
      </w:r>
      <w:sdt>
        <w:sdtPr>
          <w:rPr>
            <w:rFonts w:ascii="Arial" w:hAnsi="Arial" w:cs="Arial"/>
            <w:color w:val="000000"/>
            <w:sz w:val="20"/>
            <w:szCs w:val="20"/>
          </w:rPr>
          <w:tag w:val="MENDELEY_CITATION_v3_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"/>
          <w:id w:val="814616962"/>
          <w:placeholder>
            <w:docPart w:val="E524C90C877A4E9EABE9096B6AECCC9C"/>
          </w:placeholder>
        </w:sdtPr>
        <w:sdtContent>
          <w:r w:rsidRPr="003960AA">
            <w:rPr>
              <w:rFonts w:ascii="Arial" w:hAnsi="Arial" w:cs="Arial"/>
              <w:color w:val="000000"/>
              <w:sz w:val="20"/>
              <w:szCs w:val="20"/>
            </w:rPr>
            <w:t>(Fenton et al., 2018; Franco-Acevedo et al., 2021)</w:t>
          </w:r>
        </w:sdtContent>
      </w:sdt>
      <w:r w:rsidRPr="00666EFA">
        <w:rPr>
          <w:rFonts w:ascii="Arial" w:hAnsi="Arial" w:cs="Arial"/>
          <w:sz w:val="20"/>
          <w:szCs w:val="20"/>
        </w:rPr>
        <w:t xml:space="preserve"> The lack of difference in this cohort may reflect a relatively homogenous sample or the overriding influence of other risk factors.</w:t>
      </w:r>
    </w:p>
    <w:p w14:paraId="5C6CF966" w14:textId="77777777" w:rsidR="00CF4A14" w:rsidRPr="00666EFA" w:rsidRDefault="00CF4A14" w:rsidP="00CF4A14">
      <w:pPr>
        <w:spacing w:line="360" w:lineRule="auto"/>
        <w:rPr>
          <w:rFonts w:ascii="Arial" w:hAnsi="Arial" w:cs="Arial"/>
          <w:sz w:val="20"/>
          <w:szCs w:val="20"/>
        </w:rPr>
      </w:pPr>
      <w:r w:rsidRPr="00666EFA">
        <w:rPr>
          <w:rFonts w:ascii="Arial" w:hAnsi="Arial" w:cs="Arial"/>
          <w:sz w:val="20"/>
          <w:szCs w:val="20"/>
        </w:rPr>
        <w:t>Although participants with diabetes and hypertension had lower mean eGFR values compared to their non-diabetic and normotensive counterparts, these differences did not reach statistical significance. This is somewhat surprising given the well-established role of these conditions as major contributors to chronic kidney disease.</w:t>
      </w:r>
      <w:sdt>
        <w:sdtPr>
          <w:rPr>
            <w:rFonts w:ascii="Arial" w:hAnsi="Arial" w:cs="Arial"/>
            <w:color w:val="000000"/>
            <w:sz w:val="20"/>
            <w:szCs w:val="20"/>
          </w:rPr>
          <w:tag w:val="MENDELEY_CITATION_v3_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"/>
          <w:id w:val="19369576"/>
          <w:placeholder>
            <w:docPart w:val="E524C90C877A4E9EABE9096B6AECCC9C"/>
          </w:placeholder>
        </w:sdtPr>
        <w:sdtContent>
          <w:r w:rsidRPr="003960AA">
            <w:rPr>
              <w:rFonts w:ascii="Arial" w:hAnsi="Arial" w:cs="Arial"/>
              <w:color w:val="000000"/>
              <w:sz w:val="20"/>
              <w:szCs w:val="20"/>
            </w:rPr>
            <w:t>(Akpor et al., 2022; Kabinga et al., 2024)</w:t>
          </w:r>
        </w:sdtContent>
      </w:sdt>
      <w:r w:rsidRPr="00666EFA">
        <w:rPr>
          <w:rFonts w:ascii="Arial" w:hAnsi="Arial" w:cs="Arial"/>
          <w:sz w:val="20"/>
          <w:szCs w:val="20"/>
        </w:rPr>
        <w:t xml:space="preserve"> One possible explanation is that many of the affected participants may have been receiving treatment, thereby mitigating further renal damage. </w:t>
      </w:r>
      <w:r w:rsidRPr="00666EFA">
        <w:rPr>
          <w:rFonts w:ascii="Arial" w:hAnsi="Arial" w:cs="Arial"/>
          <w:sz w:val="20"/>
          <w:szCs w:val="20"/>
        </w:rPr>
        <w:lastRenderedPageBreak/>
        <w:t>Additionally, the cross-sectional design limits inference about duration or control status of these comorbidities, which are critical determinants of renal outcome.</w:t>
      </w:r>
    </w:p>
    <w:p w14:paraId="5BA8A754" w14:textId="77777777" w:rsidR="00CF4A14" w:rsidRPr="00666EFA" w:rsidRDefault="00CF4A14" w:rsidP="00CF4A14">
      <w:pPr>
        <w:spacing w:line="360" w:lineRule="auto"/>
        <w:rPr>
          <w:rFonts w:ascii="Arial" w:hAnsi="Arial" w:cs="Arial"/>
          <w:sz w:val="20"/>
          <w:szCs w:val="20"/>
        </w:rPr>
      </w:pPr>
      <w:r w:rsidRPr="00666EFA">
        <w:rPr>
          <w:rFonts w:ascii="Arial" w:hAnsi="Arial" w:cs="Arial"/>
          <w:sz w:val="20"/>
          <w:szCs w:val="20"/>
        </w:rPr>
        <w:t>Proteinuria, a marker of kidney damage, was not significantly associated with lower eGFR in this study. However, the presence of haematuria was significantly linked to reduced renal function. This suggests a possible underlying glomerular pathology in affected individuals, warranting further investigation. In resource-limited settings like Nigeria, routine urine dipstick testing can serve as a cost-effective tool for early detection of kidney injury.</w:t>
      </w:r>
      <w:sdt>
        <w:sdtPr>
          <w:rPr>
            <w:rFonts w:ascii="Arial" w:hAnsi="Arial" w:cs="Arial"/>
            <w:color w:val="000000"/>
            <w:sz w:val="20"/>
            <w:szCs w:val="20"/>
          </w:rPr>
          <w:tag w:val="MENDELEY_CITATION_v3_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"/>
          <w:id w:val="621192215"/>
          <w:placeholder>
            <w:docPart w:val="E524C90C877A4E9EABE9096B6AECCC9C"/>
          </w:placeholder>
        </w:sdtPr>
        <w:sdtContent>
          <w:r w:rsidRPr="003960AA">
            <w:rPr>
              <w:rFonts w:ascii="Arial" w:hAnsi="Arial" w:cs="Arial"/>
              <w:color w:val="000000"/>
              <w:sz w:val="20"/>
              <w:szCs w:val="20"/>
            </w:rPr>
            <w:t>(Mmoh et al., 2022)</w:t>
          </w:r>
        </w:sdtContent>
      </w:sdt>
    </w:p>
    <w:p w14:paraId="70282338" w14:textId="77777777" w:rsidR="00CF4A14" w:rsidRDefault="00CF4A14" w:rsidP="00CF4A14">
      <w:pPr>
        <w:spacing w:line="360" w:lineRule="auto"/>
        <w:rPr>
          <w:rFonts w:ascii="Arial" w:hAnsi="Arial" w:cs="Arial"/>
          <w:sz w:val="20"/>
          <w:szCs w:val="20"/>
        </w:rPr>
      </w:pPr>
      <w:r w:rsidRPr="00666EFA">
        <w:rPr>
          <w:rFonts w:ascii="Arial" w:hAnsi="Arial" w:cs="Arial"/>
          <w:sz w:val="20"/>
          <w:szCs w:val="20"/>
        </w:rPr>
        <w:t>Anthropometric indices showed noteworthy associations. Waist–hip ratio correlated negatively with eGFR and positively with both random blood sugar and body mass index. Similarly, BMI also demonstrated a modest but statistically significant inverse correlation with eGFR (r = –0.169, p = .049). These findings are in keeping with the growing evidence that central obesity and metabolic syndrome contribute to renal dysfunction through pathways involving insulin resistance, inflammation, and glomerular hyperfiltration.</w:t>
      </w:r>
      <w:sdt>
        <w:sdtPr>
          <w:rPr>
            <w:rFonts w:ascii="Arial" w:hAnsi="Arial" w:cs="Arial"/>
            <w:color w:val="000000"/>
            <w:sz w:val="20"/>
            <w:szCs w:val="20"/>
          </w:rPr>
          <w:tag w:val="MENDELEY_CITATION_v3_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"/>
          <w:id w:val="101924333"/>
          <w:placeholder>
            <w:docPart w:val="E524C90C877A4E9EABE9096B6AECCC9C"/>
          </w:placeholder>
        </w:sdtPr>
        <w:sdtContent>
          <w:r w:rsidRPr="003960AA">
            <w:rPr>
              <w:rFonts w:eastAsia="Times New Roman"/>
              <w:color w:val="000000"/>
              <w:sz w:val="20"/>
            </w:rPr>
            <w:t>(Bansal &amp; Chonchol, 2025; Hall et al., 2020)</w:t>
          </w:r>
        </w:sdtContent>
      </w:sdt>
      <w:r w:rsidRPr="00666EFA">
        <w:rPr>
          <w:rFonts w:ascii="Arial" w:hAnsi="Arial" w:cs="Arial"/>
          <w:sz w:val="20"/>
          <w:szCs w:val="20"/>
        </w:rPr>
        <w:t xml:space="preserve"> Given the rising prevalence of obesity in Nigeria, these results highlight the importance of lifestyle interventions in kidney disease prevention.</w:t>
      </w:r>
    </w:p>
    <w:p w14:paraId="4EDC1627" w14:textId="77777777" w:rsidR="00CF4A14" w:rsidRPr="00666EFA" w:rsidRDefault="00CF4A14" w:rsidP="00CF4A14">
      <w:pPr>
        <w:spacing w:line="360" w:lineRule="auto"/>
        <w:rPr>
          <w:rFonts w:ascii="Arial" w:hAnsi="Arial" w:cs="Arial"/>
          <w:b/>
          <w:bCs/>
          <w:sz w:val="20"/>
          <w:szCs w:val="20"/>
        </w:rPr>
      </w:pPr>
      <w:r w:rsidRPr="006B6C4E">
        <w:rPr>
          <w:rFonts w:ascii="Arial" w:hAnsi="Arial" w:cs="Arial"/>
          <w:sz w:val="20"/>
          <w:szCs w:val="20"/>
        </w:rPr>
        <w:t>Multivariate analysis demonstrated that advancing age and the presence of haematuria were independently associated with reduced kidney function among the study participants. The odds of reduced eGFR decreased by approximately 8.5% for each additional year of age (OR 0.9</w:t>
      </w:r>
      <w:r>
        <w:rPr>
          <w:rFonts w:ascii="Arial" w:hAnsi="Arial" w:cs="Arial"/>
          <w:sz w:val="20"/>
          <w:szCs w:val="20"/>
        </w:rPr>
        <w:t>2</w:t>
      </w:r>
      <w:r w:rsidRPr="006B6C4E">
        <w:rPr>
          <w:rFonts w:ascii="Arial" w:hAnsi="Arial" w:cs="Arial"/>
          <w:sz w:val="20"/>
          <w:szCs w:val="20"/>
        </w:rPr>
        <w:t xml:space="preserve">), </w:t>
      </w:r>
      <w:r>
        <w:rPr>
          <w:rFonts w:ascii="Arial" w:hAnsi="Arial" w:cs="Arial"/>
          <w:sz w:val="20"/>
          <w:szCs w:val="20"/>
        </w:rPr>
        <w:t>highlighting</w:t>
      </w:r>
      <w:r w:rsidRPr="006B6C4E">
        <w:rPr>
          <w:rFonts w:ascii="Arial" w:hAnsi="Arial" w:cs="Arial"/>
          <w:sz w:val="20"/>
          <w:szCs w:val="20"/>
        </w:rPr>
        <w:t xml:space="preserve"> age as a strong non-modifiable risk factor. Meanwhile, participants with haematuria had over eightfold increased odds of impaired renal function (OR 8.27), suggesting haematuria as a critical clinical marker warranting further investigation. Gender, waist–hip ratio, and BMI did not retain statistical significance in the adjusted model, indicating that while these factors showed some correlation on univariate analysis, their independent predictive value was limited within this cohort. </w:t>
      </w:r>
    </w:p>
    <w:p w14:paraId="6C4AA4EA" w14:textId="77777777" w:rsidR="00CF4A14" w:rsidRPr="00895E79" w:rsidRDefault="00CF4A14" w:rsidP="00CF4A14">
      <w:pPr>
        <w:spacing w:line="360" w:lineRule="auto"/>
        <w:rPr>
          <w:rFonts w:ascii="Arial" w:hAnsi="Arial" w:cs="Arial"/>
          <w:b/>
          <w:bCs/>
          <w:caps/>
          <w:sz w:val="20"/>
          <w:szCs w:val="20"/>
        </w:rPr>
      </w:pPr>
      <w:r w:rsidRPr="00895E79">
        <w:rPr>
          <w:rFonts w:ascii="Arial" w:hAnsi="Arial" w:cs="Arial"/>
          <w:b/>
          <w:bCs/>
          <w:caps/>
          <w:sz w:val="20"/>
          <w:szCs w:val="20"/>
        </w:rPr>
        <w:t>Conclusion</w:t>
      </w:r>
    </w:p>
    <w:p w14:paraId="06A5A18B" w14:textId="77777777" w:rsidR="00CF4A14" w:rsidRDefault="00CF4A14" w:rsidP="00CF4A14">
      <w:pPr>
        <w:spacing w:line="360" w:lineRule="auto"/>
        <w:rPr>
          <w:rFonts w:ascii="Arial" w:hAnsi="Arial" w:cs="Arial"/>
          <w:sz w:val="20"/>
          <w:szCs w:val="20"/>
        </w:rPr>
      </w:pPr>
      <w:r w:rsidRPr="0028692A">
        <w:rPr>
          <w:rFonts w:ascii="Arial" w:hAnsi="Arial" w:cs="Arial"/>
          <w:sz w:val="20"/>
          <w:szCs w:val="20"/>
        </w:rPr>
        <w:t>This study identified advancing age as the primary independent predictor of declining kidney function among adult outpatients at UBTH. Additionally, the presence of haematuria was significantly associated with impaired renal function, underscoring its clinical importance. Consequently, routine eGFR screening should be prioritized for older adults and patients presenting with haematuria to facilitate early detection of chronic kidney disease. Although central obesity showed an association with renal impairment in univariate analysis, it did not retain independent significance after multivariate adjustment.</w:t>
      </w:r>
    </w:p>
    <w:p w14:paraId="1B3300C7" w14:textId="77777777" w:rsidR="00CF4A14" w:rsidRPr="00895E79" w:rsidRDefault="00CF4A14" w:rsidP="00CF4A14">
      <w:pPr>
        <w:spacing w:line="360" w:lineRule="auto"/>
        <w:rPr>
          <w:rFonts w:ascii="Arial" w:hAnsi="Arial" w:cs="Arial"/>
          <w:b/>
          <w:bCs/>
          <w:caps/>
          <w:sz w:val="20"/>
          <w:szCs w:val="20"/>
        </w:rPr>
      </w:pPr>
      <w:r w:rsidRPr="00895E79">
        <w:rPr>
          <w:rFonts w:ascii="Arial" w:hAnsi="Arial" w:cs="Arial"/>
          <w:b/>
          <w:bCs/>
          <w:caps/>
          <w:sz w:val="20"/>
          <w:szCs w:val="20"/>
        </w:rPr>
        <w:t>Limitations</w:t>
      </w:r>
    </w:p>
    <w:p w14:paraId="0EB19D60" w14:textId="77777777" w:rsidR="00CF4A14" w:rsidRPr="00666EFA" w:rsidRDefault="00CF4A14" w:rsidP="00CF4A14">
      <w:pPr>
        <w:spacing w:line="360" w:lineRule="auto"/>
        <w:rPr>
          <w:rFonts w:ascii="Arial" w:hAnsi="Arial" w:cs="Arial"/>
          <w:b/>
          <w:bCs/>
          <w:sz w:val="20"/>
          <w:szCs w:val="20"/>
        </w:rPr>
      </w:pPr>
      <w:r w:rsidRPr="00895E79">
        <w:rPr>
          <w:rFonts w:ascii="Arial" w:hAnsi="Arial" w:cs="Arial"/>
          <w:sz w:val="20"/>
          <w:szCs w:val="20"/>
        </w:rPr>
        <w:t xml:space="preserve">This study used a single eGFR measurement, which may over- or underestimate chronic kidney disease prevalence, as CKD diagnosis typically requires persistently reduced eGFR over at least three months. </w:t>
      </w:r>
      <w:r>
        <w:rPr>
          <w:rFonts w:ascii="Arial" w:hAnsi="Arial" w:cs="Arial"/>
          <w:sz w:val="20"/>
          <w:szCs w:val="20"/>
        </w:rPr>
        <w:t xml:space="preserve">The single centre and use of convenience sampling may also limit generalizability of findings. </w:t>
      </w:r>
      <w:r w:rsidRPr="00895E79">
        <w:rPr>
          <w:rFonts w:ascii="Arial" w:hAnsi="Arial" w:cs="Arial"/>
          <w:sz w:val="20"/>
          <w:szCs w:val="20"/>
        </w:rPr>
        <w:t xml:space="preserve">Proteinuria and haematuria were assessed using dipstick tests without quantitative measures like albumin-to-creatinine or </w:t>
      </w:r>
      <w:r w:rsidRPr="00895E79">
        <w:rPr>
          <w:rFonts w:ascii="Arial" w:hAnsi="Arial" w:cs="Arial"/>
          <w:sz w:val="20"/>
          <w:szCs w:val="20"/>
        </w:rPr>
        <w:lastRenderedPageBreak/>
        <w:t>protein-to-creatinine ratios, limiting diagnostic accuracy.</w:t>
      </w:r>
      <w:r>
        <w:rPr>
          <w:rFonts w:ascii="Arial" w:hAnsi="Arial" w:cs="Arial"/>
          <w:sz w:val="20"/>
          <w:szCs w:val="20"/>
        </w:rPr>
        <w:t xml:space="preserve"> C</w:t>
      </w:r>
      <w:r w:rsidRPr="00895E79">
        <w:rPr>
          <w:rFonts w:ascii="Arial" w:hAnsi="Arial" w:cs="Arial"/>
          <w:sz w:val="20"/>
          <w:szCs w:val="20"/>
        </w:rPr>
        <w:t>linical details regarding the duration, severity, and treatment adherence for diabetes and hypertension were not captured, which may affect kidney function outcomes.</w:t>
      </w:r>
      <w:r>
        <w:rPr>
          <w:rFonts w:ascii="Arial" w:hAnsi="Arial" w:cs="Arial"/>
          <w:sz w:val="20"/>
          <w:szCs w:val="20"/>
        </w:rPr>
        <w:t xml:space="preserve"> </w:t>
      </w:r>
      <w:r w:rsidRPr="006B6C4E">
        <w:rPr>
          <w:rFonts w:ascii="Arial" w:hAnsi="Arial" w:cs="Arial"/>
          <w:sz w:val="20"/>
          <w:szCs w:val="20"/>
        </w:rPr>
        <w:t>The extremely large odds ratio and wide confidence interval observed for waist–hip ratio may reflect model instability possibly due sample size limitations, and should be interpreted cautiously</w:t>
      </w:r>
      <w:r>
        <w:rPr>
          <w:rFonts w:ascii="Arial" w:hAnsi="Arial" w:cs="Arial"/>
          <w:sz w:val="20"/>
          <w:szCs w:val="20"/>
        </w:rPr>
        <w:t>.</w:t>
      </w:r>
    </w:p>
    <w:p w14:paraId="7C9AE9EB" w14:textId="77777777" w:rsidR="00DB7232" w:rsidRDefault="00DB7232" w:rsidP="006D1B06">
      <w:pPr>
        <w:spacing w:line="360" w:lineRule="auto"/>
        <w:rPr>
          <w:rFonts w:ascii="Arial" w:hAnsi="Arial" w:cs="Arial"/>
          <w:sz w:val="20"/>
          <w:szCs w:val="20"/>
        </w:rPr>
      </w:pPr>
    </w:p>
    <w:p w14:paraId="05C70619" w14:textId="77777777" w:rsidR="00DB7232" w:rsidRPr="00DB7232" w:rsidRDefault="00DB7232" w:rsidP="00DB7232">
      <w:pPr>
        <w:spacing w:line="360" w:lineRule="auto"/>
        <w:rPr>
          <w:rFonts w:ascii="Arial" w:hAnsi="Arial" w:cs="Arial"/>
          <w:sz w:val="20"/>
          <w:szCs w:val="20"/>
        </w:rPr>
      </w:pPr>
      <w:r w:rsidRPr="00DB7232">
        <w:rPr>
          <w:rFonts w:ascii="Arial" w:hAnsi="Arial" w:cs="Arial"/>
          <w:sz w:val="20"/>
          <w:szCs w:val="20"/>
        </w:rPr>
        <w:t>COMPETING INTERESTS DISCLAIMER:</w:t>
      </w:r>
    </w:p>
    <w:p w14:paraId="2C1280C6" w14:textId="3F418F79" w:rsidR="00DB7232" w:rsidRPr="000D1236" w:rsidRDefault="00DB7232" w:rsidP="00DB7232">
      <w:pPr>
        <w:spacing w:line="360" w:lineRule="auto"/>
        <w:rPr>
          <w:rFonts w:ascii="Arial" w:hAnsi="Arial" w:cs="Arial"/>
          <w:sz w:val="20"/>
          <w:szCs w:val="20"/>
        </w:rPr>
      </w:pPr>
      <w:r w:rsidRPr="00DB7232">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7A8C61AC" w14:textId="30C257C8" w:rsidR="00BE4A55" w:rsidRDefault="00BE4A55" w:rsidP="006D1B06">
      <w:pPr>
        <w:spacing w:line="360" w:lineRule="auto"/>
        <w:rPr>
          <w:rFonts w:ascii="Arial" w:hAnsi="Arial" w:cs="Arial"/>
        </w:rPr>
      </w:pPr>
    </w:p>
    <w:p w14:paraId="472F4116" w14:textId="77777777" w:rsidR="00D5337C" w:rsidRPr="00346C4C" w:rsidRDefault="00D5337C" w:rsidP="00D5337C">
      <w:pPr>
        <w:rPr>
          <w:highlight w:val="yellow"/>
        </w:rPr>
      </w:pPr>
      <w:r w:rsidRPr="00346C4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E0B4AB" w14:textId="77777777" w:rsidR="00D5337C" w:rsidRPr="00346C4C" w:rsidRDefault="00D5337C" w:rsidP="00D5337C">
      <w:pPr>
        <w:rPr>
          <w:highlight w:val="yellow"/>
        </w:rPr>
      </w:pPr>
    </w:p>
    <w:p w14:paraId="197FEF7F" w14:textId="77777777" w:rsidR="00D5337C" w:rsidRPr="00346C4C" w:rsidRDefault="00D5337C" w:rsidP="00D5337C">
      <w:pPr>
        <w:rPr>
          <w:highlight w:val="yellow"/>
        </w:rPr>
      </w:pPr>
      <w:r w:rsidRPr="00346C4C">
        <w:rPr>
          <w:highlight w:val="yellow"/>
        </w:rPr>
        <w:t>Details of the AI usage are given below:</w:t>
      </w:r>
    </w:p>
    <w:p w14:paraId="26DE7ABF" w14:textId="6CB94DC2" w:rsidR="00D5337C" w:rsidRPr="00206C78" w:rsidRDefault="00D5337C" w:rsidP="00206C78">
      <w:pPr>
        <w:rPr>
          <w:highlight w:val="yellow"/>
        </w:rPr>
      </w:pPr>
      <w:r w:rsidRPr="00346C4C">
        <w:rPr>
          <w:highlight w:val="yellow"/>
        </w:rPr>
        <w:t>1.</w:t>
      </w:r>
      <w:r w:rsidR="00CF4A14">
        <w:rPr>
          <w:highlight w:val="yellow"/>
        </w:rPr>
        <w:t xml:space="preserve"> </w:t>
      </w:r>
      <w:r w:rsidR="00206C78">
        <w:rPr>
          <w:highlight w:val="yellow"/>
        </w:rPr>
        <w:t>ChatGPT4</w:t>
      </w:r>
      <w:r w:rsidR="00CF4A14">
        <w:rPr>
          <w:highlight w:val="yellow"/>
        </w:rPr>
        <w:t xml:space="preserve"> was used in the refinement of phrasing</w:t>
      </w:r>
      <w:r w:rsidR="00206C78">
        <w:rPr>
          <w:highlight w:val="yellow"/>
        </w:rPr>
        <w:t xml:space="preserve"> in the manuscript draft for improved clarity</w:t>
      </w:r>
    </w:p>
    <w:p w14:paraId="2AAE5D50" w14:textId="77777777" w:rsidR="00D5337C" w:rsidRPr="009B7BE3" w:rsidRDefault="00D5337C" w:rsidP="006D1B06">
      <w:pPr>
        <w:spacing w:line="360" w:lineRule="auto"/>
        <w:rPr>
          <w:rFonts w:ascii="Arial" w:hAnsi="Arial" w:cs="Arial"/>
        </w:rPr>
      </w:pPr>
    </w:p>
    <w:p w14:paraId="735BC16B" w14:textId="1FC45FFE" w:rsidR="00BE4A55" w:rsidRPr="003960AA" w:rsidRDefault="00BE4A55" w:rsidP="006D1B06">
      <w:pPr>
        <w:spacing w:line="360" w:lineRule="auto"/>
        <w:rPr>
          <w:rFonts w:ascii="Arial" w:hAnsi="Arial" w:cs="Arial"/>
          <w:b/>
          <w:bCs/>
          <w:sz w:val="20"/>
          <w:szCs w:val="20"/>
        </w:rPr>
      </w:pPr>
      <w:r w:rsidRPr="004B0D8C">
        <w:rPr>
          <w:rFonts w:ascii="Arial" w:hAnsi="Arial" w:cs="Arial"/>
          <w:b/>
          <w:bCs/>
          <w:sz w:val="22"/>
        </w:rPr>
        <w:t>REFERENCES</w:t>
      </w:r>
    </w:p>
    <w:sdt>
      <w:sdtPr>
        <w:rPr>
          <w:rFonts w:ascii="Arial" w:hAnsi="Arial" w:cs="Arial"/>
          <w:color w:val="000000"/>
          <w:sz w:val="20"/>
          <w:szCs w:val="20"/>
        </w:rPr>
        <w:tag w:val="MENDELEY_BIBLIOGRAPHY"/>
        <w:id w:val="-904374917"/>
        <w:placeholder>
          <w:docPart w:val="DefaultPlaceholder_-1854013440"/>
        </w:placeholder>
      </w:sdtPr>
      <w:sdtContent>
        <w:p w14:paraId="4199AA38" w14:textId="77777777" w:rsidR="003960AA" w:rsidRPr="003960AA" w:rsidRDefault="003960AA">
          <w:pPr>
            <w:autoSpaceDE w:val="0"/>
            <w:autoSpaceDN w:val="0"/>
            <w:ind w:hanging="480"/>
            <w:divId w:val="230701034"/>
            <w:rPr>
              <w:rFonts w:ascii="Arial" w:eastAsia="Times New Roman" w:hAnsi="Arial" w:cs="Arial"/>
              <w:kern w:val="0"/>
              <w:sz w:val="20"/>
              <w:szCs w:val="20"/>
              <w14:ligatures w14:val="none"/>
            </w:rPr>
          </w:pPr>
          <w:r w:rsidRPr="003960AA">
            <w:rPr>
              <w:rFonts w:ascii="Arial" w:eastAsia="Times New Roman" w:hAnsi="Arial" w:cs="Arial"/>
              <w:sz w:val="20"/>
              <w:szCs w:val="20"/>
            </w:rPr>
            <w:t xml:space="preserve">Adetunji, A. S., &amp; Fatokun, T. S. (2023). CHALLENGES OF RENAL REPLACEMENT THERAPY IN NIGERIA: SOLUTIONS FROM MEDICAL STUDENTS’ PERSPECTIVES. </w:t>
          </w:r>
          <w:r w:rsidRPr="003960AA">
            <w:rPr>
              <w:rFonts w:ascii="Arial" w:eastAsia="Times New Roman" w:hAnsi="Arial" w:cs="Arial"/>
              <w:i/>
              <w:iCs/>
              <w:sz w:val="20"/>
              <w:szCs w:val="20"/>
            </w:rPr>
            <w:t>Annals of Ibadan Postgraduate Medicine</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21</w:t>
          </w:r>
          <w:r w:rsidRPr="003960AA">
            <w:rPr>
              <w:rFonts w:ascii="Arial" w:eastAsia="Times New Roman" w:hAnsi="Arial" w:cs="Arial"/>
              <w:sz w:val="20"/>
              <w:szCs w:val="20"/>
            </w:rPr>
            <w:t>(2), 70. https://pmc.ncbi.nlm.nih.gov/articles/PMC10811714/</w:t>
          </w:r>
        </w:p>
        <w:p w14:paraId="3F240F05" w14:textId="77777777" w:rsidR="003960AA" w:rsidRPr="003960AA" w:rsidRDefault="003960AA">
          <w:pPr>
            <w:autoSpaceDE w:val="0"/>
            <w:autoSpaceDN w:val="0"/>
            <w:ind w:hanging="480"/>
            <w:divId w:val="1034307268"/>
            <w:rPr>
              <w:rFonts w:ascii="Arial" w:eastAsia="Times New Roman" w:hAnsi="Arial" w:cs="Arial"/>
              <w:sz w:val="20"/>
              <w:szCs w:val="20"/>
            </w:rPr>
          </w:pPr>
          <w:r w:rsidRPr="003960AA">
            <w:rPr>
              <w:rFonts w:ascii="Arial" w:eastAsia="Times New Roman" w:hAnsi="Arial" w:cs="Arial"/>
              <w:sz w:val="20"/>
              <w:szCs w:val="20"/>
            </w:rPr>
            <w:t xml:space="preserve">Akpor, O. A., Adeoye, A. O., Ibitoba, F. A., &amp; Akpor, O. B. (2022). Prevalence of Chronic Kidney Disease Among Diabetes and Hypertensive Patients in a Teaching Hospital in Ekiti State, Southwest Nigeria. </w:t>
          </w:r>
          <w:r w:rsidRPr="003960AA">
            <w:rPr>
              <w:rFonts w:ascii="Arial" w:eastAsia="Times New Roman" w:hAnsi="Arial" w:cs="Arial"/>
              <w:i/>
              <w:iCs/>
              <w:sz w:val="20"/>
              <w:szCs w:val="20"/>
            </w:rPr>
            <w:t>The Open Public Health Journal</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15</w:t>
          </w:r>
          <w:r w:rsidRPr="003960AA">
            <w:rPr>
              <w:rFonts w:ascii="Arial" w:eastAsia="Times New Roman" w:hAnsi="Arial" w:cs="Arial"/>
              <w:sz w:val="20"/>
              <w:szCs w:val="20"/>
            </w:rPr>
            <w:t>(1). https://doi.org/10.2174/18749445-V15-E221220-2022-99,</w:t>
          </w:r>
        </w:p>
        <w:p w14:paraId="65610323" w14:textId="77777777" w:rsidR="003960AA" w:rsidRPr="003960AA" w:rsidRDefault="003960AA">
          <w:pPr>
            <w:autoSpaceDE w:val="0"/>
            <w:autoSpaceDN w:val="0"/>
            <w:ind w:hanging="480"/>
            <w:divId w:val="1326932010"/>
            <w:rPr>
              <w:rFonts w:ascii="Arial" w:eastAsia="Times New Roman" w:hAnsi="Arial" w:cs="Arial"/>
              <w:sz w:val="20"/>
              <w:szCs w:val="20"/>
            </w:rPr>
          </w:pPr>
          <w:r w:rsidRPr="003960AA">
            <w:rPr>
              <w:rFonts w:ascii="Arial" w:eastAsia="Times New Roman" w:hAnsi="Arial" w:cs="Arial"/>
              <w:sz w:val="20"/>
              <w:szCs w:val="20"/>
            </w:rPr>
            <w:t xml:space="preserve">Bansal, A., &amp; Chonchol, M. (2025). Metabolic dysfunction–associated kidney disease: pathogenesis and clinical manifestations. </w:t>
          </w:r>
          <w:r w:rsidRPr="003960AA">
            <w:rPr>
              <w:rFonts w:ascii="Arial" w:eastAsia="Times New Roman" w:hAnsi="Arial" w:cs="Arial"/>
              <w:i/>
              <w:iCs/>
              <w:sz w:val="20"/>
              <w:szCs w:val="20"/>
            </w:rPr>
            <w:t>Kidney International</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108</w:t>
          </w:r>
          <w:r w:rsidRPr="003960AA">
            <w:rPr>
              <w:rFonts w:ascii="Arial" w:eastAsia="Times New Roman" w:hAnsi="Arial" w:cs="Arial"/>
              <w:sz w:val="20"/>
              <w:szCs w:val="20"/>
            </w:rPr>
            <w:t>(2), 194–200. https://doi.org/10.1016/J.KINT.2025.01.044</w:t>
          </w:r>
        </w:p>
        <w:p w14:paraId="55C24B20" w14:textId="77777777" w:rsidR="003960AA" w:rsidRPr="003960AA" w:rsidRDefault="003960AA">
          <w:pPr>
            <w:autoSpaceDE w:val="0"/>
            <w:autoSpaceDN w:val="0"/>
            <w:ind w:hanging="480"/>
            <w:divId w:val="2139641415"/>
            <w:rPr>
              <w:rFonts w:ascii="Arial" w:eastAsia="Times New Roman" w:hAnsi="Arial" w:cs="Arial"/>
              <w:sz w:val="20"/>
              <w:szCs w:val="20"/>
            </w:rPr>
          </w:pPr>
          <w:r w:rsidRPr="003960AA">
            <w:rPr>
              <w:rFonts w:ascii="Arial" w:eastAsia="Times New Roman" w:hAnsi="Arial" w:cs="Arial"/>
              <w:sz w:val="20"/>
              <w:szCs w:val="20"/>
            </w:rPr>
            <w:t xml:space="preserve">Deng, L., Guo, S., Liu, Y., Zhou, Y., Liu, Y., Zheng, X., Yu, X., &amp; Shuai, P. (2025). Global, regional, and national burden of chronic kidney disease and its underlying etiologies from 1990 to 2021: a systematic analysis for the Global Burden of Disease Study 2021. </w:t>
          </w:r>
          <w:r w:rsidRPr="003960AA">
            <w:rPr>
              <w:rFonts w:ascii="Arial" w:eastAsia="Times New Roman" w:hAnsi="Arial" w:cs="Arial"/>
              <w:i/>
              <w:iCs/>
              <w:sz w:val="20"/>
              <w:szCs w:val="20"/>
            </w:rPr>
            <w:t>BMC Public Health</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25</w:t>
          </w:r>
          <w:r w:rsidRPr="003960AA">
            <w:rPr>
              <w:rFonts w:ascii="Arial" w:eastAsia="Times New Roman" w:hAnsi="Arial" w:cs="Arial"/>
              <w:sz w:val="20"/>
              <w:szCs w:val="20"/>
            </w:rPr>
            <w:t>(1), 1–17. https://doi.org/10.1186/S12889-025-21851-Z/FIGURES/5</w:t>
          </w:r>
        </w:p>
        <w:p w14:paraId="19C8FCAB" w14:textId="77777777" w:rsidR="003960AA" w:rsidRPr="003960AA" w:rsidRDefault="003960AA">
          <w:pPr>
            <w:autoSpaceDE w:val="0"/>
            <w:autoSpaceDN w:val="0"/>
            <w:ind w:hanging="480"/>
            <w:divId w:val="1585803185"/>
            <w:rPr>
              <w:rFonts w:ascii="Arial" w:eastAsia="Times New Roman" w:hAnsi="Arial" w:cs="Arial"/>
              <w:sz w:val="20"/>
              <w:szCs w:val="20"/>
            </w:rPr>
          </w:pPr>
          <w:r w:rsidRPr="003960AA">
            <w:rPr>
              <w:rFonts w:ascii="Arial" w:eastAsia="Times New Roman" w:hAnsi="Arial" w:cs="Arial"/>
              <w:sz w:val="20"/>
              <w:szCs w:val="20"/>
            </w:rPr>
            <w:t xml:space="preserve">Denic, A., Glassock, R. J., &amp; Rule, A. D. (2016). Structural and functional changes with the aging kidney. </w:t>
          </w:r>
          <w:r w:rsidRPr="003960AA">
            <w:rPr>
              <w:rFonts w:ascii="Arial" w:eastAsia="Times New Roman" w:hAnsi="Arial" w:cs="Arial"/>
              <w:i/>
              <w:iCs/>
              <w:sz w:val="20"/>
              <w:szCs w:val="20"/>
            </w:rPr>
            <w:t>Advances in Chronic Kidney Disease</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23</w:t>
          </w:r>
          <w:r w:rsidRPr="003960AA">
            <w:rPr>
              <w:rFonts w:ascii="Arial" w:eastAsia="Times New Roman" w:hAnsi="Arial" w:cs="Arial"/>
              <w:sz w:val="20"/>
              <w:szCs w:val="20"/>
            </w:rPr>
            <w:t>(1), 19. https://doi.org/10.1053/J.ACKD.2015.08.004</w:t>
          </w:r>
        </w:p>
        <w:p w14:paraId="4E91F121" w14:textId="77777777" w:rsidR="003960AA" w:rsidRPr="003960AA" w:rsidRDefault="003960AA">
          <w:pPr>
            <w:autoSpaceDE w:val="0"/>
            <w:autoSpaceDN w:val="0"/>
            <w:ind w:hanging="480"/>
            <w:divId w:val="2093161888"/>
            <w:rPr>
              <w:rFonts w:ascii="Arial" w:eastAsia="Times New Roman" w:hAnsi="Arial" w:cs="Arial"/>
              <w:sz w:val="20"/>
              <w:szCs w:val="20"/>
            </w:rPr>
          </w:pPr>
          <w:r w:rsidRPr="003960AA">
            <w:rPr>
              <w:rFonts w:ascii="Arial" w:eastAsia="Times New Roman" w:hAnsi="Arial" w:cs="Arial"/>
              <w:sz w:val="20"/>
              <w:szCs w:val="20"/>
            </w:rPr>
            <w:lastRenderedPageBreak/>
            <w:t xml:space="preserve">Ellam, T., Fotheringham, J., &amp; Kawar, B. (2013). Differential scaling of glomerular filtration rate and ingested metabolic burden: implications for gender differences in chronic kidney disease outcomes. </w:t>
          </w:r>
          <w:r w:rsidRPr="003960AA">
            <w:rPr>
              <w:rFonts w:ascii="Arial" w:eastAsia="Times New Roman" w:hAnsi="Arial" w:cs="Arial"/>
              <w:i/>
              <w:iCs/>
              <w:sz w:val="20"/>
              <w:szCs w:val="20"/>
            </w:rPr>
            <w:t>Nephrology Dialysis Transplantation</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29</w:t>
          </w:r>
          <w:r w:rsidRPr="003960AA">
            <w:rPr>
              <w:rFonts w:ascii="Arial" w:eastAsia="Times New Roman" w:hAnsi="Arial" w:cs="Arial"/>
              <w:sz w:val="20"/>
              <w:szCs w:val="20"/>
            </w:rPr>
            <w:t>(6), 1186. https://doi.org/10.1093/NDT/GFT466</w:t>
          </w:r>
        </w:p>
        <w:p w14:paraId="4FDC63FE" w14:textId="77777777" w:rsidR="003960AA" w:rsidRPr="003960AA" w:rsidRDefault="003960AA">
          <w:pPr>
            <w:autoSpaceDE w:val="0"/>
            <w:autoSpaceDN w:val="0"/>
            <w:ind w:hanging="480"/>
            <w:divId w:val="1675257507"/>
            <w:rPr>
              <w:rFonts w:ascii="Arial" w:eastAsia="Times New Roman" w:hAnsi="Arial" w:cs="Arial"/>
              <w:sz w:val="20"/>
              <w:szCs w:val="20"/>
            </w:rPr>
          </w:pPr>
          <w:r w:rsidRPr="003960AA">
            <w:rPr>
              <w:rFonts w:ascii="Arial" w:eastAsia="Times New Roman" w:hAnsi="Arial" w:cs="Arial"/>
              <w:sz w:val="20"/>
              <w:szCs w:val="20"/>
            </w:rPr>
            <w:t xml:space="preserve">Fenton, A., Montgomery, E., Nightingale, P., Peters, A. M., Sheerin, N., Wroe, A. C., &amp; Lipkin, G. W. (2018). Glomerular filtration rate: new age- and gender- specific reference ranges and thresholds for living kidney donation. </w:t>
          </w:r>
          <w:r w:rsidRPr="003960AA">
            <w:rPr>
              <w:rFonts w:ascii="Arial" w:eastAsia="Times New Roman" w:hAnsi="Arial" w:cs="Arial"/>
              <w:i/>
              <w:iCs/>
              <w:sz w:val="20"/>
              <w:szCs w:val="20"/>
            </w:rPr>
            <w:t>BMC Nephrology</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19</w:t>
          </w:r>
          <w:r w:rsidRPr="003960AA">
            <w:rPr>
              <w:rFonts w:ascii="Arial" w:eastAsia="Times New Roman" w:hAnsi="Arial" w:cs="Arial"/>
              <w:sz w:val="20"/>
              <w:szCs w:val="20"/>
            </w:rPr>
            <w:t>(1), 336. https://doi.org/10.1186/S12882-018-1126-8</w:t>
          </w:r>
        </w:p>
        <w:p w14:paraId="54F4DB6B" w14:textId="77777777" w:rsidR="003960AA" w:rsidRPr="003960AA" w:rsidRDefault="003960AA">
          <w:pPr>
            <w:autoSpaceDE w:val="0"/>
            <w:autoSpaceDN w:val="0"/>
            <w:ind w:hanging="480"/>
            <w:divId w:val="1291210171"/>
            <w:rPr>
              <w:rFonts w:ascii="Arial" w:eastAsia="Times New Roman" w:hAnsi="Arial" w:cs="Arial"/>
              <w:sz w:val="20"/>
              <w:szCs w:val="20"/>
            </w:rPr>
          </w:pPr>
          <w:r w:rsidRPr="003960AA">
            <w:rPr>
              <w:rFonts w:ascii="Arial" w:eastAsia="Times New Roman" w:hAnsi="Arial" w:cs="Arial"/>
              <w:sz w:val="20"/>
              <w:szCs w:val="20"/>
            </w:rPr>
            <w:t xml:space="preserve">Francis, A., Harhay, M. N., Ong, A. C. M., Tummalapalli, S. L., Ortiz, A., Fogo, A. B., Fliser, D., Roy-Chaudhury, P., Fontana, M., Nangaku, M., Wanner, C., Malik, C., Hradsky, A., Adu, D., Bavanandan, S., Cusumano, A., Sola, L., Ulasi, I., &amp; Jha, V. (2024). Chronic kidney disease and the global public health agenda: an international consensus. </w:t>
          </w:r>
          <w:r w:rsidRPr="003960AA">
            <w:rPr>
              <w:rFonts w:ascii="Arial" w:eastAsia="Times New Roman" w:hAnsi="Arial" w:cs="Arial"/>
              <w:i/>
              <w:iCs/>
              <w:sz w:val="20"/>
              <w:szCs w:val="20"/>
            </w:rPr>
            <w:t>Nature Reviews Nephrology 2024 20:7</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20</w:t>
          </w:r>
          <w:r w:rsidRPr="003960AA">
            <w:rPr>
              <w:rFonts w:ascii="Arial" w:eastAsia="Times New Roman" w:hAnsi="Arial" w:cs="Arial"/>
              <w:sz w:val="20"/>
              <w:szCs w:val="20"/>
            </w:rPr>
            <w:t>(7), 473–485. https://doi.org/10.1038/s41581-024-00820-6</w:t>
          </w:r>
        </w:p>
        <w:p w14:paraId="50927109" w14:textId="77777777" w:rsidR="003960AA" w:rsidRPr="003960AA" w:rsidRDefault="003960AA">
          <w:pPr>
            <w:autoSpaceDE w:val="0"/>
            <w:autoSpaceDN w:val="0"/>
            <w:ind w:hanging="480"/>
            <w:divId w:val="1129124089"/>
            <w:rPr>
              <w:rFonts w:ascii="Arial" w:eastAsia="Times New Roman" w:hAnsi="Arial" w:cs="Arial"/>
              <w:sz w:val="20"/>
              <w:szCs w:val="20"/>
            </w:rPr>
          </w:pPr>
          <w:r w:rsidRPr="003960AA">
            <w:rPr>
              <w:rFonts w:ascii="Arial" w:eastAsia="Times New Roman" w:hAnsi="Arial" w:cs="Arial"/>
              <w:sz w:val="20"/>
              <w:szCs w:val="20"/>
            </w:rPr>
            <w:t xml:space="preserve">Franco-Acevedo, A., Echavarria, R., &amp; Melo, Z. (2021). Sex Differences in Renal Function: Participation of Gonadal Hormones and Prolactin. </w:t>
          </w:r>
          <w:r w:rsidRPr="003960AA">
            <w:rPr>
              <w:rFonts w:ascii="Arial" w:eastAsia="Times New Roman" w:hAnsi="Arial" w:cs="Arial"/>
              <w:i/>
              <w:iCs/>
              <w:sz w:val="20"/>
              <w:szCs w:val="20"/>
            </w:rPr>
            <w:t>Endocrines 2021, Vol. 2, Pages 185-202</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w:t>
          </w:r>
          <w:r w:rsidRPr="003960AA">
            <w:rPr>
              <w:rFonts w:ascii="Arial" w:eastAsia="Times New Roman" w:hAnsi="Arial" w:cs="Arial"/>
              <w:sz w:val="20"/>
              <w:szCs w:val="20"/>
            </w:rPr>
            <w:t>(3), 185–202. https://doi.org/10.3390/ENDOCRINES2030019</w:t>
          </w:r>
        </w:p>
        <w:p w14:paraId="1D0745F5" w14:textId="77777777" w:rsidR="003960AA" w:rsidRPr="003960AA" w:rsidRDefault="003960AA">
          <w:pPr>
            <w:autoSpaceDE w:val="0"/>
            <w:autoSpaceDN w:val="0"/>
            <w:ind w:hanging="480"/>
            <w:divId w:val="1925071736"/>
            <w:rPr>
              <w:rFonts w:ascii="Arial" w:eastAsia="Times New Roman" w:hAnsi="Arial" w:cs="Arial"/>
              <w:sz w:val="20"/>
              <w:szCs w:val="20"/>
            </w:rPr>
          </w:pPr>
          <w:r w:rsidRPr="003960AA">
            <w:rPr>
              <w:rFonts w:ascii="Arial" w:eastAsia="Times New Roman" w:hAnsi="Arial" w:cs="Arial"/>
              <w:sz w:val="20"/>
              <w:szCs w:val="20"/>
            </w:rPr>
            <w:t>Guo, Y., Cui, L., Ye, P., Li, J., Wu, S., &amp; Luo, Y. (2018). Change of Kidney Function Is Associated With All</w:t>
          </w:r>
          <w:r w:rsidRPr="003960AA">
            <w:rPr>
              <w:rFonts w:ascii="Cambria Math" w:eastAsia="Times New Roman" w:hAnsi="Cambria Math" w:cs="Cambria Math"/>
              <w:sz w:val="20"/>
              <w:szCs w:val="20"/>
            </w:rPr>
            <w:t>‐</w:t>
          </w:r>
          <w:r w:rsidRPr="003960AA">
            <w:rPr>
              <w:rFonts w:ascii="Arial" w:eastAsia="Times New Roman" w:hAnsi="Arial" w:cs="Arial"/>
              <w:sz w:val="20"/>
              <w:szCs w:val="20"/>
            </w:rPr>
            <w:t xml:space="preserve">Cause Mortality and Cardiovascular Diseases: Results From the Kailuan Study. </w:t>
          </w:r>
          <w:r w:rsidRPr="003960AA">
            <w:rPr>
              <w:rFonts w:ascii="Arial" w:eastAsia="Times New Roman" w:hAnsi="Arial" w:cs="Arial"/>
              <w:i/>
              <w:iCs/>
              <w:sz w:val="20"/>
              <w:szCs w:val="20"/>
            </w:rPr>
            <w:t>Journal of the American Heart Association: Cardiovascular and Cerebrovascular Disease</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7</w:t>
          </w:r>
          <w:r w:rsidRPr="003960AA">
            <w:rPr>
              <w:rFonts w:ascii="Arial" w:eastAsia="Times New Roman" w:hAnsi="Arial" w:cs="Arial"/>
              <w:sz w:val="20"/>
              <w:szCs w:val="20"/>
            </w:rPr>
            <w:t>(21), e010596. https://doi.org/10.1161/JAHA.118.010596</w:t>
          </w:r>
        </w:p>
        <w:p w14:paraId="3B1379C2" w14:textId="77777777" w:rsidR="003960AA" w:rsidRPr="003960AA" w:rsidRDefault="003960AA">
          <w:pPr>
            <w:autoSpaceDE w:val="0"/>
            <w:autoSpaceDN w:val="0"/>
            <w:ind w:hanging="480"/>
            <w:divId w:val="921455745"/>
            <w:rPr>
              <w:rFonts w:ascii="Arial" w:eastAsia="Times New Roman" w:hAnsi="Arial" w:cs="Arial"/>
              <w:sz w:val="20"/>
              <w:szCs w:val="20"/>
            </w:rPr>
          </w:pPr>
          <w:r w:rsidRPr="003960AA">
            <w:rPr>
              <w:rFonts w:ascii="Arial" w:eastAsia="Times New Roman" w:hAnsi="Arial" w:cs="Arial"/>
              <w:sz w:val="20"/>
              <w:szCs w:val="20"/>
            </w:rPr>
            <w:t xml:space="preserve">Hall, J. E., Mouton, A. J., Da Silva, A. A., Wang, Z., Li, X., &amp; Do Carmo, J. M. (2020). Obesity, kidney dysfunction, and inflammation: interactions in hypertension. </w:t>
          </w:r>
          <w:r w:rsidRPr="003960AA">
            <w:rPr>
              <w:rFonts w:ascii="Arial" w:eastAsia="Times New Roman" w:hAnsi="Arial" w:cs="Arial"/>
              <w:i/>
              <w:iCs/>
              <w:sz w:val="20"/>
              <w:szCs w:val="20"/>
            </w:rPr>
            <w:t>Cardiovascular Research</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117</w:t>
          </w:r>
          <w:r w:rsidRPr="003960AA">
            <w:rPr>
              <w:rFonts w:ascii="Arial" w:eastAsia="Times New Roman" w:hAnsi="Arial" w:cs="Arial"/>
              <w:sz w:val="20"/>
              <w:szCs w:val="20"/>
            </w:rPr>
            <w:t>(8), 1859. https://doi.org/10.1093/CVR/CVAA336</w:t>
          </w:r>
        </w:p>
        <w:p w14:paraId="7532D254" w14:textId="77777777" w:rsidR="003960AA" w:rsidRPr="003960AA" w:rsidRDefault="003960AA">
          <w:pPr>
            <w:autoSpaceDE w:val="0"/>
            <w:autoSpaceDN w:val="0"/>
            <w:ind w:hanging="480"/>
            <w:divId w:val="1461145121"/>
            <w:rPr>
              <w:rFonts w:ascii="Arial" w:eastAsia="Times New Roman" w:hAnsi="Arial" w:cs="Arial"/>
              <w:sz w:val="20"/>
              <w:szCs w:val="20"/>
            </w:rPr>
          </w:pPr>
          <w:r w:rsidRPr="003960AA">
            <w:rPr>
              <w:rFonts w:ascii="Arial" w:eastAsia="Times New Roman" w:hAnsi="Arial" w:cs="Arial"/>
              <w:sz w:val="20"/>
              <w:szCs w:val="20"/>
            </w:rPr>
            <w:t xml:space="preserve">Kabinga, S. K., McLigeyo, S. O., Twahir, A., Ndungu, J. N., Wangombe, N. N., Nyarera, D. K., Ngaruiya, G. W., Chege, R. K., Ochieng, P. S., Ogutu, M. O., &amp; Moturi, G. M. (2024). Risk factors for chronic kidney disease in the community: A decade of outreach in Kenya. </w:t>
          </w:r>
          <w:r w:rsidRPr="003960AA">
            <w:rPr>
              <w:rFonts w:ascii="Arial" w:eastAsia="Times New Roman" w:hAnsi="Arial" w:cs="Arial"/>
              <w:i/>
              <w:iCs/>
              <w:sz w:val="20"/>
              <w:szCs w:val="20"/>
            </w:rPr>
            <w:t>Clinical Epidemiology and Global Health</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30</w:t>
          </w:r>
          <w:r w:rsidRPr="003960AA">
            <w:rPr>
              <w:rFonts w:ascii="Arial" w:eastAsia="Times New Roman" w:hAnsi="Arial" w:cs="Arial"/>
              <w:sz w:val="20"/>
              <w:szCs w:val="20"/>
            </w:rPr>
            <w:t>, 101823. https://doi.org/10.1016/J.CEGH.2024.101823</w:t>
          </w:r>
        </w:p>
        <w:p w14:paraId="39BBCBF7" w14:textId="77777777" w:rsidR="003960AA" w:rsidRPr="003960AA" w:rsidRDefault="003960AA">
          <w:pPr>
            <w:autoSpaceDE w:val="0"/>
            <w:autoSpaceDN w:val="0"/>
            <w:ind w:hanging="480"/>
            <w:divId w:val="1192064653"/>
            <w:rPr>
              <w:rFonts w:ascii="Arial" w:eastAsia="Times New Roman" w:hAnsi="Arial" w:cs="Arial"/>
              <w:sz w:val="20"/>
              <w:szCs w:val="20"/>
            </w:rPr>
          </w:pPr>
          <w:r w:rsidRPr="003960AA">
            <w:rPr>
              <w:rFonts w:ascii="Arial" w:eastAsia="Times New Roman" w:hAnsi="Arial" w:cs="Arial"/>
              <w:sz w:val="20"/>
              <w:szCs w:val="20"/>
            </w:rPr>
            <w:t xml:space="preserve">Mmoh, I. C., Ogbuagu, C. N., Modebe, I. A., Ogbuagu, E. N., Ogbuagu, C. M., Emelumadu, O. F., Okereke, U. C., Eleje, G. U., &amp; Ekwunife, O. I. (2022). Dipstick urinalysis profile of an asymptomatic female group in south-east Nigeria. </w:t>
          </w:r>
          <w:r w:rsidRPr="003960AA">
            <w:rPr>
              <w:rFonts w:ascii="Arial" w:eastAsia="Times New Roman" w:hAnsi="Arial" w:cs="Arial"/>
              <w:i/>
              <w:iCs/>
              <w:sz w:val="20"/>
              <w:szCs w:val="20"/>
            </w:rPr>
            <w:t>SAGE Open Medicine</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10</w:t>
          </w:r>
          <w:r w:rsidRPr="003960AA">
            <w:rPr>
              <w:rFonts w:ascii="Arial" w:eastAsia="Times New Roman" w:hAnsi="Arial" w:cs="Arial"/>
              <w:sz w:val="20"/>
              <w:szCs w:val="20"/>
            </w:rPr>
            <w:t>, 20503121221135576. https://doi.org/10.1177/20503121221135575</w:t>
          </w:r>
        </w:p>
        <w:p w14:paraId="748C887C" w14:textId="77777777" w:rsidR="003960AA" w:rsidRPr="003960AA" w:rsidRDefault="003960AA">
          <w:pPr>
            <w:autoSpaceDE w:val="0"/>
            <w:autoSpaceDN w:val="0"/>
            <w:ind w:hanging="480"/>
            <w:divId w:val="892303778"/>
            <w:rPr>
              <w:rFonts w:ascii="Arial" w:eastAsia="Times New Roman" w:hAnsi="Arial" w:cs="Arial"/>
              <w:sz w:val="20"/>
              <w:szCs w:val="20"/>
            </w:rPr>
          </w:pPr>
          <w:r w:rsidRPr="003960AA">
            <w:rPr>
              <w:rFonts w:ascii="Arial" w:eastAsia="Times New Roman" w:hAnsi="Arial" w:cs="Arial"/>
              <w:sz w:val="20"/>
              <w:szCs w:val="20"/>
            </w:rPr>
            <w:t xml:space="preserve">Provenzano, M., Hu, L., Abenavoli, C., Cianciolo, G., Coppolino, G., De Nicola, L., La Manna, G., Comai, G., &amp; Baraldi, O. (2024). Estimated glomerular filtration rate in observational and interventional studies in chronic kidney disease. </w:t>
          </w:r>
          <w:r w:rsidRPr="003960AA">
            <w:rPr>
              <w:rFonts w:ascii="Arial" w:eastAsia="Times New Roman" w:hAnsi="Arial" w:cs="Arial"/>
              <w:i/>
              <w:iCs/>
              <w:sz w:val="20"/>
              <w:szCs w:val="20"/>
            </w:rPr>
            <w:t>Journal of Nephrology</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37</w:t>
          </w:r>
          <w:r w:rsidRPr="003960AA">
            <w:rPr>
              <w:rFonts w:ascii="Arial" w:eastAsia="Times New Roman" w:hAnsi="Arial" w:cs="Arial"/>
              <w:sz w:val="20"/>
              <w:szCs w:val="20"/>
            </w:rPr>
            <w:t>(3), 573. https://doi.org/10.1007/S40620-024-01887-X</w:t>
          </w:r>
        </w:p>
        <w:p w14:paraId="4E5D015F" w14:textId="77777777" w:rsidR="003960AA" w:rsidRPr="003960AA" w:rsidRDefault="003960AA">
          <w:pPr>
            <w:autoSpaceDE w:val="0"/>
            <w:autoSpaceDN w:val="0"/>
            <w:ind w:hanging="480"/>
            <w:divId w:val="1105081081"/>
            <w:rPr>
              <w:rFonts w:ascii="Arial" w:eastAsia="Times New Roman" w:hAnsi="Arial" w:cs="Arial"/>
              <w:sz w:val="20"/>
              <w:szCs w:val="20"/>
            </w:rPr>
          </w:pPr>
          <w:r w:rsidRPr="003960AA">
            <w:rPr>
              <w:rFonts w:ascii="Arial" w:eastAsia="Times New Roman" w:hAnsi="Arial" w:cs="Arial"/>
              <w:sz w:val="20"/>
              <w:szCs w:val="20"/>
            </w:rPr>
            <w:t xml:space="preserve">Stanifer, J. W., Muiru, A., Jafar, T. H., &amp; Patel, U. D. (2016). Chronic kidney disease in low- and middle-income countries. </w:t>
          </w:r>
          <w:r w:rsidRPr="003960AA">
            <w:rPr>
              <w:rFonts w:ascii="Arial" w:eastAsia="Times New Roman" w:hAnsi="Arial" w:cs="Arial"/>
              <w:i/>
              <w:iCs/>
              <w:sz w:val="20"/>
              <w:szCs w:val="20"/>
            </w:rPr>
            <w:t>Nephrology Dialysis Transplantation</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31</w:t>
          </w:r>
          <w:r w:rsidRPr="003960AA">
            <w:rPr>
              <w:rFonts w:ascii="Arial" w:eastAsia="Times New Roman" w:hAnsi="Arial" w:cs="Arial"/>
              <w:sz w:val="20"/>
              <w:szCs w:val="20"/>
            </w:rPr>
            <w:t>(6), 868. https://doi.org/10.1093/NDT/GFV466</w:t>
          </w:r>
        </w:p>
        <w:p w14:paraId="610A6AF5" w14:textId="77777777" w:rsidR="003960AA" w:rsidRPr="003960AA" w:rsidRDefault="003960AA">
          <w:pPr>
            <w:autoSpaceDE w:val="0"/>
            <w:autoSpaceDN w:val="0"/>
            <w:ind w:hanging="480"/>
            <w:divId w:val="2108842795"/>
            <w:rPr>
              <w:rFonts w:ascii="Arial" w:eastAsia="Times New Roman" w:hAnsi="Arial" w:cs="Arial"/>
              <w:sz w:val="20"/>
              <w:szCs w:val="20"/>
            </w:rPr>
          </w:pPr>
          <w:r w:rsidRPr="003960AA">
            <w:rPr>
              <w:rFonts w:ascii="Arial" w:eastAsia="Times New Roman" w:hAnsi="Arial" w:cs="Arial"/>
              <w:sz w:val="20"/>
              <w:szCs w:val="20"/>
            </w:rPr>
            <w:t xml:space="preserve">Vaidya, S. R., &amp; Aeddula, N. R. (2024). Chronic Kidney Disease. </w:t>
          </w:r>
          <w:r w:rsidRPr="003960AA">
            <w:rPr>
              <w:rFonts w:ascii="Arial" w:eastAsia="Times New Roman" w:hAnsi="Arial" w:cs="Arial"/>
              <w:i/>
              <w:iCs/>
              <w:sz w:val="20"/>
              <w:szCs w:val="20"/>
            </w:rPr>
            <w:t>The Scientific Basis of Urology, Second Edition</w:t>
          </w:r>
          <w:r w:rsidRPr="003960AA">
            <w:rPr>
              <w:rFonts w:ascii="Arial" w:eastAsia="Times New Roman" w:hAnsi="Arial" w:cs="Arial"/>
              <w:sz w:val="20"/>
              <w:szCs w:val="20"/>
            </w:rPr>
            <w:t>, 257–264. https://doi.org/10.51249/hs.v4i01.1865</w:t>
          </w:r>
        </w:p>
        <w:p w14:paraId="67B623D9" w14:textId="77777777" w:rsidR="003960AA" w:rsidRPr="003960AA" w:rsidRDefault="003960AA">
          <w:pPr>
            <w:autoSpaceDE w:val="0"/>
            <w:autoSpaceDN w:val="0"/>
            <w:ind w:hanging="480"/>
            <w:divId w:val="732243668"/>
            <w:rPr>
              <w:rFonts w:ascii="Arial" w:eastAsia="Times New Roman" w:hAnsi="Arial" w:cs="Arial"/>
              <w:sz w:val="20"/>
              <w:szCs w:val="20"/>
            </w:rPr>
          </w:pPr>
          <w:r w:rsidRPr="003960AA">
            <w:rPr>
              <w:rFonts w:ascii="Arial" w:eastAsia="Times New Roman" w:hAnsi="Arial" w:cs="Arial"/>
              <w:sz w:val="20"/>
              <w:szCs w:val="20"/>
            </w:rPr>
            <w:t xml:space="preserve">Vela-Bernal, S., Facchetti, R., Dell’Oro, R., Quarti-Trevano, F., Lurbe, E., Mancia, G., &amp; Grassi, G. (2023). Anthropometric Measures of Adiposity as Markers of Kidney Dysfunction: A Cross-Sectional Study. </w:t>
          </w:r>
          <w:r w:rsidRPr="003960AA">
            <w:rPr>
              <w:rFonts w:ascii="Arial" w:eastAsia="Times New Roman" w:hAnsi="Arial" w:cs="Arial"/>
              <w:i/>
              <w:iCs/>
              <w:sz w:val="20"/>
              <w:szCs w:val="20"/>
            </w:rPr>
            <w:t>High Blood Pressure &amp; Cardiovascular Prevention</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30</w:t>
          </w:r>
          <w:r w:rsidRPr="003960AA">
            <w:rPr>
              <w:rFonts w:ascii="Arial" w:eastAsia="Times New Roman" w:hAnsi="Arial" w:cs="Arial"/>
              <w:sz w:val="20"/>
              <w:szCs w:val="20"/>
            </w:rPr>
            <w:t>(5), 467. https://doi.org/10.1007/S40292-023-00600-6</w:t>
          </w:r>
        </w:p>
        <w:p w14:paraId="52903D67" w14:textId="11A28753" w:rsidR="00BE4A55" w:rsidRPr="003960AA" w:rsidRDefault="003960AA" w:rsidP="006D1B06">
          <w:pPr>
            <w:spacing w:line="360" w:lineRule="auto"/>
            <w:rPr>
              <w:rFonts w:ascii="Arial" w:hAnsi="Arial" w:cs="Arial"/>
              <w:sz w:val="20"/>
              <w:szCs w:val="20"/>
            </w:rPr>
          </w:pPr>
          <w:r w:rsidRPr="003960AA">
            <w:rPr>
              <w:rFonts w:ascii="Arial" w:eastAsia="Times New Roman" w:hAnsi="Arial" w:cs="Arial"/>
              <w:sz w:val="20"/>
              <w:szCs w:val="20"/>
            </w:rPr>
            <w:t> </w:t>
          </w:r>
        </w:p>
      </w:sdtContent>
    </w:sdt>
    <w:sectPr w:rsidR="00BE4A55" w:rsidRPr="003960A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B9619" w14:textId="77777777" w:rsidR="000000AD" w:rsidRDefault="000000AD" w:rsidP="00E9036A">
      <w:pPr>
        <w:spacing w:after="0" w:line="240" w:lineRule="auto"/>
      </w:pPr>
      <w:r>
        <w:separator/>
      </w:r>
    </w:p>
  </w:endnote>
  <w:endnote w:type="continuationSeparator" w:id="0">
    <w:p w14:paraId="3AB1FFE2" w14:textId="77777777" w:rsidR="000000AD" w:rsidRDefault="000000AD" w:rsidP="00E9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F36A" w14:textId="77777777" w:rsidR="00674715" w:rsidRDefault="00674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57C8" w14:textId="77777777" w:rsidR="00674715" w:rsidRDefault="00674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AE79" w14:textId="77777777" w:rsidR="00674715" w:rsidRDefault="00674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938F6" w14:textId="77777777" w:rsidR="000000AD" w:rsidRDefault="000000AD" w:rsidP="00E9036A">
      <w:pPr>
        <w:spacing w:after="0" w:line="240" w:lineRule="auto"/>
      </w:pPr>
      <w:r>
        <w:separator/>
      </w:r>
    </w:p>
  </w:footnote>
  <w:footnote w:type="continuationSeparator" w:id="0">
    <w:p w14:paraId="693383A4" w14:textId="77777777" w:rsidR="000000AD" w:rsidRDefault="000000AD" w:rsidP="00E90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C8BF" w14:textId="29C4A549" w:rsidR="00674715" w:rsidRDefault="00000000">
    <w:pPr>
      <w:pStyle w:val="Header"/>
    </w:pPr>
    <w:r>
      <w:rPr>
        <w:noProof/>
      </w:rPr>
      <w:pict w14:anchorId="39F93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810001"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C00F" w14:textId="4D566C15" w:rsidR="00674715" w:rsidRDefault="00000000">
    <w:pPr>
      <w:pStyle w:val="Header"/>
    </w:pPr>
    <w:r>
      <w:rPr>
        <w:noProof/>
      </w:rPr>
      <w:pict w14:anchorId="47817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810002"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4B54" w14:textId="5DCF6D4B" w:rsidR="00674715" w:rsidRDefault="00000000">
    <w:pPr>
      <w:pStyle w:val="Header"/>
    </w:pPr>
    <w:r>
      <w:rPr>
        <w:noProof/>
      </w:rPr>
      <w:pict w14:anchorId="5004A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810000"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38"/>
    <w:rsid w:val="000000AD"/>
    <w:rsid w:val="00042E72"/>
    <w:rsid w:val="000A0CEA"/>
    <w:rsid w:val="000D1236"/>
    <w:rsid w:val="000E405C"/>
    <w:rsid w:val="001918C5"/>
    <w:rsid w:val="001B0F51"/>
    <w:rsid w:val="001D153E"/>
    <w:rsid w:val="001D6041"/>
    <w:rsid w:val="00206C78"/>
    <w:rsid w:val="0021552C"/>
    <w:rsid w:val="00215B92"/>
    <w:rsid w:val="0022121B"/>
    <w:rsid w:val="002913FF"/>
    <w:rsid w:val="00297823"/>
    <w:rsid w:val="002C39A7"/>
    <w:rsid w:val="002C7C49"/>
    <w:rsid w:val="003960AA"/>
    <w:rsid w:val="00413AF9"/>
    <w:rsid w:val="004758D3"/>
    <w:rsid w:val="004B0D8C"/>
    <w:rsid w:val="004D290B"/>
    <w:rsid w:val="00520310"/>
    <w:rsid w:val="00586FC8"/>
    <w:rsid w:val="005A29AF"/>
    <w:rsid w:val="005A473F"/>
    <w:rsid w:val="00607C83"/>
    <w:rsid w:val="00666EFA"/>
    <w:rsid w:val="00674715"/>
    <w:rsid w:val="006A5C38"/>
    <w:rsid w:val="006C3508"/>
    <w:rsid w:val="006D1B06"/>
    <w:rsid w:val="006D4274"/>
    <w:rsid w:val="00704B5F"/>
    <w:rsid w:val="0072633F"/>
    <w:rsid w:val="007F3323"/>
    <w:rsid w:val="00857032"/>
    <w:rsid w:val="00917CB2"/>
    <w:rsid w:val="00963E40"/>
    <w:rsid w:val="009B7BE3"/>
    <w:rsid w:val="009E3A50"/>
    <w:rsid w:val="009E6DC7"/>
    <w:rsid w:val="00A3557D"/>
    <w:rsid w:val="00A72573"/>
    <w:rsid w:val="00A815E5"/>
    <w:rsid w:val="00AA2632"/>
    <w:rsid w:val="00AA77C6"/>
    <w:rsid w:val="00AC4917"/>
    <w:rsid w:val="00AC78B4"/>
    <w:rsid w:val="00AE11B0"/>
    <w:rsid w:val="00AF3D22"/>
    <w:rsid w:val="00B369DF"/>
    <w:rsid w:val="00BA3FC7"/>
    <w:rsid w:val="00BA5E8D"/>
    <w:rsid w:val="00BE4A55"/>
    <w:rsid w:val="00C41121"/>
    <w:rsid w:val="00CA7E6B"/>
    <w:rsid w:val="00CB52C8"/>
    <w:rsid w:val="00CB74FA"/>
    <w:rsid w:val="00CC090A"/>
    <w:rsid w:val="00CF4A14"/>
    <w:rsid w:val="00D5337C"/>
    <w:rsid w:val="00DB7232"/>
    <w:rsid w:val="00DC3BBB"/>
    <w:rsid w:val="00DC5FEF"/>
    <w:rsid w:val="00DC7D14"/>
    <w:rsid w:val="00E332FC"/>
    <w:rsid w:val="00E352F6"/>
    <w:rsid w:val="00E42810"/>
    <w:rsid w:val="00E55658"/>
    <w:rsid w:val="00E9036A"/>
    <w:rsid w:val="00EC1DD0"/>
    <w:rsid w:val="00EF3855"/>
    <w:rsid w:val="00FA42F9"/>
    <w:rsid w:val="00FC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B724A"/>
  <w15:chartTrackingRefBased/>
  <w15:docId w15:val="{2EFB4B1B-D9D1-44F0-8F28-9EB4BBE3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FEF"/>
    <w:pPr>
      <w:jc w:val="both"/>
    </w:pPr>
    <w:rPr>
      <w:rFonts w:ascii="Times New Roman" w:hAnsi="Times New Roman"/>
      <w:sz w:val="24"/>
    </w:rPr>
  </w:style>
  <w:style w:type="paragraph" w:styleId="Heading1">
    <w:name w:val="heading 1"/>
    <w:basedOn w:val="Normal"/>
    <w:next w:val="Normal"/>
    <w:link w:val="Heading1Char"/>
    <w:autoRedefine/>
    <w:uiPriority w:val="9"/>
    <w:qFormat/>
    <w:rsid w:val="00B369DF"/>
    <w:pPr>
      <w:keepNext/>
      <w:keepLines/>
      <w:spacing w:before="440" w:after="120" w:line="240" w:lineRule="auto"/>
      <w:outlineLvl w:val="0"/>
    </w:pPr>
    <w:rPr>
      <w:rFonts w:asciiTheme="minorHAnsi" w:eastAsiaTheme="majorEastAsia" w:hAnsiTheme="minorHAnsi" w:cstheme="majorBidi"/>
      <w:b/>
      <w:color w:val="000000" w:themeColor="text1"/>
      <w:szCs w:val="32"/>
    </w:rPr>
  </w:style>
  <w:style w:type="paragraph" w:styleId="Heading2">
    <w:name w:val="heading 2"/>
    <w:basedOn w:val="Normal"/>
    <w:next w:val="Normal"/>
    <w:link w:val="Heading2Char"/>
    <w:autoRedefine/>
    <w:uiPriority w:val="9"/>
    <w:unhideWhenUsed/>
    <w:qFormat/>
    <w:rsid w:val="00B369DF"/>
    <w:pPr>
      <w:keepNext/>
      <w:keepLines/>
      <w:spacing w:before="200" w:after="120" w:line="240" w:lineRule="auto"/>
      <w:jc w:val="left"/>
      <w:outlineLvl w:val="1"/>
    </w:pPr>
    <w:rPr>
      <w:rFonts w:asciiTheme="minorHAnsi" w:eastAsiaTheme="majorEastAsia" w:hAnsiTheme="minorHAnsi" w:cstheme="majorBidi"/>
      <w:b/>
      <w:color w:val="000000" w:themeColor="text1"/>
      <w:szCs w:val="28"/>
    </w:rPr>
  </w:style>
  <w:style w:type="paragraph" w:styleId="Heading3">
    <w:name w:val="heading 3"/>
    <w:basedOn w:val="Normal"/>
    <w:next w:val="Normal"/>
    <w:link w:val="Heading3Char"/>
    <w:uiPriority w:val="9"/>
    <w:semiHidden/>
    <w:unhideWhenUsed/>
    <w:qFormat/>
    <w:rsid w:val="006A5C38"/>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A5C3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A5C3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6A5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5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5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5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9DF"/>
    <w:rPr>
      <w:rFonts w:eastAsiaTheme="majorEastAsia" w:cstheme="majorBidi"/>
      <w:b/>
      <w:color w:val="000000" w:themeColor="text1"/>
      <w:sz w:val="24"/>
      <w:szCs w:val="32"/>
    </w:rPr>
  </w:style>
  <w:style w:type="character" w:customStyle="1" w:styleId="Heading2Char">
    <w:name w:val="Heading 2 Char"/>
    <w:basedOn w:val="DefaultParagraphFont"/>
    <w:link w:val="Heading2"/>
    <w:uiPriority w:val="9"/>
    <w:rsid w:val="00B369DF"/>
    <w:rPr>
      <w:rFonts w:eastAsiaTheme="majorEastAsia" w:cstheme="majorBidi"/>
      <w:b/>
      <w:color w:val="000000" w:themeColor="text1"/>
      <w:sz w:val="24"/>
      <w:szCs w:val="28"/>
    </w:rPr>
  </w:style>
  <w:style w:type="paragraph" w:styleId="TOC1">
    <w:name w:val="toc 1"/>
    <w:basedOn w:val="Normal"/>
    <w:next w:val="Normal"/>
    <w:autoRedefine/>
    <w:uiPriority w:val="39"/>
    <w:unhideWhenUsed/>
    <w:rsid w:val="00B369DF"/>
    <w:pPr>
      <w:spacing w:before="120" w:after="220" w:line="264" w:lineRule="auto"/>
      <w:jc w:val="left"/>
    </w:pPr>
    <w:rPr>
      <w:rFonts w:asciiTheme="minorHAnsi" w:hAnsiTheme="minorHAnsi"/>
      <w:color w:val="000000" w:themeColor="text1"/>
      <w:kern w:val="0"/>
      <w:szCs w:val="20"/>
      <w14:ligatures w14:val="none"/>
    </w:rPr>
  </w:style>
  <w:style w:type="character" w:customStyle="1" w:styleId="Heading3Char">
    <w:name w:val="Heading 3 Char"/>
    <w:basedOn w:val="DefaultParagraphFont"/>
    <w:link w:val="Heading3"/>
    <w:uiPriority w:val="9"/>
    <w:semiHidden/>
    <w:rsid w:val="006A5C3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A5C38"/>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semiHidden/>
    <w:rsid w:val="006A5C38"/>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6A5C38"/>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6A5C38"/>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6A5C38"/>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A5C38"/>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6A5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C38"/>
    <w:pPr>
      <w:spacing w:before="160"/>
      <w:jc w:val="center"/>
    </w:pPr>
    <w:rPr>
      <w:i/>
      <w:iCs/>
      <w:color w:val="404040" w:themeColor="text1" w:themeTint="BF"/>
    </w:rPr>
  </w:style>
  <w:style w:type="character" w:customStyle="1" w:styleId="QuoteChar">
    <w:name w:val="Quote Char"/>
    <w:basedOn w:val="DefaultParagraphFont"/>
    <w:link w:val="Quote"/>
    <w:uiPriority w:val="29"/>
    <w:rsid w:val="006A5C38"/>
    <w:rPr>
      <w:rFonts w:ascii="Times New Roman" w:hAnsi="Times New Roman"/>
      <w:i/>
      <w:iCs/>
      <w:color w:val="404040" w:themeColor="text1" w:themeTint="BF"/>
      <w:sz w:val="24"/>
    </w:rPr>
  </w:style>
  <w:style w:type="paragraph" w:styleId="ListParagraph">
    <w:name w:val="List Paragraph"/>
    <w:basedOn w:val="Normal"/>
    <w:uiPriority w:val="34"/>
    <w:qFormat/>
    <w:rsid w:val="006A5C38"/>
    <w:pPr>
      <w:ind w:left="720"/>
      <w:contextualSpacing/>
    </w:pPr>
  </w:style>
  <w:style w:type="character" w:styleId="IntenseEmphasis">
    <w:name w:val="Intense Emphasis"/>
    <w:basedOn w:val="DefaultParagraphFont"/>
    <w:uiPriority w:val="21"/>
    <w:qFormat/>
    <w:rsid w:val="006A5C38"/>
    <w:rPr>
      <w:i/>
      <w:iCs/>
      <w:color w:val="2E74B5" w:themeColor="accent1" w:themeShade="BF"/>
    </w:rPr>
  </w:style>
  <w:style w:type="paragraph" w:styleId="IntenseQuote">
    <w:name w:val="Intense Quote"/>
    <w:basedOn w:val="Normal"/>
    <w:next w:val="Normal"/>
    <w:link w:val="IntenseQuoteChar"/>
    <w:uiPriority w:val="30"/>
    <w:qFormat/>
    <w:rsid w:val="006A5C3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A5C38"/>
    <w:rPr>
      <w:rFonts w:ascii="Times New Roman" w:hAnsi="Times New Roman"/>
      <w:i/>
      <w:iCs/>
      <w:color w:val="2E74B5" w:themeColor="accent1" w:themeShade="BF"/>
      <w:sz w:val="24"/>
    </w:rPr>
  </w:style>
  <w:style w:type="character" w:styleId="IntenseReference">
    <w:name w:val="Intense Reference"/>
    <w:basedOn w:val="DefaultParagraphFont"/>
    <w:uiPriority w:val="32"/>
    <w:qFormat/>
    <w:rsid w:val="006A5C38"/>
    <w:rPr>
      <w:b/>
      <w:bCs/>
      <w:smallCaps/>
      <w:color w:val="2E74B5" w:themeColor="accent1" w:themeShade="BF"/>
      <w:spacing w:val="5"/>
    </w:rPr>
  </w:style>
  <w:style w:type="table" w:styleId="TableGrid">
    <w:name w:val="Table Grid"/>
    <w:basedOn w:val="TableNormal"/>
    <w:uiPriority w:val="39"/>
    <w:rsid w:val="006A5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1121"/>
    <w:rPr>
      <w:color w:val="666666"/>
    </w:rPr>
  </w:style>
  <w:style w:type="character" w:styleId="Hyperlink">
    <w:name w:val="Hyperlink"/>
    <w:basedOn w:val="DefaultParagraphFont"/>
    <w:uiPriority w:val="99"/>
    <w:unhideWhenUsed/>
    <w:rsid w:val="00BE4A55"/>
    <w:rPr>
      <w:color w:val="0563C1" w:themeColor="hyperlink"/>
      <w:u w:val="single"/>
    </w:rPr>
  </w:style>
  <w:style w:type="character" w:customStyle="1" w:styleId="UnresolvedMention1">
    <w:name w:val="Unresolved Mention1"/>
    <w:basedOn w:val="DefaultParagraphFont"/>
    <w:uiPriority w:val="99"/>
    <w:semiHidden/>
    <w:unhideWhenUsed/>
    <w:rsid w:val="00BE4A55"/>
    <w:rPr>
      <w:color w:val="605E5C"/>
      <w:shd w:val="clear" w:color="auto" w:fill="E1DFDD"/>
    </w:rPr>
  </w:style>
  <w:style w:type="paragraph" w:styleId="Header">
    <w:name w:val="header"/>
    <w:basedOn w:val="Normal"/>
    <w:link w:val="HeaderChar"/>
    <w:uiPriority w:val="99"/>
    <w:unhideWhenUsed/>
    <w:rsid w:val="00E90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36A"/>
    <w:rPr>
      <w:rFonts w:ascii="Times New Roman" w:hAnsi="Times New Roman"/>
      <w:sz w:val="24"/>
    </w:rPr>
  </w:style>
  <w:style w:type="paragraph" w:styleId="Footer">
    <w:name w:val="footer"/>
    <w:basedOn w:val="Normal"/>
    <w:link w:val="FooterChar"/>
    <w:uiPriority w:val="99"/>
    <w:unhideWhenUsed/>
    <w:rsid w:val="00E90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36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0989">
      <w:bodyDiv w:val="1"/>
      <w:marLeft w:val="0"/>
      <w:marRight w:val="0"/>
      <w:marTop w:val="0"/>
      <w:marBottom w:val="0"/>
      <w:divBdr>
        <w:top w:val="none" w:sz="0" w:space="0" w:color="auto"/>
        <w:left w:val="none" w:sz="0" w:space="0" w:color="auto"/>
        <w:bottom w:val="none" w:sz="0" w:space="0" w:color="auto"/>
        <w:right w:val="none" w:sz="0" w:space="0" w:color="auto"/>
      </w:divBdr>
    </w:div>
    <w:div w:id="131095477">
      <w:bodyDiv w:val="1"/>
      <w:marLeft w:val="0"/>
      <w:marRight w:val="0"/>
      <w:marTop w:val="0"/>
      <w:marBottom w:val="0"/>
      <w:divBdr>
        <w:top w:val="none" w:sz="0" w:space="0" w:color="auto"/>
        <w:left w:val="none" w:sz="0" w:space="0" w:color="auto"/>
        <w:bottom w:val="none" w:sz="0" w:space="0" w:color="auto"/>
        <w:right w:val="none" w:sz="0" w:space="0" w:color="auto"/>
      </w:divBdr>
      <w:divsChild>
        <w:div w:id="201720253">
          <w:marLeft w:val="640"/>
          <w:marRight w:val="0"/>
          <w:marTop w:val="0"/>
          <w:marBottom w:val="0"/>
          <w:divBdr>
            <w:top w:val="none" w:sz="0" w:space="0" w:color="auto"/>
            <w:left w:val="none" w:sz="0" w:space="0" w:color="auto"/>
            <w:bottom w:val="none" w:sz="0" w:space="0" w:color="auto"/>
            <w:right w:val="none" w:sz="0" w:space="0" w:color="auto"/>
          </w:divBdr>
        </w:div>
        <w:div w:id="628317045">
          <w:marLeft w:val="640"/>
          <w:marRight w:val="0"/>
          <w:marTop w:val="0"/>
          <w:marBottom w:val="0"/>
          <w:divBdr>
            <w:top w:val="none" w:sz="0" w:space="0" w:color="auto"/>
            <w:left w:val="none" w:sz="0" w:space="0" w:color="auto"/>
            <w:bottom w:val="none" w:sz="0" w:space="0" w:color="auto"/>
            <w:right w:val="none" w:sz="0" w:space="0" w:color="auto"/>
          </w:divBdr>
        </w:div>
        <w:div w:id="369840714">
          <w:marLeft w:val="640"/>
          <w:marRight w:val="0"/>
          <w:marTop w:val="0"/>
          <w:marBottom w:val="0"/>
          <w:divBdr>
            <w:top w:val="none" w:sz="0" w:space="0" w:color="auto"/>
            <w:left w:val="none" w:sz="0" w:space="0" w:color="auto"/>
            <w:bottom w:val="none" w:sz="0" w:space="0" w:color="auto"/>
            <w:right w:val="none" w:sz="0" w:space="0" w:color="auto"/>
          </w:divBdr>
        </w:div>
        <w:div w:id="499077236">
          <w:marLeft w:val="640"/>
          <w:marRight w:val="0"/>
          <w:marTop w:val="0"/>
          <w:marBottom w:val="0"/>
          <w:divBdr>
            <w:top w:val="none" w:sz="0" w:space="0" w:color="auto"/>
            <w:left w:val="none" w:sz="0" w:space="0" w:color="auto"/>
            <w:bottom w:val="none" w:sz="0" w:space="0" w:color="auto"/>
            <w:right w:val="none" w:sz="0" w:space="0" w:color="auto"/>
          </w:divBdr>
        </w:div>
        <w:div w:id="1777796995">
          <w:marLeft w:val="640"/>
          <w:marRight w:val="0"/>
          <w:marTop w:val="0"/>
          <w:marBottom w:val="0"/>
          <w:divBdr>
            <w:top w:val="none" w:sz="0" w:space="0" w:color="auto"/>
            <w:left w:val="none" w:sz="0" w:space="0" w:color="auto"/>
            <w:bottom w:val="none" w:sz="0" w:space="0" w:color="auto"/>
            <w:right w:val="none" w:sz="0" w:space="0" w:color="auto"/>
          </w:divBdr>
        </w:div>
        <w:div w:id="1588271446">
          <w:marLeft w:val="640"/>
          <w:marRight w:val="0"/>
          <w:marTop w:val="0"/>
          <w:marBottom w:val="0"/>
          <w:divBdr>
            <w:top w:val="none" w:sz="0" w:space="0" w:color="auto"/>
            <w:left w:val="none" w:sz="0" w:space="0" w:color="auto"/>
            <w:bottom w:val="none" w:sz="0" w:space="0" w:color="auto"/>
            <w:right w:val="none" w:sz="0" w:space="0" w:color="auto"/>
          </w:divBdr>
        </w:div>
        <w:div w:id="1376545132">
          <w:marLeft w:val="640"/>
          <w:marRight w:val="0"/>
          <w:marTop w:val="0"/>
          <w:marBottom w:val="0"/>
          <w:divBdr>
            <w:top w:val="none" w:sz="0" w:space="0" w:color="auto"/>
            <w:left w:val="none" w:sz="0" w:space="0" w:color="auto"/>
            <w:bottom w:val="none" w:sz="0" w:space="0" w:color="auto"/>
            <w:right w:val="none" w:sz="0" w:space="0" w:color="auto"/>
          </w:divBdr>
        </w:div>
        <w:div w:id="853304031">
          <w:marLeft w:val="640"/>
          <w:marRight w:val="0"/>
          <w:marTop w:val="0"/>
          <w:marBottom w:val="0"/>
          <w:divBdr>
            <w:top w:val="none" w:sz="0" w:space="0" w:color="auto"/>
            <w:left w:val="none" w:sz="0" w:space="0" w:color="auto"/>
            <w:bottom w:val="none" w:sz="0" w:space="0" w:color="auto"/>
            <w:right w:val="none" w:sz="0" w:space="0" w:color="auto"/>
          </w:divBdr>
        </w:div>
        <w:div w:id="1634405909">
          <w:marLeft w:val="640"/>
          <w:marRight w:val="0"/>
          <w:marTop w:val="0"/>
          <w:marBottom w:val="0"/>
          <w:divBdr>
            <w:top w:val="none" w:sz="0" w:space="0" w:color="auto"/>
            <w:left w:val="none" w:sz="0" w:space="0" w:color="auto"/>
            <w:bottom w:val="none" w:sz="0" w:space="0" w:color="auto"/>
            <w:right w:val="none" w:sz="0" w:space="0" w:color="auto"/>
          </w:divBdr>
        </w:div>
        <w:div w:id="1186946680">
          <w:marLeft w:val="640"/>
          <w:marRight w:val="0"/>
          <w:marTop w:val="0"/>
          <w:marBottom w:val="0"/>
          <w:divBdr>
            <w:top w:val="none" w:sz="0" w:space="0" w:color="auto"/>
            <w:left w:val="none" w:sz="0" w:space="0" w:color="auto"/>
            <w:bottom w:val="none" w:sz="0" w:space="0" w:color="auto"/>
            <w:right w:val="none" w:sz="0" w:space="0" w:color="auto"/>
          </w:divBdr>
        </w:div>
        <w:div w:id="1335066031">
          <w:marLeft w:val="640"/>
          <w:marRight w:val="0"/>
          <w:marTop w:val="0"/>
          <w:marBottom w:val="0"/>
          <w:divBdr>
            <w:top w:val="none" w:sz="0" w:space="0" w:color="auto"/>
            <w:left w:val="none" w:sz="0" w:space="0" w:color="auto"/>
            <w:bottom w:val="none" w:sz="0" w:space="0" w:color="auto"/>
            <w:right w:val="none" w:sz="0" w:space="0" w:color="auto"/>
          </w:divBdr>
        </w:div>
        <w:div w:id="909772091">
          <w:marLeft w:val="640"/>
          <w:marRight w:val="0"/>
          <w:marTop w:val="0"/>
          <w:marBottom w:val="0"/>
          <w:divBdr>
            <w:top w:val="none" w:sz="0" w:space="0" w:color="auto"/>
            <w:left w:val="none" w:sz="0" w:space="0" w:color="auto"/>
            <w:bottom w:val="none" w:sz="0" w:space="0" w:color="auto"/>
            <w:right w:val="none" w:sz="0" w:space="0" w:color="auto"/>
          </w:divBdr>
        </w:div>
        <w:div w:id="507792215">
          <w:marLeft w:val="640"/>
          <w:marRight w:val="0"/>
          <w:marTop w:val="0"/>
          <w:marBottom w:val="0"/>
          <w:divBdr>
            <w:top w:val="none" w:sz="0" w:space="0" w:color="auto"/>
            <w:left w:val="none" w:sz="0" w:space="0" w:color="auto"/>
            <w:bottom w:val="none" w:sz="0" w:space="0" w:color="auto"/>
            <w:right w:val="none" w:sz="0" w:space="0" w:color="auto"/>
          </w:divBdr>
        </w:div>
        <w:div w:id="1008945793">
          <w:marLeft w:val="640"/>
          <w:marRight w:val="0"/>
          <w:marTop w:val="0"/>
          <w:marBottom w:val="0"/>
          <w:divBdr>
            <w:top w:val="none" w:sz="0" w:space="0" w:color="auto"/>
            <w:left w:val="none" w:sz="0" w:space="0" w:color="auto"/>
            <w:bottom w:val="none" w:sz="0" w:space="0" w:color="auto"/>
            <w:right w:val="none" w:sz="0" w:space="0" w:color="auto"/>
          </w:divBdr>
        </w:div>
        <w:div w:id="539512549">
          <w:marLeft w:val="640"/>
          <w:marRight w:val="0"/>
          <w:marTop w:val="0"/>
          <w:marBottom w:val="0"/>
          <w:divBdr>
            <w:top w:val="none" w:sz="0" w:space="0" w:color="auto"/>
            <w:left w:val="none" w:sz="0" w:space="0" w:color="auto"/>
            <w:bottom w:val="none" w:sz="0" w:space="0" w:color="auto"/>
            <w:right w:val="none" w:sz="0" w:space="0" w:color="auto"/>
          </w:divBdr>
        </w:div>
        <w:div w:id="10038774">
          <w:marLeft w:val="640"/>
          <w:marRight w:val="0"/>
          <w:marTop w:val="0"/>
          <w:marBottom w:val="0"/>
          <w:divBdr>
            <w:top w:val="none" w:sz="0" w:space="0" w:color="auto"/>
            <w:left w:val="none" w:sz="0" w:space="0" w:color="auto"/>
            <w:bottom w:val="none" w:sz="0" w:space="0" w:color="auto"/>
            <w:right w:val="none" w:sz="0" w:space="0" w:color="auto"/>
          </w:divBdr>
        </w:div>
        <w:div w:id="1586114295">
          <w:marLeft w:val="640"/>
          <w:marRight w:val="0"/>
          <w:marTop w:val="0"/>
          <w:marBottom w:val="0"/>
          <w:divBdr>
            <w:top w:val="none" w:sz="0" w:space="0" w:color="auto"/>
            <w:left w:val="none" w:sz="0" w:space="0" w:color="auto"/>
            <w:bottom w:val="none" w:sz="0" w:space="0" w:color="auto"/>
            <w:right w:val="none" w:sz="0" w:space="0" w:color="auto"/>
          </w:divBdr>
        </w:div>
      </w:divsChild>
    </w:div>
    <w:div w:id="240336076">
      <w:bodyDiv w:val="1"/>
      <w:marLeft w:val="0"/>
      <w:marRight w:val="0"/>
      <w:marTop w:val="0"/>
      <w:marBottom w:val="0"/>
      <w:divBdr>
        <w:top w:val="none" w:sz="0" w:space="0" w:color="auto"/>
        <w:left w:val="none" w:sz="0" w:space="0" w:color="auto"/>
        <w:bottom w:val="none" w:sz="0" w:space="0" w:color="auto"/>
        <w:right w:val="none" w:sz="0" w:space="0" w:color="auto"/>
      </w:divBdr>
    </w:div>
    <w:div w:id="286359331">
      <w:bodyDiv w:val="1"/>
      <w:marLeft w:val="0"/>
      <w:marRight w:val="0"/>
      <w:marTop w:val="0"/>
      <w:marBottom w:val="0"/>
      <w:divBdr>
        <w:top w:val="none" w:sz="0" w:space="0" w:color="auto"/>
        <w:left w:val="none" w:sz="0" w:space="0" w:color="auto"/>
        <w:bottom w:val="none" w:sz="0" w:space="0" w:color="auto"/>
        <w:right w:val="none" w:sz="0" w:space="0" w:color="auto"/>
      </w:divBdr>
      <w:divsChild>
        <w:div w:id="601646945">
          <w:marLeft w:val="640"/>
          <w:marRight w:val="0"/>
          <w:marTop w:val="0"/>
          <w:marBottom w:val="0"/>
          <w:divBdr>
            <w:top w:val="none" w:sz="0" w:space="0" w:color="auto"/>
            <w:left w:val="none" w:sz="0" w:space="0" w:color="auto"/>
            <w:bottom w:val="none" w:sz="0" w:space="0" w:color="auto"/>
            <w:right w:val="none" w:sz="0" w:space="0" w:color="auto"/>
          </w:divBdr>
        </w:div>
        <w:div w:id="526875788">
          <w:marLeft w:val="640"/>
          <w:marRight w:val="0"/>
          <w:marTop w:val="0"/>
          <w:marBottom w:val="0"/>
          <w:divBdr>
            <w:top w:val="none" w:sz="0" w:space="0" w:color="auto"/>
            <w:left w:val="none" w:sz="0" w:space="0" w:color="auto"/>
            <w:bottom w:val="none" w:sz="0" w:space="0" w:color="auto"/>
            <w:right w:val="none" w:sz="0" w:space="0" w:color="auto"/>
          </w:divBdr>
        </w:div>
        <w:div w:id="1362392504">
          <w:marLeft w:val="640"/>
          <w:marRight w:val="0"/>
          <w:marTop w:val="0"/>
          <w:marBottom w:val="0"/>
          <w:divBdr>
            <w:top w:val="none" w:sz="0" w:space="0" w:color="auto"/>
            <w:left w:val="none" w:sz="0" w:space="0" w:color="auto"/>
            <w:bottom w:val="none" w:sz="0" w:space="0" w:color="auto"/>
            <w:right w:val="none" w:sz="0" w:space="0" w:color="auto"/>
          </w:divBdr>
        </w:div>
        <w:div w:id="1701977975">
          <w:marLeft w:val="640"/>
          <w:marRight w:val="0"/>
          <w:marTop w:val="0"/>
          <w:marBottom w:val="0"/>
          <w:divBdr>
            <w:top w:val="none" w:sz="0" w:space="0" w:color="auto"/>
            <w:left w:val="none" w:sz="0" w:space="0" w:color="auto"/>
            <w:bottom w:val="none" w:sz="0" w:space="0" w:color="auto"/>
            <w:right w:val="none" w:sz="0" w:space="0" w:color="auto"/>
          </w:divBdr>
        </w:div>
        <w:div w:id="2042171710">
          <w:marLeft w:val="640"/>
          <w:marRight w:val="0"/>
          <w:marTop w:val="0"/>
          <w:marBottom w:val="0"/>
          <w:divBdr>
            <w:top w:val="none" w:sz="0" w:space="0" w:color="auto"/>
            <w:left w:val="none" w:sz="0" w:space="0" w:color="auto"/>
            <w:bottom w:val="none" w:sz="0" w:space="0" w:color="auto"/>
            <w:right w:val="none" w:sz="0" w:space="0" w:color="auto"/>
          </w:divBdr>
        </w:div>
        <w:div w:id="1041440625">
          <w:marLeft w:val="640"/>
          <w:marRight w:val="0"/>
          <w:marTop w:val="0"/>
          <w:marBottom w:val="0"/>
          <w:divBdr>
            <w:top w:val="none" w:sz="0" w:space="0" w:color="auto"/>
            <w:left w:val="none" w:sz="0" w:space="0" w:color="auto"/>
            <w:bottom w:val="none" w:sz="0" w:space="0" w:color="auto"/>
            <w:right w:val="none" w:sz="0" w:space="0" w:color="auto"/>
          </w:divBdr>
        </w:div>
        <w:div w:id="1912692136">
          <w:marLeft w:val="640"/>
          <w:marRight w:val="0"/>
          <w:marTop w:val="0"/>
          <w:marBottom w:val="0"/>
          <w:divBdr>
            <w:top w:val="none" w:sz="0" w:space="0" w:color="auto"/>
            <w:left w:val="none" w:sz="0" w:space="0" w:color="auto"/>
            <w:bottom w:val="none" w:sz="0" w:space="0" w:color="auto"/>
            <w:right w:val="none" w:sz="0" w:space="0" w:color="auto"/>
          </w:divBdr>
        </w:div>
        <w:div w:id="1810586944">
          <w:marLeft w:val="640"/>
          <w:marRight w:val="0"/>
          <w:marTop w:val="0"/>
          <w:marBottom w:val="0"/>
          <w:divBdr>
            <w:top w:val="none" w:sz="0" w:space="0" w:color="auto"/>
            <w:left w:val="none" w:sz="0" w:space="0" w:color="auto"/>
            <w:bottom w:val="none" w:sz="0" w:space="0" w:color="auto"/>
            <w:right w:val="none" w:sz="0" w:space="0" w:color="auto"/>
          </w:divBdr>
        </w:div>
        <w:div w:id="725297529">
          <w:marLeft w:val="640"/>
          <w:marRight w:val="0"/>
          <w:marTop w:val="0"/>
          <w:marBottom w:val="0"/>
          <w:divBdr>
            <w:top w:val="none" w:sz="0" w:space="0" w:color="auto"/>
            <w:left w:val="none" w:sz="0" w:space="0" w:color="auto"/>
            <w:bottom w:val="none" w:sz="0" w:space="0" w:color="auto"/>
            <w:right w:val="none" w:sz="0" w:space="0" w:color="auto"/>
          </w:divBdr>
        </w:div>
        <w:div w:id="1535264202">
          <w:marLeft w:val="640"/>
          <w:marRight w:val="0"/>
          <w:marTop w:val="0"/>
          <w:marBottom w:val="0"/>
          <w:divBdr>
            <w:top w:val="none" w:sz="0" w:space="0" w:color="auto"/>
            <w:left w:val="none" w:sz="0" w:space="0" w:color="auto"/>
            <w:bottom w:val="none" w:sz="0" w:space="0" w:color="auto"/>
            <w:right w:val="none" w:sz="0" w:space="0" w:color="auto"/>
          </w:divBdr>
        </w:div>
        <w:div w:id="270477691">
          <w:marLeft w:val="640"/>
          <w:marRight w:val="0"/>
          <w:marTop w:val="0"/>
          <w:marBottom w:val="0"/>
          <w:divBdr>
            <w:top w:val="none" w:sz="0" w:space="0" w:color="auto"/>
            <w:left w:val="none" w:sz="0" w:space="0" w:color="auto"/>
            <w:bottom w:val="none" w:sz="0" w:space="0" w:color="auto"/>
            <w:right w:val="none" w:sz="0" w:space="0" w:color="auto"/>
          </w:divBdr>
        </w:div>
        <w:div w:id="583147091">
          <w:marLeft w:val="640"/>
          <w:marRight w:val="0"/>
          <w:marTop w:val="0"/>
          <w:marBottom w:val="0"/>
          <w:divBdr>
            <w:top w:val="none" w:sz="0" w:space="0" w:color="auto"/>
            <w:left w:val="none" w:sz="0" w:space="0" w:color="auto"/>
            <w:bottom w:val="none" w:sz="0" w:space="0" w:color="auto"/>
            <w:right w:val="none" w:sz="0" w:space="0" w:color="auto"/>
          </w:divBdr>
        </w:div>
        <w:div w:id="954991204">
          <w:marLeft w:val="640"/>
          <w:marRight w:val="0"/>
          <w:marTop w:val="0"/>
          <w:marBottom w:val="0"/>
          <w:divBdr>
            <w:top w:val="none" w:sz="0" w:space="0" w:color="auto"/>
            <w:left w:val="none" w:sz="0" w:space="0" w:color="auto"/>
            <w:bottom w:val="none" w:sz="0" w:space="0" w:color="auto"/>
            <w:right w:val="none" w:sz="0" w:space="0" w:color="auto"/>
          </w:divBdr>
        </w:div>
        <w:div w:id="1048530156">
          <w:marLeft w:val="640"/>
          <w:marRight w:val="0"/>
          <w:marTop w:val="0"/>
          <w:marBottom w:val="0"/>
          <w:divBdr>
            <w:top w:val="none" w:sz="0" w:space="0" w:color="auto"/>
            <w:left w:val="none" w:sz="0" w:space="0" w:color="auto"/>
            <w:bottom w:val="none" w:sz="0" w:space="0" w:color="auto"/>
            <w:right w:val="none" w:sz="0" w:space="0" w:color="auto"/>
          </w:divBdr>
        </w:div>
        <w:div w:id="166755279">
          <w:marLeft w:val="640"/>
          <w:marRight w:val="0"/>
          <w:marTop w:val="0"/>
          <w:marBottom w:val="0"/>
          <w:divBdr>
            <w:top w:val="none" w:sz="0" w:space="0" w:color="auto"/>
            <w:left w:val="none" w:sz="0" w:space="0" w:color="auto"/>
            <w:bottom w:val="none" w:sz="0" w:space="0" w:color="auto"/>
            <w:right w:val="none" w:sz="0" w:space="0" w:color="auto"/>
          </w:divBdr>
        </w:div>
        <w:div w:id="653677799">
          <w:marLeft w:val="640"/>
          <w:marRight w:val="0"/>
          <w:marTop w:val="0"/>
          <w:marBottom w:val="0"/>
          <w:divBdr>
            <w:top w:val="none" w:sz="0" w:space="0" w:color="auto"/>
            <w:left w:val="none" w:sz="0" w:space="0" w:color="auto"/>
            <w:bottom w:val="none" w:sz="0" w:space="0" w:color="auto"/>
            <w:right w:val="none" w:sz="0" w:space="0" w:color="auto"/>
          </w:divBdr>
        </w:div>
        <w:div w:id="1773165673">
          <w:marLeft w:val="640"/>
          <w:marRight w:val="0"/>
          <w:marTop w:val="0"/>
          <w:marBottom w:val="0"/>
          <w:divBdr>
            <w:top w:val="none" w:sz="0" w:space="0" w:color="auto"/>
            <w:left w:val="none" w:sz="0" w:space="0" w:color="auto"/>
            <w:bottom w:val="none" w:sz="0" w:space="0" w:color="auto"/>
            <w:right w:val="none" w:sz="0" w:space="0" w:color="auto"/>
          </w:divBdr>
        </w:div>
      </w:divsChild>
    </w:div>
    <w:div w:id="315040364">
      <w:bodyDiv w:val="1"/>
      <w:marLeft w:val="0"/>
      <w:marRight w:val="0"/>
      <w:marTop w:val="0"/>
      <w:marBottom w:val="0"/>
      <w:divBdr>
        <w:top w:val="none" w:sz="0" w:space="0" w:color="auto"/>
        <w:left w:val="none" w:sz="0" w:space="0" w:color="auto"/>
        <w:bottom w:val="none" w:sz="0" w:space="0" w:color="auto"/>
        <w:right w:val="none" w:sz="0" w:space="0" w:color="auto"/>
      </w:divBdr>
    </w:div>
    <w:div w:id="559251123">
      <w:bodyDiv w:val="1"/>
      <w:marLeft w:val="0"/>
      <w:marRight w:val="0"/>
      <w:marTop w:val="0"/>
      <w:marBottom w:val="0"/>
      <w:divBdr>
        <w:top w:val="none" w:sz="0" w:space="0" w:color="auto"/>
        <w:left w:val="none" w:sz="0" w:space="0" w:color="auto"/>
        <w:bottom w:val="none" w:sz="0" w:space="0" w:color="auto"/>
        <w:right w:val="none" w:sz="0" w:space="0" w:color="auto"/>
      </w:divBdr>
    </w:div>
    <w:div w:id="645820305">
      <w:bodyDiv w:val="1"/>
      <w:marLeft w:val="0"/>
      <w:marRight w:val="0"/>
      <w:marTop w:val="0"/>
      <w:marBottom w:val="0"/>
      <w:divBdr>
        <w:top w:val="none" w:sz="0" w:space="0" w:color="auto"/>
        <w:left w:val="none" w:sz="0" w:space="0" w:color="auto"/>
        <w:bottom w:val="none" w:sz="0" w:space="0" w:color="auto"/>
        <w:right w:val="none" w:sz="0" w:space="0" w:color="auto"/>
      </w:divBdr>
    </w:div>
    <w:div w:id="719860918">
      <w:bodyDiv w:val="1"/>
      <w:marLeft w:val="0"/>
      <w:marRight w:val="0"/>
      <w:marTop w:val="0"/>
      <w:marBottom w:val="0"/>
      <w:divBdr>
        <w:top w:val="none" w:sz="0" w:space="0" w:color="auto"/>
        <w:left w:val="none" w:sz="0" w:space="0" w:color="auto"/>
        <w:bottom w:val="none" w:sz="0" w:space="0" w:color="auto"/>
        <w:right w:val="none" w:sz="0" w:space="0" w:color="auto"/>
      </w:divBdr>
    </w:div>
    <w:div w:id="723211456">
      <w:bodyDiv w:val="1"/>
      <w:marLeft w:val="0"/>
      <w:marRight w:val="0"/>
      <w:marTop w:val="0"/>
      <w:marBottom w:val="0"/>
      <w:divBdr>
        <w:top w:val="none" w:sz="0" w:space="0" w:color="auto"/>
        <w:left w:val="none" w:sz="0" w:space="0" w:color="auto"/>
        <w:bottom w:val="none" w:sz="0" w:space="0" w:color="auto"/>
        <w:right w:val="none" w:sz="0" w:space="0" w:color="auto"/>
      </w:divBdr>
      <w:divsChild>
        <w:div w:id="767888501">
          <w:marLeft w:val="480"/>
          <w:marRight w:val="0"/>
          <w:marTop w:val="0"/>
          <w:marBottom w:val="0"/>
          <w:divBdr>
            <w:top w:val="none" w:sz="0" w:space="0" w:color="auto"/>
            <w:left w:val="none" w:sz="0" w:space="0" w:color="auto"/>
            <w:bottom w:val="none" w:sz="0" w:space="0" w:color="auto"/>
            <w:right w:val="none" w:sz="0" w:space="0" w:color="auto"/>
          </w:divBdr>
        </w:div>
        <w:div w:id="625284002">
          <w:marLeft w:val="480"/>
          <w:marRight w:val="0"/>
          <w:marTop w:val="0"/>
          <w:marBottom w:val="0"/>
          <w:divBdr>
            <w:top w:val="none" w:sz="0" w:space="0" w:color="auto"/>
            <w:left w:val="none" w:sz="0" w:space="0" w:color="auto"/>
            <w:bottom w:val="none" w:sz="0" w:space="0" w:color="auto"/>
            <w:right w:val="none" w:sz="0" w:space="0" w:color="auto"/>
          </w:divBdr>
        </w:div>
        <w:div w:id="271014680">
          <w:marLeft w:val="480"/>
          <w:marRight w:val="0"/>
          <w:marTop w:val="0"/>
          <w:marBottom w:val="0"/>
          <w:divBdr>
            <w:top w:val="none" w:sz="0" w:space="0" w:color="auto"/>
            <w:left w:val="none" w:sz="0" w:space="0" w:color="auto"/>
            <w:bottom w:val="none" w:sz="0" w:space="0" w:color="auto"/>
            <w:right w:val="none" w:sz="0" w:space="0" w:color="auto"/>
          </w:divBdr>
        </w:div>
        <w:div w:id="1800798561">
          <w:marLeft w:val="480"/>
          <w:marRight w:val="0"/>
          <w:marTop w:val="0"/>
          <w:marBottom w:val="0"/>
          <w:divBdr>
            <w:top w:val="none" w:sz="0" w:space="0" w:color="auto"/>
            <w:left w:val="none" w:sz="0" w:space="0" w:color="auto"/>
            <w:bottom w:val="none" w:sz="0" w:space="0" w:color="auto"/>
            <w:right w:val="none" w:sz="0" w:space="0" w:color="auto"/>
          </w:divBdr>
        </w:div>
        <w:div w:id="1312245825">
          <w:marLeft w:val="480"/>
          <w:marRight w:val="0"/>
          <w:marTop w:val="0"/>
          <w:marBottom w:val="0"/>
          <w:divBdr>
            <w:top w:val="none" w:sz="0" w:space="0" w:color="auto"/>
            <w:left w:val="none" w:sz="0" w:space="0" w:color="auto"/>
            <w:bottom w:val="none" w:sz="0" w:space="0" w:color="auto"/>
            <w:right w:val="none" w:sz="0" w:space="0" w:color="auto"/>
          </w:divBdr>
        </w:div>
        <w:div w:id="225607653">
          <w:marLeft w:val="480"/>
          <w:marRight w:val="0"/>
          <w:marTop w:val="0"/>
          <w:marBottom w:val="0"/>
          <w:divBdr>
            <w:top w:val="none" w:sz="0" w:space="0" w:color="auto"/>
            <w:left w:val="none" w:sz="0" w:space="0" w:color="auto"/>
            <w:bottom w:val="none" w:sz="0" w:space="0" w:color="auto"/>
            <w:right w:val="none" w:sz="0" w:space="0" w:color="auto"/>
          </w:divBdr>
        </w:div>
        <w:div w:id="1832721492">
          <w:marLeft w:val="480"/>
          <w:marRight w:val="0"/>
          <w:marTop w:val="0"/>
          <w:marBottom w:val="0"/>
          <w:divBdr>
            <w:top w:val="none" w:sz="0" w:space="0" w:color="auto"/>
            <w:left w:val="none" w:sz="0" w:space="0" w:color="auto"/>
            <w:bottom w:val="none" w:sz="0" w:space="0" w:color="auto"/>
            <w:right w:val="none" w:sz="0" w:space="0" w:color="auto"/>
          </w:divBdr>
        </w:div>
        <w:div w:id="1533422859">
          <w:marLeft w:val="480"/>
          <w:marRight w:val="0"/>
          <w:marTop w:val="0"/>
          <w:marBottom w:val="0"/>
          <w:divBdr>
            <w:top w:val="none" w:sz="0" w:space="0" w:color="auto"/>
            <w:left w:val="none" w:sz="0" w:space="0" w:color="auto"/>
            <w:bottom w:val="none" w:sz="0" w:space="0" w:color="auto"/>
            <w:right w:val="none" w:sz="0" w:space="0" w:color="auto"/>
          </w:divBdr>
        </w:div>
        <w:div w:id="916985163">
          <w:marLeft w:val="480"/>
          <w:marRight w:val="0"/>
          <w:marTop w:val="0"/>
          <w:marBottom w:val="0"/>
          <w:divBdr>
            <w:top w:val="none" w:sz="0" w:space="0" w:color="auto"/>
            <w:left w:val="none" w:sz="0" w:space="0" w:color="auto"/>
            <w:bottom w:val="none" w:sz="0" w:space="0" w:color="auto"/>
            <w:right w:val="none" w:sz="0" w:space="0" w:color="auto"/>
          </w:divBdr>
        </w:div>
        <w:div w:id="1211841519">
          <w:marLeft w:val="480"/>
          <w:marRight w:val="0"/>
          <w:marTop w:val="0"/>
          <w:marBottom w:val="0"/>
          <w:divBdr>
            <w:top w:val="none" w:sz="0" w:space="0" w:color="auto"/>
            <w:left w:val="none" w:sz="0" w:space="0" w:color="auto"/>
            <w:bottom w:val="none" w:sz="0" w:space="0" w:color="auto"/>
            <w:right w:val="none" w:sz="0" w:space="0" w:color="auto"/>
          </w:divBdr>
        </w:div>
        <w:div w:id="674696697">
          <w:marLeft w:val="480"/>
          <w:marRight w:val="0"/>
          <w:marTop w:val="0"/>
          <w:marBottom w:val="0"/>
          <w:divBdr>
            <w:top w:val="none" w:sz="0" w:space="0" w:color="auto"/>
            <w:left w:val="none" w:sz="0" w:space="0" w:color="auto"/>
            <w:bottom w:val="none" w:sz="0" w:space="0" w:color="auto"/>
            <w:right w:val="none" w:sz="0" w:space="0" w:color="auto"/>
          </w:divBdr>
        </w:div>
        <w:div w:id="1315260112">
          <w:marLeft w:val="480"/>
          <w:marRight w:val="0"/>
          <w:marTop w:val="0"/>
          <w:marBottom w:val="0"/>
          <w:divBdr>
            <w:top w:val="none" w:sz="0" w:space="0" w:color="auto"/>
            <w:left w:val="none" w:sz="0" w:space="0" w:color="auto"/>
            <w:bottom w:val="none" w:sz="0" w:space="0" w:color="auto"/>
            <w:right w:val="none" w:sz="0" w:space="0" w:color="auto"/>
          </w:divBdr>
        </w:div>
        <w:div w:id="1460882082">
          <w:marLeft w:val="480"/>
          <w:marRight w:val="0"/>
          <w:marTop w:val="0"/>
          <w:marBottom w:val="0"/>
          <w:divBdr>
            <w:top w:val="none" w:sz="0" w:space="0" w:color="auto"/>
            <w:left w:val="none" w:sz="0" w:space="0" w:color="auto"/>
            <w:bottom w:val="none" w:sz="0" w:space="0" w:color="auto"/>
            <w:right w:val="none" w:sz="0" w:space="0" w:color="auto"/>
          </w:divBdr>
        </w:div>
        <w:div w:id="1908689118">
          <w:marLeft w:val="480"/>
          <w:marRight w:val="0"/>
          <w:marTop w:val="0"/>
          <w:marBottom w:val="0"/>
          <w:divBdr>
            <w:top w:val="none" w:sz="0" w:space="0" w:color="auto"/>
            <w:left w:val="none" w:sz="0" w:space="0" w:color="auto"/>
            <w:bottom w:val="none" w:sz="0" w:space="0" w:color="auto"/>
            <w:right w:val="none" w:sz="0" w:space="0" w:color="auto"/>
          </w:divBdr>
        </w:div>
        <w:div w:id="1098522764">
          <w:marLeft w:val="480"/>
          <w:marRight w:val="0"/>
          <w:marTop w:val="0"/>
          <w:marBottom w:val="0"/>
          <w:divBdr>
            <w:top w:val="none" w:sz="0" w:space="0" w:color="auto"/>
            <w:left w:val="none" w:sz="0" w:space="0" w:color="auto"/>
            <w:bottom w:val="none" w:sz="0" w:space="0" w:color="auto"/>
            <w:right w:val="none" w:sz="0" w:space="0" w:color="auto"/>
          </w:divBdr>
        </w:div>
        <w:div w:id="118190599">
          <w:marLeft w:val="480"/>
          <w:marRight w:val="0"/>
          <w:marTop w:val="0"/>
          <w:marBottom w:val="0"/>
          <w:divBdr>
            <w:top w:val="none" w:sz="0" w:space="0" w:color="auto"/>
            <w:left w:val="none" w:sz="0" w:space="0" w:color="auto"/>
            <w:bottom w:val="none" w:sz="0" w:space="0" w:color="auto"/>
            <w:right w:val="none" w:sz="0" w:space="0" w:color="auto"/>
          </w:divBdr>
        </w:div>
        <w:div w:id="974525361">
          <w:marLeft w:val="480"/>
          <w:marRight w:val="0"/>
          <w:marTop w:val="0"/>
          <w:marBottom w:val="0"/>
          <w:divBdr>
            <w:top w:val="none" w:sz="0" w:space="0" w:color="auto"/>
            <w:left w:val="none" w:sz="0" w:space="0" w:color="auto"/>
            <w:bottom w:val="none" w:sz="0" w:space="0" w:color="auto"/>
            <w:right w:val="none" w:sz="0" w:space="0" w:color="auto"/>
          </w:divBdr>
        </w:div>
      </w:divsChild>
    </w:div>
    <w:div w:id="952133158">
      <w:bodyDiv w:val="1"/>
      <w:marLeft w:val="0"/>
      <w:marRight w:val="0"/>
      <w:marTop w:val="0"/>
      <w:marBottom w:val="0"/>
      <w:divBdr>
        <w:top w:val="none" w:sz="0" w:space="0" w:color="auto"/>
        <w:left w:val="none" w:sz="0" w:space="0" w:color="auto"/>
        <w:bottom w:val="none" w:sz="0" w:space="0" w:color="auto"/>
        <w:right w:val="none" w:sz="0" w:space="0" w:color="auto"/>
      </w:divBdr>
      <w:divsChild>
        <w:div w:id="1592398533">
          <w:marLeft w:val="640"/>
          <w:marRight w:val="0"/>
          <w:marTop w:val="0"/>
          <w:marBottom w:val="0"/>
          <w:divBdr>
            <w:top w:val="none" w:sz="0" w:space="0" w:color="auto"/>
            <w:left w:val="none" w:sz="0" w:space="0" w:color="auto"/>
            <w:bottom w:val="none" w:sz="0" w:space="0" w:color="auto"/>
            <w:right w:val="none" w:sz="0" w:space="0" w:color="auto"/>
          </w:divBdr>
        </w:div>
        <w:div w:id="474875540">
          <w:marLeft w:val="640"/>
          <w:marRight w:val="0"/>
          <w:marTop w:val="0"/>
          <w:marBottom w:val="0"/>
          <w:divBdr>
            <w:top w:val="none" w:sz="0" w:space="0" w:color="auto"/>
            <w:left w:val="none" w:sz="0" w:space="0" w:color="auto"/>
            <w:bottom w:val="none" w:sz="0" w:space="0" w:color="auto"/>
            <w:right w:val="none" w:sz="0" w:space="0" w:color="auto"/>
          </w:divBdr>
        </w:div>
        <w:div w:id="1298492362">
          <w:marLeft w:val="640"/>
          <w:marRight w:val="0"/>
          <w:marTop w:val="0"/>
          <w:marBottom w:val="0"/>
          <w:divBdr>
            <w:top w:val="none" w:sz="0" w:space="0" w:color="auto"/>
            <w:left w:val="none" w:sz="0" w:space="0" w:color="auto"/>
            <w:bottom w:val="none" w:sz="0" w:space="0" w:color="auto"/>
            <w:right w:val="none" w:sz="0" w:space="0" w:color="auto"/>
          </w:divBdr>
        </w:div>
        <w:div w:id="1842309642">
          <w:marLeft w:val="640"/>
          <w:marRight w:val="0"/>
          <w:marTop w:val="0"/>
          <w:marBottom w:val="0"/>
          <w:divBdr>
            <w:top w:val="none" w:sz="0" w:space="0" w:color="auto"/>
            <w:left w:val="none" w:sz="0" w:space="0" w:color="auto"/>
            <w:bottom w:val="none" w:sz="0" w:space="0" w:color="auto"/>
            <w:right w:val="none" w:sz="0" w:space="0" w:color="auto"/>
          </w:divBdr>
        </w:div>
        <w:div w:id="1783837639">
          <w:marLeft w:val="640"/>
          <w:marRight w:val="0"/>
          <w:marTop w:val="0"/>
          <w:marBottom w:val="0"/>
          <w:divBdr>
            <w:top w:val="none" w:sz="0" w:space="0" w:color="auto"/>
            <w:left w:val="none" w:sz="0" w:space="0" w:color="auto"/>
            <w:bottom w:val="none" w:sz="0" w:space="0" w:color="auto"/>
            <w:right w:val="none" w:sz="0" w:space="0" w:color="auto"/>
          </w:divBdr>
        </w:div>
        <w:div w:id="1494640287">
          <w:marLeft w:val="640"/>
          <w:marRight w:val="0"/>
          <w:marTop w:val="0"/>
          <w:marBottom w:val="0"/>
          <w:divBdr>
            <w:top w:val="none" w:sz="0" w:space="0" w:color="auto"/>
            <w:left w:val="none" w:sz="0" w:space="0" w:color="auto"/>
            <w:bottom w:val="none" w:sz="0" w:space="0" w:color="auto"/>
            <w:right w:val="none" w:sz="0" w:space="0" w:color="auto"/>
          </w:divBdr>
        </w:div>
        <w:div w:id="455873894">
          <w:marLeft w:val="640"/>
          <w:marRight w:val="0"/>
          <w:marTop w:val="0"/>
          <w:marBottom w:val="0"/>
          <w:divBdr>
            <w:top w:val="none" w:sz="0" w:space="0" w:color="auto"/>
            <w:left w:val="none" w:sz="0" w:space="0" w:color="auto"/>
            <w:bottom w:val="none" w:sz="0" w:space="0" w:color="auto"/>
            <w:right w:val="none" w:sz="0" w:space="0" w:color="auto"/>
          </w:divBdr>
        </w:div>
        <w:div w:id="1636788063">
          <w:marLeft w:val="640"/>
          <w:marRight w:val="0"/>
          <w:marTop w:val="0"/>
          <w:marBottom w:val="0"/>
          <w:divBdr>
            <w:top w:val="none" w:sz="0" w:space="0" w:color="auto"/>
            <w:left w:val="none" w:sz="0" w:space="0" w:color="auto"/>
            <w:bottom w:val="none" w:sz="0" w:space="0" w:color="auto"/>
            <w:right w:val="none" w:sz="0" w:space="0" w:color="auto"/>
          </w:divBdr>
        </w:div>
        <w:div w:id="395665266">
          <w:marLeft w:val="640"/>
          <w:marRight w:val="0"/>
          <w:marTop w:val="0"/>
          <w:marBottom w:val="0"/>
          <w:divBdr>
            <w:top w:val="none" w:sz="0" w:space="0" w:color="auto"/>
            <w:left w:val="none" w:sz="0" w:space="0" w:color="auto"/>
            <w:bottom w:val="none" w:sz="0" w:space="0" w:color="auto"/>
            <w:right w:val="none" w:sz="0" w:space="0" w:color="auto"/>
          </w:divBdr>
        </w:div>
        <w:div w:id="840242156">
          <w:marLeft w:val="640"/>
          <w:marRight w:val="0"/>
          <w:marTop w:val="0"/>
          <w:marBottom w:val="0"/>
          <w:divBdr>
            <w:top w:val="none" w:sz="0" w:space="0" w:color="auto"/>
            <w:left w:val="none" w:sz="0" w:space="0" w:color="auto"/>
            <w:bottom w:val="none" w:sz="0" w:space="0" w:color="auto"/>
            <w:right w:val="none" w:sz="0" w:space="0" w:color="auto"/>
          </w:divBdr>
        </w:div>
        <w:div w:id="788279131">
          <w:marLeft w:val="640"/>
          <w:marRight w:val="0"/>
          <w:marTop w:val="0"/>
          <w:marBottom w:val="0"/>
          <w:divBdr>
            <w:top w:val="none" w:sz="0" w:space="0" w:color="auto"/>
            <w:left w:val="none" w:sz="0" w:space="0" w:color="auto"/>
            <w:bottom w:val="none" w:sz="0" w:space="0" w:color="auto"/>
            <w:right w:val="none" w:sz="0" w:space="0" w:color="auto"/>
          </w:divBdr>
        </w:div>
        <w:div w:id="1091394049">
          <w:marLeft w:val="640"/>
          <w:marRight w:val="0"/>
          <w:marTop w:val="0"/>
          <w:marBottom w:val="0"/>
          <w:divBdr>
            <w:top w:val="none" w:sz="0" w:space="0" w:color="auto"/>
            <w:left w:val="none" w:sz="0" w:space="0" w:color="auto"/>
            <w:bottom w:val="none" w:sz="0" w:space="0" w:color="auto"/>
            <w:right w:val="none" w:sz="0" w:space="0" w:color="auto"/>
          </w:divBdr>
        </w:div>
        <w:div w:id="1978141808">
          <w:marLeft w:val="640"/>
          <w:marRight w:val="0"/>
          <w:marTop w:val="0"/>
          <w:marBottom w:val="0"/>
          <w:divBdr>
            <w:top w:val="none" w:sz="0" w:space="0" w:color="auto"/>
            <w:left w:val="none" w:sz="0" w:space="0" w:color="auto"/>
            <w:bottom w:val="none" w:sz="0" w:space="0" w:color="auto"/>
            <w:right w:val="none" w:sz="0" w:space="0" w:color="auto"/>
          </w:divBdr>
        </w:div>
        <w:div w:id="1075931841">
          <w:marLeft w:val="640"/>
          <w:marRight w:val="0"/>
          <w:marTop w:val="0"/>
          <w:marBottom w:val="0"/>
          <w:divBdr>
            <w:top w:val="none" w:sz="0" w:space="0" w:color="auto"/>
            <w:left w:val="none" w:sz="0" w:space="0" w:color="auto"/>
            <w:bottom w:val="none" w:sz="0" w:space="0" w:color="auto"/>
            <w:right w:val="none" w:sz="0" w:space="0" w:color="auto"/>
          </w:divBdr>
        </w:div>
        <w:div w:id="1330523881">
          <w:marLeft w:val="640"/>
          <w:marRight w:val="0"/>
          <w:marTop w:val="0"/>
          <w:marBottom w:val="0"/>
          <w:divBdr>
            <w:top w:val="none" w:sz="0" w:space="0" w:color="auto"/>
            <w:left w:val="none" w:sz="0" w:space="0" w:color="auto"/>
            <w:bottom w:val="none" w:sz="0" w:space="0" w:color="auto"/>
            <w:right w:val="none" w:sz="0" w:space="0" w:color="auto"/>
          </w:divBdr>
        </w:div>
        <w:div w:id="16272498">
          <w:marLeft w:val="640"/>
          <w:marRight w:val="0"/>
          <w:marTop w:val="0"/>
          <w:marBottom w:val="0"/>
          <w:divBdr>
            <w:top w:val="none" w:sz="0" w:space="0" w:color="auto"/>
            <w:left w:val="none" w:sz="0" w:space="0" w:color="auto"/>
            <w:bottom w:val="none" w:sz="0" w:space="0" w:color="auto"/>
            <w:right w:val="none" w:sz="0" w:space="0" w:color="auto"/>
          </w:divBdr>
        </w:div>
        <w:div w:id="964821045">
          <w:marLeft w:val="640"/>
          <w:marRight w:val="0"/>
          <w:marTop w:val="0"/>
          <w:marBottom w:val="0"/>
          <w:divBdr>
            <w:top w:val="none" w:sz="0" w:space="0" w:color="auto"/>
            <w:left w:val="none" w:sz="0" w:space="0" w:color="auto"/>
            <w:bottom w:val="none" w:sz="0" w:space="0" w:color="auto"/>
            <w:right w:val="none" w:sz="0" w:space="0" w:color="auto"/>
          </w:divBdr>
        </w:div>
      </w:divsChild>
    </w:div>
    <w:div w:id="1018654415">
      <w:bodyDiv w:val="1"/>
      <w:marLeft w:val="0"/>
      <w:marRight w:val="0"/>
      <w:marTop w:val="0"/>
      <w:marBottom w:val="0"/>
      <w:divBdr>
        <w:top w:val="none" w:sz="0" w:space="0" w:color="auto"/>
        <w:left w:val="none" w:sz="0" w:space="0" w:color="auto"/>
        <w:bottom w:val="none" w:sz="0" w:space="0" w:color="auto"/>
        <w:right w:val="none" w:sz="0" w:space="0" w:color="auto"/>
      </w:divBdr>
    </w:div>
    <w:div w:id="1301962048">
      <w:bodyDiv w:val="1"/>
      <w:marLeft w:val="0"/>
      <w:marRight w:val="0"/>
      <w:marTop w:val="0"/>
      <w:marBottom w:val="0"/>
      <w:divBdr>
        <w:top w:val="none" w:sz="0" w:space="0" w:color="auto"/>
        <w:left w:val="none" w:sz="0" w:space="0" w:color="auto"/>
        <w:bottom w:val="none" w:sz="0" w:space="0" w:color="auto"/>
        <w:right w:val="none" w:sz="0" w:space="0" w:color="auto"/>
      </w:divBdr>
    </w:div>
    <w:div w:id="1474561951">
      <w:bodyDiv w:val="1"/>
      <w:marLeft w:val="0"/>
      <w:marRight w:val="0"/>
      <w:marTop w:val="0"/>
      <w:marBottom w:val="0"/>
      <w:divBdr>
        <w:top w:val="none" w:sz="0" w:space="0" w:color="auto"/>
        <w:left w:val="none" w:sz="0" w:space="0" w:color="auto"/>
        <w:bottom w:val="none" w:sz="0" w:space="0" w:color="auto"/>
        <w:right w:val="none" w:sz="0" w:space="0" w:color="auto"/>
      </w:divBdr>
      <w:divsChild>
        <w:div w:id="352390464">
          <w:marLeft w:val="640"/>
          <w:marRight w:val="0"/>
          <w:marTop w:val="0"/>
          <w:marBottom w:val="0"/>
          <w:divBdr>
            <w:top w:val="none" w:sz="0" w:space="0" w:color="auto"/>
            <w:left w:val="none" w:sz="0" w:space="0" w:color="auto"/>
            <w:bottom w:val="none" w:sz="0" w:space="0" w:color="auto"/>
            <w:right w:val="none" w:sz="0" w:space="0" w:color="auto"/>
          </w:divBdr>
        </w:div>
        <w:div w:id="1647050802">
          <w:marLeft w:val="640"/>
          <w:marRight w:val="0"/>
          <w:marTop w:val="0"/>
          <w:marBottom w:val="0"/>
          <w:divBdr>
            <w:top w:val="none" w:sz="0" w:space="0" w:color="auto"/>
            <w:left w:val="none" w:sz="0" w:space="0" w:color="auto"/>
            <w:bottom w:val="none" w:sz="0" w:space="0" w:color="auto"/>
            <w:right w:val="none" w:sz="0" w:space="0" w:color="auto"/>
          </w:divBdr>
        </w:div>
        <w:div w:id="455370874">
          <w:marLeft w:val="640"/>
          <w:marRight w:val="0"/>
          <w:marTop w:val="0"/>
          <w:marBottom w:val="0"/>
          <w:divBdr>
            <w:top w:val="none" w:sz="0" w:space="0" w:color="auto"/>
            <w:left w:val="none" w:sz="0" w:space="0" w:color="auto"/>
            <w:bottom w:val="none" w:sz="0" w:space="0" w:color="auto"/>
            <w:right w:val="none" w:sz="0" w:space="0" w:color="auto"/>
          </w:divBdr>
        </w:div>
        <w:div w:id="1495029486">
          <w:marLeft w:val="640"/>
          <w:marRight w:val="0"/>
          <w:marTop w:val="0"/>
          <w:marBottom w:val="0"/>
          <w:divBdr>
            <w:top w:val="none" w:sz="0" w:space="0" w:color="auto"/>
            <w:left w:val="none" w:sz="0" w:space="0" w:color="auto"/>
            <w:bottom w:val="none" w:sz="0" w:space="0" w:color="auto"/>
            <w:right w:val="none" w:sz="0" w:space="0" w:color="auto"/>
          </w:divBdr>
        </w:div>
        <w:div w:id="500237082">
          <w:marLeft w:val="640"/>
          <w:marRight w:val="0"/>
          <w:marTop w:val="0"/>
          <w:marBottom w:val="0"/>
          <w:divBdr>
            <w:top w:val="none" w:sz="0" w:space="0" w:color="auto"/>
            <w:left w:val="none" w:sz="0" w:space="0" w:color="auto"/>
            <w:bottom w:val="none" w:sz="0" w:space="0" w:color="auto"/>
            <w:right w:val="none" w:sz="0" w:space="0" w:color="auto"/>
          </w:divBdr>
        </w:div>
        <w:div w:id="456148487">
          <w:marLeft w:val="640"/>
          <w:marRight w:val="0"/>
          <w:marTop w:val="0"/>
          <w:marBottom w:val="0"/>
          <w:divBdr>
            <w:top w:val="none" w:sz="0" w:space="0" w:color="auto"/>
            <w:left w:val="none" w:sz="0" w:space="0" w:color="auto"/>
            <w:bottom w:val="none" w:sz="0" w:space="0" w:color="auto"/>
            <w:right w:val="none" w:sz="0" w:space="0" w:color="auto"/>
          </w:divBdr>
        </w:div>
        <w:div w:id="78714983">
          <w:marLeft w:val="640"/>
          <w:marRight w:val="0"/>
          <w:marTop w:val="0"/>
          <w:marBottom w:val="0"/>
          <w:divBdr>
            <w:top w:val="none" w:sz="0" w:space="0" w:color="auto"/>
            <w:left w:val="none" w:sz="0" w:space="0" w:color="auto"/>
            <w:bottom w:val="none" w:sz="0" w:space="0" w:color="auto"/>
            <w:right w:val="none" w:sz="0" w:space="0" w:color="auto"/>
          </w:divBdr>
        </w:div>
        <w:div w:id="1796949280">
          <w:marLeft w:val="640"/>
          <w:marRight w:val="0"/>
          <w:marTop w:val="0"/>
          <w:marBottom w:val="0"/>
          <w:divBdr>
            <w:top w:val="none" w:sz="0" w:space="0" w:color="auto"/>
            <w:left w:val="none" w:sz="0" w:space="0" w:color="auto"/>
            <w:bottom w:val="none" w:sz="0" w:space="0" w:color="auto"/>
            <w:right w:val="none" w:sz="0" w:space="0" w:color="auto"/>
          </w:divBdr>
        </w:div>
        <w:div w:id="1689721640">
          <w:marLeft w:val="640"/>
          <w:marRight w:val="0"/>
          <w:marTop w:val="0"/>
          <w:marBottom w:val="0"/>
          <w:divBdr>
            <w:top w:val="none" w:sz="0" w:space="0" w:color="auto"/>
            <w:left w:val="none" w:sz="0" w:space="0" w:color="auto"/>
            <w:bottom w:val="none" w:sz="0" w:space="0" w:color="auto"/>
            <w:right w:val="none" w:sz="0" w:space="0" w:color="auto"/>
          </w:divBdr>
        </w:div>
        <w:div w:id="1607539381">
          <w:marLeft w:val="640"/>
          <w:marRight w:val="0"/>
          <w:marTop w:val="0"/>
          <w:marBottom w:val="0"/>
          <w:divBdr>
            <w:top w:val="none" w:sz="0" w:space="0" w:color="auto"/>
            <w:left w:val="none" w:sz="0" w:space="0" w:color="auto"/>
            <w:bottom w:val="none" w:sz="0" w:space="0" w:color="auto"/>
            <w:right w:val="none" w:sz="0" w:space="0" w:color="auto"/>
          </w:divBdr>
        </w:div>
        <w:div w:id="400838167">
          <w:marLeft w:val="640"/>
          <w:marRight w:val="0"/>
          <w:marTop w:val="0"/>
          <w:marBottom w:val="0"/>
          <w:divBdr>
            <w:top w:val="none" w:sz="0" w:space="0" w:color="auto"/>
            <w:left w:val="none" w:sz="0" w:space="0" w:color="auto"/>
            <w:bottom w:val="none" w:sz="0" w:space="0" w:color="auto"/>
            <w:right w:val="none" w:sz="0" w:space="0" w:color="auto"/>
          </w:divBdr>
        </w:div>
        <w:div w:id="391929577">
          <w:marLeft w:val="640"/>
          <w:marRight w:val="0"/>
          <w:marTop w:val="0"/>
          <w:marBottom w:val="0"/>
          <w:divBdr>
            <w:top w:val="none" w:sz="0" w:space="0" w:color="auto"/>
            <w:left w:val="none" w:sz="0" w:space="0" w:color="auto"/>
            <w:bottom w:val="none" w:sz="0" w:space="0" w:color="auto"/>
            <w:right w:val="none" w:sz="0" w:space="0" w:color="auto"/>
          </w:divBdr>
        </w:div>
        <w:div w:id="1878471554">
          <w:marLeft w:val="640"/>
          <w:marRight w:val="0"/>
          <w:marTop w:val="0"/>
          <w:marBottom w:val="0"/>
          <w:divBdr>
            <w:top w:val="none" w:sz="0" w:space="0" w:color="auto"/>
            <w:left w:val="none" w:sz="0" w:space="0" w:color="auto"/>
            <w:bottom w:val="none" w:sz="0" w:space="0" w:color="auto"/>
            <w:right w:val="none" w:sz="0" w:space="0" w:color="auto"/>
          </w:divBdr>
        </w:div>
        <w:div w:id="1827433912">
          <w:marLeft w:val="640"/>
          <w:marRight w:val="0"/>
          <w:marTop w:val="0"/>
          <w:marBottom w:val="0"/>
          <w:divBdr>
            <w:top w:val="none" w:sz="0" w:space="0" w:color="auto"/>
            <w:left w:val="none" w:sz="0" w:space="0" w:color="auto"/>
            <w:bottom w:val="none" w:sz="0" w:space="0" w:color="auto"/>
            <w:right w:val="none" w:sz="0" w:space="0" w:color="auto"/>
          </w:divBdr>
        </w:div>
        <w:div w:id="356393954">
          <w:marLeft w:val="640"/>
          <w:marRight w:val="0"/>
          <w:marTop w:val="0"/>
          <w:marBottom w:val="0"/>
          <w:divBdr>
            <w:top w:val="none" w:sz="0" w:space="0" w:color="auto"/>
            <w:left w:val="none" w:sz="0" w:space="0" w:color="auto"/>
            <w:bottom w:val="none" w:sz="0" w:space="0" w:color="auto"/>
            <w:right w:val="none" w:sz="0" w:space="0" w:color="auto"/>
          </w:divBdr>
        </w:div>
        <w:div w:id="1321541803">
          <w:marLeft w:val="640"/>
          <w:marRight w:val="0"/>
          <w:marTop w:val="0"/>
          <w:marBottom w:val="0"/>
          <w:divBdr>
            <w:top w:val="none" w:sz="0" w:space="0" w:color="auto"/>
            <w:left w:val="none" w:sz="0" w:space="0" w:color="auto"/>
            <w:bottom w:val="none" w:sz="0" w:space="0" w:color="auto"/>
            <w:right w:val="none" w:sz="0" w:space="0" w:color="auto"/>
          </w:divBdr>
        </w:div>
        <w:div w:id="1940944456">
          <w:marLeft w:val="640"/>
          <w:marRight w:val="0"/>
          <w:marTop w:val="0"/>
          <w:marBottom w:val="0"/>
          <w:divBdr>
            <w:top w:val="none" w:sz="0" w:space="0" w:color="auto"/>
            <w:left w:val="none" w:sz="0" w:space="0" w:color="auto"/>
            <w:bottom w:val="none" w:sz="0" w:space="0" w:color="auto"/>
            <w:right w:val="none" w:sz="0" w:space="0" w:color="auto"/>
          </w:divBdr>
        </w:div>
      </w:divsChild>
    </w:div>
    <w:div w:id="1542283984">
      <w:bodyDiv w:val="1"/>
      <w:marLeft w:val="0"/>
      <w:marRight w:val="0"/>
      <w:marTop w:val="0"/>
      <w:marBottom w:val="0"/>
      <w:divBdr>
        <w:top w:val="none" w:sz="0" w:space="0" w:color="auto"/>
        <w:left w:val="none" w:sz="0" w:space="0" w:color="auto"/>
        <w:bottom w:val="none" w:sz="0" w:space="0" w:color="auto"/>
        <w:right w:val="none" w:sz="0" w:space="0" w:color="auto"/>
      </w:divBdr>
    </w:div>
    <w:div w:id="1686592940">
      <w:bodyDiv w:val="1"/>
      <w:marLeft w:val="0"/>
      <w:marRight w:val="0"/>
      <w:marTop w:val="0"/>
      <w:marBottom w:val="0"/>
      <w:divBdr>
        <w:top w:val="none" w:sz="0" w:space="0" w:color="auto"/>
        <w:left w:val="none" w:sz="0" w:space="0" w:color="auto"/>
        <w:bottom w:val="none" w:sz="0" w:space="0" w:color="auto"/>
        <w:right w:val="none" w:sz="0" w:space="0" w:color="auto"/>
      </w:divBdr>
    </w:div>
    <w:div w:id="1702319537">
      <w:bodyDiv w:val="1"/>
      <w:marLeft w:val="0"/>
      <w:marRight w:val="0"/>
      <w:marTop w:val="0"/>
      <w:marBottom w:val="0"/>
      <w:divBdr>
        <w:top w:val="none" w:sz="0" w:space="0" w:color="auto"/>
        <w:left w:val="none" w:sz="0" w:space="0" w:color="auto"/>
        <w:bottom w:val="none" w:sz="0" w:space="0" w:color="auto"/>
        <w:right w:val="none" w:sz="0" w:space="0" w:color="auto"/>
      </w:divBdr>
    </w:div>
    <w:div w:id="1735350688">
      <w:bodyDiv w:val="1"/>
      <w:marLeft w:val="0"/>
      <w:marRight w:val="0"/>
      <w:marTop w:val="0"/>
      <w:marBottom w:val="0"/>
      <w:divBdr>
        <w:top w:val="none" w:sz="0" w:space="0" w:color="auto"/>
        <w:left w:val="none" w:sz="0" w:space="0" w:color="auto"/>
        <w:bottom w:val="none" w:sz="0" w:space="0" w:color="auto"/>
        <w:right w:val="none" w:sz="0" w:space="0" w:color="auto"/>
      </w:divBdr>
      <w:divsChild>
        <w:div w:id="230701034">
          <w:marLeft w:val="480"/>
          <w:marRight w:val="0"/>
          <w:marTop w:val="0"/>
          <w:marBottom w:val="0"/>
          <w:divBdr>
            <w:top w:val="none" w:sz="0" w:space="0" w:color="auto"/>
            <w:left w:val="none" w:sz="0" w:space="0" w:color="auto"/>
            <w:bottom w:val="none" w:sz="0" w:space="0" w:color="auto"/>
            <w:right w:val="none" w:sz="0" w:space="0" w:color="auto"/>
          </w:divBdr>
        </w:div>
        <w:div w:id="1034307268">
          <w:marLeft w:val="480"/>
          <w:marRight w:val="0"/>
          <w:marTop w:val="0"/>
          <w:marBottom w:val="0"/>
          <w:divBdr>
            <w:top w:val="none" w:sz="0" w:space="0" w:color="auto"/>
            <w:left w:val="none" w:sz="0" w:space="0" w:color="auto"/>
            <w:bottom w:val="none" w:sz="0" w:space="0" w:color="auto"/>
            <w:right w:val="none" w:sz="0" w:space="0" w:color="auto"/>
          </w:divBdr>
        </w:div>
        <w:div w:id="1326932010">
          <w:marLeft w:val="480"/>
          <w:marRight w:val="0"/>
          <w:marTop w:val="0"/>
          <w:marBottom w:val="0"/>
          <w:divBdr>
            <w:top w:val="none" w:sz="0" w:space="0" w:color="auto"/>
            <w:left w:val="none" w:sz="0" w:space="0" w:color="auto"/>
            <w:bottom w:val="none" w:sz="0" w:space="0" w:color="auto"/>
            <w:right w:val="none" w:sz="0" w:space="0" w:color="auto"/>
          </w:divBdr>
        </w:div>
        <w:div w:id="2139641415">
          <w:marLeft w:val="480"/>
          <w:marRight w:val="0"/>
          <w:marTop w:val="0"/>
          <w:marBottom w:val="0"/>
          <w:divBdr>
            <w:top w:val="none" w:sz="0" w:space="0" w:color="auto"/>
            <w:left w:val="none" w:sz="0" w:space="0" w:color="auto"/>
            <w:bottom w:val="none" w:sz="0" w:space="0" w:color="auto"/>
            <w:right w:val="none" w:sz="0" w:space="0" w:color="auto"/>
          </w:divBdr>
        </w:div>
        <w:div w:id="1585803185">
          <w:marLeft w:val="480"/>
          <w:marRight w:val="0"/>
          <w:marTop w:val="0"/>
          <w:marBottom w:val="0"/>
          <w:divBdr>
            <w:top w:val="none" w:sz="0" w:space="0" w:color="auto"/>
            <w:left w:val="none" w:sz="0" w:space="0" w:color="auto"/>
            <w:bottom w:val="none" w:sz="0" w:space="0" w:color="auto"/>
            <w:right w:val="none" w:sz="0" w:space="0" w:color="auto"/>
          </w:divBdr>
        </w:div>
        <w:div w:id="2093161888">
          <w:marLeft w:val="480"/>
          <w:marRight w:val="0"/>
          <w:marTop w:val="0"/>
          <w:marBottom w:val="0"/>
          <w:divBdr>
            <w:top w:val="none" w:sz="0" w:space="0" w:color="auto"/>
            <w:left w:val="none" w:sz="0" w:space="0" w:color="auto"/>
            <w:bottom w:val="none" w:sz="0" w:space="0" w:color="auto"/>
            <w:right w:val="none" w:sz="0" w:space="0" w:color="auto"/>
          </w:divBdr>
        </w:div>
        <w:div w:id="1675257507">
          <w:marLeft w:val="480"/>
          <w:marRight w:val="0"/>
          <w:marTop w:val="0"/>
          <w:marBottom w:val="0"/>
          <w:divBdr>
            <w:top w:val="none" w:sz="0" w:space="0" w:color="auto"/>
            <w:left w:val="none" w:sz="0" w:space="0" w:color="auto"/>
            <w:bottom w:val="none" w:sz="0" w:space="0" w:color="auto"/>
            <w:right w:val="none" w:sz="0" w:space="0" w:color="auto"/>
          </w:divBdr>
        </w:div>
        <w:div w:id="1291210171">
          <w:marLeft w:val="480"/>
          <w:marRight w:val="0"/>
          <w:marTop w:val="0"/>
          <w:marBottom w:val="0"/>
          <w:divBdr>
            <w:top w:val="none" w:sz="0" w:space="0" w:color="auto"/>
            <w:left w:val="none" w:sz="0" w:space="0" w:color="auto"/>
            <w:bottom w:val="none" w:sz="0" w:space="0" w:color="auto"/>
            <w:right w:val="none" w:sz="0" w:space="0" w:color="auto"/>
          </w:divBdr>
        </w:div>
        <w:div w:id="1129124089">
          <w:marLeft w:val="480"/>
          <w:marRight w:val="0"/>
          <w:marTop w:val="0"/>
          <w:marBottom w:val="0"/>
          <w:divBdr>
            <w:top w:val="none" w:sz="0" w:space="0" w:color="auto"/>
            <w:left w:val="none" w:sz="0" w:space="0" w:color="auto"/>
            <w:bottom w:val="none" w:sz="0" w:space="0" w:color="auto"/>
            <w:right w:val="none" w:sz="0" w:space="0" w:color="auto"/>
          </w:divBdr>
        </w:div>
        <w:div w:id="1925071736">
          <w:marLeft w:val="480"/>
          <w:marRight w:val="0"/>
          <w:marTop w:val="0"/>
          <w:marBottom w:val="0"/>
          <w:divBdr>
            <w:top w:val="none" w:sz="0" w:space="0" w:color="auto"/>
            <w:left w:val="none" w:sz="0" w:space="0" w:color="auto"/>
            <w:bottom w:val="none" w:sz="0" w:space="0" w:color="auto"/>
            <w:right w:val="none" w:sz="0" w:space="0" w:color="auto"/>
          </w:divBdr>
        </w:div>
        <w:div w:id="921455745">
          <w:marLeft w:val="480"/>
          <w:marRight w:val="0"/>
          <w:marTop w:val="0"/>
          <w:marBottom w:val="0"/>
          <w:divBdr>
            <w:top w:val="none" w:sz="0" w:space="0" w:color="auto"/>
            <w:left w:val="none" w:sz="0" w:space="0" w:color="auto"/>
            <w:bottom w:val="none" w:sz="0" w:space="0" w:color="auto"/>
            <w:right w:val="none" w:sz="0" w:space="0" w:color="auto"/>
          </w:divBdr>
        </w:div>
        <w:div w:id="1461145121">
          <w:marLeft w:val="480"/>
          <w:marRight w:val="0"/>
          <w:marTop w:val="0"/>
          <w:marBottom w:val="0"/>
          <w:divBdr>
            <w:top w:val="none" w:sz="0" w:space="0" w:color="auto"/>
            <w:left w:val="none" w:sz="0" w:space="0" w:color="auto"/>
            <w:bottom w:val="none" w:sz="0" w:space="0" w:color="auto"/>
            <w:right w:val="none" w:sz="0" w:space="0" w:color="auto"/>
          </w:divBdr>
        </w:div>
        <w:div w:id="1192064653">
          <w:marLeft w:val="480"/>
          <w:marRight w:val="0"/>
          <w:marTop w:val="0"/>
          <w:marBottom w:val="0"/>
          <w:divBdr>
            <w:top w:val="none" w:sz="0" w:space="0" w:color="auto"/>
            <w:left w:val="none" w:sz="0" w:space="0" w:color="auto"/>
            <w:bottom w:val="none" w:sz="0" w:space="0" w:color="auto"/>
            <w:right w:val="none" w:sz="0" w:space="0" w:color="auto"/>
          </w:divBdr>
        </w:div>
        <w:div w:id="892303778">
          <w:marLeft w:val="480"/>
          <w:marRight w:val="0"/>
          <w:marTop w:val="0"/>
          <w:marBottom w:val="0"/>
          <w:divBdr>
            <w:top w:val="none" w:sz="0" w:space="0" w:color="auto"/>
            <w:left w:val="none" w:sz="0" w:space="0" w:color="auto"/>
            <w:bottom w:val="none" w:sz="0" w:space="0" w:color="auto"/>
            <w:right w:val="none" w:sz="0" w:space="0" w:color="auto"/>
          </w:divBdr>
        </w:div>
        <w:div w:id="1105081081">
          <w:marLeft w:val="480"/>
          <w:marRight w:val="0"/>
          <w:marTop w:val="0"/>
          <w:marBottom w:val="0"/>
          <w:divBdr>
            <w:top w:val="none" w:sz="0" w:space="0" w:color="auto"/>
            <w:left w:val="none" w:sz="0" w:space="0" w:color="auto"/>
            <w:bottom w:val="none" w:sz="0" w:space="0" w:color="auto"/>
            <w:right w:val="none" w:sz="0" w:space="0" w:color="auto"/>
          </w:divBdr>
        </w:div>
        <w:div w:id="2108842795">
          <w:marLeft w:val="480"/>
          <w:marRight w:val="0"/>
          <w:marTop w:val="0"/>
          <w:marBottom w:val="0"/>
          <w:divBdr>
            <w:top w:val="none" w:sz="0" w:space="0" w:color="auto"/>
            <w:left w:val="none" w:sz="0" w:space="0" w:color="auto"/>
            <w:bottom w:val="none" w:sz="0" w:space="0" w:color="auto"/>
            <w:right w:val="none" w:sz="0" w:space="0" w:color="auto"/>
          </w:divBdr>
        </w:div>
        <w:div w:id="732243668">
          <w:marLeft w:val="480"/>
          <w:marRight w:val="0"/>
          <w:marTop w:val="0"/>
          <w:marBottom w:val="0"/>
          <w:divBdr>
            <w:top w:val="none" w:sz="0" w:space="0" w:color="auto"/>
            <w:left w:val="none" w:sz="0" w:space="0" w:color="auto"/>
            <w:bottom w:val="none" w:sz="0" w:space="0" w:color="auto"/>
            <w:right w:val="none" w:sz="0" w:space="0" w:color="auto"/>
          </w:divBdr>
        </w:div>
      </w:divsChild>
    </w:div>
    <w:div w:id="1783188405">
      <w:bodyDiv w:val="1"/>
      <w:marLeft w:val="0"/>
      <w:marRight w:val="0"/>
      <w:marTop w:val="0"/>
      <w:marBottom w:val="0"/>
      <w:divBdr>
        <w:top w:val="none" w:sz="0" w:space="0" w:color="auto"/>
        <w:left w:val="none" w:sz="0" w:space="0" w:color="auto"/>
        <w:bottom w:val="none" w:sz="0" w:space="0" w:color="auto"/>
        <w:right w:val="none" w:sz="0" w:space="0" w:color="auto"/>
      </w:divBdr>
      <w:divsChild>
        <w:div w:id="517084743">
          <w:marLeft w:val="640"/>
          <w:marRight w:val="0"/>
          <w:marTop w:val="0"/>
          <w:marBottom w:val="0"/>
          <w:divBdr>
            <w:top w:val="none" w:sz="0" w:space="0" w:color="auto"/>
            <w:left w:val="none" w:sz="0" w:space="0" w:color="auto"/>
            <w:bottom w:val="none" w:sz="0" w:space="0" w:color="auto"/>
            <w:right w:val="none" w:sz="0" w:space="0" w:color="auto"/>
          </w:divBdr>
        </w:div>
        <w:div w:id="755790808">
          <w:marLeft w:val="640"/>
          <w:marRight w:val="0"/>
          <w:marTop w:val="0"/>
          <w:marBottom w:val="0"/>
          <w:divBdr>
            <w:top w:val="none" w:sz="0" w:space="0" w:color="auto"/>
            <w:left w:val="none" w:sz="0" w:space="0" w:color="auto"/>
            <w:bottom w:val="none" w:sz="0" w:space="0" w:color="auto"/>
            <w:right w:val="none" w:sz="0" w:space="0" w:color="auto"/>
          </w:divBdr>
        </w:div>
        <w:div w:id="1063941170">
          <w:marLeft w:val="640"/>
          <w:marRight w:val="0"/>
          <w:marTop w:val="0"/>
          <w:marBottom w:val="0"/>
          <w:divBdr>
            <w:top w:val="none" w:sz="0" w:space="0" w:color="auto"/>
            <w:left w:val="none" w:sz="0" w:space="0" w:color="auto"/>
            <w:bottom w:val="none" w:sz="0" w:space="0" w:color="auto"/>
            <w:right w:val="none" w:sz="0" w:space="0" w:color="auto"/>
          </w:divBdr>
        </w:div>
        <w:div w:id="2116123478">
          <w:marLeft w:val="640"/>
          <w:marRight w:val="0"/>
          <w:marTop w:val="0"/>
          <w:marBottom w:val="0"/>
          <w:divBdr>
            <w:top w:val="none" w:sz="0" w:space="0" w:color="auto"/>
            <w:left w:val="none" w:sz="0" w:space="0" w:color="auto"/>
            <w:bottom w:val="none" w:sz="0" w:space="0" w:color="auto"/>
            <w:right w:val="none" w:sz="0" w:space="0" w:color="auto"/>
          </w:divBdr>
        </w:div>
        <w:div w:id="1540311935">
          <w:marLeft w:val="640"/>
          <w:marRight w:val="0"/>
          <w:marTop w:val="0"/>
          <w:marBottom w:val="0"/>
          <w:divBdr>
            <w:top w:val="none" w:sz="0" w:space="0" w:color="auto"/>
            <w:left w:val="none" w:sz="0" w:space="0" w:color="auto"/>
            <w:bottom w:val="none" w:sz="0" w:space="0" w:color="auto"/>
            <w:right w:val="none" w:sz="0" w:space="0" w:color="auto"/>
          </w:divBdr>
        </w:div>
        <w:div w:id="1519463943">
          <w:marLeft w:val="640"/>
          <w:marRight w:val="0"/>
          <w:marTop w:val="0"/>
          <w:marBottom w:val="0"/>
          <w:divBdr>
            <w:top w:val="none" w:sz="0" w:space="0" w:color="auto"/>
            <w:left w:val="none" w:sz="0" w:space="0" w:color="auto"/>
            <w:bottom w:val="none" w:sz="0" w:space="0" w:color="auto"/>
            <w:right w:val="none" w:sz="0" w:space="0" w:color="auto"/>
          </w:divBdr>
        </w:div>
        <w:div w:id="1778987535">
          <w:marLeft w:val="640"/>
          <w:marRight w:val="0"/>
          <w:marTop w:val="0"/>
          <w:marBottom w:val="0"/>
          <w:divBdr>
            <w:top w:val="none" w:sz="0" w:space="0" w:color="auto"/>
            <w:left w:val="none" w:sz="0" w:space="0" w:color="auto"/>
            <w:bottom w:val="none" w:sz="0" w:space="0" w:color="auto"/>
            <w:right w:val="none" w:sz="0" w:space="0" w:color="auto"/>
          </w:divBdr>
        </w:div>
        <w:div w:id="1673026422">
          <w:marLeft w:val="640"/>
          <w:marRight w:val="0"/>
          <w:marTop w:val="0"/>
          <w:marBottom w:val="0"/>
          <w:divBdr>
            <w:top w:val="none" w:sz="0" w:space="0" w:color="auto"/>
            <w:left w:val="none" w:sz="0" w:space="0" w:color="auto"/>
            <w:bottom w:val="none" w:sz="0" w:space="0" w:color="auto"/>
            <w:right w:val="none" w:sz="0" w:space="0" w:color="auto"/>
          </w:divBdr>
        </w:div>
        <w:div w:id="640117866">
          <w:marLeft w:val="640"/>
          <w:marRight w:val="0"/>
          <w:marTop w:val="0"/>
          <w:marBottom w:val="0"/>
          <w:divBdr>
            <w:top w:val="none" w:sz="0" w:space="0" w:color="auto"/>
            <w:left w:val="none" w:sz="0" w:space="0" w:color="auto"/>
            <w:bottom w:val="none" w:sz="0" w:space="0" w:color="auto"/>
            <w:right w:val="none" w:sz="0" w:space="0" w:color="auto"/>
          </w:divBdr>
        </w:div>
        <w:div w:id="255671126">
          <w:marLeft w:val="640"/>
          <w:marRight w:val="0"/>
          <w:marTop w:val="0"/>
          <w:marBottom w:val="0"/>
          <w:divBdr>
            <w:top w:val="none" w:sz="0" w:space="0" w:color="auto"/>
            <w:left w:val="none" w:sz="0" w:space="0" w:color="auto"/>
            <w:bottom w:val="none" w:sz="0" w:space="0" w:color="auto"/>
            <w:right w:val="none" w:sz="0" w:space="0" w:color="auto"/>
          </w:divBdr>
        </w:div>
        <w:div w:id="1599287492">
          <w:marLeft w:val="640"/>
          <w:marRight w:val="0"/>
          <w:marTop w:val="0"/>
          <w:marBottom w:val="0"/>
          <w:divBdr>
            <w:top w:val="none" w:sz="0" w:space="0" w:color="auto"/>
            <w:left w:val="none" w:sz="0" w:space="0" w:color="auto"/>
            <w:bottom w:val="none" w:sz="0" w:space="0" w:color="auto"/>
            <w:right w:val="none" w:sz="0" w:space="0" w:color="auto"/>
          </w:divBdr>
        </w:div>
        <w:div w:id="1841240607">
          <w:marLeft w:val="640"/>
          <w:marRight w:val="0"/>
          <w:marTop w:val="0"/>
          <w:marBottom w:val="0"/>
          <w:divBdr>
            <w:top w:val="none" w:sz="0" w:space="0" w:color="auto"/>
            <w:left w:val="none" w:sz="0" w:space="0" w:color="auto"/>
            <w:bottom w:val="none" w:sz="0" w:space="0" w:color="auto"/>
            <w:right w:val="none" w:sz="0" w:space="0" w:color="auto"/>
          </w:divBdr>
        </w:div>
        <w:div w:id="309747504">
          <w:marLeft w:val="640"/>
          <w:marRight w:val="0"/>
          <w:marTop w:val="0"/>
          <w:marBottom w:val="0"/>
          <w:divBdr>
            <w:top w:val="none" w:sz="0" w:space="0" w:color="auto"/>
            <w:left w:val="none" w:sz="0" w:space="0" w:color="auto"/>
            <w:bottom w:val="none" w:sz="0" w:space="0" w:color="auto"/>
            <w:right w:val="none" w:sz="0" w:space="0" w:color="auto"/>
          </w:divBdr>
        </w:div>
        <w:div w:id="70202246">
          <w:marLeft w:val="640"/>
          <w:marRight w:val="0"/>
          <w:marTop w:val="0"/>
          <w:marBottom w:val="0"/>
          <w:divBdr>
            <w:top w:val="none" w:sz="0" w:space="0" w:color="auto"/>
            <w:left w:val="none" w:sz="0" w:space="0" w:color="auto"/>
            <w:bottom w:val="none" w:sz="0" w:space="0" w:color="auto"/>
            <w:right w:val="none" w:sz="0" w:space="0" w:color="auto"/>
          </w:divBdr>
        </w:div>
        <w:div w:id="1558276136">
          <w:marLeft w:val="640"/>
          <w:marRight w:val="0"/>
          <w:marTop w:val="0"/>
          <w:marBottom w:val="0"/>
          <w:divBdr>
            <w:top w:val="none" w:sz="0" w:space="0" w:color="auto"/>
            <w:left w:val="none" w:sz="0" w:space="0" w:color="auto"/>
            <w:bottom w:val="none" w:sz="0" w:space="0" w:color="auto"/>
            <w:right w:val="none" w:sz="0" w:space="0" w:color="auto"/>
          </w:divBdr>
        </w:div>
        <w:div w:id="2107997153">
          <w:marLeft w:val="640"/>
          <w:marRight w:val="0"/>
          <w:marTop w:val="0"/>
          <w:marBottom w:val="0"/>
          <w:divBdr>
            <w:top w:val="none" w:sz="0" w:space="0" w:color="auto"/>
            <w:left w:val="none" w:sz="0" w:space="0" w:color="auto"/>
            <w:bottom w:val="none" w:sz="0" w:space="0" w:color="auto"/>
            <w:right w:val="none" w:sz="0" w:space="0" w:color="auto"/>
          </w:divBdr>
        </w:div>
        <w:div w:id="1129662040">
          <w:marLeft w:val="640"/>
          <w:marRight w:val="0"/>
          <w:marTop w:val="0"/>
          <w:marBottom w:val="0"/>
          <w:divBdr>
            <w:top w:val="none" w:sz="0" w:space="0" w:color="auto"/>
            <w:left w:val="none" w:sz="0" w:space="0" w:color="auto"/>
            <w:bottom w:val="none" w:sz="0" w:space="0" w:color="auto"/>
            <w:right w:val="none" w:sz="0" w:space="0" w:color="auto"/>
          </w:divBdr>
        </w:div>
      </w:divsChild>
    </w:div>
    <w:div w:id="208918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20-486E-8702-03C6C13CE3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20-486E-8702-03C6C13CE384}"/>
              </c:ext>
            </c:extLst>
          </c:dPt>
          <c:dLbls>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&lt;60mL/min/1.73 m²</c:v>
                </c:pt>
                <c:pt idx="1">
                  <c:v>≥60mL/min/1.73 m²) </c:v>
                </c:pt>
              </c:strCache>
            </c:strRef>
          </c:cat>
          <c:val>
            <c:numRef>
              <c:f>Sheet1!$B$2:$B$3</c:f>
              <c:numCache>
                <c:formatCode>General</c:formatCode>
                <c:ptCount val="2"/>
                <c:pt idx="0">
                  <c:v>69</c:v>
                </c:pt>
                <c:pt idx="1">
                  <c:v>144</c:v>
                </c:pt>
              </c:numCache>
            </c:numRef>
          </c:val>
          <c:extLst>
            <c:ext xmlns:c16="http://schemas.microsoft.com/office/drawing/2014/chart" uri="{C3380CC4-5D6E-409C-BE32-E72D297353CC}">
              <c16:uniqueId val="{00000004-B820-486E-8702-03C6C13CE38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Present</c:v>
                </c:pt>
              </c:strCache>
            </c:strRef>
          </c:tx>
          <c:spPr>
            <a:solidFill>
              <a:schemeClr val="accent1"/>
            </a:solidFill>
            <a:ln>
              <a:noFill/>
            </a:ln>
            <a:effectLst/>
          </c:spPr>
          <c:invertIfNegative val="0"/>
          <c:cat>
            <c:strRef>
              <c:f>Sheet1!$A$2:$A$5</c:f>
              <c:strCache>
                <c:ptCount val="4"/>
                <c:pt idx="0">
                  <c:v>Diabetes</c:v>
                </c:pt>
                <c:pt idx="1">
                  <c:v>Hypertension</c:v>
                </c:pt>
                <c:pt idx="2">
                  <c:v>Hematuria</c:v>
                </c:pt>
                <c:pt idx="3">
                  <c:v>Proteinura</c:v>
                </c:pt>
              </c:strCache>
            </c:strRef>
          </c:cat>
          <c:val>
            <c:numRef>
              <c:f>Sheet1!$B$2:$B$5</c:f>
              <c:numCache>
                <c:formatCode>General</c:formatCode>
                <c:ptCount val="4"/>
                <c:pt idx="0">
                  <c:v>83.43</c:v>
                </c:pt>
                <c:pt idx="1">
                  <c:v>89</c:v>
                </c:pt>
                <c:pt idx="2">
                  <c:v>76.67</c:v>
                </c:pt>
                <c:pt idx="3">
                  <c:v>86.63</c:v>
                </c:pt>
              </c:numCache>
            </c:numRef>
          </c:val>
          <c:extLst>
            <c:ext xmlns:c16="http://schemas.microsoft.com/office/drawing/2014/chart" uri="{C3380CC4-5D6E-409C-BE32-E72D297353CC}">
              <c16:uniqueId val="{00000000-E1C3-44AD-A061-102152864A9E}"/>
            </c:ext>
          </c:extLst>
        </c:ser>
        <c:ser>
          <c:idx val="1"/>
          <c:order val="1"/>
          <c:tx>
            <c:strRef>
              <c:f>Sheet1!$C$1</c:f>
              <c:strCache>
                <c:ptCount val="1"/>
                <c:pt idx="0">
                  <c:v>Absent</c:v>
                </c:pt>
              </c:strCache>
            </c:strRef>
          </c:tx>
          <c:spPr>
            <a:solidFill>
              <a:schemeClr val="accent2"/>
            </a:solidFill>
            <a:ln>
              <a:noFill/>
            </a:ln>
            <a:effectLst/>
          </c:spPr>
          <c:invertIfNegative val="0"/>
          <c:cat>
            <c:strRef>
              <c:f>Sheet1!$A$2:$A$5</c:f>
              <c:strCache>
                <c:ptCount val="4"/>
                <c:pt idx="0">
                  <c:v>Diabetes</c:v>
                </c:pt>
                <c:pt idx="1">
                  <c:v>Hypertension</c:v>
                </c:pt>
                <c:pt idx="2">
                  <c:v>Hematuria</c:v>
                </c:pt>
                <c:pt idx="3">
                  <c:v>Proteinura</c:v>
                </c:pt>
              </c:strCache>
            </c:strRef>
          </c:cat>
          <c:val>
            <c:numRef>
              <c:f>Sheet1!$C$2:$C$5</c:f>
              <c:numCache>
                <c:formatCode>General</c:formatCode>
                <c:ptCount val="4"/>
                <c:pt idx="0">
                  <c:v>96.23</c:v>
                </c:pt>
                <c:pt idx="1">
                  <c:v>97.83</c:v>
                </c:pt>
                <c:pt idx="2">
                  <c:v>96.91</c:v>
                </c:pt>
                <c:pt idx="3">
                  <c:v>96.13</c:v>
                </c:pt>
              </c:numCache>
            </c:numRef>
          </c:val>
          <c:extLst>
            <c:ext xmlns:c16="http://schemas.microsoft.com/office/drawing/2014/chart" uri="{C3380CC4-5D6E-409C-BE32-E72D297353CC}">
              <c16:uniqueId val="{00000001-E1C3-44AD-A061-102152864A9E}"/>
            </c:ext>
          </c:extLst>
        </c:ser>
        <c:dLbls>
          <c:showLegendKey val="0"/>
          <c:showVal val="0"/>
          <c:showCatName val="0"/>
          <c:showSerName val="0"/>
          <c:showPercent val="0"/>
          <c:showBubbleSize val="0"/>
        </c:dLbls>
        <c:gapWidth val="219"/>
        <c:overlap val="-27"/>
        <c:axId val="709461760"/>
        <c:axId val="709463680"/>
      </c:barChart>
      <c:catAx>
        <c:axId val="70946176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Co-morbidities</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9463680"/>
        <c:crosses val="autoZero"/>
        <c:auto val="1"/>
        <c:lblAlgn val="ctr"/>
        <c:lblOffset val="100"/>
        <c:noMultiLvlLbl val="0"/>
      </c:catAx>
      <c:valAx>
        <c:axId val="709463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eGFR (mL/min/1.73 m²)</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946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b="1">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472A35D-F054-4D94-81B3-701D3EB2D033}"/>
      </w:docPartPr>
      <w:docPartBody>
        <w:p w:rsidR="00BD5345" w:rsidRDefault="00BD5345">
          <w:r w:rsidRPr="00083892">
            <w:rPr>
              <w:rStyle w:val="PlaceholderText"/>
            </w:rPr>
            <w:t>Click or tap here to enter text.</w:t>
          </w:r>
        </w:p>
      </w:docPartBody>
    </w:docPart>
    <w:docPart>
      <w:docPartPr>
        <w:name w:val="E524C90C877A4E9EABE9096B6AECCC9C"/>
        <w:category>
          <w:name w:val="General"/>
          <w:gallery w:val="placeholder"/>
        </w:category>
        <w:types>
          <w:type w:val="bbPlcHdr"/>
        </w:types>
        <w:behaviors>
          <w:behavior w:val="content"/>
        </w:behaviors>
        <w:guid w:val="{632510B2-5ED1-478D-AC28-5DA30B30DFDC}"/>
      </w:docPartPr>
      <w:docPartBody>
        <w:p w:rsidR="00CA2379" w:rsidRDefault="0092794F" w:rsidP="0092794F">
          <w:pPr>
            <w:pStyle w:val="E524C90C877A4E9EABE9096B6AECCC9C"/>
          </w:pPr>
          <w:r w:rsidRPr="000838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45"/>
    <w:rsid w:val="002913FF"/>
    <w:rsid w:val="00293DDB"/>
    <w:rsid w:val="002B60B2"/>
    <w:rsid w:val="004045C7"/>
    <w:rsid w:val="00417D87"/>
    <w:rsid w:val="00520310"/>
    <w:rsid w:val="007352B1"/>
    <w:rsid w:val="00917CB2"/>
    <w:rsid w:val="0092794F"/>
    <w:rsid w:val="00AC4917"/>
    <w:rsid w:val="00BB4771"/>
    <w:rsid w:val="00BD5345"/>
    <w:rsid w:val="00CA2379"/>
    <w:rsid w:val="00DE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94F"/>
    <w:rPr>
      <w:color w:val="666666"/>
    </w:rPr>
  </w:style>
  <w:style w:type="paragraph" w:customStyle="1" w:styleId="E524C90C877A4E9EABE9096B6AECCC9C">
    <w:name w:val="E524C90C877A4E9EABE9096B6AECCC9C"/>
    <w:rsid w:val="009279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8D3593-3D72-43A1-8A02-E3C6340920EB}">
  <we:reference id="wa104382081" version="1.55.1.0" store="en-US" storeType="OMEX"/>
  <we:alternateReferences>
    <we:reference id="WA104382081" version="1.55.1.0" store="" storeType="OMEX"/>
  </we:alternateReferences>
  <we:properties>
    <we:property name="MENDELEY_CITATIONS" value="[{&quot;citationID&quot;:&quot;MENDELEY_CITATION_b0718f39-7421-44ab-80f0-8f5c1ed94f4d&quot;,&quot;properties&quot;:{&quot;noteIndex&quot;:0},&quot;isEdited&quot;:false,&quot;manualOverride&quot;:{&quot;isManuallyOverridden&quot;:false,&quot;citeprocText&quot;:&quot;(Deng et al., 2025; Francis et al., 2024)&quot;,&quot;manualOverrideText&quot;:&quot;&quot;},&quot;citationTag&quot;:&quot;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&quot;,&quot;citationItems&quot;:[{&quot;id&quot;:&quot;25643ab9-d65b-3be9-8995-6f137decb7c8&quot;,&quot;itemData&quot;:{&quot;type&quot;:&quot;article-journal&quot;,&quot;id&quot;:&quot;25643ab9-d65b-3be9-8995-6f137decb7c8&quot;,&quot;title&quot;:&quot;Global, regional, and national burden of chronic kidney disease and its underlying etiologies from 1990 to 2021: a systematic analysis for the Global Burden of Disease Study 2021&quot;,&quot;author&quot;:[{&quot;family&quot;:&quot;Deng&quot;,&quot;given&quot;:&quot;Ling&quot;,&quot;parse-names&quot;:false,&quot;dropping-particle&quot;:&quot;&quot;,&quot;non-dropping-particle&quot;:&quot;&quot;},{&quot;family&quot;:&quot;Guo&quot;,&quot;given&quot;:&quot;Shujin&quot;,&quot;parse-names&quot;:false,&quot;dropping-particle&quot;:&quot;&quot;,&quot;non-dropping-particle&quot;:&quot;&quot;},{&quot;family&quot;:&quot;Liu&quot;,&quot;given&quot;:&quot;Yuping&quot;,&quot;parse-names&quot;:false,&quot;dropping-particle&quot;:&quot;&quot;,&quot;non-dropping-particle&quot;:&quot;&quot;},{&quot;family&quot;:&quot;Zhou&quot;,&quot;given&quot;:&quot;Yaojia&quot;,&quot;parse-names&quot;:false,&quot;dropping-particle&quot;:&quot;&quot;,&quot;non-dropping-particle&quot;:&quot;&quot;},{&quot;family&quot;:&quot;Liu&quot;,&quot;given&quot;:&quot;Youren&quot;,&quot;parse-names&quot;:false,&quot;dropping-particle&quot;:&quot;&quot;,&quot;non-dropping-particle&quot;:&quot;&quot;},{&quot;family&quot;:&quot;Zheng&quot;,&quot;given&quot;:&quot;Xiaoxia&quot;,&quot;parse-names&quot;:false,&quot;dropping-particle&quot;:&quot;&quot;,&quot;non-dropping-particle&quot;:&quot;&quot;},{&quot;family&quot;:&quot;Yu&quot;,&quot;given&quot;:&quot;Xijie&quot;,&quot;parse-names&quot;:false,&quot;dropping-particle&quot;:&quot;&quot;,&quot;non-dropping-particle&quot;:&quot;&quot;},{&quot;family&quot;:&quot;Shuai&quot;,&quot;given&quot;:&quot;Ping&quot;,&quot;parse-names&quot;:false,&quot;dropping-particle&quot;:&quot;&quot;,&quot;non-dropping-particle&quot;:&quot;&quot;}],&quot;container-title&quot;:&quot;BMC Public Health&quot;,&quot;container-title-short&quot;:&quot;BMC Public Health&quot;,&quot;accessed&quot;:{&quot;date-parts&quot;:[[2025,7,28]]},&quot;DOI&quot;:&quot;10.1186/S12889-025-21851-Z/FIGURES/5&quot;,&quot;ISSN&quot;:&quot;14712458&quot;,&quot;PMID&quot;:&quot;39962443&quot;,&quot;URL&quot;:&quot;https://bmcpublichealth.biomedcentral.com/articles/10.1186/s12889-025-21851-z&quot;,&quot;issued&quot;:{&quot;date-parts&quot;:[[2025,12,1]]},&quot;page&quot;:&quot;1-17&quot;,&quot;abstract&quot;:&quot;Background: We aimed to investigate global, regional, and national burden of chronic kidney disease (CKD) and its underlying etiologies from 1990 to 2021. Methods: We summarized the results of the Global Burden of Disease (GBD) 2021 to derive the disease burden of CKD by considering four distinct types of epidemiological data, namely incidence, prevalence, mortality, and disability-adjusted life years (DALYs). The Joinpoint regression analysis, which is skilled in calculating annual percentage change (APC) and average annual percentage change (AAPC), was used to estimate global trends for CKD from 1990 to 2021. Results: The age-standardized mortality rate (ASMR) and age-standardized DALYs rate of CKD were more prominent in regions with Low and Low-middle socio-demographic index (SDI) quintiles. From 1990 to 2021, the countries with the largest increases in ASMR were Ukraine. Globally, the most common cause of death for CKD was type 2 diabetes mellitus (T2DM), while the most common cause of prevalence, incidence, and DALYs was the other and unspecified causes. The main causes of death and DALYs from CKD varied in different parts of the world. The disease burden of CKD increased with age. In most age groups, the global prevalence and incidence of CKD were higher in females than males. At all ages, the global mortality rate and DALYs rate of CKD were higher in males compared to females. Joint point regression analysis found that from 1990 to 2021 the global age-standardized prevalence rate (ASPR) revealed a downward trend, while age-standardized incidence rate (ASIR), ASMR, and age-standardized DALYs rate showed an upward trend, with the most notable increase in ASMR during the 1997–2000 period and in age-standardized DALYs rate during the 1996–2003 period. Conclusions: The study unveiled the uneven global distribution of the burden of CKD and its attributable causes. From 1990 to 2021, an increase in the burden of incidence, mortality, and DALYs due to CKD was observed. Population growth and aging will contribute to a further increase in the burden of CKD. Healthcare providers should develop health policies, and optimize the allocation of medical resources, based on age, sex, region, and disease type.&quot;,&quot;publisher&quot;:&quot;BioMed Central Ltd&quot;,&quot;issue&quot;:&quot;1&quot;,&quot;volume&quot;:&quot;25&quot;},&quot;isTemporary&quot;:false},{&quot;id&quot;:&quot;65869624-3a54-33d6-98e9-2ce4d35369c7&quot;,&quot;itemData&quot;:{&quot;type&quot;:&quot;article-journal&quot;,&quot;id&quot;:&quot;65869624-3a54-33d6-98e9-2ce4d35369c7&quot;,&quot;title&quot;:&quot;Chronic kidney disease and the global public health agenda: an international consensus&quot;,&quot;author&quot;:[{&quot;family&quot;:&quot;Francis&quot;,&quot;given&quot;:&quot;Anna&quot;,&quot;parse-names&quot;:false,&quot;dropping-particle&quot;:&quot;&quot;,&quot;non-dropping-particle&quot;:&quot;&quot;},{&quot;family&quot;:&quot;Harhay&quot;,&quot;given&quot;:&quot;Meera N.&quot;,&quot;parse-names&quot;:false,&quot;dropping-particle&quot;:&quot;&quot;,&quot;non-dropping-particle&quot;:&quot;&quot;},{&quot;family&quot;:&quot;Ong&quot;,&quot;given&quot;:&quot;Albert C.M.&quot;,&quot;parse-names&quot;:false,&quot;dropping-particle&quot;:&quot;&quot;,&quot;non-dropping-particle&quot;:&quot;&quot;},{&quot;family&quot;:&quot;Tummalapalli&quot;,&quot;given&quot;:&quot;Sri Lekha&quot;,&quot;parse-names&quot;:false,&quot;dropping-particle&quot;:&quot;&quot;,&quot;non-dropping-particle&quot;:&quot;&quot;},{&quot;family&quot;:&quot;Ortiz&quot;,&quot;given&quot;:&quot;Alberto&quot;,&quot;parse-names&quot;:false,&quot;dropping-particle&quot;:&quot;&quot;,&quot;non-dropping-particle&quot;:&quot;&quot;},{&quot;family&quot;:&quot;Fogo&quot;,&quot;given&quot;:&quot;Agnes B.&quot;,&quot;parse-names&quot;:false,&quot;dropping-particle&quot;:&quot;&quot;,&quot;non-dropping-particle&quot;:&quot;&quot;},{&quot;family&quot;:&quot;Fliser&quot;,&quot;given&quot;:&quot;Danilo&quot;,&quot;parse-names&quot;:false,&quot;dropping-particle&quot;:&quot;&quot;,&quot;non-dropping-particle&quot;:&quot;&quot;},{&quot;family&quot;:&quot;Roy-Chaudhury&quot;,&quot;given&quot;:&quot;Prabir&quot;,&quot;parse-names&quot;:false,&quot;dropping-particle&quot;:&quot;&quot;,&quot;non-dropping-particle&quot;:&quot;&quot;},{&quot;family&quot;:&quot;Fontana&quot;,&quot;given&quot;:&quot;Monica&quot;,&quot;parse-names&quot;:false,&quot;dropping-particle&quot;:&quot;&quot;,&quot;non-dropping-particle&quot;:&quot;&quot;},{&quot;family&quot;:&quot;Nangaku&quot;,&quot;given&quot;:&quot;Masaomi&quot;,&quot;parse-names&quot;:false,&quot;dropping-particle&quot;:&quot;&quot;,&quot;non-dropping-particle&quot;:&quot;&quot;},{&quot;family&quot;:&quot;Wanner&quot;,&quot;given&quot;:&quot;Christoph&quot;,&quot;parse-names&quot;:false,&quot;dropping-particle&quot;:&quot;&quot;,&quot;non-dropping-particle&quot;:&quot;&quot;},{&quot;family&quot;:&quot;Malik&quot;,&quot;given&quot;:&quot;Charu&quot;,&quot;parse-names&quot;:false,&quot;dropping-particle&quot;:&quot;&quot;,&quot;non-dropping-particle&quot;:&quot;&quot;},{&quot;family&quot;:&quot;Hradsky&quot;,&quot;given&quot;:&quot;Anne&quot;,&quot;parse-names&quot;:false,&quot;dropping-particle&quot;:&quot;&quot;,&quot;non-dropping-particle&quot;:&quot;&quot;},{&quot;family&quot;:&quot;Adu&quot;,&quot;given&quot;:&quot;Dwomoa&quot;,&quot;parse-names&quot;:false,&quot;dropping-particle&quot;:&quot;&quot;,&quot;non-dropping-particle&quot;:&quot;&quot;},{&quot;family&quot;:&quot;Bavanandan&quot;,&quot;given&quot;:&quot;Sunita&quot;,&quot;parse-names&quot;:false,&quot;dropping-particle&quot;:&quot;&quot;,&quot;non-dropping-particle&quot;:&quot;&quot;},{&quot;family&quot;:&quot;Cusumano&quot;,&quot;given&quot;:&quot;Ana&quot;,&quot;parse-names&quot;:false,&quot;dropping-particle&quot;:&quot;&quot;,&quot;non-dropping-particle&quot;:&quot;&quot;},{&quot;family&quot;:&quot;Sola&quot;,&quot;given&quot;:&quot;Laura&quot;,&quot;parse-names&quot;:false,&quot;dropping-particle&quot;:&quot;&quot;,&quot;non-dropping-particle&quot;:&quot;&quot;},{&quot;family&quot;:&quot;Ulasi&quot;,&quot;given&quot;:&quot;Ifeoma&quot;,&quot;parse-names&quot;:false,&quot;dropping-particle&quot;:&quot;&quot;,&quot;non-dropping-particle&quot;:&quot;&quot;},{&quot;family&quot;:&quot;Jha&quot;,&quot;given&quot;:&quot;Vivekanand&quot;,&quot;parse-names&quot;:false,&quot;dropping-particle&quot;:&quot;&quot;,&quot;non-dropping-particle&quot;:&quot;&quot;}],&quot;container-title&quot;:&quot;Nature Reviews Nephrology 2024 20:7&quot;,&quot;accessed&quot;:{&quot;date-parts&quot;:[[2025,7,28]]},&quot;DOI&quot;:&quot;10.1038/s41581-024-00820-6&quot;,&quot;ISSN&quot;:&quot;1759-507X&quot;,&quot;PMID&quot;:&quot;38570631&quot;,&quot;URL&quot;:&quot;https://www.nature.com/articles/s41581-024-00820-6&quot;,&quot;issued&quot;:{&quot;date-parts&quot;:[[2024,4,3]]},&quot;page&quot;:&quot;473-485&quot;,&quot;abstract&quot;:&quot;Early detection is a key strategy to prevent kidney disease, its progression and related complications, but numerous studies show that awareness of kidney disease at the population level is low. Therefore, increasing knowledge and implementing sustainable solutions for early detection of kidney disease are public health priorities. Economic and epidemiological data underscore why kidney disease should be placed on the global public health agenda — kidney disease prevalence is increasing globally and it is now the seventh leading risk factor for mortality worldwide. Moreover, demographic trends, the obesity epidemic and the sequelae of climate change are all likely to increase kidney disease prevalence further, with serious implications for survival, quality&amp;nbsp;of&amp;nbsp;life and health care spending worldwide. Importantly, the burden of kidney disease is highest among historically disadvantaged populations that often have limited access to optimal kidney disease therapies, which greatly contributes to current socioeconomic disparities in health outcomes. This joint statement from the International Society of Nephrology, European Renal Association and American Society of Nephrology, supported by three other regional nephrology societies, advocates for the inclusion of kidney disease in the current WHO statement on major non-communicable disease drivers of premature mortality. Addressing the burden of non-communicable diseases is a global public health priority. In this joint Consensus Statement, the American Society of Nephrology, the European Renal Association and the International Society of Nephrology highlight the need to recognize kidney disease as a key driver of premature mortality, in addition to other non-communicable diseases already prioritized by the World Health Organization.&quot;,&quot;publisher&quot;:&quot;Nature Publishing Group&quot;,&quot;issue&quot;:&quot;7&quot;,&quot;volume&quot;:&quot;20&quot;,&quot;container-title-short&quot;:&quot;&quot;},&quot;isTemporary&quot;:false}]},{&quot;citationID&quot;:&quot;MENDELEY_CITATION_8643e1ea-e73e-478e-bfc1-8bf3aa36fe6a&quot;,&quot;properties&quot;:{&quot;noteIndex&quot;:0},&quot;isEdited&quot;:false,&quot;manualOverride&quot;:{&quot;isManuallyOverridden&quot;:false,&quot;citeprocText&quot;:&quot;(Vaidya &amp;#38; Aeddula, 2024)&quot;,&quot;manualOverrideText&quot;:&quot;&quot;},&quot;citationTag&quot;:&quot;MENDELEY_CITATION_v3_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&quot;,&quot;citationItems&quot;:[{&quot;id&quot;:&quot;385b0591-7c05-320f-8d8b-2024cf914177&quot;,&quot;itemData&quot;:{&quot;type&quot;:&quot;article-journal&quot;,&quot;id&quot;:&quot;385b0591-7c05-320f-8d8b-2024cf914177&quot;,&quot;title&quot;:&quot;Chronic Kidney Disease&quot;,&quot;author&quot;:[{&quot;family&quot;:&quot;Vaidya&quot;,&quot;given&quot;:&quot;Satyanarayana R.&quot;,&quot;parse-names&quot;:false,&quot;dropping-particle&quot;:&quot;&quot;,&quot;non-dropping-particle&quot;:&quot;&quot;},{&quot;family&quot;:&quot;Aeddula&quot;,&quot;given&quot;:&quot;Narothama R.&quot;,&quot;parse-names&quot;:false,&quot;dropping-particle&quot;:&quot;&quot;,&quot;non-dropping-particle&quot;:&quot;&quot;}],&quot;container-title&quot;:&quot;The Scientific Basis of Urology, Second Edition&quot;,&quot;accessed&quot;:{&quot;date-parts&quot;:[[2025,7,28]]},&quot;DOI&quot;:&quot;10.51249/hs.v4i01.1865&quot;,&quot;ISBN&quot;:&quot;9781482211351&quot;,&quot;ISSN&quot;:&quot;1024-8919&quot;,&quot;PMID&quot;:&quot;30571025&quot;,&quot;URL&quot;:&quot;https://www.ncbi.nlm.nih.gov/books/NBK535404/&quot;,&quot;issued&quot;:{&quot;date-parts&quot;:[[2024,7,31]]},&quot;page&quot;:&quot;257-264&quot;,&quot;abstract&quot;:&quot;Chronic renal failure is recognized by consistently high plasma urea and creatinine concentrations. The degree of renal failure can be arbitrarily divided into mild, moderate or severe, based on the plasma creatinine (Table 13.1). It is convenient (and accurate) to consider the value of glomerular filtration rate or creatinine clearance as a percentage of normal (for example, 20 ml/min is equivalent to 20% of normal function).&quot;,&quot;publisher&quot;:&quot;StatPearls Publishing&quot;,&quot;container-title-short&quot;:&quot;&quot;},&quot;isTemporary&quot;:false,&quot;suppress-author&quot;:false,&quot;composite&quot;:false,&quot;author-only&quot;:false}]},{&quot;citationID&quot;:&quot;MENDELEY_CITATION_d0c6d9d3-52e4-48c0-ad0f-6dfa39ee9a88&quot;,&quot;properties&quot;:{&quot;noteIndex&quot;:0},&quot;isEdited&quot;:false,&quot;manualOverride&quot;:{&quot;isManuallyOverridden&quot;:false,&quot;citeprocText&quot;:&quot;(Adetunji &amp;#38; Fatokun, 2023; Stanifer et al., 2016)&quot;,&quot;manualOverrideText&quot;:&quot;&quot;},&quot;citationTag&quot;:&quot;MENDELEY_CITATION_v3_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&quot;,&quot;citationItems&quot;:[{&quot;id&quot;:&quot;46192d65-73f8-3fc8-ba60-ad71920cd19e&quot;,&quot;itemData&quot;:{&quot;type&quot;:&quot;article-journal&quot;,&quot;id&quot;:&quot;46192d65-73f8-3fc8-ba60-ad71920cd19e&quot;,&quot;title&quot;:&quot;CHALLENGES OF RENAL REPLACEMENT THERAPY IN NIGERIA: SOLUTIONS FROM MEDICAL STUDENTS' PERSPECTIVES&quot;,&quot;author&quot;:[{&quot;family&quot;:&quot;Adetunji&quot;,&quot;given&quot;:&quot;A S&quot;,&quot;parse-names&quot;:false,&quot;dropping-particle&quot;:&quot;&quot;,&quot;non-dropping-particle&quot;:&quot;&quot;},{&quot;family&quot;:&quot;Fatokun&quot;,&quot;given&quot;:&quot;T S&quot;,&quot;parse-names&quot;:false,&quot;dropping-particle&quot;:&quot;&quot;,&quot;non-dropping-particle&quot;:&quot;&quot;}],&quot;container-title&quot;:&quot;Annals of Ibadan Postgraduate Medicine&quot;,&quot;container-title-short&quot;:&quot;Ann Ib Postgrad Med&quot;,&quot;accessed&quot;:{&quot;date-parts&quot;:[[2025,7,28]]},&quot;ISSN&quot;:&quot;1597-1627&quot;,&quot;PMID&quot;:&quot;38298348&quot;,&quot;URL&quot;:&quot;https://pmc.ncbi.nlm.nih.gov/articles/PMC10811714/&quot;,&quot;issued&quot;:{&quot;date-parts&quot;:[[2023,8]]},&quot;page&quot;:&quot;70&quot;,&quot;abstract&quot;:&quot;INTRODUCTION During our posting at the Renal Unit, Department of Medicine, University College Hospital, Ibadan, we observed numerous difficulties encountered by patients requiring renal replacement therapy and the family members/caregivers of these patients. These are broadly categorized into patents' related challenges, institutional inadequacies, infrastructural challenges, policy, and funding issues. PERSPECTIVE Patients' challenges are poor health-seeking habits culminating in late diagnosis in advanced uremic state and poor economic status resulting in catastrophic out-of-pocket spending. Institutional and infrastructural challenges include epileptic power supply in the dialysis unit, a lack of necessary materials needed for dialysis, among others. Policy issues included the absence of an organ donor system and regulations guiding them. More importantly, there is insufficient support from the government concerning patients with end-stage kidney disease. CONCLUSION Tackling the management of end-stage kidney disease would require paying attention to and addressing these challenges.&quot;,&quot;issue&quot;:&quot;2&quot;,&quot;volume&quot;:&quot;21&quot;},&quot;isTemporary&quot;:false},{&quot;id&quot;:&quot;256f2a83-61d9-3ca6-b000-bde9bb4baca5&quot;,&quot;itemData&quot;:{&quot;type&quot;:&quot;article-journal&quot;,&quot;id&quot;:&quot;256f2a83-61d9-3ca6-b000-bde9bb4baca5&quot;,&quot;title&quot;:&quot;Chronic kidney disease in low- and middle-income countries&quot;,&quot;author&quot;:[{&quot;family&quot;:&quot;Stanifer&quot;,&quot;given&quot;:&quot;John W.&quot;,&quot;parse-names&quot;:false,&quot;dropping-particle&quot;:&quot;&quot;,&quot;non-dropping-particle&quot;:&quot;&quot;},{&quot;family&quot;:&quot;Muiru&quot;,&quot;given&quot;:&quot;Anthony&quot;,&quot;parse-names&quot;:false,&quot;dropping-particle&quot;:&quot;&quot;,&quot;non-dropping-particle&quot;:&quot;&quot;},{&quot;family&quot;:&quot;Jafar&quot;,&quot;given&quot;:&quot;Tazeen H.&quot;,&quot;parse-names&quot;:false,&quot;dropping-particle&quot;:&quot;&quot;,&quot;non-dropping-particle&quot;:&quot;&quot;},{&quot;family&quot;:&quot;Patel&quot;,&quot;given&quot;:&quot;Uptal D.&quot;,&quot;parse-names&quot;:false,&quot;dropping-particle&quot;:&quot;&quot;,&quot;non-dropping-particle&quot;:&quot;&quot;}],&quot;container-title&quot;:&quot;Nephrology Dialysis Transplantation&quot;,&quot;accessed&quot;:{&quot;date-parts&quot;:[[2025,7,28]]},&quot;DOI&quot;:&quot;10.1093/NDT/GFV466&quot;,&quot;ISSN&quot;:&quot;14602385&quot;,&quot;PMID&quot;:&quot;27217391&quot;,&quot;URL&quot;:&quot;https://pmc.ncbi.nlm.nih.gov/articles/PMC4876969/&quot;,&quot;issued&quot;:{&quot;date-parts&quot;:[[2016,6,24]]},&quot;page&quot;:&quot;868&quot;,&quot;abstract&quot;:&quot;Most of the global burden of chronic kidney disease (CKD) is occurring in low- and middle-income countries (LMICs). As a result of rapid urbanization in LMICs, a growing number of populations are exposed to numerous environmental toxins, high infectious disease burdens and increasing rates of noncommunicable diseases. For CKD, this portends a high prevalence related to numerous etiologies, and it presents unique challenges. A better understanding of the epidemiology of CKD in LMICs is urgently needed, but this must be coupled with strong public advocacy and broad, collaborative public health efforts that address environmental, communicable, and non-communicable risk factors.&quot;,&quot;publisher&quot;:&quot;Oxford University Press&quot;,&quot;issue&quot;:&quot;6&quot;,&quot;volume&quot;:&quot;31&quot;,&quot;container-title-short&quot;:&quot;&quot;},&quot;isTemporary&quot;:false}]},{&quot;citationID&quot;:&quot;MENDELEY_CITATION_8317d561-3cff-4993-b729-77838f7a0da2&quot;,&quot;properties&quot;:{&quot;noteIndex&quot;:0},&quot;isEdited&quot;:false,&quot;manualOverride&quot;:{&quot;isManuallyOverridden&quot;:false,&quot;citeprocText&quot;:&quot;(Provenzano et al., 2024)&quot;,&quot;manualOverrideText&quot;:&quot;&quot;},&quot;citationTag&quot;:&quot;MENDELEY_CITATION_v3_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&quot;,&quot;citationItems&quot;:[{&quot;id&quot;:&quot;2273dfaa-ef70-36df-a68b-a30a465bfa2f&quot;,&quot;itemData&quot;:{&quot;type&quot;:&quot;article-journal&quot;,&quot;id&quot;:&quot;2273dfaa-ef70-36df-a68b-a30a465bfa2f&quot;,&quot;title&quot;:&quot;Estimated glomerular filtration rate in observational and interventional studies in chronic kidney disease&quot;,&quot;author&quot;:[{&quot;family&quot;:&quot;Provenzano&quot;,&quot;given&quot;:&quot;Michele&quot;,&quot;parse-names&quot;:false,&quot;dropping-particle&quot;:&quot;&quot;,&quot;non-dropping-particle&quot;:&quot;&quot;},{&quot;family&quot;:&quot;Hu&quot;,&quot;given&quot;:&quot;Lilio&quot;,&quot;parse-names&quot;:false,&quot;dropping-particle&quot;:&quot;&quot;,&quot;non-dropping-particle&quot;:&quot;&quot;},{&quot;family&quot;:&quot;Abenavoli&quot;,&quot;given&quot;:&quot;Chiara&quot;,&quot;parse-names&quot;:false,&quot;dropping-particle&quot;:&quot;&quot;,&quot;non-dropping-particle&quot;:&quot;&quot;},{&quot;family&quot;:&quot;Cianciolo&quot;,&quot;given&quot;:&quot;Giuseppe&quot;,&quot;parse-names&quot;:false,&quot;dropping-particle&quot;:&quot;&quot;,&quot;non-dropping-particle&quot;:&quot;&quot;},{&quot;family&quot;:&quot;Coppolino&quot;,&quot;given&quot;:&quot;Giuseppe&quot;,&quot;parse-names&quot;:false,&quot;dropping-particle&quot;:&quot;&quot;,&quot;non-dropping-particle&quot;:&quot;&quot;},{&quot;family&quot;:&quot;Nicola&quot;,&quot;given&quot;:&quot;Luca&quot;,&quot;parse-names&quot;:false,&quot;dropping-particle&quot;:&quot;&quot;,&quot;non-dropping-particle&quot;:&quot;De&quot;},{&quot;family&quot;:&quot;Manna&quot;,&quot;given&quot;:&quot;Gaetano&quot;,&quot;parse-names&quot;:false,&quot;dropping-particle&quot;:&quot;&quot;,&quot;non-dropping-particle&quot;:&quot;La&quot;},{&quot;family&quot;:&quot;Comai&quot;,&quot;given&quot;:&quot;Giorgia&quot;,&quot;parse-names&quot;:false,&quot;dropping-particle&quot;:&quot;&quot;,&quot;non-dropping-particle&quot;:&quot;&quot;},{&quot;family&quot;:&quot;Baraldi&quot;,&quot;given&quot;:&quot;Olga&quot;,&quot;parse-names&quot;:false,&quot;dropping-particle&quot;:&quot;&quot;,&quot;non-dropping-particle&quot;:&quot;&quot;}],&quot;container-title&quot;:&quot;Journal of Nephrology&quot;,&quot;container-title-short&quot;:&quot;J Nephrol&quot;,&quot;accessed&quot;:{&quot;date-parts&quot;:[[2025,7,28]]},&quot;DOI&quot;:&quot;10.1007/S40620-024-01887-X&quot;,&quot;ISSN&quot;:&quot;17246059&quot;,&quot;PMID&quot;:&quot;38347343&quot;,&quot;URL&quot;:&quot;https://pmc.ncbi.nlm.nih.gov/articles/PMC11150208/&quot;,&quot;issued&quot;:{&quot;date-parts&quot;:[[2024,4,1]]},&quot;page&quot;:&quot;573&quot;,&quot;abstract&quot;:&quot;Estimated glomerular filtration rate is considered the principal measure of kidney function and, together with albuminuria, is a relevant prognostic factor for the development of end-stage kidney disease. Due to the strong association between estimated glomerular filtration rate and clinical events, such as commencement of dialysis, cardiovascular outcomes and all-cause death, estimated glomerular filtration rate is crucial for clinical decision-making in terms of scheduling follow-up and pharmacological interventions, and planning renal replacement therapies in advanced chronic kidney disease. In this review we discuss the available methods for measuring glomerular filtration rate and for estimating it through mathematical equations developed over the last few decades. We summarize the prognostic association of different percentages of estimated glomerular filtration rate decline and the main clinical outcomes, and how treatments modify estimated glomerular filtration rate decline and the risk of future endpoints. We also examine the role of pre-clinical trial slope and that of estimated glomerular filtration rate as a useful biomarker when evaluating patients for inclusion into both observational and interventional studies.&quot;,&quot;publisher&quot;:&quot;Springer Science and Business Media Deutschland GmbH&quot;,&quot;issue&quot;:&quot;3&quot;,&quot;volume&quot;:&quot;37&quot;},&quot;isTemporary&quot;:false,&quot;suppress-author&quot;:false,&quot;composite&quot;:false,&quot;author-only&quot;:false}]},{&quot;citationID&quot;:&quot;MENDELEY_CITATION_e1a91c99-fd03-4fec-8734-b365e4fe6b5e&quot;,&quot;properties&quot;:{&quot;noteIndex&quot;:0},&quot;isEdited&quot;:false,&quot;manualOverride&quot;:{&quot;isManuallyOverridden&quot;:false,&quot;citeprocText&quot;:&quot;(Guo et al., 2018)&quot;,&quot;manualOverrideText&quot;:&quot;&quot;},&quot;citationTag&quot;:&quot;MENDELEY_CITATION_v3_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&quot;,&quot;citationItems&quot;:[{&quot;id&quot;:&quot;19cc823a-84c3-3654-bb66-d32ef0f980d3&quot;,&quot;itemData&quot;:{&quot;type&quot;:&quot;article-journal&quot;,&quot;id&quot;:&quot;19cc823a-84c3-3654-bb66-d32ef0f980d3&quot;,&quot;title&quot;:&quot;Change of Kidney Function Is Associated With All‐Cause Mortality and Cardiovascular Diseases: Results From the Kailuan Study&quot;,&quot;author&quot;:[{&quot;family&quot;:&quot;Guo&quot;,&quot;given&quot;:&quot;Yidan&quot;,&quot;parse-names&quot;:false,&quot;dropping-particle&quot;:&quot;&quot;,&quot;non-dropping-particle&quot;:&quot;&quot;},{&quot;family&quot;:&quot;Cui&quot;,&quot;given&quot;:&quot;Liufu&quot;,&quot;parse-names&quot;:false,&quot;dropping-particle&quot;:&quot;&quot;,&quot;non-dropping-particle&quot;:&quot;&quot;},{&quot;family&quot;:&quot;Ye&quot;,&quot;given&quot;:&quot;Pengpeng&quot;,&quot;parse-names&quot;:false,&quot;dropping-particle&quot;:&quot;&quot;,&quot;non-dropping-particle&quot;:&quot;&quot;},{&quot;family&quot;:&quot;Li&quot;,&quot;given&quot;:&quot;Junjuan&quot;,&quot;parse-names&quot;:false,&quot;dropping-particle&quot;:&quot;&quot;,&quot;non-dropping-particle&quot;:&quot;&quot;},{&quot;family&quot;:&quot;Wu&quot;,&quot;given&quot;:&quot;Shouling&quot;,&quot;parse-names&quot;:false,&quot;dropping-particle&quot;:&quot;&quot;,&quot;non-dropping-particle&quot;:&quot;&quot;},{&quot;family&quot;:&quot;Luo&quot;,&quot;given&quot;:&quot;Yang&quot;,&quot;parse-names&quot;:false,&quot;dropping-particle&quot;:&quot;&quot;,&quot;non-dropping-particle&quot;:&quot;&quot;}],&quot;container-title&quot;:&quot;Journal of the American Heart Association: Cardiovascular and Cerebrovascular Disease&quot;,&quot;accessed&quot;:{&quot;date-parts&quot;:[[2025,7,28]]},&quot;DOI&quot;:&quot;10.1161/JAHA.118.010596&quot;,&quot;ISSN&quot;:&quot;20479980&quot;,&quot;PMID&quot;:&quot;30608199&quot;,&quot;URL&quot;:&quot;https://pmc.ncbi.nlm.nih.gov/articles/PMC6404220/&quot;,&quot;issued&quot;:{&quot;date-parts&quot;:[[2018,11,1]]},&quot;page&quot;:&quot;e010596&quot;,&quot;abstract&quot;:&quot;Background-Current evaluation about the relationship of sequential change in estimated glomerular filtration rate (eGFR) and clinical outcomes are still inconsistent. We aimed to investigate the association between the change in kidney function over time and the risk of all-cause mortality and cardiovascular disease. Methods and Results-This prospective cohort including 37 691 participants aged ≥45 years used data from the Kailuan Health Registry. The relationship of the annual percentage and absolute change in eGFR and outcomes were analyzed with Cox proportional regression. The participants were stratified according to the quintiles distribution of the percentage annual change in eGFR (Q1–Q5). After adjusting for baseline covariates including initial eGFR, participants with annual eGFR decline were at significantly greater risk for all-cause mortality (Q1: hazard ratio, 1.22 [95% confidence interval, 1.04–1.43]; Q2: 1.19 [1.01–1.40]) than noted for patients in Q3. Cardiovascular disease risk was also significantly higher in participants with annual eGFR decline (Q1 and Q2). No significantly increased risk of adverse outcomes was noted for patients with annual eGFR increased groups (Q4 and Q5). When considering the absolute eGFR annual change rate (no/mild/rapid decline), we obtained similar results in chronic kidney disease participants, whereas non–chronic kidney disease participants had less pronounced association of eGFR decline with cardiovascular disease, though not with mortality. Conclusions-A decline in eGFR over time is associated with higher risk for all-cause mortality and cardiovascular disease independent of initial eGFR and other known risk factors at baseline. Our data support the serial evaluation of change in kidney function as a better prognostic indicator than single eGFR assessments.&quot;,&quot;publisher&quot;:&quot;American Heart Association Inc.&quot;,&quot;issue&quot;:&quot;21&quot;,&quot;volume&quot;:&quot;7&quot;,&quot;container-title-short&quot;:&quot;&quot;},&quot;isTemporary&quot;:false,&quot;suppress-author&quot;:false,&quot;composite&quot;:false,&quot;author-only&quot;:false}]},{&quot;citationID&quot;:&quot;MENDELEY_CITATION_b620d43e-4111-4b56-ba5c-929872dee1a0&quot;,&quot;properties&quot;:{&quot;noteIndex&quot;:0},&quot;isEdited&quot;:false,&quot;manualOverride&quot;:{&quot;isManuallyOverridden&quot;:false,&quot;citeprocText&quot;:&quot;(Kabinga et al., 2024)&quot;,&quot;manualOverrideText&quot;:&quot;&quot;},&quot;citationTag&quot;:&quot;MENDELEY_CITATION_v3_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&quot;,&quot;citationItems&quot;:[{&quot;id&quot;:&quot;957588be-519b-316a-a26f-a10a1d5b37ef&quot;,&quot;itemData&quot;:{&quot;type&quot;:&quot;article-journal&quot;,&quot;id&quot;:&quot;957588be-519b-316a-a26f-a10a1d5b37ef&quot;,&quot;title&quot;:&quot;Risk factors for chronic kidney disease in the community: A decade of outreach in Kenya&quot;,&quot;author&quot;:[{&quot;family&quot;:&quot;Kabinga&quot;,&quot;given&quot;:&quot;Samuel K.&quot;,&quot;parse-names&quot;:false,&quot;dropping-particle&quot;:&quot;&quot;,&quot;non-dropping-particle&quot;:&quot;&quot;},{&quot;family&quot;:&quot;McLigeyo&quot;,&quot;given&quot;:&quot;Seth O.&quot;,&quot;parse-names&quot;:false,&quot;dropping-particle&quot;:&quot;&quot;,&quot;non-dropping-particle&quot;:&quot;&quot;},{&quot;family&quot;:&quot;Twahir&quot;,&quot;given&quot;:&quot;Ahmed&quot;,&quot;parse-names&quot;:false,&quot;dropping-particle&quot;:&quot;&quot;,&quot;non-dropping-particle&quot;:&quot;&quot;},{&quot;family&quot;:&quot;Ndungu&quot;,&quot;given&quot;:&quot;John N.&quot;,&quot;parse-names&quot;:false,&quot;dropping-particle&quot;:&quot;&quot;,&quot;non-dropping-particle&quot;:&quot;&quot;},{&quot;family&quot;:&quot;Wangombe&quot;,&quot;given&quot;:&quot;Nancy N.&quot;,&quot;parse-names&quot;:false,&quot;dropping-particle&quot;:&quot;&quot;,&quot;non-dropping-particle&quot;:&quot;&quot;},{&quot;family&quot;:&quot;Nyarera&quot;,&quot;given&quot;:&quot;Diviner K.&quot;,&quot;parse-names&quot;:false,&quot;dropping-particle&quot;:&quot;&quot;,&quot;non-dropping-particle&quot;:&quot;&quot;},{&quot;family&quot;:&quot;Ngaruiya&quot;,&quot;given&quot;:&quot;Grace W.&quot;,&quot;parse-names&quot;:false,&quot;dropping-particle&quot;:&quot;&quot;,&quot;non-dropping-particle&quot;:&quot;&quot;},{&quot;family&quot;:&quot;Chege&quot;,&quot;given&quot;:&quot;Reuben K.&quot;,&quot;parse-names&quot;:false,&quot;dropping-particle&quot;:&quot;&quot;,&quot;non-dropping-particle&quot;:&quot;&quot;},{&quot;family&quot;:&quot;Ochieng&quot;,&quot;given&quot;:&quot;Philip S.&quot;,&quot;parse-names&quot;:false,&quot;dropping-particle&quot;:&quot;&quot;,&quot;non-dropping-particle&quot;:&quot;&quot;},{&quot;family&quot;:&quot;Ogutu&quot;,&quot;given&quot;:&quot;McDonald O.&quot;,&quot;parse-names&quot;:false,&quot;dropping-particle&quot;:&quot;&quot;,&quot;non-dropping-particle&quot;:&quot;&quot;},{&quot;family&quot;:&quot;Moturi&quot;,&quot;given&quot;:&quot;George M.&quot;,&quot;parse-names&quot;:false,&quot;dropping-particle&quot;:&quot;&quot;,&quot;non-dropping-particle&quot;:&quot;&quot;}],&quot;container-title&quot;:&quot;Clinical Epidemiology and Global Health&quot;,&quot;container-title-short&quot;:&quot;Clin Epidemiol Glob Health&quot;,&quot;accessed&quot;:{&quot;date-parts&quot;:[[2025,7,28]]},&quot;DOI&quot;:&quot;10.1016/J.CEGH.2024.101823&quot;,&quot;ISSN&quot;:&quot;2213-3984&quot;,&quot;URL&quot;:&quot;https://www.sciencedirect.com/science/article/pii/S2213398424003208&quot;,&quot;issued&quot;:{&quot;date-parts&quot;:[[2024,11,1]]},&quot;page&quot;:&quot;101823&quot;,&quot;abstract&quot;:&quot;Problem Considered: Burden of chronic kidney disease (CKD) is increasing globally. We present chart analysis of data obtained during community screening for kidney disease between 2011-2021 in various parts of Kenya with objectives to document and stratify risks for kidney disease in the community. Methods: This was a descriptive analysis charts. Age, sex, individuals’ data on smoking, diabetes, hypertension, body mass index (BMI), systolic blood pressure (SBP), diastolic blood pressure (DBP), random blood sugar (RBS), dipstick urinalysis, as well as family history of CKD, hypertension and diabetes were analysed. Continuous variables had mean, standard deviation (SD), median and interquartile range (IQR) while frequencies for categorical variables were calculated. Results: About 10,675 individuals were analysed. Median age was 41 years (25 – 53). Females were 6,092(57.1%). Known hypertensive, diabetic and smokers were 2,028(19.0%), 881(8.3%) and 523(4.9%) respectively. Family history of hypertension, diabetes and CKD was reported by 3,810(35.7%), 2,751(25.8%) and 978(9.2%) respectively. In 10,121(94.8%) RBS was tested. About 470(4.6%) had RBS &lt; 4.0 mmol/L, 9,298(91.9%) 4.0-11.0 mmol/L while 368(3.6%) was &gt; 11.0 mmol/L. Incidental hyperglycemia was in129 (1.2%). Median SBP and DBP was 128 mmHg (116-143) and 78 mmHg (70 – 87) respectively. Mean BMI was 25.96±5.27 kg/m2. Subgroups with diabetes and hypertension had higher mean age, SBP, DBP and RBS, family history of hypertension, diabetes and CKD. Conclusion: Burden of risks for CKD in the community high. Blood sugar and blood pressure controls were suboptimal. There was concordance in the findings of hypotensive, diabetic and family history of similar conditions.&quot;,&quot;publisher&quot;:&quot;Elsevier&quot;,&quot;volume&quot;:&quot;30&quot;},&quot;isTemporary&quot;:false,&quot;suppress-author&quot;:false,&quot;composite&quot;:false,&quot;author-only&quot;:false}]},{&quot;citationID&quot;:&quot;MENDELEY_CITATION_6e79c53f-2e30-42fc-9808-af4ca68a5dfd&quot;,&quot;properties&quot;:{&quot;noteIndex&quot;:0},&quot;isEdited&quot;:false,&quot;manualOverride&quot;:{&quot;isManuallyOverridden&quot;:false,&quot;citeprocText&quot;:&quot;(Vela-Bernal et al., 2023)&quot;,&quot;manualOverrideText&quot;:&quot;&quot;},&quot;citationTag&quot;:&quot;MENDELEY_CITATION_v3_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&quot;,&quot;citationItems&quot;:[{&quot;id&quot;:&quot;b8d62e95-0489-381c-89c5-12de9c38db83&quot;,&quot;itemData&quot;:{&quot;type&quot;:&quot;article-journal&quot;,&quot;id&quot;:&quot;b8d62e95-0489-381c-89c5-12de9c38db83&quot;,&quot;title&quot;:&quot;Anthropometric Measures of Adiposity as Markers of Kidney Dysfunction: A Cross-Sectional Study&quot;,&quot;author&quot;:[{&quot;family&quot;:&quot;Vela-Bernal&quot;,&quot;given&quot;:&quot;Sara&quot;,&quot;parse-names&quot;:false,&quot;dropping-particle&quot;:&quot;&quot;,&quot;non-dropping-particle&quot;:&quot;&quot;},{&quot;family&quot;:&quot;Facchetti&quot;,&quot;given&quot;:&quot;Rita&quot;,&quot;parse-names&quot;:false,&quot;dropping-particle&quot;:&quot;&quot;,&quot;non-dropping-particle&quot;:&quot;&quot;},{&quot;family&quot;:&quot;Dell’Oro&quot;,&quot;given&quot;:&quot;Raffaella&quot;,&quot;parse-names&quot;:false,&quot;dropping-particle&quot;:&quot;&quot;,&quot;non-dropping-particle&quot;:&quot;&quot;},{&quot;family&quot;:&quot;Quarti-Trevano&quot;,&quot;given&quot;:&quot;Fosca&quot;,&quot;parse-names&quot;:false,&quot;dropping-particle&quot;:&quot;&quot;,&quot;non-dropping-particle&quot;:&quot;&quot;},{&quot;family&quot;:&quot;Lurbe&quot;,&quot;given&quot;:&quot;Empar&quot;,&quot;parse-names&quot;:false,&quot;dropping-particle&quot;:&quot;&quot;,&quot;non-dropping-particle&quot;:&quot;&quot;},{&quot;family&quot;:&quot;Mancia&quot;,&quot;given&quot;:&quot;Giuseppe&quot;,&quot;parse-names&quot;:false,&quot;dropping-particle&quot;:&quot;&quot;,&quot;non-dropping-particle&quot;:&quot;&quot;},{&quot;family&quot;:&quot;Grassi&quot;,&quot;given&quot;:&quot;Guido&quot;,&quot;parse-names&quot;:false,&quot;dropping-particle&quot;:&quot;&quot;,&quot;non-dropping-particle&quot;:&quot;&quot;}],&quot;container-title&quot;:&quot;High Blood Pressure &amp; Cardiovascular Prevention&quot;,&quot;accessed&quot;:{&quot;date-parts&quot;:[[2025,7,28]]},&quot;DOI&quot;:&quot;10.1007/S40292-023-00600-6&quot;,&quot;ISSN&quot;:&quot;11791985&quot;,&quot;PMID&quot;:&quot;37755663&quot;,&quot;URL&quot;:&quot;https://pmc.ncbi.nlm.nih.gov/articles/PMC10600305/&quot;,&quot;issued&quot;:{&quot;date-parts&quot;:[[2023,9,1]]},&quot;page&quot;:&quot;467&quot;,&quot;abstract&quot;:&quot;The present study was designed to provide information on the ability of several different anthropometric markers to reflect the renal impairment associated with body weight increase and to predict the development of renal alterations linked to overweight and obesity. In 574 subjects representative of the general population of the Pressioni Arteriose Monitorate e Loro Associazioni (PAMELA) study, with an age range between 57 and 73 years, we investigated the association between different anthropometric markers of body fat, as alternative to body mass index, and renal failure, to obtain information useful for determining their potential predictive value. Renal dysfunction was significantly associated with almost all anthropometric markers of adiposity related to body weight and body shape. After adjustment for confounders, such as age, sex, office blood pressure, serum glucose, antihypertensive drugs and smoking habit, association remained significant only for waist-to-hip ratio (WHR), lipid accumulation product (LAP) and visceral adiposity index (VAI). These 3 markers also displayed at the receiver operating curves (ROC) analysis the best ability to detect subjects with or without kidney dysfunction. The results of the present study provide evidence that WHR, LAP and VAI represent the best markers of renal dysfunction associated with visceral body fat accumulation.&quot;,&quot;publisher&quot;:&quot;Adis&quot;,&quot;issue&quot;:&quot;5&quot;,&quot;volume&quot;:&quot;30&quot;,&quot;container-title-short&quot;:&quot;&quot;},&quot;isTemporary&quot;:false,&quot;suppress-author&quot;:false,&quot;composite&quot;:false,&quot;author-only&quot;:false}]},{&quot;citationID&quot;:&quot;MENDELEY_CITATION_966a1a3f-0cab-4ea6-ac1d-ef00b32015b4&quot;,&quot;properties&quot;:{&quot;noteIndex&quot;:0},&quot;isEdited&quot;:false,&quot;manualOverride&quot;:{&quot;isManuallyOverridden&quot;:false,&quot;citeprocText&quot;:&quot;(Denic et al., 2016)&quot;,&quot;manualOverrideText&quot;:&quot;&quot;},&quot;citationTag&quot;:&quot;MENDELEY_CITATION_v3_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&quot;,&quot;citationItems&quot;:[{&quot;id&quot;:&quot;82edccff-cfc5-3667-b9c8-c176f790d184&quot;,&quot;itemData&quot;:{&quot;type&quot;:&quot;article-journal&quot;,&quot;id&quot;:&quot;82edccff-cfc5-3667-b9c8-c176f790d184&quot;,&quot;title&quot;:&quot;Structural and functional changes with the aging kidney&quot;,&quot;author&quot;:[{&quot;family&quot;:&quot;Denic&quot;,&quot;given&quot;:&quot;Aleksandar&quot;,&quot;parse-names&quot;:false,&quot;dropping-particle&quot;:&quot;&quot;,&quot;non-dropping-particle&quot;:&quot;&quot;},{&quot;family&quot;:&quot;Glassock&quot;,&quot;given&quot;:&quot;Richard J.&quot;,&quot;parse-names&quot;:false,&quot;dropping-particle&quot;:&quot;&quot;,&quot;non-dropping-particle&quot;:&quot;&quot;},{&quot;family&quot;:&quot;Rule&quot;,&quot;given&quot;:&quot;Andrew D.&quot;,&quot;parse-names&quot;:false,&quot;dropping-particle&quot;:&quot;&quot;,&quot;non-dropping-particle&quot;:&quot;&quot;}],&quot;container-title&quot;:&quot;Advances in chronic kidney disease&quot;,&quot;container-title-short&quot;:&quot;Adv Chronic Kidney Dis&quot;,&quot;accessed&quot;:{&quot;date-parts&quot;:[[2025,7,28]]},&quot;DOI&quot;:&quot;10.1053/J.ACKD.2015.08.004&quot;,&quot;ISSN&quot;:&quot;15485609&quot;,&quot;PMID&quot;:&quot;26709059&quot;,&quot;URL&quot;:&quot;https://pmc.ncbi.nlm.nih.gov/articles/PMC4693148/&quot;,&quot;issued&quot;:{&quot;date-parts&quot;:[[2016,1,1]]},&quot;page&quot;:&quot;19&quot;,&quot;abstract&quot;:&quot;Senescence or normal physiologic aging portrays the expected age-related changes in the kidney as compared to a disease that occurs in some but not all individuals. The microanatomical structural changes of the kidney with older age include a decreased number of functional glomeruli from an increased prevalence of nephrosclerosis (arteriosclerosis, glomerulosclerosis, and tubular atrophy with interstitial fibrosis), and to some extent, compensatory hypertrophy of remaining nephrons. Among the macroanatomical structural changes, older age associates with smaller cortical volume, larger medullary volume until middle age, and larger and more numerous kidney cysts. Among carefully screened healthy kidney donors, glomerular filtration rate (GFR) declines at a rate of 6.3 mL/min/1.73 m2 per decade. There is reason to be concerned that the elderly are being misdiagnosed with CKD. Besides this expected kidney function decline, the lowest risk of mortality is at a GFR of ≥75 mL/min/1.73 m2 for age &lt;55 years but at a lower GFR of 45 to 104 mL/min/1.73 m2 for age ≥65 years. Changes with normal aging are still of clinical significance. The elderly have less kidney functional reserve when they do actually develop CKD, and they are at higher risk for acute kidney injury.&quot;,&quot;publisher&quot;:&quot;W.B. Saunders&quot;,&quot;issue&quot;:&quot;1&quot;,&quot;volume&quot;:&quot;23&quot;},&quot;isTemporary&quot;:false,&quot;suppress-author&quot;:false,&quot;composite&quot;:false,&quot;author-only&quot;:false}]},{&quot;citationID&quot;:&quot;MENDELEY_CITATION_29c9a243-d5e1-4205-b7ad-98dcc20b5a48&quot;,&quot;properties&quot;:{&quot;noteIndex&quot;:0},&quot;isEdited&quot;:false,&quot;manualOverride&quot;:{&quot;isManuallyOverridden&quot;:false,&quot;citeprocText&quot;:&quot;(Ellam et al., 2013)&quot;,&quot;manualOverrideText&quot;:&quot;&quot;},&quot;citationTag&quot;:&quot;MENDELEY_CITATION_v3_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&quot;,&quot;citationItems&quot;:[{&quot;id&quot;:&quot;cfd36893-14b4-3a1e-a57a-832168391065&quot;,&quot;itemData&quot;:{&quot;type&quot;:&quot;article-journal&quot;,&quot;id&quot;:&quot;cfd36893-14b4-3a1e-a57a-832168391065&quot;,&quot;title&quot;:&quot;Differential scaling of glomerular filtration rate and ingested metabolic burden: implications for gender differences in chronic kidney disease outcomes&quot;,&quot;author&quot;:[{&quot;family&quot;:&quot;Ellam&quot;,&quot;given&quot;:&quot;Timothy&quot;,&quot;parse-names&quot;:false,&quot;dropping-particle&quot;:&quot;&quot;,&quot;non-dropping-particle&quot;:&quot;&quot;},{&quot;family&quot;:&quot;Fotheringham&quot;,&quot;given&quot;:&quot;James&quot;,&quot;parse-names&quot;:false,&quot;dropping-particle&quot;:&quot;&quot;,&quot;non-dropping-particle&quot;:&quot;&quot;},{&quot;family&quot;:&quot;Kawar&quot;,&quot;given&quot;:&quot;Bisher&quot;,&quot;parse-names&quot;:false,&quot;dropping-particle&quot;:&quot;&quot;,&quot;non-dropping-particle&quot;:&quot;&quot;}],&quot;container-title&quot;:&quot;Nephrology Dialysis Transplantation&quot;,&quot;accessed&quot;:{&quot;date-parts&quot;:[[2025,7,28]]},&quot;DOI&quot;:&quot;10.1093/NDT/GFT466&quot;,&quot;ISSN&quot;:&quot;14602385&quot;,&quot;PMID&quot;:&quot;24235074&quot;,&quot;URL&quot;:&quot;https://pmc.ncbi.nlm.nih.gov/articles/PMC4055827/&quot;,&quot;issued&quot;:{&quot;date-parts&quot;:[[2013]]},&quot;page&quot;:&quot;1186&quot;,&quot;abstract&quot;:&quot;Background. Men commence dialysis with a higher estimated glomerular filtration rate (eGFR) than women and are more likely to transition from chronic kidney disease (CKD) to endstage renal disease. We hypothesized that for a given estimated body surface area (BSA) men have a greater metabolic burden, and that consequently, the practice of indexing GFR to BSA results in gender differences in the degree of biochemical uraemia. Methods. Metabolic burden was assessed as estimated dietary protein, calorie, phosphorus, sodium and potassium intakes and urinary urea nitrogen excretion in the Chronic Renal Insufficiency Cohort, Modification of Diet in Renal Disease study, and National Health and Nutrition Examinations Surveys (NHANES) 1999-2010. Uraemia was characterized by serum biochemistry. Results. Per m2 BSA, men had greater urea nitrogen excretion and intakes of all dietary parameters (P &lt; 0.001 for all). For a given BSA-indexed iothalamate GFR or eGFR, male gender was associated with a 10-15% greater serum urea nitrogen (P &lt; 0.001), giving men with a BSA-indexed GFR of 70-75 mL/min/1.73 m2 the same serum urea nitrogen concentration as women with a GFR of 60 mL/min/1.73 m2. However, indexing metabolic burden and GFR to alternative body size measures (estimated total body water, lean body mass or resting energy expenditure) abolished/reversed the gender associations. In NHANES, BSA-indexed eGFR distribution was very similar for men and women, so that adjusting for eGFR had little effect on the gender difference in serum urea. Conclusions. Indexing GFR to BSA across genders may approximate nature's indexing approach, but gives men a greater ingested burden of protein, calories, sodium, phosphorus and potassium per mL/min GFR. This has implications for gender differences in CKD outcomes. © 2013 The Author 2013. Published by Oxford University Press on behalf of ERA-EDTA. All rights reserved.&quot;,&quot;publisher&quot;:&quot;Oxford University Press&quot;,&quot;issue&quot;:&quot;6&quot;,&quot;volume&quot;:&quot;29&quot;,&quot;container-title-short&quot;:&quot;&quot;},&quot;isTemporary&quot;:false,&quot;suppress-author&quot;:false,&quot;composite&quot;:false,&quot;author-only&quot;:false}]},{&quot;citationID&quot;:&quot;MENDELEY_CITATION_bdb3031c-0cbb-4459-a5d1-9b0e5f5f8b33&quot;,&quot;properties&quot;:{&quot;noteIndex&quot;:0},&quot;isEdited&quot;:false,&quot;manualOverride&quot;:{&quot;isManuallyOverridden&quot;:false,&quot;citeprocText&quot;:&quot;(Fenton et al., 2018; Franco-Acevedo et al., 2021)&quot;,&quot;manualOverrideText&quot;:&quot;&quot;},&quot;citationTag&quot;:&quot;MENDELEY_CITATION_v3_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&quot;,&quot;citationItems&quot;:[{&quot;id&quot;:&quot;cf3b4efe-f725-33ab-936c-34b156011c58&quot;,&quot;itemData&quot;:{&quot;type&quot;:&quot;article-journal&quot;,&quot;id&quot;:&quot;cf3b4efe-f725-33ab-936c-34b156011c58&quot;,&quot;title&quot;:&quot;Glomerular filtration rate: new age- and gender- specific reference ranges and thresholds for living kidney donation&quot;,&quot;author&quot;:[{&quot;family&quot;:&quot;Fenton&quot;,&quot;given&quot;:&quot;Anthony&quot;,&quot;parse-names&quot;:false,&quot;dropping-particle&quot;:&quot;&quot;,&quot;non-dropping-particle&quot;:&quot;&quot;},{&quot;family&quot;:&quot;Montgomery&quot;,&quot;given&quot;:&quot;Emma&quot;,&quot;parse-names&quot;:false,&quot;dropping-particle&quot;:&quot;&quot;,&quot;non-dropping-particle&quot;:&quot;&quot;},{&quot;family&quot;:&quot;Nightingale&quot;,&quot;given&quot;:&quot;Peter&quot;,&quot;parse-names&quot;:false,&quot;dropping-particle&quot;:&quot;&quot;,&quot;non-dropping-particle&quot;:&quot;&quot;},{&quot;family&quot;:&quot;Peters&quot;,&quot;given&quot;:&quot;A. Michael&quot;,&quot;parse-names&quot;:false,&quot;dropping-particle&quot;:&quot;&quot;,&quot;non-dropping-particle&quot;:&quot;&quot;},{&quot;family&quot;:&quot;Sheerin&quot;,&quot;given&quot;:&quot;Neil&quot;,&quot;parse-names&quot;:false,&quot;dropping-particle&quot;:&quot;&quot;,&quot;non-dropping-particle&quot;:&quot;&quot;},{&quot;family&quot;:&quot;Wroe&quot;,&quot;given&quot;:&quot;A. Caroline&quot;,&quot;parse-names&quot;:false,&quot;dropping-particle&quot;:&quot;&quot;,&quot;non-dropping-particle&quot;:&quot;&quot;},{&quot;family&quot;:&quot;Lipkin&quot;,&quot;given&quot;:&quot;Graham W.&quot;,&quot;parse-names&quot;:false,&quot;dropping-particle&quot;:&quot;&quot;,&quot;non-dropping-particle&quot;:&quot;&quot;}],&quot;container-title&quot;:&quot;BMC nephrology&quot;,&quot;container-title-short&quot;:&quot;BMC Nephrol&quot;,&quot;accessed&quot;:{&quot;date-parts&quot;:[[2025,7,28]]},&quot;DOI&quot;:&quot;10.1186/S12882-018-1126-8&quot;,&quot;ISSN&quot;:&quot;14712369&quot;,&quot;PMID&quot;:&quot;30466393&quot;,&quot;issued&quot;:{&quot;date-parts&quot;:[[2018,11,22]]},&quot;page&quot;:&quot;336&quot;,&quot;abstract&quot;:&quot;BACKGROUND: There is a need for a large, contemporary, multi-centre series of measured glomerular filtration rates (mGFR) from healthy individuals to determine age- and gender-specific reference ranges for GFR. We aimed to address this and to use the ranges to provide age- and gender-specific advisory GFR thresholds considered acceptable for living kidney donation. METHODS: Individual-level data including pre-donation mGFR from 2974 prospective living kidney donors from 18 UK renal centres performed between 2003 and 2015 were amalgamated. Age- and gender-specific GFR reference ranges were determined by segmented multiple linear regression and presented as means ± two standard deviations. RESULTS: Males had a higher GFR than females (92.0 vs 88.1 mL/min/1.73m2, P &lt; 0.0001). Mean mGFR was 100 mL/min/1.73m2 until 35 years of age, following which there was a linear decline that was faster in females compared to males (7.7 vs 6.6 mL/min/1.73m2/decade, P = 0.013); 10.5% of individuals aged &gt; 60 years had a GFR &lt; 60 mL/min/1.73m2. The GFR ranges were used along with other published evidence to provide advisory age- and gender-specific GFR thresholds for living kidney donation. CONCLUSIONS: These data suggest that GFR declines after 35 years of age, and the decline is faster in females. A significant proportion of the healthy population over 60 years of age have a GFR &lt; 60 mL/min/1.73m2 which may have implications for the definition of chronic kidney disease. Age and gender differences in normal GFR can be used to determine advisory GFR thresholds for living kidney donation.&quot;,&quot;publisher&quot;:&quot;NLM (Medline)&quot;,&quot;issue&quot;:&quot;1&quot;,&quot;volume&quot;:&quot;19&quot;},&quot;isTemporary&quot;:false},{&quot;id&quot;:&quot;effa7d0d-381b-3831-b45e-daae592a57c3&quot;,&quot;itemData&quot;:{&quot;type&quot;:&quot;article-journal&quot;,&quot;id&quot;:&quot;effa7d0d-381b-3831-b45e-daae592a57c3&quot;,&quot;title&quot;:&quot;Sex Differences in Renal Function: Participation of Gonadal Hormones and Prolactin&quot;,&quot;author&quot;:[{&quot;family&quot;:&quot;Franco-Acevedo&quot;,&quot;given&quot;:&quot;Adriana&quot;,&quot;parse-names&quot;:false,&quot;dropping-particle&quot;:&quot;&quot;,&quot;non-dropping-particle&quot;:&quot;&quot;},{&quot;family&quot;:&quot;Echavarria&quot;,&quot;given&quot;:&quot;Raquel&quot;,&quot;parse-names&quot;:false,&quot;dropping-particle&quot;:&quot;&quot;,&quot;non-dropping-particle&quot;:&quot;&quot;},{&quot;family&quot;:&quot;Melo&quot;,&quot;given&quot;:&quot;Zesergio&quot;,&quot;parse-names&quot;:false,&quot;dropping-particle&quot;:&quot;&quot;,&quot;non-dropping-particle&quot;:&quot;&quot;}],&quot;container-title&quot;:&quot;Endocrines 2021, Vol. 2, Pages 185-202&quot;,&quot;accessed&quot;:{&quot;date-parts&quot;:[[2025,7,28]]},&quot;DOI&quot;:&quot;10.3390/ENDOCRINES2030019&quot;,&quot;ISSN&quot;:&quot;2673-396X&quot;,&quot;URL&quot;:&quot;https://www.mdpi.com/2673-396X/2/3/19/htm&quot;,&quot;issued&quot;:{&quot;date-parts&quot;:[[2021,7,5]]},&quot;page&quot;:&quot;185-202&quot;,&quot;abstract&quot;:&quot;Kidney pathophysiology is influenced by gender. Evidence suggests that kidney damage is more severe in males than in females and that sexual hormones contribute to this. Elevated prolactin concentration is common in renal impairment patients and is associated with an unfavorable prognosis. However, PRL is involved in the osmoregulatory process and promotes endothelial proliferation, dilatation, and permeability in blood vessels. Several proteinases cleavage its structure, forming vasoinhibins. These fragments have antagonistic PRL effects on endothelium and might be associated with renal endothelial dysfunction, but its role in the kidneys has not been enough investigated. Therefore, the purpose of this review is to describe the influence of sexual dimorphism and gonadal hormones on kidney damage, emphasizing the role of the hormone prolactin and its cleavage products, the vasoinhibins.&quot;,&quot;publisher&quot;:&quot;Multidisciplinary Digital Publishing Institute&quot;,&quot;issue&quot;:&quot;3&quot;,&quot;volume&quot;:&quot;2&quot;,&quot;container-title-short&quot;:&quot;&quot;},&quot;isTemporary&quot;:false}]},{&quot;citationID&quot;:&quot;MENDELEY_CITATION_73cd34b2-8fae-483a-a92e-1fe296b05d04&quot;,&quot;properties&quot;:{&quot;noteIndex&quot;:0},&quot;isEdited&quot;:false,&quot;manualOverride&quot;:{&quot;isManuallyOverridden&quot;:false,&quot;citeprocText&quot;:&quot;(Akpor et al., 2022; Kabinga et al., 2024)&quot;,&quot;manualOverrideText&quot;:&quot;&quot;},&quot;citationTag&quot;:&quot;MENDELEY_CITATION_v3_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&quot;,&quot;citationItems&quot;:[{&quot;id&quot;:&quot;d187f79c-de8c-3e6d-b092-5861c2b4506f&quot;,&quot;itemData&quot;:{&quot;type&quot;:&quot;article-journal&quot;,&quot;id&quot;:&quot;d187f79c-de8c-3e6d-b092-5861c2b4506f&quot;,&quot;title&quot;:&quot;Prevalence of Chronic Kidney Disease Among Diabetes and Hypertensive Patients in a Teaching Hospital in Ekiti State, Southwest Nigeria&quot;,&quot;author&quot;:[{&quot;family&quot;:&quot;Akpor&quot;,&quot;given&quot;:&quot;Oluwaseyi A.&quot;,&quot;parse-names&quot;:false,&quot;dropping-particle&quot;:&quot;&quot;,&quot;non-dropping-particle&quot;:&quot;&quot;},{&quot;family&quot;:&quot;Adeoye&quot;,&quot;given&quot;:&quot;Abigael O.&quot;,&quot;parse-names&quot;:false,&quot;dropping-particle&quot;:&quot;&quot;,&quot;non-dropping-particle&quot;:&quot;&quot;},{&quot;family&quot;:&quot;Ibitoba&quot;,&quot;given&quot;:&quot;Funmilayo A.&quot;,&quot;parse-names&quot;:false,&quot;dropping-particle&quot;:&quot;&quot;,&quot;non-dropping-particle&quot;:&quot;&quot;},{&quot;family&quot;:&quot;Akpor&quot;,&quot;given&quot;:&quot;Oghenerobor B.&quot;,&quot;parse-names&quot;:false,&quot;dropping-particle&quot;:&quot;&quot;,&quot;non-dropping-particle&quot;:&quot;&quot;}],&quot;container-title&quot;:&quot;The Open Public Health Journal&quot;,&quot;container-title-short&quot;:&quot;Open Public Health J&quot;,&quot;accessed&quot;:{&quot;date-parts&quot;:[[2025,7,28]]},&quot;DOI&quot;:&quot;10.2174/18749445-V15-E221220-2022-99,&quot;,&quot;ISSN&quot;:&quot;1874-9445&quot;,&quot;issued&quot;:{&quot;date-parts&quot;:[[2022,12,21]]},&quot;abstract&quot;:&quot;Chronic kidney disease (CKD) is a growing public health problem associated with enormous economic burdens, reduced quality of life, and untimely deaths, predominantly in developing countries. Aims: The study determines the prevalence and risk factors for CKD among diabetes and hypertensive patients in a teaching hospital in Ekiti State. Methods:&quot;,&quot;publisher&quot;:&quot;Bentham Science Publishers Ltd.&quot;,&quot;issue&quot;:&quot;1&quot;,&quot;volume&quot;:&quot;15&quot;},&quot;isTemporary&quot;:false,&quot;suppress-author&quot;:false,&quot;composite&quot;:false,&quot;author-only&quot;:false},{&quot;id&quot;:&quot;957588be-519b-316a-a26f-a10a1d5b37ef&quot;,&quot;itemData&quot;:{&quot;type&quot;:&quot;article-journal&quot;,&quot;id&quot;:&quot;957588be-519b-316a-a26f-a10a1d5b37ef&quot;,&quot;title&quot;:&quot;Risk factors for chronic kidney disease in the community: A decade of outreach in Kenya&quot;,&quot;author&quot;:[{&quot;family&quot;:&quot;Kabinga&quot;,&quot;given&quot;:&quot;Samuel K.&quot;,&quot;parse-names&quot;:false,&quot;dropping-particle&quot;:&quot;&quot;,&quot;non-dropping-particle&quot;:&quot;&quot;},{&quot;family&quot;:&quot;McLigeyo&quot;,&quot;given&quot;:&quot;Seth O.&quot;,&quot;parse-names&quot;:false,&quot;dropping-particle&quot;:&quot;&quot;,&quot;non-dropping-particle&quot;:&quot;&quot;},{&quot;family&quot;:&quot;Twahir&quot;,&quot;given&quot;:&quot;Ahmed&quot;,&quot;parse-names&quot;:false,&quot;dropping-particle&quot;:&quot;&quot;,&quot;non-dropping-particle&quot;:&quot;&quot;},{&quot;family&quot;:&quot;Ndungu&quot;,&quot;given&quot;:&quot;John N.&quot;,&quot;parse-names&quot;:false,&quot;dropping-particle&quot;:&quot;&quot;,&quot;non-dropping-particle&quot;:&quot;&quot;},{&quot;family&quot;:&quot;Wangombe&quot;,&quot;given&quot;:&quot;Nancy N.&quot;,&quot;parse-names&quot;:false,&quot;dropping-particle&quot;:&quot;&quot;,&quot;non-dropping-particle&quot;:&quot;&quot;},{&quot;family&quot;:&quot;Nyarera&quot;,&quot;given&quot;:&quot;Diviner K.&quot;,&quot;parse-names&quot;:false,&quot;dropping-particle&quot;:&quot;&quot;,&quot;non-dropping-particle&quot;:&quot;&quot;},{&quot;family&quot;:&quot;Ngaruiya&quot;,&quot;given&quot;:&quot;Grace W.&quot;,&quot;parse-names&quot;:false,&quot;dropping-particle&quot;:&quot;&quot;,&quot;non-dropping-particle&quot;:&quot;&quot;},{&quot;family&quot;:&quot;Chege&quot;,&quot;given&quot;:&quot;Reuben K.&quot;,&quot;parse-names&quot;:false,&quot;dropping-particle&quot;:&quot;&quot;,&quot;non-dropping-particle&quot;:&quot;&quot;},{&quot;family&quot;:&quot;Ochieng&quot;,&quot;given&quot;:&quot;Philip S.&quot;,&quot;parse-names&quot;:false,&quot;dropping-particle&quot;:&quot;&quot;,&quot;non-dropping-particle&quot;:&quot;&quot;},{&quot;family&quot;:&quot;Ogutu&quot;,&quot;given&quot;:&quot;McDonald O.&quot;,&quot;parse-names&quot;:false,&quot;dropping-particle&quot;:&quot;&quot;,&quot;non-dropping-particle&quot;:&quot;&quot;},{&quot;family&quot;:&quot;Moturi&quot;,&quot;given&quot;:&quot;George M.&quot;,&quot;parse-names&quot;:false,&quot;dropping-particle&quot;:&quot;&quot;,&quot;non-dropping-particle&quot;:&quot;&quot;}],&quot;container-title&quot;:&quot;Clinical Epidemiology and Global Health&quot;,&quot;container-title-short&quot;:&quot;Clin Epidemiol Glob Health&quot;,&quot;accessed&quot;:{&quot;date-parts&quot;:[[2025,7,28]]},&quot;DOI&quot;:&quot;10.1016/J.CEGH.2024.101823&quot;,&quot;ISSN&quot;:&quot;2213-3984&quot;,&quot;URL&quot;:&quot;https://www.sciencedirect.com/science/article/pii/S2213398424003208&quot;,&quot;issued&quot;:{&quot;date-parts&quot;:[[2024,11,1]]},&quot;page&quot;:&quot;101823&quot;,&quot;abstract&quot;:&quot;Problem Considered: Burden of chronic kidney disease (CKD) is increasing globally. We present chart analysis of data obtained during community screening for kidney disease between 2011-2021 in various parts of Kenya with objectives to document and stratify risks for kidney disease in the community. Methods: This was a descriptive analysis charts. Age, sex, individuals’ data on smoking, diabetes, hypertension, body mass index (BMI), systolic blood pressure (SBP), diastolic blood pressure (DBP), random blood sugar (RBS), dipstick urinalysis, as well as family history of CKD, hypertension and diabetes were analysed. Continuous variables had mean, standard deviation (SD), median and interquartile range (IQR) while frequencies for categorical variables were calculated. Results: About 10,675 individuals were analysed. Median age was 41 years (25 – 53). Females were 6,092(57.1%). Known hypertensive, diabetic and smokers were 2,028(19.0%), 881(8.3%) and 523(4.9%) respectively. Family history of hypertension, diabetes and CKD was reported by 3,810(35.7%), 2,751(25.8%) and 978(9.2%) respectively. In 10,121(94.8%) RBS was tested. About 470(4.6%) had RBS &lt; 4.0 mmol/L, 9,298(91.9%) 4.0-11.0 mmol/L while 368(3.6%) was &gt; 11.0 mmol/L. Incidental hyperglycemia was in129 (1.2%). Median SBP and DBP was 128 mmHg (116-143) and 78 mmHg (70 – 87) respectively. Mean BMI was 25.96±5.27 kg/m2. Subgroups with diabetes and hypertension had higher mean age, SBP, DBP and RBS, family history of hypertension, diabetes and CKD. Conclusion: Burden of risks for CKD in the community high. Blood sugar and blood pressure controls were suboptimal. There was concordance in the findings of hypotensive, diabetic and family history of similar conditions.&quot;,&quot;publisher&quot;:&quot;Elsevier&quot;,&quot;volume&quot;:&quot;30&quot;},&quot;isTemporary&quot;:false}]},{&quot;citationID&quot;:&quot;MENDELEY_CITATION_0833126f-5a08-42e5-96eb-b23cf3ca8cea&quot;,&quot;properties&quot;:{&quot;noteIndex&quot;:0},&quot;isEdited&quot;:false,&quot;manualOverride&quot;:{&quot;isManuallyOverridden&quot;:false,&quot;citeprocText&quot;:&quot;(Mmoh et al., 2022)&quot;,&quot;manualOverrideText&quot;:&quot;&quot;},&quot;citationTag&quot;:&quot;MENDELEY_CITATION_v3_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&quot;,&quot;citationItems&quot;:[{&quot;id&quot;:&quot;528a11b3-8984-3b3f-b4e6-9f254558241e&quot;,&quot;itemData&quot;:{&quot;type&quot;:&quot;article-journal&quot;,&quot;id&quot;:&quot;528a11b3-8984-3b3f-b4e6-9f254558241e&quot;,&quot;title&quot;:&quot;Dipstick urinalysis profile of an asymptomatic female group in south-east Nigeria&quot;,&quot;author&quot;:[{&quot;family&quot;:&quot;Mmoh&quot;,&quot;given&quot;:&quot;Ijeoma Cornelia&quot;,&quot;parse-names&quot;:false,&quot;dropping-particle&quot;:&quot;&quot;,&quot;non-dropping-particle&quot;:&quot;&quot;},{&quot;family&quot;:&quot;Ogbuagu&quot;,&quot;given&quot;:&quot;Chukwuanugo Nkemakonam&quot;,&quot;parse-names&quot;:false,&quot;dropping-particle&quot;:&quot;&quot;,&quot;non-dropping-particle&quot;:&quot;&quot;},{&quot;family&quot;:&quot;Modebe&quot;,&quot;given&quot;:&quot;Ifeoma Ann&quot;,&quot;parse-names&quot;:false,&quot;dropping-particle&quot;:&quot;&quot;,&quot;non-dropping-particle&quot;:&quot;&quot;},{&quot;family&quot;:&quot;Ogbuagu&quot;,&quot;given&quot;:&quot;Ekenechukwu Nkolika&quot;,&quot;parse-names&quot;:false,&quot;dropping-particle&quot;:&quot;&quot;,&quot;non-dropping-particle&quot;:&quot;&quot;},{&quot;family&quot;:&quot;Ogbuagu&quot;,&quot;given&quot;:&quot;Chimdindu Michael&quot;,&quot;parse-names&quot;:false,&quot;dropping-particle&quot;:&quot;&quot;,&quot;non-dropping-particle&quot;:&quot;&quot;},{&quot;family&quot;:&quot;Emelumadu&quot;,&quot;given&quot;:&quot;Obiageli Fidelia&quot;,&quot;parse-names&quot;:false,&quot;dropping-particle&quot;:&quot;&quot;,&quot;non-dropping-particle&quot;:&quot;&quot;},{&quot;family&quot;:&quot;Okereke&quot;,&quot;given&quot;:&quot;Uzoma Chidi&quot;,&quot;parse-names&quot;:false,&quot;dropping-particle&quot;:&quot;&quot;,&quot;non-dropping-particle&quot;:&quot;&quot;},{&quot;family&quot;:&quot;Eleje&quot;,&quot;given&quot;:&quot;George Uchenna&quot;,&quot;parse-names&quot;:false,&quot;dropping-particle&quot;:&quot;&quot;,&quot;non-dropping-particle&quot;:&quot;&quot;},{&quot;family&quot;:&quot;Ekwunife&quot;,&quot;given&quot;:&quot;Obinna Ikechukwu&quot;,&quot;parse-names&quot;:false,&quot;dropping-particle&quot;:&quot;&quot;,&quot;non-dropping-particle&quot;:&quot;&quot;}],&quot;container-title&quot;:&quot;SAGE Open Medicine&quot;,&quot;container-title-short&quot;:&quot;SAGE Open Med&quot;,&quot;accessed&quot;:{&quot;date-parts&quot;:[[2025,7,28]]},&quot;DOI&quot;:&quot;10.1177/20503121221135575&quot;,&quot;ISSN&quot;:&quot;20503121&quot;,&quot;PMID&quot;:&quot;36385795&quot;,&quot;URL&quot;:&quot;https://pmc.ncbi.nlm.nih.gov/articles/PMC9647263/&quot;,&quot;issued&quot;:{&quot;date-parts&quot;:[[2022]]},&quot;page&quot;:&quot;20503121221135575&quot;,&quot;abstract&quot;:&quot;Objectives: Routine dipstick urinalysis is a useful and inexpensive method for the early detection of asymptomatic diseases. Our study was carried out to detect the prevalence of urinary abnormalities among an apparently asymptomatic healthy female group and emphasize the value of routine dipstick urinalysis. Methods: A cross-sectional study was carried out among second to sixth (final)-year female medical students of Nnamdi Azikiwe University, Nnewi campus between 8 and 30 September 2019. A total of 100 subjects were enrolled. First-morning midstream urine samples were collected and promptly tested with dipstick strips. Subjects with abnormal findings were informed and treated appropriately. Results: In all, 54 (54%) of the subjects had urine abnormalities. Trace proteinuria was the commonest abnormality seen with a prevalence of 33%, followed by abnormal urine appearance (17%), leucocytes (14%), nitrites (8%) and urobilinogen (2%). Urine abnormalities were commoner in students who resided in the school hostel. Abnormal urine appearance was significantly associated with nitrites (0.003) and leucocytes (0.001). Conclusion: Routine dipstick urinalysis should be performed among students and apparently healthy individuals for early detection and diagnosis of renal diseases to facilitate quick interventions and prevent further progression.&quot;,&quot;publisher&quot;:&quot;SAGE Publications Ltd&quot;,&quot;volume&quot;:&quot;10&quot;},&quot;isTemporary&quot;:false,&quot;suppress-author&quot;:false,&quot;composite&quot;:false,&quot;author-only&quot;:false}]},{&quot;citationID&quot;:&quot;MENDELEY_CITATION_92c4e91b-9c1b-4322-a719-96b6e829a5bb&quot;,&quot;properties&quot;:{&quot;noteIndex&quot;:0},&quot;isEdited&quot;:false,&quot;manualOverride&quot;:{&quot;isManuallyOverridden&quot;:false,&quot;citeprocText&quot;:&quot;(Bansal &amp;#38; Chonchol, 2025; Hall et al., 2020)&quot;,&quot;manualOverrideText&quot;:&quot;&quot;},&quot;citationTag&quot;:&quot;MENDELEY_CITATION_v3_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&quot;,&quot;citationItems&quot;:[{&quot;id&quot;:&quot;9ea03892-9fb3-3be3-8d1f-354bb6404ad7&quot;,&quot;itemData&quot;:{&quot;type&quot;:&quot;article-journal&quot;,&quot;id&quot;:&quot;9ea03892-9fb3-3be3-8d1f-354bb6404ad7&quot;,&quot;title&quot;:&quot;Metabolic dysfunction–associated kidney disease: pathogenesis and clinical manifestations&quot;,&quot;author&quot;:[{&quot;family&quot;:&quot;Bansal&quot;,&quot;given&quot;:&quot;Anip&quot;,&quot;parse-names&quot;:false,&quot;dropping-particle&quot;:&quot;&quot;,&quot;non-dropping-particle&quot;:&quot;&quot;},{&quot;family&quot;:&quot;Chonchol&quot;,&quot;given&quot;:&quot;Michel&quot;,&quot;parse-names&quot;:false,&quot;dropping-particle&quot;:&quot;&quot;,&quot;non-dropping-particle&quot;:&quot;&quot;}],&quot;container-title&quot;:&quot;Kidney International&quot;,&quot;container-title-short&quot;:&quot;Kidney Int&quot;,&quot;accessed&quot;:{&quot;date-parts&quot;:[[2025,7,28]]},&quot;DOI&quot;:&quot;10.1016/J.KINT.2025.01.044&quot;,&quot;ISSN&quot;:&quot;0085-2538&quot;,&quot;PMID&quot;:&quot;40379048&quot;,&quot;URL&quot;:&quot;https://www.sciencedirect.com/science/article/abs/pii/S0085253825003515&quot;,&quot;issued&quot;:{&quot;date-parts&quot;:[[2025,8,1]]},&quot;page&quot;:&quot;194-200&quot;,&quot;abstract&quot;:&quot;In recent years, there have been significant changes in the lifestyle and dietary habits of the population characterized by an increased intake of high-calorie food and a sedentary lifestyle without physical activity. The increased prevalence of overweight and obesity has led to metabolic dysfunction and related complications, such as cardiovascular disease and chronic kidney disease. The purpose of this review is to highlight the importance, clinical features, and pathogenesis of metabolic dysfunction–associated kidney disease (MDAKD). MDAKD is a term that describes kidney disease arising from metabolic dysfunction, often in the context of metabolic syndrome, and is characterized by the presence of chronic kidney disease in individuals with metabolic abnormalities such as obesity, insulin resistance, diabetes mellitus, dyslipidemia, and hypertension. MDAKD includes diabetic kidney disease, obesity-related kidney disease, and, increasingly, other less common kidney diseases where metabolic dysfunction may affect disease progression. MDAKD is part of a spectrum of diseases whose pathogenesis is driven by metabolic dysfunction and has recently led to the proposal of a new nomenclature including metabolic dysfunction–associated steatotic liver disease and cardio-kidney-metabolic syndrome. The new terminology of MDAKD places additional emphasis on the pathogenic role of metabolic dysfunction in kidney disease.&quot;,&quot;publisher&quot;:&quot;Elsevier&quot;,&quot;issue&quot;:&quot;2&quot;,&quot;volume&quot;:&quot;108&quot;},&quot;isTemporary&quot;:false},{&quot;id&quot;:&quot;acba1245-9f21-3477-8d4c-0623ea708070&quot;,&quot;itemData&quot;:{&quot;type&quot;:&quot;article-journal&quot;,&quot;id&quot;:&quot;acba1245-9f21-3477-8d4c-0623ea708070&quot;,&quot;title&quot;:&quot;Obesity, kidney dysfunction, and inflammation: interactions in hypertension&quot;,&quot;author&quot;:[{&quot;family&quot;:&quot;Hall&quot;,&quot;given&quot;:&quot;John E.&quot;,&quot;parse-names&quot;:false,&quot;dropping-particle&quot;:&quot;&quot;,&quot;non-dropping-particle&quot;:&quot;&quot;},{&quot;family&quot;:&quot;Mouton&quot;,&quot;given&quot;:&quot;Alan J.&quot;,&quot;parse-names&quot;:false,&quot;dropping-particle&quot;:&quot;&quot;,&quot;non-dropping-particle&quot;:&quot;&quot;},{&quot;family&quot;:&quot;Silva&quot;,&quot;given&quot;:&quot;Alexandre A.&quot;,&quot;parse-names&quot;:false,&quot;dropping-particle&quot;:&quot;&quot;,&quot;non-dropping-particle&quot;:&quot;Da&quot;},{&quot;family&quot;:&quot;Wang&quot;,&quot;given&quot;:&quot;Zhen&quot;,&quot;parse-names&quot;:false,&quot;dropping-particle&quot;:&quot;&quot;,&quot;non-dropping-particle&quot;:&quot;&quot;},{&quot;family&quot;:&quot;Li&quot;,&quot;given&quot;:&quot;Xuan&quot;,&quot;parse-names&quot;:false,&quot;dropping-particle&quot;:&quot;&quot;,&quot;non-dropping-particle&quot;:&quot;&quot;},{&quot;family&quot;:&quot;Carmo&quot;,&quot;given&quot;:&quot;Jussara M.&quot;,&quot;parse-names&quot;:false,&quot;dropping-particle&quot;:&quot;&quot;,&quot;non-dropping-particle&quot;:&quot;Do&quot;}],&quot;container-title&quot;:&quot;Cardiovascular Research&quot;,&quot;container-title-short&quot;:&quot;Cardiovasc Res&quot;,&quot;accessed&quot;:{&quot;date-parts&quot;:[[2025,7,28]]},&quot;DOI&quot;:&quot;10.1093/CVR/CVAA336&quot;,&quot;ISSN&quot;:&quot;17553245&quot;,&quot;PMID&quot;:&quot;33258945&quot;,&quot;URL&quot;:&quot;https://pmc.ncbi.nlm.nih.gov/articles/PMC8262632/&quot;,&quot;issued&quot;:{&quot;date-parts&quot;:[[2020,7,1]]},&quot;page&quot;:&quot;1859&quot;,&quot;abstract&quot;:&quot;Obesity contributes 65-75% of the risk for human primary (essential) hypertension (HT) which is a major driver of cardiovascular and kidney diseases. Kidney dysfunction, associated with increased renal sodium reabsorption and compensatory glomerular hyperfiltration, plays a key role in initiating obesity-HT and target organ injury. Mediators of kidney dysfunction and increased blood pressure include (i) elevated renal sympathetic nerve activity (RSNA); (ii) increased antinatriuretic hormones such as angiotensin II and aldosterone; (iii) relative deficiency of natriuretic hormones; (iv) renal compression by fat in and around the kidneys; and (v) activation of innate and adaptive immune cells that invade tissues throughout the body, producing inflammatory cytokines/chemokines that contribute to vascular and target organ injury, and exacerbate HT. These neurohormonal, renal, and inflammatory mechanisms of obesity-HT are interdependent. For example, excess adiposity increases the adipocyte-derived cytokine leptin which increases RSNA by stimulating the central nervous system proopiomelanocortin-melanocortin 4 receptor pathway. Excess visceral, perirenal and renal sinus fat compress the kidneys which, along with increased RSNA, contribute to renin-angiotensin-aldosterone system activation, although obesity may also activate mineralocorticoid receptors independent of aldosterone. Prolonged obesity, HT, metabolic abnormalities, and inflammation cause progressive renal injury, making HT more resistant to therapy and often requiring multiple antihypertensive drugs and concurrent treatment of dyslipidaemia, insulin resistance, diabetes, and inflammation. More effective antiobesity drugs are needed to prevent the cascade of cardiorenal, metabolic, and immune disorders that threaten to overwhelm health care systems as obesity prevalence continues to increase.&quot;,&quot;publisher&quot;:&quot;Oxford University Press&quot;,&quot;issue&quot;:&quot;8&quot;,&quot;volume&quot;:&quot;117&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8556E-4975-4008-A157-5C71C6B4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3562</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Ojeh</dc:creator>
  <cp:keywords/>
  <dc:description/>
  <cp:lastModifiedBy>Gabriel Ojeh</cp:lastModifiedBy>
  <cp:revision>47</cp:revision>
  <dcterms:created xsi:type="dcterms:W3CDTF">2025-07-27T22:31:00Z</dcterms:created>
  <dcterms:modified xsi:type="dcterms:W3CDTF">2025-08-11T21:49:00Z</dcterms:modified>
</cp:coreProperties>
</file>