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spacing w:line="276" w:lineRule="auto" w:before="80"/>
        <w:ind w:left="0" w:right="358"/>
        <w:jc w:val="center"/>
      </w:pPr>
      <w:r>
        <w:rPr/>
        <w:t>INFORMATION</w:t>
      </w:r>
      <w:r>
        <w:rPr>
          <w:spacing w:val="-11"/>
        </w:rPr>
        <w:t> </w:t>
      </w:r>
      <w:r>
        <w:rPr/>
        <w:t>AND</w:t>
      </w:r>
      <w:r>
        <w:rPr>
          <w:spacing w:val="-11"/>
        </w:rPr>
        <w:t> </w:t>
      </w:r>
      <w:r>
        <w:rPr/>
        <w:t>COMMUNICATION</w:t>
      </w:r>
      <w:r>
        <w:rPr>
          <w:spacing w:val="-11"/>
        </w:rPr>
        <w:t> </w:t>
      </w:r>
      <w:r>
        <w:rPr/>
        <w:t>TECHNOLOGY</w:t>
      </w:r>
      <w:r>
        <w:rPr>
          <w:spacing w:val="-11"/>
        </w:rPr>
        <w:t> </w:t>
      </w:r>
      <w:r>
        <w:rPr/>
        <w:t>UTILIZATION</w:t>
      </w:r>
      <w:r>
        <w:rPr>
          <w:spacing w:val="-11"/>
        </w:rPr>
        <w:t> </w:t>
      </w:r>
      <w:r>
        <w:rPr/>
        <w:t>IN</w:t>
      </w:r>
      <w:r>
        <w:rPr>
          <w:spacing w:val="-11"/>
        </w:rPr>
        <w:t> </w:t>
      </w:r>
      <w:r>
        <w:rPr/>
        <w:t>POST</w:t>
      </w:r>
      <w:r>
        <w:rPr>
          <w:spacing w:val="-11"/>
        </w:rPr>
        <w:t> </w:t>
      </w:r>
      <w:r>
        <w:rPr/>
        <w:t>BASIC</w:t>
      </w:r>
      <w:r>
        <w:rPr>
          <w:spacing w:val="-11"/>
        </w:rPr>
        <w:t> </w:t>
      </w:r>
      <w:r>
        <w:rPr/>
        <w:t>NURSING PROGRAMME IN THE UNIVERSITY OF PORT HARCOURT TEACHING HOSPITAL</w:t>
      </w:r>
    </w:p>
    <w:p>
      <w:pPr>
        <w:pStyle w:val="BodyText"/>
        <w:spacing w:before="50"/>
        <w:rPr>
          <w:rFonts w:ascii="Arial"/>
          <w:b/>
        </w:rPr>
      </w:pPr>
    </w:p>
    <w:p>
      <w:pPr>
        <w:spacing w:before="0"/>
        <w:ind w:left="1" w:right="358" w:firstLine="0"/>
        <w:jc w:val="center"/>
        <w:rPr>
          <w:rFonts w:ascii="Arial"/>
          <w:b/>
          <w:sz w:val="20"/>
        </w:rPr>
      </w:pPr>
      <w:r>
        <w:rPr>
          <w:rFonts w:ascii="Arial"/>
          <w:b/>
          <w:color w:val="111111"/>
          <w:spacing w:val="-2"/>
          <w:sz w:val="20"/>
        </w:rPr>
        <w:t>Abstract</w:t>
      </w:r>
    </w:p>
    <w:p>
      <w:pPr>
        <w:pStyle w:val="BodyText"/>
        <w:spacing w:before="44"/>
        <w:rPr>
          <w:rFonts w:ascii="Arial"/>
          <w:b/>
        </w:rPr>
      </w:pPr>
    </w:p>
    <w:p>
      <w:pPr>
        <w:spacing w:line="276" w:lineRule="auto" w:before="0"/>
        <w:ind w:left="360" w:right="718" w:firstLine="0"/>
        <w:jc w:val="both"/>
        <w:rPr>
          <w:rFonts w:ascii="Arial"/>
          <w:b/>
          <w:i/>
          <w:sz w:val="20"/>
        </w:rPr>
      </w:pPr>
      <w:r>
        <w:rPr>
          <w:rFonts w:ascii="Arial"/>
          <w:b/>
          <w:i/>
          <w:sz w:val="20"/>
        </w:rPr>
        <w:drawing>
          <wp:anchor distT="0" distB="0" distL="0" distR="0" allowOverlap="1" layoutInCell="1" locked="0" behindDoc="1" simplePos="0" relativeHeight="486924288">
            <wp:simplePos x="0" y="0"/>
            <wp:positionH relativeFrom="page">
              <wp:posOffset>919162</wp:posOffset>
            </wp:positionH>
            <wp:positionV relativeFrom="paragraph">
              <wp:posOffset>314073</wp:posOffset>
            </wp:positionV>
            <wp:extent cx="5934075" cy="59340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w:b/>
          <w:i/>
          <w:color w:val="111111"/>
          <w:sz w:val="20"/>
        </w:rPr>
        <w:t>This study investigates the use of Information and Communication Technology (ICT) in the Post Basic Nursing Programme at the University of Port Harcourt Teaching Hospital (UPTH). The objectives were to assess the extent of ICT usage among students and</w:t>
      </w:r>
      <w:r>
        <w:rPr>
          <w:rFonts w:ascii="Arial"/>
          <w:b/>
          <w:i/>
          <w:color w:val="111111"/>
          <w:spacing w:val="-3"/>
          <w:sz w:val="20"/>
        </w:rPr>
        <w:t> </w:t>
      </w:r>
      <w:r>
        <w:rPr>
          <w:rFonts w:ascii="Arial"/>
          <w:b/>
          <w:i/>
          <w:color w:val="111111"/>
          <w:sz w:val="20"/>
        </w:rPr>
        <w:t>lecturers</w:t>
      </w:r>
      <w:r>
        <w:rPr>
          <w:rFonts w:ascii="Arial"/>
          <w:b/>
          <w:i/>
          <w:color w:val="111111"/>
          <w:spacing w:val="-3"/>
          <w:sz w:val="20"/>
        </w:rPr>
        <w:t> </w:t>
      </w:r>
      <w:r>
        <w:rPr>
          <w:rFonts w:ascii="Arial"/>
          <w:b/>
          <w:i/>
          <w:color w:val="111111"/>
          <w:sz w:val="20"/>
        </w:rPr>
        <w:t>and</w:t>
      </w:r>
      <w:r>
        <w:rPr>
          <w:rFonts w:ascii="Arial"/>
          <w:b/>
          <w:i/>
          <w:color w:val="111111"/>
          <w:spacing w:val="-3"/>
          <w:sz w:val="20"/>
        </w:rPr>
        <w:t> </w:t>
      </w:r>
      <w:r>
        <w:rPr>
          <w:rFonts w:ascii="Arial"/>
          <w:b/>
          <w:i/>
          <w:color w:val="111111"/>
          <w:sz w:val="20"/>
        </w:rPr>
        <w:t>identify</w:t>
      </w:r>
      <w:r>
        <w:rPr>
          <w:rFonts w:ascii="Arial"/>
          <w:b/>
          <w:i/>
          <w:color w:val="111111"/>
          <w:spacing w:val="-3"/>
          <w:sz w:val="20"/>
        </w:rPr>
        <w:t> </w:t>
      </w:r>
      <w:r>
        <w:rPr>
          <w:rFonts w:ascii="Arial"/>
          <w:b/>
          <w:i/>
          <w:color w:val="111111"/>
          <w:sz w:val="20"/>
        </w:rPr>
        <w:t>key factors influencing its adoption. A descriptive survey design was employed, involving 108 participants, 86 students and 22 lecturers. Data were collected using a validated structured questionnaire with a reliability coefficient of 0.84, established through pilot testing and expert review. The study was guided by three research questions and two null hypotheses examining gender-based differences in ICT usage. Descriptive statistics (mean and standard deviation) addressed the research questions, while z-tests were used to test the hypotheses at a 0.05 significance level. Findings revealed a moderate level of ICT utilization among</w:t>
      </w:r>
      <w:r>
        <w:rPr>
          <w:rFonts w:ascii="Arial"/>
          <w:b/>
          <w:i/>
          <w:color w:val="111111"/>
          <w:spacing w:val="-3"/>
          <w:sz w:val="20"/>
        </w:rPr>
        <w:t> </w:t>
      </w:r>
      <w:r>
        <w:rPr>
          <w:rFonts w:ascii="Arial"/>
          <w:b/>
          <w:i/>
          <w:color w:val="111111"/>
          <w:sz w:val="20"/>
        </w:rPr>
        <w:t>both</w:t>
      </w:r>
      <w:r>
        <w:rPr>
          <w:rFonts w:ascii="Arial"/>
          <w:b/>
          <w:i/>
          <w:color w:val="111111"/>
          <w:spacing w:val="-3"/>
          <w:sz w:val="20"/>
        </w:rPr>
        <w:t> </w:t>
      </w:r>
      <w:r>
        <w:rPr>
          <w:rFonts w:ascii="Arial"/>
          <w:b/>
          <w:i/>
          <w:color w:val="111111"/>
          <w:sz w:val="20"/>
        </w:rPr>
        <w:t>students</w:t>
      </w:r>
      <w:r>
        <w:rPr>
          <w:rFonts w:ascii="Arial"/>
          <w:b/>
          <w:i/>
          <w:color w:val="111111"/>
          <w:spacing w:val="-3"/>
          <w:sz w:val="20"/>
        </w:rPr>
        <w:t> </w:t>
      </w:r>
      <w:r>
        <w:rPr>
          <w:rFonts w:ascii="Arial"/>
          <w:b/>
          <w:i/>
          <w:color w:val="111111"/>
          <w:sz w:val="20"/>
        </w:rPr>
        <w:t>and lecturers, irrespective</w:t>
      </w:r>
      <w:r>
        <w:rPr>
          <w:rFonts w:ascii="Arial"/>
          <w:b/>
          <w:i/>
          <w:color w:val="111111"/>
          <w:spacing w:val="-4"/>
          <w:sz w:val="20"/>
        </w:rPr>
        <w:t> </w:t>
      </w:r>
      <w:r>
        <w:rPr>
          <w:rFonts w:ascii="Arial"/>
          <w:b/>
          <w:i/>
          <w:color w:val="111111"/>
          <w:sz w:val="20"/>
        </w:rPr>
        <w:t>of</w:t>
      </w:r>
      <w:r>
        <w:rPr>
          <w:rFonts w:ascii="Arial"/>
          <w:b/>
          <w:i/>
          <w:color w:val="111111"/>
          <w:spacing w:val="-4"/>
          <w:sz w:val="20"/>
        </w:rPr>
        <w:t> </w:t>
      </w:r>
      <w:r>
        <w:rPr>
          <w:rFonts w:ascii="Arial"/>
          <w:b/>
          <w:i/>
          <w:color w:val="111111"/>
          <w:sz w:val="20"/>
        </w:rPr>
        <w:t>gender.</w:t>
      </w:r>
      <w:r>
        <w:rPr>
          <w:rFonts w:ascii="Arial"/>
          <w:b/>
          <w:i/>
          <w:color w:val="111111"/>
          <w:spacing w:val="-4"/>
          <w:sz w:val="20"/>
        </w:rPr>
        <w:t> </w:t>
      </w:r>
      <w:r>
        <w:rPr>
          <w:rFonts w:ascii="Arial"/>
          <w:b/>
          <w:i/>
          <w:color w:val="111111"/>
          <w:sz w:val="20"/>
        </w:rPr>
        <w:t>Several</w:t>
      </w:r>
      <w:r>
        <w:rPr>
          <w:rFonts w:ascii="Arial"/>
          <w:b/>
          <w:i/>
          <w:color w:val="111111"/>
          <w:spacing w:val="-4"/>
          <w:sz w:val="20"/>
        </w:rPr>
        <w:t> </w:t>
      </w:r>
      <w:r>
        <w:rPr>
          <w:rFonts w:ascii="Arial"/>
          <w:b/>
          <w:i/>
          <w:color w:val="111111"/>
          <w:sz w:val="20"/>
        </w:rPr>
        <w:t>barriers</w:t>
      </w:r>
      <w:r>
        <w:rPr>
          <w:rFonts w:ascii="Arial"/>
          <w:b/>
          <w:i/>
          <w:color w:val="111111"/>
          <w:spacing w:val="-4"/>
          <w:sz w:val="20"/>
        </w:rPr>
        <w:t> </w:t>
      </w:r>
      <w:r>
        <w:rPr>
          <w:rFonts w:ascii="Arial"/>
          <w:b/>
          <w:i/>
          <w:color w:val="111111"/>
          <w:sz w:val="20"/>
        </w:rPr>
        <w:t>to</w:t>
      </w:r>
      <w:r>
        <w:rPr>
          <w:rFonts w:ascii="Arial"/>
          <w:b/>
          <w:i/>
          <w:color w:val="111111"/>
          <w:spacing w:val="-4"/>
          <w:sz w:val="20"/>
        </w:rPr>
        <w:t> </w:t>
      </w:r>
      <w:r>
        <w:rPr>
          <w:rFonts w:ascii="Arial"/>
          <w:b/>
          <w:i/>
          <w:color w:val="111111"/>
          <w:sz w:val="20"/>
        </w:rPr>
        <w:t>ICT</w:t>
      </w:r>
      <w:r>
        <w:rPr>
          <w:rFonts w:ascii="Arial"/>
          <w:b/>
          <w:i/>
          <w:color w:val="111111"/>
          <w:spacing w:val="-4"/>
          <w:sz w:val="20"/>
        </w:rPr>
        <w:t> </w:t>
      </w:r>
      <w:r>
        <w:rPr>
          <w:rFonts w:ascii="Arial"/>
          <w:b/>
          <w:i/>
          <w:color w:val="111111"/>
          <w:sz w:val="20"/>
        </w:rPr>
        <w:t>adoption</w:t>
      </w:r>
      <w:r>
        <w:rPr>
          <w:rFonts w:ascii="Arial"/>
          <w:b/>
          <w:i/>
          <w:color w:val="111111"/>
          <w:spacing w:val="-4"/>
          <w:sz w:val="20"/>
        </w:rPr>
        <w:t> </w:t>
      </w:r>
      <w:r>
        <w:rPr>
          <w:rFonts w:ascii="Arial"/>
          <w:b/>
          <w:i/>
          <w:color w:val="111111"/>
          <w:sz w:val="20"/>
        </w:rPr>
        <w:t>were</w:t>
      </w:r>
      <w:r>
        <w:rPr>
          <w:rFonts w:ascii="Arial"/>
          <w:b/>
          <w:i/>
          <w:color w:val="111111"/>
          <w:spacing w:val="-4"/>
          <w:sz w:val="20"/>
        </w:rPr>
        <w:t> </w:t>
      </w:r>
      <w:r>
        <w:rPr>
          <w:rFonts w:ascii="Arial"/>
          <w:b/>
          <w:i/>
          <w:color w:val="111111"/>
          <w:sz w:val="20"/>
        </w:rPr>
        <w:t>identified,</w:t>
      </w:r>
      <w:r>
        <w:rPr>
          <w:rFonts w:ascii="Arial"/>
          <w:b/>
          <w:i/>
          <w:color w:val="111111"/>
          <w:spacing w:val="-4"/>
          <w:sz w:val="20"/>
        </w:rPr>
        <w:t> </w:t>
      </w:r>
      <w:r>
        <w:rPr>
          <w:rFonts w:ascii="Arial"/>
          <w:b/>
          <w:i/>
          <w:color w:val="111111"/>
          <w:sz w:val="20"/>
        </w:rPr>
        <w:t>including</w:t>
      </w:r>
      <w:r>
        <w:rPr>
          <w:rFonts w:ascii="Arial"/>
          <w:b/>
          <w:i/>
          <w:color w:val="111111"/>
          <w:spacing w:val="-4"/>
          <w:sz w:val="20"/>
        </w:rPr>
        <w:t> </w:t>
      </w:r>
      <w:r>
        <w:rPr>
          <w:rFonts w:ascii="Arial"/>
          <w:b/>
          <w:i/>
          <w:color w:val="111111"/>
          <w:sz w:val="20"/>
        </w:rPr>
        <w:t>limited access to ICT facilities, resistance to change, inadequate funding, high equipment costs, poor maintenance culture, unstable power supply, weak telecommunications infrastructure, and unreliable internet connectivity. Z-test results showed no statistically significant gender differences in ICT usage among students or lecturers. Based on these findings, the study recommends that nursing institutions be equipped with adequate and accessible ICT infrastructure, stable power supply, and</w:t>
      </w:r>
      <w:r>
        <w:rPr>
          <w:rFonts w:ascii="Arial"/>
          <w:b/>
          <w:i/>
          <w:color w:val="111111"/>
          <w:spacing w:val="-4"/>
          <w:sz w:val="20"/>
        </w:rPr>
        <w:t> </w:t>
      </w:r>
      <w:r>
        <w:rPr>
          <w:rFonts w:ascii="Arial"/>
          <w:b/>
          <w:i/>
          <w:color w:val="111111"/>
          <w:sz w:val="20"/>
        </w:rPr>
        <w:t>improved</w:t>
      </w:r>
      <w:r>
        <w:rPr>
          <w:rFonts w:ascii="Arial"/>
          <w:b/>
          <w:i/>
          <w:color w:val="111111"/>
          <w:spacing w:val="-4"/>
          <w:sz w:val="20"/>
        </w:rPr>
        <w:t> </w:t>
      </w:r>
      <w:r>
        <w:rPr>
          <w:rFonts w:ascii="Arial"/>
          <w:b/>
          <w:i/>
          <w:color w:val="111111"/>
          <w:sz w:val="20"/>
        </w:rPr>
        <w:t>funding.</w:t>
      </w:r>
      <w:r>
        <w:rPr>
          <w:rFonts w:ascii="Arial"/>
          <w:b/>
          <w:i/>
          <w:color w:val="111111"/>
          <w:spacing w:val="-4"/>
          <w:sz w:val="20"/>
        </w:rPr>
        <w:t> </w:t>
      </w:r>
      <w:r>
        <w:rPr>
          <w:rFonts w:ascii="Arial"/>
          <w:b/>
          <w:i/>
          <w:color w:val="111111"/>
          <w:sz w:val="20"/>
        </w:rPr>
        <w:t>Furthermore,</w:t>
      </w:r>
      <w:r>
        <w:rPr>
          <w:rFonts w:ascii="Arial"/>
          <w:b/>
          <w:i/>
          <w:color w:val="111111"/>
          <w:spacing w:val="-4"/>
          <w:sz w:val="20"/>
        </w:rPr>
        <w:t> </w:t>
      </w:r>
      <w:r>
        <w:rPr>
          <w:rFonts w:ascii="Arial"/>
          <w:b/>
          <w:i/>
          <w:color w:val="111111"/>
          <w:sz w:val="20"/>
        </w:rPr>
        <w:t>steps</w:t>
      </w:r>
      <w:r>
        <w:rPr>
          <w:rFonts w:ascii="Arial"/>
          <w:b/>
          <w:i/>
          <w:color w:val="111111"/>
          <w:spacing w:val="-4"/>
          <w:sz w:val="20"/>
        </w:rPr>
        <w:t> </w:t>
      </w:r>
      <w:r>
        <w:rPr>
          <w:rFonts w:ascii="Arial"/>
          <w:b/>
          <w:i/>
          <w:color w:val="111111"/>
          <w:sz w:val="20"/>
        </w:rPr>
        <w:t>should</w:t>
      </w:r>
      <w:r>
        <w:rPr>
          <w:rFonts w:ascii="Arial"/>
          <w:b/>
          <w:i/>
          <w:color w:val="111111"/>
          <w:spacing w:val="-4"/>
          <w:sz w:val="20"/>
        </w:rPr>
        <w:t> </w:t>
      </w:r>
      <w:r>
        <w:rPr>
          <w:rFonts w:ascii="Arial"/>
          <w:b/>
          <w:i/>
          <w:color w:val="111111"/>
          <w:sz w:val="20"/>
        </w:rPr>
        <w:t>be</w:t>
      </w:r>
      <w:r>
        <w:rPr>
          <w:rFonts w:ascii="Arial"/>
          <w:b/>
          <w:i/>
          <w:color w:val="111111"/>
          <w:spacing w:val="-4"/>
          <w:sz w:val="20"/>
        </w:rPr>
        <w:t> </w:t>
      </w:r>
      <w:r>
        <w:rPr>
          <w:rFonts w:ascii="Arial"/>
          <w:b/>
          <w:i/>
          <w:color w:val="111111"/>
          <w:sz w:val="20"/>
        </w:rPr>
        <w:t>taken</w:t>
      </w:r>
      <w:r>
        <w:rPr>
          <w:rFonts w:ascii="Arial"/>
          <w:b/>
          <w:i/>
          <w:color w:val="111111"/>
          <w:spacing w:val="-4"/>
          <w:sz w:val="20"/>
        </w:rPr>
        <w:t> </w:t>
      </w:r>
      <w:r>
        <w:rPr>
          <w:rFonts w:ascii="Arial"/>
          <w:b/>
          <w:i/>
          <w:color w:val="111111"/>
          <w:sz w:val="20"/>
        </w:rPr>
        <w:t>to encourage a positive attitude toward ICT adoption, alongside better maintenance practices and enhanced internet connectivity to foster effective teaching and learning in nursing education.</w:t>
      </w:r>
    </w:p>
    <w:p>
      <w:pPr>
        <w:pStyle w:val="BodyText"/>
        <w:spacing w:before="50"/>
        <w:rPr>
          <w:rFonts w:ascii="Arial"/>
          <w:b/>
          <w:i/>
        </w:rPr>
      </w:pPr>
    </w:p>
    <w:p>
      <w:pPr>
        <w:pStyle w:val="Heading3"/>
      </w:pPr>
      <w:r>
        <w:rPr>
          <w:spacing w:val="-2"/>
        </w:rPr>
        <w:t>Keywords:</w:t>
      </w:r>
    </w:p>
    <w:p>
      <w:pPr>
        <w:pStyle w:val="BodyText"/>
        <w:ind w:left="360" w:right="721"/>
        <w:jc w:val="both"/>
      </w:pPr>
      <w:r>
        <w:rPr/>
        <w:t>Information and Communication Technology (ICT), Post Basic Nursing, ICT Utilization, Nursing</w:t>
      </w:r>
      <w:r>
        <w:rPr>
          <w:spacing w:val="40"/>
        </w:rPr>
        <w:t> </w:t>
      </w:r>
      <w:r>
        <w:rPr>
          <w:spacing w:val="-2"/>
        </w:rPr>
        <w:t>Education.</w:t>
      </w:r>
    </w:p>
    <w:p>
      <w:pPr>
        <w:pStyle w:val="BodyText"/>
        <w:spacing w:before="50"/>
      </w:pPr>
    </w:p>
    <w:p>
      <w:pPr>
        <w:pStyle w:val="Heading3"/>
      </w:pPr>
      <w:bookmarkStart w:name="Introduction " w:id="1"/>
      <w:bookmarkEnd w:id="1"/>
      <w:r>
        <w:rPr>
          <w:b w:val="0"/>
        </w:rPr>
      </w:r>
      <w:r>
        <w:rPr>
          <w:spacing w:val="-2"/>
        </w:rPr>
        <w:t>Introduction</w:t>
      </w:r>
    </w:p>
    <w:p>
      <w:pPr>
        <w:pStyle w:val="BodyText"/>
        <w:rPr>
          <w:rFonts w:ascii="Arial"/>
          <w:b/>
        </w:rPr>
      </w:pPr>
    </w:p>
    <w:p>
      <w:pPr>
        <w:pStyle w:val="BodyText"/>
        <w:spacing w:before="50"/>
        <w:rPr>
          <w:rFonts w:ascii="Arial"/>
          <w:b/>
        </w:rPr>
      </w:pPr>
    </w:p>
    <w:p>
      <w:pPr>
        <w:pStyle w:val="BodyText"/>
        <w:spacing w:line="480" w:lineRule="auto"/>
        <w:ind w:left="360" w:right="719"/>
        <w:jc w:val="both"/>
      </w:pPr>
      <w:r>
        <w:rPr/>
        <w:t>Changes</w:t>
      </w:r>
      <w:r>
        <w:rPr>
          <w:spacing w:val="80"/>
        </w:rPr>
        <w:t> </w:t>
      </w:r>
      <w:r>
        <w:rPr/>
        <w:t>in</w:t>
      </w:r>
      <w:r>
        <w:rPr>
          <w:spacing w:val="80"/>
        </w:rPr>
        <w:t> </w:t>
      </w:r>
      <w:r>
        <w:rPr/>
        <w:t>the</w:t>
      </w:r>
      <w:r>
        <w:rPr>
          <w:spacing w:val="80"/>
        </w:rPr>
        <w:t> </w:t>
      </w:r>
      <w:r>
        <w:rPr/>
        <w:t>global</w:t>
      </w:r>
      <w:r>
        <w:rPr>
          <w:spacing w:val="80"/>
        </w:rPr>
        <w:t> </w:t>
      </w:r>
      <w:r>
        <w:rPr/>
        <w:t>health</w:t>
      </w:r>
      <w:r>
        <w:rPr>
          <w:spacing w:val="80"/>
        </w:rPr>
        <w:t> </w:t>
      </w:r>
      <w:r>
        <w:rPr/>
        <w:t>sector</w:t>
      </w:r>
      <w:r>
        <w:rPr>
          <w:spacing w:val="80"/>
        </w:rPr>
        <w:t> </w:t>
      </w:r>
      <w:r>
        <w:rPr/>
        <w:t>have</w:t>
      </w:r>
      <w:r>
        <w:rPr>
          <w:spacing w:val="80"/>
        </w:rPr>
        <w:t> </w:t>
      </w:r>
      <w:r>
        <w:rPr/>
        <w:t>increasingly</w:t>
      </w:r>
      <w:r>
        <w:rPr>
          <w:spacing w:val="80"/>
        </w:rPr>
        <w:t> </w:t>
      </w:r>
      <w:r>
        <w:rPr/>
        <w:t>emphasized</w:t>
      </w:r>
      <w:r>
        <w:rPr>
          <w:spacing w:val="80"/>
        </w:rPr>
        <w:t> </w:t>
      </w:r>
      <w:r>
        <w:rPr/>
        <w:t>quality</w:t>
      </w:r>
      <w:r>
        <w:rPr>
          <w:spacing w:val="80"/>
        </w:rPr>
        <w:t> </w:t>
      </w:r>
      <w:r>
        <w:rPr/>
        <w:t>data</w:t>
      </w:r>
      <w:r>
        <w:rPr>
          <w:spacing w:val="80"/>
        </w:rPr>
        <w:t> </w:t>
      </w:r>
      <w:r>
        <w:rPr/>
        <w:t>documentation, cost-effective care, and enhanced operational efficiency. These developments are directly tied to advancements in technology, which have redefined both healthcare delivery and education. Specifically, Information and Communication Technology (ICT) has emerged as a transformative tool within both healthcare and educational systems (Junaid et al., 2022; Bocean &amp; Vărzaru, 2025). The rapid development</w:t>
      </w:r>
      <w:r>
        <w:rPr>
          <w:spacing w:val="-3"/>
        </w:rPr>
        <w:t> </w:t>
      </w:r>
      <w:r>
        <w:rPr/>
        <w:t>and</w:t>
      </w:r>
      <w:r>
        <w:rPr>
          <w:spacing w:val="-3"/>
        </w:rPr>
        <w:t> </w:t>
      </w:r>
      <w:r>
        <w:rPr/>
        <w:t>integration</w:t>
      </w:r>
      <w:r>
        <w:rPr>
          <w:spacing w:val="-3"/>
        </w:rPr>
        <w:t> </w:t>
      </w:r>
      <w:r>
        <w:rPr/>
        <w:t>of</w:t>
      </w:r>
      <w:r>
        <w:rPr>
          <w:spacing w:val="-3"/>
        </w:rPr>
        <w:t> </w:t>
      </w:r>
      <w:r>
        <w:rPr/>
        <w:t>ICT</w:t>
      </w:r>
      <w:r>
        <w:rPr>
          <w:spacing w:val="-3"/>
        </w:rPr>
        <w:t> </w:t>
      </w:r>
      <w:r>
        <w:rPr/>
        <w:t>across</w:t>
      </w:r>
      <w:r>
        <w:rPr>
          <w:spacing w:val="-3"/>
        </w:rPr>
        <w:t> </w:t>
      </w:r>
      <w:r>
        <w:rPr/>
        <w:t>various</w:t>
      </w:r>
      <w:r>
        <w:rPr>
          <w:spacing w:val="-3"/>
        </w:rPr>
        <w:t> </w:t>
      </w:r>
      <w:r>
        <w:rPr/>
        <w:t>sectors</w:t>
      </w:r>
      <w:r>
        <w:rPr>
          <w:spacing w:val="-3"/>
        </w:rPr>
        <w:t> </w:t>
      </w:r>
      <w:r>
        <w:rPr/>
        <w:t>have</w:t>
      </w:r>
      <w:r>
        <w:rPr>
          <w:spacing w:val="-3"/>
        </w:rPr>
        <w:t> </w:t>
      </w:r>
      <w:r>
        <w:rPr/>
        <w:t>made</w:t>
      </w:r>
      <w:r>
        <w:rPr>
          <w:spacing w:val="-3"/>
        </w:rPr>
        <w:t> </w:t>
      </w:r>
      <w:r>
        <w:rPr/>
        <w:t>accessing,</w:t>
      </w:r>
      <w:r>
        <w:rPr>
          <w:spacing w:val="-3"/>
        </w:rPr>
        <w:t> </w:t>
      </w:r>
      <w:r>
        <w:rPr/>
        <w:t>generating,</w:t>
      </w:r>
      <w:r>
        <w:rPr>
          <w:spacing w:val="-3"/>
        </w:rPr>
        <w:t> </w:t>
      </w:r>
      <w:r>
        <w:rPr/>
        <w:t>processing, and transmitting information faster and more efficient. This growing reliance on technology has elevated the importance of ICT, particularly in improving communication and information dissemination worldwide (Chohan &amp; Hu, 2022). Consequently, ICT has become indispensable in modern educational environments, especially in nursing institutions, where it supports teaching, learning, and clinical practice.</w:t>
      </w:r>
    </w:p>
    <w:p>
      <w:pPr>
        <w:pStyle w:val="BodyText"/>
        <w:spacing w:after="0" w:line="480" w:lineRule="auto"/>
        <w:jc w:val="both"/>
        <w:sectPr>
          <w:type w:val="continuous"/>
          <w:pgSz w:w="12240" w:h="15840"/>
          <w:pgMar w:top="1360" w:bottom="280" w:left="1080" w:right="720"/>
        </w:sectPr>
      </w:pPr>
    </w:p>
    <w:p>
      <w:pPr>
        <w:pStyle w:val="BodyText"/>
        <w:spacing w:line="480" w:lineRule="auto" w:before="80"/>
        <w:ind w:left="360" w:right="720"/>
        <w:jc w:val="both"/>
      </w:pPr>
      <w:r>
        <w:rPr/>
        <w:drawing>
          <wp:anchor distT="0" distB="0" distL="0" distR="0" allowOverlap="1" layoutInCell="1" locked="0" behindDoc="1" simplePos="0" relativeHeight="486924800">
            <wp:simplePos x="0" y="0"/>
            <wp:positionH relativeFrom="page">
              <wp:posOffset>919162</wp:posOffset>
            </wp:positionH>
            <wp:positionV relativeFrom="paragraph">
              <wp:posOffset>1198562</wp:posOffset>
            </wp:positionV>
            <wp:extent cx="5934075" cy="593407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934075" cy="5934075"/>
                    </a:xfrm>
                    <a:prstGeom prst="rect">
                      <a:avLst/>
                    </a:prstGeom>
                  </pic:spPr>
                </pic:pic>
              </a:graphicData>
            </a:graphic>
          </wp:anchor>
        </w:drawing>
      </w:r>
      <w:r>
        <w:rPr/>
        <w:t>Information and Communication Technology (ICT) refers to a range of technologies that facilitate the processing, transmission, and communication of information. According to Demestichas and Daskalakis (2020), ICT encompasses the study and application of various electronic devices, processes, and systems, including computers, radios, satellite systems, and the internet. Matthew et al. (2022) and Shatokhin et</w:t>
      </w:r>
      <w:r>
        <w:rPr>
          <w:spacing w:val="-2"/>
        </w:rPr>
        <w:t> </w:t>
      </w:r>
      <w:r>
        <w:rPr/>
        <w:t>al.</w:t>
      </w:r>
      <w:r>
        <w:rPr>
          <w:spacing w:val="-2"/>
        </w:rPr>
        <w:t> </w:t>
      </w:r>
      <w:r>
        <w:rPr/>
        <w:t>(2025)</w:t>
      </w:r>
      <w:r>
        <w:rPr>
          <w:spacing w:val="-2"/>
        </w:rPr>
        <w:t> </w:t>
      </w:r>
      <w:r>
        <w:rPr/>
        <w:t>emphasize</w:t>
      </w:r>
      <w:r>
        <w:rPr>
          <w:spacing w:val="-2"/>
        </w:rPr>
        <w:t> </w:t>
      </w:r>
      <w:r>
        <w:rPr/>
        <w:t>that</w:t>
      </w:r>
      <w:r>
        <w:rPr>
          <w:spacing w:val="-2"/>
        </w:rPr>
        <w:t> </w:t>
      </w:r>
      <w:r>
        <w:rPr/>
        <w:t>the</w:t>
      </w:r>
      <w:r>
        <w:rPr>
          <w:spacing w:val="-2"/>
        </w:rPr>
        <w:t> </w:t>
      </w:r>
      <w:r>
        <w:rPr/>
        <w:t>role</w:t>
      </w:r>
      <w:r>
        <w:rPr>
          <w:spacing w:val="-2"/>
        </w:rPr>
        <w:t> </w:t>
      </w:r>
      <w:r>
        <w:rPr/>
        <w:t>of</w:t>
      </w:r>
      <w:r>
        <w:rPr>
          <w:spacing w:val="-2"/>
        </w:rPr>
        <w:t> </w:t>
      </w:r>
      <w:r>
        <w:rPr/>
        <w:t>ICT</w:t>
      </w:r>
      <w:r>
        <w:rPr>
          <w:spacing w:val="-2"/>
        </w:rPr>
        <w:t> </w:t>
      </w:r>
      <w:r>
        <w:rPr/>
        <w:t>in</w:t>
      </w:r>
      <w:r>
        <w:rPr>
          <w:spacing w:val="-2"/>
        </w:rPr>
        <w:t> </w:t>
      </w:r>
      <w:r>
        <w:rPr/>
        <w:t>education</w:t>
      </w:r>
      <w:r>
        <w:rPr>
          <w:spacing w:val="-2"/>
        </w:rPr>
        <w:t> </w:t>
      </w:r>
      <w:r>
        <w:rPr/>
        <w:t>also</w:t>
      </w:r>
      <w:r>
        <w:rPr>
          <w:spacing w:val="-2"/>
        </w:rPr>
        <w:t> </w:t>
      </w:r>
      <w:r>
        <w:rPr/>
        <w:t>includes</w:t>
      </w:r>
      <w:r>
        <w:rPr>
          <w:spacing w:val="-2"/>
        </w:rPr>
        <w:t> </w:t>
      </w:r>
      <w:r>
        <w:rPr/>
        <w:t>multimedia</w:t>
      </w:r>
      <w:r>
        <w:rPr>
          <w:spacing w:val="-2"/>
        </w:rPr>
        <w:t> </w:t>
      </w:r>
      <w:r>
        <w:rPr/>
        <w:t>tools</w:t>
      </w:r>
      <w:r>
        <w:rPr>
          <w:spacing w:val="-2"/>
        </w:rPr>
        <w:t> </w:t>
      </w:r>
      <w:r>
        <w:rPr/>
        <w:t>such</w:t>
      </w:r>
      <w:r>
        <w:rPr>
          <w:spacing w:val="-2"/>
        </w:rPr>
        <w:t> </w:t>
      </w:r>
      <w:r>
        <w:rPr/>
        <w:t>as interactive CDs, telepresence systems,</w:t>
      </w:r>
      <w:r>
        <w:rPr>
          <w:spacing w:val="-4"/>
        </w:rPr>
        <w:t> </w:t>
      </w:r>
      <w:r>
        <w:rPr/>
        <w:t>and</w:t>
      </w:r>
      <w:r>
        <w:rPr>
          <w:spacing w:val="-4"/>
        </w:rPr>
        <w:t> </w:t>
      </w:r>
      <w:r>
        <w:rPr/>
        <w:t>online</w:t>
      </w:r>
      <w:r>
        <w:rPr>
          <w:spacing w:val="-4"/>
        </w:rPr>
        <w:t> </w:t>
      </w:r>
      <w:r>
        <w:rPr/>
        <w:t>learning</w:t>
      </w:r>
      <w:r>
        <w:rPr>
          <w:spacing w:val="-4"/>
        </w:rPr>
        <w:t> </w:t>
      </w:r>
      <w:r>
        <w:rPr/>
        <w:t>platforms,</w:t>
      </w:r>
      <w:r>
        <w:rPr>
          <w:spacing w:val="-4"/>
        </w:rPr>
        <w:t> </w:t>
      </w:r>
      <w:r>
        <w:rPr/>
        <w:t>as</w:t>
      </w:r>
      <w:r>
        <w:rPr>
          <w:spacing w:val="-4"/>
        </w:rPr>
        <w:t> </w:t>
      </w:r>
      <w:r>
        <w:rPr/>
        <w:t>well</w:t>
      </w:r>
      <w:r>
        <w:rPr>
          <w:spacing w:val="-4"/>
        </w:rPr>
        <w:t> </w:t>
      </w:r>
      <w:r>
        <w:rPr/>
        <w:t>as</w:t>
      </w:r>
      <w:r>
        <w:rPr>
          <w:spacing w:val="-4"/>
        </w:rPr>
        <w:t> </w:t>
      </w:r>
      <w:r>
        <w:rPr/>
        <w:t>the</w:t>
      </w:r>
      <w:r>
        <w:rPr>
          <w:spacing w:val="-4"/>
        </w:rPr>
        <w:t> </w:t>
      </w:r>
      <w:r>
        <w:rPr/>
        <w:t>practical</w:t>
      </w:r>
      <w:r>
        <w:rPr>
          <w:spacing w:val="-4"/>
        </w:rPr>
        <w:t> </w:t>
      </w:r>
      <w:r>
        <w:rPr/>
        <w:t>applications of both hardware and software technologies. In essence, ICT tools empower educators and students by enabling more interactive, flexible, and efficient learning environments.</w:t>
      </w:r>
    </w:p>
    <w:p>
      <w:pPr>
        <w:pStyle w:val="BodyText"/>
        <w:spacing w:before="53"/>
      </w:pPr>
    </w:p>
    <w:p>
      <w:pPr>
        <w:pStyle w:val="BodyText"/>
        <w:spacing w:line="480" w:lineRule="auto"/>
        <w:ind w:left="360" w:right="720"/>
        <w:jc w:val="both"/>
      </w:pPr>
      <w:r>
        <w:rPr/>
        <w:t>In the context of nursing education, the use of ICT has steadily increased and is becoming essential to enhancing</w:t>
      </w:r>
      <w:r>
        <w:rPr>
          <w:spacing w:val="12"/>
        </w:rPr>
        <w:t> </w:t>
      </w:r>
      <w:r>
        <w:rPr/>
        <w:t>the</w:t>
      </w:r>
      <w:r>
        <w:rPr>
          <w:spacing w:val="12"/>
        </w:rPr>
        <w:t> </w:t>
      </w:r>
      <w:r>
        <w:rPr/>
        <w:t>quality</w:t>
      </w:r>
      <w:r>
        <w:rPr>
          <w:spacing w:val="12"/>
        </w:rPr>
        <w:t> </w:t>
      </w:r>
      <w:r>
        <w:rPr/>
        <w:t>of</w:t>
      </w:r>
      <w:r>
        <w:rPr>
          <w:spacing w:val="12"/>
        </w:rPr>
        <w:t> </w:t>
      </w:r>
      <w:r>
        <w:rPr/>
        <w:t>instruction</w:t>
      </w:r>
      <w:r>
        <w:rPr>
          <w:spacing w:val="12"/>
        </w:rPr>
        <w:t> </w:t>
      </w:r>
      <w:r>
        <w:rPr/>
        <w:t>delivered</w:t>
      </w:r>
      <w:r>
        <w:rPr>
          <w:spacing w:val="12"/>
        </w:rPr>
        <w:t> </w:t>
      </w:r>
      <w:r>
        <w:rPr/>
        <w:t>to</w:t>
      </w:r>
      <w:r>
        <w:rPr>
          <w:spacing w:val="12"/>
        </w:rPr>
        <w:t> </w:t>
      </w:r>
      <w:r>
        <w:rPr/>
        <w:t>students,</w:t>
      </w:r>
      <w:r>
        <w:rPr>
          <w:spacing w:val="-3"/>
        </w:rPr>
        <w:t> </w:t>
      </w:r>
      <w:r>
        <w:rPr/>
        <w:t>as</w:t>
      </w:r>
      <w:r>
        <w:rPr>
          <w:spacing w:val="-3"/>
        </w:rPr>
        <w:t> </w:t>
      </w:r>
      <w:r>
        <w:rPr/>
        <w:t>noted</w:t>
      </w:r>
      <w:r>
        <w:rPr>
          <w:spacing w:val="-3"/>
        </w:rPr>
        <w:t> </w:t>
      </w:r>
      <w:r>
        <w:rPr/>
        <w:t>by</w:t>
      </w:r>
      <w:r>
        <w:rPr>
          <w:spacing w:val="-3"/>
        </w:rPr>
        <w:t> </w:t>
      </w:r>
      <w:r>
        <w:rPr/>
        <w:t>Hermann</w:t>
      </w:r>
      <w:r>
        <w:rPr>
          <w:spacing w:val="-3"/>
        </w:rPr>
        <w:t> </w:t>
      </w:r>
      <w:r>
        <w:rPr/>
        <w:t>et</w:t>
      </w:r>
      <w:r>
        <w:rPr>
          <w:spacing w:val="-3"/>
        </w:rPr>
        <w:t> </w:t>
      </w:r>
      <w:r>
        <w:rPr/>
        <w:t>al.</w:t>
      </w:r>
      <w:r>
        <w:rPr>
          <w:spacing w:val="-3"/>
        </w:rPr>
        <w:t> </w:t>
      </w:r>
      <w:r>
        <w:rPr/>
        <w:t>(2022).</w:t>
      </w:r>
      <w:r>
        <w:rPr>
          <w:spacing w:val="-3"/>
        </w:rPr>
        <w:t> </w:t>
      </w:r>
      <w:r>
        <w:rPr/>
        <w:t>Nursing,</w:t>
      </w:r>
      <w:r>
        <w:rPr>
          <w:spacing w:val="-3"/>
        </w:rPr>
        <w:t> </w:t>
      </w:r>
      <w:r>
        <w:rPr/>
        <w:t>as a</w:t>
      </w:r>
      <w:r>
        <w:rPr>
          <w:spacing w:val="40"/>
        </w:rPr>
        <w:t> </w:t>
      </w:r>
      <w:r>
        <w:rPr/>
        <w:t>profession,</w:t>
      </w:r>
      <w:r>
        <w:rPr>
          <w:spacing w:val="40"/>
        </w:rPr>
        <w:t> </w:t>
      </w:r>
      <w:r>
        <w:rPr/>
        <w:t>demands</w:t>
      </w:r>
      <w:r>
        <w:rPr>
          <w:spacing w:val="40"/>
        </w:rPr>
        <w:t> </w:t>
      </w:r>
      <w:r>
        <w:rPr/>
        <w:t>precision,</w:t>
      </w:r>
      <w:r>
        <w:rPr>
          <w:spacing w:val="40"/>
        </w:rPr>
        <w:t> </w:t>
      </w:r>
      <w:r>
        <w:rPr/>
        <w:t>up-to-date</w:t>
      </w:r>
      <w:r>
        <w:rPr>
          <w:spacing w:val="40"/>
        </w:rPr>
        <w:t> </w:t>
      </w:r>
      <w:r>
        <w:rPr/>
        <w:t>knowledge,</w:t>
      </w:r>
      <w:r>
        <w:rPr>
          <w:spacing w:val="40"/>
        </w:rPr>
        <w:t> </w:t>
      </w:r>
      <w:r>
        <w:rPr/>
        <w:t>and</w:t>
      </w:r>
      <w:r>
        <w:rPr>
          <w:spacing w:val="40"/>
        </w:rPr>
        <w:t> </w:t>
      </w:r>
      <w:r>
        <w:rPr/>
        <w:t>the</w:t>
      </w:r>
      <w:r>
        <w:rPr>
          <w:spacing w:val="40"/>
        </w:rPr>
        <w:t> </w:t>
      </w:r>
      <w:r>
        <w:rPr/>
        <w:t>ability</w:t>
      </w:r>
      <w:r>
        <w:rPr>
          <w:spacing w:val="40"/>
        </w:rPr>
        <w:t> </w:t>
      </w:r>
      <w:r>
        <w:rPr/>
        <w:t>to</w:t>
      </w:r>
      <w:r>
        <w:rPr>
          <w:spacing w:val="40"/>
        </w:rPr>
        <w:t> </w:t>
      </w:r>
      <w:r>
        <w:rPr/>
        <w:t>apply clinical reasoning in real-time scenarios. ICT supports these requirements by providing nursing students and educators with access to</w:t>
      </w:r>
      <w:r>
        <w:rPr>
          <w:spacing w:val="-3"/>
        </w:rPr>
        <w:t> </w:t>
      </w:r>
      <w:r>
        <w:rPr/>
        <w:t>vast</w:t>
      </w:r>
      <w:r>
        <w:rPr>
          <w:spacing w:val="-3"/>
        </w:rPr>
        <w:t> </w:t>
      </w:r>
      <w:r>
        <w:rPr/>
        <w:t>online</w:t>
      </w:r>
      <w:r>
        <w:rPr>
          <w:spacing w:val="-3"/>
        </w:rPr>
        <w:t> </w:t>
      </w:r>
      <w:r>
        <w:rPr/>
        <w:t>resources</w:t>
      </w:r>
      <w:r>
        <w:rPr>
          <w:spacing w:val="-3"/>
        </w:rPr>
        <w:t> </w:t>
      </w:r>
      <w:r>
        <w:rPr/>
        <w:t>and</w:t>
      </w:r>
      <w:r>
        <w:rPr>
          <w:spacing w:val="-3"/>
        </w:rPr>
        <w:t> </w:t>
      </w:r>
      <w:r>
        <w:rPr/>
        <w:t>technological</w:t>
      </w:r>
      <w:r>
        <w:rPr>
          <w:spacing w:val="-3"/>
        </w:rPr>
        <w:t> </w:t>
      </w:r>
      <w:r>
        <w:rPr/>
        <w:t>tools</w:t>
      </w:r>
      <w:r>
        <w:rPr>
          <w:spacing w:val="-3"/>
        </w:rPr>
        <w:t> </w:t>
      </w:r>
      <w:r>
        <w:rPr/>
        <w:t>that</w:t>
      </w:r>
      <w:r>
        <w:rPr>
          <w:spacing w:val="-3"/>
        </w:rPr>
        <w:t> </w:t>
      </w:r>
      <w:r>
        <w:rPr/>
        <w:t>enhance</w:t>
      </w:r>
      <w:r>
        <w:rPr>
          <w:spacing w:val="-3"/>
        </w:rPr>
        <w:t> </w:t>
      </w:r>
      <w:r>
        <w:rPr/>
        <w:t>both</w:t>
      </w:r>
      <w:r>
        <w:rPr>
          <w:spacing w:val="-3"/>
        </w:rPr>
        <w:t> </w:t>
      </w:r>
      <w:r>
        <w:rPr/>
        <w:t>teaching</w:t>
      </w:r>
      <w:r>
        <w:rPr>
          <w:spacing w:val="-3"/>
        </w:rPr>
        <w:t> </w:t>
      </w:r>
      <w:r>
        <w:rPr/>
        <w:t>and</w:t>
      </w:r>
      <w:r>
        <w:rPr>
          <w:spacing w:val="-3"/>
        </w:rPr>
        <w:t> </w:t>
      </w:r>
      <w:r>
        <w:rPr/>
        <w:t>learning</w:t>
      </w:r>
      <w:r>
        <w:rPr>
          <w:spacing w:val="-3"/>
        </w:rPr>
        <w:t> </w:t>
      </w:r>
      <w:r>
        <w:rPr/>
        <w:t>(Meek</w:t>
      </w:r>
      <w:r>
        <w:rPr>
          <w:spacing w:val="-3"/>
        </w:rPr>
        <w:t> </w:t>
      </w:r>
      <w:r>
        <w:rPr/>
        <w:t>et al., 2021). For instance, ICT facilitates the use of electronic health records, clinical simulations, and telemedicine,</w:t>
      </w:r>
      <w:r>
        <w:rPr>
          <w:spacing w:val="40"/>
        </w:rPr>
        <w:t> </w:t>
      </w:r>
      <w:r>
        <w:rPr/>
        <w:t>all</w:t>
      </w:r>
      <w:r>
        <w:rPr>
          <w:spacing w:val="40"/>
        </w:rPr>
        <w:t> </w:t>
      </w:r>
      <w:r>
        <w:rPr/>
        <w:t>of</w:t>
      </w:r>
      <w:r>
        <w:rPr>
          <w:spacing w:val="40"/>
        </w:rPr>
        <w:t> </w:t>
      </w:r>
      <w:r>
        <w:rPr/>
        <w:t>which</w:t>
      </w:r>
      <w:r>
        <w:rPr>
          <w:spacing w:val="40"/>
        </w:rPr>
        <w:t> </w:t>
      </w:r>
      <w:r>
        <w:rPr/>
        <w:t>have</w:t>
      </w:r>
      <w:r>
        <w:rPr>
          <w:spacing w:val="40"/>
        </w:rPr>
        <w:t> </w:t>
      </w:r>
      <w:r>
        <w:rPr/>
        <w:t>become</w:t>
      </w:r>
      <w:r>
        <w:rPr>
          <w:spacing w:val="40"/>
        </w:rPr>
        <w:t> </w:t>
      </w:r>
      <w:r>
        <w:rPr/>
        <w:t>critical</w:t>
      </w:r>
      <w:r>
        <w:rPr>
          <w:spacing w:val="40"/>
        </w:rPr>
        <w:t> </w:t>
      </w:r>
      <w:r>
        <w:rPr/>
        <w:t>components</w:t>
      </w:r>
      <w:r>
        <w:rPr>
          <w:spacing w:val="40"/>
        </w:rPr>
        <w:t> </w:t>
      </w:r>
      <w:r>
        <w:rPr/>
        <w:t>of</w:t>
      </w:r>
      <w:r>
        <w:rPr>
          <w:spacing w:val="40"/>
        </w:rPr>
        <w:t> </w:t>
      </w:r>
      <w:r>
        <w:rPr/>
        <w:t>contemporary</w:t>
      </w:r>
      <w:r>
        <w:rPr>
          <w:spacing w:val="40"/>
        </w:rPr>
        <w:t> </w:t>
      </w:r>
      <w:r>
        <w:rPr/>
        <w:t>healthcare</w:t>
      </w:r>
      <w:r>
        <w:rPr>
          <w:spacing w:val="40"/>
        </w:rPr>
        <w:t> </w:t>
      </w:r>
      <w:r>
        <w:rPr/>
        <w:t>education. ICT-supported</w:t>
      </w:r>
      <w:r>
        <w:rPr>
          <w:spacing w:val="40"/>
        </w:rPr>
        <w:t> </w:t>
      </w:r>
      <w:r>
        <w:rPr/>
        <w:t>learning</w:t>
      </w:r>
      <w:r>
        <w:rPr>
          <w:spacing w:val="40"/>
        </w:rPr>
        <w:t> </w:t>
      </w:r>
      <w:r>
        <w:rPr/>
        <w:t>promotes the development of key competencies such as critical thinking, problem-solving, and decision-making, which are fundamental to nursing practice.</w:t>
      </w:r>
    </w:p>
    <w:p>
      <w:pPr>
        <w:pStyle w:val="BodyText"/>
        <w:spacing w:before="53"/>
      </w:pPr>
    </w:p>
    <w:p>
      <w:pPr>
        <w:pStyle w:val="BodyText"/>
        <w:spacing w:line="480" w:lineRule="auto"/>
        <w:ind w:left="360" w:right="719"/>
        <w:jc w:val="both"/>
      </w:pPr>
      <w:r>
        <w:rPr/>
        <w:t>Despite</w:t>
      </w:r>
      <w:r>
        <w:rPr>
          <w:spacing w:val="-2"/>
        </w:rPr>
        <w:t> </w:t>
      </w:r>
      <w:r>
        <w:rPr/>
        <w:t>these</w:t>
      </w:r>
      <w:r>
        <w:rPr>
          <w:spacing w:val="-2"/>
        </w:rPr>
        <w:t> </w:t>
      </w:r>
      <w:r>
        <w:rPr/>
        <w:t>recognized</w:t>
      </w:r>
      <w:r>
        <w:rPr>
          <w:spacing w:val="-2"/>
        </w:rPr>
        <w:t> </w:t>
      </w:r>
      <w:r>
        <w:rPr/>
        <w:t>benefits,</w:t>
      </w:r>
      <w:r>
        <w:rPr>
          <w:spacing w:val="-2"/>
        </w:rPr>
        <w:t> </w:t>
      </w:r>
      <w:r>
        <w:rPr/>
        <w:t>significant</w:t>
      </w:r>
      <w:r>
        <w:rPr>
          <w:spacing w:val="-2"/>
        </w:rPr>
        <w:t> </w:t>
      </w:r>
      <w:r>
        <w:rPr/>
        <w:t>gaps</w:t>
      </w:r>
      <w:r>
        <w:rPr>
          <w:spacing w:val="-2"/>
        </w:rPr>
        <w:t> </w:t>
      </w:r>
      <w:r>
        <w:rPr/>
        <w:t>remain</w:t>
      </w:r>
      <w:r>
        <w:rPr>
          <w:spacing w:val="-2"/>
        </w:rPr>
        <w:t> </w:t>
      </w:r>
      <w:r>
        <w:rPr/>
        <w:t>in</w:t>
      </w:r>
      <w:r>
        <w:rPr>
          <w:spacing w:val="-2"/>
        </w:rPr>
        <w:t> </w:t>
      </w:r>
      <w:r>
        <w:rPr/>
        <w:t>the</w:t>
      </w:r>
      <w:r>
        <w:rPr>
          <w:spacing w:val="-2"/>
        </w:rPr>
        <w:t> </w:t>
      </w:r>
      <w:r>
        <w:rPr/>
        <w:t>full</w:t>
      </w:r>
      <w:r>
        <w:rPr>
          <w:spacing w:val="-2"/>
        </w:rPr>
        <w:t> </w:t>
      </w:r>
      <w:r>
        <w:rPr/>
        <w:t>utilization</w:t>
      </w:r>
      <w:r>
        <w:rPr>
          <w:spacing w:val="-2"/>
        </w:rPr>
        <w:t> </w:t>
      </w:r>
      <w:r>
        <w:rPr/>
        <w:t>of</w:t>
      </w:r>
      <w:r>
        <w:rPr>
          <w:spacing w:val="-2"/>
        </w:rPr>
        <w:t> </w:t>
      </w:r>
      <w:r>
        <w:rPr/>
        <w:t>ICT</w:t>
      </w:r>
      <w:r>
        <w:rPr>
          <w:spacing w:val="-2"/>
        </w:rPr>
        <w:t> </w:t>
      </w:r>
      <w:r>
        <w:rPr/>
        <w:t>in</w:t>
      </w:r>
      <w:r>
        <w:rPr>
          <w:spacing w:val="-2"/>
        </w:rPr>
        <w:t> </w:t>
      </w:r>
      <w:r>
        <w:rPr/>
        <w:t>many</w:t>
      </w:r>
      <w:r>
        <w:rPr>
          <w:spacing w:val="-2"/>
        </w:rPr>
        <w:t> </w:t>
      </w:r>
      <w:r>
        <w:rPr/>
        <w:t>educational programs, including post-basic nursing. While some nursing educators have embraced technology and integrated ICT tools into their teaching methods, others remain hesitant, citing challenges such as inadequate resources, limited training, or resistance to adapting to new methods (Singh &amp; Masango, 2020). Moreover, nursing institutions in developing countries such as Nigeria often face infrastructural limitations, including unreliable</w:t>
      </w:r>
      <w:r>
        <w:rPr>
          <w:spacing w:val="-3"/>
        </w:rPr>
        <w:t> </w:t>
      </w:r>
      <w:r>
        <w:rPr/>
        <w:t>internet</w:t>
      </w:r>
      <w:r>
        <w:rPr>
          <w:spacing w:val="-3"/>
        </w:rPr>
        <w:t> </w:t>
      </w:r>
      <w:r>
        <w:rPr/>
        <w:t>access</w:t>
      </w:r>
      <w:r>
        <w:rPr>
          <w:spacing w:val="-3"/>
        </w:rPr>
        <w:t> </w:t>
      </w:r>
      <w:r>
        <w:rPr/>
        <w:t>and</w:t>
      </w:r>
      <w:r>
        <w:rPr>
          <w:spacing w:val="-3"/>
        </w:rPr>
        <w:t> </w:t>
      </w:r>
      <w:r>
        <w:rPr/>
        <w:t>outdated</w:t>
      </w:r>
      <w:r>
        <w:rPr>
          <w:spacing w:val="-3"/>
        </w:rPr>
        <w:t> </w:t>
      </w:r>
      <w:r>
        <w:rPr/>
        <w:t>equipment,</w:t>
      </w:r>
      <w:r>
        <w:rPr>
          <w:spacing w:val="-3"/>
        </w:rPr>
        <w:t> </w:t>
      </w:r>
      <w:r>
        <w:rPr/>
        <w:t>which</w:t>
      </w:r>
      <w:r>
        <w:rPr>
          <w:spacing w:val="-3"/>
        </w:rPr>
        <w:t> </w:t>
      </w:r>
      <w:r>
        <w:rPr/>
        <w:t>further</w:t>
      </w:r>
      <w:r>
        <w:rPr>
          <w:spacing w:val="-3"/>
        </w:rPr>
        <w:t> </w:t>
      </w:r>
      <w:r>
        <w:rPr/>
        <w:t>hinder</w:t>
      </w:r>
      <w:r>
        <w:rPr>
          <w:spacing w:val="-3"/>
        </w:rPr>
        <w:t> </w:t>
      </w:r>
      <w:r>
        <w:rPr/>
        <w:t>the</w:t>
      </w:r>
      <w:r>
        <w:rPr>
          <w:spacing w:val="-3"/>
        </w:rPr>
        <w:t> </w:t>
      </w:r>
      <w:r>
        <w:rPr/>
        <w:t>effective use of ICT in education (Nwamara, 2023).</w:t>
      </w:r>
      <w:r>
        <w:rPr>
          <w:spacing w:val="-3"/>
        </w:rPr>
        <w:t> </w:t>
      </w:r>
      <w:r>
        <w:rPr/>
        <w:t>These</w:t>
      </w:r>
      <w:r>
        <w:rPr>
          <w:spacing w:val="-3"/>
        </w:rPr>
        <w:t> </w:t>
      </w:r>
      <w:r>
        <w:rPr/>
        <w:t>barriers</w:t>
      </w:r>
      <w:r>
        <w:rPr>
          <w:spacing w:val="-3"/>
        </w:rPr>
        <w:t> </w:t>
      </w:r>
      <w:r>
        <w:rPr/>
        <w:t>have</w:t>
      </w:r>
      <w:r>
        <w:rPr>
          <w:spacing w:val="-3"/>
        </w:rPr>
        <w:t> </w:t>
      </w:r>
      <w:r>
        <w:rPr/>
        <w:t>slowed</w:t>
      </w:r>
      <w:r>
        <w:rPr>
          <w:spacing w:val="-3"/>
        </w:rPr>
        <w:t> </w:t>
      </w:r>
      <w:r>
        <w:rPr/>
        <w:t>the</w:t>
      </w:r>
      <w:r>
        <w:rPr>
          <w:spacing w:val="-3"/>
        </w:rPr>
        <w:t> </w:t>
      </w:r>
      <w:r>
        <w:rPr/>
        <w:t>widespread</w:t>
      </w:r>
      <w:r>
        <w:rPr>
          <w:spacing w:val="-3"/>
        </w:rPr>
        <w:t> </w:t>
      </w:r>
      <w:r>
        <w:rPr/>
        <w:t>adoption</w:t>
      </w:r>
      <w:r>
        <w:rPr>
          <w:spacing w:val="-3"/>
        </w:rPr>
        <w:t> </w:t>
      </w:r>
      <w:r>
        <w:rPr/>
        <w:t>of</w:t>
      </w:r>
      <w:r>
        <w:rPr>
          <w:spacing w:val="-3"/>
        </w:rPr>
        <w:t> </w:t>
      </w:r>
      <w:r>
        <w:rPr/>
        <w:t>ICT</w:t>
      </w:r>
      <w:r>
        <w:rPr>
          <w:spacing w:val="-3"/>
        </w:rPr>
        <w:t> </w:t>
      </w:r>
      <w:r>
        <w:rPr/>
        <w:t>in nursing education, highlighting the need for improvements in its integration to enhance student learning and overall program outcomes.</w:t>
      </w:r>
    </w:p>
    <w:p>
      <w:pPr>
        <w:pStyle w:val="BodyText"/>
        <w:spacing w:after="0" w:line="480" w:lineRule="auto"/>
        <w:jc w:val="both"/>
        <w:sectPr>
          <w:pgSz w:w="12240" w:h="15840"/>
          <w:pgMar w:top="1360" w:bottom="280" w:left="1080" w:right="720"/>
        </w:sectPr>
      </w:pPr>
    </w:p>
    <w:p>
      <w:pPr>
        <w:pStyle w:val="BodyText"/>
        <w:spacing w:line="480" w:lineRule="auto" w:before="80"/>
        <w:ind w:left="360" w:right="722"/>
        <w:jc w:val="both"/>
      </w:pPr>
      <w:r>
        <w:rPr/>
        <w:drawing>
          <wp:anchor distT="0" distB="0" distL="0" distR="0" allowOverlap="1" layoutInCell="1" locked="0" behindDoc="1" simplePos="0" relativeHeight="486925312">
            <wp:simplePos x="0" y="0"/>
            <wp:positionH relativeFrom="page">
              <wp:posOffset>919162</wp:posOffset>
            </wp:positionH>
            <wp:positionV relativeFrom="paragraph">
              <wp:posOffset>1198562</wp:posOffset>
            </wp:positionV>
            <wp:extent cx="5934075" cy="593407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5934075" cy="5934075"/>
                    </a:xfrm>
                    <a:prstGeom prst="rect">
                      <a:avLst/>
                    </a:prstGeom>
                  </pic:spPr>
                </pic:pic>
              </a:graphicData>
            </a:graphic>
          </wp:anchor>
        </w:drawing>
      </w:r>
      <w:r>
        <w:rPr/>
        <w:t>The Nigerian National Policy on Education acknowledges the critical role of ICT in transforming the educational landscape and emphasizes</w:t>
      </w:r>
      <w:r>
        <w:rPr>
          <w:spacing w:val="-3"/>
        </w:rPr>
        <w:t> </w:t>
      </w:r>
      <w:r>
        <w:rPr/>
        <w:t>its</w:t>
      </w:r>
      <w:r>
        <w:rPr>
          <w:spacing w:val="-3"/>
        </w:rPr>
        <w:t> </w:t>
      </w:r>
      <w:r>
        <w:rPr/>
        <w:t>integration</w:t>
      </w:r>
      <w:r>
        <w:rPr>
          <w:spacing w:val="-3"/>
        </w:rPr>
        <w:t> </w:t>
      </w:r>
      <w:r>
        <w:rPr/>
        <w:t>at</w:t>
      </w:r>
      <w:r>
        <w:rPr>
          <w:spacing w:val="-3"/>
        </w:rPr>
        <w:t> </w:t>
      </w:r>
      <w:r>
        <w:rPr/>
        <w:t>all</w:t>
      </w:r>
      <w:r>
        <w:rPr>
          <w:spacing w:val="-3"/>
        </w:rPr>
        <w:t> </w:t>
      </w:r>
      <w:r>
        <w:rPr/>
        <w:t>levels</w:t>
      </w:r>
      <w:r>
        <w:rPr>
          <w:spacing w:val="-3"/>
        </w:rPr>
        <w:t> </w:t>
      </w:r>
      <w:r>
        <w:rPr/>
        <w:t>of</w:t>
      </w:r>
      <w:r>
        <w:rPr>
          <w:spacing w:val="-3"/>
        </w:rPr>
        <w:t> </w:t>
      </w:r>
      <w:r>
        <w:rPr/>
        <w:t>education.</w:t>
      </w:r>
      <w:r>
        <w:rPr>
          <w:spacing w:val="-3"/>
        </w:rPr>
        <w:t> </w:t>
      </w:r>
      <w:r>
        <w:rPr/>
        <w:t>This</w:t>
      </w:r>
      <w:r>
        <w:rPr>
          <w:spacing w:val="-3"/>
        </w:rPr>
        <w:t> </w:t>
      </w:r>
      <w:r>
        <w:rPr/>
        <w:t>policy</w:t>
      </w:r>
      <w:r>
        <w:rPr>
          <w:spacing w:val="-3"/>
        </w:rPr>
        <w:t> </w:t>
      </w:r>
      <w:r>
        <w:rPr/>
        <w:t>underlines</w:t>
      </w:r>
      <w:r>
        <w:rPr>
          <w:spacing w:val="-3"/>
        </w:rPr>
        <w:t> </w:t>
      </w:r>
      <w:r>
        <w:rPr/>
        <w:t>the importance of progressing beyond basic computer literacy toward comprehensive ICT integration, particularly in fields like nursing, where high-quality education</w:t>
      </w:r>
      <w:r>
        <w:rPr>
          <w:spacing w:val="-3"/>
        </w:rPr>
        <w:t> </w:t>
      </w:r>
      <w:r>
        <w:rPr/>
        <w:t>and</w:t>
      </w:r>
      <w:r>
        <w:rPr>
          <w:spacing w:val="-3"/>
        </w:rPr>
        <w:t> </w:t>
      </w:r>
      <w:r>
        <w:rPr/>
        <w:t>practical</w:t>
      </w:r>
      <w:r>
        <w:rPr>
          <w:spacing w:val="-3"/>
        </w:rPr>
        <w:t> </w:t>
      </w:r>
      <w:r>
        <w:rPr/>
        <w:t>training</w:t>
      </w:r>
      <w:r>
        <w:rPr>
          <w:spacing w:val="-3"/>
        </w:rPr>
        <w:t> </w:t>
      </w:r>
      <w:r>
        <w:rPr/>
        <w:t>are</w:t>
      </w:r>
      <w:r>
        <w:rPr>
          <w:spacing w:val="-3"/>
        </w:rPr>
        <w:t> </w:t>
      </w:r>
      <w:r>
        <w:rPr/>
        <w:t>increasingly</w:t>
      </w:r>
      <w:r>
        <w:rPr>
          <w:spacing w:val="-3"/>
        </w:rPr>
        <w:t> </w:t>
      </w:r>
      <w:r>
        <w:rPr/>
        <w:t>vital. Effective ICT use in nursing education could bridge the gap</w:t>
      </w:r>
      <w:r>
        <w:rPr>
          <w:spacing w:val="-3"/>
        </w:rPr>
        <w:t> </w:t>
      </w:r>
      <w:r>
        <w:rPr/>
        <w:t>between</w:t>
      </w:r>
      <w:r>
        <w:rPr>
          <w:spacing w:val="-3"/>
        </w:rPr>
        <w:t> </w:t>
      </w:r>
      <w:r>
        <w:rPr/>
        <w:t>theoretical</w:t>
      </w:r>
      <w:r>
        <w:rPr>
          <w:spacing w:val="-3"/>
        </w:rPr>
        <w:t> </w:t>
      </w:r>
      <w:r>
        <w:rPr/>
        <w:t>knowledge</w:t>
      </w:r>
      <w:r>
        <w:rPr>
          <w:spacing w:val="-3"/>
        </w:rPr>
        <w:t> </w:t>
      </w:r>
      <w:r>
        <w:rPr/>
        <w:t>and</w:t>
      </w:r>
      <w:r>
        <w:rPr>
          <w:spacing w:val="-3"/>
        </w:rPr>
        <w:t> </w:t>
      </w:r>
      <w:r>
        <w:rPr/>
        <w:t>practical application, better preparing students to meet the demands of modern healthcare systems (Nwamara, </w:t>
      </w:r>
      <w:r>
        <w:rPr>
          <w:spacing w:val="-2"/>
        </w:rPr>
        <w:t>2023).</w:t>
      </w:r>
    </w:p>
    <w:p>
      <w:pPr>
        <w:pStyle w:val="BodyText"/>
        <w:spacing w:before="53"/>
      </w:pPr>
    </w:p>
    <w:p>
      <w:pPr>
        <w:pStyle w:val="BodyText"/>
        <w:spacing w:line="480" w:lineRule="auto"/>
        <w:ind w:left="360" w:right="722"/>
        <w:jc w:val="both"/>
      </w:pPr>
      <w:r>
        <w:rPr/>
        <w:t>With the integration of ICT, the modern classroom has become increasingly learner-centered. Students now utilize digital tools such as smartphones, tablets, personal computers, and online</w:t>
      </w:r>
      <w:r>
        <w:rPr>
          <w:spacing w:val="-3"/>
        </w:rPr>
        <w:t> </w:t>
      </w:r>
      <w:r>
        <w:rPr/>
        <w:t>learning</w:t>
      </w:r>
      <w:r>
        <w:rPr>
          <w:spacing w:val="-3"/>
        </w:rPr>
        <w:t> </w:t>
      </w:r>
      <w:r>
        <w:rPr/>
        <w:t>platforms to independently access information and engage in</w:t>
      </w:r>
      <w:r>
        <w:rPr>
          <w:spacing w:val="-3"/>
        </w:rPr>
        <w:t> </w:t>
      </w:r>
      <w:r>
        <w:rPr/>
        <w:t>self-directed</w:t>
      </w:r>
      <w:r>
        <w:rPr>
          <w:spacing w:val="-3"/>
        </w:rPr>
        <w:t> </w:t>
      </w:r>
      <w:r>
        <w:rPr/>
        <w:t>learning</w:t>
      </w:r>
      <w:r>
        <w:rPr>
          <w:spacing w:val="-3"/>
        </w:rPr>
        <w:t> </w:t>
      </w:r>
      <w:r>
        <w:rPr/>
        <w:t>(Haleem</w:t>
      </w:r>
      <w:r>
        <w:rPr>
          <w:spacing w:val="-3"/>
        </w:rPr>
        <w:t> </w:t>
      </w:r>
      <w:r>
        <w:rPr/>
        <w:t>et</w:t>
      </w:r>
      <w:r>
        <w:rPr>
          <w:spacing w:val="-3"/>
        </w:rPr>
        <w:t> </w:t>
      </w:r>
      <w:r>
        <w:rPr/>
        <w:t>al.,</w:t>
      </w:r>
      <w:r>
        <w:rPr>
          <w:spacing w:val="-3"/>
        </w:rPr>
        <w:t> </w:t>
      </w:r>
      <w:r>
        <w:rPr/>
        <w:t>2022).</w:t>
      </w:r>
      <w:r>
        <w:rPr>
          <w:spacing w:val="-3"/>
        </w:rPr>
        <w:t> </w:t>
      </w:r>
      <w:r>
        <w:rPr/>
        <w:t>This</w:t>
      </w:r>
      <w:r>
        <w:rPr>
          <w:spacing w:val="-3"/>
        </w:rPr>
        <w:t> </w:t>
      </w:r>
      <w:r>
        <w:rPr/>
        <w:t>shift has transformed the educator’s role from that of a traditional instructor to a</w:t>
      </w:r>
      <w:r>
        <w:rPr>
          <w:spacing w:val="-2"/>
        </w:rPr>
        <w:t> </w:t>
      </w:r>
      <w:r>
        <w:rPr/>
        <w:t>facilitator</w:t>
      </w:r>
      <w:r>
        <w:rPr>
          <w:spacing w:val="-2"/>
        </w:rPr>
        <w:t> </w:t>
      </w:r>
      <w:r>
        <w:rPr/>
        <w:t>of</w:t>
      </w:r>
      <w:r>
        <w:rPr>
          <w:spacing w:val="-2"/>
        </w:rPr>
        <w:t> </w:t>
      </w:r>
      <w:r>
        <w:rPr/>
        <w:t>learning,</w:t>
      </w:r>
      <w:r>
        <w:rPr>
          <w:spacing w:val="-2"/>
        </w:rPr>
        <w:t> </w:t>
      </w:r>
      <w:r>
        <w:rPr/>
        <w:t>guiding students in the effective use of ICT for exploration, collaboration, and the creative application of knowledge</w:t>
      </w:r>
      <w:r>
        <w:rPr>
          <w:spacing w:val="-3"/>
        </w:rPr>
        <w:t> </w:t>
      </w:r>
      <w:r>
        <w:rPr/>
        <w:t>(Timotheou</w:t>
      </w:r>
      <w:r>
        <w:rPr>
          <w:spacing w:val="-3"/>
        </w:rPr>
        <w:t> </w:t>
      </w:r>
      <w:r>
        <w:rPr/>
        <w:t>et</w:t>
      </w:r>
      <w:r>
        <w:rPr>
          <w:spacing w:val="-3"/>
        </w:rPr>
        <w:t> </w:t>
      </w:r>
      <w:r>
        <w:rPr/>
        <w:t>al.,</w:t>
      </w:r>
      <w:r>
        <w:rPr>
          <w:spacing w:val="-3"/>
        </w:rPr>
        <w:t> </w:t>
      </w:r>
      <w:r>
        <w:rPr/>
        <w:t>2022).</w:t>
      </w:r>
      <w:r>
        <w:rPr>
          <w:spacing w:val="-3"/>
        </w:rPr>
        <w:t> </w:t>
      </w:r>
      <w:r>
        <w:rPr/>
        <w:t>In</w:t>
      </w:r>
      <w:r>
        <w:rPr>
          <w:spacing w:val="-3"/>
        </w:rPr>
        <w:t> </w:t>
      </w:r>
      <w:r>
        <w:rPr/>
        <w:t>the</w:t>
      </w:r>
      <w:r>
        <w:rPr>
          <w:spacing w:val="-3"/>
        </w:rPr>
        <w:t> </w:t>
      </w:r>
      <w:r>
        <w:rPr/>
        <w:t>nursing</w:t>
      </w:r>
      <w:r>
        <w:rPr>
          <w:spacing w:val="-3"/>
        </w:rPr>
        <w:t> </w:t>
      </w:r>
      <w:r>
        <w:rPr/>
        <w:t>classroom,</w:t>
      </w:r>
      <w:r>
        <w:rPr>
          <w:spacing w:val="-3"/>
        </w:rPr>
        <w:t> </w:t>
      </w:r>
      <w:r>
        <w:rPr/>
        <w:t>ICT</w:t>
      </w:r>
      <w:r>
        <w:rPr>
          <w:spacing w:val="-3"/>
        </w:rPr>
        <w:t> </w:t>
      </w:r>
      <w:r>
        <w:rPr/>
        <w:t>tools</w:t>
      </w:r>
      <w:r>
        <w:rPr>
          <w:spacing w:val="-3"/>
        </w:rPr>
        <w:t> </w:t>
      </w:r>
      <w:r>
        <w:rPr/>
        <w:t>such</w:t>
      </w:r>
      <w:r>
        <w:rPr>
          <w:spacing w:val="-3"/>
        </w:rPr>
        <w:t> </w:t>
      </w:r>
      <w:r>
        <w:rPr/>
        <w:t>as</w:t>
      </w:r>
      <w:r>
        <w:rPr>
          <w:spacing w:val="-3"/>
        </w:rPr>
        <w:t> </w:t>
      </w:r>
      <w:r>
        <w:rPr/>
        <w:t>online</w:t>
      </w:r>
      <w:r>
        <w:rPr>
          <w:spacing w:val="-3"/>
        </w:rPr>
        <w:t> </w:t>
      </w:r>
      <w:r>
        <w:rPr/>
        <w:t>clinical</w:t>
      </w:r>
      <w:r>
        <w:rPr>
          <w:spacing w:val="-3"/>
        </w:rPr>
        <w:t> </w:t>
      </w:r>
      <w:r>
        <w:rPr/>
        <w:t>databases, electronic health records, and simulation software have enriched the learning environment by allowing students to practice clinical scenarios in a safe, controlled setting.</w:t>
      </w:r>
    </w:p>
    <w:p>
      <w:pPr>
        <w:pStyle w:val="BodyText"/>
        <w:spacing w:before="53"/>
      </w:pPr>
    </w:p>
    <w:p>
      <w:pPr>
        <w:pStyle w:val="BodyText"/>
        <w:spacing w:line="480" w:lineRule="auto"/>
        <w:ind w:left="360" w:right="721"/>
        <w:jc w:val="both"/>
      </w:pPr>
      <w:r>
        <w:rPr/>
        <w:t>Nevertheless, challenges remain in ensuring that</w:t>
      </w:r>
      <w:r>
        <w:rPr>
          <w:spacing w:val="-3"/>
        </w:rPr>
        <w:t> </w:t>
      </w:r>
      <w:r>
        <w:rPr/>
        <w:t>all</w:t>
      </w:r>
      <w:r>
        <w:rPr>
          <w:spacing w:val="-3"/>
        </w:rPr>
        <w:t> </w:t>
      </w:r>
      <w:r>
        <w:rPr/>
        <w:t>educators</w:t>
      </w:r>
      <w:r>
        <w:rPr>
          <w:spacing w:val="-3"/>
        </w:rPr>
        <w:t> </w:t>
      </w:r>
      <w:r>
        <w:rPr/>
        <w:t>and</w:t>
      </w:r>
      <w:r>
        <w:rPr>
          <w:spacing w:val="-3"/>
        </w:rPr>
        <w:t> </w:t>
      </w:r>
      <w:r>
        <w:rPr/>
        <w:t>students</w:t>
      </w:r>
      <w:r>
        <w:rPr>
          <w:spacing w:val="-3"/>
        </w:rPr>
        <w:t> </w:t>
      </w:r>
      <w:r>
        <w:rPr/>
        <w:t>are</w:t>
      </w:r>
      <w:r>
        <w:rPr>
          <w:spacing w:val="-3"/>
        </w:rPr>
        <w:t> </w:t>
      </w:r>
      <w:r>
        <w:rPr/>
        <w:t>able</w:t>
      </w:r>
      <w:r>
        <w:rPr>
          <w:spacing w:val="-3"/>
        </w:rPr>
        <w:t> </w:t>
      </w:r>
      <w:r>
        <w:rPr/>
        <w:t>to</w:t>
      </w:r>
      <w:r>
        <w:rPr>
          <w:spacing w:val="-3"/>
        </w:rPr>
        <w:t> </w:t>
      </w:r>
      <w:r>
        <w:rPr/>
        <w:t>fully</w:t>
      </w:r>
      <w:r>
        <w:rPr>
          <w:spacing w:val="-3"/>
        </w:rPr>
        <w:t> </w:t>
      </w:r>
      <w:r>
        <w:rPr/>
        <w:t>leverage</w:t>
      </w:r>
      <w:r>
        <w:rPr>
          <w:spacing w:val="-3"/>
        </w:rPr>
        <w:t> </w:t>
      </w:r>
      <w:r>
        <w:rPr/>
        <w:t>the benefits of ICT (Haleem et al., 2022). Nursing educators</w:t>
      </w:r>
      <w:r>
        <w:rPr>
          <w:spacing w:val="-4"/>
        </w:rPr>
        <w:t> </w:t>
      </w:r>
      <w:r>
        <w:rPr/>
        <w:t>appear</w:t>
      </w:r>
      <w:r>
        <w:rPr>
          <w:spacing w:val="-4"/>
        </w:rPr>
        <w:t> </w:t>
      </w:r>
      <w:r>
        <w:rPr/>
        <w:t>divided</w:t>
      </w:r>
      <w:r>
        <w:rPr>
          <w:spacing w:val="-4"/>
        </w:rPr>
        <w:t> </w:t>
      </w:r>
      <w:r>
        <w:rPr/>
        <w:t>in</w:t>
      </w:r>
      <w:r>
        <w:rPr>
          <w:spacing w:val="-4"/>
        </w:rPr>
        <w:t> </w:t>
      </w:r>
      <w:r>
        <w:rPr/>
        <w:t>their</w:t>
      </w:r>
      <w:r>
        <w:rPr>
          <w:spacing w:val="-4"/>
        </w:rPr>
        <w:t> </w:t>
      </w:r>
      <w:r>
        <w:rPr/>
        <w:t>acceptance</w:t>
      </w:r>
      <w:r>
        <w:rPr>
          <w:spacing w:val="-4"/>
        </w:rPr>
        <w:t> </w:t>
      </w:r>
      <w:r>
        <w:rPr/>
        <w:t>of</w:t>
      </w:r>
      <w:r>
        <w:rPr>
          <w:spacing w:val="-4"/>
        </w:rPr>
        <w:t> </w:t>
      </w:r>
      <w:r>
        <w:rPr/>
        <w:t>ICT,</w:t>
      </w:r>
      <w:r>
        <w:rPr>
          <w:spacing w:val="-4"/>
        </w:rPr>
        <w:t> </w:t>
      </w:r>
      <w:r>
        <w:rPr/>
        <w:t>some embracing it enthusiastically, while others adopt a more cautious approach (Walter, 2024). This inconsistency contributes to variations in the quality of nursing education delivered. Given ICT’s critical role in preparing nurses for the complexities of contemporary healthcare, it is essential to</w:t>
      </w:r>
      <w:r>
        <w:rPr>
          <w:spacing w:val="-3"/>
        </w:rPr>
        <w:t> </w:t>
      </w:r>
      <w:r>
        <w:rPr/>
        <w:t>address</w:t>
      </w:r>
      <w:r>
        <w:rPr>
          <w:spacing w:val="-3"/>
        </w:rPr>
        <w:t> </w:t>
      </w:r>
      <w:r>
        <w:rPr/>
        <w:t>these challenges and explore ways to better integrate ICT into nursing curricula.</w:t>
      </w:r>
    </w:p>
    <w:p>
      <w:pPr>
        <w:pStyle w:val="BodyText"/>
        <w:spacing w:before="53"/>
      </w:pPr>
    </w:p>
    <w:p>
      <w:pPr>
        <w:pStyle w:val="BodyText"/>
        <w:spacing w:line="480" w:lineRule="auto"/>
        <w:ind w:left="360" w:right="721"/>
        <w:jc w:val="both"/>
      </w:pPr>
      <w:r>
        <w:rPr/>
        <w:t>Several studies have highlighted the transformative potential of ICT to revolutionize education, enhance instructional quality, improve school management, and support professional development. Motsaanaka, Makhene, and Ndawo (2024) argue that ICT is an essential tool for promoting educational equity, addressing diverse learning needs, and fostering student self-confidence and independence. In nursing education</w:t>
      </w:r>
      <w:r>
        <w:rPr>
          <w:spacing w:val="80"/>
        </w:rPr>
        <w:t> </w:t>
      </w:r>
      <w:r>
        <w:rPr/>
        <w:t>specifically,</w:t>
      </w:r>
      <w:r>
        <w:rPr>
          <w:spacing w:val="80"/>
        </w:rPr>
        <w:t> </w:t>
      </w:r>
      <w:r>
        <w:rPr/>
        <w:t>ICT</w:t>
      </w:r>
      <w:r>
        <w:rPr>
          <w:spacing w:val="80"/>
        </w:rPr>
        <w:t> </w:t>
      </w:r>
      <w:r>
        <w:rPr/>
        <w:t>enables</w:t>
      </w:r>
      <w:r>
        <w:rPr>
          <w:spacing w:val="80"/>
        </w:rPr>
        <w:t> </w:t>
      </w:r>
      <w:r>
        <w:rPr/>
        <w:t>students</w:t>
      </w:r>
      <w:r>
        <w:rPr>
          <w:spacing w:val="80"/>
        </w:rPr>
        <w:t> </w:t>
      </w:r>
      <w:r>
        <w:rPr/>
        <w:t>to</w:t>
      </w:r>
      <w:r>
        <w:rPr>
          <w:spacing w:val="80"/>
        </w:rPr>
        <w:t> </w:t>
      </w:r>
      <w:r>
        <w:rPr/>
        <w:t>access</w:t>
      </w:r>
      <w:r>
        <w:rPr>
          <w:spacing w:val="80"/>
        </w:rPr>
        <w:t> </w:t>
      </w:r>
      <w:r>
        <w:rPr/>
        <w:t>high-quality</w:t>
      </w:r>
      <w:r>
        <w:rPr>
          <w:spacing w:val="80"/>
        </w:rPr>
        <w:t> </w:t>
      </w:r>
      <w:r>
        <w:rPr/>
        <w:t>resources,</w:t>
      </w:r>
      <w:r>
        <w:rPr>
          <w:spacing w:val="80"/>
        </w:rPr>
        <w:t> </w:t>
      </w:r>
      <w:r>
        <w:rPr/>
        <w:t>engage</w:t>
      </w:r>
      <w:r>
        <w:rPr>
          <w:spacing w:val="80"/>
        </w:rPr>
        <w:t> </w:t>
      </w:r>
      <w:r>
        <w:rPr/>
        <w:t>in</w:t>
      </w:r>
      <w:r>
        <w:rPr>
          <w:spacing w:val="80"/>
        </w:rPr>
        <w:t> </w:t>
      </w:r>
      <w:r>
        <w:rPr/>
        <w:t>virtual</w:t>
      </w:r>
    </w:p>
    <w:p>
      <w:pPr>
        <w:pStyle w:val="BodyText"/>
        <w:spacing w:after="0" w:line="480" w:lineRule="auto"/>
        <w:jc w:val="both"/>
        <w:sectPr>
          <w:pgSz w:w="12240" w:h="15840"/>
          <w:pgMar w:top="1360" w:bottom="280" w:left="1080" w:right="720"/>
        </w:sectPr>
      </w:pPr>
    </w:p>
    <w:p>
      <w:pPr>
        <w:pStyle w:val="BodyText"/>
        <w:spacing w:line="480" w:lineRule="auto" w:before="80"/>
        <w:ind w:left="360" w:right="718"/>
        <w:jc w:val="both"/>
      </w:pPr>
      <w:r>
        <w:rPr/>
        <w:drawing>
          <wp:anchor distT="0" distB="0" distL="0" distR="0" allowOverlap="1" layoutInCell="1" locked="0" behindDoc="1" simplePos="0" relativeHeight="486925824">
            <wp:simplePos x="0" y="0"/>
            <wp:positionH relativeFrom="page">
              <wp:posOffset>919162</wp:posOffset>
            </wp:positionH>
            <wp:positionV relativeFrom="paragraph">
              <wp:posOffset>1198562</wp:posOffset>
            </wp:positionV>
            <wp:extent cx="5934075" cy="593407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5934075" cy="5934075"/>
                    </a:xfrm>
                    <a:prstGeom prst="rect">
                      <a:avLst/>
                    </a:prstGeom>
                  </pic:spPr>
                </pic:pic>
              </a:graphicData>
            </a:graphic>
          </wp:anchor>
        </w:drawing>
      </w:r>
      <w:r>
        <w:rPr/>
        <w:t>simulations, and collaborate with peers and instructors in innovative ways. Alves et al. (2020)</w:t>
      </w:r>
      <w:r>
        <w:rPr>
          <w:spacing w:val="-2"/>
        </w:rPr>
        <w:t> </w:t>
      </w:r>
      <w:r>
        <w:rPr/>
        <w:t>found</w:t>
      </w:r>
      <w:r>
        <w:rPr>
          <w:spacing w:val="-2"/>
        </w:rPr>
        <w:t> </w:t>
      </w:r>
      <w:r>
        <w:rPr/>
        <w:t>that ICT significantly enhances nursing students’ learning experiences. Similarly, Nwozichi et al. (2019), in their study on ICT integration in nursing education in Southeast Asia, observed that despite growing interest, ICT adoption has received limited attention. Button et al. (2014) identified key themes in their exploration of e-learning in nursing education, including student-related issues, technological</w:t>
      </w:r>
      <w:r>
        <w:rPr>
          <w:spacing w:val="-4"/>
        </w:rPr>
        <w:t> </w:t>
      </w:r>
      <w:r>
        <w:rPr/>
        <w:t>usage,</w:t>
      </w:r>
      <w:r>
        <w:rPr>
          <w:spacing w:val="-4"/>
        </w:rPr>
        <w:t> </w:t>
      </w:r>
      <w:r>
        <w:rPr/>
        <w:t>and educator challenges such as pedagogy, workload,</w:t>
      </w:r>
      <w:r>
        <w:rPr>
          <w:spacing w:val="-4"/>
        </w:rPr>
        <w:t> </w:t>
      </w:r>
      <w:r>
        <w:rPr/>
        <w:t>and</w:t>
      </w:r>
      <w:r>
        <w:rPr>
          <w:spacing w:val="-4"/>
        </w:rPr>
        <w:t> </w:t>
      </w:r>
      <w:r>
        <w:rPr/>
        <w:t>staff</w:t>
      </w:r>
      <w:r>
        <w:rPr>
          <w:spacing w:val="-4"/>
        </w:rPr>
        <w:t> </w:t>
      </w:r>
      <w:r>
        <w:rPr/>
        <w:t>development.</w:t>
      </w:r>
      <w:r>
        <w:rPr>
          <w:spacing w:val="-4"/>
        </w:rPr>
        <w:t> </w:t>
      </w:r>
      <w:r>
        <w:rPr/>
        <w:t>Webb</w:t>
      </w:r>
      <w:r>
        <w:rPr>
          <w:spacing w:val="-4"/>
        </w:rPr>
        <w:t> </w:t>
      </w:r>
      <w:r>
        <w:rPr/>
        <w:t>et</w:t>
      </w:r>
      <w:r>
        <w:rPr>
          <w:spacing w:val="-4"/>
        </w:rPr>
        <w:t> </w:t>
      </w:r>
      <w:r>
        <w:rPr/>
        <w:t>al.</w:t>
      </w:r>
      <w:r>
        <w:rPr>
          <w:spacing w:val="-4"/>
        </w:rPr>
        <w:t> </w:t>
      </w:r>
      <w:r>
        <w:rPr/>
        <w:t>(2017)</w:t>
      </w:r>
      <w:r>
        <w:rPr>
          <w:spacing w:val="-4"/>
        </w:rPr>
        <w:t> </w:t>
      </w:r>
      <w:r>
        <w:rPr/>
        <w:t>and</w:t>
      </w:r>
      <w:r>
        <w:rPr>
          <w:spacing w:val="-4"/>
        </w:rPr>
        <w:t> </w:t>
      </w:r>
      <w:r>
        <w:rPr/>
        <w:t>Gause, Mokgaola, and Rakhudu (2022) found that ICT-based</w:t>
      </w:r>
      <w:r>
        <w:rPr>
          <w:spacing w:val="-4"/>
        </w:rPr>
        <w:t> </w:t>
      </w:r>
      <w:r>
        <w:rPr/>
        <w:t>education</w:t>
      </w:r>
      <w:r>
        <w:rPr>
          <w:spacing w:val="-4"/>
        </w:rPr>
        <w:t> </w:t>
      </w:r>
      <w:r>
        <w:rPr/>
        <w:t>is</w:t>
      </w:r>
      <w:r>
        <w:rPr>
          <w:spacing w:val="-4"/>
        </w:rPr>
        <w:t> </w:t>
      </w:r>
      <w:r>
        <w:rPr/>
        <w:t>non-inferior</w:t>
      </w:r>
      <w:r>
        <w:rPr>
          <w:spacing w:val="-4"/>
        </w:rPr>
        <w:t> </w:t>
      </w:r>
      <w:r>
        <w:rPr/>
        <w:t>to</w:t>
      </w:r>
      <w:r>
        <w:rPr>
          <w:spacing w:val="-4"/>
        </w:rPr>
        <w:t> </w:t>
      </w:r>
      <w:r>
        <w:rPr/>
        <w:t>traditional</w:t>
      </w:r>
      <w:r>
        <w:rPr>
          <w:spacing w:val="-4"/>
        </w:rPr>
        <w:t> </w:t>
      </w:r>
      <w:r>
        <w:rPr/>
        <w:t>methods</w:t>
      </w:r>
      <w:r>
        <w:rPr>
          <w:spacing w:val="-4"/>
        </w:rPr>
        <w:t> </w:t>
      </w:r>
      <w:r>
        <w:rPr/>
        <w:t>and may offer advantages in teaching and learning efficiency, particularly when</w:t>
      </w:r>
      <w:r>
        <w:rPr>
          <w:spacing w:val="-5"/>
        </w:rPr>
        <w:t> </w:t>
      </w:r>
      <w:r>
        <w:rPr/>
        <w:t>sufficient</w:t>
      </w:r>
      <w:r>
        <w:rPr>
          <w:spacing w:val="-5"/>
        </w:rPr>
        <w:t> </w:t>
      </w:r>
      <w:r>
        <w:rPr/>
        <w:t>support</w:t>
      </w:r>
      <w:r>
        <w:rPr>
          <w:spacing w:val="-5"/>
        </w:rPr>
        <w:t> </w:t>
      </w:r>
      <w:r>
        <w:rPr/>
        <w:t>is</w:t>
      </w:r>
      <w:r>
        <w:rPr>
          <w:spacing w:val="-5"/>
        </w:rPr>
        <w:t> </w:t>
      </w:r>
      <w:r>
        <w:rPr/>
        <w:t>provided. Bester et</w:t>
      </w:r>
      <w:r>
        <w:rPr>
          <w:spacing w:val="-3"/>
        </w:rPr>
        <w:t> </w:t>
      </w:r>
      <w:r>
        <w:rPr/>
        <w:t>al.</w:t>
      </w:r>
      <w:r>
        <w:rPr>
          <w:spacing w:val="-3"/>
        </w:rPr>
        <w:t> </w:t>
      </w:r>
      <w:r>
        <w:rPr/>
        <w:t>(2021),</w:t>
      </w:r>
      <w:r>
        <w:rPr>
          <w:spacing w:val="-3"/>
        </w:rPr>
        <w:t> </w:t>
      </w:r>
      <w:r>
        <w:rPr/>
        <w:t>in</w:t>
      </w:r>
      <w:r>
        <w:rPr>
          <w:spacing w:val="-3"/>
        </w:rPr>
        <w:t> </w:t>
      </w:r>
      <w:r>
        <w:rPr/>
        <w:t>their</w:t>
      </w:r>
      <w:r>
        <w:rPr>
          <w:spacing w:val="-3"/>
        </w:rPr>
        <w:t> </w:t>
      </w:r>
      <w:r>
        <w:rPr/>
        <w:t>investigation</w:t>
      </w:r>
      <w:r>
        <w:rPr>
          <w:spacing w:val="-3"/>
        </w:rPr>
        <w:t> </w:t>
      </w:r>
      <w:r>
        <w:rPr/>
        <w:t>of</w:t>
      </w:r>
      <w:r>
        <w:rPr>
          <w:spacing w:val="-3"/>
        </w:rPr>
        <w:t> </w:t>
      </w:r>
      <w:r>
        <w:rPr/>
        <w:t>student</w:t>
      </w:r>
      <w:r>
        <w:rPr>
          <w:spacing w:val="-3"/>
        </w:rPr>
        <w:t> </w:t>
      </w:r>
      <w:r>
        <w:rPr/>
        <w:t>nurses'</w:t>
      </w:r>
      <w:r>
        <w:rPr>
          <w:spacing w:val="-3"/>
        </w:rPr>
        <w:t> </w:t>
      </w:r>
      <w:r>
        <w:rPr/>
        <w:t>adoption</w:t>
      </w:r>
      <w:r>
        <w:rPr>
          <w:spacing w:val="-3"/>
        </w:rPr>
        <w:t> </w:t>
      </w:r>
      <w:r>
        <w:rPr/>
        <w:t>of</w:t>
      </w:r>
      <w:r>
        <w:rPr>
          <w:spacing w:val="-3"/>
        </w:rPr>
        <w:t> </w:t>
      </w:r>
      <w:r>
        <w:rPr/>
        <w:t>ICT</w:t>
      </w:r>
      <w:r>
        <w:rPr>
          <w:spacing w:val="-3"/>
        </w:rPr>
        <w:t> </w:t>
      </w:r>
      <w:r>
        <w:rPr/>
        <w:t>at</w:t>
      </w:r>
      <w:r>
        <w:rPr>
          <w:spacing w:val="-3"/>
        </w:rPr>
        <w:t> </w:t>
      </w:r>
      <w:r>
        <w:rPr/>
        <w:t>a</w:t>
      </w:r>
      <w:r>
        <w:rPr>
          <w:spacing w:val="-3"/>
        </w:rPr>
        <w:t> </w:t>
      </w:r>
      <w:r>
        <w:rPr/>
        <w:t>private</w:t>
      </w:r>
      <w:r>
        <w:rPr>
          <w:spacing w:val="-3"/>
        </w:rPr>
        <w:t> </w:t>
      </w:r>
      <w:r>
        <w:rPr/>
        <w:t>nursing</w:t>
      </w:r>
      <w:r>
        <w:rPr>
          <w:spacing w:val="-3"/>
        </w:rPr>
        <w:t> </w:t>
      </w:r>
      <w:r>
        <w:rPr/>
        <w:t>institution, reported mixed views but</w:t>
      </w:r>
      <w:r>
        <w:rPr>
          <w:spacing w:val="-3"/>
        </w:rPr>
        <w:t> </w:t>
      </w:r>
      <w:r>
        <w:rPr/>
        <w:t>affirmed</w:t>
      </w:r>
      <w:r>
        <w:rPr>
          <w:spacing w:val="-3"/>
        </w:rPr>
        <w:t> </w:t>
      </w:r>
      <w:r>
        <w:rPr/>
        <w:t>the</w:t>
      </w:r>
      <w:r>
        <w:rPr>
          <w:spacing w:val="-3"/>
        </w:rPr>
        <w:t> </w:t>
      </w:r>
      <w:r>
        <w:rPr/>
        <w:t>importance</w:t>
      </w:r>
      <w:r>
        <w:rPr>
          <w:spacing w:val="-3"/>
        </w:rPr>
        <w:t> </w:t>
      </w:r>
      <w:r>
        <w:rPr/>
        <w:t>of</w:t>
      </w:r>
      <w:r>
        <w:rPr>
          <w:spacing w:val="-3"/>
        </w:rPr>
        <w:t> </w:t>
      </w:r>
      <w:r>
        <w:rPr/>
        <w:t>integrating</w:t>
      </w:r>
      <w:r>
        <w:rPr>
          <w:spacing w:val="-3"/>
        </w:rPr>
        <w:t> </w:t>
      </w:r>
      <w:r>
        <w:rPr/>
        <w:t>ICT</w:t>
      </w:r>
      <w:r>
        <w:rPr>
          <w:spacing w:val="-3"/>
        </w:rPr>
        <w:t> </w:t>
      </w:r>
      <w:r>
        <w:rPr/>
        <w:t>into</w:t>
      </w:r>
      <w:r>
        <w:rPr>
          <w:spacing w:val="-3"/>
        </w:rPr>
        <w:t> </w:t>
      </w:r>
      <w:r>
        <w:rPr/>
        <w:t>nursing</w:t>
      </w:r>
      <w:r>
        <w:rPr>
          <w:spacing w:val="-3"/>
        </w:rPr>
        <w:t> </w:t>
      </w:r>
      <w:r>
        <w:rPr/>
        <w:t>programs.</w:t>
      </w:r>
      <w:r>
        <w:rPr>
          <w:spacing w:val="-3"/>
        </w:rPr>
        <w:t> </w:t>
      </w:r>
      <w:r>
        <w:rPr/>
        <w:t>These</w:t>
      </w:r>
      <w:r>
        <w:rPr>
          <w:spacing w:val="-3"/>
        </w:rPr>
        <w:t> </w:t>
      </w:r>
      <w:r>
        <w:rPr/>
        <w:t>studies collectively suggest that ICT</w:t>
      </w:r>
      <w:r>
        <w:rPr>
          <w:spacing w:val="-3"/>
        </w:rPr>
        <w:t> </w:t>
      </w:r>
      <w:r>
        <w:rPr/>
        <w:t>skills</w:t>
      </w:r>
      <w:r>
        <w:rPr>
          <w:spacing w:val="-3"/>
        </w:rPr>
        <w:t> </w:t>
      </w:r>
      <w:r>
        <w:rPr/>
        <w:t>are</w:t>
      </w:r>
      <w:r>
        <w:rPr>
          <w:spacing w:val="-3"/>
        </w:rPr>
        <w:t> </w:t>
      </w:r>
      <w:r>
        <w:rPr/>
        <w:t>essential</w:t>
      </w:r>
      <w:r>
        <w:rPr>
          <w:spacing w:val="-3"/>
        </w:rPr>
        <w:t> </w:t>
      </w:r>
      <w:r>
        <w:rPr/>
        <w:t>for</w:t>
      </w:r>
      <w:r>
        <w:rPr>
          <w:spacing w:val="-3"/>
        </w:rPr>
        <w:t> </w:t>
      </w:r>
      <w:r>
        <w:rPr/>
        <w:t>nursing</w:t>
      </w:r>
      <w:r>
        <w:rPr>
          <w:spacing w:val="-3"/>
        </w:rPr>
        <w:t> </w:t>
      </w:r>
      <w:r>
        <w:rPr/>
        <w:t>educators</w:t>
      </w:r>
      <w:r>
        <w:rPr>
          <w:spacing w:val="-3"/>
        </w:rPr>
        <w:t> </w:t>
      </w:r>
      <w:r>
        <w:rPr/>
        <w:t>and</w:t>
      </w:r>
      <w:r>
        <w:rPr>
          <w:spacing w:val="-3"/>
        </w:rPr>
        <w:t> </w:t>
      </w:r>
      <w:r>
        <w:rPr/>
        <w:t>students,</w:t>
      </w:r>
      <w:r>
        <w:rPr>
          <w:spacing w:val="-3"/>
        </w:rPr>
        <w:t> </w:t>
      </w:r>
      <w:r>
        <w:rPr/>
        <w:t>significantly</w:t>
      </w:r>
      <w:r>
        <w:rPr>
          <w:spacing w:val="-3"/>
        </w:rPr>
        <w:t> </w:t>
      </w:r>
      <w:r>
        <w:rPr/>
        <w:t>enriching teaching and learning in an era of rapid technological advancement.</w:t>
      </w:r>
    </w:p>
    <w:p>
      <w:pPr>
        <w:pStyle w:val="BodyText"/>
        <w:spacing w:before="53"/>
      </w:pPr>
    </w:p>
    <w:p>
      <w:pPr>
        <w:pStyle w:val="BodyText"/>
        <w:spacing w:line="480" w:lineRule="auto"/>
        <w:ind w:left="360" w:right="730"/>
        <w:jc w:val="both"/>
      </w:pPr>
      <w:r>
        <w:rPr/>
        <w:t>Given this backdrop, this study aims to examine the utilization of Information and Communication Technology in the Post-Basic Nursing Programme at the University of Port Harcourt Teaching Hospital </w:t>
      </w:r>
      <w:r>
        <w:rPr>
          <w:spacing w:val="-2"/>
        </w:rPr>
        <w:t>(UPTH).</w:t>
      </w:r>
    </w:p>
    <w:p>
      <w:pPr>
        <w:pStyle w:val="BodyText"/>
        <w:spacing w:before="53"/>
      </w:pPr>
    </w:p>
    <w:p>
      <w:pPr>
        <w:pStyle w:val="Heading3"/>
      </w:pPr>
      <w:bookmarkStart w:name="Aim and Objectives of the Study " w:id="2"/>
      <w:bookmarkEnd w:id="2"/>
      <w:r>
        <w:rPr>
          <w:b w:val="0"/>
        </w:rPr>
      </w:r>
      <w:r>
        <w:rPr/>
        <w:t>Aim</w:t>
      </w:r>
      <w:r>
        <w:rPr>
          <w:spacing w:val="-5"/>
        </w:rPr>
        <w:t> </w:t>
      </w:r>
      <w:r>
        <w:rPr/>
        <w:t>and</w:t>
      </w:r>
      <w:r>
        <w:rPr>
          <w:spacing w:val="-4"/>
        </w:rPr>
        <w:t> </w:t>
      </w:r>
      <w:r>
        <w:rPr/>
        <w:t>Objectives</w:t>
      </w:r>
      <w:r>
        <w:rPr>
          <w:spacing w:val="-4"/>
        </w:rPr>
        <w:t> </w:t>
      </w:r>
      <w:r>
        <w:rPr/>
        <w:t>of</w:t>
      </w:r>
      <w:r>
        <w:rPr>
          <w:spacing w:val="-4"/>
        </w:rPr>
        <w:t> </w:t>
      </w:r>
      <w:r>
        <w:rPr/>
        <w:t>the</w:t>
      </w:r>
      <w:r>
        <w:rPr>
          <w:spacing w:val="-4"/>
        </w:rPr>
        <w:t> </w:t>
      </w:r>
      <w:r>
        <w:rPr>
          <w:spacing w:val="-2"/>
        </w:rPr>
        <w:t>Study</w:t>
      </w:r>
    </w:p>
    <w:p>
      <w:pPr>
        <w:pStyle w:val="BodyText"/>
        <w:rPr>
          <w:rFonts w:ascii="Arial"/>
          <w:b/>
        </w:rPr>
      </w:pPr>
    </w:p>
    <w:p>
      <w:pPr>
        <w:pStyle w:val="BodyText"/>
        <w:spacing w:before="50"/>
        <w:rPr>
          <w:rFonts w:ascii="Arial"/>
          <w:b/>
        </w:rPr>
      </w:pPr>
    </w:p>
    <w:p>
      <w:pPr>
        <w:spacing w:before="0"/>
        <w:ind w:left="360" w:right="0" w:firstLine="0"/>
        <w:jc w:val="left"/>
        <w:rPr>
          <w:rFonts w:ascii="Arial"/>
          <w:b/>
          <w:sz w:val="20"/>
        </w:rPr>
      </w:pPr>
      <w:r>
        <w:rPr>
          <w:rFonts w:ascii="Arial"/>
          <w:b/>
          <w:spacing w:val="-4"/>
          <w:sz w:val="20"/>
        </w:rPr>
        <w:t>Aim:</w:t>
      </w:r>
    </w:p>
    <w:p>
      <w:pPr>
        <w:pStyle w:val="BodyText"/>
        <w:rPr>
          <w:rFonts w:ascii="Arial"/>
          <w:b/>
        </w:rPr>
      </w:pPr>
    </w:p>
    <w:p>
      <w:pPr>
        <w:pStyle w:val="BodyText"/>
        <w:spacing w:line="480" w:lineRule="auto"/>
        <w:ind w:left="360" w:right="727"/>
        <w:jc w:val="both"/>
      </w:pPr>
      <w:r>
        <w:rPr/>
        <w:t>The aim of this study is to examine the utilization of</w:t>
      </w:r>
      <w:r>
        <w:rPr>
          <w:spacing w:val="-4"/>
        </w:rPr>
        <w:t> </w:t>
      </w:r>
      <w:r>
        <w:rPr/>
        <w:t>Information</w:t>
      </w:r>
      <w:r>
        <w:rPr>
          <w:spacing w:val="-4"/>
        </w:rPr>
        <w:t> </w:t>
      </w:r>
      <w:r>
        <w:rPr/>
        <w:t>and</w:t>
      </w:r>
      <w:r>
        <w:rPr>
          <w:spacing w:val="-4"/>
        </w:rPr>
        <w:t> </w:t>
      </w:r>
      <w:r>
        <w:rPr/>
        <w:t>Communication</w:t>
      </w:r>
      <w:r>
        <w:rPr>
          <w:spacing w:val="-4"/>
        </w:rPr>
        <w:t> </w:t>
      </w:r>
      <w:r>
        <w:rPr/>
        <w:t>Technology</w:t>
      </w:r>
      <w:r>
        <w:rPr>
          <w:spacing w:val="-4"/>
        </w:rPr>
        <w:t> </w:t>
      </w:r>
      <w:r>
        <w:rPr/>
        <w:t>(ICT)</w:t>
      </w:r>
      <w:r>
        <w:rPr>
          <w:spacing w:val="-4"/>
        </w:rPr>
        <w:t> </w:t>
      </w:r>
      <w:r>
        <w:rPr/>
        <w:t>in the Post-Basic Nursing Programme at the University of Port Harcourt Teaching Hospital (UPTH).</w:t>
      </w:r>
    </w:p>
    <w:p>
      <w:pPr>
        <w:pStyle w:val="BodyText"/>
        <w:spacing w:before="53"/>
      </w:pPr>
    </w:p>
    <w:p>
      <w:pPr>
        <w:pStyle w:val="Heading3"/>
      </w:pPr>
      <w:r>
        <w:rPr/>
        <w:t>Specific</w:t>
      </w:r>
      <w:r>
        <w:rPr>
          <w:spacing w:val="-8"/>
        </w:rPr>
        <w:t> </w:t>
      </w:r>
      <w:r>
        <w:rPr>
          <w:spacing w:val="-2"/>
        </w:rPr>
        <w:t>Objectives:</w:t>
      </w:r>
    </w:p>
    <w:p>
      <w:pPr>
        <w:pStyle w:val="BodyText"/>
        <w:rPr>
          <w:rFonts w:ascii="Arial"/>
          <w:b/>
        </w:rPr>
      </w:pPr>
    </w:p>
    <w:p>
      <w:pPr>
        <w:pStyle w:val="BodyText"/>
        <w:ind w:left="360"/>
        <w:jc w:val="both"/>
      </w:pPr>
      <w:r>
        <w:rPr/>
        <w:t>The</w:t>
      </w:r>
      <w:r>
        <w:rPr>
          <w:spacing w:val="-5"/>
        </w:rPr>
        <w:t> </w:t>
      </w:r>
      <w:r>
        <w:rPr/>
        <w:t>specific</w:t>
      </w:r>
      <w:r>
        <w:rPr>
          <w:spacing w:val="-5"/>
        </w:rPr>
        <w:t> </w:t>
      </w:r>
      <w:r>
        <w:rPr/>
        <w:t>objectives</w:t>
      </w:r>
      <w:r>
        <w:rPr>
          <w:spacing w:val="-5"/>
        </w:rPr>
        <w:t> </w:t>
      </w:r>
      <w:r>
        <w:rPr/>
        <w:t>of</w:t>
      </w:r>
      <w:r>
        <w:rPr>
          <w:spacing w:val="-5"/>
        </w:rPr>
        <w:t> </w:t>
      </w:r>
      <w:r>
        <w:rPr/>
        <w:t>the</w:t>
      </w:r>
      <w:r>
        <w:rPr>
          <w:spacing w:val="-5"/>
        </w:rPr>
        <w:t> </w:t>
      </w:r>
      <w:r>
        <w:rPr/>
        <w:t>study</w:t>
      </w:r>
      <w:r>
        <w:rPr>
          <w:spacing w:val="-5"/>
        </w:rPr>
        <w:t> </w:t>
      </w:r>
      <w:r>
        <w:rPr/>
        <w:t>are</w:t>
      </w:r>
      <w:r>
        <w:rPr>
          <w:spacing w:val="-4"/>
        </w:rPr>
        <w:t> </w:t>
      </w:r>
      <w:r>
        <w:rPr>
          <w:spacing w:val="-5"/>
        </w:rPr>
        <w:t>to:</w:t>
      </w:r>
    </w:p>
    <w:p>
      <w:pPr>
        <w:pStyle w:val="BodyText"/>
      </w:pPr>
    </w:p>
    <w:p>
      <w:pPr>
        <w:pStyle w:val="BodyText"/>
        <w:spacing w:before="53"/>
      </w:pPr>
    </w:p>
    <w:p>
      <w:pPr>
        <w:pStyle w:val="ListParagraph"/>
        <w:numPr>
          <w:ilvl w:val="0"/>
          <w:numId w:val="1"/>
        </w:numPr>
        <w:tabs>
          <w:tab w:pos="1063" w:val="left" w:leader="none"/>
          <w:tab w:pos="1065" w:val="left" w:leader="none"/>
        </w:tabs>
        <w:spacing w:line="480" w:lineRule="auto" w:before="0" w:after="0"/>
        <w:ind w:left="1065" w:right="720" w:hanging="285"/>
        <w:jc w:val="left"/>
        <w:rPr>
          <w:rFonts w:ascii="Arial MT"/>
          <w:sz w:val="20"/>
        </w:rPr>
      </w:pPr>
      <w:r>
        <w:rPr>
          <w:rFonts w:ascii="Arial MT"/>
          <w:sz w:val="20"/>
        </w:rPr>
        <w:t>Determine</w:t>
      </w:r>
      <w:r>
        <w:rPr>
          <w:rFonts w:ascii="Arial MT"/>
          <w:spacing w:val="27"/>
          <w:sz w:val="20"/>
        </w:rPr>
        <w:t> </w:t>
      </w:r>
      <w:r>
        <w:rPr>
          <w:rFonts w:ascii="Arial MT"/>
          <w:sz w:val="20"/>
        </w:rPr>
        <w:t>the</w:t>
      </w:r>
      <w:r>
        <w:rPr>
          <w:rFonts w:ascii="Arial MT"/>
          <w:spacing w:val="27"/>
          <w:sz w:val="20"/>
        </w:rPr>
        <w:t> </w:t>
      </w:r>
      <w:r>
        <w:rPr>
          <w:rFonts w:ascii="Arial MT"/>
          <w:sz w:val="20"/>
        </w:rPr>
        <w:t>extent</w:t>
      </w:r>
      <w:r>
        <w:rPr>
          <w:rFonts w:ascii="Arial MT"/>
          <w:spacing w:val="27"/>
          <w:sz w:val="20"/>
        </w:rPr>
        <w:t> </w:t>
      </w:r>
      <w:r>
        <w:rPr>
          <w:rFonts w:ascii="Arial MT"/>
          <w:sz w:val="20"/>
        </w:rPr>
        <w:t>to</w:t>
      </w:r>
      <w:r>
        <w:rPr>
          <w:rFonts w:ascii="Arial MT"/>
          <w:spacing w:val="27"/>
          <w:sz w:val="20"/>
        </w:rPr>
        <w:t> </w:t>
      </w:r>
      <w:r>
        <w:rPr>
          <w:rFonts w:ascii="Arial MT"/>
          <w:sz w:val="20"/>
        </w:rPr>
        <w:t>which ICT is utilized by post-basic nursing students at the University of Port Harcourt Teaching Hospital.</w:t>
      </w:r>
    </w:p>
    <w:p>
      <w:pPr>
        <w:pStyle w:val="ListParagraph"/>
        <w:spacing w:after="0" w:line="480" w:lineRule="auto"/>
        <w:jc w:val="left"/>
        <w:rPr>
          <w:rFonts w:ascii="Arial MT"/>
          <w:sz w:val="20"/>
        </w:rPr>
        <w:sectPr>
          <w:pgSz w:w="12240" w:h="15840"/>
          <w:pgMar w:top="1360" w:bottom="280" w:left="1080" w:right="720"/>
        </w:sectPr>
      </w:pPr>
    </w:p>
    <w:p>
      <w:pPr>
        <w:pStyle w:val="ListParagraph"/>
        <w:numPr>
          <w:ilvl w:val="0"/>
          <w:numId w:val="1"/>
        </w:numPr>
        <w:tabs>
          <w:tab w:pos="1063" w:val="left" w:leader="none"/>
          <w:tab w:pos="1065" w:val="left" w:leader="none"/>
        </w:tabs>
        <w:spacing w:line="480" w:lineRule="auto" w:before="80" w:after="0"/>
        <w:ind w:left="1065" w:right="723" w:hanging="285"/>
        <w:jc w:val="left"/>
        <w:rPr>
          <w:rFonts w:ascii="Arial MT"/>
          <w:sz w:val="20"/>
        </w:rPr>
      </w:pPr>
      <w:r>
        <w:rPr>
          <w:rFonts w:ascii="Arial MT"/>
          <w:sz w:val="20"/>
        </w:rPr>
        <w:t>Ascertain</w:t>
      </w:r>
      <w:r>
        <w:rPr>
          <w:rFonts w:ascii="Arial MT"/>
          <w:spacing w:val="27"/>
          <w:sz w:val="20"/>
        </w:rPr>
        <w:t> </w:t>
      </w:r>
      <w:r>
        <w:rPr>
          <w:rFonts w:ascii="Arial MT"/>
          <w:sz w:val="20"/>
        </w:rPr>
        <w:t>the</w:t>
      </w:r>
      <w:r>
        <w:rPr>
          <w:rFonts w:ascii="Arial MT"/>
          <w:spacing w:val="27"/>
          <w:sz w:val="20"/>
        </w:rPr>
        <w:t> </w:t>
      </w:r>
      <w:r>
        <w:rPr>
          <w:rFonts w:ascii="Arial MT"/>
          <w:sz w:val="20"/>
        </w:rPr>
        <w:t>extent</w:t>
      </w:r>
      <w:r>
        <w:rPr>
          <w:rFonts w:ascii="Arial MT"/>
          <w:spacing w:val="27"/>
          <w:sz w:val="20"/>
        </w:rPr>
        <w:t> </w:t>
      </w:r>
      <w:r>
        <w:rPr>
          <w:rFonts w:ascii="Arial MT"/>
          <w:sz w:val="20"/>
        </w:rPr>
        <w:t>to</w:t>
      </w:r>
      <w:r>
        <w:rPr>
          <w:rFonts w:ascii="Arial MT"/>
          <w:spacing w:val="27"/>
          <w:sz w:val="20"/>
        </w:rPr>
        <w:t> </w:t>
      </w:r>
      <w:r>
        <w:rPr>
          <w:rFonts w:ascii="Arial MT"/>
          <w:sz w:val="20"/>
        </w:rPr>
        <w:t>which</w:t>
      </w:r>
      <w:r>
        <w:rPr>
          <w:rFonts w:ascii="Arial MT"/>
          <w:spacing w:val="27"/>
          <w:sz w:val="20"/>
        </w:rPr>
        <w:t> </w:t>
      </w:r>
      <w:r>
        <w:rPr>
          <w:rFonts w:ascii="Arial MT"/>
          <w:sz w:val="20"/>
        </w:rPr>
        <w:t>ICT</w:t>
      </w:r>
      <w:r>
        <w:rPr>
          <w:rFonts w:ascii="Arial MT"/>
          <w:spacing w:val="27"/>
          <w:sz w:val="20"/>
        </w:rPr>
        <w:t> </w:t>
      </w:r>
      <w:r>
        <w:rPr>
          <w:rFonts w:ascii="Arial MT"/>
          <w:sz w:val="20"/>
        </w:rPr>
        <w:t>is</w:t>
      </w:r>
      <w:r>
        <w:rPr>
          <w:rFonts w:ascii="Arial MT"/>
          <w:spacing w:val="27"/>
          <w:sz w:val="20"/>
        </w:rPr>
        <w:t> </w:t>
      </w:r>
      <w:r>
        <w:rPr>
          <w:rFonts w:ascii="Arial MT"/>
          <w:sz w:val="20"/>
        </w:rPr>
        <w:t>utilized</w:t>
      </w:r>
      <w:r>
        <w:rPr>
          <w:rFonts w:ascii="Arial MT"/>
          <w:spacing w:val="27"/>
          <w:sz w:val="20"/>
        </w:rPr>
        <w:t> </w:t>
      </w:r>
      <w:r>
        <w:rPr>
          <w:rFonts w:ascii="Arial MT"/>
          <w:sz w:val="20"/>
        </w:rPr>
        <w:t>by</w:t>
      </w:r>
      <w:r>
        <w:rPr>
          <w:rFonts w:ascii="Arial MT"/>
          <w:spacing w:val="27"/>
          <w:sz w:val="20"/>
        </w:rPr>
        <w:t> </w:t>
      </w:r>
      <w:r>
        <w:rPr>
          <w:rFonts w:ascii="Arial MT"/>
          <w:sz w:val="20"/>
        </w:rPr>
        <w:t>post-basic nursing lecturers at the University of Port Harcourt Teaching Hospital.</w:t>
      </w:r>
    </w:p>
    <w:p>
      <w:pPr>
        <w:pStyle w:val="BodyText"/>
        <w:spacing w:before="53"/>
      </w:pPr>
    </w:p>
    <w:p>
      <w:pPr>
        <w:pStyle w:val="ListParagraph"/>
        <w:numPr>
          <w:ilvl w:val="0"/>
          <w:numId w:val="1"/>
        </w:numPr>
        <w:tabs>
          <w:tab w:pos="1063" w:val="left" w:leader="none"/>
          <w:tab w:pos="1065" w:val="left" w:leader="none"/>
        </w:tabs>
        <w:spacing w:line="480" w:lineRule="auto" w:before="0" w:after="0"/>
        <w:ind w:left="1065" w:right="730" w:hanging="285"/>
        <w:jc w:val="left"/>
        <w:rPr>
          <w:rFonts w:ascii="Arial MT"/>
          <w:sz w:val="20"/>
        </w:rPr>
      </w:pPr>
      <w:r>
        <w:rPr>
          <w:rFonts w:ascii="Arial MT"/>
          <w:sz w:val="20"/>
        </w:rPr>
        <w:drawing>
          <wp:anchor distT="0" distB="0" distL="0" distR="0" allowOverlap="1" layoutInCell="1" locked="0" behindDoc="1" simplePos="0" relativeHeight="486927360">
            <wp:simplePos x="0" y="0"/>
            <wp:positionH relativeFrom="page">
              <wp:posOffset>919162</wp:posOffset>
            </wp:positionH>
            <wp:positionV relativeFrom="paragraph">
              <wp:posOffset>383919</wp:posOffset>
            </wp:positionV>
            <wp:extent cx="5934075" cy="593407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MT"/>
          <w:sz w:val="20"/>
        </w:rPr>
        <w:t>Identify</w:t>
      </w:r>
      <w:r>
        <w:rPr>
          <w:rFonts w:ascii="Arial MT"/>
          <w:spacing w:val="40"/>
          <w:sz w:val="20"/>
        </w:rPr>
        <w:t> </w:t>
      </w:r>
      <w:r>
        <w:rPr>
          <w:rFonts w:ascii="Arial MT"/>
          <w:sz w:val="20"/>
        </w:rPr>
        <w:t>the</w:t>
      </w:r>
      <w:r>
        <w:rPr>
          <w:rFonts w:ascii="Arial MT"/>
          <w:spacing w:val="40"/>
          <w:sz w:val="20"/>
        </w:rPr>
        <w:t> </w:t>
      </w:r>
      <w:r>
        <w:rPr>
          <w:rFonts w:ascii="Arial MT"/>
          <w:sz w:val="20"/>
        </w:rPr>
        <w:t>factors</w:t>
      </w:r>
      <w:r>
        <w:rPr>
          <w:rFonts w:ascii="Arial MT"/>
          <w:spacing w:val="40"/>
          <w:sz w:val="20"/>
        </w:rPr>
        <w:t> </w:t>
      </w:r>
      <w:r>
        <w:rPr>
          <w:rFonts w:ascii="Arial MT"/>
          <w:sz w:val="20"/>
        </w:rPr>
        <w:t>influencing</w:t>
      </w:r>
      <w:r>
        <w:rPr>
          <w:rFonts w:ascii="Arial MT"/>
          <w:spacing w:val="40"/>
          <w:sz w:val="20"/>
        </w:rPr>
        <w:t> </w:t>
      </w:r>
      <w:r>
        <w:rPr>
          <w:rFonts w:ascii="Arial MT"/>
          <w:sz w:val="20"/>
        </w:rPr>
        <w:t>the</w:t>
      </w:r>
      <w:r>
        <w:rPr>
          <w:rFonts w:ascii="Arial MT"/>
          <w:spacing w:val="40"/>
          <w:sz w:val="20"/>
        </w:rPr>
        <w:t> </w:t>
      </w:r>
      <w:r>
        <w:rPr>
          <w:rFonts w:ascii="Arial MT"/>
          <w:sz w:val="20"/>
        </w:rPr>
        <w:t>utilization</w:t>
      </w:r>
      <w:r>
        <w:rPr>
          <w:rFonts w:ascii="Arial MT"/>
          <w:spacing w:val="40"/>
          <w:sz w:val="20"/>
        </w:rPr>
        <w:t> </w:t>
      </w:r>
      <w:r>
        <w:rPr>
          <w:rFonts w:ascii="Arial MT"/>
          <w:sz w:val="20"/>
        </w:rPr>
        <w:t>of</w:t>
      </w:r>
      <w:r>
        <w:rPr>
          <w:rFonts w:ascii="Arial MT"/>
          <w:spacing w:val="40"/>
          <w:sz w:val="20"/>
        </w:rPr>
        <w:t> </w:t>
      </w:r>
      <w:r>
        <w:rPr>
          <w:rFonts w:ascii="Arial MT"/>
          <w:sz w:val="20"/>
        </w:rPr>
        <w:t>ICT</w:t>
      </w:r>
      <w:r>
        <w:rPr>
          <w:rFonts w:ascii="Arial MT"/>
          <w:spacing w:val="40"/>
          <w:sz w:val="20"/>
        </w:rPr>
        <w:t> </w:t>
      </w:r>
      <w:r>
        <w:rPr>
          <w:rFonts w:ascii="Arial MT"/>
          <w:sz w:val="20"/>
        </w:rPr>
        <w:t>among</w:t>
      </w:r>
      <w:r>
        <w:rPr>
          <w:rFonts w:ascii="Arial MT"/>
          <w:spacing w:val="40"/>
          <w:sz w:val="20"/>
        </w:rPr>
        <w:t> </w:t>
      </w:r>
      <w:r>
        <w:rPr>
          <w:rFonts w:ascii="Arial MT"/>
          <w:sz w:val="20"/>
        </w:rPr>
        <w:t>post-basic</w:t>
      </w:r>
      <w:r>
        <w:rPr>
          <w:rFonts w:ascii="Arial MT"/>
          <w:spacing w:val="40"/>
          <w:sz w:val="20"/>
        </w:rPr>
        <w:t> </w:t>
      </w:r>
      <w:r>
        <w:rPr>
          <w:rFonts w:ascii="Arial MT"/>
          <w:sz w:val="20"/>
        </w:rPr>
        <w:t>nursing</w:t>
      </w:r>
      <w:r>
        <w:rPr>
          <w:rFonts w:ascii="Arial MT"/>
          <w:spacing w:val="40"/>
          <w:sz w:val="20"/>
        </w:rPr>
        <w:t> </w:t>
      </w:r>
      <w:r>
        <w:rPr>
          <w:rFonts w:ascii="Arial MT"/>
          <w:sz w:val="20"/>
        </w:rPr>
        <w:t>students</w:t>
      </w:r>
      <w:r>
        <w:rPr>
          <w:rFonts w:ascii="Arial MT"/>
          <w:spacing w:val="40"/>
          <w:sz w:val="20"/>
        </w:rPr>
        <w:t> </w:t>
      </w:r>
      <w:r>
        <w:rPr>
          <w:rFonts w:ascii="Arial MT"/>
          <w:sz w:val="20"/>
        </w:rPr>
        <w:t>and lecturers at the University of Port Harcourt Teaching Hospital.</w:t>
      </w:r>
    </w:p>
    <w:p>
      <w:pPr>
        <w:pStyle w:val="BodyText"/>
        <w:spacing w:before="23"/>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176007</wp:posOffset>
                </wp:positionV>
                <wp:extent cx="5943600" cy="35179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43600" cy="3517900"/>
                        </a:xfrm>
                        <a:prstGeom prst="rect">
                          <a:avLst/>
                        </a:prstGeom>
                        <a:solidFill>
                          <a:srgbClr val="FFFFFF"/>
                        </a:solidFill>
                      </wps:spPr>
                      <wps:txbx>
                        <w:txbxContent>
                          <w:p>
                            <w:pPr>
                              <w:spacing w:before="6"/>
                              <w:ind w:left="0" w:right="0" w:firstLine="0"/>
                              <w:jc w:val="left"/>
                              <w:rPr>
                                <w:rFonts w:ascii="Arial"/>
                                <w:b/>
                                <w:color w:val="000000"/>
                                <w:sz w:val="20"/>
                              </w:rPr>
                            </w:pPr>
                            <w:bookmarkStart w:name="Methodology " w:id="3"/>
                            <w:bookmarkEnd w:id="3"/>
                            <w:r>
                              <w:rPr>
                                <w:color w:val="000000"/>
                              </w:rPr>
                            </w:r>
                            <w:r>
                              <w:rPr>
                                <w:rFonts w:ascii="Arial"/>
                                <w:b/>
                                <w:color w:val="111111"/>
                                <w:spacing w:val="-2"/>
                                <w:sz w:val="20"/>
                              </w:rPr>
                              <w:t>Methodology</w:t>
                            </w:r>
                          </w:p>
                          <w:p>
                            <w:pPr>
                              <w:pStyle w:val="BodyText"/>
                              <w:spacing w:before="179"/>
                              <w:rPr>
                                <w:rFonts w:ascii="Arial"/>
                                <w:b/>
                                <w:color w:val="000000"/>
                              </w:rPr>
                            </w:pPr>
                          </w:p>
                          <w:p>
                            <w:pPr>
                              <w:pStyle w:val="BodyText"/>
                              <w:spacing w:line="480" w:lineRule="auto" w:before="1"/>
                              <w:jc w:val="both"/>
                              <w:rPr>
                                <w:color w:val="000000"/>
                              </w:rPr>
                            </w:pPr>
                            <w:r>
                              <w:rPr>
                                <w:color w:val="111111"/>
                              </w:rPr>
                              <w:t>This study adopted a descriptive survey design to investigate the utilization of Information and Communication Technology (ICT) among students and</w:t>
                            </w:r>
                            <w:r>
                              <w:rPr>
                                <w:color w:val="111111"/>
                                <w:spacing w:val="-5"/>
                              </w:rPr>
                              <w:t> </w:t>
                            </w:r>
                            <w:r>
                              <w:rPr>
                                <w:color w:val="111111"/>
                              </w:rPr>
                              <w:t>lecturers</w:t>
                            </w:r>
                            <w:r>
                              <w:rPr>
                                <w:color w:val="111111"/>
                                <w:spacing w:val="-5"/>
                              </w:rPr>
                              <w:t> </w:t>
                            </w:r>
                            <w:r>
                              <w:rPr>
                                <w:color w:val="111111"/>
                              </w:rPr>
                              <w:t>in</w:t>
                            </w:r>
                            <w:r>
                              <w:rPr>
                                <w:color w:val="111111"/>
                                <w:spacing w:val="-5"/>
                              </w:rPr>
                              <w:t> </w:t>
                            </w:r>
                            <w:r>
                              <w:rPr>
                                <w:color w:val="111111"/>
                              </w:rPr>
                              <w:t>the</w:t>
                            </w:r>
                            <w:r>
                              <w:rPr>
                                <w:color w:val="111111"/>
                                <w:spacing w:val="-5"/>
                              </w:rPr>
                              <w:t> </w:t>
                            </w:r>
                            <w:r>
                              <w:rPr>
                                <w:color w:val="111111"/>
                              </w:rPr>
                              <w:t>Post-Basic</w:t>
                            </w:r>
                            <w:r>
                              <w:rPr>
                                <w:color w:val="111111"/>
                                <w:spacing w:val="-5"/>
                              </w:rPr>
                              <w:t> </w:t>
                            </w:r>
                            <w:r>
                              <w:rPr>
                                <w:color w:val="111111"/>
                              </w:rPr>
                              <w:t>Nursing</w:t>
                            </w:r>
                            <w:r>
                              <w:rPr>
                                <w:color w:val="111111"/>
                                <w:spacing w:val="-5"/>
                              </w:rPr>
                              <w:t> </w:t>
                            </w:r>
                            <w:r>
                              <w:rPr>
                                <w:color w:val="111111"/>
                              </w:rPr>
                              <w:t>Programme</w:t>
                            </w:r>
                            <w:r>
                              <w:rPr>
                                <w:color w:val="111111"/>
                                <w:spacing w:val="-5"/>
                              </w:rPr>
                              <w:t> </w:t>
                            </w:r>
                            <w:r>
                              <w:rPr>
                                <w:color w:val="111111"/>
                              </w:rPr>
                              <w:t>at the University of Port Harcourt Teaching Hospital (UPTH), without manipulating any variables.</w:t>
                            </w:r>
                          </w:p>
                          <w:p>
                            <w:pPr>
                              <w:pStyle w:val="BodyText"/>
                              <w:spacing w:line="480" w:lineRule="auto"/>
                              <w:ind w:right="1"/>
                              <w:jc w:val="both"/>
                              <w:rPr>
                                <w:color w:val="000000"/>
                              </w:rPr>
                            </w:pPr>
                            <w:r>
                              <w:rPr>
                                <w:color w:val="111111"/>
                              </w:rPr>
                              <w:t>The study population comprised 86 post-basic nursing students from the Paediatric and Accident/Emergency departments and 22 lecturers, making a total of 108 participants</w:t>
                            </w:r>
                            <w:r>
                              <w:rPr>
                                <w:color w:val="111111"/>
                                <w:spacing w:val="-3"/>
                              </w:rPr>
                              <w:t> </w:t>
                            </w:r>
                            <w:r>
                              <w:rPr>
                                <w:color w:val="111111"/>
                              </w:rPr>
                              <w:t>(Staff</w:t>
                            </w:r>
                            <w:r>
                              <w:rPr>
                                <w:color w:val="111111"/>
                                <w:spacing w:val="-3"/>
                              </w:rPr>
                              <w:t> </w:t>
                            </w:r>
                            <w:r>
                              <w:rPr>
                                <w:color w:val="111111"/>
                              </w:rPr>
                              <w:t>and</w:t>
                            </w:r>
                            <w:r>
                              <w:rPr>
                                <w:color w:val="111111"/>
                                <w:spacing w:val="-3"/>
                              </w:rPr>
                              <w:t> </w:t>
                            </w:r>
                            <w:r>
                              <w:rPr>
                                <w:color w:val="111111"/>
                              </w:rPr>
                              <w:t>Student Register, UPTH, 2022). A census sampling technique was employed to include all 108 individuals, ensuring better representation and generalizability of findings.</w:t>
                            </w:r>
                          </w:p>
                          <w:p>
                            <w:pPr>
                              <w:pStyle w:val="BodyText"/>
                              <w:spacing w:before="52"/>
                              <w:rPr>
                                <w:color w:val="000000"/>
                              </w:rPr>
                            </w:pPr>
                          </w:p>
                          <w:p>
                            <w:pPr>
                              <w:pStyle w:val="BodyText"/>
                              <w:spacing w:line="480" w:lineRule="auto" w:before="1"/>
                              <w:ind w:right="11"/>
                              <w:jc w:val="both"/>
                              <w:rPr>
                                <w:color w:val="000000"/>
                              </w:rPr>
                            </w:pPr>
                            <w:r>
                              <w:rPr>
                                <w:color w:val="111111"/>
                              </w:rPr>
                              <w:t>Data were collected using a structured instrument titled "Utilization of Information and Communication Technology among Students and Lecturers Questionnaire (UICTSLQ)." The questionnaire consisted of two sections: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2pt;margin-top:13.858842pt;width:468pt;height:277pt;mso-position-horizontal-relative:page;mso-position-vertical-relative:paragraph;z-index:-15726592;mso-wrap-distance-left:0;mso-wrap-distance-right:0" type="#_x0000_t202" id="docshape1" filled="true" fillcolor="#ffffff" stroked="false">
                <v:textbox inset="0,0,0,0">
                  <w:txbxContent>
                    <w:p>
                      <w:pPr>
                        <w:spacing w:before="6"/>
                        <w:ind w:left="0" w:right="0" w:firstLine="0"/>
                        <w:jc w:val="left"/>
                        <w:rPr>
                          <w:rFonts w:ascii="Arial"/>
                          <w:b/>
                          <w:color w:val="000000"/>
                          <w:sz w:val="20"/>
                        </w:rPr>
                      </w:pPr>
                      <w:bookmarkStart w:name="Methodology " w:id="4"/>
                      <w:bookmarkEnd w:id="4"/>
                      <w:r>
                        <w:rPr>
                          <w:color w:val="000000"/>
                        </w:rPr>
                      </w:r>
                      <w:r>
                        <w:rPr>
                          <w:rFonts w:ascii="Arial"/>
                          <w:b/>
                          <w:color w:val="111111"/>
                          <w:spacing w:val="-2"/>
                          <w:sz w:val="20"/>
                        </w:rPr>
                        <w:t>Methodology</w:t>
                      </w:r>
                    </w:p>
                    <w:p>
                      <w:pPr>
                        <w:pStyle w:val="BodyText"/>
                        <w:spacing w:before="179"/>
                        <w:rPr>
                          <w:rFonts w:ascii="Arial"/>
                          <w:b/>
                          <w:color w:val="000000"/>
                        </w:rPr>
                      </w:pPr>
                    </w:p>
                    <w:p>
                      <w:pPr>
                        <w:pStyle w:val="BodyText"/>
                        <w:spacing w:line="480" w:lineRule="auto" w:before="1"/>
                        <w:jc w:val="both"/>
                        <w:rPr>
                          <w:color w:val="000000"/>
                        </w:rPr>
                      </w:pPr>
                      <w:r>
                        <w:rPr>
                          <w:color w:val="111111"/>
                        </w:rPr>
                        <w:t>This study adopted a descriptive survey design to investigate the utilization of Information and Communication Technology (ICT) among students and</w:t>
                      </w:r>
                      <w:r>
                        <w:rPr>
                          <w:color w:val="111111"/>
                          <w:spacing w:val="-5"/>
                        </w:rPr>
                        <w:t> </w:t>
                      </w:r>
                      <w:r>
                        <w:rPr>
                          <w:color w:val="111111"/>
                        </w:rPr>
                        <w:t>lecturers</w:t>
                      </w:r>
                      <w:r>
                        <w:rPr>
                          <w:color w:val="111111"/>
                          <w:spacing w:val="-5"/>
                        </w:rPr>
                        <w:t> </w:t>
                      </w:r>
                      <w:r>
                        <w:rPr>
                          <w:color w:val="111111"/>
                        </w:rPr>
                        <w:t>in</w:t>
                      </w:r>
                      <w:r>
                        <w:rPr>
                          <w:color w:val="111111"/>
                          <w:spacing w:val="-5"/>
                        </w:rPr>
                        <w:t> </w:t>
                      </w:r>
                      <w:r>
                        <w:rPr>
                          <w:color w:val="111111"/>
                        </w:rPr>
                        <w:t>the</w:t>
                      </w:r>
                      <w:r>
                        <w:rPr>
                          <w:color w:val="111111"/>
                          <w:spacing w:val="-5"/>
                        </w:rPr>
                        <w:t> </w:t>
                      </w:r>
                      <w:r>
                        <w:rPr>
                          <w:color w:val="111111"/>
                        </w:rPr>
                        <w:t>Post-Basic</w:t>
                      </w:r>
                      <w:r>
                        <w:rPr>
                          <w:color w:val="111111"/>
                          <w:spacing w:val="-5"/>
                        </w:rPr>
                        <w:t> </w:t>
                      </w:r>
                      <w:r>
                        <w:rPr>
                          <w:color w:val="111111"/>
                        </w:rPr>
                        <w:t>Nursing</w:t>
                      </w:r>
                      <w:r>
                        <w:rPr>
                          <w:color w:val="111111"/>
                          <w:spacing w:val="-5"/>
                        </w:rPr>
                        <w:t> </w:t>
                      </w:r>
                      <w:r>
                        <w:rPr>
                          <w:color w:val="111111"/>
                        </w:rPr>
                        <w:t>Programme</w:t>
                      </w:r>
                      <w:r>
                        <w:rPr>
                          <w:color w:val="111111"/>
                          <w:spacing w:val="-5"/>
                        </w:rPr>
                        <w:t> </w:t>
                      </w:r>
                      <w:r>
                        <w:rPr>
                          <w:color w:val="111111"/>
                        </w:rPr>
                        <w:t>at the University of Port Harcourt Teaching Hospital (UPTH), without manipulating any variables.</w:t>
                      </w:r>
                    </w:p>
                    <w:p>
                      <w:pPr>
                        <w:pStyle w:val="BodyText"/>
                        <w:spacing w:line="480" w:lineRule="auto"/>
                        <w:ind w:right="1"/>
                        <w:jc w:val="both"/>
                        <w:rPr>
                          <w:color w:val="000000"/>
                        </w:rPr>
                      </w:pPr>
                      <w:r>
                        <w:rPr>
                          <w:color w:val="111111"/>
                        </w:rPr>
                        <w:t>The study population comprised 86 post-basic nursing students from the Paediatric and Accident/Emergency departments and 22 lecturers, making a total of 108 participants</w:t>
                      </w:r>
                      <w:r>
                        <w:rPr>
                          <w:color w:val="111111"/>
                          <w:spacing w:val="-3"/>
                        </w:rPr>
                        <w:t> </w:t>
                      </w:r>
                      <w:r>
                        <w:rPr>
                          <w:color w:val="111111"/>
                        </w:rPr>
                        <w:t>(Staff</w:t>
                      </w:r>
                      <w:r>
                        <w:rPr>
                          <w:color w:val="111111"/>
                          <w:spacing w:val="-3"/>
                        </w:rPr>
                        <w:t> </w:t>
                      </w:r>
                      <w:r>
                        <w:rPr>
                          <w:color w:val="111111"/>
                        </w:rPr>
                        <w:t>and</w:t>
                      </w:r>
                      <w:r>
                        <w:rPr>
                          <w:color w:val="111111"/>
                          <w:spacing w:val="-3"/>
                        </w:rPr>
                        <w:t> </w:t>
                      </w:r>
                      <w:r>
                        <w:rPr>
                          <w:color w:val="111111"/>
                        </w:rPr>
                        <w:t>Student Register, UPTH, 2022). A census sampling technique was employed to include all 108 individuals, ensuring better representation and generalizability of findings.</w:t>
                      </w:r>
                    </w:p>
                    <w:p>
                      <w:pPr>
                        <w:pStyle w:val="BodyText"/>
                        <w:spacing w:before="52"/>
                        <w:rPr>
                          <w:color w:val="000000"/>
                        </w:rPr>
                      </w:pPr>
                    </w:p>
                    <w:p>
                      <w:pPr>
                        <w:pStyle w:val="BodyText"/>
                        <w:spacing w:line="480" w:lineRule="auto" w:before="1"/>
                        <w:ind w:right="11"/>
                        <w:jc w:val="both"/>
                        <w:rPr>
                          <w:color w:val="000000"/>
                        </w:rPr>
                      </w:pPr>
                      <w:r>
                        <w:rPr>
                          <w:color w:val="111111"/>
                        </w:rPr>
                        <w:t>Data were collected using a structured instrument titled "Utilization of Information and Communication Technology among Students and Lecturers Questionnaire (UICTSLQ)." The questionnaire consisted of two sections:</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1181100</wp:posOffset>
                </wp:positionH>
                <wp:positionV relativeFrom="paragraph">
                  <wp:posOffset>3871707</wp:posOffset>
                </wp:positionV>
                <wp:extent cx="5676900" cy="10668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676900" cy="1066800"/>
                        </a:xfrm>
                        <a:prstGeom prst="rect">
                          <a:avLst/>
                        </a:prstGeom>
                        <a:solidFill>
                          <a:srgbClr val="FFFFFF"/>
                        </a:solidFill>
                      </wps:spPr>
                      <wps:txbx>
                        <w:txbxContent>
                          <w:p>
                            <w:pPr>
                              <w:pStyle w:val="BodyText"/>
                              <w:numPr>
                                <w:ilvl w:val="0"/>
                                <w:numId w:val="2"/>
                              </w:numPr>
                              <w:tabs>
                                <w:tab w:pos="284" w:val="left" w:leader="none"/>
                              </w:tabs>
                              <w:spacing w:line="221" w:lineRule="exact" w:before="0" w:after="0"/>
                              <w:ind w:left="284" w:right="0" w:hanging="284"/>
                              <w:jc w:val="left"/>
                              <w:rPr>
                                <w:color w:val="000000"/>
                              </w:rPr>
                            </w:pPr>
                            <w:r>
                              <w:rPr>
                                <w:rFonts w:ascii="Arial" w:hAnsi="Arial"/>
                                <w:b/>
                                <w:color w:val="111111"/>
                              </w:rPr>
                              <w:t>Section</w:t>
                            </w:r>
                            <w:r>
                              <w:rPr>
                                <w:rFonts w:ascii="Arial" w:hAnsi="Arial"/>
                                <w:b/>
                                <w:color w:val="111111"/>
                                <w:spacing w:val="-9"/>
                              </w:rPr>
                              <w:t> </w:t>
                            </w:r>
                            <w:r>
                              <w:rPr>
                                <w:rFonts w:ascii="Arial" w:hAnsi="Arial"/>
                                <w:b/>
                                <w:color w:val="111111"/>
                              </w:rPr>
                              <w:t>A</w:t>
                            </w:r>
                            <w:r>
                              <w:rPr>
                                <w:rFonts w:ascii="Arial" w:hAnsi="Arial"/>
                                <w:b/>
                                <w:color w:val="111111"/>
                                <w:spacing w:val="-8"/>
                              </w:rPr>
                              <w:t> </w:t>
                            </w:r>
                            <w:r>
                              <w:rPr>
                                <w:color w:val="111111"/>
                              </w:rPr>
                              <w:t>captured</w:t>
                            </w:r>
                            <w:r>
                              <w:rPr>
                                <w:color w:val="111111"/>
                                <w:spacing w:val="-8"/>
                              </w:rPr>
                              <w:t> </w:t>
                            </w:r>
                            <w:r>
                              <w:rPr>
                                <w:color w:val="111111"/>
                              </w:rPr>
                              <w:t>socio-demographic</w:t>
                            </w:r>
                            <w:r>
                              <w:rPr>
                                <w:color w:val="111111"/>
                                <w:spacing w:val="-8"/>
                              </w:rPr>
                              <w:t> </w:t>
                            </w:r>
                            <w:r>
                              <w:rPr>
                                <w:color w:val="111111"/>
                                <w:spacing w:val="-2"/>
                              </w:rPr>
                              <w:t>characteristics,</w:t>
                            </w:r>
                          </w:p>
                          <w:p>
                            <w:pPr>
                              <w:pStyle w:val="BodyText"/>
                              <w:rPr>
                                <w:color w:val="000000"/>
                              </w:rPr>
                            </w:pPr>
                          </w:p>
                          <w:p>
                            <w:pPr>
                              <w:pStyle w:val="BodyText"/>
                              <w:spacing w:before="53"/>
                              <w:rPr>
                                <w:color w:val="000000"/>
                              </w:rPr>
                            </w:pPr>
                          </w:p>
                          <w:p>
                            <w:pPr>
                              <w:numPr>
                                <w:ilvl w:val="0"/>
                                <w:numId w:val="2"/>
                              </w:numPr>
                              <w:tabs>
                                <w:tab w:pos="285" w:val="left" w:leader="none"/>
                              </w:tabs>
                              <w:spacing w:line="480" w:lineRule="auto" w:before="0"/>
                              <w:ind w:left="285" w:right="12" w:hanging="285"/>
                              <w:jc w:val="left"/>
                              <w:rPr>
                                <w:color w:val="000000"/>
                                <w:sz w:val="20"/>
                              </w:rPr>
                            </w:pPr>
                            <w:r>
                              <w:rPr>
                                <w:rFonts w:ascii="Arial"/>
                                <w:b/>
                                <w:color w:val="111111"/>
                                <w:sz w:val="20"/>
                              </w:rPr>
                              <w:t>Section</w:t>
                            </w:r>
                            <w:r>
                              <w:rPr>
                                <w:rFonts w:ascii="Arial"/>
                                <w:b/>
                                <w:color w:val="111111"/>
                                <w:spacing w:val="71"/>
                                <w:sz w:val="20"/>
                              </w:rPr>
                              <w:t> </w:t>
                            </w:r>
                            <w:r>
                              <w:rPr>
                                <w:rFonts w:ascii="Arial"/>
                                <w:b/>
                                <w:color w:val="111111"/>
                                <w:sz w:val="20"/>
                              </w:rPr>
                              <w:t>B</w:t>
                            </w:r>
                            <w:r>
                              <w:rPr>
                                <w:rFonts w:ascii="Arial"/>
                                <w:b/>
                                <w:color w:val="111111"/>
                                <w:spacing w:val="71"/>
                                <w:sz w:val="20"/>
                              </w:rPr>
                              <w:t> </w:t>
                            </w:r>
                            <w:r>
                              <w:rPr>
                                <w:color w:val="111111"/>
                                <w:sz w:val="20"/>
                              </w:rPr>
                              <w:t>focused</w:t>
                            </w:r>
                            <w:r>
                              <w:rPr>
                                <w:color w:val="111111"/>
                                <w:spacing w:val="71"/>
                                <w:sz w:val="20"/>
                              </w:rPr>
                              <w:t> </w:t>
                            </w:r>
                            <w:r>
                              <w:rPr>
                                <w:color w:val="111111"/>
                                <w:sz w:val="20"/>
                              </w:rPr>
                              <w:t>on</w:t>
                            </w:r>
                            <w:r>
                              <w:rPr>
                                <w:color w:val="111111"/>
                                <w:spacing w:val="71"/>
                                <w:sz w:val="20"/>
                              </w:rPr>
                              <w:t> </w:t>
                            </w:r>
                            <w:r>
                              <w:rPr>
                                <w:color w:val="111111"/>
                                <w:sz w:val="20"/>
                              </w:rPr>
                              <w:t>study</w:t>
                            </w:r>
                            <w:r>
                              <w:rPr>
                                <w:color w:val="111111"/>
                                <w:spacing w:val="40"/>
                                <w:sz w:val="20"/>
                              </w:rPr>
                              <w:t> </w:t>
                            </w:r>
                            <w:r>
                              <w:rPr>
                                <w:color w:val="111111"/>
                                <w:sz w:val="20"/>
                              </w:rPr>
                              <w:t>variables</w:t>
                            </w:r>
                            <w:r>
                              <w:rPr>
                                <w:color w:val="111111"/>
                                <w:spacing w:val="40"/>
                                <w:sz w:val="20"/>
                              </w:rPr>
                              <w:t> </w:t>
                            </w:r>
                            <w:r>
                              <w:rPr>
                                <w:color w:val="111111"/>
                                <w:sz w:val="20"/>
                              </w:rPr>
                              <w:t>and</w:t>
                            </w:r>
                            <w:r>
                              <w:rPr>
                                <w:color w:val="111111"/>
                                <w:spacing w:val="40"/>
                                <w:sz w:val="20"/>
                              </w:rPr>
                              <w:t> </w:t>
                            </w:r>
                            <w:r>
                              <w:rPr>
                                <w:color w:val="111111"/>
                                <w:sz w:val="20"/>
                              </w:rPr>
                              <w:t>employed</w:t>
                            </w:r>
                            <w:r>
                              <w:rPr>
                                <w:color w:val="111111"/>
                                <w:spacing w:val="40"/>
                                <w:sz w:val="20"/>
                              </w:rPr>
                              <w:t> </w:t>
                            </w:r>
                            <w:r>
                              <w:rPr>
                                <w:color w:val="111111"/>
                                <w:sz w:val="20"/>
                              </w:rPr>
                              <w:t>a</w:t>
                            </w:r>
                            <w:r>
                              <w:rPr>
                                <w:color w:val="111111"/>
                                <w:spacing w:val="40"/>
                                <w:sz w:val="20"/>
                              </w:rPr>
                              <w:t> </w:t>
                            </w:r>
                            <w:r>
                              <w:rPr>
                                <w:color w:val="111111"/>
                                <w:sz w:val="20"/>
                              </w:rPr>
                              <w:t>modified</w:t>
                            </w:r>
                            <w:r>
                              <w:rPr>
                                <w:color w:val="111111"/>
                                <w:spacing w:val="40"/>
                                <w:sz w:val="20"/>
                              </w:rPr>
                              <w:t> </w:t>
                            </w:r>
                            <w:r>
                              <w:rPr>
                                <w:rFonts w:ascii="Arial"/>
                                <w:b/>
                                <w:color w:val="111111"/>
                                <w:sz w:val="20"/>
                              </w:rPr>
                              <w:t>4-point</w:t>
                            </w:r>
                            <w:r>
                              <w:rPr>
                                <w:rFonts w:ascii="Arial"/>
                                <w:b/>
                                <w:color w:val="111111"/>
                                <w:spacing w:val="40"/>
                                <w:sz w:val="20"/>
                              </w:rPr>
                              <w:t> </w:t>
                            </w:r>
                            <w:r>
                              <w:rPr>
                                <w:rFonts w:ascii="Arial"/>
                                <w:b/>
                                <w:color w:val="111111"/>
                                <w:sz w:val="20"/>
                              </w:rPr>
                              <w:t>Likert</w:t>
                            </w:r>
                            <w:r>
                              <w:rPr>
                                <w:rFonts w:ascii="Arial"/>
                                <w:b/>
                                <w:color w:val="111111"/>
                                <w:spacing w:val="40"/>
                                <w:sz w:val="20"/>
                              </w:rPr>
                              <w:t> </w:t>
                            </w:r>
                            <w:r>
                              <w:rPr>
                                <w:rFonts w:ascii="Arial"/>
                                <w:b/>
                                <w:color w:val="111111"/>
                                <w:sz w:val="20"/>
                              </w:rPr>
                              <w:t>scale</w:t>
                            </w:r>
                            <w:r>
                              <w:rPr>
                                <w:rFonts w:ascii="Arial"/>
                                <w:b/>
                                <w:color w:val="111111"/>
                                <w:spacing w:val="40"/>
                                <w:sz w:val="20"/>
                              </w:rPr>
                              <w:t> </w:t>
                            </w:r>
                            <w:r>
                              <w:rPr>
                                <w:color w:val="111111"/>
                                <w:sz w:val="20"/>
                              </w:rPr>
                              <w:t>for </w:t>
                            </w:r>
                            <w:r>
                              <w:rPr>
                                <w:color w:val="111111"/>
                                <w:spacing w:val="-2"/>
                                <w:sz w:val="20"/>
                              </w:rPr>
                              <w:t>responses.</w:t>
                            </w:r>
                          </w:p>
                        </w:txbxContent>
                      </wps:txbx>
                      <wps:bodyPr wrap="square" lIns="0" tIns="0" rIns="0" bIns="0" rtlCol="0">
                        <a:noAutofit/>
                      </wps:bodyPr>
                    </wps:wsp>
                  </a:graphicData>
                </a:graphic>
              </wp:anchor>
            </w:drawing>
          </mc:Choice>
          <mc:Fallback>
            <w:pict>
              <v:shape style="position:absolute;margin-left:93pt;margin-top:304.858887pt;width:447pt;height:84pt;mso-position-horizontal-relative:page;mso-position-vertical-relative:paragraph;z-index:-15726080;mso-wrap-distance-left:0;mso-wrap-distance-right:0" type="#_x0000_t202" id="docshape2" filled="true" fillcolor="#ffffff" stroked="false">
                <v:textbox inset="0,0,0,0">
                  <w:txbxContent>
                    <w:p>
                      <w:pPr>
                        <w:pStyle w:val="BodyText"/>
                        <w:numPr>
                          <w:ilvl w:val="0"/>
                          <w:numId w:val="2"/>
                        </w:numPr>
                        <w:tabs>
                          <w:tab w:pos="284" w:val="left" w:leader="none"/>
                        </w:tabs>
                        <w:spacing w:line="221" w:lineRule="exact" w:before="0" w:after="0"/>
                        <w:ind w:left="284" w:right="0" w:hanging="284"/>
                        <w:jc w:val="left"/>
                        <w:rPr>
                          <w:color w:val="000000"/>
                        </w:rPr>
                      </w:pPr>
                      <w:r>
                        <w:rPr>
                          <w:rFonts w:ascii="Arial" w:hAnsi="Arial"/>
                          <w:b/>
                          <w:color w:val="111111"/>
                        </w:rPr>
                        <w:t>Section</w:t>
                      </w:r>
                      <w:r>
                        <w:rPr>
                          <w:rFonts w:ascii="Arial" w:hAnsi="Arial"/>
                          <w:b/>
                          <w:color w:val="111111"/>
                          <w:spacing w:val="-9"/>
                        </w:rPr>
                        <w:t> </w:t>
                      </w:r>
                      <w:r>
                        <w:rPr>
                          <w:rFonts w:ascii="Arial" w:hAnsi="Arial"/>
                          <w:b/>
                          <w:color w:val="111111"/>
                        </w:rPr>
                        <w:t>A</w:t>
                      </w:r>
                      <w:r>
                        <w:rPr>
                          <w:rFonts w:ascii="Arial" w:hAnsi="Arial"/>
                          <w:b/>
                          <w:color w:val="111111"/>
                          <w:spacing w:val="-8"/>
                        </w:rPr>
                        <w:t> </w:t>
                      </w:r>
                      <w:r>
                        <w:rPr>
                          <w:color w:val="111111"/>
                        </w:rPr>
                        <w:t>captured</w:t>
                      </w:r>
                      <w:r>
                        <w:rPr>
                          <w:color w:val="111111"/>
                          <w:spacing w:val="-8"/>
                        </w:rPr>
                        <w:t> </w:t>
                      </w:r>
                      <w:r>
                        <w:rPr>
                          <w:color w:val="111111"/>
                        </w:rPr>
                        <w:t>socio-demographic</w:t>
                      </w:r>
                      <w:r>
                        <w:rPr>
                          <w:color w:val="111111"/>
                          <w:spacing w:val="-8"/>
                        </w:rPr>
                        <w:t> </w:t>
                      </w:r>
                      <w:r>
                        <w:rPr>
                          <w:color w:val="111111"/>
                          <w:spacing w:val="-2"/>
                        </w:rPr>
                        <w:t>characteristics,</w:t>
                      </w:r>
                    </w:p>
                    <w:p>
                      <w:pPr>
                        <w:pStyle w:val="BodyText"/>
                        <w:rPr>
                          <w:color w:val="000000"/>
                        </w:rPr>
                      </w:pPr>
                    </w:p>
                    <w:p>
                      <w:pPr>
                        <w:pStyle w:val="BodyText"/>
                        <w:spacing w:before="53"/>
                        <w:rPr>
                          <w:color w:val="000000"/>
                        </w:rPr>
                      </w:pPr>
                    </w:p>
                    <w:p>
                      <w:pPr>
                        <w:numPr>
                          <w:ilvl w:val="0"/>
                          <w:numId w:val="2"/>
                        </w:numPr>
                        <w:tabs>
                          <w:tab w:pos="285" w:val="left" w:leader="none"/>
                        </w:tabs>
                        <w:spacing w:line="480" w:lineRule="auto" w:before="0"/>
                        <w:ind w:left="285" w:right="12" w:hanging="285"/>
                        <w:jc w:val="left"/>
                        <w:rPr>
                          <w:color w:val="000000"/>
                          <w:sz w:val="20"/>
                        </w:rPr>
                      </w:pPr>
                      <w:r>
                        <w:rPr>
                          <w:rFonts w:ascii="Arial"/>
                          <w:b/>
                          <w:color w:val="111111"/>
                          <w:sz w:val="20"/>
                        </w:rPr>
                        <w:t>Section</w:t>
                      </w:r>
                      <w:r>
                        <w:rPr>
                          <w:rFonts w:ascii="Arial"/>
                          <w:b/>
                          <w:color w:val="111111"/>
                          <w:spacing w:val="71"/>
                          <w:sz w:val="20"/>
                        </w:rPr>
                        <w:t> </w:t>
                      </w:r>
                      <w:r>
                        <w:rPr>
                          <w:rFonts w:ascii="Arial"/>
                          <w:b/>
                          <w:color w:val="111111"/>
                          <w:sz w:val="20"/>
                        </w:rPr>
                        <w:t>B</w:t>
                      </w:r>
                      <w:r>
                        <w:rPr>
                          <w:rFonts w:ascii="Arial"/>
                          <w:b/>
                          <w:color w:val="111111"/>
                          <w:spacing w:val="71"/>
                          <w:sz w:val="20"/>
                        </w:rPr>
                        <w:t> </w:t>
                      </w:r>
                      <w:r>
                        <w:rPr>
                          <w:color w:val="111111"/>
                          <w:sz w:val="20"/>
                        </w:rPr>
                        <w:t>focused</w:t>
                      </w:r>
                      <w:r>
                        <w:rPr>
                          <w:color w:val="111111"/>
                          <w:spacing w:val="71"/>
                          <w:sz w:val="20"/>
                        </w:rPr>
                        <w:t> </w:t>
                      </w:r>
                      <w:r>
                        <w:rPr>
                          <w:color w:val="111111"/>
                          <w:sz w:val="20"/>
                        </w:rPr>
                        <w:t>on</w:t>
                      </w:r>
                      <w:r>
                        <w:rPr>
                          <w:color w:val="111111"/>
                          <w:spacing w:val="71"/>
                          <w:sz w:val="20"/>
                        </w:rPr>
                        <w:t> </w:t>
                      </w:r>
                      <w:r>
                        <w:rPr>
                          <w:color w:val="111111"/>
                          <w:sz w:val="20"/>
                        </w:rPr>
                        <w:t>study</w:t>
                      </w:r>
                      <w:r>
                        <w:rPr>
                          <w:color w:val="111111"/>
                          <w:spacing w:val="40"/>
                          <w:sz w:val="20"/>
                        </w:rPr>
                        <w:t> </w:t>
                      </w:r>
                      <w:r>
                        <w:rPr>
                          <w:color w:val="111111"/>
                          <w:sz w:val="20"/>
                        </w:rPr>
                        <w:t>variables</w:t>
                      </w:r>
                      <w:r>
                        <w:rPr>
                          <w:color w:val="111111"/>
                          <w:spacing w:val="40"/>
                          <w:sz w:val="20"/>
                        </w:rPr>
                        <w:t> </w:t>
                      </w:r>
                      <w:r>
                        <w:rPr>
                          <w:color w:val="111111"/>
                          <w:sz w:val="20"/>
                        </w:rPr>
                        <w:t>and</w:t>
                      </w:r>
                      <w:r>
                        <w:rPr>
                          <w:color w:val="111111"/>
                          <w:spacing w:val="40"/>
                          <w:sz w:val="20"/>
                        </w:rPr>
                        <w:t> </w:t>
                      </w:r>
                      <w:r>
                        <w:rPr>
                          <w:color w:val="111111"/>
                          <w:sz w:val="20"/>
                        </w:rPr>
                        <w:t>employed</w:t>
                      </w:r>
                      <w:r>
                        <w:rPr>
                          <w:color w:val="111111"/>
                          <w:spacing w:val="40"/>
                          <w:sz w:val="20"/>
                        </w:rPr>
                        <w:t> </w:t>
                      </w:r>
                      <w:r>
                        <w:rPr>
                          <w:color w:val="111111"/>
                          <w:sz w:val="20"/>
                        </w:rPr>
                        <w:t>a</w:t>
                      </w:r>
                      <w:r>
                        <w:rPr>
                          <w:color w:val="111111"/>
                          <w:spacing w:val="40"/>
                          <w:sz w:val="20"/>
                        </w:rPr>
                        <w:t> </w:t>
                      </w:r>
                      <w:r>
                        <w:rPr>
                          <w:color w:val="111111"/>
                          <w:sz w:val="20"/>
                        </w:rPr>
                        <w:t>modified</w:t>
                      </w:r>
                      <w:r>
                        <w:rPr>
                          <w:color w:val="111111"/>
                          <w:spacing w:val="40"/>
                          <w:sz w:val="20"/>
                        </w:rPr>
                        <w:t> </w:t>
                      </w:r>
                      <w:r>
                        <w:rPr>
                          <w:rFonts w:ascii="Arial"/>
                          <w:b/>
                          <w:color w:val="111111"/>
                          <w:sz w:val="20"/>
                        </w:rPr>
                        <w:t>4-point</w:t>
                      </w:r>
                      <w:r>
                        <w:rPr>
                          <w:rFonts w:ascii="Arial"/>
                          <w:b/>
                          <w:color w:val="111111"/>
                          <w:spacing w:val="40"/>
                          <w:sz w:val="20"/>
                        </w:rPr>
                        <w:t> </w:t>
                      </w:r>
                      <w:r>
                        <w:rPr>
                          <w:rFonts w:ascii="Arial"/>
                          <w:b/>
                          <w:color w:val="111111"/>
                          <w:sz w:val="20"/>
                        </w:rPr>
                        <w:t>Likert</w:t>
                      </w:r>
                      <w:r>
                        <w:rPr>
                          <w:rFonts w:ascii="Arial"/>
                          <w:b/>
                          <w:color w:val="111111"/>
                          <w:spacing w:val="40"/>
                          <w:sz w:val="20"/>
                        </w:rPr>
                        <w:t> </w:t>
                      </w:r>
                      <w:r>
                        <w:rPr>
                          <w:rFonts w:ascii="Arial"/>
                          <w:b/>
                          <w:color w:val="111111"/>
                          <w:sz w:val="20"/>
                        </w:rPr>
                        <w:t>scale</w:t>
                      </w:r>
                      <w:r>
                        <w:rPr>
                          <w:rFonts w:ascii="Arial"/>
                          <w:b/>
                          <w:color w:val="111111"/>
                          <w:spacing w:val="40"/>
                          <w:sz w:val="20"/>
                        </w:rPr>
                        <w:t> </w:t>
                      </w:r>
                      <w:r>
                        <w:rPr>
                          <w:color w:val="111111"/>
                          <w:sz w:val="20"/>
                        </w:rPr>
                        <w:t>for </w:t>
                      </w:r>
                      <w:r>
                        <w:rPr>
                          <w:color w:val="111111"/>
                          <w:spacing w:val="-2"/>
                          <w:sz w:val="20"/>
                        </w:rPr>
                        <w:t>responses.</w:t>
                      </w:r>
                    </w:p>
                  </w:txbxContent>
                </v:textbox>
                <v:fill type="solid"/>
                <w10:wrap type="topAndBottom"/>
              </v:shape>
            </w:pict>
          </mc:Fallback>
        </mc:AlternateContent>
      </w:r>
    </w:p>
    <w:p>
      <w:pPr>
        <w:pStyle w:val="BodyText"/>
        <w:spacing w:before="26"/>
      </w:pPr>
    </w:p>
    <w:p>
      <w:pPr>
        <w:pStyle w:val="BodyText"/>
        <w:spacing w:before="27"/>
      </w:pPr>
    </w:p>
    <w:p>
      <w:pPr>
        <w:pStyle w:val="BodyText"/>
        <w:spacing w:line="480" w:lineRule="auto"/>
        <w:ind w:left="360" w:right="718"/>
        <w:jc w:val="both"/>
      </w:pPr>
      <w:r>
        <w:rPr/>
        <mc:AlternateContent>
          <mc:Choice Requires="wps">
            <w:drawing>
              <wp:anchor distT="0" distB="0" distL="0" distR="0" allowOverlap="1" layoutInCell="1" locked="0" behindDoc="1" simplePos="0" relativeHeight="486927872">
                <wp:simplePos x="0" y="0"/>
                <wp:positionH relativeFrom="page">
                  <wp:posOffset>914400</wp:posOffset>
                </wp:positionH>
                <wp:positionV relativeFrom="paragraph">
                  <wp:posOffset>1929</wp:posOffset>
                </wp:positionV>
                <wp:extent cx="5943600" cy="17653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943600" cy="1765300"/>
                        </a:xfrm>
                        <a:custGeom>
                          <a:avLst/>
                          <a:gdLst/>
                          <a:ahLst/>
                          <a:cxnLst/>
                          <a:rect l="l" t="t" r="r" b="b"/>
                          <a:pathLst>
                            <a:path w="5943600" h="1765300">
                              <a:moveTo>
                                <a:pt x="5943600" y="0"/>
                              </a:moveTo>
                              <a:lnTo>
                                <a:pt x="0" y="0"/>
                              </a:lnTo>
                              <a:lnTo>
                                <a:pt x="0" y="292100"/>
                              </a:lnTo>
                              <a:lnTo>
                                <a:pt x="0" y="304800"/>
                              </a:lnTo>
                              <a:lnTo>
                                <a:pt x="0" y="1765300"/>
                              </a:lnTo>
                              <a:lnTo>
                                <a:pt x="5943600" y="1765300"/>
                              </a:lnTo>
                              <a:lnTo>
                                <a:pt x="5943600" y="292100"/>
                              </a:lnTo>
                              <a:lnTo>
                                <a:pt x="5943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2pt;margin-top:.151963pt;width:468pt;height:139pt;mso-position-horizontal-relative:page;mso-position-vertical-relative:paragraph;z-index:-16388608" id="docshape3" coordorigin="1440,3" coordsize="9360,2780" path="m10800,3l1440,3,1440,463,1440,483,1440,2783,10800,2783,10800,463,10800,3xe" filled="true" fillcolor="#ffffff" stroked="false">
                <v:path arrowok="t"/>
                <v:fill type="solid"/>
                <w10:wrap type="none"/>
              </v:shape>
            </w:pict>
          </mc:Fallback>
        </mc:AlternateContent>
      </w:r>
      <w:r>
        <w:rPr>
          <w:color w:val="111111"/>
        </w:rPr>
        <w:t>The instrument underwent face and content validation by the research supervisor and experts in Educational Technology and Measurement and Evaluation. Their expert feedback was used to improve the final draft. A pilot test conducted with 8 students and</w:t>
      </w:r>
      <w:r>
        <w:rPr>
          <w:color w:val="111111"/>
          <w:spacing w:val="-2"/>
        </w:rPr>
        <w:t> </w:t>
      </w:r>
      <w:r>
        <w:rPr>
          <w:color w:val="111111"/>
        </w:rPr>
        <w:t>4</w:t>
      </w:r>
      <w:r>
        <w:rPr>
          <w:color w:val="111111"/>
          <w:spacing w:val="-2"/>
        </w:rPr>
        <w:t> </w:t>
      </w:r>
      <w:r>
        <w:rPr>
          <w:color w:val="111111"/>
        </w:rPr>
        <w:t>lecturers</w:t>
      </w:r>
      <w:r>
        <w:rPr>
          <w:color w:val="111111"/>
          <w:spacing w:val="-2"/>
        </w:rPr>
        <w:t> </w:t>
      </w:r>
      <w:r>
        <w:rPr>
          <w:color w:val="111111"/>
        </w:rPr>
        <w:t>from</w:t>
      </w:r>
      <w:r>
        <w:rPr>
          <w:color w:val="111111"/>
          <w:spacing w:val="-2"/>
        </w:rPr>
        <w:t> </w:t>
      </w:r>
      <w:r>
        <w:rPr>
          <w:color w:val="111111"/>
        </w:rPr>
        <w:t>a</w:t>
      </w:r>
      <w:r>
        <w:rPr>
          <w:color w:val="111111"/>
          <w:spacing w:val="-2"/>
        </w:rPr>
        <w:t> </w:t>
      </w:r>
      <w:r>
        <w:rPr>
          <w:color w:val="111111"/>
        </w:rPr>
        <w:t>Post-Basic</w:t>
      </w:r>
      <w:r>
        <w:rPr>
          <w:color w:val="111111"/>
          <w:spacing w:val="-2"/>
        </w:rPr>
        <w:t> </w:t>
      </w:r>
      <w:r>
        <w:rPr>
          <w:color w:val="111111"/>
        </w:rPr>
        <w:t>Nursing</w:t>
      </w:r>
      <w:r>
        <w:rPr>
          <w:color w:val="111111"/>
          <w:spacing w:val="-2"/>
        </w:rPr>
        <w:t> </w:t>
      </w:r>
      <w:r>
        <w:rPr>
          <w:color w:val="111111"/>
        </w:rPr>
        <w:t>School</w:t>
      </w:r>
      <w:r>
        <w:rPr>
          <w:color w:val="111111"/>
          <w:spacing w:val="-2"/>
        </w:rPr>
        <w:t> </w:t>
      </w:r>
      <w:r>
        <w:rPr>
          <w:color w:val="111111"/>
        </w:rPr>
        <w:t>in Bayelsa State, Nigeria, produced a Cronbach's Alpha coefficient of 0.84, indicating high reliability. The researcher personally administered the questionnaires over a period of three days, following ethical approval.</w:t>
      </w:r>
      <w:r>
        <w:rPr>
          <w:color w:val="111111"/>
          <w:spacing w:val="39"/>
        </w:rPr>
        <w:t> </w:t>
      </w:r>
      <w:r>
        <w:rPr>
          <w:color w:val="111111"/>
        </w:rPr>
        <w:t>To</w:t>
      </w:r>
      <w:r>
        <w:rPr>
          <w:color w:val="111111"/>
          <w:spacing w:val="25"/>
        </w:rPr>
        <w:t> </w:t>
      </w:r>
      <w:r>
        <w:rPr>
          <w:color w:val="111111"/>
        </w:rPr>
        <w:t>ensure</w:t>
      </w:r>
      <w:r>
        <w:rPr>
          <w:color w:val="111111"/>
          <w:spacing w:val="25"/>
        </w:rPr>
        <w:t> </w:t>
      </w:r>
      <w:r>
        <w:rPr>
          <w:color w:val="111111"/>
        </w:rPr>
        <w:t>a</w:t>
      </w:r>
      <w:r>
        <w:rPr>
          <w:color w:val="111111"/>
          <w:spacing w:val="25"/>
        </w:rPr>
        <w:t> </w:t>
      </w:r>
      <w:r>
        <w:rPr>
          <w:color w:val="111111"/>
        </w:rPr>
        <w:t>high</w:t>
      </w:r>
      <w:r>
        <w:rPr>
          <w:color w:val="111111"/>
          <w:spacing w:val="25"/>
        </w:rPr>
        <w:t> </w:t>
      </w:r>
      <w:r>
        <w:rPr>
          <w:color w:val="111111"/>
        </w:rPr>
        <w:t>response</w:t>
      </w:r>
      <w:r>
        <w:rPr>
          <w:color w:val="111111"/>
          <w:spacing w:val="25"/>
        </w:rPr>
        <w:t> </w:t>
      </w:r>
      <w:r>
        <w:rPr>
          <w:color w:val="111111"/>
        </w:rPr>
        <w:t>rate,</w:t>
      </w:r>
      <w:r>
        <w:rPr>
          <w:color w:val="111111"/>
          <w:spacing w:val="25"/>
        </w:rPr>
        <w:t> </w:t>
      </w:r>
      <w:r>
        <w:rPr>
          <w:color w:val="111111"/>
        </w:rPr>
        <w:t>completed</w:t>
      </w:r>
      <w:r>
        <w:rPr>
          <w:color w:val="111111"/>
          <w:spacing w:val="25"/>
        </w:rPr>
        <w:t> </w:t>
      </w:r>
      <w:r>
        <w:rPr>
          <w:color w:val="111111"/>
        </w:rPr>
        <w:t>questionnaires</w:t>
      </w:r>
      <w:r>
        <w:rPr>
          <w:color w:val="111111"/>
          <w:spacing w:val="25"/>
        </w:rPr>
        <w:t> </w:t>
      </w:r>
      <w:r>
        <w:rPr>
          <w:color w:val="111111"/>
        </w:rPr>
        <w:t>were</w:t>
      </w:r>
      <w:r>
        <w:rPr>
          <w:color w:val="111111"/>
          <w:spacing w:val="25"/>
        </w:rPr>
        <w:t> </w:t>
      </w:r>
      <w:r>
        <w:rPr>
          <w:color w:val="111111"/>
        </w:rPr>
        <w:t>retrieved</w:t>
      </w:r>
      <w:r>
        <w:rPr>
          <w:color w:val="111111"/>
          <w:spacing w:val="25"/>
        </w:rPr>
        <w:t> </w:t>
      </w:r>
      <w:r>
        <w:rPr>
          <w:color w:val="111111"/>
        </w:rPr>
        <w:t>on</w:t>
      </w:r>
      <w:r>
        <w:rPr>
          <w:color w:val="111111"/>
          <w:spacing w:val="25"/>
        </w:rPr>
        <w:t> </w:t>
      </w:r>
      <w:r>
        <w:rPr>
          <w:color w:val="111111"/>
        </w:rPr>
        <w:t>the</w:t>
      </w:r>
      <w:r>
        <w:rPr>
          <w:color w:val="111111"/>
          <w:spacing w:val="25"/>
        </w:rPr>
        <w:t> </w:t>
      </w:r>
      <w:r>
        <w:rPr>
          <w:color w:val="111111"/>
        </w:rPr>
        <w:t>spot.</w:t>
      </w:r>
      <w:r>
        <w:rPr>
          <w:color w:val="111111"/>
          <w:spacing w:val="25"/>
        </w:rPr>
        <w:t> </w:t>
      </w:r>
      <w:r>
        <w:rPr>
          <w:color w:val="111111"/>
        </w:rPr>
        <w:t>Data</w:t>
      </w:r>
    </w:p>
    <w:p>
      <w:pPr>
        <w:pStyle w:val="BodyText"/>
        <w:spacing w:after="0" w:line="480" w:lineRule="auto"/>
        <w:jc w:val="both"/>
        <w:sectPr>
          <w:pgSz w:w="12240" w:h="15840"/>
          <w:pgMar w:top="1360" w:bottom="280" w:left="1080" w:right="720"/>
        </w:sectPr>
      </w:pPr>
    </w:p>
    <w:p>
      <w:pPr>
        <w:pStyle w:val="BodyText"/>
        <w:spacing w:line="480" w:lineRule="auto" w:before="80"/>
        <w:ind w:left="360" w:right="721"/>
        <w:jc w:val="both"/>
      </w:pPr>
      <w:r>
        <w:rPr>
          <w:color w:val="111111"/>
        </w:rPr>
        <w:t>were analyzed using both descriptive and inferential statistics. The research questions were analyzed using frequency counts, means, and standard deviations, while the hypotheses were tested using z-test inferential statistics at the 0.05 level of significance.</w:t>
      </w:r>
    </w:p>
    <w:p>
      <w:pPr>
        <w:pStyle w:val="BodyText"/>
        <w:spacing w:before="53"/>
      </w:pPr>
    </w:p>
    <w:p>
      <w:pPr>
        <w:spacing w:before="0"/>
        <w:ind w:left="360" w:right="0" w:firstLine="0"/>
        <w:jc w:val="left"/>
        <w:rPr>
          <w:rFonts w:ascii="Arial"/>
          <w:b/>
          <w:sz w:val="20"/>
        </w:rPr>
      </w:pPr>
      <w:r>
        <w:rPr>
          <w:rFonts w:ascii="Arial"/>
          <w:b/>
          <w:sz w:val="20"/>
        </w:rPr>
        <w:drawing>
          <wp:anchor distT="0" distB="0" distL="0" distR="0" allowOverlap="1" layoutInCell="1" locked="0" behindDoc="1" simplePos="0" relativeHeight="486929408">
            <wp:simplePos x="0" y="0"/>
            <wp:positionH relativeFrom="page">
              <wp:posOffset>919162</wp:posOffset>
            </wp:positionH>
            <wp:positionV relativeFrom="paragraph">
              <wp:posOffset>91844</wp:posOffset>
            </wp:positionV>
            <wp:extent cx="5934075" cy="593407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w:b/>
          <w:sz w:val="20"/>
        </w:rPr>
        <mc:AlternateContent>
          <mc:Choice Requires="wps">
            <w:drawing>
              <wp:anchor distT="0" distB="0" distL="0" distR="0" allowOverlap="1" layoutInCell="1" locked="0" behindDoc="1" simplePos="0" relativeHeight="486929920">
                <wp:simplePos x="0" y="0"/>
                <wp:positionH relativeFrom="page">
                  <wp:posOffset>914400</wp:posOffset>
                </wp:positionH>
                <wp:positionV relativeFrom="paragraph">
                  <wp:posOffset>-1819</wp:posOffset>
                </wp:positionV>
                <wp:extent cx="5943600" cy="3048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943600" cy="304800"/>
                        </a:xfrm>
                        <a:custGeom>
                          <a:avLst/>
                          <a:gdLst/>
                          <a:ahLst/>
                          <a:cxnLst/>
                          <a:rect l="l" t="t" r="r" b="b"/>
                          <a:pathLst>
                            <a:path w="5943600" h="304800">
                              <a:moveTo>
                                <a:pt x="5943600" y="304799"/>
                              </a:moveTo>
                              <a:lnTo>
                                <a:pt x="0" y="304799"/>
                              </a:lnTo>
                              <a:lnTo>
                                <a:pt x="0" y="0"/>
                              </a:lnTo>
                              <a:lnTo>
                                <a:pt x="5943600" y="0"/>
                              </a:lnTo>
                              <a:lnTo>
                                <a:pt x="5943600" y="30479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72pt;margin-top:-.143262pt;width:468pt;height:24pt;mso-position-horizontal-relative:page;mso-position-vertical-relative:paragraph;z-index:-16386560" id="docshape4" filled="true" fillcolor="#ffffff" stroked="false">
                <v:fill type="solid"/>
                <w10:wrap type="none"/>
              </v:rect>
            </w:pict>
          </mc:Fallback>
        </mc:AlternateContent>
      </w:r>
      <w:r>
        <w:rPr>
          <w:rFonts w:ascii="Arial"/>
          <w:b/>
          <w:color w:val="111111"/>
          <w:spacing w:val="-2"/>
          <w:sz w:val="20"/>
        </w:rPr>
        <w:t>Results</w:t>
      </w:r>
    </w:p>
    <w:p>
      <w:pPr>
        <w:pStyle w:val="BodyText"/>
        <w:spacing w:before="120"/>
        <w:rPr>
          <w:rFonts w:ascii="Arial"/>
          <w:b/>
        </w:rPr>
      </w:pPr>
    </w:p>
    <w:p>
      <w:pPr>
        <w:pStyle w:val="BodyText"/>
        <w:spacing w:line="360" w:lineRule="auto"/>
        <w:ind w:left="360" w:right="721"/>
        <w:jc w:val="both"/>
      </w:pPr>
      <w:r>
        <w:rPr>
          <w:rFonts w:ascii="Arial"/>
          <w:b/>
        </w:rPr>
        <w:t>Research</w:t>
      </w:r>
      <w:r>
        <w:rPr>
          <w:rFonts w:ascii="Arial"/>
          <w:b/>
          <w:spacing w:val="-5"/>
        </w:rPr>
        <w:t> </w:t>
      </w:r>
      <w:r>
        <w:rPr>
          <w:rFonts w:ascii="Arial"/>
          <w:b/>
        </w:rPr>
        <w:t>Question</w:t>
      </w:r>
      <w:r>
        <w:rPr>
          <w:rFonts w:ascii="Arial"/>
          <w:b/>
          <w:spacing w:val="-5"/>
        </w:rPr>
        <w:t> </w:t>
      </w:r>
      <w:r>
        <w:rPr>
          <w:rFonts w:ascii="Arial"/>
          <w:b/>
        </w:rPr>
        <w:t>1:</w:t>
      </w:r>
      <w:r>
        <w:rPr>
          <w:rFonts w:ascii="Arial"/>
          <w:b/>
          <w:spacing w:val="-5"/>
        </w:rPr>
        <w:t> </w:t>
      </w:r>
      <w:r>
        <w:rPr/>
        <w:t>To</w:t>
      </w:r>
      <w:r>
        <w:rPr>
          <w:spacing w:val="-5"/>
        </w:rPr>
        <w:t> </w:t>
      </w:r>
      <w:r>
        <w:rPr/>
        <w:t>what</w:t>
      </w:r>
      <w:r>
        <w:rPr>
          <w:spacing w:val="-5"/>
        </w:rPr>
        <w:t> </w:t>
      </w:r>
      <w:r>
        <w:rPr/>
        <w:t>extent</w:t>
      </w:r>
      <w:r>
        <w:rPr>
          <w:spacing w:val="-5"/>
        </w:rPr>
        <w:t> </w:t>
      </w:r>
      <w:r>
        <w:rPr/>
        <w:t>is</w:t>
      </w:r>
      <w:r>
        <w:rPr>
          <w:spacing w:val="-5"/>
        </w:rPr>
        <w:t> </w:t>
      </w:r>
      <w:r>
        <w:rPr/>
        <w:t>information</w:t>
      </w:r>
      <w:r>
        <w:rPr>
          <w:spacing w:val="-5"/>
        </w:rPr>
        <w:t> </w:t>
      </w:r>
      <w:r>
        <w:rPr/>
        <w:t>and</w:t>
      </w:r>
      <w:r>
        <w:rPr>
          <w:spacing w:val="-5"/>
        </w:rPr>
        <w:t> </w:t>
      </w:r>
      <w:r>
        <w:rPr/>
        <w:t>communication</w:t>
      </w:r>
      <w:r>
        <w:rPr>
          <w:spacing w:val="-5"/>
        </w:rPr>
        <w:t> </w:t>
      </w:r>
      <w:r>
        <w:rPr/>
        <w:t>technology</w:t>
      </w:r>
      <w:r>
        <w:rPr>
          <w:spacing w:val="-5"/>
        </w:rPr>
        <w:t> </w:t>
      </w:r>
      <w:r>
        <w:rPr/>
        <w:t>utilized</w:t>
      </w:r>
      <w:r>
        <w:rPr>
          <w:spacing w:val="-5"/>
        </w:rPr>
        <w:t> </w:t>
      </w:r>
      <w:r>
        <w:rPr/>
        <w:t>by</w:t>
      </w:r>
      <w:r>
        <w:rPr>
          <w:spacing w:val="-5"/>
        </w:rPr>
        <w:t> </w:t>
      </w:r>
      <w:r>
        <w:rPr/>
        <w:t>post</w:t>
      </w:r>
      <w:r>
        <w:rPr>
          <w:spacing w:val="-5"/>
        </w:rPr>
        <w:t> </w:t>
      </w:r>
      <w:r>
        <w:rPr/>
        <w:t>basic nursing students of University of Port Harcourt Teaching Hospital?</w:t>
      </w:r>
    </w:p>
    <w:p>
      <w:pPr>
        <w:pStyle w:val="BodyText"/>
      </w:pPr>
    </w:p>
    <w:p>
      <w:pPr>
        <w:pStyle w:val="BodyText"/>
        <w:spacing w:before="47"/>
      </w:pPr>
    </w:p>
    <w:tbl>
      <w:tblPr>
        <w:tblW w:w="0" w:type="auto"/>
        <w:jc w:val="left"/>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20"/>
        <w:gridCol w:w="5580"/>
        <w:gridCol w:w="640"/>
        <w:gridCol w:w="620"/>
        <w:gridCol w:w="720"/>
        <w:gridCol w:w="660"/>
        <w:gridCol w:w="1060"/>
      </w:tblGrid>
      <w:tr>
        <w:trPr>
          <w:trHeight w:val="719" w:hRule="atLeast"/>
        </w:trPr>
        <w:tc>
          <w:tcPr>
            <w:tcW w:w="9900" w:type="dxa"/>
            <w:gridSpan w:val="7"/>
          </w:tcPr>
          <w:p>
            <w:pPr>
              <w:pStyle w:val="TableParagraph"/>
              <w:spacing w:line="276" w:lineRule="auto"/>
              <w:ind w:left="109" w:right="115"/>
              <w:jc w:val="left"/>
              <w:rPr>
                <w:rFonts w:ascii="Arial"/>
                <w:b/>
                <w:sz w:val="20"/>
              </w:rPr>
            </w:pPr>
            <w:r>
              <w:rPr>
                <w:rFonts w:ascii="Arial"/>
                <w:b/>
                <w:sz w:val="20"/>
              </w:rPr>
              <w:t>Table 1: Means Scores and Standard Deviation of Male and Female Students on the Extent to</w:t>
            </w:r>
            <w:r>
              <w:rPr>
                <w:rFonts w:ascii="Arial"/>
                <w:b/>
                <w:spacing w:val="-3"/>
                <w:sz w:val="20"/>
              </w:rPr>
              <w:t> </w:t>
            </w:r>
            <w:r>
              <w:rPr>
                <w:rFonts w:ascii="Arial"/>
                <w:b/>
                <w:sz w:val="20"/>
              </w:rPr>
              <w:t>which Information and Communication Technology (ICT) is Used (n=86)</w:t>
            </w:r>
          </w:p>
        </w:tc>
      </w:tr>
      <w:tr>
        <w:trPr>
          <w:trHeight w:val="460" w:hRule="atLeast"/>
        </w:trPr>
        <w:tc>
          <w:tcPr>
            <w:tcW w:w="620" w:type="dxa"/>
            <w:vMerge w:val="restart"/>
          </w:tcPr>
          <w:p>
            <w:pPr>
              <w:pStyle w:val="TableParagraph"/>
              <w:ind w:left="109"/>
              <w:jc w:val="left"/>
              <w:rPr>
                <w:rFonts w:ascii="Arial"/>
                <w:b/>
                <w:sz w:val="20"/>
              </w:rPr>
            </w:pPr>
            <w:r>
              <w:rPr>
                <w:rFonts w:ascii="Arial"/>
                <w:b/>
                <w:spacing w:val="-5"/>
                <w:sz w:val="20"/>
              </w:rPr>
              <w:t>S/N</w:t>
            </w:r>
          </w:p>
        </w:tc>
        <w:tc>
          <w:tcPr>
            <w:tcW w:w="5580" w:type="dxa"/>
            <w:vMerge w:val="restart"/>
          </w:tcPr>
          <w:p>
            <w:pPr>
              <w:pStyle w:val="TableParagraph"/>
              <w:ind w:left="119"/>
              <w:jc w:val="left"/>
              <w:rPr>
                <w:rFonts w:ascii="Arial"/>
                <w:b/>
                <w:sz w:val="20"/>
              </w:rPr>
            </w:pPr>
            <w:r>
              <w:rPr>
                <w:rFonts w:ascii="Arial"/>
                <w:b/>
                <w:spacing w:val="-2"/>
                <w:sz w:val="20"/>
              </w:rPr>
              <w:t>Items</w:t>
            </w:r>
          </w:p>
        </w:tc>
        <w:tc>
          <w:tcPr>
            <w:tcW w:w="1260" w:type="dxa"/>
            <w:gridSpan w:val="2"/>
            <w:tcBorders>
              <w:bottom w:val="nil"/>
            </w:tcBorders>
          </w:tcPr>
          <w:p>
            <w:pPr>
              <w:pStyle w:val="TableParagraph"/>
              <w:spacing w:line="230" w:lineRule="atLeast"/>
              <w:ind w:left="119" w:right="562"/>
              <w:jc w:val="left"/>
              <w:rPr>
                <w:rFonts w:ascii="Arial"/>
                <w:b/>
                <w:sz w:val="20"/>
              </w:rPr>
            </w:pPr>
            <w:r>
              <w:rPr>
                <w:rFonts w:ascii="Arial"/>
                <w:b/>
                <w:spacing w:val="-2"/>
                <w:sz w:val="20"/>
              </w:rPr>
              <w:t>Males (n=9)</w:t>
            </w:r>
          </w:p>
        </w:tc>
        <w:tc>
          <w:tcPr>
            <w:tcW w:w="1380" w:type="dxa"/>
            <w:gridSpan w:val="2"/>
          </w:tcPr>
          <w:p>
            <w:pPr>
              <w:pStyle w:val="TableParagraph"/>
              <w:spacing w:line="230" w:lineRule="atLeast"/>
              <w:ind w:left="119" w:right="437"/>
              <w:jc w:val="left"/>
              <w:rPr>
                <w:rFonts w:ascii="Arial"/>
                <w:b/>
                <w:sz w:val="20"/>
              </w:rPr>
            </w:pPr>
            <w:r>
              <w:rPr>
                <w:rFonts w:ascii="Arial"/>
                <w:b/>
                <w:spacing w:val="-2"/>
                <w:sz w:val="20"/>
              </w:rPr>
              <w:t>Females (n=77)</w:t>
            </w:r>
          </w:p>
        </w:tc>
        <w:tc>
          <w:tcPr>
            <w:tcW w:w="1060" w:type="dxa"/>
          </w:tcPr>
          <w:p>
            <w:pPr>
              <w:pStyle w:val="TableParagraph"/>
              <w:spacing w:line="230" w:lineRule="atLeast"/>
              <w:ind w:left="119" w:right="405"/>
              <w:jc w:val="left"/>
              <w:rPr>
                <w:rFonts w:ascii="Arial"/>
                <w:b/>
                <w:sz w:val="20"/>
              </w:rPr>
            </w:pPr>
            <w:r>
              <w:rPr>
                <w:rFonts w:ascii="Arial"/>
                <w:b/>
                <w:spacing w:val="-4"/>
                <w:sz w:val="20"/>
              </w:rPr>
              <w:t>Mean set</w:t>
            </w:r>
          </w:p>
        </w:tc>
      </w:tr>
      <w:tr>
        <w:trPr>
          <w:trHeight w:val="499" w:hRule="atLeast"/>
        </w:trPr>
        <w:tc>
          <w:tcPr>
            <w:tcW w:w="620" w:type="dxa"/>
            <w:vMerge/>
            <w:tcBorders>
              <w:top w:val="nil"/>
            </w:tcBorders>
          </w:tcPr>
          <w:p>
            <w:pPr>
              <w:rPr>
                <w:sz w:val="2"/>
                <w:szCs w:val="2"/>
              </w:rPr>
            </w:pPr>
          </w:p>
        </w:tc>
        <w:tc>
          <w:tcPr>
            <w:tcW w:w="5580" w:type="dxa"/>
            <w:vMerge/>
            <w:tcBorders>
              <w:top w:val="nil"/>
            </w:tcBorders>
          </w:tcPr>
          <w:p>
            <w:pPr>
              <w:rPr>
                <w:sz w:val="2"/>
                <w:szCs w:val="2"/>
              </w:rPr>
            </w:pPr>
          </w:p>
        </w:tc>
        <w:tc>
          <w:tcPr>
            <w:tcW w:w="640" w:type="dxa"/>
            <w:tcBorders>
              <w:top w:val="nil"/>
            </w:tcBorders>
          </w:tcPr>
          <w:p>
            <w:pPr>
              <w:pStyle w:val="TableParagraph"/>
              <w:spacing w:before="37"/>
              <w:rPr>
                <w:rFonts w:ascii="Cambria Math" w:eastAsia="Cambria Math"/>
                <w:sz w:val="20"/>
              </w:rPr>
            </w:pPr>
            <w:r>
              <w:rPr>
                <w:rFonts w:ascii="Cambria Math" w:eastAsia="Cambria Math"/>
                <w:spacing w:val="-10"/>
                <w:sz w:val="20"/>
              </w:rPr>
              <w:t>𝑋</w:t>
            </w:r>
          </w:p>
        </w:tc>
        <w:tc>
          <w:tcPr>
            <w:tcW w:w="620" w:type="dxa"/>
          </w:tcPr>
          <w:p>
            <w:pPr>
              <w:pStyle w:val="TableParagraph"/>
              <w:spacing w:before="137"/>
              <w:rPr>
                <w:rFonts w:ascii="Arial"/>
                <w:b/>
                <w:sz w:val="20"/>
              </w:rPr>
            </w:pPr>
            <w:r>
              <w:rPr>
                <w:rFonts w:ascii="Arial"/>
                <w:b/>
                <w:spacing w:val="-5"/>
                <w:sz w:val="20"/>
              </w:rPr>
              <w:t>SD</w:t>
            </w:r>
          </w:p>
        </w:tc>
        <w:tc>
          <w:tcPr>
            <w:tcW w:w="720" w:type="dxa"/>
          </w:tcPr>
          <w:p>
            <w:pPr>
              <w:pStyle w:val="TableParagraph"/>
              <w:spacing w:before="7"/>
              <w:ind w:left="0"/>
              <w:jc w:val="left"/>
              <w:rPr>
                <w:sz w:val="2"/>
              </w:rPr>
            </w:pPr>
          </w:p>
          <w:p>
            <w:pPr>
              <w:pStyle w:val="TableParagraph"/>
              <w:spacing w:line="20" w:lineRule="exact"/>
              <w:ind w:left="290"/>
              <w:jc w:val="left"/>
              <w:rPr>
                <w:sz w:val="2"/>
              </w:rPr>
            </w:pPr>
            <w:r>
              <w:rPr>
                <w:sz w:val="2"/>
              </w:rPr>
              <mc:AlternateContent>
                <mc:Choice Requires="wps">
                  <w:drawing>
                    <wp:inline distT="0" distB="0" distL="0" distR="0">
                      <wp:extent cx="88900" cy="12700"/>
                      <wp:effectExtent l="9525" t="0" r="6350" b="6350"/>
                      <wp:docPr id="11" name="Group 11"/>
                      <wp:cNvGraphicFramePr>
                        <a:graphicFrameLocks/>
                      </wp:cNvGraphicFramePr>
                      <a:graphic>
                        <a:graphicData uri="http://schemas.microsoft.com/office/word/2010/wordprocessingGroup">
                          <wpg:wgp>
                            <wpg:cNvPr id="11" name="Group 11"/>
                            <wpg:cNvGrpSpPr/>
                            <wpg:grpSpPr>
                              <a:xfrm>
                                <a:off x="0" y="0"/>
                                <a:ext cx="88900" cy="12700"/>
                                <a:chExt cx="88900" cy="12700"/>
                              </a:xfrm>
                            </wpg:grpSpPr>
                            <wps:wsp>
                              <wps:cNvPr id="12" name="Graphic 12"/>
                              <wps:cNvSpPr/>
                              <wps:spPr>
                                <a:xfrm>
                                  <a:off x="0" y="6350"/>
                                  <a:ext cx="88900" cy="1270"/>
                                </a:xfrm>
                                <a:custGeom>
                                  <a:avLst/>
                                  <a:gdLst/>
                                  <a:ahLst/>
                                  <a:cxnLst/>
                                  <a:rect l="l" t="t" r="r" b="b"/>
                                  <a:pathLst>
                                    <a:path w="88900" h="0">
                                      <a:moveTo>
                                        <a:pt x="0" y="0"/>
                                      </a:moveTo>
                                      <a:lnTo>
                                        <a:pt x="889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pt;height:1pt;mso-position-horizontal-relative:char;mso-position-vertical-relative:line" id="docshapegroup5" coordorigin="0,0" coordsize="140,20">
                      <v:line style="position:absolute" from="0,10" to="140,10" stroked="true" strokeweight="1.0pt" strokecolor="#000000">
                        <v:stroke dashstyle="solid"/>
                      </v:line>
                    </v:group>
                  </w:pict>
                </mc:Fallback>
              </mc:AlternateContent>
            </w:r>
            <w:r>
              <w:rPr>
                <w:sz w:val="2"/>
              </w:rPr>
            </w:r>
          </w:p>
          <w:p>
            <w:pPr>
              <w:pStyle w:val="TableParagraph"/>
              <w:ind w:left="20"/>
              <w:rPr>
                <w:rFonts w:ascii="Cambria Math" w:eastAsia="Cambria Math"/>
                <w:sz w:val="20"/>
              </w:rPr>
            </w:pPr>
            <w:r>
              <w:rPr>
                <w:rFonts w:ascii="Cambria Math" w:eastAsia="Cambria Math"/>
                <w:spacing w:val="-10"/>
                <w:sz w:val="20"/>
              </w:rPr>
              <w:t>𝑋</w:t>
            </w:r>
          </w:p>
        </w:tc>
        <w:tc>
          <w:tcPr>
            <w:tcW w:w="660" w:type="dxa"/>
          </w:tcPr>
          <w:p>
            <w:pPr>
              <w:pStyle w:val="TableParagraph"/>
              <w:spacing w:before="137"/>
              <w:ind w:left="20"/>
              <w:rPr>
                <w:rFonts w:ascii="Arial"/>
                <w:b/>
                <w:sz w:val="20"/>
              </w:rPr>
            </w:pPr>
            <w:r>
              <w:rPr>
                <w:rFonts w:ascii="Arial"/>
                <w:b/>
                <w:spacing w:val="-5"/>
                <w:sz w:val="20"/>
              </w:rPr>
              <w:t>SD</w:t>
            </w:r>
          </w:p>
        </w:tc>
        <w:tc>
          <w:tcPr>
            <w:tcW w:w="1060" w:type="dxa"/>
          </w:tcPr>
          <w:p>
            <w:pPr>
              <w:pStyle w:val="TableParagraph"/>
              <w:spacing w:line="20" w:lineRule="exact"/>
              <w:ind w:left="380"/>
              <w:jc w:val="left"/>
              <w:rPr>
                <w:sz w:val="2"/>
              </w:rPr>
            </w:pPr>
            <w:r>
              <w:rPr>
                <w:sz w:val="2"/>
              </w:rPr>
              <mc:AlternateContent>
                <mc:Choice Requires="wps">
                  <w:drawing>
                    <wp:inline distT="0" distB="0" distL="0" distR="0">
                      <wp:extent cx="165100" cy="12700"/>
                      <wp:effectExtent l="9525" t="0" r="6350" b="6350"/>
                      <wp:docPr id="13" name="Group 13"/>
                      <wp:cNvGraphicFramePr>
                        <a:graphicFrameLocks/>
                      </wp:cNvGraphicFramePr>
                      <a:graphic>
                        <a:graphicData uri="http://schemas.microsoft.com/office/word/2010/wordprocessingGroup">
                          <wpg:wgp>
                            <wpg:cNvPr id="13" name="Group 13"/>
                            <wpg:cNvGrpSpPr/>
                            <wpg:grpSpPr>
                              <a:xfrm>
                                <a:off x="0" y="0"/>
                                <a:ext cx="165100" cy="12700"/>
                                <a:chExt cx="165100" cy="12700"/>
                              </a:xfrm>
                            </wpg:grpSpPr>
                            <wps:wsp>
                              <wps:cNvPr id="14" name="Graphic 14"/>
                              <wps:cNvSpPr/>
                              <wps:spPr>
                                <a:xfrm>
                                  <a:off x="0" y="6350"/>
                                  <a:ext cx="165100" cy="1270"/>
                                </a:xfrm>
                                <a:custGeom>
                                  <a:avLst/>
                                  <a:gdLst/>
                                  <a:ahLst/>
                                  <a:cxnLst/>
                                  <a:rect l="l" t="t" r="r" b="b"/>
                                  <a:pathLst>
                                    <a:path w="165100" h="0">
                                      <a:moveTo>
                                        <a:pt x="0" y="0"/>
                                      </a:moveTo>
                                      <a:lnTo>
                                        <a:pt x="88899" y="0"/>
                                      </a:lnTo>
                                    </a:path>
                                    <a:path w="165100" h="0">
                                      <a:moveTo>
                                        <a:pt x="88899" y="0"/>
                                      </a:moveTo>
                                      <a:lnTo>
                                        <a:pt x="1651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pt;height:1pt;mso-position-horizontal-relative:char;mso-position-vertical-relative:line" id="docshapegroup6" coordorigin="0,0" coordsize="260,20">
                      <v:shape style="position:absolute;left:0;top:10;width:260;height:2" id="docshape7" coordorigin="0,10" coordsize="260,0" path="m0,10l140,10m140,10l260,10e" filled="false" stroked="true" strokeweight="1.0pt" strokecolor="#000000">
                        <v:path arrowok="t"/>
                        <v:stroke dashstyle="solid"/>
                      </v:shape>
                    </v:group>
                  </w:pict>
                </mc:Fallback>
              </mc:AlternateContent>
            </w:r>
            <w:r>
              <w:rPr>
                <w:sz w:val="2"/>
              </w:rPr>
            </w:r>
          </w:p>
          <w:p>
            <w:pPr>
              <w:pStyle w:val="TableParagraph"/>
              <w:spacing w:before="17"/>
              <w:rPr>
                <w:rFonts w:ascii="Cambria Math" w:eastAsia="Cambria Math"/>
                <w:sz w:val="20"/>
              </w:rPr>
            </w:pPr>
            <w:r>
              <w:rPr>
                <w:rFonts w:ascii="Cambria Math" w:eastAsia="Cambria Math"/>
                <w:spacing w:val="-5"/>
                <w:sz w:val="20"/>
              </w:rPr>
              <w:t>𝑋𝑋</w:t>
            </w:r>
          </w:p>
        </w:tc>
      </w:tr>
      <w:tr>
        <w:trPr>
          <w:trHeight w:val="300" w:hRule="atLeast"/>
        </w:trPr>
        <w:tc>
          <w:tcPr>
            <w:tcW w:w="620" w:type="dxa"/>
          </w:tcPr>
          <w:p>
            <w:pPr>
              <w:pStyle w:val="TableParagraph"/>
              <w:spacing w:before="5"/>
              <w:ind w:left="109"/>
              <w:jc w:val="left"/>
              <w:rPr>
                <w:sz w:val="20"/>
              </w:rPr>
            </w:pPr>
            <w:r>
              <w:rPr>
                <w:spacing w:val="-10"/>
                <w:sz w:val="20"/>
              </w:rPr>
              <w:t>1</w:t>
            </w:r>
          </w:p>
        </w:tc>
        <w:tc>
          <w:tcPr>
            <w:tcW w:w="5580" w:type="dxa"/>
          </w:tcPr>
          <w:p>
            <w:pPr>
              <w:pStyle w:val="TableParagraph"/>
              <w:spacing w:before="5"/>
              <w:ind w:left="175"/>
              <w:jc w:val="left"/>
              <w:rPr>
                <w:sz w:val="20"/>
              </w:rPr>
            </w:pPr>
            <w:r>
              <w:rPr>
                <w:sz w:val="20"/>
              </w:rPr>
              <w:t>I</w:t>
            </w:r>
            <w:r>
              <w:rPr>
                <w:spacing w:val="-4"/>
                <w:sz w:val="20"/>
              </w:rPr>
              <w:t> </w:t>
            </w:r>
            <w:r>
              <w:rPr>
                <w:sz w:val="20"/>
              </w:rPr>
              <w:t>use</w:t>
            </w:r>
            <w:r>
              <w:rPr>
                <w:spacing w:val="-4"/>
                <w:sz w:val="20"/>
              </w:rPr>
              <w:t> </w:t>
            </w:r>
            <w:r>
              <w:rPr>
                <w:sz w:val="20"/>
              </w:rPr>
              <w:t>ICT</w:t>
            </w:r>
            <w:r>
              <w:rPr>
                <w:spacing w:val="-4"/>
                <w:sz w:val="20"/>
              </w:rPr>
              <w:t> </w:t>
            </w:r>
            <w:r>
              <w:rPr>
                <w:sz w:val="20"/>
              </w:rPr>
              <w:t>facilities</w:t>
            </w:r>
            <w:r>
              <w:rPr>
                <w:spacing w:val="-4"/>
                <w:sz w:val="20"/>
              </w:rPr>
              <w:t> </w:t>
            </w:r>
            <w:r>
              <w:rPr>
                <w:sz w:val="20"/>
              </w:rPr>
              <w:t>in</w:t>
            </w:r>
            <w:r>
              <w:rPr>
                <w:spacing w:val="-4"/>
                <w:sz w:val="20"/>
              </w:rPr>
              <w:t> </w:t>
            </w:r>
            <w:r>
              <w:rPr>
                <w:sz w:val="20"/>
              </w:rPr>
              <w:t>most</w:t>
            </w:r>
            <w:r>
              <w:rPr>
                <w:spacing w:val="-4"/>
                <w:sz w:val="20"/>
              </w:rPr>
              <w:t> </w:t>
            </w:r>
            <w:r>
              <w:rPr>
                <w:sz w:val="20"/>
              </w:rPr>
              <w:t>of</w:t>
            </w:r>
            <w:r>
              <w:rPr>
                <w:spacing w:val="-4"/>
                <w:sz w:val="20"/>
              </w:rPr>
              <w:t> </w:t>
            </w:r>
            <w:r>
              <w:rPr>
                <w:sz w:val="20"/>
              </w:rPr>
              <w:t>my</w:t>
            </w:r>
            <w:r>
              <w:rPr>
                <w:spacing w:val="-4"/>
                <w:sz w:val="20"/>
              </w:rPr>
              <w:t> </w:t>
            </w:r>
            <w:r>
              <w:rPr>
                <w:sz w:val="20"/>
              </w:rPr>
              <w:t>academic</w:t>
            </w:r>
            <w:r>
              <w:rPr>
                <w:spacing w:val="-3"/>
                <w:sz w:val="20"/>
              </w:rPr>
              <w:t> </w:t>
            </w:r>
            <w:r>
              <w:rPr>
                <w:spacing w:val="-2"/>
                <w:sz w:val="20"/>
              </w:rPr>
              <w:t>works</w:t>
            </w:r>
          </w:p>
        </w:tc>
        <w:tc>
          <w:tcPr>
            <w:tcW w:w="640" w:type="dxa"/>
          </w:tcPr>
          <w:p>
            <w:pPr>
              <w:pStyle w:val="TableParagraph"/>
              <w:spacing w:before="40"/>
              <w:rPr>
                <w:sz w:val="20"/>
              </w:rPr>
            </w:pPr>
            <w:r>
              <w:rPr>
                <w:spacing w:val="-4"/>
                <w:sz w:val="20"/>
              </w:rPr>
              <w:t>2.56</w:t>
            </w:r>
          </w:p>
        </w:tc>
        <w:tc>
          <w:tcPr>
            <w:tcW w:w="620" w:type="dxa"/>
          </w:tcPr>
          <w:p>
            <w:pPr>
              <w:pStyle w:val="TableParagraph"/>
              <w:spacing w:before="40"/>
              <w:rPr>
                <w:sz w:val="20"/>
              </w:rPr>
            </w:pPr>
            <w:r>
              <w:rPr>
                <w:spacing w:val="-4"/>
                <w:sz w:val="20"/>
              </w:rPr>
              <w:t>1.94</w:t>
            </w:r>
          </w:p>
        </w:tc>
        <w:tc>
          <w:tcPr>
            <w:tcW w:w="720" w:type="dxa"/>
          </w:tcPr>
          <w:p>
            <w:pPr>
              <w:pStyle w:val="TableParagraph"/>
              <w:spacing w:before="40"/>
              <w:ind w:left="20"/>
              <w:rPr>
                <w:sz w:val="20"/>
              </w:rPr>
            </w:pPr>
            <w:r>
              <w:rPr>
                <w:spacing w:val="-4"/>
                <w:sz w:val="20"/>
              </w:rPr>
              <w:t>2.60</w:t>
            </w:r>
          </w:p>
        </w:tc>
        <w:tc>
          <w:tcPr>
            <w:tcW w:w="660" w:type="dxa"/>
          </w:tcPr>
          <w:p>
            <w:pPr>
              <w:pStyle w:val="TableParagraph"/>
              <w:spacing w:before="40"/>
              <w:ind w:left="20"/>
              <w:rPr>
                <w:sz w:val="20"/>
              </w:rPr>
            </w:pPr>
            <w:r>
              <w:rPr>
                <w:spacing w:val="-4"/>
                <w:sz w:val="20"/>
              </w:rPr>
              <w:t>0.74</w:t>
            </w:r>
          </w:p>
        </w:tc>
        <w:tc>
          <w:tcPr>
            <w:tcW w:w="1060" w:type="dxa"/>
          </w:tcPr>
          <w:p>
            <w:pPr>
              <w:pStyle w:val="TableParagraph"/>
              <w:spacing w:before="40"/>
              <w:rPr>
                <w:sz w:val="20"/>
              </w:rPr>
            </w:pPr>
            <w:r>
              <w:rPr>
                <w:spacing w:val="-4"/>
                <w:sz w:val="20"/>
              </w:rPr>
              <w:t>2.58</w:t>
            </w:r>
          </w:p>
        </w:tc>
      </w:tr>
      <w:tr>
        <w:trPr>
          <w:trHeight w:val="439" w:hRule="atLeast"/>
        </w:trPr>
        <w:tc>
          <w:tcPr>
            <w:tcW w:w="620" w:type="dxa"/>
          </w:tcPr>
          <w:p>
            <w:pPr>
              <w:pStyle w:val="TableParagraph"/>
              <w:ind w:left="109"/>
              <w:jc w:val="left"/>
              <w:rPr>
                <w:sz w:val="20"/>
              </w:rPr>
            </w:pPr>
            <w:r>
              <w:rPr>
                <w:spacing w:val="-10"/>
                <w:sz w:val="20"/>
              </w:rPr>
              <w:t>2</w:t>
            </w:r>
          </w:p>
        </w:tc>
        <w:tc>
          <w:tcPr>
            <w:tcW w:w="5580" w:type="dxa"/>
          </w:tcPr>
          <w:p>
            <w:pPr>
              <w:pStyle w:val="TableParagraph"/>
              <w:spacing w:line="230" w:lineRule="atLeast"/>
              <w:ind w:left="119"/>
              <w:jc w:val="left"/>
              <w:rPr>
                <w:sz w:val="20"/>
              </w:rPr>
            </w:pPr>
            <w:r>
              <w:rPr>
                <w:sz w:val="20"/>
              </w:rPr>
              <w:t>I</w:t>
            </w:r>
            <w:r>
              <w:rPr>
                <w:spacing w:val="40"/>
                <w:sz w:val="20"/>
              </w:rPr>
              <w:t> </w:t>
            </w:r>
            <w:r>
              <w:rPr>
                <w:sz w:val="20"/>
              </w:rPr>
              <w:t>use</w:t>
            </w:r>
            <w:r>
              <w:rPr>
                <w:spacing w:val="40"/>
                <w:sz w:val="20"/>
              </w:rPr>
              <w:t> </w:t>
            </w:r>
            <w:r>
              <w:rPr>
                <w:sz w:val="20"/>
              </w:rPr>
              <w:t>computer</w:t>
            </w:r>
            <w:r>
              <w:rPr>
                <w:spacing w:val="40"/>
                <w:sz w:val="20"/>
              </w:rPr>
              <w:t> </w:t>
            </w:r>
            <w:r>
              <w:rPr>
                <w:sz w:val="20"/>
              </w:rPr>
              <w:t>and</w:t>
            </w:r>
            <w:r>
              <w:rPr>
                <w:spacing w:val="40"/>
                <w:sz w:val="20"/>
              </w:rPr>
              <w:t> </w:t>
            </w:r>
            <w:r>
              <w:rPr>
                <w:sz w:val="20"/>
              </w:rPr>
              <w:t>internet to search for study materials and related resources</w:t>
            </w:r>
          </w:p>
        </w:tc>
        <w:tc>
          <w:tcPr>
            <w:tcW w:w="640" w:type="dxa"/>
          </w:tcPr>
          <w:p>
            <w:pPr>
              <w:pStyle w:val="TableParagraph"/>
              <w:spacing w:before="115"/>
              <w:rPr>
                <w:sz w:val="20"/>
              </w:rPr>
            </w:pPr>
            <w:r>
              <w:rPr>
                <w:spacing w:val="-4"/>
                <w:sz w:val="20"/>
              </w:rPr>
              <w:t>2.54</w:t>
            </w:r>
          </w:p>
        </w:tc>
        <w:tc>
          <w:tcPr>
            <w:tcW w:w="620" w:type="dxa"/>
          </w:tcPr>
          <w:p>
            <w:pPr>
              <w:pStyle w:val="TableParagraph"/>
              <w:spacing w:before="115"/>
              <w:rPr>
                <w:sz w:val="20"/>
              </w:rPr>
            </w:pPr>
            <w:r>
              <w:rPr>
                <w:spacing w:val="-4"/>
                <w:sz w:val="20"/>
              </w:rPr>
              <w:t>0.74</w:t>
            </w:r>
          </w:p>
        </w:tc>
        <w:tc>
          <w:tcPr>
            <w:tcW w:w="720" w:type="dxa"/>
          </w:tcPr>
          <w:p>
            <w:pPr>
              <w:pStyle w:val="TableParagraph"/>
              <w:spacing w:before="115"/>
              <w:ind w:left="20"/>
              <w:rPr>
                <w:sz w:val="20"/>
              </w:rPr>
            </w:pPr>
            <w:r>
              <w:rPr>
                <w:spacing w:val="-4"/>
                <w:sz w:val="20"/>
              </w:rPr>
              <w:t>2.58</w:t>
            </w:r>
          </w:p>
        </w:tc>
        <w:tc>
          <w:tcPr>
            <w:tcW w:w="660" w:type="dxa"/>
          </w:tcPr>
          <w:p>
            <w:pPr>
              <w:pStyle w:val="TableParagraph"/>
              <w:spacing w:before="115"/>
              <w:ind w:left="20"/>
              <w:rPr>
                <w:sz w:val="20"/>
              </w:rPr>
            </w:pPr>
            <w:r>
              <w:rPr>
                <w:spacing w:val="-4"/>
                <w:sz w:val="20"/>
              </w:rPr>
              <w:t>0.76</w:t>
            </w:r>
          </w:p>
        </w:tc>
        <w:tc>
          <w:tcPr>
            <w:tcW w:w="1060" w:type="dxa"/>
          </w:tcPr>
          <w:p>
            <w:pPr>
              <w:pStyle w:val="TableParagraph"/>
              <w:spacing w:before="115"/>
              <w:rPr>
                <w:sz w:val="20"/>
              </w:rPr>
            </w:pPr>
            <w:r>
              <w:rPr>
                <w:spacing w:val="-4"/>
                <w:sz w:val="20"/>
              </w:rPr>
              <w:t>2.56</w:t>
            </w:r>
          </w:p>
        </w:tc>
      </w:tr>
      <w:tr>
        <w:trPr>
          <w:trHeight w:val="440" w:hRule="atLeast"/>
        </w:trPr>
        <w:tc>
          <w:tcPr>
            <w:tcW w:w="620" w:type="dxa"/>
          </w:tcPr>
          <w:p>
            <w:pPr>
              <w:pStyle w:val="TableParagraph"/>
              <w:spacing w:line="225" w:lineRule="exact"/>
              <w:ind w:left="109"/>
              <w:jc w:val="left"/>
              <w:rPr>
                <w:sz w:val="20"/>
              </w:rPr>
            </w:pPr>
            <w:r>
              <w:rPr>
                <w:spacing w:val="-10"/>
                <w:sz w:val="20"/>
              </w:rPr>
              <w:t>3</w:t>
            </w:r>
          </w:p>
        </w:tc>
        <w:tc>
          <w:tcPr>
            <w:tcW w:w="5580" w:type="dxa"/>
          </w:tcPr>
          <w:p>
            <w:pPr>
              <w:pStyle w:val="TableParagraph"/>
              <w:spacing w:line="225" w:lineRule="exact"/>
              <w:ind w:left="119"/>
              <w:jc w:val="left"/>
              <w:rPr>
                <w:sz w:val="20"/>
              </w:rPr>
            </w:pPr>
            <w:r>
              <w:rPr>
                <w:sz w:val="20"/>
              </w:rPr>
              <w:t>Sometimes</w:t>
            </w:r>
            <w:r>
              <w:rPr>
                <w:spacing w:val="-6"/>
                <w:sz w:val="20"/>
              </w:rPr>
              <w:t> </w:t>
            </w:r>
            <w:r>
              <w:rPr>
                <w:sz w:val="20"/>
              </w:rPr>
              <w:t>I</w:t>
            </w:r>
            <w:r>
              <w:rPr>
                <w:spacing w:val="-5"/>
                <w:sz w:val="20"/>
              </w:rPr>
              <w:t> </w:t>
            </w:r>
            <w:r>
              <w:rPr>
                <w:sz w:val="20"/>
              </w:rPr>
              <w:t>do</w:t>
            </w:r>
            <w:r>
              <w:rPr>
                <w:spacing w:val="-5"/>
                <w:sz w:val="20"/>
              </w:rPr>
              <w:t> </w:t>
            </w:r>
            <w:r>
              <w:rPr>
                <w:sz w:val="20"/>
              </w:rPr>
              <w:t>my</w:t>
            </w:r>
            <w:r>
              <w:rPr>
                <w:spacing w:val="-6"/>
                <w:sz w:val="20"/>
              </w:rPr>
              <w:t> </w:t>
            </w:r>
            <w:r>
              <w:rPr>
                <w:sz w:val="20"/>
              </w:rPr>
              <w:t>presentations</w:t>
            </w:r>
            <w:r>
              <w:rPr>
                <w:spacing w:val="-5"/>
                <w:sz w:val="20"/>
              </w:rPr>
              <w:t> </w:t>
            </w:r>
            <w:r>
              <w:rPr>
                <w:sz w:val="20"/>
              </w:rPr>
              <w:t>using</w:t>
            </w:r>
            <w:r>
              <w:rPr>
                <w:spacing w:val="-5"/>
                <w:sz w:val="20"/>
              </w:rPr>
              <w:t> </w:t>
            </w:r>
            <w:r>
              <w:rPr>
                <w:spacing w:val="-2"/>
                <w:sz w:val="20"/>
              </w:rPr>
              <w:t>multimedia</w:t>
            </w:r>
          </w:p>
          <w:p>
            <w:pPr>
              <w:pStyle w:val="TableParagraph"/>
              <w:spacing w:line="195" w:lineRule="exact"/>
              <w:ind w:left="119"/>
              <w:jc w:val="left"/>
              <w:rPr>
                <w:sz w:val="20"/>
              </w:rPr>
            </w:pPr>
            <w:r>
              <w:rPr>
                <w:spacing w:val="-2"/>
                <w:sz w:val="20"/>
              </w:rPr>
              <w:t>projector</w:t>
            </w:r>
          </w:p>
        </w:tc>
        <w:tc>
          <w:tcPr>
            <w:tcW w:w="640" w:type="dxa"/>
          </w:tcPr>
          <w:p>
            <w:pPr>
              <w:pStyle w:val="TableParagraph"/>
              <w:spacing w:before="110"/>
              <w:rPr>
                <w:sz w:val="20"/>
              </w:rPr>
            </w:pPr>
            <w:r>
              <w:rPr>
                <w:spacing w:val="-4"/>
                <w:sz w:val="20"/>
              </w:rPr>
              <w:t>2.53</w:t>
            </w:r>
          </w:p>
        </w:tc>
        <w:tc>
          <w:tcPr>
            <w:tcW w:w="620" w:type="dxa"/>
          </w:tcPr>
          <w:p>
            <w:pPr>
              <w:pStyle w:val="TableParagraph"/>
              <w:spacing w:before="110"/>
              <w:rPr>
                <w:sz w:val="20"/>
              </w:rPr>
            </w:pPr>
            <w:r>
              <w:rPr>
                <w:spacing w:val="-4"/>
                <w:sz w:val="20"/>
              </w:rPr>
              <w:t>0.56</w:t>
            </w:r>
          </w:p>
        </w:tc>
        <w:tc>
          <w:tcPr>
            <w:tcW w:w="720" w:type="dxa"/>
          </w:tcPr>
          <w:p>
            <w:pPr>
              <w:pStyle w:val="TableParagraph"/>
              <w:spacing w:before="110"/>
              <w:ind w:left="20"/>
              <w:rPr>
                <w:sz w:val="20"/>
              </w:rPr>
            </w:pPr>
            <w:r>
              <w:rPr>
                <w:spacing w:val="-4"/>
                <w:sz w:val="20"/>
              </w:rPr>
              <w:t>2.54</w:t>
            </w:r>
          </w:p>
        </w:tc>
        <w:tc>
          <w:tcPr>
            <w:tcW w:w="660" w:type="dxa"/>
          </w:tcPr>
          <w:p>
            <w:pPr>
              <w:pStyle w:val="TableParagraph"/>
              <w:spacing w:before="110"/>
              <w:ind w:left="20"/>
              <w:rPr>
                <w:sz w:val="20"/>
              </w:rPr>
            </w:pPr>
            <w:r>
              <w:rPr>
                <w:spacing w:val="-4"/>
                <w:sz w:val="20"/>
              </w:rPr>
              <w:t>0.74</w:t>
            </w:r>
          </w:p>
        </w:tc>
        <w:tc>
          <w:tcPr>
            <w:tcW w:w="1060" w:type="dxa"/>
          </w:tcPr>
          <w:p>
            <w:pPr>
              <w:pStyle w:val="TableParagraph"/>
              <w:spacing w:before="110"/>
              <w:rPr>
                <w:sz w:val="20"/>
              </w:rPr>
            </w:pPr>
            <w:r>
              <w:rPr>
                <w:spacing w:val="-4"/>
                <w:sz w:val="20"/>
              </w:rPr>
              <w:t>2.54</w:t>
            </w:r>
          </w:p>
        </w:tc>
      </w:tr>
      <w:tr>
        <w:trPr>
          <w:trHeight w:val="220" w:hRule="atLeast"/>
        </w:trPr>
        <w:tc>
          <w:tcPr>
            <w:tcW w:w="620" w:type="dxa"/>
          </w:tcPr>
          <w:p>
            <w:pPr>
              <w:pStyle w:val="TableParagraph"/>
              <w:spacing w:line="190" w:lineRule="exact" w:before="10"/>
              <w:ind w:left="109"/>
              <w:jc w:val="left"/>
              <w:rPr>
                <w:sz w:val="20"/>
              </w:rPr>
            </w:pPr>
            <w:r>
              <w:rPr>
                <w:spacing w:val="-10"/>
                <w:sz w:val="20"/>
              </w:rPr>
              <w:t>4</w:t>
            </w:r>
          </w:p>
        </w:tc>
        <w:tc>
          <w:tcPr>
            <w:tcW w:w="5580" w:type="dxa"/>
          </w:tcPr>
          <w:p>
            <w:pPr>
              <w:pStyle w:val="TableParagraph"/>
              <w:spacing w:line="190" w:lineRule="exact" w:before="10"/>
              <w:ind w:left="119"/>
              <w:jc w:val="left"/>
              <w:rPr>
                <w:sz w:val="20"/>
              </w:rPr>
            </w:pPr>
            <w:r>
              <w:rPr>
                <w:sz w:val="20"/>
              </w:rPr>
              <w:t>I</w:t>
            </w:r>
            <w:r>
              <w:rPr>
                <w:spacing w:val="-5"/>
                <w:sz w:val="20"/>
              </w:rPr>
              <w:t> </w:t>
            </w:r>
            <w:r>
              <w:rPr>
                <w:sz w:val="20"/>
              </w:rPr>
              <w:t>do</w:t>
            </w:r>
            <w:r>
              <w:rPr>
                <w:spacing w:val="-4"/>
                <w:sz w:val="20"/>
              </w:rPr>
              <w:t> </w:t>
            </w:r>
            <w:r>
              <w:rPr>
                <w:sz w:val="20"/>
              </w:rPr>
              <w:t>most</w:t>
            </w:r>
            <w:r>
              <w:rPr>
                <w:spacing w:val="-4"/>
                <w:sz w:val="20"/>
              </w:rPr>
              <w:t> </w:t>
            </w:r>
            <w:r>
              <w:rPr>
                <w:sz w:val="20"/>
              </w:rPr>
              <w:t>of</w:t>
            </w:r>
            <w:r>
              <w:rPr>
                <w:spacing w:val="-5"/>
                <w:sz w:val="20"/>
              </w:rPr>
              <w:t> </w:t>
            </w:r>
            <w:r>
              <w:rPr>
                <w:sz w:val="20"/>
              </w:rPr>
              <w:t>my</w:t>
            </w:r>
            <w:r>
              <w:rPr>
                <w:spacing w:val="-4"/>
                <w:sz w:val="20"/>
              </w:rPr>
              <w:t> </w:t>
            </w:r>
            <w:r>
              <w:rPr>
                <w:sz w:val="20"/>
              </w:rPr>
              <w:t>course</w:t>
            </w:r>
            <w:r>
              <w:rPr>
                <w:spacing w:val="-4"/>
                <w:sz w:val="20"/>
              </w:rPr>
              <w:t> </w:t>
            </w:r>
            <w:r>
              <w:rPr>
                <w:sz w:val="20"/>
              </w:rPr>
              <w:t>assignments</w:t>
            </w:r>
            <w:r>
              <w:rPr>
                <w:spacing w:val="-5"/>
                <w:sz w:val="20"/>
              </w:rPr>
              <w:t> </w:t>
            </w:r>
            <w:r>
              <w:rPr>
                <w:sz w:val="20"/>
              </w:rPr>
              <w:t>using</w:t>
            </w:r>
            <w:r>
              <w:rPr>
                <w:spacing w:val="-4"/>
                <w:sz w:val="20"/>
              </w:rPr>
              <w:t> </w:t>
            </w:r>
            <w:r>
              <w:rPr>
                <w:sz w:val="20"/>
              </w:rPr>
              <w:t>online</w:t>
            </w:r>
            <w:r>
              <w:rPr>
                <w:spacing w:val="-4"/>
                <w:sz w:val="20"/>
              </w:rPr>
              <w:t> </w:t>
            </w:r>
            <w:r>
              <w:rPr>
                <w:spacing w:val="-2"/>
                <w:sz w:val="20"/>
              </w:rPr>
              <w:t>resources</w:t>
            </w:r>
          </w:p>
        </w:tc>
        <w:tc>
          <w:tcPr>
            <w:tcW w:w="640" w:type="dxa"/>
          </w:tcPr>
          <w:p>
            <w:pPr>
              <w:pStyle w:val="TableParagraph"/>
              <w:spacing w:line="190" w:lineRule="exact" w:before="10"/>
              <w:rPr>
                <w:sz w:val="20"/>
              </w:rPr>
            </w:pPr>
            <w:r>
              <w:rPr>
                <w:spacing w:val="-4"/>
                <w:sz w:val="20"/>
              </w:rPr>
              <w:t>2.50</w:t>
            </w:r>
          </w:p>
        </w:tc>
        <w:tc>
          <w:tcPr>
            <w:tcW w:w="620" w:type="dxa"/>
          </w:tcPr>
          <w:p>
            <w:pPr>
              <w:pStyle w:val="TableParagraph"/>
              <w:spacing w:line="190" w:lineRule="exact" w:before="10"/>
              <w:rPr>
                <w:sz w:val="20"/>
              </w:rPr>
            </w:pPr>
            <w:r>
              <w:rPr>
                <w:spacing w:val="-4"/>
                <w:sz w:val="20"/>
              </w:rPr>
              <w:t>0.74</w:t>
            </w:r>
          </w:p>
        </w:tc>
        <w:tc>
          <w:tcPr>
            <w:tcW w:w="720" w:type="dxa"/>
          </w:tcPr>
          <w:p>
            <w:pPr>
              <w:pStyle w:val="TableParagraph"/>
              <w:spacing w:line="190" w:lineRule="exact" w:before="10"/>
              <w:ind w:left="20"/>
              <w:rPr>
                <w:sz w:val="20"/>
              </w:rPr>
            </w:pPr>
            <w:r>
              <w:rPr>
                <w:spacing w:val="-4"/>
                <w:sz w:val="20"/>
              </w:rPr>
              <w:t>2.58</w:t>
            </w:r>
          </w:p>
        </w:tc>
        <w:tc>
          <w:tcPr>
            <w:tcW w:w="660" w:type="dxa"/>
          </w:tcPr>
          <w:p>
            <w:pPr>
              <w:pStyle w:val="TableParagraph"/>
              <w:spacing w:line="190" w:lineRule="exact" w:before="10"/>
              <w:ind w:left="20"/>
              <w:rPr>
                <w:sz w:val="20"/>
              </w:rPr>
            </w:pPr>
            <w:r>
              <w:rPr>
                <w:spacing w:val="-4"/>
                <w:sz w:val="20"/>
              </w:rPr>
              <w:t>0.74</w:t>
            </w:r>
          </w:p>
        </w:tc>
        <w:tc>
          <w:tcPr>
            <w:tcW w:w="1060" w:type="dxa"/>
          </w:tcPr>
          <w:p>
            <w:pPr>
              <w:pStyle w:val="TableParagraph"/>
              <w:spacing w:line="190" w:lineRule="exact" w:before="10"/>
              <w:rPr>
                <w:sz w:val="20"/>
              </w:rPr>
            </w:pPr>
            <w:r>
              <w:rPr>
                <w:spacing w:val="-4"/>
                <w:sz w:val="20"/>
              </w:rPr>
              <w:t>2.54</w:t>
            </w:r>
          </w:p>
        </w:tc>
      </w:tr>
      <w:tr>
        <w:trPr>
          <w:trHeight w:val="700" w:hRule="atLeast"/>
        </w:trPr>
        <w:tc>
          <w:tcPr>
            <w:tcW w:w="620" w:type="dxa"/>
          </w:tcPr>
          <w:p>
            <w:pPr>
              <w:pStyle w:val="TableParagraph"/>
              <w:spacing w:before="15"/>
              <w:ind w:left="109"/>
              <w:jc w:val="left"/>
              <w:rPr>
                <w:sz w:val="20"/>
              </w:rPr>
            </w:pPr>
            <w:r>
              <w:rPr>
                <w:spacing w:val="-10"/>
                <w:sz w:val="20"/>
              </w:rPr>
              <w:t>5</w:t>
            </w:r>
          </w:p>
        </w:tc>
        <w:tc>
          <w:tcPr>
            <w:tcW w:w="5580" w:type="dxa"/>
          </w:tcPr>
          <w:p>
            <w:pPr>
              <w:pStyle w:val="TableParagraph"/>
              <w:spacing w:line="230" w:lineRule="atLeast"/>
              <w:ind w:left="119" w:right="110"/>
              <w:jc w:val="both"/>
              <w:rPr>
                <w:sz w:val="20"/>
              </w:rPr>
            </w:pPr>
            <w:r>
              <w:rPr>
                <w:sz w:val="20"/>
              </w:rPr>
              <w:t>I sometimes use soft wares such as Microsoft Excel, Word and PowerPoint in performing academic tasks assigned to </w:t>
            </w:r>
            <w:r>
              <w:rPr>
                <w:spacing w:val="-6"/>
                <w:sz w:val="20"/>
              </w:rPr>
              <w:t>me</w:t>
            </w:r>
          </w:p>
        </w:tc>
        <w:tc>
          <w:tcPr>
            <w:tcW w:w="640" w:type="dxa"/>
          </w:tcPr>
          <w:p>
            <w:pPr>
              <w:pStyle w:val="TableParagraph"/>
              <w:spacing w:before="14"/>
              <w:ind w:left="0"/>
              <w:jc w:val="left"/>
              <w:rPr>
                <w:sz w:val="20"/>
              </w:rPr>
            </w:pPr>
          </w:p>
          <w:p>
            <w:pPr>
              <w:pStyle w:val="TableParagraph"/>
              <w:spacing w:before="1"/>
              <w:rPr>
                <w:sz w:val="20"/>
              </w:rPr>
            </w:pPr>
            <w:r>
              <w:rPr>
                <w:spacing w:val="-4"/>
                <w:sz w:val="20"/>
              </w:rPr>
              <w:t>2.54</w:t>
            </w:r>
          </w:p>
        </w:tc>
        <w:tc>
          <w:tcPr>
            <w:tcW w:w="620" w:type="dxa"/>
          </w:tcPr>
          <w:p>
            <w:pPr>
              <w:pStyle w:val="TableParagraph"/>
              <w:spacing w:before="14"/>
              <w:ind w:left="0"/>
              <w:jc w:val="left"/>
              <w:rPr>
                <w:sz w:val="20"/>
              </w:rPr>
            </w:pPr>
          </w:p>
          <w:p>
            <w:pPr>
              <w:pStyle w:val="TableParagraph"/>
              <w:spacing w:before="1"/>
              <w:rPr>
                <w:sz w:val="20"/>
              </w:rPr>
            </w:pPr>
            <w:r>
              <w:rPr>
                <w:spacing w:val="-4"/>
                <w:sz w:val="20"/>
              </w:rPr>
              <w:t>0.73</w:t>
            </w:r>
          </w:p>
        </w:tc>
        <w:tc>
          <w:tcPr>
            <w:tcW w:w="720" w:type="dxa"/>
          </w:tcPr>
          <w:p>
            <w:pPr>
              <w:pStyle w:val="TableParagraph"/>
              <w:spacing w:before="14"/>
              <w:ind w:left="0"/>
              <w:jc w:val="left"/>
              <w:rPr>
                <w:sz w:val="20"/>
              </w:rPr>
            </w:pPr>
          </w:p>
          <w:p>
            <w:pPr>
              <w:pStyle w:val="TableParagraph"/>
              <w:spacing w:before="1"/>
              <w:ind w:left="20"/>
              <w:rPr>
                <w:sz w:val="20"/>
              </w:rPr>
            </w:pPr>
            <w:r>
              <w:rPr>
                <w:spacing w:val="-4"/>
                <w:sz w:val="20"/>
              </w:rPr>
              <w:t>2.50</w:t>
            </w:r>
          </w:p>
        </w:tc>
        <w:tc>
          <w:tcPr>
            <w:tcW w:w="660" w:type="dxa"/>
          </w:tcPr>
          <w:p>
            <w:pPr>
              <w:pStyle w:val="TableParagraph"/>
              <w:spacing w:before="14"/>
              <w:ind w:left="0"/>
              <w:jc w:val="left"/>
              <w:rPr>
                <w:sz w:val="20"/>
              </w:rPr>
            </w:pPr>
          </w:p>
          <w:p>
            <w:pPr>
              <w:pStyle w:val="TableParagraph"/>
              <w:spacing w:before="1"/>
              <w:ind w:left="20"/>
              <w:rPr>
                <w:sz w:val="20"/>
              </w:rPr>
            </w:pPr>
            <w:r>
              <w:rPr>
                <w:spacing w:val="-4"/>
                <w:sz w:val="20"/>
              </w:rPr>
              <w:t>0.70</w:t>
            </w:r>
          </w:p>
        </w:tc>
        <w:tc>
          <w:tcPr>
            <w:tcW w:w="1060" w:type="dxa"/>
          </w:tcPr>
          <w:p>
            <w:pPr>
              <w:pStyle w:val="TableParagraph"/>
              <w:spacing w:before="14"/>
              <w:ind w:left="0"/>
              <w:jc w:val="left"/>
              <w:rPr>
                <w:sz w:val="20"/>
              </w:rPr>
            </w:pPr>
          </w:p>
          <w:p>
            <w:pPr>
              <w:pStyle w:val="TableParagraph"/>
              <w:spacing w:before="1"/>
              <w:rPr>
                <w:sz w:val="20"/>
              </w:rPr>
            </w:pPr>
            <w:r>
              <w:rPr>
                <w:spacing w:val="-4"/>
                <w:sz w:val="20"/>
              </w:rPr>
              <w:t>2.52</w:t>
            </w:r>
          </w:p>
        </w:tc>
      </w:tr>
      <w:tr>
        <w:trPr>
          <w:trHeight w:val="439" w:hRule="atLeast"/>
        </w:trPr>
        <w:tc>
          <w:tcPr>
            <w:tcW w:w="620" w:type="dxa"/>
          </w:tcPr>
          <w:p>
            <w:pPr>
              <w:pStyle w:val="TableParagraph"/>
              <w:ind w:left="109"/>
              <w:jc w:val="left"/>
              <w:rPr>
                <w:sz w:val="20"/>
              </w:rPr>
            </w:pPr>
            <w:r>
              <w:rPr>
                <w:spacing w:val="-10"/>
                <w:sz w:val="20"/>
              </w:rPr>
              <w:t>6</w:t>
            </w:r>
          </w:p>
        </w:tc>
        <w:tc>
          <w:tcPr>
            <w:tcW w:w="5580" w:type="dxa"/>
          </w:tcPr>
          <w:p>
            <w:pPr>
              <w:pStyle w:val="TableParagraph"/>
              <w:spacing w:line="230" w:lineRule="atLeast"/>
              <w:ind w:left="119" w:right="175"/>
              <w:jc w:val="left"/>
              <w:rPr>
                <w:sz w:val="20"/>
              </w:rPr>
            </w:pPr>
            <w:r>
              <w:rPr>
                <w:sz w:val="20"/>
              </w:rPr>
              <w:t>I</w:t>
            </w:r>
            <w:r>
              <w:rPr>
                <w:spacing w:val="-5"/>
                <w:sz w:val="20"/>
              </w:rPr>
              <w:t> </w:t>
            </w:r>
            <w:r>
              <w:rPr>
                <w:sz w:val="20"/>
              </w:rPr>
              <w:t>have</w:t>
            </w:r>
            <w:r>
              <w:rPr>
                <w:spacing w:val="-5"/>
                <w:sz w:val="20"/>
              </w:rPr>
              <w:t> </w:t>
            </w:r>
            <w:r>
              <w:rPr>
                <w:sz w:val="20"/>
              </w:rPr>
              <w:t>an</w:t>
            </w:r>
            <w:r>
              <w:rPr>
                <w:spacing w:val="-5"/>
                <w:sz w:val="20"/>
              </w:rPr>
              <w:t> </w:t>
            </w:r>
            <w:r>
              <w:rPr>
                <w:sz w:val="20"/>
              </w:rPr>
              <w:t>email</w:t>
            </w:r>
            <w:r>
              <w:rPr>
                <w:spacing w:val="-5"/>
                <w:sz w:val="20"/>
              </w:rPr>
              <w:t> </w:t>
            </w:r>
            <w:r>
              <w:rPr>
                <w:sz w:val="20"/>
              </w:rPr>
              <w:t>address</w:t>
            </w:r>
            <w:r>
              <w:rPr>
                <w:spacing w:val="40"/>
                <w:sz w:val="20"/>
              </w:rPr>
              <w:t> </w:t>
            </w:r>
            <w:r>
              <w:rPr>
                <w:sz w:val="20"/>
              </w:rPr>
              <w:t>which</w:t>
            </w:r>
            <w:r>
              <w:rPr>
                <w:spacing w:val="-5"/>
                <w:sz w:val="20"/>
              </w:rPr>
              <w:t> </w:t>
            </w:r>
            <w:r>
              <w:rPr>
                <w:sz w:val="20"/>
              </w:rPr>
              <w:t>also</w:t>
            </w:r>
            <w:r>
              <w:rPr>
                <w:spacing w:val="-5"/>
                <w:sz w:val="20"/>
              </w:rPr>
              <w:t> </w:t>
            </w:r>
            <w:r>
              <w:rPr>
                <w:sz w:val="20"/>
              </w:rPr>
              <w:t>enhances</w:t>
            </w:r>
            <w:r>
              <w:rPr>
                <w:spacing w:val="-5"/>
                <w:sz w:val="20"/>
              </w:rPr>
              <w:t> </w:t>
            </w:r>
            <w:r>
              <w:rPr>
                <w:sz w:val="20"/>
              </w:rPr>
              <w:t>my interaction with colleagues and lecturers</w:t>
            </w:r>
          </w:p>
        </w:tc>
        <w:tc>
          <w:tcPr>
            <w:tcW w:w="640" w:type="dxa"/>
          </w:tcPr>
          <w:p>
            <w:pPr>
              <w:pStyle w:val="TableParagraph"/>
              <w:spacing w:before="115"/>
              <w:rPr>
                <w:sz w:val="20"/>
              </w:rPr>
            </w:pPr>
            <w:r>
              <w:rPr>
                <w:spacing w:val="-4"/>
                <w:sz w:val="20"/>
              </w:rPr>
              <w:t>2.62</w:t>
            </w:r>
          </w:p>
        </w:tc>
        <w:tc>
          <w:tcPr>
            <w:tcW w:w="620" w:type="dxa"/>
          </w:tcPr>
          <w:p>
            <w:pPr>
              <w:pStyle w:val="TableParagraph"/>
              <w:spacing w:before="115"/>
              <w:rPr>
                <w:sz w:val="20"/>
              </w:rPr>
            </w:pPr>
            <w:r>
              <w:rPr>
                <w:spacing w:val="-4"/>
                <w:sz w:val="20"/>
              </w:rPr>
              <w:t>0.68</w:t>
            </w:r>
          </w:p>
        </w:tc>
        <w:tc>
          <w:tcPr>
            <w:tcW w:w="720" w:type="dxa"/>
          </w:tcPr>
          <w:p>
            <w:pPr>
              <w:pStyle w:val="TableParagraph"/>
              <w:spacing w:before="115"/>
              <w:ind w:left="20"/>
              <w:rPr>
                <w:sz w:val="20"/>
              </w:rPr>
            </w:pPr>
            <w:r>
              <w:rPr>
                <w:spacing w:val="-4"/>
                <w:sz w:val="20"/>
              </w:rPr>
              <w:t>2.55</w:t>
            </w:r>
          </w:p>
        </w:tc>
        <w:tc>
          <w:tcPr>
            <w:tcW w:w="660" w:type="dxa"/>
          </w:tcPr>
          <w:p>
            <w:pPr>
              <w:pStyle w:val="TableParagraph"/>
              <w:spacing w:before="115"/>
              <w:ind w:left="20"/>
              <w:rPr>
                <w:sz w:val="20"/>
              </w:rPr>
            </w:pPr>
            <w:r>
              <w:rPr>
                <w:spacing w:val="-4"/>
                <w:sz w:val="20"/>
              </w:rPr>
              <w:t>0.72</w:t>
            </w:r>
          </w:p>
        </w:tc>
        <w:tc>
          <w:tcPr>
            <w:tcW w:w="1060" w:type="dxa"/>
          </w:tcPr>
          <w:p>
            <w:pPr>
              <w:pStyle w:val="TableParagraph"/>
              <w:spacing w:before="115"/>
              <w:rPr>
                <w:sz w:val="20"/>
              </w:rPr>
            </w:pPr>
            <w:r>
              <w:rPr>
                <w:spacing w:val="-4"/>
                <w:sz w:val="20"/>
              </w:rPr>
              <w:t>2.59</w:t>
            </w:r>
          </w:p>
        </w:tc>
      </w:tr>
      <w:tr>
        <w:trPr>
          <w:trHeight w:val="440" w:hRule="atLeast"/>
        </w:trPr>
        <w:tc>
          <w:tcPr>
            <w:tcW w:w="620" w:type="dxa"/>
          </w:tcPr>
          <w:p>
            <w:pPr>
              <w:pStyle w:val="TableParagraph"/>
              <w:spacing w:line="225" w:lineRule="exact"/>
              <w:ind w:left="109"/>
              <w:jc w:val="left"/>
              <w:rPr>
                <w:sz w:val="20"/>
              </w:rPr>
            </w:pPr>
            <w:r>
              <w:rPr>
                <w:spacing w:val="-10"/>
                <w:sz w:val="20"/>
              </w:rPr>
              <w:t>7</w:t>
            </w:r>
          </w:p>
        </w:tc>
        <w:tc>
          <w:tcPr>
            <w:tcW w:w="5580" w:type="dxa"/>
          </w:tcPr>
          <w:p>
            <w:pPr>
              <w:pStyle w:val="TableParagraph"/>
              <w:spacing w:line="225" w:lineRule="exact"/>
              <w:ind w:left="119"/>
              <w:jc w:val="left"/>
              <w:rPr>
                <w:sz w:val="20"/>
              </w:rPr>
            </w:pPr>
            <w:r>
              <w:rPr>
                <w:sz w:val="20"/>
              </w:rPr>
              <w:t>I</w:t>
            </w:r>
            <w:r>
              <w:rPr>
                <w:spacing w:val="-6"/>
                <w:sz w:val="20"/>
              </w:rPr>
              <w:t> </w:t>
            </w:r>
            <w:r>
              <w:rPr>
                <w:sz w:val="20"/>
              </w:rPr>
              <w:t>use</w:t>
            </w:r>
            <w:r>
              <w:rPr>
                <w:spacing w:val="-3"/>
                <w:sz w:val="20"/>
              </w:rPr>
              <w:t> </w:t>
            </w:r>
            <w:r>
              <w:rPr>
                <w:sz w:val="20"/>
              </w:rPr>
              <w:t>audio</w:t>
            </w:r>
            <w:r>
              <w:rPr>
                <w:spacing w:val="-3"/>
                <w:sz w:val="20"/>
              </w:rPr>
              <w:t> </w:t>
            </w:r>
            <w:r>
              <w:rPr>
                <w:sz w:val="20"/>
              </w:rPr>
              <w:t>and</w:t>
            </w:r>
            <w:r>
              <w:rPr>
                <w:spacing w:val="-3"/>
                <w:sz w:val="20"/>
              </w:rPr>
              <w:t> </w:t>
            </w:r>
            <w:r>
              <w:rPr>
                <w:sz w:val="20"/>
              </w:rPr>
              <w:t>video</w:t>
            </w:r>
            <w:r>
              <w:rPr>
                <w:spacing w:val="-3"/>
                <w:sz w:val="20"/>
              </w:rPr>
              <w:t> </w:t>
            </w:r>
            <w:r>
              <w:rPr>
                <w:sz w:val="20"/>
              </w:rPr>
              <w:t>CDs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DVDs</w:t>
            </w:r>
            <w:r>
              <w:rPr>
                <w:spacing w:val="-3"/>
                <w:sz w:val="20"/>
              </w:rPr>
              <w:t> </w:t>
            </w:r>
            <w:r>
              <w:rPr>
                <w:sz w:val="20"/>
              </w:rPr>
              <w:t>as</w:t>
            </w:r>
            <w:r>
              <w:rPr>
                <w:spacing w:val="-3"/>
                <w:sz w:val="20"/>
              </w:rPr>
              <w:t> </w:t>
            </w:r>
            <w:r>
              <w:rPr>
                <w:sz w:val="20"/>
              </w:rPr>
              <w:t>part</w:t>
            </w:r>
            <w:r>
              <w:rPr>
                <w:spacing w:val="-3"/>
                <w:sz w:val="20"/>
              </w:rPr>
              <w:t> </w:t>
            </w:r>
            <w:r>
              <w:rPr>
                <w:sz w:val="20"/>
              </w:rPr>
              <w:t>of</w:t>
            </w:r>
            <w:r>
              <w:rPr>
                <w:spacing w:val="-3"/>
                <w:sz w:val="20"/>
              </w:rPr>
              <w:t> </w:t>
            </w:r>
            <w:r>
              <w:rPr>
                <w:spacing w:val="-5"/>
                <w:sz w:val="20"/>
              </w:rPr>
              <w:t>my</w:t>
            </w:r>
          </w:p>
          <w:p>
            <w:pPr>
              <w:pStyle w:val="TableParagraph"/>
              <w:spacing w:line="195" w:lineRule="exact"/>
              <w:ind w:left="119"/>
              <w:jc w:val="left"/>
              <w:rPr>
                <w:sz w:val="20"/>
              </w:rPr>
            </w:pPr>
            <w:r>
              <w:rPr>
                <w:sz w:val="20"/>
              </w:rPr>
              <w:t>study</w:t>
            </w:r>
            <w:r>
              <w:rPr>
                <w:spacing w:val="-5"/>
                <w:sz w:val="20"/>
              </w:rPr>
              <w:t> </w:t>
            </w:r>
            <w:r>
              <w:rPr>
                <w:spacing w:val="-2"/>
                <w:sz w:val="20"/>
              </w:rPr>
              <w:t>resources</w:t>
            </w:r>
          </w:p>
        </w:tc>
        <w:tc>
          <w:tcPr>
            <w:tcW w:w="640" w:type="dxa"/>
          </w:tcPr>
          <w:p>
            <w:pPr>
              <w:pStyle w:val="TableParagraph"/>
              <w:spacing w:before="10"/>
              <w:rPr>
                <w:sz w:val="20"/>
              </w:rPr>
            </w:pPr>
            <w:r>
              <w:rPr>
                <w:spacing w:val="-4"/>
                <w:sz w:val="20"/>
              </w:rPr>
              <w:t>2.29</w:t>
            </w:r>
          </w:p>
        </w:tc>
        <w:tc>
          <w:tcPr>
            <w:tcW w:w="620" w:type="dxa"/>
          </w:tcPr>
          <w:p>
            <w:pPr>
              <w:pStyle w:val="TableParagraph"/>
              <w:spacing w:before="10"/>
              <w:rPr>
                <w:sz w:val="20"/>
              </w:rPr>
            </w:pPr>
            <w:r>
              <w:rPr>
                <w:spacing w:val="-4"/>
                <w:sz w:val="20"/>
              </w:rPr>
              <w:t>1.03</w:t>
            </w:r>
          </w:p>
        </w:tc>
        <w:tc>
          <w:tcPr>
            <w:tcW w:w="720" w:type="dxa"/>
          </w:tcPr>
          <w:p>
            <w:pPr>
              <w:pStyle w:val="TableParagraph"/>
              <w:spacing w:before="10"/>
              <w:ind w:left="20"/>
              <w:rPr>
                <w:sz w:val="20"/>
              </w:rPr>
            </w:pPr>
            <w:r>
              <w:rPr>
                <w:spacing w:val="-4"/>
                <w:sz w:val="20"/>
              </w:rPr>
              <w:t>2.32</w:t>
            </w:r>
          </w:p>
        </w:tc>
        <w:tc>
          <w:tcPr>
            <w:tcW w:w="660" w:type="dxa"/>
          </w:tcPr>
          <w:p>
            <w:pPr>
              <w:pStyle w:val="TableParagraph"/>
              <w:spacing w:before="10"/>
              <w:ind w:left="20"/>
              <w:rPr>
                <w:sz w:val="20"/>
              </w:rPr>
            </w:pPr>
            <w:r>
              <w:rPr>
                <w:spacing w:val="-4"/>
                <w:sz w:val="20"/>
              </w:rPr>
              <w:t>1.12</w:t>
            </w:r>
          </w:p>
        </w:tc>
        <w:tc>
          <w:tcPr>
            <w:tcW w:w="1060" w:type="dxa"/>
          </w:tcPr>
          <w:p>
            <w:pPr>
              <w:pStyle w:val="TableParagraph"/>
              <w:spacing w:before="10"/>
              <w:rPr>
                <w:sz w:val="20"/>
              </w:rPr>
            </w:pPr>
            <w:r>
              <w:rPr>
                <w:spacing w:val="-4"/>
                <w:sz w:val="20"/>
              </w:rPr>
              <w:t>2.31</w:t>
            </w:r>
          </w:p>
        </w:tc>
      </w:tr>
      <w:tr>
        <w:trPr>
          <w:trHeight w:val="460" w:hRule="atLeast"/>
        </w:trPr>
        <w:tc>
          <w:tcPr>
            <w:tcW w:w="620" w:type="dxa"/>
          </w:tcPr>
          <w:p>
            <w:pPr>
              <w:pStyle w:val="TableParagraph"/>
              <w:spacing w:before="10"/>
              <w:ind w:left="109"/>
              <w:jc w:val="left"/>
              <w:rPr>
                <w:sz w:val="20"/>
              </w:rPr>
            </w:pPr>
            <w:r>
              <w:rPr>
                <w:spacing w:val="-10"/>
                <w:sz w:val="20"/>
              </w:rPr>
              <w:t>8</w:t>
            </w:r>
          </w:p>
        </w:tc>
        <w:tc>
          <w:tcPr>
            <w:tcW w:w="5580" w:type="dxa"/>
          </w:tcPr>
          <w:p>
            <w:pPr>
              <w:pStyle w:val="TableParagraph"/>
              <w:spacing w:line="230" w:lineRule="atLeast"/>
              <w:ind w:left="119" w:right="175"/>
              <w:jc w:val="left"/>
              <w:rPr>
                <w:sz w:val="20"/>
              </w:rPr>
            </w:pPr>
            <w:r>
              <w:rPr>
                <w:sz w:val="20"/>
              </w:rPr>
              <w:t>I</w:t>
            </w:r>
            <w:r>
              <w:rPr>
                <w:spacing w:val="-5"/>
                <w:sz w:val="20"/>
              </w:rPr>
              <w:t> </w:t>
            </w:r>
            <w:r>
              <w:rPr>
                <w:sz w:val="20"/>
              </w:rPr>
              <w:t>also</w:t>
            </w:r>
            <w:r>
              <w:rPr>
                <w:spacing w:val="-5"/>
                <w:sz w:val="20"/>
              </w:rPr>
              <w:t> </w:t>
            </w:r>
            <w:r>
              <w:rPr>
                <w:sz w:val="20"/>
              </w:rPr>
              <w:t>use</w:t>
            </w:r>
            <w:r>
              <w:rPr>
                <w:spacing w:val="-5"/>
                <w:sz w:val="20"/>
              </w:rPr>
              <w:t> </w:t>
            </w:r>
            <w:r>
              <w:rPr>
                <w:sz w:val="20"/>
              </w:rPr>
              <w:t>scanners</w:t>
            </w:r>
            <w:r>
              <w:rPr>
                <w:spacing w:val="-5"/>
                <w:sz w:val="20"/>
              </w:rPr>
              <w:t> </w:t>
            </w:r>
            <w:r>
              <w:rPr>
                <w:sz w:val="20"/>
              </w:rPr>
              <w:t>and</w:t>
            </w:r>
            <w:r>
              <w:rPr>
                <w:spacing w:val="-5"/>
                <w:sz w:val="20"/>
              </w:rPr>
              <w:t> </w:t>
            </w:r>
            <w:r>
              <w:rPr>
                <w:sz w:val="20"/>
              </w:rPr>
              <w:t>printers</w:t>
            </w:r>
            <w:r>
              <w:rPr>
                <w:spacing w:val="-5"/>
                <w:sz w:val="20"/>
              </w:rPr>
              <w:t> </w:t>
            </w:r>
            <w:r>
              <w:rPr>
                <w:sz w:val="20"/>
              </w:rPr>
              <w:t>in</w:t>
            </w:r>
            <w:r>
              <w:rPr>
                <w:spacing w:val="-5"/>
                <w:sz w:val="20"/>
              </w:rPr>
              <w:t> </w:t>
            </w:r>
            <w:r>
              <w:rPr>
                <w:sz w:val="20"/>
              </w:rPr>
              <w:t>processing</w:t>
            </w:r>
            <w:r>
              <w:rPr>
                <w:spacing w:val="-5"/>
                <w:sz w:val="20"/>
              </w:rPr>
              <w:t> </w:t>
            </w:r>
            <w:r>
              <w:rPr>
                <w:sz w:val="20"/>
              </w:rPr>
              <w:t>my assignment and study materials most times</w:t>
            </w:r>
          </w:p>
        </w:tc>
        <w:tc>
          <w:tcPr>
            <w:tcW w:w="640" w:type="dxa"/>
          </w:tcPr>
          <w:p>
            <w:pPr>
              <w:pStyle w:val="TableParagraph"/>
              <w:spacing w:before="124"/>
              <w:rPr>
                <w:sz w:val="20"/>
              </w:rPr>
            </w:pPr>
            <w:r>
              <w:rPr>
                <w:spacing w:val="-4"/>
                <w:sz w:val="20"/>
              </w:rPr>
              <w:t>2.73</w:t>
            </w:r>
          </w:p>
        </w:tc>
        <w:tc>
          <w:tcPr>
            <w:tcW w:w="620" w:type="dxa"/>
          </w:tcPr>
          <w:p>
            <w:pPr>
              <w:pStyle w:val="TableParagraph"/>
              <w:spacing w:before="124"/>
              <w:rPr>
                <w:sz w:val="20"/>
              </w:rPr>
            </w:pPr>
            <w:r>
              <w:rPr>
                <w:spacing w:val="-4"/>
                <w:sz w:val="20"/>
              </w:rPr>
              <w:t>0.66</w:t>
            </w:r>
          </w:p>
        </w:tc>
        <w:tc>
          <w:tcPr>
            <w:tcW w:w="720" w:type="dxa"/>
          </w:tcPr>
          <w:p>
            <w:pPr>
              <w:pStyle w:val="TableParagraph"/>
              <w:spacing w:before="124"/>
              <w:ind w:left="20"/>
              <w:rPr>
                <w:sz w:val="20"/>
              </w:rPr>
            </w:pPr>
            <w:r>
              <w:rPr>
                <w:spacing w:val="-4"/>
                <w:sz w:val="20"/>
              </w:rPr>
              <w:t>2.80</w:t>
            </w:r>
          </w:p>
        </w:tc>
        <w:tc>
          <w:tcPr>
            <w:tcW w:w="660" w:type="dxa"/>
          </w:tcPr>
          <w:p>
            <w:pPr>
              <w:pStyle w:val="TableParagraph"/>
              <w:spacing w:before="124"/>
              <w:ind w:left="20"/>
              <w:rPr>
                <w:sz w:val="20"/>
              </w:rPr>
            </w:pPr>
            <w:r>
              <w:rPr>
                <w:spacing w:val="-4"/>
                <w:sz w:val="20"/>
              </w:rPr>
              <w:t>0.58</w:t>
            </w:r>
          </w:p>
        </w:tc>
        <w:tc>
          <w:tcPr>
            <w:tcW w:w="1060" w:type="dxa"/>
          </w:tcPr>
          <w:p>
            <w:pPr>
              <w:pStyle w:val="TableParagraph"/>
              <w:spacing w:before="124"/>
              <w:rPr>
                <w:sz w:val="20"/>
              </w:rPr>
            </w:pPr>
            <w:r>
              <w:rPr>
                <w:spacing w:val="-4"/>
                <w:sz w:val="20"/>
              </w:rPr>
              <w:t>2.76</w:t>
            </w:r>
          </w:p>
        </w:tc>
      </w:tr>
      <w:tr>
        <w:trPr>
          <w:trHeight w:val="460" w:hRule="atLeast"/>
        </w:trPr>
        <w:tc>
          <w:tcPr>
            <w:tcW w:w="620" w:type="dxa"/>
          </w:tcPr>
          <w:p>
            <w:pPr>
              <w:pStyle w:val="TableParagraph"/>
              <w:spacing w:before="4"/>
              <w:ind w:left="109"/>
              <w:jc w:val="left"/>
              <w:rPr>
                <w:sz w:val="20"/>
              </w:rPr>
            </w:pPr>
            <w:r>
              <w:rPr>
                <w:spacing w:val="-10"/>
                <w:sz w:val="20"/>
              </w:rPr>
              <w:t>9</w:t>
            </w:r>
          </w:p>
        </w:tc>
        <w:tc>
          <w:tcPr>
            <w:tcW w:w="5580" w:type="dxa"/>
          </w:tcPr>
          <w:p>
            <w:pPr>
              <w:pStyle w:val="TableParagraph"/>
              <w:spacing w:line="230" w:lineRule="atLeast"/>
              <w:ind w:left="119"/>
              <w:jc w:val="left"/>
              <w:rPr>
                <w:sz w:val="20"/>
              </w:rPr>
            </w:pPr>
            <w:r>
              <w:rPr>
                <w:sz w:val="20"/>
              </w:rPr>
              <w:t>I</w:t>
            </w:r>
            <w:r>
              <w:rPr>
                <w:spacing w:val="-4"/>
                <w:sz w:val="20"/>
              </w:rPr>
              <w:t> </w:t>
            </w:r>
            <w:r>
              <w:rPr>
                <w:sz w:val="20"/>
              </w:rPr>
              <w:t>use</w:t>
            </w:r>
            <w:r>
              <w:rPr>
                <w:spacing w:val="-4"/>
                <w:sz w:val="20"/>
              </w:rPr>
              <w:t> </w:t>
            </w:r>
            <w:r>
              <w:rPr>
                <w:sz w:val="20"/>
              </w:rPr>
              <w:t>computers</w:t>
            </w:r>
            <w:r>
              <w:rPr>
                <w:spacing w:val="-4"/>
                <w:sz w:val="20"/>
              </w:rPr>
              <w:t> </w:t>
            </w:r>
            <w:r>
              <w:rPr>
                <w:sz w:val="20"/>
              </w:rPr>
              <w:t>to</w:t>
            </w:r>
            <w:r>
              <w:rPr>
                <w:spacing w:val="-4"/>
                <w:sz w:val="20"/>
              </w:rPr>
              <w:t> </w:t>
            </w:r>
            <w:r>
              <w:rPr>
                <w:sz w:val="20"/>
              </w:rPr>
              <w:t>keep</w:t>
            </w:r>
            <w:r>
              <w:rPr>
                <w:spacing w:val="-4"/>
                <w:sz w:val="20"/>
              </w:rPr>
              <w:t> </w:t>
            </w:r>
            <w:r>
              <w:rPr>
                <w:sz w:val="20"/>
              </w:rPr>
              <w:t>record</w:t>
            </w:r>
            <w:r>
              <w:rPr>
                <w:spacing w:val="-4"/>
                <w:sz w:val="20"/>
              </w:rPr>
              <w:t> </w:t>
            </w:r>
            <w:r>
              <w:rPr>
                <w:sz w:val="20"/>
              </w:rPr>
              <w:t>of</w:t>
            </w:r>
            <w:r>
              <w:rPr>
                <w:spacing w:val="-4"/>
                <w:sz w:val="20"/>
              </w:rPr>
              <w:t> </w:t>
            </w:r>
            <w:r>
              <w:rPr>
                <w:sz w:val="20"/>
              </w:rPr>
              <w:t>my</w:t>
            </w:r>
            <w:r>
              <w:rPr>
                <w:spacing w:val="-4"/>
                <w:sz w:val="20"/>
              </w:rPr>
              <w:t> </w:t>
            </w:r>
            <w:r>
              <w:rPr>
                <w:sz w:val="20"/>
              </w:rPr>
              <w:t>study</w:t>
            </w:r>
            <w:r>
              <w:rPr>
                <w:spacing w:val="-4"/>
                <w:sz w:val="20"/>
              </w:rPr>
              <w:t> </w:t>
            </w:r>
            <w:r>
              <w:rPr>
                <w:sz w:val="20"/>
              </w:rPr>
              <w:t>plan</w:t>
            </w:r>
            <w:r>
              <w:rPr>
                <w:spacing w:val="-4"/>
                <w:sz w:val="20"/>
              </w:rPr>
              <w:t> </w:t>
            </w:r>
            <w:r>
              <w:rPr>
                <w:sz w:val="20"/>
              </w:rPr>
              <w:t>and</w:t>
            </w:r>
            <w:r>
              <w:rPr>
                <w:spacing w:val="-4"/>
                <w:sz w:val="20"/>
              </w:rPr>
              <w:t> </w:t>
            </w:r>
            <w:r>
              <w:rPr>
                <w:sz w:val="20"/>
              </w:rPr>
              <w:t>overall academic activities</w:t>
            </w:r>
          </w:p>
        </w:tc>
        <w:tc>
          <w:tcPr>
            <w:tcW w:w="640" w:type="dxa"/>
          </w:tcPr>
          <w:p>
            <w:pPr>
              <w:pStyle w:val="TableParagraph"/>
              <w:spacing w:before="19"/>
              <w:rPr>
                <w:sz w:val="20"/>
              </w:rPr>
            </w:pPr>
            <w:r>
              <w:rPr>
                <w:spacing w:val="-4"/>
                <w:sz w:val="20"/>
              </w:rPr>
              <w:t>2.11</w:t>
            </w:r>
          </w:p>
        </w:tc>
        <w:tc>
          <w:tcPr>
            <w:tcW w:w="620" w:type="dxa"/>
          </w:tcPr>
          <w:p>
            <w:pPr>
              <w:pStyle w:val="TableParagraph"/>
              <w:spacing w:before="19"/>
              <w:rPr>
                <w:sz w:val="20"/>
              </w:rPr>
            </w:pPr>
            <w:r>
              <w:rPr>
                <w:spacing w:val="-4"/>
                <w:sz w:val="20"/>
              </w:rPr>
              <w:t>1.17</w:t>
            </w:r>
          </w:p>
        </w:tc>
        <w:tc>
          <w:tcPr>
            <w:tcW w:w="720" w:type="dxa"/>
          </w:tcPr>
          <w:p>
            <w:pPr>
              <w:pStyle w:val="TableParagraph"/>
              <w:spacing w:before="19"/>
              <w:ind w:left="20"/>
              <w:rPr>
                <w:sz w:val="20"/>
              </w:rPr>
            </w:pPr>
            <w:r>
              <w:rPr>
                <w:spacing w:val="-4"/>
                <w:sz w:val="20"/>
              </w:rPr>
              <w:t>2.10</w:t>
            </w:r>
          </w:p>
        </w:tc>
        <w:tc>
          <w:tcPr>
            <w:tcW w:w="660" w:type="dxa"/>
          </w:tcPr>
          <w:p>
            <w:pPr>
              <w:pStyle w:val="TableParagraph"/>
              <w:spacing w:before="19"/>
              <w:ind w:left="20"/>
              <w:rPr>
                <w:sz w:val="20"/>
              </w:rPr>
            </w:pPr>
            <w:r>
              <w:rPr>
                <w:spacing w:val="-4"/>
                <w:sz w:val="20"/>
              </w:rPr>
              <w:t>0.40</w:t>
            </w:r>
          </w:p>
        </w:tc>
        <w:tc>
          <w:tcPr>
            <w:tcW w:w="1060" w:type="dxa"/>
          </w:tcPr>
          <w:p>
            <w:pPr>
              <w:pStyle w:val="TableParagraph"/>
              <w:spacing w:before="19"/>
              <w:rPr>
                <w:sz w:val="20"/>
              </w:rPr>
            </w:pPr>
            <w:r>
              <w:rPr>
                <w:spacing w:val="-4"/>
                <w:sz w:val="20"/>
              </w:rPr>
              <w:t>2.10</w:t>
            </w:r>
          </w:p>
        </w:tc>
      </w:tr>
      <w:tr>
        <w:trPr>
          <w:trHeight w:val="220" w:hRule="atLeast"/>
        </w:trPr>
        <w:tc>
          <w:tcPr>
            <w:tcW w:w="620" w:type="dxa"/>
          </w:tcPr>
          <w:p>
            <w:pPr>
              <w:pStyle w:val="TableParagraph"/>
              <w:ind w:left="0"/>
              <w:jc w:val="left"/>
              <w:rPr>
                <w:rFonts w:ascii="Times New Roman"/>
                <w:sz w:val="14"/>
              </w:rPr>
            </w:pPr>
          </w:p>
        </w:tc>
        <w:tc>
          <w:tcPr>
            <w:tcW w:w="5580" w:type="dxa"/>
          </w:tcPr>
          <w:p>
            <w:pPr>
              <w:pStyle w:val="TableParagraph"/>
              <w:spacing w:line="200" w:lineRule="exact"/>
              <w:ind w:left="119"/>
              <w:jc w:val="left"/>
              <w:rPr>
                <w:rFonts w:ascii="Arial"/>
                <w:b/>
                <w:sz w:val="20"/>
              </w:rPr>
            </w:pPr>
            <w:r>
              <w:rPr>
                <w:rFonts w:ascii="Arial"/>
                <w:b/>
                <w:sz w:val="20"/>
              </w:rPr>
              <w:t>Grand</w:t>
            </w:r>
            <w:r>
              <w:rPr>
                <w:rFonts w:ascii="Arial"/>
                <w:b/>
                <w:spacing w:val="-5"/>
                <w:sz w:val="20"/>
              </w:rPr>
              <w:t> </w:t>
            </w:r>
            <w:r>
              <w:rPr>
                <w:rFonts w:ascii="Arial"/>
                <w:b/>
                <w:spacing w:val="-4"/>
                <w:sz w:val="20"/>
              </w:rPr>
              <w:t>Mean</w:t>
            </w:r>
          </w:p>
        </w:tc>
        <w:tc>
          <w:tcPr>
            <w:tcW w:w="640" w:type="dxa"/>
          </w:tcPr>
          <w:p>
            <w:pPr>
              <w:pStyle w:val="TableParagraph"/>
              <w:spacing w:line="200" w:lineRule="exact"/>
              <w:rPr>
                <w:rFonts w:ascii="Arial"/>
                <w:b/>
                <w:sz w:val="20"/>
              </w:rPr>
            </w:pPr>
            <w:r>
              <w:rPr>
                <w:rFonts w:ascii="Arial"/>
                <w:b/>
                <w:spacing w:val="-4"/>
                <w:sz w:val="20"/>
              </w:rPr>
              <w:t>2.50</w:t>
            </w:r>
          </w:p>
        </w:tc>
        <w:tc>
          <w:tcPr>
            <w:tcW w:w="620" w:type="dxa"/>
          </w:tcPr>
          <w:p>
            <w:pPr>
              <w:pStyle w:val="TableParagraph"/>
              <w:spacing w:line="200" w:lineRule="exact"/>
              <w:rPr>
                <w:rFonts w:ascii="Arial"/>
                <w:b/>
                <w:sz w:val="20"/>
              </w:rPr>
            </w:pPr>
            <w:r>
              <w:rPr>
                <w:rFonts w:ascii="Arial"/>
                <w:b/>
                <w:spacing w:val="-4"/>
                <w:sz w:val="20"/>
              </w:rPr>
              <w:t>0.91</w:t>
            </w:r>
          </w:p>
        </w:tc>
        <w:tc>
          <w:tcPr>
            <w:tcW w:w="720" w:type="dxa"/>
          </w:tcPr>
          <w:p>
            <w:pPr>
              <w:pStyle w:val="TableParagraph"/>
              <w:spacing w:line="200" w:lineRule="exact"/>
              <w:ind w:left="20"/>
              <w:rPr>
                <w:rFonts w:ascii="Arial"/>
                <w:b/>
                <w:sz w:val="20"/>
              </w:rPr>
            </w:pPr>
            <w:r>
              <w:rPr>
                <w:rFonts w:ascii="Arial"/>
                <w:b/>
                <w:spacing w:val="-4"/>
                <w:sz w:val="20"/>
              </w:rPr>
              <w:t>2.51</w:t>
            </w:r>
          </w:p>
        </w:tc>
        <w:tc>
          <w:tcPr>
            <w:tcW w:w="660" w:type="dxa"/>
          </w:tcPr>
          <w:p>
            <w:pPr>
              <w:pStyle w:val="TableParagraph"/>
              <w:spacing w:line="200" w:lineRule="exact"/>
              <w:ind w:left="20"/>
              <w:rPr>
                <w:rFonts w:ascii="Arial"/>
                <w:b/>
                <w:sz w:val="20"/>
              </w:rPr>
            </w:pPr>
            <w:r>
              <w:rPr>
                <w:rFonts w:ascii="Arial"/>
                <w:b/>
                <w:spacing w:val="-4"/>
                <w:sz w:val="20"/>
              </w:rPr>
              <w:t>0.73</w:t>
            </w:r>
          </w:p>
        </w:tc>
        <w:tc>
          <w:tcPr>
            <w:tcW w:w="1060" w:type="dxa"/>
          </w:tcPr>
          <w:p>
            <w:pPr>
              <w:pStyle w:val="TableParagraph"/>
              <w:spacing w:line="200" w:lineRule="exact"/>
              <w:rPr>
                <w:rFonts w:ascii="Arial"/>
                <w:b/>
                <w:sz w:val="20"/>
              </w:rPr>
            </w:pPr>
            <w:r>
              <w:rPr>
                <w:rFonts w:ascii="Arial"/>
                <w:b/>
                <w:spacing w:val="-4"/>
                <w:sz w:val="20"/>
              </w:rPr>
              <w:t>2.50</w:t>
            </w:r>
          </w:p>
        </w:tc>
      </w:tr>
    </w:tbl>
    <w:p>
      <w:pPr>
        <w:pStyle w:val="Heading3"/>
        <w:spacing w:before="8"/>
        <w:ind w:left="1" w:right="358"/>
        <w:jc w:val="center"/>
      </w:pPr>
      <w:r>
        <w:rPr/>
        <w:t>Criterion</w:t>
      </w:r>
      <w:r>
        <w:rPr>
          <w:spacing w:val="-9"/>
        </w:rPr>
        <w:t> </w:t>
      </w:r>
      <w:r>
        <w:rPr>
          <w:spacing w:val="-2"/>
        </w:rPr>
        <w:t>mean=2.50</w:t>
      </w:r>
    </w:p>
    <w:p>
      <w:pPr>
        <w:pStyle w:val="BodyText"/>
        <w:rPr>
          <w:rFonts w:ascii="Arial"/>
          <w:b/>
        </w:rPr>
      </w:pPr>
    </w:p>
    <w:p>
      <w:pPr>
        <w:pStyle w:val="BodyText"/>
        <w:spacing w:before="120"/>
        <w:rPr>
          <w:rFonts w:ascii="Arial"/>
          <w:b/>
        </w:rPr>
      </w:pPr>
    </w:p>
    <w:p>
      <w:pPr>
        <w:pStyle w:val="BodyText"/>
        <w:spacing w:line="480" w:lineRule="auto"/>
        <w:ind w:left="360" w:right="720"/>
        <w:jc w:val="both"/>
      </w:pPr>
      <w:r>
        <w:rPr/>
        <w:t>Table</w:t>
      </w:r>
      <w:r>
        <w:rPr>
          <w:spacing w:val="-4"/>
        </w:rPr>
        <w:t> </w:t>
      </w:r>
      <w:r>
        <w:rPr/>
        <w:t>1</w:t>
      </w:r>
      <w:r>
        <w:rPr>
          <w:spacing w:val="-4"/>
        </w:rPr>
        <w:t> </w:t>
      </w:r>
      <w:r>
        <w:rPr/>
        <w:t>shows</w:t>
      </w:r>
      <w:r>
        <w:rPr>
          <w:spacing w:val="-4"/>
        </w:rPr>
        <w:t> </w:t>
      </w:r>
      <w:r>
        <w:rPr/>
        <w:t>the</w:t>
      </w:r>
      <w:r>
        <w:rPr>
          <w:spacing w:val="-4"/>
        </w:rPr>
        <w:t> </w:t>
      </w:r>
      <w:r>
        <w:rPr/>
        <w:t>mean</w:t>
      </w:r>
      <w:r>
        <w:rPr>
          <w:spacing w:val="-4"/>
        </w:rPr>
        <w:t> </w:t>
      </w:r>
      <w:r>
        <w:rPr/>
        <w:t>scores</w:t>
      </w:r>
      <w:r>
        <w:rPr>
          <w:spacing w:val="-4"/>
        </w:rPr>
        <w:t> </w:t>
      </w:r>
      <w:r>
        <w:rPr/>
        <w:t>and</w:t>
      </w:r>
      <w:r>
        <w:rPr>
          <w:spacing w:val="-4"/>
        </w:rPr>
        <w:t> </w:t>
      </w:r>
      <w:r>
        <w:rPr/>
        <w:t>standard</w:t>
      </w:r>
      <w:r>
        <w:rPr>
          <w:spacing w:val="-4"/>
        </w:rPr>
        <w:t> </w:t>
      </w:r>
      <w:r>
        <w:rPr/>
        <w:t>deviations</w:t>
      </w:r>
      <w:r>
        <w:rPr>
          <w:spacing w:val="-4"/>
        </w:rPr>
        <w:t> </w:t>
      </w:r>
      <w:r>
        <w:rPr/>
        <w:t>of</w:t>
      </w:r>
      <w:r>
        <w:rPr>
          <w:spacing w:val="-4"/>
        </w:rPr>
        <w:t> </w:t>
      </w:r>
      <w:r>
        <w:rPr/>
        <w:t>male</w:t>
      </w:r>
      <w:r>
        <w:rPr>
          <w:spacing w:val="-4"/>
        </w:rPr>
        <w:t> </w:t>
      </w:r>
      <w:r>
        <w:rPr/>
        <w:t>and</w:t>
      </w:r>
      <w:r>
        <w:rPr>
          <w:spacing w:val="-4"/>
        </w:rPr>
        <w:t> </w:t>
      </w:r>
      <w:r>
        <w:rPr/>
        <w:t>female</w:t>
      </w:r>
      <w:r>
        <w:rPr>
          <w:spacing w:val="-4"/>
        </w:rPr>
        <w:t> </w:t>
      </w:r>
      <w:r>
        <w:rPr/>
        <w:t>students</w:t>
      </w:r>
      <w:r>
        <w:rPr>
          <w:spacing w:val="-4"/>
        </w:rPr>
        <w:t> </w:t>
      </w:r>
      <w:r>
        <w:rPr/>
        <w:t>on</w:t>
      </w:r>
      <w:r>
        <w:rPr>
          <w:spacing w:val="-4"/>
        </w:rPr>
        <w:t> </w:t>
      </w:r>
      <w:r>
        <w:rPr/>
        <w:t>the</w:t>
      </w:r>
      <w:r>
        <w:rPr>
          <w:spacing w:val="-4"/>
        </w:rPr>
        <w:t> </w:t>
      </w:r>
      <w:r>
        <w:rPr/>
        <w:t>extent</w:t>
      </w:r>
      <w:r>
        <w:rPr>
          <w:spacing w:val="-4"/>
        </w:rPr>
        <w:t> </w:t>
      </w:r>
      <w:r>
        <w:rPr/>
        <w:t>of</w:t>
      </w:r>
      <w:r>
        <w:rPr>
          <w:spacing w:val="-4"/>
        </w:rPr>
        <w:t> </w:t>
      </w:r>
      <w:r>
        <w:rPr/>
        <w:t>ICT utilization in the Post-Basic Nursing Programme at the University of Port Harcourt Teaching Hospital.</w:t>
      </w:r>
    </w:p>
    <w:p>
      <w:pPr>
        <w:pStyle w:val="BodyText"/>
        <w:spacing w:line="480" w:lineRule="auto" w:before="120"/>
        <w:ind w:left="360" w:right="721"/>
        <w:jc w:val="both"/>
      </w:pPr>
      <w:r>
        <w:rPr/>
        <w:t>The grand mean scores were 2.50 for males and 2.51 for females, indicating a moderate level of ICT usage by both groups,</w:t>
      </w:r>
      <w:r>
        <w:rPr>
          <w:spacing w:val="-3"/>
        </w:rPr>
        <w:t> </w:t>
      </w:r>
      <w:r>
        <w:rPr/>
        <w:t>with</w:t>
      </w:r>
      <w:r>
        <w:rPr>
          <w:spacing w:val="-3"/>
        </w:rPr>
        <w:t> </w:t>
      </w:r>
      <w:r>
        <w:rPr/>
        <w:t>no</w:t>
      </w:r>
      <w:r>
        <w:rPr>
          <w:spacing w:val="-3"/>
        </w:rPr>
        <w:t> </w:t>
      </w:r>
      <w:r>
        <w:rPr/>
        <w:t>significant</w:t>
      </w:r>
      <w:r>
        <w:rPr>
          <w:spacing w:val="-3"/>
        </w:rPr>
        <w:t> </w:t>
      </w:r>
      <w:r>
        <w:rPr/>
        <w:t>gender</w:t>
      </w:r>
      <w:r>
        <w:rPr>
          <w:spacing w:val="-3"/>
        </w:rPr>
        <w:t> </w:t>
      </w:r>
      <w:r>
        <w:rPr/>
        <w:t>difference.</w:t>
      </w:r>
      <w:r>
        <w:rPr>
          <w:spacing w:val="-3"/>
        </w:rPr>
        <w:t> </w:t>
      </w:r>
      <w:r>
        <w:rPr/>
        <w:t>The</w:t>
      </w:r>
      <w:r>
        <w:rPr>
          <w:spacing w:val="-3"/>
        </w:rPr>
        <w:t> </w:t>
      </w:r>
      <w:r>
        <w:rPr/>
        <w:t>highest</w:t>
      </w:r>
      <w:r>
        <w:rPr>
          <w:spacing w:val="-3"/>
        </w:rPr>
        <w:t> </w:t>
      </w:r>
      <w:r>
        <w:rPr/>
        <w:t>mean</w:t>
      </w:r>
      <w:r>
        <w:rPr>
          <w:spacing w:val="-3"/>
        </w:rPr>
        <w:t> </w:t>
      </w:r>
      <w:r>
        <w:rPr/>
        <w:t>score</w:t>
      </w:r>
      <w:r>
        <w:rPr>
          <w:spacing w:val="-3"/>
        </w:rPr>
        <w:t> </w:t>
      </w:r>
      <w:r>
        <w:rPr/>
        <w:t>(2.76)</w:t>
      </w:r>
      <w:r>
        <w:rPr>
          <w:spacing w:val="-3"/>
        </w:rPr>
        <w:t> </w:t>
      </w:r>
      <w:r>
        <w:rPr/>
        <w:t>was</w:t>
      </w:r>
      <w:r>
        <w:rPr>
          <w:spacing w:val="-3"/>
        </w:rPr>
        <w:t> </w:t>
      </w:r>
      <w:r>
        <w:rPr/>
        <w:t>recorded for the use of</w:t>
      </w:r>
      <w:r>
        <w:rPr>
          <w:spacing w:val="-3"/>
        </w:rPr>
        <w:t> </w:t>
      </w:r>
      <w:r>
        <w:rPr/>
        <w:t>scanners</w:t>
      </w:r>
      <w:r>
        <w:rPr>
          <w:spacing w:val="-3"/>
        </w:rPr>
        <w:t> </w:t>
      </w:r>
      <w:r>
        <w:rPr/>
        <w:t>and</w:t>
      </w:r>
      <w:r>
        <w:rPr>
          <w:spacing w:val="-3"/>
        </w:rPr>
        <w:t> </w:t>
      </w:r>
      <w:r>
        <w:rPr/>
        <w:t>printers</w:t>
      </w:r>
      <w:r>
        <w:rPr>
          <w:spacing w:val="-3"/>
        </w:rPr>
        <w:t> </w:t>
      </w:r>
      <w:r>
        <w:rPr/>
        <w:t>(Item</w:t>
      </w:r>
      <w:r>
        <w:rPr>
          <w:spacing w:val="-3"/>
        </w:rPr>
        <w:t> </w:t>
      </w:r>
      <w:r>
        <w:rPr/>
        <w:t>8),</w:t>
      </w:r>
      <w:r>
        <w:rPr>
          <w:spacing w:val="-3"/>
        </w:rPr>
        <w:t> </w:t>
      </w:r>
      <w:r>
        <w:rPr/>
        <w:t>while</w:t>
      </w:r>
      <w:r>
        <w:rPr>
          <w:spacing w:val="-3"/>
        </w:rPr>
        <w:t> </w:t>
      </w:r>
      <w:r>
        <w:rPr/>
        <w:t>the</w:t>
      </w:r>
      <w:r>
        <w:rPr>
          <w:spacing w:val="-3"/>
        </w:rPr>
        <w:t> </w:t>
      </w:r>
      <w:r>
        <w:rPr/>
        <w:t>lowest</w:t>
      </w:r>
      <w:r>
        <w:rPr>
          <w:spacing w:val="-3"/>
        </w:rPr>
        <w:t> </w:t>
      </w:r>
      <w:r>
        <w:rPr/>
        <w:t>mean</w:t>
      </w:r>
      <w:r>
        <w:rPr>
          <w:spacing w:val="-3"/>
        </w:rPr>
        <w:t> </w:t>
      </w:r>
      <w:r>
        <w:rPr/>
        <w:t>score</w:t>
      </w:r>
      <w:r>
        <w:rPr>
          <w:spacing w:val="-3"/>
        </w:rPr>
        <w:t> </w:t>
      </w:r>
      <w:r>
        <w:rPr/>
        <w:t>(2.10)</w:t>
      </w:r>
      <w:r>
        <w:rPr>
          <w:spacing w:val="-3"/>
        </w:rPr>
        <w:t> </w:t>
      </w:r>
      <w:r>
        <w:rPr/>
        <w:t>was</w:t>
      </w:r>
      <w:r>
        <w:rPr>
          <w:spacing w:val="-3"/>
        </w:rPr>
        <w:t> </w:t>
      </w:r>
      <w:r>
        <w:rPr/>
        <w:t>for</w:t>
      </w:r>
      <w:r>
        <w:rPr>
          <w:spacing w:val="-3"/>
        </w:rPr>
        <w:t> </w:t>
      </w:r>
      <w:r>
        <w:rPr/>
        <w:t>using</w:t>
      </w:r>
      <w:r>
        <w:rPr>
          <w:spacing w:val="-3"/>
        </w:rPr>
        <w:t> </w:t>
      </w:r>
      <w:r>
        <w:rPr/>
        <w:t>computers</w:t>
      </w:r>
    </w:p>
    <w:p>
      <w:pPr>
        <w:pStyle w:val="BodyText"/>
        <w:spacing w:after="0" w:line="480" w:lineRule="auto"/>
        <w:jc w:val="both"/>
        <w:sectPr>
          <w:pgSz w:w="12240" w:h="15840"/>
          <w:pgMar w:top="1360" w:bottom="280" w:left="1080" w:right="720"/>
        </w:sectPr>
      </w:pPr>
    </w:p>
    <w:p>
      <w:pPr>
        <w:pStyle w:val="BodyText"/>
        <w:spacing w:line="480" w:lineRule="auto" w:before="80"/>
        <w:ind w:left="360" w:right="721"/>
        <w:jc w:val="both"/>
      </w:pPr>
      <w:r>
        <w:rPr/>
        <w:t>to manage study plans (Item 9). Overall, the results indicate that both male and female students moderately utilize ICT in their academic activities, with greater</w:t>
      </w:r>
      <w:r>
        <w:rPr>
          <w:spacing w:val="-3"/>
        </w:rPr>
        <w:t> </w:t>
      </w:r>
      <w:r>
        <w:rPr/>
        <w:t>use</w:t>
      </w:r>
      <w:r>
        <w:rPr>
          <w:spacing w:val="-3"/>
        </w:rPr>
        <w:t> </w:t>
      </w:r>
      <w:r>
        <w:rPr/>
        <w:t>in</w:t>
      </w:r>
      <w:r>
        <w:rPr>
          <w:spacing w:val="-3"/>
        </w:rPr>
        <w:t> </w:t>
      </w:r>
      <w:r>
        <w:rPr/>
        <w:t>general</w:t>
      </w:r>
      <w:r>
        <w:rPr>
          <w:spacing w:val="-3"/>
        </w:rPr>
        <w:t> </w:t>
      </w:r>
      <w:r>
        <w:rPr/>
        <w:t>academic</w:t>
      </w:r>
      <w:r>
        <w:rPr>
          <w:spacing w:val="-3"/>
        </w:rPr>
        <w:t> </w:t>
      </w:r>
      <w:r>
        <w:rPr/>
        <w:t>tasks</w:t>
      </w:r>
      <w:r>
        <w:rPr>
          <w:spacing w:val="-3"/>
        </w:rPr>
        <w:t> </w:t>
      </w:r>
      <w:r>
        <w:rPr/>
        <w:t>and</w:t>
      </w:r>
      <w:r>
        <w:rPr>
          <w:spacing w:val="-3"/>
        </w:rPr>
        <w:t> </w:t>
      </w:r>
      <w:r>
        <w:rPr/>
        <w:t>less</w:t>
      </w:r>
      <w:r>
        <w:rPr>
          <w:spacing w:val="-3"/>
        </w:rPr>
        <w:t> </w:t>
      </w:r>
      <w:r>
        <w:rPr/>
        <w:t>in academic planning and organization.</w:t>
      </w:r>
    </w:p>
    <w:p>
      <w:pPr>
        <w:pStyle w:val="BodyText"/>
        <w:spacing w:before="53"/>
      </w:pPr>
    </w:p>
    <w:p>
      <w:pPr>
        <w:pStyle w:val="BodyText"/>
        <w:spacing w:line="360" w:lineRule="auto"/>
        <w:ind w:left="360" w:right="721"/>
        <w:jc w:val="both"/>
      </w:pPr>
      <w:r>
        <w:rPr/>
        <w:drawing>
          <wp:anchor distT="0" distB="0" distL="0" distR="0" allowOverlap="1" layoutInCell="1" locked="0" behindDoc="1" simplePos="0" relativeHeight="486931456">
            <wp:simplePos x="0" y="0"/>
            <wp:positionH relativeFrom="page">
              <wp:posOffset>919162</wp:posOffset>
            </wp:positionH>
            <wp:positionV relativeFrom="paragraph">
              <wp:posOffset>91844</wp:posOffset>
            </wp:positionV>
            <wp:extent cx="5934075" cy="593407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w:b/>
        </w:rPr>
        <w:t>Research</w:t>
      </w:r>
      <w:r>
        <w:rPr>
          <w:rFonts w:ascii="Arial"/>
          <w:b/>
          <w:spacing w:val="-5"/>
        </w:rPr>
        <w:t> </w:t>
      </w:r>
      <w:r>
        <w:rPr>
          <w:rFonts w:ascii="Arial"/>
          <w:b/>
        </w:rPr>
        <w:t>Question</w:t>
      </w:r>
      <w:r>
        <w:rPr>
          <w:rFonts w:ascii="Arial"/>
          <w:b/>
          <w:spacing w:val="-5"/>
        </w:rPr>
        <w:t> </w:t>
      </w:r>
      <w:r>
        <w:rPr>
          <w:rFonts w:ascii="Arial"/>
          <w:b/>
        </w:rPr>
        <w:t>2:</w:t>
      </w:r>
      <w:r>
        <w:rPr>
          <w:rFonts w:ascii="Arial"/>
          <w:b/>
          <w:spacing w:val="-5"/>
        </w:rPr>
        <w:t> </w:t>
      </w:r>
      <w:r>
        <w:rPr/>
        <w:t>To</w:t>
      </w:r>
      <w:r>
        <w:rPr>
          <w:spacing w:val="-5"/>
        </w:rPr>
        <w:t> </w:t>
      </w:r>
      <w:r>
        <w:rPr/>
        <w:t>what</w:t>
      </w:r>
      <w:r>
        <w:rPr>
          <w:spacing w:val="-5"/>
        </w:rPr>
        <w:t> </w:t>
      </w:r>
      <w:r>
        <w:rPr/>
        <w:t>extent</w:t>
      </w:r>
      <w:r>
        <w:rPr>
          <w:spacing w:val="-5"/>
        </w:rPr>
        <w:t> </w:t>
      </w:r>
      <w:r>
        <w:rPr/>
        <w:t>is</w:t>
      </w:r>
      <w:r>
        <w:rPr>
          <w:spacing w:val="-5"/>
        </w:rPr>
        <w:t> </w:t>
      </w:r>
      <w:r>
        <w:rPr/>
        <w:t>information</w:t>
      </w:r>
      <w:r>
        <w:rPr>
          <w:spacing w:val="-5"/>
        </w:rPr>
        <w:t> </w:t>
      </w:r>
      <w:r>
        <w:rPr/>
        <w:t>and</w:t>
      </w:r>
      <w:r>
        <w:rPr>
          <w:spacing w:val="-5"/>
        </w:rPr>
        <w:t> </w:t>
      </w:r>
      <w:r>
        <w:rPr/>
        <w:t>communication</w:t>
      </w:r>
      <w:r>
        <w:rPr>
          <w:spacing w:val="-5"/>
        </w:rPr>
        <w:t> </w:t>
      </w:r>
      <w:r>
        <w:rPr/>
        <w:t>technology</w:t>
      </w:r>
      <w:r>
        <w:rPr>
          <w:spacing w:val="-5"/>
        </w:rPr>
        <w:t> </w:t>
      </w:r>
      <w:r>
        <w:rPr/>
        <w:t>utilized</w:t>
      </w:r>
      <w:r>
        <w:rPr>
          <w:spacing w:val="-5"/>
        </w:rPr>
        <w:t> </w:t>
      </w:r>
      <w:r>
        <w:rPr/>
        <w:t>by</w:t>
      </w:r>
      <w:r>
        <w:rPr>
          <w:spacing w:val="-5"/>
        </w:rPr>
        <w:t> </w:t>
      </w:r>
      <w:r>
        <w:rPr/>
        <w:t>post</w:t>
      </w:r>
      <w:r>
        <w:rPr>
          <w:spacing w:val="-5"/>
        </w:rPr>
        <w:t> </w:t>
      </w:r>
      <w:r>
        <w:rPr/>
        <w:t>basic nursing lecturers in University of Port Harcourt Teaching Hospital?</w:t>
      </w:r>
    </w:p>
    <w:p>
      <w:pPr>
        <w:pStyle w:val="BodyText"/>
        <w:spacing w:before="197"/>
      </w:pPr>
    </w:p>
    <w:tbl>
      <w:tblPr>
        <w:tblW w:w="0" w:type="auto"/>
        <w:jc w:val="left"/>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20"/>
        <w:gridCol w:w="5000"/>
        <w:gridCol w:w="820"/>
        <w:gridCol w:w="720"/>
        <w:gridCol w:w="940"/>
        <w:gridCol w:w="580"/>
        <w:gridCol w:w="1000"/>
      </w:tblGrid>
      <w:tr>
        <w:trPr>
          <w:trHeight w:val="639" w:hRule="atLeast"/>
        </w:trPr>
        <w:tc>
          <w:tcPr>
            <w:tcW w:w="9580" w:type="dxa"/>
            <w:gridSpan w:val="7"/>
          </w:tcPr>
          <w:p>
            <w:pPr>
              <w:pStyle w:val="TableParagraph"/>
              <w:spacing w:line="260" w:lineRule="atLeast" w:before="86"/>
              <w:ind w:left="120" w:right="96"/>
              <w:jc w:val="left"/>
              <w:rPr>
                <w:rFonts w:ascii="Arial"/>
                <w:b/>
                <w:sz w:val="20"/>
              </w:rPr>
            </w:pPr>
            <w:r>
              <w:rPr>
                <w:rFonts w:ascii="Arial"/>
                <w:b/>
                <w:sz w:val="20"/>
              </w:rPr>
              <w:t>Table</w:t>
            </w:r>
            <w:r>
              <w:rPr>
                <w:rFonts w:ascii="Arial"/>
                <w:b/>
                <w:spacing w:val="40"/>
                <w:sz w:val="20"/>
              </w:rPr>
              <w:t> </w:t>
            </w:r>
            <w:r>
              <w:rPr>
                <w:rFonts w:ascii="Arial"/>
                <w:b/>
                <w:sz w:val="20"/>
              </w:rPr>
              <w:t>2:</w:t>
            </w:r>
            <w:r>
              <w:rPr>
                <w:rFonts w:ascii="Arial"/>
                <w:b/>
                <w:spacing w:val="40"/>
                <w:sz w:val="20"/>
              </w:rPr>
              <w:t> </w:t>
            </w:r>
            <w:r>
              <w:rPr>
                <w:rFonts w:ascii="Arial"/>
                <w:b/>
                <w:sz w:val="20"/>
              </w:rPr>
              <w:t>Means</w:t>
            </w:r>
            <w:r>
              <w:rPr>
                <w:rFonts w:ascii="Arial"/>
                <w:b/>
                <w:spacing w:val="26"/>
                <w:sz w:val="20"/>
              </w:rPr>
              <w:t> </w:t>
            </w:r>
            <w:r>
              <w:rPr>
                <w:rFonts w:ascii="Arial"/>
                <w:b/>
                <w:sz w:val="20"/>
              </w:rPr>
              <w:t>Scores</w:t>
            </w:r>
            <w:r>
              <w:rPr>
                <w:rFonts w:ascii="Arial"/>
                <w:b/>
                <w:spacing w:val="26"/>
                <w:sz w:val="20"/>
              </w:rPr>
              <w:t> </w:t>
            </w:r>
            <w:r>
              <w:rPr>
                <w:rFonts w:ascii="Arial"/>
                <w:b/>
                <w:sz w:val="20"/>
              </w:rPr>
              <w:t>and</w:t>
            </w:r>
            <w:r>
              <w:rPr>
                <w:rFonts w:ascii="Arial"/>
                <w:b/>
                <w:spacing w:val="26"/>
                <w:sz w:val="20"/>
              </w:rPr>
              <w:t> </w:t>
            </w:r>
            <w:r>
              <w:rPr>
                <w:rFonts w:ascii="Arial"/>
                <w:b/>
                <w:sz w:val="20"/>
              </w:rPr>
              <w:t>Standard</w:t>
            </w:r>
            <w:r>
              <w:rPr>
                <w:rFonts w:ascii="Arial"/>
                <w:b/>
                <w:spacing w:val="26"/>
                <w:sz w:val="20"/>
              </w:rPr>
              <w:t> </w:t>
            </w:r>
            <w:r>
              <w:rPr>
                <w:rFonts w:ascii="Arial"/>
                <w:b/>
                <w:sz w:val="20"/>
              </w:rPr>
              <w:t>Deviation</w:t>
            </w:r>
            <w:r>
              <w:rPr>
                <w:rFonts w:ascii="Arial"/>
                <w:b/>
                <w:spacing w:val="26"/>
                <w:sz w:val="20"/>
              </w:rPr>
              <w:t> </w:t>
            </w:r>
            <w:r>
              <w:rPr>
                <w:rFonts w:ascii="Arial"/>
                <w:b/>
                <w:sz w:val="20"/>
              </w:rPr>
              <w:t>of</w:t>
            </w:r>
            <w:r>
              <w:rPr>
                <w:rFonts w:ascii="Arial"/>
                <w:b/>
                <w:spacing w:val="26"/>
                <w:sz w:val="20"/>
              </w:rPr>
              <w:t> </w:t>
            </w:r>
            <w:r>
              <w:rPr>
                <w:rFonts w:ascii="Arial"/>
                <w:b/>
                <w:sz w:val="20"/>
              </w:rPr>
              <w:t>Male</w:t>
            </w:r>
            <w:r>
              <w:rPr>
                <w:rFonts w:ascii="Arial"/>
                <w:b/>
                <w:spacing w:val="26"/>
                <w:sz w:val="20"/>
              </w:rPr>
              <w:t> </w:t>
            </w:r>
            <w:r>
              <w:rPr>
                <w:rFonts w:ascii="Arial"/>
                <w:b/>
                <w:sz w:val="20"/>
              </w:rPr>
              <w:t>and</w:t>
            </w:r>
            <w:r>
              <w:rPr>
                <w:rFonts w:ascii="Arial"/>
                <w:b/>
                <w:spacing w:val="26"/>
                <w:sz w:val="20"/>
              </w:rPr>
              <w:t> </w:t>
            </w:r>
            <w:r>
              <w:rPr>
                <w:rFonts w:ascii="Arial"/>
                <w:b/>
                <w:sz w:val="20"/>
              </w:rPr>
              <w:t>Female</w:t>
            </w:r>
            <w:r>
              <w:rPr>
                <w:rFonts w:ascii="Arial"/>
                <w:b/>
                <w:spacing w:val="26"/>
                <w:sz w:val="20"/>
              </w:rPr>
              <w:t> </w:t>
            </w:r>
            <w:r>
              <w:rPr>
                <w:rFonts w:ascii="Arial"/>
                <w:b/>
                <w:sz w:val="20"/>
              </w:rPr>
              <w:t>Lecturers</w:t>
            </w:r>
            <w:r>
              <w:rPr>
                <w:rFonts w:ascii="Arial"/>
                <w:b/>
                <w:spacing w:val="26"/>
                <w:sz w:val="20"/>
              </w:rPr>
              <w:t> </w:t>
            </w:r>
            <w:r>
              <w:rPr>
                <w:rFonts w:ascii="Arial"/>
                <w:b/>
                <w:sz w:val="20"/>
              </w:rPr>
              <w:t>on</w:t>
            </w:r>
            <w:r>
              <w:rPr>
                <w:rFonts w:ascii="Arial"/>
                <w:b/>
                <w:spacing w:val="26"/>
                <w:sz w:val="20"/>
              </w:rPr>
              <w:t> </w:t>
            </w:r>
            <w:r>
              <w:rPr>
                <w:rFonts w:ascii="Arial"/>
                <w:b/>
                <w:sz w:val="20"/>
              </w:rPr>
              <w:t>the</w:t>
            </w:r>
            <w:r>
              <w:rPr>
                <w:rFonts w:ascii="Arial"/>
                <w:b/>
                <w:spacing w:val="26"/>
                <w:sz w:val="20"/>
              </w:rPr>
              <w:t> </w:t>
            </w:r>
            <w:r>
              <w:rPr>
                <w:rFonts w:ascii="Arial"/>
                <w:b/>
                <w:sz w:val="20"/>
              </w:rPr>
              <w:t>Extent</w:t>
            </w:r>
            <w:r>
              <w:rPr>
                <w:rFonts w:ascii="Arial"/>
                <w:b/>
                <w:spacing w:val="26"/>
                <w:sz w:val="20"/>
              </w:rPr>
              <w:t> </w:t>
            </w:r>
            <w:r>
              <w:rPr>
                <w:rFonts w:ascii="Arial"/>
                <w:b/>
                <w:sz w:val="20"/>
              </w:rPr>
              <w:t>to which Information and Communication Technology (ICT) is Used (n=22)</w:t>
            </w:r>
          </w:p>
        </w:tc>
      </w:tr>
      <w:tr>
        <w:trPr>
          <w:trHeight w:val="680" w:hRule="atLeast"/>
        </w:trPr>
        <w:tc>
          <w:tcPr>
            <w:tcW w:w="520" w:type="dxa"/>
            <w:vMerge w:val="restart"/>
          </w:tcPr>
          <w:p>
            <w:pPr>
              <w:pStyle w:val="TableParagraph"/>
              <w:ind w:left="120" w:right="183"/>
              <w:jc w:val="left"/>
              <w:rPr>
                <w:rFonts w:ascii="Arial"/>
                <w:b/>
                <w:sz w:val="20"/>
              </w:rPr>
            </w:pPr>
            <w:r>
              <w:rPr>
                <w:rFonts w:ascii="Arial"/>
                <w:b/>
                <w:spacing w:val="-6"/>
                <w:sz w:val="20"/>
              </w:rPr>
              <w:t>S/ </w:t>
            </w:r>
            <w:r>
              <w:rPr>
                <w:rFonts w:ascii="Arial"/>
                <w:b/>
                <w:spacing w:val="-10"/>
                <w:sz w:val="20"/>
              </w:rPr>
              <w:t>N</w:t>
            </w:r>
          </w:p>
        </w:tc>
        <w:tc>
          <w:tcPr>
            <w:tcW w:w="5000" w:type="dxa"/>
            <w:vMerge w:val="restart"/>
          </w:tcPr>
          <w:p>
            <w:pPr>
              <w:pStyle w:val="TableParagraph"/>
              <w:ind w:left="125"/>
              <w:jc w:val="left"/>
              <w:rPr>
                <w:rFonts w:ascii="Arial"/>
                <w:b/>
                <w:sz w:val="20"/>
              </w:rPr>
            </w:pPr>
            <w:r>
              <w:rPr>
                <w:rFonts w:ascii="Arial"/>
                <w:b/>
                <w:spacing w:val="-2"/>
                <w:sz w:val="20"/>
              </w:rPr>
              <w:t>Items</w:t>
            </w:r>
          </w:p>
        </w:tc>
        <w:tc>
          <w:tcPr>
            <w:tcW w:w="820" w:type="dxa"/>
          </w:tcPr>
          <w:p>
            <w:pPr>
              <w:pStyle w:val="TableParagraph"/>
              <w:ind w:left="170" w:right="101" w:hanging="37"/>
              <w:jc w:val="left"/>
              <w:rPr>
                <w:rFonts w:ascii="Arial"/>
                <w:b/>
                <w:sz w:val="20"/>
              </w:rPr>
            </w:pPr>
            <w:r>
              <w:rPr>
                <w:rFonts w:ascii="Arial"/>
                <w:b/>
                <w:spacing w:val="-2"/>
                <w:sz w:val="20"/>
              </w:rPr>
              <w:t>Males (n=4)</w:t>
            </w:r>
          </w:p>
        </w:tc>
        <w:tc>
          <w:tcPr>
            <w:tcW w:w="720" w:type="dxa"/>
          </w:tcPr>
          <w:p>
            <w:pPr>
              <w:pStyle w:val="TableParagraph"/>
              <w:ind w:left="0"/>
              <w:jc w:val="left"/>
              <w:rPr>
                <w:rFonts w:ascii="Times New Roman"/>
                <w:sz w:val="20"/>
              </w:rPr>
            </w:pPr>
          </w:p>
        </w:tc>
        <w:tc>
          <w:tcPr>
            <w:tcW w:w="940" w:type="dxa"/>
          </w:tcPr>
          <w:p>
            <w:pPr>
              <w:pStyle w:val="TableParagraph"/>
              <w:spacing w:line="230" w:lineRule="atLeast"/>
              <w:ind w:left="118" w:right="110"/>
              <w:rPr>
                <w:rFonts w:ascii="Arial"/>
                <w:b/>
                <w:sz w:val="20"/>
              </w:rPr>
            </w:pPr>
            <w:r>
              <w:rPr>
                <w:rFonts w:ascii="Arial"/>
                <w:b/>
                <w:spacing w:val="-2"/>
                <w:sz w:val="20"/>
              </w:rPr>
              <w:t>Female </w:t>
            </w:r>
            <w:r>
              <w:rPr>
                <w:rFonts w:ascii="Arial"/>
                <w:b/>
                <w:spacing w:val="-10"/>
                <w:sz w:val="20"/>
              </w:rPr>
              <w:t>s</w:t>
            </w:r>
            <w:r>
              <w:rPr>
                <w:rFonts w:ascii="Arial"/>
                <w:b/>
                <w:spacing w:val="-2"/>
                <w:sz w:val="20"/>
              </w:rPr>
              <w:t> (n=18)</w:t>
            </w:r>
          </w:p>
        </w:tc>
        <w:tc>
          <w:tcPr>
            <w:tcW w:w="580" w:type="dxa"/>
          </w:tcPr>
          <w:p>
            <w:pPr>
              <w:pStyle w:val="TableParagraph"/>
              <w:ind w:left="0"/>
              <w:jc w:val="left"/>
              <w:rPr>
                <w:rFonts w:ascii="Times New Roman"/>
                <w:sz w:val="20"/>
              </w:rPr>
            </w:pPr>
          </w:p>
        </w:tc>
        <w:tc>
          <w:tcPr>
            <w:tcW w:w="1000" w:type="dxa"/>
          </w:tcPr>
          <w:p>
            <w:pPr>
              <w:pStyle w:val="TableParagraph"/>
              <w:ind w:left="358" w:right="219" w:hanging="112"/>
              <w:jc w:val="left"/>
              <w:rPr>
                <w:rFonts w:ascii="Arial"/>
                <w:b/>
                <w:sz w:val="20"/>
              </w:rPr>
            </w:pPr>
            <w:r>
              <w:rPr>
                <w:rFonts w:ascii="Arial"/>
                <w:b/>
                <w:spacing w:val="-4"/>
                <w:sz w:val="20"/>
              </w:rPr>
              <w:t>Mean set</w:t>
            </w:r>
          </w:p>
        </w:tc>
      </w:tr>
      <w:tr>
        <w:trPr>
          <w:trHeight w:val="509" w:hRule="atLeast"/>
        </w:trPr>
        <w:tc>
          <w:tcPr>
            <w:tcW w:w="520" w:type="dxa"/>
            <w:vMerge/>
            <w:tcBorders>
              <w:top w:val="nil"/>
            </w:tcBorders>
          </w:tcPr>
          <w:p>
            <w:pPr>
              <w:rPr>
                <w:sz w:val="2"/>
                <w:szCs w:val="2"/>
              </w:rPr>
            </w:pPr>
          </w:p>
        </w:tc>
        <w:tc>
          <w:tcPr>
            <w:tcW w:w="5000" w:type="dxa"/>
            <w:vMerge/>
            <w:tcBorders>
              <w:top w:val="nil"/>
            </w:tcBorders>
          </w:tcPr>
          <w:p>
            <w:pPr>
              <w:rPr>
                <w:sz w:val="2"/>
                <w:szCs w:val="2"/>
              </w:rPr>
            </w:pPr>
          </w:p>
        </w:tc>
        <w:tc>
          <w:tcPr>
            <w:tcW w:w="820" w:type="dxa"/>
          </w:tcPr>
          <w:p>
            <w:pPr>
              <w:pStyle w:val="TableParagraph"/>
              <w:spacing w:before="37"/>
              <w:ind w:left="25"/>
              <w:rPr>
                <w:rFonts w:ascii="Cambria Math" w:eastAsia="Cambria Math"/>
                <w:sz w:val="20"/>
              </w:rPr>
            </w:pPr>
            <w:r>
              <w:rPr>
                <w:rFonts w:ascii="Cambria Math" w:eastAsia="Cambria Math"/>
                <w:spacing w:val="-10"/>
                <w:sz w:val="20"/>
              </w:rPr>
              <w:t>𝑋</w:t>
            </w:r>
          </w:p>
        </w:tc>
        <w:tc>
          <w:tcPr>
            <w:tcW w:w="720" w:type="dxa"/>
          </w:tcPr>
          <w:p>
            <w:pPr>
              <w:pStyle w:val="TableParagraph"/>
              <w:spacing w:line="226" w:lineRule="exact"/>
              <w:ind w:left="20" w:right="5"/>
              <w:rPr>
                <w:rFonts w:ascii="Arial"/>
                <w:b/>
                <w:sz w:val="20"/>
              </w:rPr>
            </w:pPr>
            <w:r>
              <w:rPr>
                <w:rFonts w:ascii="Arial"/>
                <w:b/>
                <w:spacing w:val="-5"/>
                <w:sz w:val="20"/>
              </w:rPr>
              <w:t>SD</w:t>
            </w:r>
          </w:p>
        </w:tc>
        <w:tc>
          <w:tcPr>
            <w:tcW w:w="940" w:type="dxa"/>
          </w:tcPr>
          <w:p>
            <w:pPr>
              <w:pStyle w:val="TableParagraph"/>
              <w:spacing w:before="5"/>
              <w:ind w:left="0"/>
              <w:jc w:val="left"/>
              <w:rPr>
                <w:sz w:val="3"/>
              </w:rPr>
            </w:pPr>
          </w:p>
          <w:p>
            <w:pPr>
              <w:pStyle w:val="TableParagraph"/>
              <w:spacing w:line="20" w:lineRule="exact"/>
              <w:ind w:left="390"/>
              <w:jc w:val="left"/>
              <w:rPr>
                <w:sz w:val="2"/>
              </w:rPr>
            </w:pPr>
            <w:r>
              <w:rPr>
                <w:sz w:val="2"/>
              </w:rPr>
              <mc:AlternateContent>
                <mc:Choice Requires="wps">
                  <w:drawing>
                    <wp:inline distT="0" distB="0" distL="0" distR="0">
                      <wp:extent cx="88900" cy="12700"/>
                      <wp:effectExtent l="9525" t="0" r="6350" b="6350"/>
                      <wp:docPr id="16" name="Group 16"/>
                      <wp:cNvGraphicFramePr>
                        <a:graphicFrameLocks/>
                      </wp:cNvGraphicFramePr>
                      <a:graphic>
                        <a:graphicData uri="http://schemas.microsoft.com/office/word/2010/wordprocessingGroup">
                          <wpg:wgp>
                            <wpg:cNvPr id="16" name="Group 16"/>
                            <wpg:cNvGrpSpPr/>
                            <wpg:grpSpPr>
                              <a:xfrm>
                                <a:off x="0" y="0"/>
                                <a:ext cx="88900" cy="12700"/>
                                <a:chExt cx="88900" cy="12700"/>
                              </a:xfrm>
                            </wpg:grpSpPr>
                            <wps:wsp>
                              <wps:cNvPr id="17" name="Graphic 17"/>
                              <wps:cNvSpPr/>
                              <wps:spPr>
                                <a:xfrm>
                                  <a:off x="0" y="6350"/>
                                  <a:ext cx="88900" cy="1270"/>
                                </a:xfrm>
                                <a:custGeom>
                                  <a:avLst/>
                                  <a:gdLst/>
                                  <a:ahLst/>
                                  <a:cxnLst/>
                                  <a:rect l="l" t="t" r="r" b="b"/>
                                  <a:pathLst>
                                    <a:path w="88900" h="0">
                                      <a:moveTo>
                                        <a:pt x="0" y="0"/>
                                      </a:moveTo>
                                      <a:lnTo>
                                        <a:pt x="88899"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pt;height:1pt;mso-position-horizontal-relative:char;mso-position-vertical-relative:line" id="docshapegroup8" coordorigin="0,0" coordsize="140,20">
                      <v:line style="position:absolute" from="0,10" to="140,10" stroked="true" strokeweight="1.0pt" strokecolor="#000000">
                        <v:stroke dashstyle="solid"/>
                      </v:line>
                    </v:group>
                  </w:pict>
                </mc:Fallback>
              </mc:AlternateContent>
            </w:r>
            <w:r>
              <w:rPr>
                <w:sz w:val="2"/>
              </w:rPr>
            </w:r>
          </w:p>
          <w:p>
            <w:pPr>
              <w:pStyle w:val="TableParagraph"/>
              <w:ind w:left="5"/>
              <w:rPr>
                <w:rFonts w:ascii="Cambria Math" w:eastAsia="Cambria Math"/>
                <w:sz w:val="20"/>
              </w:rPr>
            </w:pPr>
            <w:r>
              <w:rPr>
                <w:rFonts w:ascii="Cambria Math" w:eastAsia="Cambria Math"/>
                <w:spacing w:val="-10"/>
                <w:sz w:val="20"/>
              </w:rPr>
              <w:t>𝑋</w:t>
            </w:r>
          </w:p>
        </w:tc>
        <w:tc>
          <w:tcPr>
            <w:tcW w:w="580" w:type="dxa"/>
          </w:tcPr>
          <w:p>
            <w:pPr>
              <w:pStyle w:val="TableParagraph"/>
              <w:spacing w:line="226" w:lineRule="exact"/>
              <w:ind w:left="148"/>
              <w:jc w:val="left"/>
              <w:rPr>
                <w:rFonts w:ascii="Arial"/>
                <w:b/>
                <w:sz w:val="20"/>
              </w:rPr>
            </w:pPr>
            <w:r>
              <w:rPr>
                <w:rFonts w:ascii="Arial"/>
                <w:b/>
                <w:spacing w:val="-5"/>
                <w:sz w:val="20"/>
              </w:rPr>
              <w:t>SD</w:t>
            </w:r>
          </w:p>
        </w:tc>
        <w:tc>
          <w:tcPr>
            <w:tcW w:w="1000" w:type="dxa"/>
          </w:tcPr>
          <w:p>
            <w:pPr>
              <w:pStyle w:val="TableParagraph"/>
              <w:spacing w:before="7"/>
              <w:ind w:left="0"/>
              <w:jc w:val="left"/>
              <w:rPr>
                <w:sz w:val="2"/>
              </w:rPr>
            </w:pPr>
          </w:p>
          <w:p>
            <w:pPr>
              <w:pStyle w:val="TableParagraph"/>
              <w:spacing w:line="20" w:lineRule="exact"/>
              <w:ind w:left="360"/>
              <w:jc w:val="left"/>
              <w:rPr>
                <w:sz w:val="2"/>
              </w:rPr>
            </w:pPr>
            <w:r>
              <w:rPr>
                <w:sz w:val="2"/>
              </w:rPr>
              <mc:AlternateContent>
                <mc:Choice Requires="wps">
                  <w:drawing>
                    <wp:inline distT="0" distB="0" distL="0" distR="0">
                      <wp:extent cx="165100" cy="12700"/>
                      <wp:effectExtent l="9525" t="0" r="6350" b="6350"/>
                      <wp:docPr id="18" name="Group 18"/>
                      <wp:cNvGraphicFramePr>
                        <a:graphicFrameLocks/>
                      </wp:cNvGraphicFramePr>
                      <a:graphic>
                        <a:graphicData uri="http://schemas.microsoft.com/office/word/2010/wordprocessingGroup">
                          <wpg:wgp>
                            <wpg:cNvPr id="18" name="Group 18"/>
                            <wpg:cNvGrpSpPr/>
                            <wpg:grpSpPr>
                              <a:xfrm>
                                <a:off x="0" y="0"/>
                                <a:ext cx="165100" cy="12700"/>
                                <a:chExt cx="165100" cy="12700"/>
                              </a:xfrm>
                            </wpg:grpSpPr>
                            <wps:wsp>
                              <wps:cNvPr id="19" name="Graphic 19"/>
                              <wps:cNvSpPr/>
                              <wps:spPr>
                                <a:xfrm>
                                  <a:off x="0" y="6350"/>
                                  <a:ext cx="165100" cy="1270"/>
                                </a:xfrm>
                                <a:custGeom>
                                  <a:avLst/>
                                  <a:gdLst/>
                                  <a:ahLst/>
                                  <a:cxnLst/>
                                  <a:rect l="l" t="t" r="r" b="b"/>
                                  <a:pathLst>
                                    <a:path w="165100" h="0">
                                      <a:moveTo>
                                        <a:pt x="0" y="0"/>
                                      </a:moveTo>
                                      <a:lnTo>
                                        <a:pt x="88900" y="0"/>
                                      </a:lnTo>
                                    </a:path>
                                    <a:path w="165100" h="0">
                                      <a:moveTo>
                                        <a:pt x="88900" y="0"/>
                                      </a:moveTo>
                                      <a:lnTo>
                                        <a:pt x="1651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pt;height:1pt;mso-position-horizontal-relative:char;mso-position-vertical-relative:line" id="docshapegroup9" coordorigin="0,0" coordsize="260,20">
                      <v:shape style="position:absolute;left:0;top:10;width:260;height:2" id="docshape10" coordorigin="0,10" coordsize="260,0" path="m0,10l140,10m140,10l260,10e" filled="false" stroked="true" strokeweight="1.0pt" strokecolor="#000000">
                        <v:path arrowok="t"/>
                        <v:stroke dashstyle="solid"/>
                      </v:shape>
                    </v:group>
                  </w:pict>
                </mc:Fallback>
              </mc:AlternateContent>
            </w:r>
            <w:r>
              <w:rPr>
                <w:sz w:val="2"/>
              </w:rPr>
            </w:r>
          </w:p>
          <w:p>
            <w:pPr>
              <w:pStyle w:val="TableParagraph"/>
              <w:ind w:left="25"/>
              <w:rPr>
                <w:rFonts w:ascii="Cambria Math" w:eastAsia="Cambria Math"/>
                <w:sz w:val="20"/>
              </w:rPr>
            </w:pPr>
            <w:r>
              <w:rPr>
                <w:rFonts w:ascii="Cambria Math" w:eastAsia="Cambria Math"/>
                <w:spacing w:val="-5"/>
                <w:sz w:val="20"/>
              </w:rPr>
              <w:t>𝑋𝑋</w:t>
            </w:r>
          </w:p>
        </w:tc>
      </w:tr>
      <w:tr>
        <w:trPr>
          <w:trHeight w:val="559" w:hRule="atLeast"/>
        </w:trPr>
        <w:tc>
          <w:tcPr>
            <w:tcW w:w="520" w:type="dxa"/>
          </w:tcPr>
          <w:p>
            <w:pPr>
              <w:pStyle w:val="TableParagraph"/>
              <w:spacing w:line="225" w:lineRule="exact"/>
              <w:ind w:left="120"/>
              <w:jc w:val="left"/>
              <w:rPr>
                <w:sz w:val="20"/>
              </w:rPr>
            </w:pPr>
            <w:r>
              <w:rPr>
                <w:spacing w:val="-10"/>
                <w:sz w:val="20"/>
              </w:rPr>
              <w:t>1</w:t>
            </w:r>
          </w:p>
        </w:tc>
        <w:tc>
          <w:tcPr>
            <w:tcW w:w="5000" w:type="dxa"/>
          </w:tcPr>
          <w:p>
            <w:pPr>
              <w:pStyle w:val="TableParagraph"/>
              <w:spacing w:line="225" w:lineRule="exact"/>
              <w:ind w:left="180"/>
              <w:jc w:val="left"/>
              <w:rPr>
                <w:sz w:val="20"/>
              </w:rPr>
            </w:pPr>
            <w:r>
              <w:rPr>
                <w:sz w:val="20"/>
              </w:rPr>
              <w:t>I</w:t>
            </w:r>
            <w:r>
              <w:rPr>
                <w:spacing w:val="-5"/>
                <w:sz w:val="20"/>
              </w:rPr>
              <w:t> </w:t>
            </w:r>
            <w:r>
              <w:rPr>
                <w:sz w:val="20"/>
              </w:rPr>
              <w:t>use</w:t>
            </w:r>
            <w:r>
              <w:rPr>
                <w:spacing w:val="-4"/>
                <w:sz w:val="20"/>
              </w:rPr>
              <w:t> </w:t>
            </w:r>
            <w:r>
              <w:rPr>
                <w:sz w:val="20"/>
              </w:rPr>
              <w:t>ICT</w:t>
            </w:r>
            <w:r>
              <w:rPr>
                <w:spacing w:val="-4"/>
                <w:sz w:val="20"/>
              </w:rPr>
              <w:t> </w:t>
            </w:r>
            <w:r>
              <w:rPr>
                <w:sz w:val="20"/>
              </w:rPr>
              <w:t>facilities</w:t>
            </w:r>
            <w:r>
              <w:rPr>
                <w:spacing w:val="-4"/>
                <w:sz w:val="20"/>
              </w:rPr>
              <w:t> </w:t>
            </w:r>
            <w:r>
              <w:rPr>
                <w:sz w:val="20"/>
              </w:rPr>
              <w:t>in</w:t>
            </w:r>
            <w:r>
              <w:rPr>
                <w:spacing w:val="-4"/>
                <w:sz w:val="20"/>
              </w:rPr>
              <w:t> </w:t>
            </w:r>
            <w:r>
              <w:rPr>
                <w:sz w:val="20"/>
              </w:rPr>
              <w:t>teaching</w:t>
            </w:r>
            <w:r>
              <w:rPr>
                <w:spacing w:val="-4"/>
                <w:sz w:val="20"/>
              </w:rPr>
              <w:t> </w:t>
            </w:r>
            <w:r>
              <w:rPr>
                <w:sz w:val="20"/>
              </w:rPr>
              <w:t>my</w:t>
            </w:r>
            <w:r>
              <w:rPr>
                <w:spacing w:val="-4"/>
                <w:sz w:val="20"/>
              </w:rPr>
              <w:t> </w:t>
            </w:r>
            <w:r>
              <w:rPr>
                <w:spacing w:val="-2"/>
                <w:sz w:val="20"/>
              </w:rPr>
              <w:t>students</w:t>
            </w:r>
          </w:p>
        </w:tc>
        <w:tc>
          <w:tcPr>
            <w:tcW w:w="820" w:type="dxa"/>
          </w:tcPr>
          <w:p>
            <w:pPr>
              <w:pStyle w:val="TableParagraph"/>
              <w:spacing w:line="225" w:lineRule="exact"/>
              <w:ind w:left="25"/>
              <w:rPr>
                <w:sz w:val="20"/>
              </w:rPr>
            </w:pPr>
            <w:r>
              <w:rPr>
                <w:spacing w:val="-4"/>
                <w:sz w:val="20"/>
              </w:rPr>
              <w:t>2.61</w:t>
            </w:r>
          </w:p>
        </w:tc>
        <w:tc>
          <w:tcPr>
            <w:tcW w:w="720" w:type="dxa"/>
          </w:tcPr>
          <w:p>
            <w:pPr>
              <w:pStyle w:val="TableParagraph"/>
              <w:spacing w:line="225" w:lineRule="exact"/>
              <w:ind w:left="20" w:right="5"/>
              <w:rPr>
                <w:sz w:val="20"/>
              </w:rPr>
            </w:pPr>
            <w:r>
              <w:rPr>
                <w:spacing w:val="-4"/>
                <w:sz w:val="20"/>
              </w:rPr>
              <w:t>1.04</w:t>
            </w:r>
          </w:p>
        </w:tc>
        <w:tc>
          <w:tcPr>
            <w:tcW w:w="940" w:type="dxa"/>
          </w:tcPr>
          <w:p>
            <w:pPr>
              <w:pStyle w:val="TableParagraph"/>
              <w:spacing w:line="225" w:lineRule="exact"/>
              <w:ind w:left="5"/>
              <w:rPr>
                <w:sz w:val="20"/>
              </w:rPr>
            </w:pPr>
            <w:r>
              <w:rPr>
                <w:spacing w:val="-4"/>
                <w:sz w:val="20"/>
              </w:rPr>
              <w:t>2.64</w:t>
            </w:r>
          </w:p>
        </w:tc>
        <w:tc>
          <w:tcPr>
            <w:tcW w:w="580" w:type="dxa"/>
          </w:tcPr>
          <w:p>
            <w:pPr>
              <w:pStyle w:val="TableParagraph"/>
              <w:spacing w:line="225" w:lineRule="exact"/>
              <w:ind w:left="15"/>
              <w:rPr>
                <w:sz w:val="20"/>
              </w:rPr>
            </w:pPr>
            <w:r>
              <w:rPr>
                <w:spacing w:val="-5"/>
                <w:sz w:val="20"/>
              </w:rPr>
              <w:t>0.7</w:t>
            </w:r>
          </w:p>
          <w:p>
            <w:pPr>
              <w:pStyle w:val="TableParagraph"/>
              <w:ind w:left="15"/>
              <w:rPr>
                <w:sz w:val="20"/>
              </w:rPr>
            </w:pPr>
            <w:r>
              <w:rPr>
                <w:spacing w:val="-10"/>
                <w:sz w:val="20"/>
              </w:rPr>
              <w:t>4</w:t>
            </w:r>
          </w:p>
        </w:tc>
        <w:tc>
          <w:tcPr>
            <w:tcW w:w="1000" w:type="dxa"/>
          </w:tcPr>
          <w:p>
            <w:pPr>
              <w:pStyle w:val="TableParagraph"/>
              <w:spacing w:line="225" w:lineRule="exact"/>
              <w:ind w:left="25"/>
              <w:rPr>
                <w:sz w:val="20"/>
              </w:rPr>
            </w:pPr>
            <w:r>
              <w:rPr>
                <w:spacing w:val="-4"/>
                <w:sz w:val="20"/>
              </w:rPr>
              <w:t>2.63</w:t>
            </w:r>
          </w:p>
        </w:tc>
      </w:tr>
      <w:tr>
        <w:trPr>
          <w:trHeight w:val="579" w:hRule="atLeast"/>
        </w:trPr>
        <w:tc>
          <w:tcPr>
            <w:tcW w:w="520" w:type="dxa"/>
          </w:tcPr>
          <w:p>
            <w:pPr>
              <w:pStyle w:val="TableParagraph"/>
              <w:spacing w:before="10"/>
              <w:ind w:left="120"/>
              <w:jc w:val="left"/>
              <w:rPr>
                <w:sz w:val="20"/>
              </w:rPr>
            </w:pPr>
            <w:r>
              <w:rPr>
                <w:spacing w:val="-10"/>
                <w:sz w:val="20"/>
              </w:rPr>
              <w:t>2</w:t>
            </w:r>
          </w:p>
        </w:tc>
        <w:tc>
          <w:tcPr>
            <w:tcW w:w="5000" w:type="dxa"/>
          </w:tcPr>
          <w:p>
            <w:pPr>
              <w:pStyle w:val="TableParagraph"/>
              <w:spacing w:before="10"/>
              <w:ind w:left="125"/>
              <w:jc w:val="left"/>
              <w:rPr>
                <w:sz w:val="20"/>
              </w:rPr>
            </w:pPr>
            <w:r>
              <w:rPr>
                <w:sz w:val="20"/>
              </w:rPr>
              <w:t>I use computer and internet to prepare lesson notes and plans</w:t>
            </w:r>
          </w:p>
        </w:tc>
        <w:tc>
          <w:tcPr>
            <w:tcW w:w="820" w:type="dxa"/>
          </w:tcPr>
          <w:p>
            <w:pPr>
              <w:pStyle w:val="TableParagraph"/>
              <w:spacing w:before="10"/>
              <w:ind w:left="25"/>
              <w:rPr>
                <w:sz w:val="20"/>
              </w:rPr>
            </w:pPr>
            <w:r>
              <w:rPr>
                <w:spacing w:val="-4"/>
                <w:sz w:val="20"/>
              </w:rPr>
              <w:t>2.70</w:t>
            </w:r>
          </w:p>
        </w:tc>
        <w:tc>
          <w:tcPr>
            <w:tcW w:w="720" w:type="dxa"/>
          </w:tcPr>
          <w:p>
            <w:pPr>
              <w:pStyle w:val="TableParagraph"/>
              <w:spacing w:before="10"/>
              <w:ind w:left="20" w:right="5"/>
              <w:rPr>
                <w:sz w:val="20"/>
              </w:rPr>
            </w:pPr>
            <w:r>
              <w:rPr>
                <w:spacing w:val="-4"/>
                <w:sz w:val="20"/>
              </w:rPr>
              <w:t>0.74</w:t>
            </w:r>
          </w:p>
        </w:tc>
        <w:tc>
          <w:tcPr>
            <w:tcW w:w="940" w:type="dxa"/>
          </w:tcPr>
          <w:p>
            <w:pPr>
              <w:pStyle w:val="TableParagraph"/>
              <w:spacing w:before="10"/>
              <w:ind w:left="5"/>
              <w:rPr>
                <w:sz w:val="20"/>
              </w:rPr>
            </w:pPr>
            <w:r>
              <w:rPr>
                <w:spacing w:val="-4"/>
                <w:sz w:val="20"/>
              </w:rPr>
              <w:t>2.75</w:t>
            </w:r>
          </w:p>
        </w:tc>
        <w:tc>
          <w:tcPr>
            <w:tcW w:w="580" w:type="dxa"/>
          </w:tcPr>
          <w:p>
            <w:pPr>
              <w:pStyle w:val="TableParagraph"/>
              <w:spacing w:before="10"/>
              <w:ind w:left="15"/>
              <w:rPr>
                <w:sz w:val="20"/>
              </w:rPr>
            </w:pPr>
            <w:r>
              <w:rPr>
                <w:spacing w:val="-5"/>
                <w:sz w:val="20"/>
              </w:rPr>
              <w:t>0.7</w:t>
            </w:r>
          </w:p>
          <w:p>
            <w:pPr>
              <w:pStyle w:val="TableParagraph"/>
              <w:ind w:left="15"/>
              <w:rPr>
                <w:sz w:val="20"/>
              </w:rPr>
            </w:pPr>
            <w:r>
              <w:rPr>
                <w:spacing w:val="-10"/>
                <w:sz w:val="20"/>
              </w:rPr>
              <w:t>6</w:t>
            </w:r>
          </w:p>
        </w:tc>
        <w:tc>
          <w:tcPr>
            <w:tcW w:w="1000" w:type="dxa"/>
          </w:tcPr>
          <w:p>
            <w:pPr>
              <w:pStyle w:val="TableParagraph"/>
              <w:spacing w:before="10"/>
              <w:ind w:left="25"/>
              <w:rPr>
                <w:sz w:val="20"/>
              </w:rPr>
            </w:pPr>
            <w:r>
              <w:rPr>
                <w:spacing w:val="-4"/>
                <w:sz w:val="20"/>
              </w:rPr>
              <w:t>2.73</w:t>
            </w:r>
          </w:p>
        </w:tc>
      </w:tr>
      <w:tr>
        <w:trPr>
          <w:trHeight w:val="580" w:hRule="atLeast"/>
        </w:trPr>
        <w:tc>
          <w:tcPr>
            <w:tcW w:w="520" w:type="dxa"/>
          </w:tcPr>
          <w:p>
            <w:pPr>
              <w:pStyle w:val="TableParagraph"/>
              <w:spacing w:before="5"/>
              <w:ind w:left="120"/>
              <w:jc w:val="left"/>
              <w:rPr>
                <w:sz w:val="20"/>
              </w:rPr>
            </w:pPr>
            <w:r>
              <w:rPr>
                <w:spacing w:val="-10"/>
                <w:sz w:val="20"/>
              </w:rPr>
              <w:t>3</w:t>
            </w:r>
          </w:p>
        </w:tc>
        <w:tc>
          <w:tcPr>
            <w:tcW w:w="5000" w:type="dxa"/>
          </w:tcPr>
          <w:p>
            <w:pPr>
              <w:pStyle w:val="TableParagraph"/>
              <w:spacing w:before="5"/>
              <w:ind w:left="125"/>
              <w:jc w:val="left"/>
              <w:rPr>
                <w:sz w:val="20"/>
              </w:rPr>
            </w:pPr>
            <w:r>
              <w:rPr>
                <w:sz w:val="20"/>
              </w:rPr>
              <w:t>Sometimes</w:t>
            </w:r>
            <w:r>
              <w:rPr>
                <w:spacing w:val="-6"/>
                <w:sz w:val="20"/>
              </w:rPr>
              <w:t> </w:t>
            </w:r>
            <w:r>
              <w:rPr>
                <w:sz w:val="20"/>
              </w:rPr>
              <w:t>I</w:t>
            </w:r>
            <w:r>
              <w:rPr>
                <w:spacing w:val="-6"/>
                <w:sz w:val="20"/>
              </w:rPr>
              <w:t> </w:t>
            </w:r>
            <w:r>
              <w:rPr>
                <w:sz w:val="20"/>
              </w:rPr>
              <w:t>teach</w:t>
            </w:r>
            <w:r>
              <w:rPr>
                <w:spacing w:val="-6"/>
                <w:sz w:val="20"/>
              </w:rPr>
              <w:t> </w:t>
            </w:r>
            <w:r>
              <w:rPr>
                <w:sz w:val="20"/>
              </w:rPr>
              <w:t>using</w:t>
            </w:r>
            <w:r>
              <w:rPr>
                <w:spacing w:val="-6"/>
                <w:sz w:val="20"/>
              </w:rPr>
              <w:t> </w:t>
            </w:r>
            <w:r>
              <w:rPr>
                <w:sz w:val="20"/>
              </w:rPr>
              <w:t>multimedia</w:t>
            </w:r>
            <w:r>
              <w:rPr>
                <w:spacing w:val="-6"/>
                <w:sz w:val="20"/>
              </w:rPr>
              <w:t> </w:t>
            </w:r>
            <w:r>
              <w:rPr>
                <w:spacing w:val="-2"/>
                <w:sz w:val="20"/>
              </w:rPr>
              <w:t>projector</w:t>
            </w:r>
          </w:p>
        </w:tc>
        <w:tc>
          <w:tcPr>
            <w:tcW w:w="820" w:type="dxa"/>
          </w:tcPr>
          <w:p>
            <w:pPr>
              <w:pStyle w:val="TableParagraph"/>
              <w:spacing w:before="5"/>
              <w:ind w:left="25"/>
              <w:rPr>
                <w:sz w:val="20"/>
              </w:rPr>
            </w:pPr>
            <w:r>
              <w:rPr>
                <w:spacing w:val="-4"/>
                <w:sz w:val="20"/>
              </w:rPr>
              <w:t>2.54</w:t>
            </w:r>
          </w:p>
        </w:tc>
        <w:tc>
          <w:tcPr>
            <w:tcW w:w="720" w:type="dxa"/>
          </w:tcPr>
          <w:p>
            <w:pPr>
              <w:pStyle w:val="TableParagraph"/>
              <w:spacing w:before="5"/>
              <w:ind w:left="20" w:right="5"/>
              <w:rPr>
                <w:sz w:val="20"/>
              </w:rPr>
            </w:pPr>
            <w:r>
              <w:rPr>
                <w:spacing w:val="-4"/>
                <w:sz w:val="20"/>
              </w:rPr>
              <w:t>0.74</w:t>
            </w:r>
          </w:p>
        </w:tc>
        <w:tc>
          <w:tcPr>
            <w:tcW w:w="940" w:type="dxa"/>
          </w:tcPr>
          <w:p>
            <w:pPr>
              <w:pStyle w:val="TableParagraph"/>
              <w:spacing w:before="5"/>
              <w:ind w:left="5"/>
              <w:rPr>
                <w:sz w:val="20"/>
              </w:rPr>
            </w:pPr>
            <w:r>
              <w:rPr>
                <w:spacing w:val="-4"/>
                <w:sz w:val="20"/>
              </w:rPr>
              <w:t>2.52</w:t>
            </w:r>
          </w:p>
        </w:tc>
        <w:tc>
          <w:tcPr>
            <w:tcW w:w="580" w:type="dxa"/>
          </w:tcPr>
          <w:p>
            <w:pPr>
              <w:pStyle w:val="TableParagraph"/>
              <w:spacing w:before="5"/>
              <w:ind w:left="15"/>
              <w:rPr>
                <w:sz w:val="20"/>
              </w:rPr>
            </w:pPr>
            <w:r>
              <w:rPr>
                <w:spacing w:val="-5"/>
                <w:sz w:val="20"/>
              </w:rPr>
              <w:t>0.7</w:t>
            </w:r>
          </w:p>
          <w:p>
            <w:pPr>
              <w:pStyle w:val="TableParagraph"/>
              <w:ind w:left="15"/>
              <w:rPr>
                <w:sz w:val="20"/>
              </w:rPr>
            </w:pPr>
            <w:r>
              <w:rPr>
                <w:spacing w:val="-10"/>
                <w:sz w:val="20"/>
              </w:rPr>
              <w:t>8</w:t>
            </w:r>
          </w:p>
        </w:tc>
        <w:tc>
          <w:tcPr>
            <w:tcW w:w="1000" w:type="dxa"/>
          </w:tcPr>
          <w:p>
            <w:pPr>
              <w:pStyle w:val="TableParagraph"/>
              <w:spacing w:before="5"/>
              <w:ind w:left="25"/>
              <w:rPr>
                <w:sz w:val="20"/>
              </w:rPr>
            </w:pPr>
            <w:r>
              <w:rPr>
                <w:spacing w:val="-4"/>
                <w:sz w:val="20"/>
              </w:rPr>
              <w:t>2.53</w:t>
            </w:r>
          </w:p>
        </w:tc>
      </w:tr>
      <w:tr>
        <w:trPr>
          <w:trHeight w:val="559" w:hRule="atLeast"/>
        </w:trPr>
        <w:tc>
          <w:tcPr>
            <w:tcW w:w="520" w:type="dxa"/>
          </w:tcPr>
          <w:p>
            <w:pPr>
              <w:pStyle w:val="TableParagraph"/>
              <w:ind w:left="120"/>
              <w:jc w:val="left"/>
              <w:rPr>
                <w:sz w:val="20"/>
              </w:rPr>
            </w:pPr>
            <w:r>
              <w:rPr>
                <w:spacing w:val="-10"/>
                <w:sz w:val="20"/>
              </w:rPr>
              <w:t>4</w:t>
            </w:r>
          </w:p>
        </w:tc>
        <w:tc>
          <w:tcPr>
            <w:tcW w:w="5000" w:type="dxa"/>
          </w:tcPr>
          <w:p>
            <w:pPr>
              <w:pStyle w:val="TableParagraph"/>
              <w:ind w:left="125"/>
              <w:jc w:val="left"/>
              <w:rPr>
                <w:sz w:val="20"/>
              </w:rPr>
            </w:pPr>
            <w:r>
              <w:rPr>
                <w:sz w:val="20"/>
              </w:rPr>
              <w:t>I</w:t>
            </w:r>
            <w:r>
              <w:rPr>
                <w:spacing w:val="40"/>
                <w:sz w:val="20"/>
              </w:rPr>
              <w:t> </w:t>
            </w:r>
            <w:r>
              <w:rPr>
                <w:sz w:val="20"/>
              </w:rPr>
              <w:t>do</w:t>
            </w:r>
            <w:r>
              <w:rPr>
                <w:spacing w:val="40"/>
                <w:sz w:val="20"/>
              </w:rPr>
              <w:t> </w:t>
            </w:r>
            <w:r>
              <w:rPr>
                <w:sz w:val="20"/>
              </w:rPr>
              <w:t>most</w:t>
            </w:r>
            <w:r>
              <w:rPr>
                <w:spacing w:val="40"/>
                <w:sz w:val="20"/>
              </w:rPr>
              <w:t> </w:t>
            </w:r>
            <w:r>
              <w:rPr>
                <w:sz w:val="20"/>
              </w:rPr>
              <w:t>of</w:t>
            </w:r>
            <w:r>
              <w:rPr>
                <w:spacing w:val="40"/>
                <w:sz w:val="20"/>
              </w:rPr>
              <w:t> </w:t>
            </w:r>
            <w:r>
              <w:rPr>
                <w:sz w:val="20"/>
              </w:rPr>
              <w:t>my</w:t>
            </w:r>
            <w:r>
              <w:rPr>
                <w:spacing w:val="40"/>
                <w:sz w:val="20"/>
              </w:rPr>
              <w:t> </w:t>
            </w:r>
            <w:r>
              <w:rPr>
                <w:sz w:val="20"/>
              </w:rPr>
              <w:t>course</w:t>
            </w:r>
            <w:r>
              <w:rPr>
                <w:spacing w:val="40"/>
                <w:sz w:val="20"/>
              </w:rPr>
              <w:t> </w:t>
            </w:r>
            <w:r>
              <w:rPr>
                <w:sz w:val="20"/>
              </w:rPr>
              <w:t>assignments</w:t>
            </w:r>
            <w:r>
              <w:rPr>
                <w:spacing w:val="40"/>
                <w:sz w:val="20"/>
              </w:rPr>
              <w:t> </w:t>
            </w:r>
            <w:r>
              <w:rPr>
                <w:sz w:val="20"/>
              </w:rPr>
              <w:t>using</w:t>
            </w:r>
            <w:r>
              <w:rPr>
                <w:spacing w:val="40"/>
                <w:sz w:val="20"/>
              </w:rPr>
              <w:t> </w:t>
            </w:r>
            <w:r>
              <w:rPr>
                <w:sz w:val="20"/>
              </w:rPr>
              <w:t>online </w:t>
            </w:r>
            <w:r>
              <w:rPr>
                <w:spacing w:val="-2"/>
                <w:sz w:val="20"/>
              </w:rPr>
              <w:t>resources</w:t>
            </w:r>
          </w:p>
        </w:tc>
        <w:tc>
          <w:tcPr>
            <w:tcW w:w="820" w:type="dxa"/>
          </w:tcPr>
          <w:p>
            <w:pPr>
              <w:pStyle w:val="TableParagraph"/>
              <w:ind w:left="25"/>
              <w:rPr>
                <w:sz w:val="20"/>
              </w:rPr>
            </w:pPr>
            <w:r>
              <w:rPr>
                <w:spacing w:val="-4"/>
                <w:sz w:val="20"/>
              </w:rPr>
              <w:t>2.56</w:t>
            </w:r>
          </w:p>
        </w:tc>
        <w:tc>
          <w:tcPr>
            <w:tcW w:w="720" w:type="dxa"/>
          </w:tcPr>
          <w:p>
            <w:pPr>
              <w:pStyle w:val="TableParagraph"/>
              <w:ind w:left="20" w:right="5"/>
              <w:rPr>
                <w:sz w:val="20"/>
              </w:rPr>
            </w:pPr>
            <w:r>
              <w:rPr>
                <w:spacing w:val="-4"/>
                <w:sz w:val="20"/>
              </w:rPr>
              <w:t>1.94</w:t>
            </w:r>
          </w:p>
        </w:tc>
        <w:tc>
          <w:tcPr>
            <w:tcW w:w="940" w:type="dxa"/>
          </w:tcPr>
          <w:p>
            <w:pPr>
              <w:pStyle w:val="TableParagraph"/>
              <w:ind w:left="5"/>
              <w:rPr>
                <w:sz w:val="20"/>
              </w:rPr>
            </w:pPr>
            <w:r>
              <w:rPr>
                <w:spacing w:val="-4"/>
                <w:sz w:val="20"/>
              </w:rPr>
              <w:t>2.53</w:t>
            </w:r>
          </w:p>
        </w:tc>
        <w:tc>
          <w:tcPr>
            <w:tcW w:w="580" w:type="dxa"/>
          </w:tcPr>
          <w:p>
            <w:pPr>
              <w:pStyle w:val="TableParagraph"/>
              <w:ind w:left="15"/>
              <w:rPr>
                <w:sz w:val="20"/>
              </w:rPr>
            </w:pPr>
            <w:r>
              <w:rPr>
                <w:spacing w:val="-5"/>
                <w:sz w:val="20"/>
              </w:rPr>
              <w:t>0.8</w:t>
            </w:r>
          </w:p>
          <w:p>
            <w:pPr>
              <w:pStyle w:val="TableParagraph"/>
              <w:ind w:left="15"/>
              <w:rPr>
                <w:sz w:val="20"/>
              </w:rPr>
            </w:pPr>
            <w:r>
              <w:rPr>
                <w:spacing w:val="-10"/>
                <w:sz w:val="20"/>
              </w:rPr>
              <w:t>0</w:t>
            </w:r>
          </w:p>
        </w:tc>
        <w:tc>
          <w:tcPr>
            <w:tcW w:w="1000" w:type="dxa"/>
          </w:tcPr>
          <w:p>
            <w:pPr>
              <w:pStyle w:val="TableParagraph"/>
              <w:ind w:left="25"/>
              <w:rPr>
                <w:sz w:val="20"/>
              </w:rPr>
            </w:pPr>
            <w:r>
              <w:rPr>
                <w:spacing w:val="-4"/>
                <w:sz w:val="20"/>
              </w:rPr>
              <w:t>2.55</w:t>
            </w:r>
          </w:p>
        </w:tc>
      </w:tr>
      <w:tr>
        <w:trPr>
          <w:trHeight w:val="700" w:hRule="atLeast"/>
        </w:trPr>
        <w:tc>
          <w:tcPr>
            <w:tcW w:w="520" w:type="dxa"/>
          </w:tcPr>
          <w:p>
            <w:pPr>
              <w:pStyle w:val="TableParagraph"/>
              <w:spacing w:before="15"/>
              <w:ind w:left="120"/>
              <w:jc w:val="left"/>
              <w:rPr>
                <w:sz w:val="20"/>
              </w:rPr>
            </w:pPr>
            <w:r>
              <w:rPr>
                <w:spacing w:val="-10"/>
                <w:sz w:val="20"/>
              </w:rPr>
              <w:t>5</w:t>
            </w:r>
          </w:p>
        </w:tc>
        <w:tc>
          <w:tcPr>
            <w:tcW w:w="5000" w:type="dxa"/>
          </w:tcPr>
          <w:p>
            <w:pPr>
              <w:pStyle w:val="TableParagraph"/>
              <w:spacing w:line="230" w:lineRule="atLeast"/>
              <w:ind w:left="125" w:right="98"/>
              <w:jc w:val="both"/>
              <w:rPr>
                <w:sz w:val="20"/>
              </w:rPr>
            </w:pPr>
            <w:r>
              <w:rPr>
                <w:sz w:val="20"/>
              </w:rPr>
              <w:t>I sometimes use soft wares such as Microsoft Excel, Word and PowerPoint in preparing my lecture notes and teaching aids</w:t>
            </w:r>
          </w:p>
        </w:tc>
        <w:tc>
          <w:tcPr>
            <w:tcW w:w="820" w:type="dxa"/>
          </w:tcPr>
          <w:p>
            <w:pPr>
              <w:pStyle w:val="TableParagraph"/>
              <w:spacing w:before="15"/>
              <w:ind w:left="25"/>
              <w:rPr>
                <w:sz w:val="20"/>
              </w:rPr>
            </w:pPr>
            <w:r>
              <w:rPr>
                <w:spacing w:val="-4"/>
                <w:sz w:val="20"/>
              </w:rPr>
              <w:t>2.63</w:t>
            </w:r>
          </w:p>
        </w:tc>
        <w:tc>
          <w:tcPr>
            <w:tcW w:w="720" w:type="dxa"/>
          </w:tcPr>
          <w:p>
            <w:pPr>
              <w:pStyle w:val="TableParagraph"/>
              <w:spacing w:before="15"/>
              <w:ind w:left="20" w:right="5"/>
              <w:rPr>
                <w:sz w:val="20"/>
              </w:rPr>
            </w:pPr>
            <w:r>
              <w:rPr>
                <w:spacing w:val="-4"/>
                <w:sz w:val="20"/>
              </w:rPr>
              <w:t>0.80</w:t>
            </w:r>
          </w:p>
        </w:tc>
        <w:tc>
          <w:tcPr>
            <w:tcW w:w="940" w:type="dxa"/>
          </w:tcPr>
          <w:p>
            <w:pPr>
              <w:pStyle w:val="TableParagraph"/>
              <w:spacing w:before="15"/>
              <w:ind w:left="5"/>
              <w:rPr>
                <w:sz w:val="20"/>
              </w:rPr>
            </w:pPr>
            <w:r>
              <w:rPr>
                <w:spacing w:val="-4"/>
                <w:sz w:val="20"/>
              </w:rPr>
              <w:t>2.66</w:t>
            </w:r>
          </w:p>
        </w:tc>
        <w:tc>
          <w:tcPr>
            <w:tcW w:w="580" w:type="dxa"/>
          </w:tcPr>
          <w:p>
            <w:pPr>
              <w:pStyle w:val="TableParagraph"/>
              <w:spacing w:before="15"/>
              <w:ind w:left="15"/>
              <w:rPr>
                <w:sz w:val="20"/>
              </w:rPr>
            </w:pPr>
            <w:r>
              <w:rPr>
                <w:spacing w:val="-5"/>
                <w:sz w:val="20"/>
              </w:rPr>
              <w:t>0.7</w:t>
            </w:r>
          </w:p>
          <w:p>
            <w:pPr>
              <w:pStyle w:val="TableParagraph"/>
              <w:ind w:left="15"/>
              <w:rPr>
                <w:sz w:val="20"/>
              </w:rPr>
            </w:pPr>
            <w:r>
              <w:rPr>
                <w:spacing w:val="-10"/>
                <w:sz w:val="20"/>
              </w:rPr>
              <w:t>8</w:t>
            </w:r>
          </w:p>
        </w:tc>
        <w:tc>
          <w:tcPr>
            <w:tcW w:w="1000" w:type="dxa"/>
          </w:tcPr>
          <w:p>
            <w:pPr>
              <w:pStyle w:val="TableParagraph"/>
              <w:spacing w:before="15"/>
              <w:ind w:left="25"/>
              <w:rPr>
                <w:sz w:val="20"/>
              </w:rPr>
            </w:pPr>
            <w:r>
              <w:rPr>
                <w:spacing w:val="-4"/>
                <w:sz w:val="20"/>
              </w:rPr>
              <w:t>2.65</w:t>
            </w:r>
          </w:p>
        </w:tc>
      </w:tr>
      <w:tr>
        <w:trPr>
          <w:trHeight w:val="560" w:hRule="atLeast"/>
        </w:trPr>
        <w:tc>
          <w:tcPr>
            <w:tcW w:w="520" w:type="dxa"/>
          </w:tcPr>
          <w:p>
            <w:pPr>
              <w:pStyle w:val="TableParagraph"/>
              <w:ind w:left="120"/>
              <w:jc w:val="left"/>
              <w:rPr>
                <w:sz w:val="20"/>
              </w:rPr>
            </w:pPr>
            <w:r>
              <w:rPr>
                <w:spacing w:val="-10"/>
                <w:sz w:val="20"/>
              </w:rPr>
              <w:t>6</w:t>
            </w:r>
          </w:p>
        </w:tc>
        <w:tc>
          <w:tcPr>
            <w:tcW w:w="5000" w:type="dxa"/>
          </w:tcPr>
          <w:p>
            <w:pPr>
              <w:pStyle w:val="TableParagraph"/>
              <w:ind w:left="125"/>
              <w:jc w:val="left"/>
              <w:rPr>
                <w:sz w:val="20"/>
              </w:rPr>
            </w:pPr>
            <w:r>
              <w:rPr>
                <w:sz w:val="20"/>
              </w:rPr>
              <w:t>I</w:t>
            </w:r>
            <w:r>
              <w:rPr>
                <w:spacing w:val="40"/>
                <w:sz w:val="20"/>
              </w:rPr>
              <w:t> </w:t>
            </w:r>
            <w:r>
              <w:rPr>
                <w:sz w:val="20"/>
              </w:rPr>
              <w:t>have</w:t>
            </w:r>
            <w:r>
              <w:rPr>
                <w:spacing w:val="40"/>
                <w:sz w:val="20"/>
              </w:rPr>
              <w:t> </w:t>
            </w:r>
            <w:r>
              <w:rPr>
                <w:sz w:val="20"/>
              </w:rPr>
              <w:t>an</w:t>
            </w:r>
            <w:r>
              <w:rPr>
                <w:spacing w:val="40"/>
                <w:sz w:val="20"/>
              </w:rPr>
              <w:t> </w:t>
            </w:r>
            <w:r>
              <w:rPr>
                <w:sz w:val="20"/>
              </w:rPr>
              <w:t>email</w:t>
            </w:r>
            <w:r>
              <w:rPr>
                <w:spacing w:val="40"/>
                <w:sz w:val="20"/>
              </w:rPr>
              <w:t> </w:t>
            </w:r>
            <w:r>
              <w:rPr>
                <w:sz w:val="20"/>
              </w:rPr>
              <w:t>address</w:t>
            </w:r>
            <w:r>
              <w:rPr>
                <w:spacing w:val="80"/>
                <w:sz w:val="20"/>
              </w:rPr>
              <w:t> </w:t>
            </w:r>
            <w:r>
              <w:rPr>
                <w:sz w:val="20"/>
              </w:rPr>
              <w:t>which also enhances my interaction with colleagues and students alike</w:t>
            </w:r>
          </w:p>
        </w:tc>
        <w:tc>
          <w:tcPr>
            <w:tcW w:w="820" w:type="dxa"/>
          </w:tcPr>
          <w:p>
            <w:pPr>
              <w:pStyle w:val="TableParagraph"/>
              <w:ind w:left="25"/>
              <w:rPr>
                <w:sz w:val="20"/>
              </w:rPr>
            </w:pPr>
            <w:r>
              <w:rPr>
                <w:spacing w:val="-4"/>
                <w:sz w:val="20"/>
              </w:rPr>
              <w:t>2.58</w:t>
            </w:r>
          </w:p>
        </w:tc>
        <w:tc>
          <w:tcPr>
            <w:tcW w:w="720" w:type="dxa"/>
          </w:tcPr>
          <w:p>
            <w:pPr>
              <w:pStyle w:val="TableParagraph"/>
              <w:ind w:left="20" w:right="5"/>
              <w:rPr>
                <w:sz w:val="20"/>
              </w:rPr>
            </w:pPr>
            <w:r>
              <w:rPr>
                <w:spacing w:val="-4"/>
                <w:sz w:val="20"/>
              </w:rPr>
              <w:t>0.74</w:t>
            </w:r>
          </w:p>
        </w:tc>
        <w:tc>
          <w:tcPr>
            <w:tcW w:w="940" w:type="dxa"/>
          </w:tcPr>
          <w:p>
            <w:pPr>
              <w:pStyle w:val="TableParagraph"/>
              <w:ind w:left="5"/>
              <w:rPr>
                <w:sz w:val="20"/>
              </w:rPr>
            </w:pPr>
            <w:r>
              <w:rPr>
                <w:spacing w:val="-4"/>
                <w:sz w:val="20"/>
              </w:rPr>
              <w:t>2.56</w:t>
            </w:r>
          </w:p>
        </w:tc>
        <w:tc>
          <w:tcPr>
            <w:tcW w:w="580" w:type="dxa"/>
          </w:tcPr>
          <w:p>
            <w:pPr>
              <w:pStyle w:val="TableParagraph"/>
              <w:ind w:left="15"/>
              <w:rPr>
                <w:sz w:val="20"/>
              </w:rPr>
            </w:pPr>
            <w:r>
              <w:rPr>
                <w:spacing w:val="-5"/>
                <w:sz w:val="20"/>
              </w:rPr>
              <w:t>0.7</w:t>
            </w:r>
          </w:p>
          <w:p>
            <w:pPr>
              <w:pStyle w:val="TableParagraph"/>
              <w:ind w:left="15"/>
              <w:rPr>
                <w:sz w:val="20"/>
              </w:rPr>
            </w:pPr>
            <w:r>
              <w:rPr>
                <w:spacing w:val="-10"/>
                <w:sz w:val="20"/>
              </w:rPr>
              <w:t>0</w:t>
            </w:r>
          </w:p>
        </w:tc>
        <w:tc>
          <w:tcPr>
            <w:tcW w:w="1000" w:type="dxa"/>
          </w:tcPr>
          <w:p>
            <w:pPr>
              <w:pStyle w:val="TableParagraph"/>
              <w:ind w:left="25"/>
              <w:rPr>
                <w:sz w:val="20"/>
              </w:rPr>
            </w:pPr>
            <w:r>
              <w:rPr>
                <w:spacing w:val="-4"/>
                <w:sz w:val="20"/>
              </w:rPr>
              <w:t>2.57</w:t>
            </w:r>
          </w:p>
        </w:tc>
      </w:tr>
      <w:tr>
        <w:trPr>
          <w:trHeight w:val="460" w:hRule="atLeast"/>
        </w:trPr>
        <w:tc>
          <w:tcPr>
            <w:tcW w:w="520" w:type="dxa"/>
          </w:tcPr>
          <w:p>
            <w:pPr>
              <w:pStyle w:val="TableParagraph"/>
              <w:spacing w:before="15"/>
              <w:ind w:left="120"/>
              <w:jc w:val="left"/>
              <w:rPr>
                <w:sz w:val="20"/>
              </w:rPr>
            </w:pPr>
            <w:r>
              <w:rPr>
                <w:spacing w:val="-10"/>
                <w:sz w:val="20"/>
              </w:rPr>
              <w:t>7</w:t>
            </w:r>
          </w:p>
        </w:tc>
        <w:tc>
          <w:tcPr>
            <w:tcW w:w="5000" w:type="dxa"/>
          </w:tcPr>
          <w:p>
            <w:pPr>
              <w:pStyle w:val="TableParagraph"/>
              <w:spacing w:line="230" w:lineRule="atLeast"/>
              <w:ind w:left="125"/>
              <w:jc w:val="left"/>
              <w:rPr>
                <w:sz w:val="20"/>
              </w:rPr>
            </w:pPr>
            <w:r>
              <w:rPr>
                <w:sz w:val="20"/>
              </w:rPr>
              <w:t>I</w:t>
            </w:r>
            <w:r>
              <w:rPr>
                <w:spacing w:val="70"/>
                <w:sz w:val="20"/>
              </w:rPr>
              <w:t> </w:t>
            </w:r>
            <w:r>
              <w:rPr>
                <w:sz w:val="20"/>
              </w:rPr>
              <w:t>use</w:t>
            </w:r>
            <w:r>
              <w:rPr>
                <w:spacing w:val="70"/>
                <w:sz w:val="20"/>
              </w:rPr>
              <w:t> </w:t>
            </w:r>
            <w:r>
              <w:rPr>
                <w:sz w:val="20"/>
              </w:rPr>
              <w:t>audio</w:t>
            </w:r>
            <w:r>
              <w:rPr>
                <w:spacing w:val="70"/>
                <w:sz w:val="20"/>
              </w:rPr>
              <w:t> </w:t>
            </w:r>
            <w:r>
              <w:rPr>
                <w:sz w:val="20"/>
              </w:rPr>
              <w:t>and</w:t>
            </w:r>
            <w:r>
              <w:rPr>
                <w:spacing w:val="70"/>
                <w:sz w:val="20"/>
              </w:rPr>
              <w:t> </w:t>
            </w:r>
            <w:r>
              <w:rPr>
                <w:sz w:val="20"/>
              </w:rPr>
              <w:t>video</w:t>
            </w:r>
            <w:r>
              <w:rPr>
                <w:spacing w:val="70"/>
                <w:sz w:val="20"/>
              </w:rPr>
              <w:t> </w:t>
            </w:r>
            <w:r>
              <w:rPr>
                <w:sz w:val="20"/>
              </w:rPr>
              <w:t>CDs</w:t>
            </w:r>
            <w:r>
              <w:rPr>
                <w:spacing w:val="40"/>
                <w:sz w:val="20"/>
              </w:rPr>
              <w:t> </w:t>
            </w:r>
            <w:r>
              <w:rPr>
                <w:sz w:val="20"/>
              </w:rPr>
              <w:t>as</w:t>
            </w:r>
            <w:r>
              <w:rPr>
                <w:spacing w:val="40"/>
                <w:sz w:val="20"/>
              </w:rPr>
              <w:t> </w:t>
            </w:r>
            <w:r>
              <w:rPr>
                <w:sz w:val="20"/>
              </w:rPr>
              <w:t>well</w:t>
            </w:r>
            <w:r>
              <w:rPr>
                <w:spacing w:val="40"/>
                <w:sz w:val="20"/>
              </w:rPr>
              <w:t> </w:t>
            </w:r>
            <w:r>
              <w:rPr>
                <w:sz w:val="20"/>
              </w:rPr>
              <w:t>as</w:t>
            </w:r>
            <w:r>
              <w:rPr>
                <w:spacing w:val="40"/>
                <w:sz w:val="20"/>
              </w:rPr>
              <w:t> </w:t>
            </w:r>
            <w:r>
              <w:rPr>
                <w:sz w:val="20"/>
              </w:rPr>
              <w:t>DVDs</w:t>
            </w:r>
            <w:r>
              <w:rPr>
                <w:spacing w:val="40"/>
                <w:sz w:val="20"/>
              </w:rPr>
              <w:t> </w:t>
            </w:r>
            <w:r>
              <w:rPr>
                <w:sz w:val="20"/>
              </w:rPr>
              <w:t>in </w:t>
            </w:r>
            <w:r>
              <w:rPr>
                <w:spacing w:val="-2"/>
                <w:sz w:val="20"/>
              </w:rPr>
              <w:t>teaching</w:t>
            </w:r>
          </w:p>
        </w:tc>
        <w:tc>
          <w:tcPr>
            <w:tcW w:w="820" w:type="dxa"/>
          </w:tcPr>
          <w:p>
            <w:pPr>
              <w:pStyle w:val="TableParagraph"/>
              <w:spacing w:before="15"/>
              <w:ind w:left="25"/>
              <w:rPr>
                <w:sz w:val="20"/>
              </w:rPr>
            </w:pPr>
            <w:r>
              <w:rPr>
                <w:spacing w:val="-4"/>
                <w:sz w:val="20"/>
              </w:rPr>
              <w:t>2.54</w:t>
            </w:r>
          </w:p>
        </w:tc>
        <w:tc>
          <w:tcPr>
            <w:tcW w:w="720" w:type="dxa"/>
          </w:tcPr>
          <w:p>
            <w:pPr>
              <w:pStyle w:val="TableParagraph"/>
              <w:spacing w:before="15"/>
              <w:ind w:left="20" w:right="5"/>
              <w:rPr>
                <w:sz w:val="20"/>
              </w:rPr>
            </w:pPr>
            <w:r>
              <w:rPr>
                <w:spacing w:val="-4"/>
                <w:sz w:val="20"/>
              </w:rPr>
              <w:t>0.74</w:t>
            </w:r>
          </w:p>
        </w:tc>
        <w:tc>
          <w:tcPr>
            <w:tcW w:w="940" w:type="dxa"/>
          </w:tcPr>
          <w:p>
            <w:pPr>
              <w:pStyle w:val="TableParagraph"/>
              <w:spacing w:before="15"/>
              <w:ind w:left="5"/>
              <w:rPr>
                <w:sz w:val="20"/>
              </w:rPr>
            </w:pPr>
            <w:r>
              <w:rPr>
                <w:spacing w:val="-4"/>
                <w:sz w:val="20"/>
              </w:rPr>
              <w:t>2.58</w:t>
            </w:r>
          </w:p>
        </w:tc>
        <w:tc>
          <w:tcPr>
            <w:tcW w:w="580" w:type="dxa"/>
          </w:tcPr>
          <w:p>
            <w:pPr>
              <w:pStyle w:val="TableParagraph"/>
              <w:spacing w:before="15"/>
              <w:ind w:left="15"/>
              <w:rPr>
                <w:sz w:val="20"/>
              </w:rPr>
            </w:pPr>
            <w:r>
              <w:rPr>
                <w:spacing w:val="-5"/>
                <w:sz w:val="20"/>
              </w:rPr>
              <w:t>0.7</w:t>
            </w:r>
          </w:p>
          <w:p>
            <w:pPr>
              <w:pStyle w:val="TableParagraph"/>
              <w:spacing w:line="195" w:lineRule="exact"/>
              <w:ind w:left="15"/>
              <w:rPr>
                <w:sz w:val="20"/>
              </w:rPr>
            </w:pPr>
            <w:r>
              <w:rPr>
                <w:spacing w:val="-10"/>
                <w:sz w:val="20"/>
              </w:rPr>
              <w:t>6</w:t>
            </w:r>
          </w:p>
        </w:tc>
        <w:tc>
          <w:tcPr>
            <w:tcW w:w="1000" w:type="dxa"/>
          </w:tcPr>
          <w:p>
            <w:pPr>
              <w:pStyle w:val="TableParagraph"/>
              <w:spacing w:before="15"/>
              <w:ind w:left="25"/>
              <w:rPr>
                <w:sz w:val="20"/>
              </w:rPr>
            </w:pPr>
            <w:r>
              <w:rPr>
                <w:spacing w:val="-4"/>
                <w:sz w:val="20"/>
              </w:rPr>
              <w:t>2.56</w:t>
            </w:r>
          </w:p>
        </w:tc>
      </w:tr>
      <w:tr>
        <w:trPr>
          <w:trHeight w:val="460" w:hRule="atLeast"/>
        </w:trPr>
        <w:tc>
          <w:tcPr>
            <w:tcW w:w="520" w:type="dxa"/>
          </w:tcPr>
          <w:p>
            <w:pPr>
              <w:pStyle w:val="TableParagraph"/>
              <w:spacing w:before="9"/>
              <w:ind w:left="120"/>
              <w:jc w:val="left"/>
              <w:rPr>
                <w:sz w:val="20"/>
              </w:rPr>
            </w:pPr>
            <w:r>
              <w:rPr>
                <w:spacing w:val="-10"/>
                <w:sz w:val="20"/>
              </w:rPr>
              <w:t>8</w:t>
            </w:r>
          </w:p>
        </w:tc>
        <w:tc>
          <w:tcPr>
            <w:tcW w:w="5000" w:type="dxa"/>
          </w:tcPr>
          <w:p>
            <w:pPr>
              <w:pStyle w:val="TableParagraph"/>
              <w:spacing w:line="230" w:lineRule="atLeast"/>
              <w:ind w:left="125"/>
              <w:jc w:val="left"/>
              <w:rPr>
                <w:sz w:val="20"/>
              </w:rPr>
            </w:pPr>
            <w:r>
              <w:rPr>
                <w:sz w:val="20"/>
              </w:rPr>
              <w:t>I</w:t>
            </w:r>
            <w:r>
              <w:rPr>
                <w:spacing w:val="80"/>
                <w:sz w:val="20"/>
              </w:rPr>
              <w:t> </w:t>
            </w:r>
            <w:r>
              <w:rPr>
                <w:sz w:val="20"/>
              </w:rPr>
              <w:t>use</w:t>
            </w:r>
            <w:r>
              <w:rPr>
                <w:spacing w:val="80"/>
                <w:sz w:val="20"/>
              </w:rPr>
              <w:t> </w:t>
            </w:r>
            <w:r>
              <w:rPr>
                <w:sz w:val="20"/>
              </w:rPr>
              <w:t>computers</w:t>
            </w:r>
            <w:r>
              <w:rPr>
                <w:spacing w:val="80"/>
                <w:sz w:val="20"/>
              </w:rPr>
              <w:t> </w:t>
            </w:r>
            <w:r>
              <w:rPr>
                <w:sz w:val="20"/>
              </w:rPr>
              <w:t>to</w:t>
            </w:r>
            <w:r>
              <w:rPr>
                <w:spacing w:val="80"/>
                <w:sz w:val="20"/>
              </w:rPr>
              <w:t> </w:t>
            </w:r>
            <w:r>
              <w:rPr>
                <w:sz w:val="20"/>
              </w:rPr>
              <w:t>keep</w:t>
            </w:r>
            <w:r>
              <w:rPr>
                <w:spacing w:val="80"/>
                <w:sz w:val="20"/>
              </w:rPr>
              <w:t> </w:t>
            </w:r>
            <w:r>
              <w:rPr>
                <w:sz w:val="20"/>
              </w:rPr>
              <w:t>records</w:t>
            </w:r>
            <w:r>
              <w:rPr>
                <w:spacing w:val="80"/>
                <w:sz w:val="20"/>
              </w:rPr>
              <w:t> </w:t>
            </w:r>
            <w:r>
              <w:rPr>
                <w:sz w:val="20"/>
              </w:rPr>
              <w:t>of</w:t>
            </w:r>
            <w:r>
              <w:rPr>
                <w:spacing w:val="80"/>
                <w:sz w:val="20"/>
              </w:rPr>
              <w:t> </w:t>
            </w:r>
            <w:r>
              <w:rPr>
                <w:sz w:val="20"/>
              </w:rPr>
              <w:t>students’ assessment</w:t>
            </w:r>
            <w:r>
              <w:rPr>
                <w:spacing w:val="40"/>
                <w:sz w:val="20"/>
              </w:rPr>
              <w:t> </w:t>
            </w:r>
            <w:r>
              <w:rPr>
                <w:sz w:val="20"/>
              </w:rPr>
              <w:t>and examination scores</w:t>
            </w:r>
          </w:p>
        </w:tc>
        <w:tc>
          <w:tcPr>
            <w:tcW w:w="820" w:type="dxa"/>
          </w:tcPr>
          <w:p>
            <w:pPr>
              <w:pStyle w:val="TableParagraph"/>
              <w:spacing w:before="9"/>
              <w:ind w:left="25"/>
              <w:rPr>
                <w:sz w:val="20"/>
              </w:rPr>
            </w:pPr>
            <w:r>
              <w:rPr>
                <w:spacing w:val="-4"/>
                <w:sz w:val="20"/>
              </w:rPr>
              <w:t>2.53</w:t>
            </w:r>
          </w:p>
        </w:tc>
        <w:tc>
          <w:tcPr>
            <w:tcW w:w="720" w:type="dxa"/>
          </w:tcPr>
          <w:p>
            <w:pPr>
              <w:pStyle w:val="TableParagraph"/>
              <w:spacing w:before="9"/>
              <w:ind w:left="20" w:right="5"/>
              <w:rPr>
                <w:sz w:val="20"/>
              </w:rPr>
            </w:pPr>
            <w:r>
              <w:rPr>
                <w:spacing w:val="-4"/>
                <w:sz w:val="20"/>
              </w:rPr>
              <w:t>0.56</w:t>
            </w:r>
          </w:p>
        </w:tc>
        <w:tc>
          <w:tcPr>
            <w:tcW w:w="940" w:type="dxa"/>
          </w:tcPr>
          <w:p>
            <w:pPr>
              <w:pStyle w:val="TableParagraph"/>
              <w:spacing w:before="9"/>
              <w:ind w:left="5"/>
              <w:rPr>
                <w:sz w:val="20"/>
              </w:rPr>
            </w:pPr>
            <w:r>
              <w:rPr>
                <w:spacing w:val="-4"/>
                <w:sz w:val="20"/>
              </w:rPr>
              <w:t>2.54</w:t>
            </w:r>
          </w:p>
        </w:tc>
        <w:tc>
          <w:tcPr>
            <w:tcW w:w="580" w:type="dxa"/>
          </w:tcPr>
          <w:p>
            <w:pPr>
              <w:pStyle w:val="TableParagraph"/>
              <w:spacing w:before="9"/>
              <w:ind w:left="15"/>
              <w:rPr>
                <w:sz w:val="20"/>
              </w:rPr>
            </w:pPr>
            <w:r>
              <w:rPr>
                <w:spacing w:val="-5"/>
                <w:sz w:val="20"/>
              </w:rPr>
              <w:t>0.7</w:t>
            </w:r>
          </w:p>
          <w:p>
            <w:pPr>
              <w:pStyle w:val="TableParagraph"/>
              <w:spacing w:line="200" w:lineRule="exact"/>
              <w:ind w:left="15"/>
              <w:rPr>
                <w:sz w:val="20"/>
              </w:rPr>
            </w:pPr>
            <w:r>
              <w:rPr>
                <w:spacing w:val="-10"/>
                <w:sz w:val="20"/>
              </w:rPr>
              <w:t>4</w:t>
            </w:r>
          </w:p>
        </w:tc>
        <w:tc>
          <w:tcPr>
            <w:tcW w:w="1000" w:type="dxa"/>
          </w:tcPr>
          <w:p>
            <w:pPr>
              <w:pStyle w:val="TableParagraph"/>
              <w:spacing w:before="9"/>
              <w:ind w:left="25"/>
              <w:rPr>
                <w:sz w:val="20"/>
              </w:rPr>
            </w:pPr>
            <w:r>
              <w:rPr>
                <w:spacing w:val="-4"/>
                <w:sz w:val="20"/>
              </w:rPr>
              <w:t>2.54</w:t>
            </w:r>
          </w:p>
        </w:tc>
      </w:tr>
      <w:tr>
        <w:trPr>
          <w:trHeight w:val="460" w:hRule="atLeast"/>
        </w:trPr>
        <w:tc>
          <w:tcPr>
            <w:tcW w:w="520" w:type="dxa"/>
          </w:tcPr>
          <w:p>
            <w:pPr>
              <w:pStyle w:val="TableParagraph"/>
              <w:ind w:left="0"/>
              <w:jc w:val="left"/>
              <w:rPr>
                <w:rFonts w:ascii="Times New Roman"/>
                <w:sz w:val="20"/>
              </w:rPr>
            </w:pPr>
          </w:p>
        </w:tc>
        <w:tc>
          <w:tcPr>
            <w:tcW w:w="5000" w:type="dxa"/>
          </w:tcPr>
          <w:p>
            <w:pPr>
              <w:pStyle w:val="TableParagraph"/>
              <w:spacing w:before="4"/>
              <w:ind w:left="125"/>
              <w:jc w:val="left"/>
              <w:rPr>
                <w:rFonts w:ascii="Arial"/>
                <w:b/>
                <w:sz w:val="20"/>
              </w:rPr>
            </w:pPr>
            <w:r>
              <w:rPr>
                <w:rFonts w:ascii="Arial"/>
                <w:b/>
                <w:sz w:val="20"/>
              </w:rPr>
              <w:t>Grand</w:t>
            </w:r>
            <w:r>
              <w:rPr>
                <w:rFonts w:ascii="Arial"/>
                <w:b/>
                <w:spacing w:val="-5"/>
                <w:sz w:val="20"/>
              </w:rPr>
              <w:t> </w:t>
            </w:r>
            <w:r>
              <w:rPr>
                <w:rFonts w:ascii="Arial"/>
                <w:b/>
                <w:spacing w:val="-4"/>
                <w:sz w:val="20"/>
              </w:rPr>
              <w:t>Mean</w:t>
            </w:r>
          </w:p>
        </w:tc>
        <w:tc>
          <w:tcPr>
            <w:tcW w:w="820" w:type="dxa"/>
          </w:tcPr>
          <w:p>
            <w:pPr>
              <w:pStyle w:val="TableParagraph"/>
              <w:spacing w:before="4"/>
              <w:ind w:left="25"/>
              <w:rPr>
                <w:rFonts w:ascii="Arial"/>
                <w:b/>
                <w:sz w:val="20"/>
              </w:rPr>
            </w:pPr>
            <w:r>
              <w:rPr>
                <w:rFonts w:ascii="Arial"/>
                <w:b/>
                <w:spacing w:val="-4"/>
                <w:sz w:val="20"/>
              </w:rPr>
              <w:t>2.59</w:t>
            </w:r>
          </w:p>
        </w:tc>
        <w:tc>
          <w:tcPr>
            <w:tcW w:w="720" w:type="dxa"/>
          </w:tcPr>
          <w:p>
            <w:pPr>
              <w:pStyle w:val="TableParagraph"/>
              <w:spacing w:before="4"/>
              <w:ind w:left="20" w:right="5"/>
              <w:rPr>
                <w:rFonts w:ascii="Arial"/>
                <w:b/>
                <w:sz w:val="20"/>
              </w:rPr>
            </w:pPr>
            <w:r>
              <w:rPr>
                <w:rFonts w:ascii="Arial"/>
                <w:b/>
                <w:spacing w:val="-4"/>
                <w:sz w:val="20"/>
              </w:rPr>
              <w:t>0.82</w:t>
            </w:r>
          </w:p>
        </w:tc>
        <w:tc>
          <w:tcPr>
            <w:tcW w:w="940" w:type="dxa"/>
          </w:tcPr>
          <w:p>
            <w:pPr>
              <w:pStyle w:val="TableParagraph"/>
              <w:spacing w:before="4"/>
              <w:ind w:left="5"/>
              <w:rPr>
                <w:rFonts w:ascii="Arial"/>
                <w:b/>
                <w:sz w:val="20"/>
              </w:rPr>
            </w:pPr>
            <w:r>
              <w:rPr>
                <w:rFonts w:ascii="Arial"/>
                <w:b/>
                <w:spacing w:val="-4"/>
                <w:sz w:val="20"/>
              </w:rPr>
              <w:t>2.60</w:t>
            </w:r>
          </w:p>
        </w:tc>
        <w:tc>
          <w:tcPr>
            <w:tcW w:w="580" w:type="dxa"/>
          </w:tcPr>
          <w:p>
            <w:pPr>
              <w:pStyle w:val="TableParagraph"/>
              <w:spacing w:before="4"/>
              <w:ind w:left="15"/>
              <w:rPr>
                <w:rFonts w:ascii="Arial"/>
                <w:b/>
                <w:sz w:val="20"/>
              </w:rPr>
            </w:pPr>
            <w:r>
              <w:rPr>
                <w:rFonts w:ascii="Arial"/>
                <w:b/>
                <w:spacing w:val="-5"/>
                <w:sz w:val="20"/>
              </w:rPr>
              <w:t>0.7</w:t>
            </w:r>
          </w:p>
          <w:p>
            <w:pPr>
              <w:pStyle w:val="TableParagraph"/>
              <w:spacing w:line="205" w:lineRule="exact"/>
              <w:ind w:left="15"/>
              <w:rPr>
                <w:rFonts w:ascii="Arial"/>
                <w:b/>
                <w:sz w:val="20"/>
              </w:rPr>
            </w:pPr>
            <w:r>
              <w:rPr>
                <w:rFonts w:ascii="Arial"/>
                <w:b/>
                <w:spacing w:val="-10"/>
                <w:sz w:val="20"/>
              </w:rPr>
              <w:t>6</w:t>
            </w:r>
          </w:p>
        </w:tc>
        <w:tc>
          <w:tcPr>
            <w:tcW w:w="1000" w:type="dxa"/>
          </w:tcPr>
          <w:p>
            <w:pPr>
              <w:pStyle w:val="TableParagraph"/>
              <w:spacing w:before="4"/>
              <w:ind w:left="25"/>
              <w:rPr>
                <w:rFonts w:ascii="Arial"/>
                <w:b/>
                <w:sz w:val="20"/>
              </w:rPr>
            </w:pPr>
            <w:r>
              <w:rPr>
                <w:rFonts w:ascii="Arial"/>
                <w:b/>
                <w:spacing w:val="-4"/>
                <w:sz w:val="20"/>
              </w:rPr>
              <w:t>2.60</w:t>
            </w:r>
          </w:p>
        </w:tc>
      </w:tr>
    </w:tbl>
    <w:p>
      <w:pPr>
        <w:pStyle w:val="BodyText"/>
      </w:pPr>
    </w:p>
    <w:p>
      <w:pPr>
        <w:pStyle w:val="BodyText"/>
        <w:spacing w:before="67"/>
      </w:pPr>
    </w:p>
    <w:p>
      <w:pPr>
        <w:pStyle w:val="BodyText"/>
        <w:spacing w:line="360" w:lineRule="auto"/>
        <w:ind w:left="360" w:right="722"/>
        <w:jc w:val="both"/>
      </w:pPr>
      <w:r>
        <w:rPr/>
        <w:t>Table 2 presents the mean scores and standard deviations of male (n = 4) and</w:t>
      </w:r>
      <w:r>
        <w:rPr>
          <w:spacing w:val="-3"/>
        </w:rPr>
        <w:t> </w:t>
      </w:r>
      <w:r>
        <w:rPr/>
        <w:t>female</w:t>
      </w:r>
      <w:r>
        <w:rPr>
          <w:spacing w:val="-3"/>
        </w:rPr>
        <w:t> </w:t>
      </w:r>
      <w:r>
        <w:rPr/>
        <w:t>(n</w:t>
      </w:r>
      <w:r>
        <w:rPr>
          <w:spacing w:val="-3"/>
        </w:rPr>
        <w:t> </w:t>
      </w:r>
      <w:r>
        <w:rPr/>
        <w:t>=</w:t>
      </w:r>
      <w:r>
        <w:rPr>
          <w:spacing w:val="-3"/>
        </w:rPr>
        <w:t> </w:t>
      </w:r>
      <w:r>
        <w:rPr/>
        <w:t>18)</w:t>
      </w:r>
      <w:r>
        <w:rPr>
          <w:spacing w:val="-3"/>
        </w:rPr>
        <w:t> </w:t>
      </w:r>
      <w:r>
        <w:rPr/>
        <w:t>lecturers on the extent of ICT utilization in the Post-Basic Nursing Programme at the University of Port Harcourt Teaching Hospital. The grand mean scores were 2.59 for males and 2.60 for females, indicating a moderate level of ICT usage by both groups, with no significant difference between them. The highest mean score (2.73) was recorded for the use of computers and internet to prepare lesson</w:t>
      </w:r>
      <w:r>
        <w:rPr>
          <w:spacing w:val="-3"/>
        </w:rPr>
        <w:t> </w:t>
      </w:r>
      <w:r>
        <w:rPr/>
        <w:t>notes</w:t>
      </w:r>
      <w:r>
        <w:rPr>
          <w:spacing w:val="-3"/>
        </w:rPr>
        <w:t> </w:t>
      </w:r>
      <w:r>
        <w:rPr/>
        <w:t>(Item</w:t>
      </w:r>
      <w:r>
        <w:rPr>
          <w:spacing w:val="-3"/>
        </w:rPr>
        <w:t> </w:t>
      </w:r>
      <w:r>
        <w:rPr/>
        <w:t>2), while the lowest mean score (2.53) was for using computers to keep student records (Item 8)</w:t>
      </w:r>
      <w:r>
        <w:rPr>
          <w:spacing w:val="-2"/>
        </w:rPr>
        <w:t> </w:t>
      </w:r>
      <w:r>
        <w:rPr/>
        <w:t>and</w:t>
      </w:r>
      <w:r>
        <w:rPr>
          <w:spacing w:val="-2"/>
        </w:rPr>
        <w:t> </w:t>
      </w:r>
      <w:r>
        <w:rPr/>
        <w:t>using online</w:t>
      </w:r>
      <w:r>
        <w:rPr>
          <w:spacing w:val="26"/>
        </w:rPr>
        <w:t> </w:t>
      </w:r>
      <w:r>
        <w:rPr/>
        <w:t>resources</w:t>
      </w:r>
      <w:r>
        <w:rPr>
          <w:spacing w:val="26"/>
        </w:rPr>
        <w:t> </w:t>
      </w:r>
      <w:r>
        <w:rPr/>
        <w:t>for course assignments (Item 4). Overall, the findings show that both male and female</w:t>
      </w:r>
    </w:p>
    <w:p>
      <w:pPr>
        <w:pStyle w:val="BodyText"/>
        <w:spacing w:after="0" w:line="360" w:lineRule="auto"/>
        <w:jc w:val="both"/>
        <w:sectPr>
          <w:pgSz w:w="12240" w:h="15840"/>
          <w:pgMar w:top="1360" w:bottom="280" w:left="1080" w:right="720"/>
        </w:sectPr>
      </w:pPr>
    </w:p>
    <w:p>
      <w:pPr>
        <w:pStyle w:val="BodyText"/>
        <w:spacing w:line="360" w:lineRule="auto" w:before="80"/>
        <w:ind w:left="360" w:right="728"/>
        <w:jc w:val="both"/>
      </w:pPr>
      <w:r>
        <w:rPr/>
        <w:t>lecturers moderately</w:t>
      </w:r>
      <w:r>
        <w:rPr>
          <w:spacing w:val="-3"/>
        </w:rPr>
        <w:t> </w:t>
      </w:r>
      <w:r>
        <w:rPr/>
        <w:t>use</w:t>
      </w:r>
      <w:r>
        <w:rPr>
          <w:spacing w:val="-3"/>
        </w:rPr>
        <w:t> </w:t>
      </w:r>
      <w:r>
        <w:rPr/>
        <w:t>ICT</w:t>
      </w:r>
      <w:r>
        <w:rPr>
          <w:spacing w:val="-3"/>
        </w:rPr>
        <w:t> </w:t>
      </w:r>
      <w:r>
        <w:rPr/>
        <w:t>tools</w:t>
      </w:r>
      <w:r>
        <w:rPr>
          <w:spacing w:val="-3"/>
        </w:rPr>
        <w:t> </w:t>
      </w:r>
      <w:r>
        <w:rPr/>
        <w:t>in</w:t>
      </w:r>
      <w:r>
        <w:rPr>
          <w:spacing w:val="-3"/>
        </w:rPr>
        <w:t> </w:t>
      </w:r>
      <w:r>
        <w:rPr/>
        <w:t>teaching,</w:t>
      </w:r>
      <w:r>
        <w:rPr>
          <w:spacing w:val="-3"/>
        </w:rPr>
        <w:t> </w:t>
      </w:r>
      <w:r>
        <w:rPr/>
        <w:t>with</w:t>
      </w:r>
      <w:r>
        <w:rPr>
          <w:spacing w:val="-3"/>
        </w:rPr>
        <w:t> </w:t>
      </w:r>
      <w:r>
        <w:rPr/>
        <w:t>slightly</w:t>
      </w:r>
      <w:r>
        <w:rPr>
          <w:spacing w:val="-3"/>
        </w:rPr>
        <w:t> </w:t>
      </w:r>
      <w:r>
        <w:rPr/>
        <w:t>higher</w:t>
      </w:r>
      <w:r>
        <w:rPr>
          <w:spacing w:val="-3"/>
        </w:rPr>
        <w:t> </w:t>
      </w:r>
      <w:r>
        <w:rPr/>
        <w:t>engagement</w:t>
      </w:r>
      <w:r>
        <w:rPr>
          <w:spacing w:val="-3"/>
        </w:rPr>
        <w:t> </w:t>
      </w:r>
      <w:r>
        <w:rPr/>
        <w:t>in</w:t>
      </w:r>
      <w:r>
        <w:rPr>
          <w:spacing w:val="-3"/>
        </w:rPr>
        <w:t> </w:t>
      </w:r>
      <w:r>
        <w:rPr/>
        <w:t>lesson</w:t>
      </w:r>
      <w:r>
        <w:rPr>
          <w:spacing w:val="-3"/>
        </w:rPr>
        <w:t> </w:t>
      </w:r>
      <w:r>
        <w:rPr/>
        <w:t>preparation</w:t>
      </w:r>
      <w:r>
        <w:rPr>
          <w:spacing w:val="-3"/>
        </w:rPr>
        <w:t> </w:t>
      </w:r>
      <w:r>
        <w:rPr/>
        <w:t>than in student record management.</w:t>
      </w:r>
    </w:p>
    <w:p>
      <w:pPr>
        <w:pStyle w:val="BodyText"/>
      </w:pPr>
    </w:p>
    <w:p>
      <w:pPr>
        <w:pStyle w:val="BodyText"/>
        <w:spacing w:before="125"/>
      </w:pPr>
    </w:p>
    <w:p>
      <w:pPr>
        <w:pStyle w:val="BodyText"/>
        <w:spacing w:line="360" w:lineRule="auto"/>
        <w:ind w:left="360" w:right="721"/>
        <w:jc w:val="both"/>
      </w:pPr>
      <w:r>
        <w:rPr/>
        <w:drawing>
          <wp:anchor distT="0" distB="0" distL="0" distR="0" allowOverlap="1" layoutInCell="1" locked="0" behindDoc="1" simplePos="0" relativeHeight="486932992">
            <wp:simplePos x="0" y="0"/>
            <wp:positionH relativeFrom="page">
              <wp:posOffset>919162</wp:posOffset>
            </wp:positionH>
            <wp:positionV relativeFrom="paragraph">
              <wp:posOffset>338199</wp:posOffset>
            </wp:positionV>
            <wp:extent cx="5934075" cy="5934075"/>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w:b/>
        </w:rPr>
        <w:t>Research Question 3: </w:t>
      </w:r>
      <w:r>
        <w:rPr/>
        <w:t>What are the factors influencing the utilization of</w:t>
      </w:r>
      <w:r>
        <w:rPr>
          <w:spacing w:val="-3"/>
        </w:rPr>
        <w:t> </w:t>
      </w:r>
      <w:r>
        <w:rPr/>
        <w:t>information</w:t>
      </w:r>
      <w:r>
        <w:rPr>
          <w:spacing w:val="-3"/>
        </w:rPr>
        <w:t> </w:t>
      </w:r>
      <w:r>
        <w:rPr/>
        <w:t>and</w:t>
      </w:r>
      <w:r>
        <w:rPr>
          <w:spacing w:val="-3"/>
        </w:rPr>
        <w:t> </w:t>
      </w:r>
      <w:r>
        <w:rPr/>
        <w:t>communication technology among post basic nursing students and lecturers of University of Port Harcourt Teaching </w:t>
      </w:r>
      <w:r>
        <w:rPr>
          <w:spacing w:val="-2"/>
        </w:rPr>
        <w:t>Hospital?</w:t>
      </w:r>
    </w:p>
    <w:p>
      <w:pPr>
        <w:pStyle w:val="BodyText"/>
        <w:spacing w:before="140"/>
      </w:pPr>
    </w:p>
    <w:tbl>
      <w:tblPr>
        <w:tblW w:w="0" w:type="auto"/>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0"/>
        <w:gridCol w:w="4400"/>
        <w:gridCol w:w="980"/>
        <w:gridCol w:w="640"/>
        <w:gridCol w:w="1100"/>
        <w:gridCol w:w="700"/>
        <w:gridCol w:w="1140"/>
      </w:tblGrid>
      <w:tr>
        <w:trPr>
          <w:trHeight w:val="819" w:hRule="atLeast"/>
        </w:trPr>
        <w:tc>
          <w:tcPr>
            <w:tcW w:w="9520" w:type="dxa"/>
            <w:gridSpan w:val="7"/>
          </w:tcPr>
          <w:p>
            <w:pPr>
              <w:pStyle w:val="TableParagraph"/>
              <w:spacing w:line="230" w:lineRule="atLeast" w:before="110"/>
              <w:ind w:left="120" w:right="114"/>
              <w:jc w:val="both"/>
              <w:rPr>
                <w:rFonts w:ascii="Arial"/>
                <w:b/>
                <w:sz w:val="20"/>
              </w:rPr>
            </w:pPr>
            <w:r>
              <w:rPr>
                <w:rFonts w:ascii="Arial"/>
                <w:b/>
                <w:sz w:val="20"/>
              </w:rPr>
              <w:t>Table</w:t>
            </w:r>
            <w:r>
              <w:rPr>
                <w:rFonts w:ascii="Arial"/>
                <w:b/>
                <w:spacing w:val="-6"/>
                <w:sz w:val="20"/>
              </w:rPr>
              <w:t> </w:t>
            </w:r>
            <w:r>
              <w:rPr>
                <w:rFonts w:ascii="Arial"/>
                <w:b/>
                <w:sz w:val="20"/>
              </w:rPr>
              <w:t>3:</w:t>
            </w:r>
            <w:r>
              <w:rPr>
                <w:rFonts w:ascii="Arial"/>
                <w:b/>
                <w:spacing w:val="-6"/>
                <w:sz w:val="20"/>
              </w:rPr>
              <w:t> </w:t>
            </w:r>
            <w:r>
              <w:rPr>
                <w:rFonts w:ascii="Arial"/>
                <w:b/>
                <w:sz w:val="20"/>
              </w:rPr>
              <w:t>Factors</w:t>
            </w:r>
            <w:r>
              <w:rPr>
                <w:rFonts w:ascii="Arial"/>
                <w:b/>
                <w:spacing w:val="-6"/>
                <w:sz w:val="20"/>
              </w:rPr>
              <w:t> </w:t>
            </w:r>
            <w:r>
              <w:rPr>
                <w:rFonts w:ascii="Arial"/>
                <w:b/>
                <w:sz w:val="20"/>
              </w:rPr>
              <w:t>influencing</w:t>
            </w:r>
            <w:r>
              <w:rPr>
                <w:rFonts w:ascii="Arial"/>
                <w:b/>
                <w:spacing w:val="-6"/>
                <w:sz w:val="20"/>
              </w:rPr>
              <w:t> </w:t>
            </w:r>
            <w:r>
              <w:rPr>
                <w:rFonts w:ascii="Arial"/>
                <w:b/>
                <w:sz w:val="20"/>
              </w:rPr>
              <w:t>the</w:t>
            </w:r>
            <w:r>
              <w:rPr>
                <w:rFonts w:ascii="Arial"/>
                <w:b/>
                <w:spacing w:val="-6"/>
                <w:sz w:val="20"/>
              </w:rPr>
              <w:t> </w:t>
            </w:r>
            <w:r>
              <w:rPr>
                <w:rFonts w:ascii="Arial"/>
                <w:b/>
                <w:sz w:val="20"/>
              </w:rPr>
              <w:t>Utilization</w:t>
            </w:r>
            <w:r>
              <w:rPr>
                <w:rFonts w:ascii="Arial"/>
                <w:b/>
                <w:spacing w:val="-6"/>
                <w:sz w:val="20"/>
              </w:rPr>
              <w:t> </w:t>
            </w:r>
            <w:r>
              <w:rPr>
                <w:rFonts w:ascii="Arial"/>
                <w:b/>
                <w:sz w:val="20"/>
              </w:rPr>
              <w:t>of</w:t>
            </w:r>
            <w:r>
              <w:rPr>
                <w:rFonts w:ascii="Arial"/>
                <w:b/>
                <w:spacing w:val="-6"/>
                <w:sz w:val="20"/>
              </w:rPr>
              <w:t> </w:t>
            </w:r>
            <w:r>
              <w:rPr>
                <w:rFonts w:ascii="Arial"/>
                <w:b/>
                <w:sz w:val="20"/>
              </w:rPr>
              <w:t>Information</w:t>
            </w:r>
            <w:r>
              <w:rPr>
                <w:rFonts w:ascii="Arial"/>
                <w:b/>
                <w:spacing w:val="-6"/>
                <w:sz w:val="20"/>
              </w:rPr>
              <w:t> </w:t>
            </w:r>
            <w:r>
              <w:rPr>
                <w:rFonts w:ascii="Arial"/>
                <w:b/>
                <w:sz w:val="20"/>
              </w:rPr>
              <w:t>and</w:t>
            </w:r>
            <w:r>
              <w:rPr>
                <w:rFonts w:ascii="Arial"/>
                <w:b/>
                <w:spacing w:val="-6"/>
                <w:sz w:val="20"/>
              </w:rPr>
              <w:t> </w:t>
            </w:r>
            <w:r>
              <w:rPr>
                <w:rFonts w:ascii="Arial"/>
                <w:b/>
                <w:sz w:val="20"/>
              </w:rPr>
              <w:t>Communication</w:t>
            </w:r>
            <w:r>
              <w:rPr>
                <w:rFonts w:ascii="Arial"/>
                <w:b/>
                <w:spacing w:val="-6"/>
                <w:sz w:val="20"/>
              </w:rPr>
              <w:t> </w:t>
            </w:r>
            <w:r>
              <w:rPr>
                <w:rFonts w:ascii="Arial"/>
                <w:b/>
                <w:sz w:val="20"/>
              </w:rPr>
              <w:t>Technology</w:t>
            </w:r>
            <w:r>
              <w:rPr>
                <w:rFonts w:ascii="Arial"/>
                <w:b/>
                <w:spacing w:val="-6"/>
                <w:sz w:val="20"/>
              </w:rPr>
              <w:t> </w:t>
            </w:r>
            <w:r>
              <w:rPr>
                <w:rFonts w:ascii="Arial"/>
                <w:b/>
                <w:sz w:val="20"/>
              </w:rPr>
              <w:t>among Post Basic Nursing Students and Lecturers of University of Port Harcourt Teaching Hospital </w:t>
            </w:r>
            <w:r>
              <w:rPr>
                <w:rFonts w:ascii="Arial"/>
                <w:b/>
                <w:spacing w:val="-2"/>
                <w:sz w:val="20"/>
              </w:rPr>
              <w:t>(n=108)</w:t>
            </w:r>
          </w:p>
        </w:tc>
      </w:tr>
      <w:tr>
        <w:trPr>
          <w:trHeight w:val="1020" w:hRule="atLeast"/>
        </w:trPr>
        <w:tc>
          <w:tcPr>
            <w:tcW w:w="560" w:type="dxa"/>
            <w:vMerge w:val="restart"/>
          </w:tcPr>
          <w:p>
            <w:pPr>
              <w:pStyle w:val="TableParagraph"/>
              <w:spacing w:line="360" w:lineRule="auto"/>
              <w:ind w:left="120" w:right="223"/>
              <w:jc w:val="left"/>
              <w:rPr>
                <w:rFonts w:ascii="Arial"/>
                <w:b/>
                <w:sz w:val="20"/>
              </w:rPr>
            </w:pPr>
            <w:r>
              <w:rPr>
                <w:rFonts w:ascii="Arial"/>
                <w:b/>
                <w:spacing w:val="-6"/>
                <w:sz w:val="20"/>
              </w:rPr>
              <w:t>S/ </w:t>
            </w:r>
            <w:r>
              <w:rPr>
                <w:rFonts w:ascii="Arial"/>
                <w:b/>
                <w:spacing w:val="-10"/>
                <w:sz w:val="20"/>
              </w:rPr>
              <w:t>N</w:t>
            </w:r>
          </w:p>
        </w:tc>
        <w:tc>
          <w:tcPr>
            <w:tcW w:w="4400" w:type="dxa"/>
            <w:vMerge w:val="restart"/>
          </w:tcPr>
          <w:p>
            <w:pPr>
              <w:pStyle w:val="TableParagraph"/>
              <w:spacing w:line="228" w:lineRule="exact"/>
              <w:ind w:left="115"/>
              <w:jc w:val="left"/>
              <w:rPr>
                <w:rFonts w:ascii="Arial"/>
                <w:b/>
                <w:sz w:val="20"/>
              </w:rPr>
            </w:pPr>
            <w:r>
              <w:rPr>
                <w:rFonts w:ascii="Arial"/>
                <w:b/>
                <w:spacing w:val="-2"/>
                <w:sz w:val="20"/>
              </w:rPr>
              <w:t>Items</w:t>
            </w:r>
          </w:p>
        </w:tc>
        <w:tc>
          <w:tcPr>
            <w:tcW w:w="980" w:type="dxa"/>
          </w:tcPr>
          <w:p>
            <w:pPr>
              <w:pStyle w:val="TableParagraph"/>
              <w:spacing w:line="360" w:lineRule="auto"/>
              <w:ind w:left="429" w:right="100" w:hanging="317"/>
              <w:jc w:val="left"/>
              <w:rPr>
                <w:rFonts w:ascii="Arial"/>
                <w:b/>
                <w:sz w:val="20"/>
              </w:rPr>
            </w:pPr>
            <w:r>
              <w:rPr>
                <w:rFonts w:ascii="Arial"/>
                <w:b/>
                <w:spacing w:val="-2"/>
                <w:sz w:val="20"/>
              </w:rPr>
              <w:t>Student </w:t>
            </w:r>
            <w:r>
              <w:rPr>
                <w:rFonts w:ascii="Arial"/>
                <w:b/>
                <w:spacing w:val="-10"/>
                <w:sz w:val="20"/>
              </w:rPr>
              <w:t>s</w:t>
            </w:r>
          </w:p>
          <w:p>
            <w:pPr>
              <w:pStyle w:val="TableParagraph"/>
              <w:ind w:left="187"/>
              <w:jc w:val="left"/>
              <w:rPr>
                <w:rFonts w:ascii="Arial"/>
                <w:b/>
                <w:sz w:val="20"/>
              </w:rPr>
            </w:pPr>
            <w:r>
              <w:rPr>
                <w:rFonts w:ascii="Arial"/>
                <w:b/>
                <w:spacing w:val="-2"/>
                <w:sz w:val="20"/>
              </w:rPr>
              <w:t>(n=22)</w:t>
            </w:r>
          </w:p>
        </w:tc>
        <w:tc>
          <w:tcPr>
            <w:tcW w:w="640" w:type="dxa"/>
          </w:tcPr>
          <w:p>
            <w:pPr>
              <w:pStyle w:val="TableParagraph"/>
              <w:ind w:left="0"/>
              <w:jc w:val="left"/>
              <w:rPr>
                <w:rFonts w:ascii="Times New Roman"/>
                <w:sz w:val="20"/>
              </w:rPr>
            </w:pPr>
          </w:p>
        </w:tc>
        <w:tc>
          <w:tcPr>
            <w:tcW w:w="1100" w:type="dxa"/>
          </w:tcPr>
          <w:p>
            <w:pPr>
              <w:pStyle w:val="TableParagraph"/>
              <w:spacing w:line="360" w:lineRule="auto"/>
              <w:ind w:left="489" w:right="131" w:hanging="345"/>
              <w:jc w:val="left"/>
              <w:rPr>
                <w:rFonts w:ascii="Arial"/>
                <w:b/>
                <w:sz w:val="20"/>
              </w:rPr>
            </w:pPr>
            <w:r>
              <w:rPr>
                <w:rFonts w:ascii="Arial"/>
                <w:b/>
                <w:spacing w:val="-2"/>
                <w:sz w:val="20"/>
              </w:rPr>
              <w:t>Lecturer </w:t>
            </w:r>
            <w:r>
              <w:rPr>
                <w:rFonts w:ascii="Arial"/>
                <w:b/>
                <w:spacing w:val="-10"/>
                <w:sz w:val="20"/>
              </w:rPr>
              <w:t>s</w:t>
            </w:r>
          </w:p>
          <w:p>
            <w:pPr>
              <w:pStyle w:val="TableParagraph"/>
              <w:ind w:left="247"/>
              <w:jc w:val="left"/>
              <w:rPr>
                <w:rFonts w:ascii="Arial"/>
                <w:b/>
                <w:sz w:val="20"/>
              </w:rPr>
            </w:pPr>
            <w:r>
              <w:rPr>
                <w:rFonts w:ascii="Arial"/>
                <w:b/>
                <w:spacing w:val="-2"/>
                <w:sz w:val="20"/>
              </w:rPr>
              <w:t>(n=86)</w:t>
            </w:r>
          </w:p>
        </w:tc>
        <w:tc>
          <w:tcPr>
            <w:tcW w:w="700" w:type="dxa"/>
          </w:tcPr>
          <w:p>
            <w:pPr>
              <w:pStyle w:val="TableParagraph"/>
              <w:ind w:left="0"/>
              <w:jc w:val="left"/>
              <w:rPr>
                <w:rFonts w:ascii="Times New Roman"/>
                <w:sz w:val="20"/>
              </w:rPr>
            </w:pPr>
          </w:p>
        </w:tc>
        <w:tc>
          <w:tcPr>
            <w:tcW w:w="1140" w:type="dxa"/>
          </w:tcPr>
          <w:p>
            <w:pPr>
              <w:pStyle w:val="TableParagraph"/>
              <w:spacing w:line="228" w:lineRule="exact"/>
              <w:ind w:left="15"/>
              <w:rPr>
                <w:rFonts w:ascii="Arial"/>
                <w:b/>
                <w:sz w:val="20"/>
              </w:rPr>
            </w:pPr>
            <w:r>
              <w:rPr>
                <w:rFonts w:ascii="Arial"/>
                <w:b/>
                <w:sz w:val="20"/>
              </w:rPr>
              <w:t>Mean</w:t>
            </w:r>
            <w:r>
              <w:rPr>
                <w:rFonts w:ascii="Arial"/>
                <w:b/>
                <w:spacing w:val="-4"/>
                <w:sz w:val="20"/>
              </w:rPr>
              <w:t> </w:t>
            </w:r>
            <w:r>
              <w:rPr>
                <w:rFonts w:ascii="Arial"/>
                <w:b/>
                <w:spacing w:val="-5"/>
                <w:sz w:val="20"/>
              </w:rPr>
              <w:t>set</w:t>
            </w:r>
          </w:p>
        </w:tc>
      </w:tr>
      <w:tr>
        <w:trPr>
          <w:trHeight w:val="519" w:hRule="atLeast"/>
        </w:trPr>
        <w:tc>
          <w:tcPr>
            <w:tcW w:w="560" w:type="dxa"/>
            <w:vMerge/>
            <w:tcBorders>
              <w:top w:val="nil"/>
            </w:tcBorders>
          </w:tcPr>
          <w:p>
            <w:pPr>
              <w:rPr>
                <w:sz w:val="2"/>
                <w:szCs w:val="2"/>
              </w:rPr>
            </w:pPr>
          </w:p>
        </w:tc>
        <w:tc>
          <w:tcPr>
            <w:tcW w:w="4400" w:type="dxa"/>
            <w:vMerge/>
            <w:tcBorders>
              <w:top w:val="nil"/>
            </w:tcBorders>
          </w:tcPr>
          <w:p>
            <w:pPr>
              <w:rPr>
                <w:sz w:val="2"/>
                <w:szCs w:val="2"/>
              </w:rPr>
            </w:pPr>
          </w:p>
        </w:tc>
        <w:tc>
          <w:tcPr>
            <w:tcW w:w="980" w:type="dxa"/>
          </w:tcPr>
          <w:p>
            <w:pPr>
              <w:pStyle w:val="TableParagraph"/>
              <w:spacing w:before="50"/>
              <w:rPr>
                <w:rFonts w:ascii="Cambria Math" w:eastAsia="Cambria Math"/>
                <w:sz w:val="20"/>
              </w:rPr>
            </w:pPr>
            <w:r>
              <w:rPr>
                <w:rFonts w:ascii="Cambria Math" w:eastAsia="Cambria Math"/>
                <w:spacing w:val="-10"/>
                <w:sz w:val="20"/>
              </w:rPr>
              <w:t>𝑋</w:t>
            </w:r>
          </w:p>
        </w:tc>
        <w:tc>
          <w:tcPr>
            <w:tcW w:w="640" w:type="dxa"/>
          </w:tcPr>
          <w:p>
            <w:pPr>
              <w:pStyle w:val="TableParagraph"/>
              <w:spacing w:before="8"/>
              <w:rPr>
                <w:rFonts w:ascii="Arial"/>
                <w:b/>
                <w:sz w:val="20"/>
              </w:rPr>
            </w:pPr>
            <w:r>
              <w:rPr>
                <w:rFonts w:ascii="Arial"/>
                <w:b/>
                <w:spacing w:val="-5"/>
                <w:sz w:val="20"/>
              </w:rPr>
              <w:t>SD</w:t>
            </w:r>
          </w:p>
        </w:tc>
        <w:tc>
          <w:tcPr>
            <w:tcW w:w="1100" w:type="dxa"/>
          </w:tcPr>
          <w:p>
            <w:pPr>
              <w:pStyle w:val="TableParagraph"/>
              <w:spacing w:before="50"/>
              <w:rPr>
                <w:rFonts w:ascii="Cambria Math" w:eastAsia="Cambria Math"/>
                <w:sz w:val="20"/>
              </w:rPr>
            </w:pPr>
            <w:r>
              <w:rPr>
                <w:rFonts w:ascii="Cambria Math" w:eastAsia="Cambria Math"/>
                <w:spacing w:val="-10"/>
                <w:sz w:val="20"/>
              </w:rPr>
              <w:t>𝑋</w:t>
            </w:r>
          </w:p>
        </w:tc>
        <w:tc>
          <w:tcPr>
            <w:tcW w:w="700" w:type="dxa"/>
          </w:tcPr>
          <w:p>
            <w:pPr>
              <w:pStyle w:val="TableParagraph"/>
              <w:spacing w:before="8"/>
              <w:ind w:left="25"/>
              <w:rPr>
                <w:rFonts w:ascii="Arial"/>
                <w:b/>
                <w:sz w:val="20"/>
              </w:rPr>
            </w:pPr>
            <w:r>
              <w:rPr>
                <w:rFonts w:ascii="Arial"/>
                <w:b/>
                <w:spacing w:val="-5"/>
                <w:sz w:val="20"/>
              </w:rPr>
              <w:t>SD</w:t>
            </w:r>
          </w:p>
        </w:tc>
        <w:tc>
          <w:tcPr>
            <w:tcW w:w="1140" w:type="dxa"/>
          </w:tcPr>
          <w:p>
            <w:pPr>
              <w:pStyle w:val="TableParagraph"/>
              <w:spacing w:before="5"/>
              <w:ind w:left="0"/>
              <w:jc w:val="left"/>
              <w:rPr>
                <w:sz w:val="3"/>
              </w:rPr>
            </w:pPr>
          </w:p>
          <w:p>
            <w:pPr>
              <w:pStyle w:val="TableParagraph"/>
              <w:spacing w:line="20" w:lineRule="exact"/>
              <w:ind w:left="420"/>
              <w:jc w:val="left"/>
              <w:rPr>
                <w:sz w:val="2"/>
              </w:rPr>
            </w:pPr>
            <w:r>
              <w:rPr>
                <w:sz w:val="2"/>
              </w:rPr>
              <mc:AlternateContent>
                <mc:Choice Requires="wps">
                  <w:drawing>
                    <wp:inline distT="0" distB="0" distL="0" distR="0">
                      <wp:extent cx="165100" cy="12700"/>
                      <wp:effectExtent l="9525" t="0" r="0" b="6350"/>
                      <wp:docPr id="21" name="Group 21"/>
                      <wp:cNvGraphicFramePr>
                        <a:graphicFrameLocks/>
                      </wp:cNvGraphicFramePr>
                      <a:graphic>
                        <a:graphicData uri="http://schemas.microsoft.com/office/word/2010/wordprocessingGroup">
                          <wpg:wgp>
                            <wpg:cNvPr id="21" name="Group 21"/>
                            <wpg:cNvGrpSpPr/>
                            <wpg:grpSpPr>
                              <a:xfrm>
                                <a:off x="0" y="0"/>
                                <a:ext cx="165100" cy="12700"/>
                                <a:chExt cx="165100" cy="12700"/>
                              </a:xfrm>
                            </wpg:grpSpPr>
                            <wps:wsp>
                              <wps:cNvPr id="22" name="Graphic 22"/>
                              <wps:cNvSpPr/>
                              <wps:spPr>
                                <a:xfrm>
                                  <a:off x="0" y="6350"/>
                                  <a:ext cx="165100" cy="1270"/>
                                </a:xfrm>
                                <a:custGeom>
                                  <a:avLst/>
                                  <a:gdLst/>
                                  <a:ahLst/>
                                  <a:cxnLst/>
                                  <a:rect l="l" t="t" r="r" b="b"/>
                                  <a:pathLst>
                                    <a:path w="165100" h="0">
                                      <a:moveTo>
                                        <a:pt x="0" y="0"/>
                                      </a:moveTo>
                                      <a:lnTo>
                                        <a:pt x="88900" y="0"/>
                                      </a:lnTo>
                                    </a:path>
                                    <a:path w="165100" h="0">
                                      <a:moveTo>
                                        <a:pt x="88900" y="0"/>
                                      </a:moveTo>
                                      <a:lnTo>
                                        <a:pt x="165099"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pt;height:1pt;mso-position-horizontal-relative:char;mso-position-vertical-relative:line" id="docshapegroup11" coordorigin="0,0" coordsize="260,20">
                      <v:shape style="position:absolute;left:0;top:10;width:260;height:2" id="docshape12" coordorigin="0,10" coordsize="260,0" path="m0,10l140,10m140,10l260,10e" filled="false" stroked="true" strokeweight="1.0pt" strokecolor="#000000">
                        <v:path arrowok="t"/>
                        <v:stroke dashstyle="solid"/>
                      </v:shape>
                    </v:group>
                  </w:pict>
                </mc:Fallback>
              </mc:AlternateContent>
            </w:r>
            <w:r>
              <w:rPr>
                <w:sz w:val="2"/>
              </w:rPr>
            </w:r>
          </w:p>
          <w:p>
            <w:pPr>
              <w:pStyle w:val="TableParagraph"/>
              <w:ind w:left="15"/>
              <w:rPr>
                <w:rFonts w:ascii="Cambria Math" w:eastAsia="Cambria Math"/>
                <w:sz w:val="20"/>
              </w:rPr>
            </w:pPr>
            <w:r>
              <w:rPr>
                <w:rFonts w:ascii="Cambria Math" w:eastAsia="Cambria Math"/>
                <w:spacing w:val="-5"/>
                <w:sz w:val="20"/>
              </w:rPr>
              <w:t>𝑋𝑋</w:t>
            </w:r>
          </w:p>
        </w:tc>
      </w:tr>
      <w:tr>
        <w:trPr>
          <w:trHeight w:val="459" w:hRule="atLeast"/>
        </w:trPr>
        <w:tc>
          <w:tcPr>
            <w:tcW w:w="560" w:type="dxa"/>
          </w:tcPr>
          <w:p>
            <w:pPr>
              <w:pStyle w:val="TableParagraph"/>
              <w:spacing w:line="228" w:lineRule="exact"/>
              <w:ind w:left="120"/>
              <w:jc w:val="left"/>
              <w:rPr>
                <w:sz w:val="20"/>
              </w:rPr>
            </w:pPr>
            <w:r>
              <w:rPr>
                <w:spacing w:val="-10"/>
                <w:sz w:val="20"/>
              </w:rPr>
              <w:t>1</w:t>
            </w:r>
          </w:p>
        </w:tc>
        <w:tc>
          <w:tcPr>
            <w:tcW w:w="4400" w:type="dxa"/>
          </w:tcPr>
          <w:p>
            <w:pPr>
              <w:pStyle w:val="TableParagraph"/>
              <w:spacing w:line="230" w:lineRule="exact"/>
              <w:ind w:left="115"/>
              <w:jc w:val="left"/>
              <w:rPr>
                <w:sz w:val="20"/>
              </w:rPr>
            </w:pPr>
            <w:r>
              <w:rPr>
                <w:sz w:val="20"/>
              </w:rPr>
              <w:t>Availability</w:t>
            </w:r>
            <w:r>
              <w:rPr>
                <w:spacing w:val="80"/>
                <w:sz w:val="20"/>
              </w:rPr>
              <w:t> </w:t>
            </w:r>
            <w:r>
              <w:rPr>
                <w:sz w:val="20"/>
              </w:rPr>
              <w:t>of</w:t>
            </w:r>
            <w:r>
              <w:rPr>
                <w:spacing w:val="80"/>
                <w:sz w:val="20"/>
              </w:rPr>
              <w:t> </w:t>
            </w:r>
            <w:r>
              <w:rPr>
                <w:sz w:val="20"/>
              </w:rPr>
              <w:t>ICT</w:t>
            </w:r>
            <w:r>
              <w:rPr>
                <w:spacing w:val="80"/>
                <w:sz w:val="20"/>
              </w:rPr>
              <w:t> </w:t>
            </w:r>
            <w:r>
              <w:rPr>
                <w:sz w:val="20"/>
              </w:rPr>
              <w:t>facilities</w:t>
            </w:r>
            <w:r>
              <w:rPr>
                <w:spacing w:val="80"/>
                <w:sz w:val="20"/>
              </w:rPr>
              <w:t> </w:t>
            </w:r>
            <w:r>
              <w:rPr>
                <w:sz w:val="20"/>
              </w:rPr>
              <w:t>in</w:t>
            </w:r>
            <w:r>
              <w:rPr>
                <w:spacing w:val="80"/>
                <w:sz w:val="20"/>
              </w:rPr>
              <w:t> </w:t>
            </w:r>
            <w:r>
              <w:rPr>
                <w:sz w:val="20"/>
              </w:rPr>
              <w:t>the</w:t>
            </w:r>
            <w:r>
              <w:rPr>
                <w:spacing w:val="80"/>
                <w:sz w:val="20"/>
              </w:rPr>
              <w:t> </w:t>
            </w:r>
            <w:r>
              <w:rPr>
                <w:sz w:val="20"/>
              </w:rPr>
              <w:t>school environment influences the extent</w:t>
            </w:r>
            <w:r>
              <w:rPr>
                <w:spacing w:val="40"/>
                <w:sz w:val="20"/>
              </w:rPr>
              <w:t> </w:t>
            </w:r>
            <w:r>
              <w:rPr>
                <w:sz w:val="20"/>
              </w:rPr>
              <w:t>of use</w:t>
            </w:r>
          </w:p>
        </w:tc>
        <w:tc>
          <w:tcPr>
            <w:tcW w:w="980" w:type="dxa"/>
          </w:tcPr>
          <w:p>
            <w:pPr>
              <w:pStyle w:val="TableParagraph"/>
              <w:spacing w:line="228" w:lineRule="exact"/>
              <w:rPr>
                <w:sz w:val="20"/>
              </w:rPr>
            </w:pPr>
            <w:r>
              <w:rPr>
                <w:spacing w:val="-4"/>
                <w:sz w:val="20"/>
              </w:rPr>
              <w:t>2.90</w:t>
            </w:r>
          </w:p>
        </w:tc>
        <w:tc>
          <w:tcPr>
            <w:tcW w:w="640" w:type="dxa"/>
          </w:tcPr>
          <w:p>
            <w:pPr>
              <w:pStyle w:val="TableParagraph"/>
              <w:spacing w:line="228" w:lineRule="exact"/>
              <w:rPr>
                <w:sz w:val="20"/>
              </w:rPr>
            </w:pPr>
            <w:r>
              <w:rPr>
                <w:spacing w:val="-4"/>
                <w:sz w:val="20"/>
              </w:rPr>
              <w:t>0.74</w:t>
            </w:r>
          </w:p>
        </w:tc>
        <w:tc>
          <w:tcPr>
            <w:tcW w:w="1100" w:type="dxa"/>
          </w:tcPr>
          <w:p>
            <w:pPr>
              <w:pStyle w:val="TableParagraph"/>
              <w:spacing w:line="228" w:lineRule="exact"/>
              <w:rPr>
                <w:sz w:val="20"/>
              </w:rPr>
            </w:pPr>
            <w:r>
              <w:rPr>
                <w:spacing w:val="-4"/>
                <w:sz w:val="20"/>
              </w:rPr>
              <w:t>2.88</w:t>
            </w:r>
          </w:p>
        </w:tc>
        <w:tc>
          <w:tcPr>
            <w:tcW w:w="700" w:type="dxa"/>
          </w:tcPr>
          <w:p>
            <w:pPr>
              <w:pStyle w:val="TableParagraph"/>
              <w:spacing w:line="228" w:lineRule="exact"/>
              <w:ind w:left="25"/>
              <w:rPr>
                <w:sz w:val="20"/>
              </w:rPr>
            </w:pPr>
            <w:r>
              <w:rPr>
                <w:spacing w:val="-4"/>
                <w:sz w:val="20"/>
              </w:rPr>
              <w:t>0.74</w:t>
            </w:r>
          </w:p>
        </w:tc>
        <w:tc>
          <w:tcPr>
            <w:tcW w:w="1140" w:type="dxa"/>
          </w:tcPr>
          <w:p>
            <w:pPr>
              <w:pStyle w:val="TableParagraph"/>
              <w:spacing w:line="228" w:lineRule="exact"/>
              <w:ind w:left="15"/>
              <w:rPr>
                <w:sz w:val="20"/>
              </w:rPr>
            </w:pPr>
            <w:r>
              <w:rPr>
                <w:spacing w:val="-4"/>
                <w:sz w:val="20"/>
              </w:rPr>
              <w:t>2.89</w:t>
            </w:r>
          </w:p>
        </w:tc>
      </w:tr>
      <w:tr>
        <w:trPr>
          <w:trHeight w:val="460" w:hRule="atLeast"/>
        </w:trPr>
        <w:tc>
          <w:tcPr>
            <w:tcW w:w="560" w:type="dxa"/>
          </w:tcPr>
          <w:p>
            <w:pPr>
              <w:pStyle w:val="TableParagraph"/>
              <w:spacing w:line="227" w:lineRule="exact"/>
              <w:ind w:left="120"/>
              <w:jc w:val="left"/>
              <w:rPr>
                <w:sz w:val="20"/>
              </w:rPr>
            </w:pPr>
            <w:r>
              <w:rPr>
                <w:spacing w:val="-10"/>
                <w:sz w:val="20"/>
              </w:rPr>
              <w:t>2</w:t>
            </w:r>
          </w:p>
        </w:tc>
        <w:tc>
          <w:tcPr>
            <w:tcW w:w="4400" w:type="dxa"/>
          </w:tcPr>
          <w:p>
            <w:pPr>
              <w:pStyle w:val="TableParagraph"/>
              <w:spacing w:line="230" w:lineRule="exact"/>
              <w:ind w:left="115"/>
              <w:jc w:val="left"/>
              <w:rPr>
                <w:sz w:val="20"/>
              </w:rPr>
            </w:pPr>
            <w:r>
              <w:rPr>
                <w:sz w:val="20"/>
              </w:rPr>
              <w:t>The use of computer is unlikely when people barely have access to it</w:t>
            </w:r>
          </w:p>
        </w:tc>
        <w:tc>
          <w:tcPr>
            <w:tcW w:w="980" w:type="dxa"/>
          </w:tcPr>
          <w:p>
            <w:pPr>
              <w:pStyle w:val="TableParagraph"/>
              <w:spacing w:line="227" w:lineRule="exact"/>
              <w:rPr>
                <w:sz w:val="20"/>
              </w:rPr>
            </w:pPr>
            <w:r>
              <w:rPr>
                <w:spacing w:val="-4"/>
                <w:sz w:val="20"/>
              </w:rPr>
              <w:t>2.74</w:t>
            </w:r>
          </w:p>
        </w:tc>
        <w:tc>
          <w:tcPr>
            <w:tcW w:w="640" w:type="dxa"/>
          </w:tcPr>
          <w:p>
            <w:pPr>
              <w:pStyle w:val="TableParagraph"/>
              <w:spacing w:line="227" w:lineRule="exact"/>
              <w:rPr>
                <w:sz w:val="20"/>
              </w:rPr>
            </w:pPr>
            <w:r>
              <w:rPr>
                <w:spacing w:val="-4"/>
                <w:sz w:val="20"/>
              </w:rPr>
              <w:t>0.73</w:t>
            </w:r>
          </w:p>
        </w:tc>
        <w:tc>
          <w:tcPr>
            <w:tcW w:w="1100" w:type="dxa"/>
          </w:tcPr>
          <w:p>
            <w:pPr>
              <w:pStyle w:val="TableParagraph"/>
              <w:spacing w:line="227" w:lineRule="exact"/>
              <w:rPr>
                <w:sz w:val="20"/>
              </w:rPr>
            </w:pPr>
            <w:r>
              <w:rPr>
                <w:spacing w:val="-4"/>
                <w:sz w:val="20"/>
              </w:rPr>
              <w:t>2.80</w:t>
            </w:r>
          </w:p>
        </w:tc>
        <w:tc>
          <w:tcPr>
            <w:tcW w:w="700" w:type="dxa"/>
          </w:tcPr>
          <w:p>
            <w:pPr>
              <w:pStyle w:val="TableParagraph"/>
              <w:spacing w:line="227" w:lineRule="exact"/>
              <w:ind w:left="25"/>
              <w:rPr>
                <w:sz w:val="20"/>
              </w:rPr>
            </w:pPr>
            <w:r>
              <w:rPr>
                <w:spacing w:val="-4"/>
                <w:sz w:val="20"/>
              </w:rPr>
              <w:t>0.70</w:t>
            </w:r>
          </w:p>
        </w:tc>
        <w:tc>
          <w:tcPr>
            <w:tcW w:w="1140" w:type="dxa"/>
          </w:tcPr>
          <w:p>
            <w:pPr>
              <w:pStyle w:val="TableParagraph"/>
              <w:spacing w:line="227" w:lineRule="exact"/>
              <w:ind w:left="15"/>
              <w:rPr>
                <w:sz w:val="20"/>
              </w:rPr>
            </w:pPr>
            <w:r>
              <w:rPr>
                <w:spacing w:val="-4"/>
                <w:sz w:val="20"/>
              </w:rPr>
              <w:t>2.77</w:t>
            </w:r>
          </w:p>
        </w:tc>
      </w:tr>
      <w:tr>
        <w:trPr>
          <w:trHeight w:val="460" w:hRule="atLeast"/>
        </w:trPr>
        <w:tc>
          <w:tcPr>
            <w:tcW w:w="560" w:type="dxa"/>
          </w:tcPr>
          <w:p>
            <w:pPr>
              <w:pStyle w:val="TableParagraph"/>
              <w:spacing w:line="227" w:lineRule="exact"/>
              <w:ind w:left="120"/>
              <w:jc w:val="left"/>
              <w:rPr>
                <w:sz w:val="20"/>
              </w:rPr>
            </w:pPr>
            <w:r>
              <w:rPr>
                <w:spacing w:val="-10"/>
                <w:sz w:val="20"/>
              </w:rPr>
              <w:t>3</w:t>
            </w:r>
          </w:p>
        </w:tc>
        <w:tc>
          <w:tcPr>
            <w:tcW w:w="4400" w:type="dxa"/>
          </w:tcPr>
          <w:p>
            <w:pPr>
              <w:pStyle w:val="TableParagraph"/>
              <w:spacing w:line="230" w:lineRule="exact"/>
              <w:ind w:left="115"/>
              <w:jc w:val="left"/>
              <w:rPr>
                <w:sz w:val="20"/>
              </w:rPr>
            </w:pPr>
            <w:r>
              <w:rPr>
                <w:sz w:val="20"/>
              </w:rPr>
              <w:t>The</w:t>
            </w:r>
            <w:r>
              <w:rPr>
                <w:spacing w:val="40"/>
                <w:sz w:val="20"/>
              </w:rPr>
              <w:t> </w:t>
            </w:r>
            <w:r>
              <w:rPr>
                <w:sz w:val="20"/>
              </w:rPr>
              <w:t>major</w:t>
            </w:r>
            <w:r>
              <w:rPr>
                <w:spacing w:val="40"/>
                <w:sz w:val="20"/>
              </w:rPr>
              <w:t> </w:t>
            </w:r>
            <w:r>
              <w:rPr>
                <w:sz w:val="20"/>
              </w:rPr>
              <w:t>reason</w:t>
            </w:r>
            <w:r>
              <w:rPr>
                <w:spacing w:val="40"/>
                <w:sz w:val="20"/>
              </w:rPr>
              <w:t> </w:t>
            </w:r>
            <w:r>
              <w:rPr>
                <w:sz w:val="20"/>
              </w:rPr>
              <w:t>for</w:t>
            </w:r>
            <w:r>
              <w:rPr>
                <w:spacing w:val="40"/>
                <w:sz w:val="20"/>
              </w:rPr>
              <w:t> </w:t>
            </w:r>
            <w:r>
              <w:rPr>
                <w:sz w:val="20"/>
              </w:rPr>
              <w:t>poor</w:t>
            </w:r>
            <w:r>
              <w:rPr>
                <w:spacing w:val="40"/>
                <w:sz w:val="20"/>
              </w:rPr>
              <w:t> </w:t>
            </w:r>
            <w:r>
              <w:rPr>
                <w:sz w:val="20"/>
              </w:rPr>
              <w:t>or no use of ICT facilities is resistance to change</w:t>
            </w:r>
          </w:p>
        </w:tc>
        <w:tc>
          <w:tcPr>
            <w:tcW w:w="980" w:type="dxa"/>
          </w:tcPr>
          <w:p>
            <w:pPr>
              <w:pStyle w:val="TableParagraph"/>
              <w:spacing w:line="227" w:lineRule="exact"/>
              <w:rPr>
                <w:sz w:val="20"/>
              </w:rPr>
            </w:pPr>
            <w:r>
              <w:rPr>
                <w:spacing w:val="-4"/>
                <w:sz w:val="20"/>
              </w:rPr>
              <w:t>2.72</w:t>
            </w:r>
          </w:p>
        </w:tc>
        <w:tc>
          <w:tcPr>
            <w:tcW w:w="640" w:type="dxa"/>
          </w:tcPr>
          <w:p>
            <w:pPr>
              <w:pStyle w:val="TableParagraph"/>
              <w:spacing w:line="227" w:lineRule="exact"/>
              <w:rPr>
                <w:sz w:val="20"/>
              </w:rPr>
            </w:pPr>
            <w:r>
              <w:rPr>
                <w:spacing w:val="-4"/>
                <w:sz w:val="20"/>
              </w:rPr>
              <w:t>0.68</w:t>
            </w:r>
          </w:p>
        </w:tc>
        <w:tc>
          <w:tcPr>
            <w:tcW w:w="1100" w:type="dxa"/>
          </w:tcPr>
          <w:p>
            <w:pPr>
              <w:pStyle w:val="TableParagraph"/>
              <w:spacing w:line="227" w:lineRule="exact"/>
              <w:rPr>
                <w:sz w:val="20"/>
              </w:rPr>
            </w:pPr>
            <w:r>
              <w:rPr>
                <w:spacing w:val="-4"/>
                <w:sz w:val="20"/>
              </w:rPr>
              <w:t>2.70</w:t>
            </w:r>
          </w:p>
        </w:tc>
        <w:tc>
          <w:tcPr>
            <w:tcW w:w="700" w:type="dxa"/>
          </w:tcPr>
          <w:p>
            <w:pPr>
              <w:pStyle w:val="TableParagraph"/>
              <w:spacing w:line="227" w:lineRule="exact"/>
              <w:ind w:left="25"/>
              <w:rPr>
                <w:sz w:val="20"/>
              </w:rPr>
            </w:pPr>
            <w:r>
              <w:rPr>
                <w:spacing w:val="-4"/>
                <w:sz w:val="20"/>
              </w:rPr>
              <w:t>0.72</w:t>
            </w:r>
          </w:p>
        </w:tc>
        <w:tc>
          <w:tcPr>
            <w:tcW w:w="1140" w:type="dxa"/>
          </w:tcPr>
          <w:p>
            <w:pPr>
              <w:pStyle w:val="TableParagraph"/>
              <w:spacing w:line="227" w:lineRule="exact"/>
              <w:ind w:left="15"/>
              <w:rPr>
                <w:sz w:val="20"/>
              </w:rPr>
            </w:pPr>
            <w:r>
              <w:rPr>
                <w:spacing w:val="-4"/>
                <w:sz w:val="20"/>
              </w:rPr>
              <w:t>2.71</w:t>
            </w:r>
          </w:p>
        </w:tc>
      </w:tr>
      <w:tr>
        <w:trPr>
          <w:trHeight w:val="679" w:hRule="atLeast"/>
        </w:trPr>
        <w:tc>
          <w:tcPr>
            <w:tcW w:w="560" w:type="dxa"/>
          </w:tcPr>
          <w:p>
            <w:pPr>
              <w:pStyle w:val="TableParagraph"/>
              <w:spacing w:line="226" w:lineRule="exact"/>
              <w:ind w:left="120"/>
              <w:jc w:val="left"/>
              <w:rPr>
                <w:sz w:val="20"/>
              </w:rPr>
            </w:pPr>
            <w:r>
              <w:rPr>
                <w:spacing w:val="-10"/>
                <w:sz w:val="20"/>
              </w:rPr>
              <w:t>4</w:t>
            </w:r>
          </w:p>
        </w:tc>
        <w:tc>
          <w:tcPr>
            <w:tcW w:w="4400" w:type="dxa"/>
          </w:tcPr>
          <w:p>
            <w:pPr>
              <w:pStyle w:val="TableParagraph"/>
              <w:ind w:left="115"/>
              <w:jc w:val="left"/>
              <w:rPr>
                <w:sz w:val="20"/>
              </w:rPr>
            </w:pPr>
            <w:r>
              <w:rPr>
                <w:sz w:val="20"/>
              </w:rPr>
              <w:t>The</w:t>
            </w:r>
            <w:r>
              <w:rPr>
                <w:spacing w:val="80"/>
                <w:sz w:val="20"/>
              </w:rPr>
              <w:t> </w:t>
            </w:r>
            <w:r>
              <w:rPr>
                <w:sz w:val="20"/>
              </w:rPr>
              <w:t>deployment</w:t>
            </w:r>
            <w:r>
              <w:rPr>
                <w:spacing w:val="80"/>
                <w:sz w:val="20"/>
              </w:rPr>
              <w:t> </w:t>
            </w:r>
            <w:r>
              <w:rPr>
                <w:sz w:val="20"/>
              </w:rPr>
              <w:t>of</w:t>
            </w:r>
            <w:r>
              <w:rPr>
                <w:spacing w:val="80"/>
                <w:sz w:val="20"/>
              </w:rPr>
              <w:t> </w:t>
            </w:r>
            <w:r>
              <w:rPr>
                <w:sz w:val="20"/>
              </w:rPr>
              <w:t>ICT</w:t>
            </w:r>
            <w:r>
              <w:rPr>
                <w:spacing w:val="80"/>
                <w:sz w:val="20"/>
              </w:rPr>
              <w:t> </w:t>
            </w:r>
            <w:r>
              <w:rPr>
                <w:sz w:val="20"/>
              </w:rPr>
              <w:t>in</w:t>
            </w:r>
            <w:r>
              <w:rPr>
                <w:spacing w:val="80"/>
                <w:sz w:val="20"/>
              </w:rPr>
              <w:t> </w:t>
            </w:r>
            <w:r>
              <w:rPr>
                <w:sz w:val="20"/>
              </w:rPr>
              <w:t>teaching</w:t>
            </w:r>
            <w:r>
              <w:rPr>
                <w:spacing w:val="80"/>
                <w:sz w:val="20"/>
              </w:rPr>
              <w:t> </w:t>
            </w:r>
            <w:r>
              <w:rPr>
                <w:sz w:val="20"/>
              </w:rPr>
              <w:t>and learning</w:t>
            </w:r>
            <w:r>
              <w:rPr>
                <w:spacing w:val="-6"/>
                <w:sz w:val="20"/>
              </w:rPr>
              <w:t> </w:t>
            </w:r>
            <w:r>
              <w:rPr>
                <w:sz w:val="20"/>
              </w:rPr>
              <w:t>is</w:t>
            </w:r>
            <w:r>
              <w:rPr>
                <w:spacing w:val="-6"/>
                <w:sz w:val="20"/>
              </w:rPr>
              <w:t> </w:t>
            </w:r>
            <w:r>
              <w:rPr>
                <w:sz w:val="20"/>
              </w:rPr>
              <w:t>negatively</w:t>
            </w:r>
            <w:r>
              <w:rPr>
                <w:spacing w:val="-5"/>
                <w:sz w:val="20"/>
              </w:rPr>
              <w:t> </w:t>
            </w:r>
            <w:r>
              <w:rPr>
                <w:sz w:val="20"/>
              </w:rPr>
              <w:t>impacted</w:t>
            </w:r>
            <w:r>
              <w:rPr>
                <w:spacing w:val="-6"/>
                <w:sz w:val="20"/>
              </w:rPr>
              <w:t> </w:t>
            </w:r>
            <w:r>
              <w:rPr>
                <w:sz w:val="20"/>
              </w:rPr>
              <w:t>by</w:t>
            </w:r>
            <w:r>
              <w:rPr>
                <w:spacing w:val="-6"/>
                <w:sz w:val="20"/>
              </w:rPr>
              <w:t> </w:t>
            </w:r>
            <w:r>
              <w:rPr>
                <w:sz w:val="20"/>
              </w:rPr>
              <w:t>poor</w:t>
            </w:r>
            <w:r>
              <w:rPr>
                <w:spacing w:val="-5"/>
                <w:sz w:val="20"/>
              </w:rPr>
              <w:t> </w:t>
            </w:r>
            <w:r>
              <w:rPr>
                <w:spacing w:val="-2"/>
                <w:sz w:val="20"/>
              </w:rPr>
              <w:t>electric</w:t>
            </w:r>
          </w:p>
          <w:p>
            <w:pPr>
              <w:pStyle w:val="TableParagraph"/>
              <w:spacing w:line="204" w:lineRule="exact"/>
              <w:ind w:left="115"/>
              <w:jc w:val="left"/>
              <w:rPr>
                <w:sz w:val="20"/>
              </w:rPr>
            </w:pPr>
            <w:r>
              <w:rPr>
                <w:sz w:val="20"/>
              </w:rPr>
              <w:t>power</w:t>
            </w:r>
            <w:r>
              <w:rPr>
                <w:spacing w:val="-5"/>
                <w:sz w:val="20"/>
              </w:rPr>
              <w:t> </w:t>
            </w:r>
            <w:r>
              <w:rPr>
                <w:spacing w:val="-2"/>
                <w:sz w:val="20"/>
              </w:rPr>
              <w:t>supply</w:t>
            </w:r>
          </w:p>
        </w:tc>
        <w:tc>
          <w:tcPr>
            <w:tcW w:w="980" w:type="dxa"/>
          </w:tcPr>
          <w:p>
            <w:pPr>
              <w:pStyle w:val="TableParagraph"/>
              <w:spacing w:line="226" w:lineRule="exact"/>
              <w:rPr>
                <w:sz w:val="20"/>
              </w:rPr>
            </w:pPr>
            <w:r>
              <w:rPr>
                <w:spacing w:val="-4"/>
                <w:sz w:val="20"/>
              </w:rPr>
              <w:t>2.56</w:t>
            </w:r>
          </w:p>
        </w:tc>
        <w:tc>
          <w:tcPr>
            <w:tcW w:w="640" w:type="dxa"/>
          </w:tcPr>
          <w:p>
            <w:pPr>
              <w:pStyle w:val="TableParagraph"/>
              <w:spacing w:line="226" w:lineRule="exact"/>
              <w:rPr>
                <w:sz w:val="20"/>
              </w:rPr>
            </w:pPr>
            <w:r>
              <w:rPr>
                <w:spacing w:val="-4"/>
                <w:sz w:val="20"/>
              </w:rPr>
              <w:t>1.94</w:t>
            </w:r>
          </w:p>
        </w:tc>
        <w:tc>
          <w:tcPr>
            <w:tcW w:w="1100" w:type="dxa"/>
          </w:tcPr>
          <w:p>
            <w:pPr>
              <w:pStyle w:val="TableParagraph"/>
              <w:spacing w:line="226" w:lineRule="exact"/>
              <w:rPr>
                <w:sz w:val="20"/>
              </w:rPr>
            </w:pPr>
            <w:r>
              <w:rPr>
                <w:spacing w:val="-4"/>
                <w:sz w:val="20"/>
              </w:rPr>
              <w:t>2.53</w:t>
            </w:r>
          </w:p>
        </w:tc>
        <w:tc>
          <w:tcPr>
            <w:tcW w:w="700" w:type="dxa"/>
          </w:tcPr>
          <w:p>
            <w:pPr>
              <w:pStyle w:val="TableParagraph"/>
              <w:spacing w:line="226" w:lineRule="exact"/>
              <w:ind w:left="25"/>
              <w:rPr>
                <w:sz w:val="20"/>
              </w:rPr>
            </w:pPr>
            <w:r>
              <w:rPr>
                <w:spacing w:val="-4"/>
                <w:sz w:val="20"/>
              </w:rPr>
              <w:t>0.80</w:t>
            </w:r>
          </w:p>
        </w:tc>
        <w:tc>
          <w:tcPr>
            <w:tcW w:w="1140" w:type="dxa"/>
          </w:tcPr>
          <w:p>
            <w:pPr>
              <w:pStyle w:val="TableParagraph"/>
              <w:spacing w:line="226" w:lineRule="exact"/>
              <w:ind w:left="15"/>
              <w:rPr>
                <w:sz w:val="20"/>
              </w:rPr>
            </w:pPr>
            <w:r>
              <w:rPr>
                <w:spacing w:val="-4"/>
                <w:sz w:val="20"/>
              </w:rPr>
              <w:t>2.55</w:t>
            </w:r>
          </w:p>
        </w:tc>
      </w:tr>
      <w:tr>
        <w:trPr>
          <w:trHeight w:val="679" w:hRule="atLeast"/>
        </w:trPr>
        <w:tc>
          <w:tcPr>
            <w:tcW w:w="560" w:type="dxa"/>
          </w:tcPr>
          <w:p>
            <w:pPr>
              <w:pStyle w:val="TableParagraph"/>
              <w:spacing w:before="1"/>
              <w:ind w:left="120"/>
              <w:jc w:val="left"/>
              <w:rPr>
                <w:sz w:val="20"/>
              </w:rPr>
            </w:pPr>
            <w:r>
              <w:rPr>
                <w:spacing w:val="-10"/>
                <w:sz w:val="20"/>
              </w:rPr>
              <w:t>5</w:t>
            </w:r>
          </w:p>
        </w:tc>
        <w:tc>
          <w:tcPr>
            <w:tcW w:w="4400" w:type="dxa"/>
          </w:tcPr>
          <w:p>
            <w:pPr>
              <w:pStyle w:val="TableParagraph"/>
              <w:spacing w:line="230" w:lineRule="atLeast"/>
              <w:ind w:left="115" w:right="109"/>
              <w:jc w:val="both"/>
              <w:rPr>
                <w:sz w:val="20"/>
              </w:rPr>
            </w:pPr>
            <w:r>
              <w:rPr>
                <w:sz w:val="20"/>
              </w:rPr>
              <w:t>Poor funding of ICT by government also influences the use of computer and related devices in teaching and learning</w:t>
            </w:r>
          </w:p>
        </w:tc>
        <w:tc>
          <w:tcPr>
            <w:tcW w:w="980" w:type="dxa"/>
          </w:tcPr>
          <w:p>
            <w:pPr>
              <w:pStyle w:val="TableParagraph"/>
              <w:spacing w:before="1"/>
              <w:rPr>
                <w:sz w:val="20"/>
              </w:rPr>
            </w:pPr>
            <w:r>
              <w:rPr>
                <w:spacing w:val="-4"/>
                <w:sz w:val="20"/>
              </w:rPr>
              <w:t>2.93</w:t>
            </w:r>
          </w:p>
        </w:tc>
        <w:tc>
          <w:tcPr>
            <w:tcW w:w="640" w:type="dxa"/>
          </w:tcPr>
          <w:p>
            <w:pPr>
              <w:pStyle w:val="TableParagraph"/>
              <w:spacing w:before="1"/>
              <w:rPr>
                <w:sz w:val="20"/>
              </w:rPr>
            </w:pPr>
            <w:r>
              <w:rPr>
                <w:spacing w:val="-4"/>
                <w:sz w:val="20"/>
              </w:rPr>
              <w:t>0.74</w:t>
            </w:r>
          </w:p>
        </w:tc>
        <w:tc>
          <w:tcPr>
            <w:tcW w:w="1100" w:type="dxa"/>
          </w:tcPr>
          <w:p>
            <w:pPr>
              <w:pStyle w:val="TableParagraph"/>
              <w:spacing w:before="1"/>
              <w:rPr>
                <w:sz w:val="20"/>
              </w:rPr>
            </w:pPr>
            <w:r>
              <w:rPr>
                <w:spacing w:val="-4"/>
                <w:sz w:val="20"/>
              </w:rPr>
              <w:t>2.96</w:t>
            </w:r>
          </w:p>
        </w:tc>
        <w:tc>
          <w:tcPr>
            <w:tcW w:w="700" w:type="dxa"/>
          </w:tcPr>
          <w:p>
            <w:pPr>
              <w:pStyle w:val="TableParagraph"/>
              <w:spacing w:before="1"/>
              <w:ind w:left="25"/>
              <w:rPr>
                <w:sz w:val="20"/>
              </w:rPr>
            </w:pPr>
            <w:r>
              <w:rPr>
                <w:spacing w:val="-4"/>
                <w:sz w:val="20"/>
              </w:rPr>
              <w:t>0.80</w:t>
            </w:r>
          </w:p>
        </w:tc>
        <w:tc>
          <w:tcPr>
            <w:tcW w:w="1140" w:type="dxa"/>
          </w:tcPr>
          <w:p>
            <w:pPr>
              <w:pStyle w:val="TableParagraph"/>
              <w:spacing w:before="1"/>
              <w:ind w:left="15"/>
              <w:rPr>
                <w:sz w:val="20"/>
              </w:rPr>
            </w:pPr>
            <w:r>
              <w:rPr>
                <w:spacing w:val="-4"/>
                <w:sz w:val="20"/>
              </w:rPr>
              <w:t>2.95</w:t>
            </w:r>
          </w:p>
        </w:tc>
      </w:tr>
      <w:tr>
        <w:trPr>
          <w:trHeight w:val="450" w:hRule="atLeast"/>
        </w:trPr>
        <w:tc>
          <w:tcPr>
            <w:tcW w:w="560" w:type="dxa"/>
          </w:tcPr>
          <w:p>
            <w:pPr>
              <w:pStyle w:val="TableParagraph"/>
              <w:spacing w:line="226" w:lineRule="exact"/>
              <w:ind w:left="120"/>
              <w:jc w:val="left"/>
              <w:rPr>
                <w:sz w:val="20"/>
              </w:rPr>
            </w:pPr>
            <w:r>
              <w:rPr>
                <w:spacing w:val="-10"/>
                <w:sz w:val="20"/>
              </w:rPr>
              <w:t>6</w:t>
            </w:r>
          </w:p>
        </w:tc>
        <w:tc>
          <w:tcPr>
            <w:tcW w:w="4400" w:type="dxa"/>
          </w:tcPr>
          <w:p>
            <w:pPr>
              <w:pStyle w:val="TableParagraph"/>
              <w:spacing w:line="226" w:lineRule="exact"/>
              <w:ind w:left="115"/>
              <w:jc w:val="left"/>
              <w:rPr>
                <w:sz w:val="20"/>
              </w:rPr>
            </w:pPr>
            <w:r>
              <w:rPr>
                <w:sz w:val="20"/>
              </w:rPr>
              <w:t>Inability</w:t>
            </w:r>
            <w:r>
              <w:rPr>
                <w:spacing w:val="-8"/>
                <w:sz w:val="20"/>
              </w:rPr>
              <w:t> </w:t>
            </w:r>
            <w:r>
              <w:rPr>
                <w:sz w:val="20"/>
              </w:rPr>
              <w:t>to</w:t>
            </w:r>
            <w:r>
              <w:rPr>
                <w:spacing w:val="-6"/>
                <w:sz w:val="20"/>
              </w:rPr>
              <w:t> </w:t>
            </w:r>
            <w:r>
              <w:rPr>
                <w:sz w:val="20"/>
              </w:rPr>
              <w:t>procure</w:t>
            </w:r>
            <w:r>
              <w:rPr>
                <w:spacing w:val="-6"/>
                <w:sz w:val="20"/>
              </w:rPr>
              <w:t> </w:t>
            </w:r>
            <w:r>
              <w:rPr>
                <w:sz w:val="20"/>
              </w:rPr>
              <w:t>ICT</w:t>
            </w:r>
            <w:r>
              <w:rPr>
                <w:spacing w:val="-5"/>
                <w:sz w:val="20"/>
              </w:rPr>
              <w:t> </w:t>
            </w:r>
            <w:r>
              <w:rPr>
                <w:sz w:val="20"/>
              </w:rPr>
              <w:t>facilities</w:t>
            </w:r>
            <w:r>
              <w:rPr>
                <w:spacing w:val="-6"/>
                <w:sz w:val="20"/>
              </w:rPr>
              <w:t> </w:t>
            </w:r>
            <w:r>
              <w:rPr>
                <w:sz w:val="20"/>
              </w:rPr>
              <w:t>because</w:t>
            </w:r>
            <w:r>
              <w:rPr>
                <w:spacing w:val="-6"/>
                <w:sz w:val="20"/>
              </w:rPr>
              <w:t> </w:t>
            </w:r>
            <w:r>
              <w:rPr>
                <w:sz w:val="20"/>
              </w:rPr>
              <w:t>of</w:t>
            </w:r>
            <w:r>
              <w:rPr>
                <w:spacing w:val="-5"/>
                <w:sz w:val="20"/>
              </w:rPr>
              <w:t> the</w:t>
            </w:r>
          </w:p>
          <w:p>
            <w:pPr>
              <w:pStyle w:val="TableParagraph"/>
              <w:spacing w:line="204" w:lineRule="exact"/>
              <w:ind w:left="115"/>
              <w:jc w:val="left"/>
              <w:rPr>
                <w:sz w:val="20"/>
              </w:rPr>
            </w:pPr>
            <w:r>
              <w:rPr>
                <w:sz w:val="20"/>
              </w:rPr>
              <w:t>high</w:t>
            </w:r>
            <w:r>
              <w:rPr>
                <w:spacing w:val="-6"/>
                <w:sz w:val="20"/>
              </w:rPr>
              <w:t> </w:t>
            </w:r>
            <w:r>
              <w:rPr>
                <w:sz w:val="20"/>
              </w:rPr>
              <w:t>cost</w:t>
            </w:r>
            <w:r>
              <w:rPr>
                <w:spacing w:val="-5"/>
                <w:sz w:val="20"/>
              </w:rPr>
              <w:t> </w:t>
            </w:r>
            <w:r>
              <w:rPr>
                <w:sz w:val="20"/>
              </w:rPr>
              <w:t>of</w:t>
            </w:r>
            <w:r>
              <w:rPr>
                <w:spacing w:val="-5"/>
                <w:sz w:val="20"/>
              </w:rPr>
              <w:t> </w:t>
            </w:r>
            <w:r>
              <w:rPr>
                <w:sz w:val="20"/>
              </w:rPr>
              <w:t>equipment</w:t>
            </w:r>
            <w:r>
              <w:rPr>
                <w:spacing w:val="-5"/>
                <w:sz w:val="20"/>
              </w:rPr>
              <w:t> </w:t>
            </w:r>
            <w:r>
              <w:rPr>
                <w:sz w:val="20"/>
              </w:rPr>
              <w:t>also</w:t>
            </w:r>
            <w:r>
              <w:rPr>
                <w:spacing w:val="-5"/>
                <w:sz w:val="20"/>
              </w:rPr>
              <w:t> </w:t>
            </w:r>
            <w:r>
              <w:rPr>
                <w:sz w:val="20"/>
              </w:rPr>
              <w:t>influences</w:t>
            </w:r>
            <w:r>
              <w:rPr>
                <w:spacing w:val="-5"/>
                <w:sz w:val="20"/>
              </w:rPr>
              <w:t> </w:t>
            </w:r>
            <w:r>
              <w:rPr>
                <w:sz w:val="20"/>
              </w:rPr>
              <w:t>ICT</w:t>
            </w:r>
            <w:r>
              <w:rPr>
                <w:spacing w:val="-5"/>
                <w:sz w:val="20"/>
              </w:rPr>
              <w:t> use</w:t>
            </w:r>
          </w:p>
        </w:tc>
        <w:tc>
          <w:tcPr>
            <w:tcW w:w="980" w:type="dxa"/>
          </w:tcPr>
          <w:p>
            <w:pPr>
              <w:pStyle w:val="TableParagraph"/>
              <w:spacing w:line="226" w:lineRule="exact"/>
              <w:rPr>
                <w:sz w:val="20"/>
              </w:rPr>
            </w:pPr>
            <w:r>
              <w:rPr>
                <w:spacing w:val="-4"/>
                <w:sz w:val="20"/>
              </w:rPr>
              <w:t>2.80</w:t>
            </w:r>
          </w:p>
        </w:tc>
        <w:tc>
          <w:tcPr>
            <w:tcW w:w="640" w:type="dxa"/>
          </w:tcPr>
          <w:p>
            <w:pPr>
              <w:pStyle w:val="TableParagraph"/>
              <w:spacing w:line="226" w:lineRule="exact"/>
              <w:rPr>
                <w:sz w:val="20"/>
              </w:rPr>
            </w:pPr>
            <w:r>
              <w:rPr>
                <w:spacing w:val="-4"/>
                <w:sz w:val="20"/>
              </w:rPr>
              <w:t>0.74</w:t>
            </w:r>
          </w:p>
        </w:tc>
        <w:tc>
          <w:tcPr>
            <w:tcW w:w="1100" w:type="dxa"/>
          </w:tcPr>
          <w:p>
            <w:pPr>
              <w:pStyle w:val="TableParagraph"/>
              <w:spacing w:line="226" w:lineRule="exact"/>
              <w:rPr>
                <w:sz w:val="20"/>
              </w:rPr>
            </w:pPr>
            <w:r>
              <w:rPr>
                <w:spacing w:val="-4"/>
                <w:sz w:val="20"/>
              </w:rPr>
              <w:t>2.83</w:t>
            </w:r>
          </w:p>
        </w:tc>
        <w:tc>
          <w:tcPr>
            <w:tcW w:w="700" w:type="dxa"/>
          </w:tcPr>
          <w:p>
            <w:pPr>
              <w:pStyle w:val="TableParagraph"/>
              <w:spacing w:line="226" w:lineRule="exact"/>
              <w:ind w:left="25"/>
              <w:rPr>
                <w:sz w:val="20"/>
              </w:rPr>
            </w:pPr>
            <w:r>
              <w:rPr>
                <w:spacing w:val="-4"/>
                <w:sz w:val="20"/>
              </w:rPr>
              <w:t>0.76</w:t>
            </w:r>
          </w:p>
        </w:tc>
        <w:tc>
          <w:tcPr>
            <w:tcW w:w="1140" w:type="dxa"/>
          </w:tcPr>
          <w:p>
            <w:pPr>
              <w:pStyle w:val="TableParagraph"/>
              <w:spacing w:line="226" w:lineRule="exact"/>
              <w:ind w:left="15"/>
              <w:rPr>
                <w:sz w:val="20"/>
              </w:rPr>
            </w:pPr>
            <w:r>
              <w:rPr>
                <w:spacing w:val="-4"/>
                <w:sz w:val="20"/>
              </w:rPr>
              <w:t>2.82</w:t>
            </w:r>
          </w:p>
        </w:tc>
      </w:tr>
      <w:tr>
        <w:trPr>
          <w:trHeight w:val="460" w:hRule="atLeast"/>
        </w:trPr>
        <w:tc>
          <w:tcPr>
            <w:tcW w:w="560" w:type="dxa"/>
          </w:tcPr>
          <w:p>
            <w:pPr>
              <w:pStyle w:val="TableParagraph"/>
              <w:spacing w:before="5"/>
              <w:ind w:left="120"/>
              <w:jc w:val="left"/>
              <w:rPr>
                <w:sz w:val="20"/>
              </w:rPr>
            </w:pPr>
            <w:r>
              <w:rPr>
                <w:spacing w:val="-10"/>
                <w:sz w:val="20"/>
              </w:rPr>
              <w:t>7</w:t>
            </w:r>
          </w:p>
        </w:tc>
        <w:tc>
          <w:tcPr>
            <w:tcW w:w="4400" w:type="dxa"/>
          </w:tcPr>
          <w:p>
            <w:pPr>
              <w:pStyle w:val="TableParagraph"/>
              <w:spacing w:line="230" w:lineRule="atLeast"/>
              <w:ind w:left="115"/>
              <w:jc w:val="left"/>
              <w:rPr>
                <w:sz w:val="20"/>
              </w:rPr>
            </w:pPr>
            <w:r>
              <w:rPr>
                <w:sz w:val="20"/>
              </w:rPr>
              <w:t>Inadequate</w:t>
            </w:r>
            <w:r>
              <w:rPr>
                <w:spacing w:val="40"/>
                <w:sz w:val="20"/>
              </w:rPr>
              <w:t> </w:t>
            </w:r>
            <w:r>
              <w:rPr>
                <w:sz w:val="20"/>
              </w:rPr>
              <w:t>telecommunication</w:t>
            </w:r>
            <w:r>
              <w:rPr>
                <w:spacing w:val="40"/>
                <w:sz w:val="20"/>
              </w:rPr>
              <w:t> </w:t>
            </w:r>
            <w:r>
              <w:rPr>
                <w:sz w:val="20"/>
              </w:rPr>
              <w:t>facilities</w:t>
            </w:r>
            <w:r>
              <w:rPr>
                <w:spacing w:val="40"/>
                <w:sz w:val="20"/>
              </w:rPr>
              <w:t> </w:t>
            </w:r>
            <w:r>
              <w:rPr>
                <w:sz w:val="20"/>
              </w:rPr>
              <w:t>also impedes the use of ICT</w:t>
            </w:r>
          </w:p>
        </w:tc>
        <w:tc>
          <w:tcPr>
            <w:tcW w:w="980" w:type="dxa"/>
          </w:tcPr>
          <w:p>
            <w:pPr>
              <w:pStyle w:val="TableParagraph"/>
              <w:spacing w:before="5"/>
              <w:rPr>
                <w:sz w:val="20"/>
              </w:rPr>
            </w:pPr>
            <w:r>
              <w:rPr>
                <w:spacing w:val="-4"/>
                <w:sz w:val="20"/>
              </w:rPr>
              <w:t>2.84</w:t>
            </w:r>
          </w:p>
        </w:tc>
        <w:tc>
          <w:tcPr>
            <w:tcW w:w="640" w:type="dxa"/>
          </w:tcPr>
          <w:p>
            <w:pPr>
              <w:pStyle w:val="TableParagraph"/>
              <w:spacing w:before="5"/>
              <w:rPr>
                <w:sz w:val="20"/>
              </w:rPr>
            </w:pPr>
            <w:r>
              <w:rPr>
                <w:spacing w:val="-4"/>
                <w:sz w:val="20"/>
              </w:rPr>
              <w:t>0.73</w:t>
            </w:r>
          </w:p>
        </w:tc>
        <w:tc>
          <w:tcPr>
            <w:tcW w:w="1100" w:type="dxa"/>
          </w:tcPr>
          <w:p>
            <w:pPr>
              <w:pStyle w:val="TableParagraph"/>
              <w:spacing w:before="5"/>
              <w:rPr>
                <w:sz w:val="20"/>
              </w:rPr>
            </w:pPr>
            <w:r>
              <w:rPr>
                <w:spacing w:val="-4"/>
                <w:sz w:val="20"/>
              </w:rPr>
              <w:t>2.90</w:t>
            </w:r>
          </w:p>
        </w:tc>
        <w:tc>
          <w:tcPr>
            <w:tcW w:w="700" w:type="dxa"/>
          </w:tcPr>
          <w:p>
            <w:pPr>
              <w:pStyle w:val="TableParagraph"/>
              <w:spacing w:before="5"/>
              <w:ind w:left="25"/>
              <w:rPr>
                <w:sz w:val="20"/>
              </w:rPr>
            </w:pPr>
            <w:r>
              <w:rPr>
                <w:spacing w:val="-4"/>
                <w:sz w:val="20"/>
              </w:rPr>
              <w:t>0.80</w:t>
            </w:r>
          </w:p>
        </w:tc>
        <w:tc>
          <w:tcPr>
            <w:tcW w:w="1140" w:type="dxa"/>
          </w:tcPr>
          <w:p>
            <w:pPr>
              <w:pStyle w:val="TableParagraph"/>
              <w:spacing w:before="5"/>
              <w:ind w:left="15"/>
              <w:rPr>
                <w:sz w:val="20"/>
              </w:rPr>
            </w:pPr>
            <w:r>
              <w:rPr>
                <w:spacing w:val="-4"/>
                <w:sz w:val="20"/>
              </w:rPr>
              <w:t>2.87</w:t>
            </w:r>
          </w:p>
        </w:tc>
      </w:tr>
      <w:tr>
        <w:trPr>
          <w:trHeight w:val="460" w:hRule="atLeast"/>
        </w:trPr>
        <w:tc>
          <w:tcPr>
            <w:tcW w:w="560" w:type="dxa"/>
          </w:tcPr>
          <w:p>
            <w:pPr>
              <w:pStyle w:val="TableParagraph"/>
              <w:spacing w:before="5"/>
              <w:ind w:left="120"/>
              <w:jc w:val="left"/>
              <w:rPr>
                <w:sz w:val="20"/>
              </w:rPr>
            </w:pPr>
            <w:r>
              <w:rPr>
                <w:spacing w:val="-10"/>
                <w:sz w:val="20"/>
              </w:rPr>
              <w:t>8</w:t>
            </w:r>
          </w:p>
        </w:tc>
        <w:tc>
          <w:tcPr>
            <w:tcW w:w="4400" w:type="dxa"/>
          </w:tcPr>
          <w:p>
            <w:pPr>
              <w:pStyle w:val="TableParagraph"/>
              <w:spacing w:line="230" w:lineRule="atLeast"/>
              <w:ind w:left="115"/>
              <w:jc w:val="left"/>
              <w:rPr>
                <w:sz w:val="20"/>
              </w:rPr>
            </w:pPr>
            <w:r>
              <w:rPr>
                <w:sz w:val="20"/>
              </w:rPr>
              <w:t>Poor</w:t>
            </w:r>
            <w:r>
              <w:rPr>
                <w:spacing w:val="40"/>
                <w:sz w:val="20"/>
              </w:rPr>
              <w:t> </w:t>
            </w:r>
            <w:r>
              <w:rPr>
                <w:sz w:val="20"/>
              </w:rPr>
              <w:t>maintenance</w:t>
            </w:r>
            <w:r>
              <w:rPr>
                <w:spacing w:val="40"/>
                <w:sz w:val="20"/>
              </w:rPr>
              <w:t> </w:t>
            </w:r>
            <w:r>
              <w:rPr>
                <w:sz w:val="20"/>
              </w:rPr>
              <w:t>culture</w:t>
            </w:r>
            <w:r>
              <w:rPr>
                <w:spacing w:val="40"/>
                <w:sz w:val="20"/>
              </w:rPr>
              <w:t> </w:t>
            </w:r>
            <w:r>
              <w:rPr>
                <w:sz w:val="20"/>
              </w:rPr>
              <w:t>is</w:t>
            </w:r>
            <w:r>
              <w:rPr>
                <w:spacing w:val="40"/>
                <w:sz w:val="20"/>
              </w:rPr>
              <w:t> </w:t>
            </w:r>
            <w:r>
              <w:rPr>
                <w:sz w:val="20"/>
              </w:rPr>
              <w:t>another</w:t>
            </w:r>
            <w:r>
              <w:rPr>
                <w:spacing w:val="40"/>
                <w:sz w:val="20"/>
              </w:rPr>
              <w:t> </w:t>
            </w:r>
            <w:r>
              <w:rPr>
                <w:sz w:val="20"/>
              </w:rPr>
              <w:t>factor negatively impacting the use of ICT in schools</w:t>
            </w:r>
          </w:p>
        </w:tc>
        <w:tc>
          <w:tcPr>
            <w:tcW w:w="980" w:type="dxa"/>
          </w:tcPr>
          <w:p>
            <w:pPr>
              <w:pStyle w:val="TableParagraph"/>
              <w:spacing w:before="5"/>
              <w:rPr>
                <w:sz w:val="20"/>
              </w:rPr>
            </w:pPr>
            <w:r>
              <w:rPr>
                <w:spacing w:val="-4"/>
                <w:sz w:val="20"/>
              </w:rPr>
              <w:t>2.72</w:t>
            </w:r>
          </w:p>
        </w:tc>
        <w:tc>
          <w:tcPr>
            <w:tcW w:w="640" w:type="dxa"/>
          </w:tcPr>
          <w:p>
            <w:pPr>
              <w:pStyle w:val="TableParagraph"/>
              <w:spacing w:before="5"/>
              <w:rPr>
                <w:sz w:val="20"/>
              </w:rPr>
            </w:pPr>
            <w:r>
              <w:rPr>
                <w:spacing w:val="-4"/>
                <w:sz w:val="20"/>
              </w:rPr>
              <w:t>0.68</w:t>
            </w:r>
          </w:p>
        </w:tc>
        <w:tc>
          <w:tcPr>
            <w:tcW w:w="1100" w:type="dxa"/>
          </w:tcPr>
          <w:p>
            <w:pPr>
              <w:pStyle w:val="TableParagraph"/>
              <w:spacing w:before="5"/>
              <w:rPr>
                <w:sz w:val="20"/>
              </w:rPr>
            </w:pPr>
            <w:r>
              <w:rPr>
                <w:spacing w:val="-4"/>
                <w:sz w:val="20"/>
              </w:rPr>
              <w:t>2.70</w:t>
            </w:r>
          </w:p>
        </w:tc>
        <w:tc>
          <w:tcPr>
            <w:tcW w:w="700" w:type="dxa"/>
          </w:tcPr>
          <w:p>
            <w:pPr>
              <w:pStyle w:val="TableParagraph"/>
              <w:spacing w:before="5"/>
              <w:ind w:left="25"/>
              <w:rPr>
                <w:sz w:val="20"/>
              </w:rPr>
            </w:pPr>
            <w:r>
              <w:rPr>
                <w:spacing w:val="-4"/>
                <w:sz w:val="20"/>
              </w:rPr>
              <w:t>0.72</w:t>
            </w:r>
          </w:p>
        </w:tc>
        <w:tc>
          <w:tcPr>
            <w:tcW w:w="1140" w:type="dxa"/>
          </w:tcPr>
          <w:p>
            <w:pPr>
              <w:pStyle w:val="TableParagraph"/>
              <w:spacing w:before="5"/>
              <w:ind w:left="15"/>
              <w:rPr>
                <w:sz w:val="20"/>
              </w:rPr>
            </w:pPr>
            <w:r>
              <w:rPr>
                <w:spacing w:val="-4"/>
                <w:sz w:val="20"/>
              </w:rPr>
              <w:t>2.71</w:t>
            </w:r>
          </w:p>
        </w:tc>
      </w:tr>
      <w:tr>
        <w:trPr>
          <w:trHeight w:val="460" w:hRule="atLeast"/>
        </w:trPr>
        <w:tc>
          <w:tcPr>
            <w:tcW w:w="560" w:type="dxa"/>
          </w:tcPr>
          <w:p>
            <w:pPr>
              <w:pStyle w:val="TableParagraph"/>
              <w:spacing w:before="4"/>
              <w:ind w:left="120"/>
              <w:jc w:val="left"/>
              <w:rPr>
                <w:sz w:val="20"/>
              </w:rPr>
            </w:pPr>
            <w:r>
              <w:rPr>
                <w:spacing w:val="-10"/>
                <w:sz w:val="20"/>
              </w:rPr>
              <w:t>9</w:t>
            </w:r>
          </w:p>
        </w:tc>
        <w:tc>
          <w:tcPr>
            <w:tcW w:w="4400" w:type="dxa"/>
          </w:tcPr>
          <w:p>
            <w:pPr>
              <w:pStyle w:val="TableParagraph"/>
              <w:spacing w:line="230" w:lineRule="atLeast"/>
              <w:ind w:left="115"/>
              <w:jc w:val="left"/>
              <w:rPr>
                <w:sz w:val="20"/>
              </w:rPr>
            </w:pPr>
            <w:r>
              <w:rPr>
                <w:sz w:val="20"/>
              </w:rPr>
              <w:t>Another factor that hampers the use of ICT in schools is poor internet connectivity</w:t>
            </w:r>
          </w:p>
        </w:tc>
        <w:tc>
          <w:tcPr>
            <w:tcW w:w="980" w:type="dxa"/>
          </w:tcPr>
          <w:p>
            <w:pPr>
              <w:pStyle w:val="TableParagraph"/>
              <w:spacing w:before="4"/>
              <w:rPr>
                <w:sz w:val="20"/>
              </w:rPr>
            </w:pPr>
            <w:r>
              <w:rPr>
                <w:spacing w:val="-4"/>
                <w:sz w:val="20"/>
              </w:rPr>
              <w:t>2.70</w:t>
            </w:r>
          </w:p>
        </w:tc>
        <w:tc>
          <w:tcPr>
            <w:tcW w:w="640" w:type="dxa"/>
          </w:tcPr>
          <w:p>
            <w:pPr>
              <w:pStyle w:val="TableParagraph"/>
              <w:spacing w:before="4"/>
              <w:rPr>
                <w:sz w:val="20"/>
              </w:rPr>
            </w:pPr>
            <w:r>
              <w:rPr>
                <w:spacing w:val="-4"/>
                <w:sz w:val="20"/>
              </w:rPr>
              <w:t>0.74</w:t>
            </w:r>
          </w:p>
        </w:tc>
        <w:tc>
          <w:tcPr>
            <w:tcW w:w="1100" w:type="dxa"/>
          </w:tcPr>
          <w:p>
            <w:pPr>
              <w:pStyle w:val="TableParagraph"/>
              <w:spacing w:before="4"/>
              <w:rPr>
                <w:sz w:val="20"/>
              </w:rPr>
            </w:pPr>
            <w:r>
              <w:rPr>
                <w:spacing w:val="-4"/>
                <w:sz w:val="20"/>
              </w:rPr>
              <w:t>2.75</w:t>
            </w:r>
          </w:p>
        </w:tc>
        <w:tc>
          <w:tcPr>
            <w:tcW w:w="700" w:type="dxa"/>
          </w:tcPr>
          <w:p>
            <w:pPr>
              <w:pStyle w:val="TableParagraph"/>
              <w:spacing w:before="4"/>
              <w:ind w:left="25"/>
              <w:rPr>
                <w:sz w:val="20"/>
              </w:rPr>
            </w:pPr>
            <w:r>
              <w:rPr>
                <w:spacing w:val="-4"/>
                <w:sz w:val="20"/>
              </w:rPr>
              <w:t>0.76</w:t>
            </w:r>
          </w:p>
        </w:tc>
        <w:tc>
          <w:tcPr>
            <w:tcW w:w="1140" w:type="dxa"/>
          </w:tcPr>
          <w:p>
            <w:pPr>
              <w:pStyle w:val="TableParagraph"/>
              <w:spacing w:before="4"/>
              <w:ind w:left="15"/>
              <w:rPr>
                <w:sz w:val="20"/>
              </w:rPr>
            </w:pPr>
            <w:r>
              <w:rPr>
                <w:spacing w:val="-4"/>
                <w:sz w:val="20"/>
              </w:rPr>
              <w:t>2.73</w:t>
            </w:r>
          </w:p>
        </w:tc>
      </w:tr>
      <w:tr>
        <w:trPr>
          <w:trHeight w:val="260" w:hRule="atLeast"/>
        </w:trPr>
        <w:tc>
          <w:tcPr>
            <w:tcW w:w="560" w:type="dxa"/>
          </w:tcPr>
          <w:p>
            <w:pPr>
              <w:pStyle w:val="TableParagraph"/>
              <w:ind w:left="0"/>
              <w:jc w:val="left"/>
              <w:rPr>
                <w:rFonts w:ascii="Times New Roman"/>
                <w:sz w:val="18"/>
              </w:rPr>
            </w:pPr>
          </w:p>
        </w:tc>
        <w:tc>
          <w:tcPr>
            <w:tcW w:w="4400" w:type="dxa"/>
          </w:tcPr>
          <w:p>
            <w:pPr>
              <w:pStyle w:val="TableParagraph"/>
              <w:spacing w:before="7"/>
              <w:ind w:left="0"/>
              <w:jc w:val="left"/>
              <w:rPr>
                <w:sz w:val="2"/>
              </w:rPr>
            </w:pPr>
          </w:p>
          <w:p>
            <w:pPr>
              <w:pStyle w:val="TableParagraph"/>
              <w:spacing w:line="20" w:lineRule="exact"/>
              <w:ind w:left="1110"/>
              <w:jc w:val="left"/>
              <w:rPr>
                <w:sz w:val="2"/>
              </w:rPr>
            </w:pPr>
            <w:r>
              <w:rPr>
                <w:sz w:val="2"/>
              </w:rPr>
              <mc:AlternateContent>
                <mc:Choice Requires="wps">
                  <w:drawing>
                    <wp:inline distT="0" distB="0" distL="0" distR="0">
                      <wp:extent cx="88900" cy="12700"/>
                      <wp:effectExtent l="9525" t="0" r="6350" b="6350"/>
                      <wp:docPr id="23" name="Group 23"/>
                      <wp:cNvGraphicFramePr>
                        <a:graphicFrameLocks/>
                      </wp:cNvGraphicFramePr>
                      <a:graphic>
                        <a:graphicData uri="http://schemas.microsoft.com/office/word/2010/wordprocessingGroup">
                          <wpg:wgp>
                            <wpg:cNvPr id="23" name="Group 23"/>
                            <wpg:cNvGrpSpPr/>
                            <wpg:grpSpPr>
                              <a:xfrm>
                                <a:off x="0" y="0"/>
                                <a:ext cx="88900" cy="12700"/>
                                <a:chExt cx="88900" cy="12700"/>
                              </a:xfrm>
                            </wpg:grpSpPr>
                            <wps:wsp>
                              <wps:cNvPr id="24" name="Graphic 24"/>
                              <wps:cNvSpPr/>
                              <wps:spPr>
                                <a:xfrm>
                                  <a:off x="0" y="6350"/>
                                  <a:ext cx="88900" cy="1270"/>
                                </a:xfrm>
                                <a:custGeom>
                                  <a:avLst/>
                                  <a:gdLst/>
                                  <a:ahLst/>
                                  <a:cxnLst/>
                                  <a:rect l="l" t="t" r="r" b="b"/>
                                  <a:pathLst>
                                    <a:path w="88900" h="0">
                                      <a:moveTo>
                                        <a:pt x="0" y="0"/>
                                      </a:moveTo>
                                      <a:lnTo>
                                        <a:pt x="889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pt;height:1pt;mso-position-horizontal-relative:char;mso-position-vertical-relative:line" id="docshapegroup13" coordorigin="0,0" coordsize="140,20">
                      <v:line style="position:absolute" from="0,10" to="140,10" stroked="true" strokeweight="1.0pt" strokecolor="#000000">
                        <v:stroke dashstyle="solid"/>
                      </v:line>
                    </v:group>
                  </w:pict>
                </mc:Fallback>
              </mc:AlternateContent>
            </w:r>
            <w:r>
              <w:rPr>
                <w:sz w:val="2"/>
              </w:rPr>
            </w:r>
          </w:p>
          <w:p>
            <w:pPr>
              <w:pStyle w:val="TableParagraph"/>
              <w:spacing w:line="190" w:lineRule="exact"/>
              <w:ind w:left="115"/>
              <w:jc w:val="left"/>
              <w:rPr>
                <w:rFonts w:ascii="Cambria Math" w:eastAsia="Cambria Math"/>
                <w:sz w:val="20"/>
              </w:rPr>
            </w:pPr>
            <w:r>
              <w:rPr>
                <w:sz w:val="20"/>
              </w:rPr>
              <w:t>Calculated</w:t>
            </w:r>
            <w:r>
              <w:rPr>
                <w:spacing w:val="-10"/>
                <w:sz w:val="20"/>
              </w:rPr>
              <w:t> </w:t>
            </w:r>
            <w:r>
              <w:rPr>
                <w:rFonts w:ascii="Cambria Math" w:eastAsia="Cambria Math"/>
                <w:spacing w:val="-10"/>
                <w:sz w:val="20"/>
              </w:rPr>
              <w:t>𝑋</w:t>
            </w:r>
          </w:p>
        </w:tc>
        <w:tc>
          <w:tcPr>
            <w:tcW w:w="980" w:type="dxa"/>
          </w:tcPr>
          <w:p>
            <w:pPr>
              <w:pStyle w:val="TableParagraph"/>
              <w:spacing w:line="229" w:lineRule="exact"/>
              <w:rPr>
                <w:rFonts w:ascii="Arial"/>
                <w:b/>
                <w:sz w:val="20"/>
              </w:rPr>
            </w:pPr>
            <w:r>
              <w:rPr>
                <w:rFonts w:ascii="Arial"/>
                <w:b/>
                <w:spacing w:val="-4"/>
                <w:sz w:val="20"/>
              </w:rPr>
              <w:t>2.77</w:t>
            </w:r>
          </w:p>
        </w:tc>
        <w:tc>
          <w:tcPr>
            <w:tcW w:w="640" w:type="dxa"/>
          </w:tcPr>
          <w:p>
            <w:pPr>
              <w:pStyle w:val="TableParagraph"/>
              <w:spacing w:line="229" w:lineRule="exact"/>
              <w:rPr>
                <w:rFonts w:ascii="Arial"/>
                <w:b/>
                <w:sz w:val="20"/>
              </w:rPr>
            </w:pPr>
            <w:r>
              <w:rPr>
                <w:rFonts w:ascii="Arial"/>
                <w:b/>
                <w:spacing w:val="-4"/>
                <w:sz w:val="20"/>
              </w:rPr>
              <w:t>0.86</w:t>
            </w:r>
          </w:p>
        </w:tc>
        <w:tc>
          <w:tcPr>
            <w:tcW w:w="1100" w:type="dxa"/>
          </w:tcPr>
          <w:p>
            <w:pPr>
              <w:pStyle w:val="TableParagraph"/>
              <w:spacing w:line="229" w:lineRule="exact"/>
              <w:rPr>
                <w:rFonts w:ascii="Arial"/>
                <w:b/>
                <w:sz w:val="20"/>
              </w:rPr>
            </w:pPr>
            <w:r>
              <w:rPr>
                <w:rFonts w:ascii="Arial"/>
                <w:b/>
                <w:spacing w:val="-4"/>
                <w:sz w:val="20"/>
              </w:rPr>
              <w:t>2.78</w:t>
            </w:r>
          </w:p>
        </w:tc>
        <w:tc>
          <w:tcPr>
            <w:tcW w:w="700" w:type="dxa"/>
          </w:tcPr>
          <w:p>
            <w:pPr>
              <w:pStyle w:val="TableParagraph"/>
              <w:spacing w:line="229" w:lineRule="exact"/>
              <w:ind w:left="25"/>
              <w:rPr>
                <w:rFonts w:ascii="Arial"/>
                <w:b/>
                <w:sz w:val="20"/>
              </w:rPr>
            </w:pPr>
            <w:r>
              <w:rPr>
                <w:rFonts w:ascii="Arial"/>
                <w:b/>
                <w:spacing w:val="-4"/>
                <w:sz w:val="20"/>
              </w:rPr>
              <w:t>0.96</w:t>
            </w:r>
          </w:p>
        </w:tc>
        <w:tc>
          <w:tcPr>
            <w:tcW w:w="1140" w:type="dxa"/>
          </w:tcPr>
          <w:p>
            <w:pPr>
              <w:pStyle w:val="TableParagraph"/>
              <w:spacing w:line="229" w:lineRule="exact"/>
              <w:ind w:left="15"/>
              <w:rPr>
                <w:rFonts w:ascii="Arial"/>
                <w:b/>
                <w:sz w:val="20"/>
              </w:rPr>
            </w:pPr>
            <w:r>
              <w:rPr>
                <w:rFonts w:ascii="Arial"/>
                <w:b/>
                <w:spacing w:val="-4"/>
                <w:sz w:val="20"/>
              </w:rPr>
              <w:t>2.78</w:t>
            </w:r>
          </w:p>
        </w:tc>
      </w:tr>
    </w:tbl>
    <w:p>
      <w:pPr>
        <w:pStyle w:val="BodyText"/>
      </w:pPr>
    </w:p>
    <w:p>
      <w:pPr>
        <w:pStyle w:val="BodyText"/>
        <w:spacing w:before="144"/>
      </w:pPr>
    </w:p>
    <w:p>
      <w:pPr>
        <w:pStyle w:val="BodyText"/>
        <w:spacing w:line="360" w:lineRule="auto"/>
        <w:ind w:left="360" w:right="718"/>
        <w:jc w:val="both"/>
      </w:pPr>
      <w:r>
        <w:rPr/>
        <w:t>Table 3 shows the mean scores and standard deviations of students and lecturers on the factors influencing the utilization of ICT. The responses show that poor funding by the government (M = 2.95), inadequate telecommunication facilities (M = 2.87), and high cost of ICT equipment (M = 2.82) were among the top factors influencing ICT use. Other influencing factors include limited</w:t>
      </w:r>
      <w:r>
        <w:rPr>
          <w:spacing w:val="-3"/>
        </w:rPr>
        <w:t> </w:t>
      </w:r>
      <w:r>
        <w:rPr/>
        <w:t>access</w:t>
      </w:r>
      <w:r>
        <w:rPr>
          <w:spacing w:val="-3"/>
        </w:rPr>
        <w:t> </w:t>
      </w:r>
      <w:r>
        <w:rPr/>
        <w:t>to</w:t>
      </w:r>
      <w:r>
        <w:rPr>
          <w:spacing w:val="-3"/>
        </w:rPr>
        <w:t> </w:t>
      </w:r>
      <w:r>
        <w:rPr/>
        <w:t>computers (M</w:t>
      </w:r>
      <w:r>
        <w:rPr>
          <w:spacing w:val="27"/>
        </w:rPr>
        <w:t> </w:t>
      </w:r>
      <w:r>
        <w:rPr/>
        <w:t>=</w:t>
      </w:r>
      <w:r>
        <w:rPr>
          <w:spacing w:val="27"/>
        </w:rPr>
        <w:t> </w:t>
      </w:r>
      <w:r>
        <w:rPr/>
        <w:t>2.77),</w:t>
      </w:r>
      <w:r>
        <w:rPr>
          <w:spacing w:val="27"/>
        </w:rPr>
        <w:t> </w:t>
      </w:r>
      <w:r>
        <w:rPr/>
        <w:t>resistance</w:t>
      </w:r>
      <w:r>
        <w:rPr>
          <w:spacing w:val="27"/>
        </w:rPr>
        <w:t> </w:t>
      </w:r>
      <w:r>
        <w:rPr/>
        <w:t>to</w:t>
      </w:r>
      <w:r>
        <w:rPr>
          <w:spacing w:val="27"/>
        </w:rPr>
        <w:t> </w:t>
      </w:r>
      <w:r>
        <w:rPr/>
        <w:t>change</w:t>
      </w:r>
      <w:r>
        <w:rPr>
          <w:spacing w:val="27"/>
        </w:rPr>
        <w:t> </w:t>
      </w:r>
      <w:r>
        <w:rPr/>
        <w:t>(M</w:t>
      </w:r>
      <w:r>
        <w:rPr>
          <w:spacing w:val="27"/>
        </w:rPr>
        <w:t> </w:t>
      </w:r>
      <w:r>
        <w:rPr/>
        <w:t>=</w:t>
      </w:r>
      <w:r>
        <w:rPr>
          <w:spacing w:val="27"/>
        </w:rPr>
        <w:t> </w:t>
      </w:r>
      <w:r>
        <w:rPr/>
        <w:t>2.71),</w:t>
      </w:r>
      <w:r>
        <w:rPr>
          <w:spacing w:val="27"/>
        </w:rPr>
        <w:t> </w:t>
      </w:r>
      <w:r>
        <w:rPr/>
        <w:t>poor</w:t>
      </w:r>
      <w:r>
        <w:rPr>
          <w:spacing w:val="27"/>
        </w:rPr>
        <w:t> </w:t>
      </w:r>
      <w:r>
        <w:rPr/>
        <w:t>internet</w:t>
      </w:r>
      <w:r>
        <w:rPr>
          <w:spacing w:val="27"/>
        </w:rPr>
        <w:t> </w:t>
      </w:r>
      <w:r>
        <w:rPr/>
        <w:t>connectivity</w:t>
      </w:r>
      <w:r>
        <w:rPr>
          <w:spacing w:val="12"/>
        </w:rPr>
        <w:t> </w:t>
      </w:r>
      <w:r>
        <w:rPr/>
        <w:t>(M</w:t>
      </w:r>
      <w:r>
        <w:rPr>
          <w:spacing w:val="12"/>
        </w:rPr>
        <w:t> </w:t>
      </w:r>
      <w:r>
        <w:rPr/>
        <w:t>=</w:t>
      </w:r>
      <w:r>
        <w:rPr>
          <w:spacing w:val="12"/>
        </w:rPr>
        <w:t> </w:t>
      </w:r>
      <w:r>
        <w:rPr/>
        <w:t>2.73),</w:t>
      </w:r>
      <w:r>
        <w:rPr>
          <w:spacing w:val="12"/>
        </w:rPr>
        <w:t> </w:t>
      </w:r>
      <w:r>
        <w:rPr/>
        <w:t>and</w:t>
      </w:r>
      <w:r>
        <w:rPr>
          <w:spacing w:val="12"/>
        </w:rPr>
        <w:t> </w:t>
      </w:r>
      <w:r>
        <w:rPr/>
        <w:t>poor</w:t>
      </w:r>
      <w:r>
        <w:rPr>
          <w:spacing w:val="12"/>
        </w:rPr>
        <w:t> </w:t>
      </w:r>
      <w:r>
        <w:rPr/>
        <w:t>electricity</w:t>
      </w:r>
    </w:p>
    <w:p>
      <w:pPr>
        <w:pStyle w:val="BodyText"/>
        <w:spacing w:after="0" w:line="360" w:lineRule="auto"/>
        <w:jc w:val="both"/>
        <w:sectPr>
          <w:pgSz w:w="12240" w:h="15840"/>
          <w:pgMar w:top="1360" w:bottom="280" w:left="1080" w:right="720"/>
        </w:sectPr>
      </w:pPr>
    </w:p>
    <w:p>
      <w:pPr>
        <w:pStyle w:val="BodyText"/>
        <w:spacing w:line="360" w:lineRule="auto" w:before="80"/>
        <w:ind w:left="360" w:right="721"/>
        <w:jc w:val="both"/>
      </w:pPr>
      <w:r>
        <w:rPr/>
        <w:t>supply (M = 2.55). The overall mean score</w:t>
      </w:r>
      <w:r>
        <w:rPr>
          <w:spacing w:val="-3"/>
        </w:rPr>
        <w:t> </w:t>
      </w:r>
      <w:r>
        <w:rPr/>
        <w:t>of</w:t>
      </w:r>
      <w:r>
        <w:rPr>
          <w:spacing w:val="-3"/>
        </w:rPr>
        <w:t> </w:t>
      </w:r>
      <w:r>
        <w:rPr/>
        <w:t>2.78</w:t>
      </w:r>
      <w:r>
        <w:rPr>
          <w:spacing w:val="-3"/>
        </w:rPr>
        <w:t> </w:t>
      </w:r>
      <w:r>
        <w:rPr/>
        <w:t>indicates</w:t>
      </w:r>
      <w:r>
        <w:rPr>
          <w:spacing w:val="-3"/>
        </w:rPr>
        <w:t> </w:t>
      </w:r>
      <w:r>
        <w:rPr/>
        <w:t>that</w:t>
      </w:r>
      <w:r>
        <w:rPr>
          <w:spacing w:val="-3"/>
        </w:rPr>
        <w:t> </w:t>
      </w:r>
      <w:r>
        <w:rPr/>
        <w:t>the</w:t>
      </w:r>
      <w:r>
        <w:rPr>
          <w:spacing w:val="-3"/>
        </w:rPr>
        <w:t> </w:t>
      </w:r>
      <w:r>
        <w:rPr/>
        <w:t>respondents</w:t>
      </w:r>
      <w:r>
        <w:rPr>
          <w:spacing w:val="-3"/>
        </w:rPr>
        <w:t> </w:t>
      </w:r>
      <w:r>
        <w:rPr/>
        <w:t>moderately</w:t>
      </w:r>
      <w:r>
        <w:rPr>
          <w:spacing w:val="-3"/>
        </w:rPr>
        <w:t> </w:t>
      </w:r>
      <w:r>
        <w:rPr/>
        <w:t>agreed</w:t>
      </w:r>
      <w:r>
        <w:rPr>
          <w:spacing w:val="-3"/>
        </w:rPr>
        <w:t> </w:t>
      </w:r>
      <w:r>
        <w:rPr/>
        <w:t>that these factors affect the use of ICT in teaching and learning.</w:t>
      </w:r>
    </w:p>
    <w:p>
      <w:pPr>
        <w:pStyle w:val="BodyText"/>
      </w:pPr>
    </w:p>
    <w:p>
      <w:pPr>
        <w:pStyle w:val="BodyText"/>
        <w:spacing w:before="125"/>
      </w:pPr>
    </w:p>
    <w:p>
      <w:pPr>
        <w:spacing w:before="0"/>
        <w:ind w:left="360" w:right="0" w:firstLine="0"/>
        <w:jc w:val="left"/>
        <w:rPr>
          <w:rFonts w:ascii="Arial"/>
          <w:b/>
          <w:sz w:val="20"/>
        </w:rPr>
      </w:pPr>
      <w:r>
        <w:rPr>
          <w:sz w:val="20"/>
        </w:rPr>
        <w:t>4.2</w:t>
      </w:r>
      <w:r>
        <w:rPr>
          <w:spacing w:val="24"/>
          <w:sz w:val="20"/>
        </w:rPr>
        <w:t> </w:t>
      </w:r>
      <w:r>
        <w:rPr>
          <w:rFonts w:ascii="Arial"/>
          <w:b/>
          <w:spacing w:val="-2"/>
          <w:sz w:val="20"/>
        </w:rPr>
        <w:t>Hypotheses</w:t>
      </w:r>
    </w:p>
    <w:p>
      <w:pPr>
        <w:pStyle w:val="BodyText"/>
        <w:spacing w:line="348" w:lineRule="auto" w:before="222"/>
        <w:ind w:left="360" w:right="722"/>
        <w:jc w:val="both"/>
      </w:pPr>
      <w:r>
        <w:rPr/>
        <w:drawing>
          <wp:anchor distT="0" distB="0" distL="0" distR="0" allowOverlap="1" layoutInCell="1" locked="0" behindDoc="1" simplePos="0" relativeHeight="486933504">
            <wp:simplePos x="0" y="0"/>
            <wp:positionH relativeFrom="page">
              <wp:posOffset>919162</wp:posOffset>
            </wp:positionH>
            <wp:positionV relativeFrom="paragraph">
              <wp:posOffset>192161</wp:posOffset>
            </wp:positionV>
            <wp:extent cx="5934075" cy="5934075"/>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w:hAnsi="Arial"/>
          <w:b/>
        </w:rPr>
        <w:t>Ho</w:t>
      </w:r>
      <w:r>
        <w:rPr>
          <w:rFonts w:ascii="MS PGothic" w:hAnsi="MS PGothic"/>
        </w:rPr>
        <w:t>₁</w:t>
      </w:r>
      <w:r>
        <w:rPr/>
        <w:t>: There is no significant difference in the mean ratings of male and female students on the extent to which information and communication technology (ICT) is utilized by Post Basic Nursing students of University of Port Harcourt Teaching Hospital.</w:t>
      </w:r>
    </w:p>
    <w:p>
      <w:pPr>
        <w:pStyle w:val="BodyText"/>
      </w:pPr>
    </w:p>
    <w:p>
      <w:pPr>
        <w:pStyle w:val="BodyText"/>
        <w:spacing w:before="13"/>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6"/>
        <w:gridCol w:w="1130"/>
        <w:gridCol w:w="867"/>
        <w:gridCol w:w="808"/>
        <w:gridCol w:w="853"/>
        <w:gridCol w:w="1056"/>
        <w:gridCol w:w="2254"/>
        <w:gridCol w:w="1836"/>
      </w:tblGrid>
      <w:tr>
        <w:trPr>
          <w:trHeight w:val="983" w:hRule="atLeast"/>
        </w:trPr>
        <w:tc>
          <w:tcPr>
            <w:tcW w:w="10100" w:type="dxa"/>
            <w:gridSpan w:val="8"/>
            <w:tcBorders>
              <w:bottom w:val="single" w:sz="6" w:space="0" w:color="000000"/>
            </w:tcBorders>
          </w:tcPr>
          <w:p>
            <w:pPr>
              <w:pStyle w:val="TableParagraph"/>
              <w:spacing w:line="360" w:lineRule="auto"/>
              <w:ind w:left="50"/>
              <w:jc w:val="left"/>
              <w:rPr>
                <w:rFonts w:ascii="Arial"/>
                <w:b/>
                <w:sz w:val="20"/>
              </w:rPr>
            </w:pPr>
            <w:r>
              <w:rPr>
                <w:rFonts w:ascii="Arial"/>
                <w:b/>
                <w:sz w:val="20"/>
              </w:rPr>
              <w:t>Table</w:t>
            </w:r>
            <w:r>
              <w:rPr>
                <w:rFonts w:ascii="Arial"/>
                <w:b/>
                <w:spacing w:val="27"/>
                <w:sz w:val="20"/>
              </w:rPr>
              <w:t> </w:t>
            </w:r>
            <w:r>
              <w:rPr>
                <w:rFonts w:ascii="Arial"/>
                <w:b/>
                <w:sz w:val="20"/>
              </w:rPr>
              <w:t>4:</w:t>
            </w:r>
            <w:r>
              <w:rPr>
                <w:rFonts w:ascii="Arial"/>
                <w:b/>
                <w:spacing w:val="27"/>
                <w:sz w:val="20"/>
              </w:rPr>
              <w:t> </w:t>
            </w:r>
            <w:r>
              <w:rPr>
                <w:rFonts w:ascii="Arial"/>
                <w:b/>
                <w:sz w:val="20"/>
              </w:rPr>
              <w:t>z-test</w:t>
            </w:r>
            <w:r>
              <w:rPr>
                <w:rFonts w:ascii="Arial"/>
                <w:b/>
                <w:spacing w:val="27"/>
                <w:sz w:val="20"/>
              </w:rPr>
              <w:t> </w:t>
            </w:r>
            <w:r>
              <w:rPr>
                <w:rFonts w:ascii="Arial"/>
                <w:b/>
                <w:sz w:val="20"/>
              </w:rPr>
              <w:t>of</w:t>
            </w:r>
            <w:r>
              <w:rPr>
                <w:rFonts w:ascii="Arial"/>
                <w:b/>
                <w:spacing w:val="27"/>
                <w:sz w:val="20"/>
              </w:rPr>
              <w:t> </w:t>
            </w:r>
            <w:r>
              <w:rPr>
                <w:rFonts w:ascii="Arial"/>
                <w:b/>
                <w:sz w:val="20"/>
              </w:rPr>
              <w:t>the</w:t>
            </w:r>
            <w:r>
              <w:rPr>
                <w:rFonts w:ascii="Arial"/>
                <w:b/>
                <w:spacing w:val="27"/>
                <w:sz w:val="20"/>
              </w:rPr>
              <w:t> </w:t>
            </w:r>
            <w:r>
              <w:rPr>
                <w:rFonts w:ascii="Arial"/>
                <w:b/>
                <w:sz w:val="20"/>
              </w:rPr>
              <w:t>Difference</w:t>
            </w:r>
            <w:r>
              <w:rPr>
                <w:rFonts w:ascii="Arial"/>
                <w:b/>
                <w:spacing w:val="27"/>
                <w:sz w:val="20"/>
              </w:rPr>
              <w:t> </w:t>
            </w:r>
            <w:r>
              <w:rPr>
                <w:rFonts w:ascii="Arial"/>
                <w:b/>
                <w:sz w:val="20"/>
              </w:rPr>
              <w:t>in</w:t>
            </w:r>
            <w:r>
              <w:rPr>
                <w:rFonts w:ascii="Arial"/>
                <w:b/>
                <w:spacing w:val="27"/>
                <w:sz w:val="20"/>
              </w:rPr>
              <w:t> </w:t>
            </w:r>
            <w:r>
              <w:rPr>
                <w:rFonts w:ascii="Arial"/>
                <w:b/>
                <w:sz w:val="20"/>
              </w:rPr>
              <w:t>the</w:t>
            </w:r>
            <w:r>
              <w:rPr>
                <w:rFonts w:ascii="Arial"/>
                <w:b/>
                <w:spacing w:val="27"/>
                <w:sz w:val="20"/>
              </w:rPr>
              <w:t> </w:t>
            </w:r>
            <w:r>
              <w:rPr>
                <w:rFonts w:ascii="Arial"/>
                <w:b/>
                <w:sz w:val="20"/>
              </w:rPr>
              <w:t>Mean</w:t>
            </w:r>
            <w:r>
              <w:rPr>
                <w:rFonts w:ascii="Arial"/>
                <w:b/>
                <w:spacing w:val="27"/>
                <w:sz w:val="20"/>
              </w:rPr>
              <w:t> </w:t>
            </w:r>
            <w:r>
              <w:rPr>
                <w:rFonts w:ascii="Arial"/>
                <w:b/>
                <w:sz w:val="20"/>
              </w:rPr>
              <w:t>Ratings</w:t>
            </w:r>
            <w:r>
              <w:rPr>
                <w:rFonts w:ascii="Arial"/>
                <w:b/>
                <w:spacing w:val="27"/>
                <w:sz w:val="20"/>
              </w:rPr>
              <w:t> </w:t>
            </w:r>
            <w:r>
              <w:rPr>
                <w:rFonts w:ascii="Arial"/>
                <w:b/>
                <w:sz w:val="20"/>
              </w:rPr>
              <w:t>of</w:t>
            </w:r>
            <w:r>
              <w:rPr>
                <w:rFonts w:ascii="Arial"/>
                <w:b/>
                <w:spacing w:val="27"/>
                <w:sz w:val="20"/>
              </w:rPr>
              <w:t> </w:t>
            </w:r>
            <w:r>
              <w:rPr>
                <w:rFonts w:ascii="Arial"/>
                <w:b/>
                <w:sz w:val="20"/>
              </w:rPr>
              <w:t>Male</w:t>
            </w:r>
            <w:r>
              <w:rPr>
                <w:rFonts w:ascii="Arial"/>
                <w:b/>
                <w:spacing w:val="27"/>
                <w:sz w:val="20"/>
              </w:rPr>
              <w:t> </w:t>
            </w:r>
            <w:r>
              <w:rPr>
                <w:rFonts w:ascii="Arial"/>
                <w:b/>
                <w:sz w:val="20"/>
              </w:rPr>
              <w:t>and</w:t>
            </w:r>
            <w:r>
              <w:rPr>
                <w:rFonts w:ascii="Arial"/>
                <w:b/>
                <w:spacing w:val="27"/>
                <w:sz w:val="20"/>
              </w:rPr>
              <w:t> </w:t>
            </w:r>
            <w:r>
              <w:rPr>
                <w:rFonts w:ascii="Arial"/>
                <w:b/>
                <w:sz w:val="20"/>
              </w:rPr>
              <w:t>Female</w:t>
            </w:r>
            <w:r>
              <w:rPr>
                <w:rFonts w:ascii="Arial"/>
                <w:b/>
                <w:spacing w:val="27"/>
                <w:sz w:val="20"/>
              </w:rPr>
              <w:t> </w:t>
            </w:r>
            <w:r>
              <w:rPr>
                <w:rFonts w:ascii="Arial"/>
                <w:b/>
                <w:sz w:val="20"/>
              </w:rPr>
              <w:t>Students on the Extent to which</w:t>
            </w:r>
            <w:r>
              <w:rPr>
                <w:rFonts w:ascii="Arial"/>
                <w:b/>
                <w:spacing w:val="51"/>
                <w:sz w:val="20"/>
              </w:rPr>
              <w:t> </w:t>
            </w:r>
            <w:r>
              <w:rPr>
                <w:rFonts w:ascii="Arial"/>
                <w:b/>
                <w:sz w:val="20"/>
              </w:rPr>
              <w:t>Information</w:t>
            </w:r>
            <w:r>
              <w:rPr>
                <w:rFonts w:ascii="Arial"/>
                <w:b/>
                <w:spacing w:val="52"/>
                <w:sz w:val="20"/>
              </w:rPr>
              <w:t> </w:t>
            </w:r>
            <w:r>
              <w:rPr>
                <w:rFonts w:ascii="Arial"/>
                <w:b/>
                <w:sz w:val="20"/>
              </w:rPr>
              <w:t>and</w:t>
            </w:r>
            <w:r>
              <w:rPr>
                <w:rFonts w:ascii="Arial"/>
                <w:b/>
                <w:spacing w:val="51"/>
                <w:sz w:val="20"/>
              </w:rPr>
              <w:t> </w:t>
            </w:r>
            <w:r>
              <w:rPr>
                <w:rFonts w:ascii="Arial"/>
                <w:b/>
                <w:sz w:val="20"/>
              </w:rPr>
              <w:t>Communication</w:t>
            </w:r>
            <w:r>
              <w:rPr>
                <w:rFonts w:ascii="Arial"/>
                <w:b/>
                <w:spacing w:val="38"/>
                <w:sz w:val="20"/>
              </w:rPr>
              <w:t> </w:t>
            </w:r>
            <w:r>
              <w:rPr>
                <w:rFonts w:ascii="Arial"/>
                <w:b/>
                <w:sz w:val="20"/>
              </w:rPr>
              <w:t>Technology</w:t>
            </w:r>
            <w:r>
              <w:rPr>
                <w:rFonts w:ascii="Arial"/>
                <w:b/>
                <w:spacing w:val="37"/>
                <w:sz w:val="20"/>
              </w:rPr>
              <w:t> </w:t>
            </w:r>
            <w:r>
              <w:rPr>
                <w:rFonts w:ascii="Arial"/>
                <w:b/>
                <w:sz w:val="20"/>
              </w:rPr>
              <w:t>is</w:t>
            </w:r>
            <w:r>
              <w:rPr>
                <w:rFonts w:ascii="Arial"/>
                <w:b/>
                <w:spacing w:val="38"/>
                <w:sz w:val="20"/>
              </w:rPr>
              <w:t> </w:t>
            </w:r>
            <w:r>
              <w:rPr>
                <w:rFonts w:ascii="Arial"/>
                <w:b/>
                <w:sz w:val="20"/>
              </w:rPr>
              <w:t>Utilized</w:t>
            </w:r>
            <w:r>
              <w:rPr>
                <w:rFonts w:ascii="Arial"/>
                <w:b/>
                <w:spacing w:val="38"/>
                <w:sz w:val="20"/>
              </w:rPr>
              <w:t> </w:t>
            </w:r>
            <w:r>
              <w:rPr>
                <w:rFonts w:ascii="Arial"/>
                <w:b/>
                <w:sz w:val="20"/>
              </w:rPr>
              <w:t>by</w:t>
            </w:r>
            <w:r>
              <w:rPr>
                <w:rFonts w:ascii="Arial"/>
                <w:b/>
                <w:spacing w:val="37"/>
                <w:sz w:val="20"/>
              </w:rPr>
              <w:t> </w:t>
            </w:r>
            <w:r>
              <w:rPr>
                <w:rFonts w:ascii="Arial"/>
                <w:b/>
                <w:sz w:val="20"/>
              </w:rPr>
              <w:t>Post</w:t>
            </w:r>
            <w:r>
              <w:rPr>
                <w:rFonts w:ascii="Arial"/>
                <w:b/>
                <w:spacing w:val="38"/>
                <w:sz w:val="20"/>
              </w:rPr>
              <w:t> </w:t>
            </w:r>
            <w:r>
              <w:rPr>
                <w:rFonts w:ascii="Arial"/>
                <w:b/>
                <w:sz w:val="20"/>
              </w:rPr>
              <w:t>Basic</w:t>
            </w:r>
            <w:r>
              <w:rPr>
                <w:rFonts w:ascii="Arial"/>
                <w:b/>
                <w:spacing w:val="37"/>
                <w:sz w:val="20"/>
              </w:rPr>
              <w:t> </w:t>
            </w:r>
            <w:r>
              <w:rPr>
                <w:rFonts w:ascii="Arial"/>
                <w:b/>
                <w:sz w:val="20"/>
              </w:rPr>
              <w:t>Nursing</w:t>
            </w:r>
            <w:r>
              <w:rPr>
                <w:rFonts w:ascii="Arial"/>
                <w:b/>
                <w:spacing w:val="38"/>
                <w:sz w:val="20"/>
              </w:rPr>
              <w:t> </w:t>
            </w:r>
            <w:r>
              <w:rPr>
                <w:rFonts w:ascii="Arial"/>
                <w:b/>
                <w:sz w:val="20"/>
              </w:rPr>
              <w:t>Students</w:t>
            </w:r>
            <w:r>
              <w:rPr>
                <w:rFonts w:ascii="Arial"/>
                <w:b/>
                <w:spacing w:val="38"/>
                <w:sz w:val="20"/>
              </w:rPr>
              <w:t> </w:t>
            </w:r>
            <w:r>
              <w:rPr>
                <w:rFonts w:ascii="Arial"/>
                <w:b/>
                <w:spacing w:val="-5"/>
                <w:sz w:val="20"/>
              </w:rPr>
              <w:t>in</w:t>
            </w:r>
          </w:p>
          <w:p>
            <w:pPr>
              <w:pStyle w:val="TableParagraph"/>
              <w:ind w:left="50"/>
              <w:jc w:val="left"/>
              <w:rPr>
                <w:rFonts w:ascii="Arial"/>
                <w:b/>
                <w:sz w:val="20"/>
              </w:rPr>
            </w:pPr>
            <w:r>
              <w:rPr>
                <w:rFonts w:ascii="Arial"/>
                <w:b/>
                <w:spacing w:val="-4"/>
                <w:sz w:val="20"/>
              </w:rPr>
              <w:t>UPTH</w:t>
            </w:r>
          </w:p>
        </w:tc>
      </w:tr>
      <w:tr>
        <w:trPr>
          <w:trHeight w:val="375" w:hRule="atLeast"/>
        </w:trPr>
        <w:tc>
          <w:tcPr>
            <w:tcW w:w="1296" w:type="dxa"/>
            <w:tcBorders>
              <w:top w:val="single" w:sz="6" w:space="0" w:color="000000"/>
            </w:tcBorders>
          </w:tcPr>
          <w:p>
            <w:pPr>
              <w:pStyle w:val="TableParagraph"/>
              <w:spacing w:before="30"/>
              <w:ind w:left="50"/>
              <w:jc w:val="left"/>
              <w:rPr>
                <w:rFonts w:ascii="Arial"/>
                <w:b/>
                <w:sz w:val="20"/>
              </w:rPr>
            </w:pPr>
            <w:r>
              <w:rPr>
                <w:rFonts w:ascii="Arial"/>
                <w:b/>
                <w:spacing w:val="-2"/>
                <w:sz w:val="20"/>
              </w:rPr>
              <w:t>Subject</w:t>
            </w:r>
          </w:p>
        </w:tc>
        <w:tc>
          <w:tcPr>
            <w:tcW w:w="1130" w:type="dxa"/>
            <w:tcBorders>
              <w:top w:val="single" w:sz="6" w:space="0" w:color="000000"/>
            </w:tcBorders>
          </w:tcPr>
          <w:p>
            <w:pPr>
              <w:pStyle w:val="TableParagraph"/>
              <w:spacing w:before="30"/>
              <w:ind w:left="736"/>
              <w:jc w:val="left"/>
              <w:rPr>
                <w:rFonts w:ascii="Arial"/>
                <w:b/>
                <w:sz w:val="20"/>
              </w:rPr>
            </w:pPr>
            <w:r>
              <w:rPr>
                <w:rFonts w:ascii="Arial"/>
                <w:b/>
                <w:spacing w:val="-10"/>
                <w:sz w:val="20"/>
              </w:rPr>
              <w:t>N</w:t>
            </w:r>
          </w:p>
        </w:tc>
        <w:tc>
          <w:tcPr>
            <w:tcW w:w="867" w:type="dxa"/>
            <w:tcBorders>
              <w:top w:val="single" w:sz="6" w:space="0" w:color="000000"/>
            </w:tcBorders>
          </w:tcPr>
          <w:p>
            <w:pPr>
              <w:pStyle w:val="TableParagraph"/>
              <w:spacing w:before="2"/>
              <w:ind w:left="0"/>
              <w:jc w:val="left"/>
              <w:rPr>
                <w:sz w:val="5"/>
              </w:rPr>
            </w:pPr>
          </w:p>
          <w:p>
            <w:pPr>
              <w:pStyle w:val="TableParagraph"/>
              <w:ind w:left="391"/>
              <w:jc w:val="left"/>
              <w:rPr>
                <w:sz w:val="20"/>
              </w:rPr>
            </w:pPr>
            <w:r>
              <w:rPr>
                <w:sz w:val="20"/>
              </w:rPr>
              <w:drawing>
                <wp:inline distT="0" distB="0" distL="0" distR="0">
                  <wp:extent cx="190500" cy="19050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6" cstate="print"/>
                          <a:stretch>
                            <a:fillRect/>
                          </a:stretch>
                        </pic:blipFill>
                        <pic:spPr>
                          <a:xfrm>
                            <a:off x="0" y="0"/>
                            <a:ext cx="190500" cy="190500"/>
                          </a:xfrm>
                          <a:prstGeom prst="rect">
                            <a:avLst/>
                          </a:prstGeom>
                        </pic:spPr>
                      </pic:pic>
                    </a:graphicData>
                  </a:graphic>
                </wp:inline>
              </w:drawing>
            </w:r>
            <w:r>
              <w:rPr>
                <w:sz w:val="20"/>
              </w:rPr>
            </w:r>
          </w:p>
        </w:tc>
        <w:tc>
          <w:tcPr>
            <w:tcW w:w="808" w:type="dxa"/>
            <w:tcBorders>
              <w:top w:val="single" w:sz="6" w:space="0" w:color="000000"/>
            </w:tcBorders>
          </w:tcPr>
          <w:p>
            <w:pPr>
              <w:pStyle w:val="TableParagraph"/>
              <w:spacing w:before="30"/>
              <w:ind w:left="0" w:right="190"/>
              <w:jc w:val="right"/>
              <w:rPr>
                <w:rFonts w:ascii="Arial"/>
                <w:b/>
                <w:sz w:val="20"/>
              </w:rPr>
            </w:pPr>
            <w:r>
              <w:rPr>
                <w:rFonts w:ascii="Arial"/>
                <w:b/>
                <w:spacing w:val="-5"/>
                <w:sz w:val="20"/>
              </w:rPr>
              <w:t>SD</w:t>
            </w:r>
          </w:p>
        </w:tc>
        <w:tc>
          <w:tcPr>
            <w:tcW w:w="853" w:type="dxa"/>
            <w:tcBorders>
              <w:top w:val="single" w:sz="6" w:space="0" w:color="000000"/>
            </w:tcBorders>
          </w:tcPr>
          <w:p>
            <w:pPr>
              <w:pStyle w:val="TableParagraph"/>
              <w:spacing w:before="30"/>
              <w:ind w:left="193"/>
              <w:jc w:val="left"/>
              <w:rPr>
                <w:rFonts w:ascii="Arial"/>
                <w:b/>
                <w:sz w:val="20"/>
              </w:rPr>
            </w:pPr>
            <w:r>
              <w:rPr>
                <w:rFonts w:ascii="Arial"/>
                <w:b/>
                <w:spacing w:val="-5"/>
                <w:sz w:val="20"/>
              </w:rPr>
              <w:t>Df</w:t>
            </w:r>
          </w:p>
        </w:tc>
        <w:tc>
          <w:tcPr>
            <w:tcW w:w="1056" w:type="dxa"/>
            <w:tcBorders>
              <w:top w:val="single" w:sz="6" w:space="0" w:color="000000"/>
            </w:tcBorders>
          </w:tcPr>
          <w:p>
            <w:pPr>
              <w:pStyle w:val="TableParagraph"/>
              <w:spacing w:before="30"/>
              <w:ind w:left="438"/>
              <w:jc w:val="left"/>
              <w:rPr>
                <w:rFonts w:ascii="Arial"/>
                <w:b/>
                <w:sz w:val="20"/>
              </w:rPr>
            </w:pPr>
            <w:r>
              <w:rPr>
                <w:rFonts w:ascii="Arial"/>
                <w:b/>
                <w:spacing w:val="-2"/>
                <w:sz w:val="20"/>
              </w:rPr>
              <w:t>z-</w:t>
            </w:r>
            <w:r>
              <w:rPr>
                <w:rFonts w:ascii="Arial"/>
                <w:b/>
                <w:spacing w:val="-5"/>
                <w:sz w:val="20"/>
              </w:rPr>
              <w:t>cal</w:t>
            </w:r>
          </w:p>
        </w:tc>
        <w:tc>
          <w:tcPr>
            <w:tcW w:w="2254" w:type="dxa"/>
            <w:tcBorders>
              <w:top w:val="single" w:sz="6" w:space="0" w:color="000000"/>
            </w:tcBorders>
          </w:tcPr>
          <w:p>
            <w:pPr>
              <w:pStyle w:val="TableParagraph"/>
              <w:tabs>
                <w:tab w:pos="960" w:val="left" w:leader="none"/>
              </w:tabs>
              <w:spacing w:before="30"/>
              <w:ind w:left="175"/>
              <w:jc w:val="left"/>
              <w:rPr>
                <w:rFonts w:ascii="Arial"/>
                <w:b/>
                <w:sz w:val="20"/>
              </w:rPr>
            </w:pPr>
            <w:r>
              <w:rPr>
                <w:rFonts w:ascii="Arial"/>
                <w:b/>
                <w:spacing w:val="-2"/>
                <w:sz w:val="20"/>
              </w:rPr>
              <w:t>z-</w:t>
            </w:r>
            <w:r>
              <w:rPr>
                <w:rFonts w:ascii="Arial"/>
                <w:b/>
                <w:spacing w:val="-4"/>
                <w:sz w:val="20"/>
              </w:rPr>
              <w:t>crit</w:t>
            </w:r>
            <w:r>
              <w:rPr>
                <w:rFonts w:ascii="Arial"/>
                <w:b/>
                <w:sz w:val="20"/>
              </w:rPr>
              <w:tab/>
              <w:t>level</w:t>
            </w:r>
            <w:r>
              <w:rPr>
                <w:rFonts w:ascii="Arial"/>
                <w:b/>
                <w:spacing w:val="-4"/>
                <w:sz w:val="20"/>
              </w:rPr>
              <w:t> </w:t>
            </w:r>
            <w:r>
              <w:rPr>
                <w:rFonts w:ascii="Arial"/>
                <w:b/>
                <w:sz w:val="20"/>
              </w:rPr>
              <w:t>of</w:t>
            </w:r>
            <w:r>
              <w:rPr>
                <w:rFonts w:ascii="Arial"/>
                <w:b/>
                <w:spacing w:val="-3"/>
                <w:sz w:val="20"/>
              </w:rPr>
              <w:t> </w:t>
            </w:r>
            <w:r>
              <w:rPr>
                <w:rFonts w:ascii="Arial"/>
                <w:b/>
                <w:spacing w:val="-5"/>
                <w:sz w:val="20"/>
              </w:rPr>
              <w:t>sig</w:t>
            </w:r>
          </w:p>
        </w:tc>
        <w:tc>
          <w:tcPr>
            <w:tcW w:w="1836" w:type="dxa"/>
            <w:tcBorders>
              <w:top w:val="single" w:sz="6" w:space="0" w:color="000000"/>
            </w:tcBorders>
          </w:tcPr>
          <w:p>
            <w:pPr>
              <w:pStyle w:val="TableParagraph"/>
              <w:spacing w:before="30"/>
              <w:ind w:left="261"/>
              <w:jc w:val="left"/>
              <w:rPr>
                <w:rFonts w:ascii="Arial"/>
                <w:b/>
                <w:sz w:val="20"/>
              </w:rPr>
            </w:pPr>
            <w:r>
              <w:rPr>
                <w:rFonts w:ascii="Arial"/>
                <w:b/>
                <w:spacing w:val="-2"/>
                <w:sz w:val="20"/>
              </w:rPr>
              <w:t>Remark</w:t>
            </w:r>
          </w:p>
        </w:tc>
      </w:tr>
      <w:tr>
        <w:trPr>
          <w:trHeight w:val="257" w:hRule="atLeast"/>
        </w:trPr>
        <w:tc>
          <w:tcPr>
            <w:tcW w:w="1296" w:type="dxa"/>
          </w:tcPr>
          <w:p>
            <w:pPr>
              <w:pStyle w:val="TableParagraph"/>
              <w:spacing w:line="213" w:lineRule="exact" w:before="24"/>
              <w:ind w:left="50"/>
              <w:jc w:val="left"/>
              <w:rPr>
                <w:sz w:val="20"/>
              </w:rPr>
            </w:pPr>
            <w:r>
              <w:rPr>
                <w:sz w:val="20"/>
              </w:rPr>
              <mc:AlternateContent>
                <mc:Choice Requires="wps">
                  <w:drawing>
                    <wp:anchor distT="0" distB="0" distL="0" distR="0" allowOverlap="1" layoutInCell="1" locked="0" behindDoc="1" simplePos="0" relativeHeight="486934016">
                      <wp:simplePos x="0" y="0"/>
                      <wp:positionH relativeFrom="column">
                        <wp:posOffset>117475</wp:posOffset>
                      </wp:positionH>
                      <wp:positionV relativeFrom="paragraph">
                        <wp:posOffset>-57791</wp:posOffset>
                      </wp:positionV>
                      <wp:extent cx="6267450" cy="952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267450" cy="9525"/>
                                <a:chExt cx="6267450" cy="9525"/>
                              </a:xfrm>
                            </wpg:grpSpPr>
                            <wps:wsp>
                              <wps:cNvPr id="28" name="Graphic 28"/>
                              <wps:cNvSpPr/>
                              <wps:spPr>
                                <a:xfrm>
                                  <a:off x="0" y="4762"/>
                                  <a:ext cx="6267450" cy="1270"/>
                                </a:xfrm>
                                <a:custGeom>
                                  <a:avLst/>
                                  <a:gdLst/>
                                  <a:ahLst/>
                                  <a:cxnLst/>
                                  <a:rect l="l" t="t" r="r" b="b"/>
                                  <a:pathLst>
                                    <a:path w="6267450" h="0">
                                      <a:moveTo>
                                        <a:pt x="0" y="0"/>
                                      </a:moveTo>
                                      <a:lnTo>
                                        <a:pt x="62674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25pt;margin-top:-4.550485pt;width:493.5pt;height:.75pt;mso-position-horizontal-relative:column;mso-position-vertical-relative:paragraph;z-index:-16382464" id="docshapegroup14" coordorigin="185,-91" coordsize="9870,15">
                      <v:line style="position:absolute" from="185,-84" to="10055,-84" stroked="true" strokeweight=".75pt" strokecolor="#000000">
                        <v:stroke dashstyle="solid"/>
                      </v:line>
                      <w10:wrap type="none"/>
                    </v:group>
                  </w:pict>
                </mc:Fallback>
              </mc:AlternateContent>
            </w:r>
            <w:r>
              <w:rPr>
                <w:spacing w:val="-2"/>
                <w:sz w:val="20"/>
              </w:rPr>
              <w:t>Males</w:t>
            </w:r>
          </w:p>
        </w:tc>
        <w:tc>
          <w:tcPr>
            <w:tcW w:w="1130" w:type="dxa"/>
          </w:tcPr>
          <w:p>
            <w:pPr>
              <w:pStyle w:val="TableParagraph"/>
              <w:spacing w:line="213" w:lineRule="exact" w:before="24"/>
              <w:ind w:left="478"/>
              <w:jc w:val="left"/>
              <w:rPr>
                <w:sz w:val="20"/>
              </w:rPr>
            </w:pPr>
            <w:r>
              <w:rPr>
                <w:spacing w:val="-10"/>
                <w:sz w:val="20"/>
              </w:rPr>
              <w:t>9</w:t>
            </w:r>
          </w:p>
        </w:tc>
        <w:tc>
          <w:tcPr>
            <w:tcW w:w="867" w:type="dxa"/>
          </w:tcPr>
          <w:p>
            <w:pPr>
              <w:pStyle w:val="TableParagraph"/>
              <w:spacing w:line="213" w:lineRule="exact" w:before="24"/>
              <w:ind w:left="20"/>
              <w:rPr>
                <w:sz w:val="20"/>
              </w:rPr>
            </w:pPr>
            <w:r>
              <w:rPr>
                <w:spacing w:val="-4"/>
                <w:sz w:val="20"/>
              </w:rPr>
              <w:t>2.50</w:t>
            </w:r>
          </w:p>
        </w:tc>
        <w:tc>
          <w:tcPr>
            <w:tcW w:w="808" w:type="dxa"/>
          </w:tcPr>
          <w:p>
            <w:pPr>
              <w:pStyle w:val="TableParagraph"/>
              <w:spacing w:line="213" w:lineRule="exact" w:before="24"/>
              <w:ind w:left="0" w:right="224"/>
              <w:jc w:val="right"/>
              <w:rPr>
                <w:sz w:val="20"/>
              </w:rPr>
            </w:pPr>
            <w:r>
              <w:rPr>
                <w:spacing w:val="-4"/>
                <w:sz w:val="20"/>
              </w:rPr>
              <w:t>0.91</w:t>
            </w:r>
          </w:p>
        </w:tc>
        <w:tc>
          <w:tcPr>
            <w:tcW w:w="853" w:type="dxa"/>
          </w:tcPr>
          <w:p>
            <w:pPr>
              <w:pStyle w:val="TableParagraph"/>
              <w:spacing w:line="213" w:lineRule="exact" w:before="24"/>
              <w:ind w:left="193"/>
              <w:jc w:val="left"/>
              <w:rPr>
                <w:sz w:val="20"/>
              </w:rPr>
            </w:pPr>
            <w:r>
              <w:rPr>
                <w:spacing w:val="-5"/>
                <w:sz w:val="20"/>
              </w:rPr>
              <w:t>84</w:t>
            </w:r>
          </w:p>
        </w:tc>
        <w:tc>
          <w:tcPr>
            <w:tcW w:w="1056" w:type="dxa"/>
          </w:tcPr>
          <w:p>
            <w:pPr>
              <w:pStyle w:val="TableParagraph"/>
              <w:ind w:left="0"/>
              <w:jc w:val="left"/>
              <w:rPr>
                <w:rFonts w:ascii="Times New Roman"/>
                <w:sz w:val="18"/>
              </w:rPr>
            </w:pPr>
          </w:p>
        </w:tc>
        <w:tc>
          <w:tcPr>
            <w:tcW w:w="2254" w:type="dxa"/>
          </w:tcPr>
          <w:p>
            <w:pPr>
              <w:pStyle w:val="TableParagraph"/>
              <w:ind w:left="0"/>
              <w:jc w:val="left"/>
              <w:rPr>
                <w:rFonts w:ascii="Times New Roman"/>
                <w:sz w:val="18"/>
              </w:rPr>
            </w:pPr>
          </w:p>
        </w:tc>
        <w:tc>
          <w:tcPr>
            <w:tcW w:w="1836" w:type="dxa"/>
          </w:tcPr>
          <w:p>
            <w:pPr>
              <w:pStyle w:val="TableParagraph"/>
              <w:spacing w:line="213" w:lineRule="exact" w:before="24"/>
              <w:ind w:left="261"/>
              <w:jc w:val="left"/>
              <w:rPr>
                <w:sz w:val="20"/>
              </w:rPr>
            </w:pPr>
            <w:r>
              <w:rPr>
                <w:spacing w:val="-2"/>
                <w:sz w:val="20"/>
              </w:rPr>
              <w:t>Insignificant</w:t>
            </w:r>
          </w:p>
        </w:tc>
      </w:tr>
      <w:tr>
        <w:trPr>
          <w:trHeight w:val="229" w:hRule="atLeast"/>
        </w:trPr>
        <w:tc>
          <w:tcPr>
            <w:tcW w:w="1296" w:type="dxa"/>
          </w:tcPr>
          <w:p>
            <w:pPr>
              <w:pStyle w:val="TableParagraph"/>
              <w:ind w:left="0"/>
              <w:jc w:val="left"/>
              <w:rPr>
                <w:rFonts w:ascii="Times New Roman"/>
                <w:sz w:val="16"/>
              </w:rPr>
            </w:pPr>
          </w:p>
        </w:tc>
        <w:tc>
          <w:tcPr>
            <w:tcW w:w="1130" w:type="dxa"/>
          </w:tcPr>
          <w:p>
            <w:pPr>
              <w:pStyle w:val="TableParagraph"/>
              <w:ind w:left="0"/>
              <w:jc w:val="left"/>
              <w:rPr>
                <w:rFonts w:ascii="Times New Roman"/>
                <w:sz w:val="16"/>
              </w:rPr>
            </w:pPr>
          </w:p>
        </w:tc>
        <w:tc>
          <w:tcPr>
            <w:tcW w:w="867" w:type="dxa"/>
          </w:tcPr>
          <w:p>
            <w:pPr>
              <w:pStyle w:val="TableParagraph"/>
              <w:ind w:left="0"/>
              <w:jc w:val="left"/>
              <w:rPr>
                <w:rFonts w:ascii="Times New Roman"/>
                <w:sz w:val="16"/>
              </w:rPr>
            </w:pPr>
          </w:p>
        </w:tc>
        <w:tc>
          <w:tcPr>
            <w:tcW w:w="808" w:type="dxa"/>
          </w:tcPr>
          <w:p>
            <w:pPr>
              <w:pStyle w:val="TableParagraph"/>
              <w:ind w:left="0"/>
              <w:jc w:val="left"/>
              <w:rPr>
                <w:rFonts w:ascii="Times New Roman"/>
                <w:sz w:val="16"/>
              </w:rPr>
            </w:pPr>
          </w:p>
        </w:tc>
        <w:tc>
          <w:tcPr>
            <w:tcW w:w="853" w:type="dxa"/>
          </w:tcPr>
          <w:p>
            <w:pPr>
              <w:pStyle w:val="TableParagraph"/>
              <w:ind w:left="0"/>
              <w:jc w:val="left"/>
              <w:rPr>
                <w:rFonts w:ascii="Times New Roman"/>
                <w:sz w:val="16"/>
              </w:rPr>
            </w:pPr>
          </w:p>
        </w:tc>
        <w:tc>
          <w:tcPr>
            <w:tcW w:w="1056" w:type="dxa"/>
          </w:tcPr>
          <w:p>
            <w:pPr>
              <w:pStyle w:val="TableParagraph"/>
              <w:spacing w:line="210" w:lineRule="exact"/>
              <w:ind w:left="331"/>
              <w:jc w:val="left"/>
              <w:rPr>
                <w:sz w:val="20"/>
              </w:rPr>
            </w:pPr>
            <w:r>
              <w:rPr>
                <w:spacing w:val="-4"/>
                <w:sz w:val="20"/>
              </w:rPr>
              <w:t>0.20</w:t>
            </w:r>
          </w:p>
        </w:tc>
        <w:tc>
          <w:tcPr>
            <w:tcW w:w="2254" w:type="dxa"/>
          </w:tcPr>
          <w:p>
            <w:pPr>
              <w:pStyle w:val="TableParagraph"/>
              <w:spacing w:line="210" w:lineRule="exact"/>
              <w:ind w:left="175"/>
              <w:jc w:val="left"/>
              <w:rPr>
                <w:sz w:val="20"/>
              </w:rPr>
            </w:pPr>
            <w:r>
              <w:rPr>
                <w:sz w:val="20"/>
              </w:rPr>
              <w:t>±1.96</w:t>
            </w:r>
            <w:r>
              <w:rPr>
                <w:spacing w:val="78"/>
                <w:w w:val="150"/>
                <w:sz w:val="20"/>
              </w:rPr>
              <w:t> </w:t>
            </w:r>
            <w:r>
              <w:rPr>
                <w:spacing w:val="-4"/>
                <w:sz w:val="20"/>
              </w:rPr>
              <w:t>0.05</w:t>
            </w:r>
          </w:p>
        </w:tc>
        <w:tc>
          <w:tcPr>
            <w:tcW w:w="1836" w:type="dxa"/>
          </w:tcPr>
          <w:p>
            <w:pPr>
              <w:pStyle w:val="TableParagraph"/>
              <w:ind w:left="0"/>
              <w:jc w:val="left"/>
              <w:rPr>
                <w:rFonts w:ascii="Times New Roman"/>
                <w:sz w:val="16"/>
              </w:rPr>
            </w:pPr>
          </w:p>
        </w:tc>
      </w:tr>
      <w:tr>
        <w:trPr>
          <w:trHeight w:val="281" w:hRule="atLeast"/>
        </w:trPr>
        <w:tc>
          <w:tcPr>
            <w:tcW w:w="1296" w:type="dxa"/>
            <w:tcBorders>
              <w:bottom w:val="single" w:sz="6" w:space="0" w:color="000000"/>
            </w:tcBorders>
          </w:tcPr>
          <w:p>
            <w:pPr>
              <w:pStyle w:val="TableParagraph"/>
              <w:spacing w:line="227" w:lineRule="exact"/>
              <w:ind w:left="50"/>
              <w:jc w:val="left"/>
              <w:rPr>
                <w:sz w:val="20"/>
              </w:rPr>
            </w:pPr>
            <w:r>
              <w:rPr>
                <w:spacing w:val="-2"/>
                <w:sz w:val="20"/>
              </w:rPr>
              <w:t>Females</w:t>
            </w:r>
          </w:p>
        </w:tc>
        <w:tc>
          <w:tcPr>
            <w:tcW w:w="1130" w:type="dxa"/>
            <w:tcBorders>
              <w:bottom w:val="single" w:sz="6" w:space="0" w:color="000000"/>
            </w:tcBorders>
          </w:tcPr>
          <w:p>
            <w:pPr>
              <w:pStyle w:val="TableParagraph"/>
              <w:spacing w:line="227" w:lineRule="exact"/>
              <w:ind w:left="478"/>
              <w:jc w:val="left"/>
              <w:rPr>
                <w:sz w:val="20"/>
              </w:rPr>
            </w:pPr>
            <w:r>
              <w:rPr>
                <w:spacing w:val="-5"/>
                <w:sz w:val="20"/>
              </w:rPr>
              <w:t>77</w:t>
            </w:r>
          </w:p>
        </w:tc>
        <w:tc>
          <w:tcPr>
            <w:tcW w:w="867" w:type="dxa"/>
            <w:tcBorders>
              <w:bottom w:val="single" w:sz="6" w:space="0" w:color="000000"/>
            </w:tcBorders>
          </w:tcPr>
          <w:p>
            <w:pPr>
              <w:pStyle w:val="TableParagraph"/>
              <w:spacing w:line="227" w:lineRule="exact"/>
              <w:ind w:left="20"/>
              <w:rPr>
                <w:sz w:val="20"/>
              </w:rPr>
            </w:pPr>
            <w:r>
              <w:rPr>
                <w:spacing w:val="-4"/>
                <w:sz w:val="20"/>
              </w:rPr>
              <w:t>2.51</w:t>
            </w:r>
          </w:p>
        </w:tc>
        <w:tc>
          <w:tcPr>
            <w:tcW w:w="808" w:type="dxa"/>
            <w:tcBorders>
              <w:bottom w:val="single" w:sz="6" w:space="0" w:color="000000"/>
            </w:tcBorders>
          </w:tcPr>
          <w:p>
            <w:pPr>
              <w:pStyle w:val="TableParagraph"/>
              <w:spacing w:line="227" w:lineRule="exact"/>
              <w:ind w:left="0" w:right="224"/>
              <w:jc w:val="right"/>
              <w:rPr>
                <w:sz w:val="20"/>
              </w:rPr>
            </w:pPr>
            <w:r>
              <w:rPr>
                <w:spacing w:val="-4"/>
                <w:sz w:val="20"/>
              </w:rPr>
              <w:t>0.73</w:t>
            </w:r>
          </w:p>
        </w:tc>
        <w:tc>
          <w:tcPr>
            <w:tcW w:w="853" w:type="dxa"/>
            <w:tcBorders>
              <w:bottom w:val="single" w:sz="6" w:space="0" w:color="000000"/>
            </w:tcBorders>
          </w:tcPr>
          <w:p>
            <w:pPr>
              <w:pStyle w:val="TableParagraph"/>
              <w:ind w:left="0"/>
              <w:jc w:val="left"/>
              <w:rPr>
                <w:rFonts w:ascii="Times New Roman"/>
                <w:sz w:val="20"/>
              </w:rPr>
            </w:pPr>
          </w:p>
        </w:tc>
        <w:tc>
          <w:tcPr>
            <w:tcW w:w="1056" w:type="dxa"/>
            <w:tcBorders>
              <w:bottom w:val="single" w:sz="6" w:space="0" w:color="000000"/>
            </w:tcBorders>
          </w:tcPr>
          <w:p>
            <w:pPr>
              <w:pStyle w:val="TableParagraph"/>
              <w:ind w:left="0"/>
              <w:jc w:val="left"/>
              <w:rPr>
                <w:rFonts w:ascii="Times New Roman"/>
                <w:sz w:val="20"/>
              </w:rPr>
            </w:pPr>
          </w:p>
        </w:tc>
        <w:tc>
          <w:tcPr>
            <w:tcW w:w="2254" w:type="dxa"/>
            <w:tcBorders>
              <w:bottom w:val="single" w:sz="6" w:space="0" w:color="000000"/>
            </w:tcBorders>
          </w:tcPr>
          <w:p>
            <w:pPr>
              <w:pStyle w:val="TableParagraph"/>
              <w:ind w:left="0"/>
              <w:jc w:val="left"/>
              <w:rPr>
                <w:rFonts w:ascii="Times New Roman"/>
                <w:sz w:val="20"/>
              </w:rPr>
            </w:pPr>
          </w:p>
        </w:tc>
        <w:tc>
          <w:tcPr>
            <w:tcW w:w="1836" w:type="dxa"/>
            <w:tcBorders>
              <w:bottom w:val="single" w:sz="6" w:space="0" w:color="000000"/>
            </w:tcBorders>
          </w:tcPr>
          <w:p>
            <w:pPr>
              <w:pStyle w:val="TableParagraph"/>
              <w:ind w:left="0"/>
              <w:jc w:val="left"/>
              <w:rPr>
                <w:rFonts w:ascii="Times New Roman"/>
                <w:sz w:val="20"/>
              </w:rPr>
            </w:pPr>
          </w:p>
        </w:tc>
      </w:tr>
    </w:tbl>
    <w:p>
      <w:pPr>
        <w:pStyle w:val="BodyText"/>
      </w:pPr>
    </w:p>
    <w:p>
      <w:pPr>
        <w:pStyle w:val="BodyText"/>
      </w:pPr>
    </w:p>
    <w:p>
      <w:pPr>
        <w:pStyle w:val="BodyText"/>
      </w:pPr>
    </w:p>
    <w:p>
      <w:pPr>
        <w:pStyle w:val="BodyText"/>
        <w:spacing w:before="165"/>
      </w:pPr>
    </w:p>
    <w:p>
      <w:pPr>
        <w:pStyle w:val="BodyText"/>
        <w:spacing w:line="480" w:lineRule="auto" w:before="1"/>
        <w:ind w:left="360" w:right="720"/>
        <w:jc w:val="both"/>
      </w:pPr>
      <w:r>
        <w:rPr/>
        <w:t>Table 4 showed that the calculated z-value (0.20) is less than the critical z-value (±1.96) at 0.05 level</w:t>
      </w:r>
      <w:r>
        <w:rPr>
          <w:spacing w:val="-3"/>
        </w:rPr>
        <w:t> </w:t>
      </w:r>
      <w:r>
        <w:rPr/>
        <w:t>of significance, the null hypothesis</w:t>
      </w:r>
      <w:r>
        <w:rPr>
          <w:spacing w:val="-3"/>
        </w:rPr>
        <w:t> </w:t>
      </w:r>
      <w:r>
        <w:rPr/>
        <w:t>is</w:t>
      </w:r>
      <w:r>
        <w:rPr>
          <w:spacing w:val="-3"/>
        </w:rPr>
        <w:t> </w:t>
      </w:r>
      <w:r>
        <w:rPr/>
        <w:t>retained.</w:t>
      </w:r>
      <w:r>
        <w:rPr>
          <w:spacing w:val="-3"/>
        </w:rPr>
        <w:t> </w:t>
      </w:r>
      <w:r>
        <w:rPr/>
        <w:t>This</w:t>
      </w:r>
      <w:r>
        <w:rPr>
          <w:spacing w:val="-3"/>
        </w:rPr>
        <w:t> </w:t>
      </w:r>
      <w:r>
        <w:rPr/>
        <w:t>implies</w:t>
      </w:r>
      <w:r>
        <w:rPr>
          <w:spacing w:val="-3"/>
        </w:rPr>
        <w:t> </w:t>
      </w:r>
      <w:r>
        <w:rPr/>
        <w:t>that</w:t>
      </w:r>
      <w:r>
        <w:rPr>
          <w:spacing w:val="-3"/>
        </w:rPr>
        <w:t> </w:t>
      </w:r>
      <w:r>
        <w:rPr/>
        <w:t>there</w:t>
      </w:r>
      <w:r>
        <w:rPr>
          <w:spacing w:val="-3"/>
        </w:rPr>
        <w:t> </w:t>
      </w:r>
      <w:r>
        <w:rPr/>
        <w:t>is</w:t>
      </w:r>
      <w:r>
        <w:rPr>
          <w:spacing w:val="-3"/>
        </w:rPr>
        <w:t> </w:t>
      </w:r>
      <w:r>
        <w:rPr/>
        <w:t>no</w:t>
      </w:r>
      <w:r>
        <w:rPr>
          <w:spacing w:val="-3"/>
        </w:rPr>
        <w:t> </w:t>
      </w:r>
      <w:r>
        <w:rPr/>
        <w:t>significant</w:t>
      </w:r>
      <w:r>
        <w:rPr>
          <w:spacing w:val="-3"/>
        </w:rPr>
        <w:t> </w:t>
      </w:r>
      <w:r>
        <w:rPr/>
        <w:t>difference</w:t>
      </w:r>
      <w:r>
        <w:rPr>
          <w:spacing w:val="-3"/>
        </w:rPr>
        <w:t> </w:t>
      </w:r>
      <w:r>
        <w:rPr/>
        <w:t>in</w:t>
      </w:r>
      <w:r>
        <w:rPr>
          <w:spacing w:val="-3"/>
        </w:rPr>
        <w:t> </w:t>
      </w:r>
      <w:r>
        <w:rPr/>
        <w:t>the</w:t>
      </w:r>
      <w:r>
        <w:rPr>
          <w:spacing w:val="-3"/>
        </w:rPr>
        <w:t> </w:t>
      </w:r>
      <w:r>
        <w:rPr/>
        <w:t>mean ratings of male and female students on the extent to which ICT is utilized in the Post Basic Nursing Programme at University of Port Harcourt Teaching Hospital.</w:t>
      </w:r>
    </w:p>
    <w:p>
      <w:pPr>
        <w:pStyle w:val="BodyText"/>
        <w:spacing w:line="348" w:lineRule="auto" w:before="107"/>
        <w:ind w:left="360" w:right="730"/>
        <w:jc w:val="both"/>
      </w:pPr>
      <w:r>
        <w:rPr/>
        <w:t>Ho</w:t>
      </w:r>
      <w:r>
        <w:rPr>
          <w:rFonts w:ascii="MS PGothic" w:hAnsi="MS PGothic"/>
        </w:rPr>
        <w:t>₂</w:t>
      </w:r>
      <w:r>
        <w:rPr/>
        <w:t>: There is no significant difference in the mean ratings of male and female lecturers regarding the extent to which information and communication technology (ICT) is utilized in the Post Basic Nursing Programme at the University of Port Harcourt Teaching Hospital.</w:t>
      </w:r>
    </w:p>
    <w:p>
      <w:pPr>
        <w:pStyle w:val="BodyText"/>
        <w:spacing w:before="123"/>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6"/>
        <w:gridCol w:w="1130"/>
        <w:gridCol w:w="867"/>
        <w:gridCol w:w="808"/>
        <w:gridCol w:w="853"/>
        <w:gridCol w:w="1056"/>
        <w:gridCol w:w="2254"/>
        <w:gridCol w:w="1836"/>
      </w:tblGrid>
      <w:tr>
        <w:trPr>
          <w:trHeight w:val="293" w:hRule="atLeast"/>
        </w:trPr>
        <w:tc>
          <w:tcPr>
            <w:tcW w:w="10100" w:type="dxa"/>
            <w:gridSpan w:val="8"/>
            <w:tcBorders>
              <w:bottom w:val="single" w:sz="6" w:space="0" w:color="000000"/>
            </w:tcBorders>
          </w:tcPr>
          <w:p>
            <w:pPr>
              <w:pStyle w:val="TableParagraph"/>
              <w:spacing w:line="223" w:lineRule="exact"/>
              <w:ind w:left="50"/>
              <w:jc w:val="left"/>
              <w:rPr>
                <w:rFonts w:ascii="Arial"/>
                <w:b/>
                <w:sz w:val="20"/>
              </w:rPr>
            </w:pPr>
            <w:r>
              <w:rPr>
                <w:rFonts w:ascii="Arial"/>
                <w:b/>
                <w:sz w:val="20"/>
              </w:rPr>
              <w:t>Table</w:t>
            </w:r>
            <w:r>
              <w:rPr>
                <w:rFonts w:ascii="Arial"/>
                <w:b/>
                <w:spacing w:val="-8"/>
                <w:sz w:val="20"/>
              </w:rPr>
              <w:t> </w:t>
            </w:r>
            <w:r>
              <w:rPr>
                <w:rFonts w:ascii="Arial"/>
                <w:b/>
                <w:sz w:val="20"/>
              </w:rPr>
              <w:t>5:</w:t>
            </w:r>
            <w:r>
              <w:rPr>
                <w:rFonts w:ascii="Arial"/>
                <w:b/>
                <w:spacing w:val="-5"/>
                <w:sz w:val="20"/>
              </w:rPr>
              <w:t> </w:t>
            </w:r>
            <w:r>
              <w:rPr>
                <w:rFonts w:ascii="Arial"/>
                <w:b/>
                <w:sz w:val="20"/>
              </w:rPr>
              <w:t>z-test</w:t>
            </w:r>
            <w:r>
              <w:rPr>
                <w:rFonts w:ascii="Arial"/>
                <w:b/>
                <w:spacing w:val="-6"/>
                <w:sz w:val="20"/>
              </w:rPr>
              <w:t> </w:t>
            </w:r>
            <w:r>
              <w:rPr>
                <w:rFonts w:ascii="Arial"/>
                <w:b/>
                <w:sz w:val="20"/>
              </w:rPr>
              <w:t>of</w:t>
            </w:r>
            <w:r>
              <w:rPr>
                <w:rFonts w:ascii="Arial"/>
                <w:b/>
                <w:spacing w:val="-5"/>
                <w:sz w:val="20"/>
              </w:rPr>
              <w:t> </w:t>
            </w:r>
            <w:r>
              <w:rPr>
                <w:rFonts w:ascii="Arial"/>
                <w:b/>
                <w:sz w:val="20"/>
              </w:rPr>
              <w:t>the</w:t>
            </w:r>
            <w:r>
              <w:rPr>
                <w:rFonts w:ascii="Arial"/>
                <w:b/>
                <w:spacing w:val="-6"/>
                <w:sz w:val="20"/>
              </w:rPr>
              <w:t> </w:t>
            </w:r>
            <w:r>
              <w:rPr>
                <w:rFonts w:ascii="Arial"/>
                <w:b/>
                <w:sz w:val="20"/>
              </w:rPr>
              <w:t>Difference</w:t>
            </w:r>
            <w:r>
              <w:rPr>
                <w:rFonts w:ascii="Arial"/>
                <w:b/>
                <w:spacing w:val="-5"/>
                <w:sz w:val="20"/>
              </w:rPr>
              <w:t> </w:t>
            </w:r>
            <w:r>
              <w:rPr>
                <w:rFonts w:ascii="Arial"/>
                <w:b/>
                <w:sz w:val="20"/>
              </w:rPr>
              <w:t>in</w:t>
            </w:r>
            <w:r>
              <w:rPr>
                <w:rFonts w:ascii="Arial"/>
                <w:b/>
                <w:spacing w:val="-6"/>
                <w:sz w:val="20"/>
              </w:rPr>
              <w:t> </w:t>
            </w:r>
            <w:r>
              <w:rPr>
                <w:rFonts w:ascii="Arial"/>
                <w:b/>
                <w:sz w:val="20"/>
              </w:rPr>
              <w:t>the</w:t>
            </w:r>
            <w:r>
              <w:rPr>
                <w:rFonts w:ascii="Arial"/>
                <w:b/>
                <w:spacing w:val="-5"/>
                <w:sz w:val="20"/>
              </w:rPr>
              <w:t> </w:t>
            </w:r>
            <w:r>
              <w:rPr>
                <w:rFonts w:ascii="Arial"/>
                <w:b/>
                <w:sz w:val="20"/>
              </w:rPr>
              <w:t>Mean</w:t>
            </w:r>
            <w:r>
              <w:rPr>
                <w:rFonts w:ascii="Arial"/>
                <w:b/>
                <w:spacing w:val="-6"/>
                <w:sz w:val="20"/>
              </w:rPr>
              <w:t> </w:t>
            </w:r>
            <w:r>
              <w:rPr>
                <w:rFonts w:ascii="Arial"/>
                <w:b/>
                <w:sz w:val="20"/>
              </w:rPr>
              <w:t>Ratings</w:t>
            </w:r>
            <w:r>
              <w:rPr>
                <w:rFonts w:ascii="Arial"/>
                <w:b/>
                <w:spacing w:val="-5"/>
                <w:sz w:val="20"/>
              </w:rPr>
              <w:t> </w:t>
            </w:r>
            <w:r>
              <w:rPr>
                <w:rFonts w:ascii="Arial"/>
                <w:b/>
                <w:sz w:val="20"/>
              </w:rPr>
              <w:t>of</w:t>
            </w:r>
            <w:r>
              <w:rPr>
                <w:rFonts w:ascii="Arial"/>
                <w:b/>
                <w:spacing w:val="-6"/>
                <w:sz w:val="20"/>
              </w:rPr>
              <w:t> </w:t>
            </w:r>
            <w:r>
              <w:rPr>
                <w:rFonts w:ascii="Arial"/>
                <w:b/>
                <w:sz w:val="20"/>
              </w:rPr>
              <w:t>Male</w:t>
            </w:r>
            <w:r>
              <w:rPr>
                <w:rFonts w:ascii="Arial"/>
                <w:b/>
                <w:spacing w:val="-5"/>
                <w:sz w:val="20"/>
              </w:rPr>
              <w:t> </w:t>
            </w:r>
            <w:r>
              <w:rPr>
                <w:rFonts w:ascii="Arial"/>
                <w:b/>
                <w:sz w:val="20"/>
              </w:rPr>
              <w:t>and</w:t>
            </w:r>
            <w:r>
              <w:rPr>
                <w:rFonts w:ascii="Arial"/>
                <w:b/>
                <w:spacing w:val="-6"/>
                <w:sz w:val="20"/>
              </w:rPr>
              <w:t> </w:t>
            </w:r>
            <w:r>
              <w:rPr>
                <w:rFonts w:ascii="Arial"/>
                <w:b/>
                <w:sz w:val="20"/>
              </w:rPr>
              <w:t>Female</w:t>
            </w:r>
            <w:r>
              <w:rPr>
                <w:rFonts w:ascii="Arial"/>
                <w:b/>
                <w:spacing w:val="-5"/>
                <w:sz w:val="20"/>
              </w:rPr>
              <w:t> </w:t>
            </w:r>
            <w:r>
              <w:rPr>
                <w:rFonts w:ascii="Arial"/>
                <w:b/>
                <w:sz w:val="20"/>
              </w:rPr>
              <w:t>Lecturers</w:t>
            </w:r>
            <w:r>
              <w:rPr>
                <w:rFonts w:ascii="Arial"/>
                <w:b/>
                <w:spacing w:val="-5"/>
                <w:sz w:val="20"/>
              </w:rPr>
              <w:t> on</w:t>
            </w:r>
          </w:p>
        </w:tc>
      </w:tr>
      <w:tr>
        <w:trPr>
          <w:trHeight w:val="375" w:hRule="atLeast"/>
        </w:trPr>
        <w:tc>
          <w:tcPr>
            <w:tcW w:w="1296" w:type="dxa"/>
            <w:tcBorders>
              <w:top w:val="single" w:sz="6" w:space="0" w:color="000000"/>
            </w:tcBorders>
          </w:tcPr>
          <w:p>
            <w:pPr>
              <w:pStyle w:val="TableParagraph"/>
              <w:spacing w:before="30"/>
              <w:ind w:left="50"/>
              <w:jc w:val="left"/>
              <w:rPr>
                <w:rFonts w:ascii="Arial"/>
                <w:b/>
                <w:sz w:val="20"/>
              </w:rPr>
            </w:pPr>
            <w:r>
              <w:rPr>
                <w:rFonts w:ascii="Arial"/>
                <w:b/>
                <w:spacing w:val="-2"/>
                <w:sz w:val="20"/>
              </w:rPr>
              <w:t>Subject</w:t>
            </w:r>
          </w:p>
        </w:tc>
        <w:tc>
          <w:tcPr>
            <w:tcW w:w="1130" w:type="dxa"/>
            <w:tcBorders>
              <w:top w:val="single" w:sz="6" w:space="0" w:color="000000"/>
            </w:tcBorders>
          </w:tcPr>
          <w:p>
            <w:pPr>
              <w:pStyle w:val="TableParagraph"/>
              <w:spacing w:before="30"/>
              <w:ind w:left="736"/>
              <w:jc w:val="left"/>
              <w:rPr>
                <w:rFonts w:ascii="Arial"/>
                <w:b/>
                <w:sz w:val="20"/>
              </w:rPr>
            </w:pPr>
            <w:r>
              <w:rPr>
                <w:rFonts w:ascii="Arial"/>
                <w:b/>
                <w:spacing w:val="-10"/>
                <w:sz w:val="20"/>
              </w:rPr>
              <w:t>N</w:t>
            </w:r>
          </w:p>
        </w:tc>
        <w:tc>
          <w:tcPr>
            <w:tcW w:w="867" w:type="dxa"/>
            <w:tcBorders>
              <w:top w:val="single" w:sz="6" w:space="0" w:color="000000"/>
            </w:tcBorders>
          </w:tcPr>
          <w:p>
            <w:pPr>
              <w:pStyle w:val="TableParagraph"/>
              <w:spacing w:before="2"/>
              <w:ind w:left="0"/>
              <w:jc w:val="left"/>
              <w:rPr>
                <w:sz w:val="5"/>
              </w:rPr>
            </w:pPr>
          </w:p>
          <w:p>
            <w:pPr>
              <w:pStyle w:val="TableParagraph"/>
              <w:ind w:left="391"/>
              <w:jc w:val="left"/>
              <w:rPr>
                <w:sz w:val="20"/>
              </w:rPr>
            </w:pPr>
            <w:r>
              <w:rPr>
                <w:sz w:val="20"/>
              </w:rPr>
              <w:drawing>
                <wp:inline distT="0" distB="0" distL="0" distR="0">
                  <wp:extent cx="190500" cy="19050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6" cstate="print"/>
                          <a:stretch>
                            <a:fillRect/>
                          </a:stretch>
                        </pic:blipFill>
                        <pic:spPr>
                          <a:xfrm>
                            <a:off x="0" y="0"/>
                            <a:ext cx="190500" cy="190500"/>
                          </a:xfrm>
                          <a:prstGeom prst="rect">
                            <a:avLst/>
                          </a:prstGeom>
                        </pic:spPr>
                      </pic:pic>
                    </a:graphicData>
                  </a:graphic>
                </wp:inline>
              </w:drawing>
            </w:r>
            <w:r>
              <w:rPr>
                <w:sz w:val="20"/>
              </w:rPr>
            </w:r>
          </w:p>
        </w:tc>
        <w:tc>
          <w:tcPr>
            <w:tcW w:w="808" w:type="dxa"/>
            <w:tcBorders>
              <w:top w:val="single" w:sz="6" w:space="0" w:color="000000"/>
            </w:tcBorders>
          </w:tcPr>
          <w:p>
            <w:pPr>
              <w:pStyle w:val="TableParagraph"/>
              <w:spacing w:before="30"/>
              <w:ind w:left="0" w:right="190"/>
              <w:jc w:val="right"/>
              <w:rPr>
                <w:rFonts w:ascii="Arial"/>
                <w:b/>
                <w:sz w:val="20"/>
              </w:rPr>
            </w:pPr>
            <w:r>
              <w:rPr>
                <w:rFonts w:ascii="Arial"/>
                <w:b/>
                <w:spacing w:val="-5"/>
                <w:sz w:val="20"/>
              </w:rPr>
              <w:t>SD</w:t>
            </w:r>
          </w:p>
        </w:tc>
        <w:tc>
          <w:tcPr>
            <w:tcW w:w="853" w:type="dxa"/>
            <w:tcBorders>
              <w:top w:val="single" w:sz="6" w:space="0" w:color="000000"/>
            </w:tcBorders>
          </w:tcPr>
          <w:p>
            <w:pPr>
              <w:pStyle w:val="TableParagraph"/>
              <w:spacing w:before="30"/>
              <w:ind w:left="193"/>
              <w:jc w:val="left"/>
              <w:rPr>
                <w:rFonts w:ascii="Arial"/>
                <w:b/>
                <w:sz w:val="20"/>
              </w:rPr>
            </w:pPr>
            <w:r>
              <w:rPr>
                <w:rFonts w:ascii="Arial"/>
                <w:b/>
                <w:spacing w:val="-5"/>
                <w:sz w:val="20"/>
              </w:rPr>
              <w:t>Df</w:t>
            </w:r>
          </w:p>
        </w:tc>
        <w:tc>
          <w:tcPr>
            <w:tcW w:w="1056" w:type="dxa"/>
            <w:tcBorders>
              <w:top w:val="single" w:sz="6" w:space="0" w:color="000000"/>
            </w:tcBorders>
          </w:tcPr>
          <w:p>
            <w:pPr>
              <w:pStyle w:val="TableParagraph"/>
              <w:spacing w:before="30"/>
              <w:ind w:left="438"/>
              <w:jc w:val="left"/>
              <w:rPr>
                <w:rFonts w:ascii="Arial"/>
                <w:b/>
                <w:sz w:val="20"/>
              </w:rPr>
            </w:pPr>
            <w:r>
              <w:rPr>
                <w:rFonts w:ascii="Arial"/>
                <w:b/>
                <w:spacing w:val="-2"/>
                <w:sz w:val="20"/>
              </w:rPr>
              <w:t>z-</w:t>
            </w:r>
            <w:r>
              <w:rPr>
                <w:rFonts w:ascii="Arial"/>
                <w:b/>
                <w:spacing w:val="-5"/>
                <w:sz w:val="20"/>
              </w:rPr>
              <w:t>cal</w:t>
            </w:r>
          </w:p>
        </w:tc>
        <w:tc>
          <w:tcPr>
            <w:tcW w:w="2254" w:type="dxa"/>
            <w:tcBorders>
              <w:top w:val="single" w:sz="6" w:space="0" w:color="000000"/>
            </w:tcBorders>
          </w:tcPr>
          <w:p>
            <w:pPr>
              <w:pStyle w:val="TableParagraph"/>
              <w:tabs>
                <w:tab w:pos="960" w:val="left" w:leader="none"/>
              </w:tabs>
              <w:spacing w:before="30"/>
              <w:ind w:left="175"/>
              <w:jc w:val="left"/>
              <w:rPr>
                <w:rFonts w:ascii="Arial"/>
                <w:b/>
                <w:sz w:val="20"/>
              </w:rPr>
            </w:pPr>
            <w:r>
              <w:rPr>
                <w:rFonts w:ascii="Arial"/>
                <w:b/>
                <w:spacing w:val="-2"/>
                <w:sz w:val="20"/>
              </w:rPr>
              <w:t>z-</w:t>
            </w:r>
            <w:r>
              <w:rPr>
                <w:rFonts w:ascii="Arial"/>
                <w:b/>
                <w:spacing w:val="-4"/>
                <w:sz w:val="20"/>
              </w:rPr>
              <w:t>crit</w:t>
            </w:r>
            <w:r>
              <w:rPr>
                <w:rFonts w:ascii="Arial"/>
                <w:b/>
                <w:sz w:val="20"/>
              </w:rPr>
              <w:tab/>
              <w:t>level</w:t>
            </w:r>
            <w:r>
              <w:rPr>
                <w:rFonts w:ascii="Arial"/>
                <w:b/>
                <w:spacing w:val="-4"/>
                <w:sz w:val="20"/>
              </w:rPr>
              <w:t> </w:t>
            </w:r>
            <w:r>
              <w:rPr>
                <w:rFonts w:ascii="Arial"/>
                <w:b/>
                <w:sz w:val="20"/>
              </w:rPr>
              <w:t>of</w:t>
            </w:r>
            <w:r>
              <w:rPr>
                <w:rFonts w:ascii="Arial"/>
                <w:b/>
                <w:spacing w:val="-3"/>
                <w:sz w:val="20"/>
              </w:rPr>
              <w:t> </w:t>
            </w:r>
            <w:r>
              <w:rPr>
                <w:rFonts w:ascii="Arial"/>
                <w:b/>
                <w:spacing w:val="-5"/>
                <w:sz w:val="20"/>
              </w:rPr>
              <w:t>sig</w:t>
            </w:r>
          </w:p>
        </w:tc>
        <w:tc>
          <w:tcPr>
            <w:tcW w:w="1836" w:type="dxa"/>
            <w:tcBorders>
              <w:top w:val="single" w:sz="6" w:space="0" w:color="000000"/>
            </w:tcBorders>
          </w:tcPr>
          <w:p>
            <w:pPr>
              <w:pStyle w:val="TableParagraph"/>
              <w:spacing w:before="30"/>
              <w:ind w:left="261"/>
              <w:jc w:val="left"/>
              <w:rPr>
                <w:rFonts w:ascii="Arial"/>
                <w:b/>
                <w:sz w:val="20"/>
              </w:rPr>
            </w:pPr>
            <w:r>
              <w:rPr>
                <w:rFonts w:ascii="Arial"/>
                <w:b/>
                <w:spacing w:val="-2"/>
                <w:sz w:val="20"/>
              </w:rPr>
              <w:t>Remark</w:t>
            </w:r>
          </w:p>
        </w:tc>
      </w:tr>
      <w:tr>
        <w:trPr>
          <w:trHeight w:val="257" w:hRule="atLeast"/>
        </w:trPr>
        <w:tc>
          <w:tcPr>
            <w:tcW w:w="1296" w:type="dxa"/>
          </w:tcPr>
          <w:p>
            <w:pPr>
              <w:pStyle w:val="TableParagraph"/>
              <w:spacing w:line="213" w:lineRule="exact" w:before="24"/>
              <w:ind w:left="50"/>
              <w:jc w:val="left"/>
              <w:rPr>
                <w:sz w:val="20"/>
              </w:rPr>
            </w:pPr>
            <w:r>
              <w:rPr>
                <w:sz w:val="20"/>
              </w:rPr>
              <mc:AlternateContent>
                <mc:Choice Requires="wps">
                  <w:drawing>
                    <wp:anchor distT="0" distB="0" distL="0" distR="0" allowOverlap="1" layoutInCell="1" locked="0" behindDoc="1" simplePos="0" relativeHeight="486934528">
                      <wp:simplePos x="0" y="0"/>
                      <wp:positionH relativeFrom="column">
                        <wp:posOffset>117475</wp:posOffset>
                      </wp:positionH>
                      <wp:positionV relativeFrom="paragraph">
                        <wp:posOffset>-57772</wp:posOffset>
                      </wp:positionV>
                      <wp:extent cx="6267450" cy="952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6267450" cy="9525"/>
                                <a:chExt cx="6267450" cy="9525"/>
                              </a:xfrm>
                            </wpg:grpSpPr>
                            <wps:wsp>
                              <wps:cNvPr id="31" name="Graphic 31"/>
                              <wps:cNvSpPr/>
                              <wps:spPr>
                                <a:xfrm>
                                  <a:off x="0" y="4762"/>
                                  <a:ext cx="6267450" cy="1270"/>
                                </a:xfrm>
                                <a:custGeom>
                                  <a:avLst/>
                                  <a:gdLst/>
                                  <a:ahLst/>
                                  <a:cxnLst/>
                                  <a:rect l="l" t="t" r="r" b="b"/>
                                  <a:pathLst>
                                    <a:path w="6267450" h="0">
                                      <a:moveTo>
                                        <a:pt x="0" y="0"/>
                                      </a:moveTo>
                                      <a:lnTo>
                                        <a:pt x="62674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25pt;margin-top:-4.549020pt;width:493.5pt;height:.75pt;mso-position-horizontal-relative:column;mso-position-vertical-relative:paragraph;z-index:-16381952" id="docshapegroup15" coordorigin="185,-91" coordsize="9870,15">
                      <v:line style="position:absolute" from="185,-83" to="10055,-83" stroked="true" strokeweight=".75pt" strokecolor="#000000">
                        <v:stroke dashstyle="solid"/>
                      </v:line>
                      <w10:wrap type="none"/>
                    </v:group>
                  </w:pict>
                </mc:Fallback>
              </mc:AlternateContent>
            </w:r>
            <w:r>
              <w:rPr>
                <w:spacing w:val="-2"/>
                <w:sz w:val="20"/>
              </w:rPr>
              <w:t>Males</w:t>
            </w:r>
          </w:p>
        </w:tc>
        <w:tc>
          <w:tcPr>
            <w:tcW w:w="1130" w:type="dxa"/>
          </w:tcPr>
          <w:p>
            <w:pPr>
              <w:pStyle w:val="TableParagraph"/>
              <w:spacing w:line="213" w:lineRule="exact" w:before="24"/>
              <w:ind w:left="478"/>
              <w:jc w:val="left"/>
              <w:rPr>
                <w:sz w:val="20"/>
              </w:rPr>
            </w:pPr>
            <w:r>
              <w:rPr>
                <w:spacing w:val="-10"/>
                <w:sz w:val="20"/>
              </w:rPr>
              <w:t>4</w:t>
            </w:r>
          </w:p>
        </w:tc>
        <w:tc>
          <w:tcPr>
            <w:tcW w:w="867" w:type="dxa"/>
          </w:tcPr>
          <w:p>
            <w:pPr>
              <w:pStyle w:val="TableParagraph"/>
              <w:spacing w:line="213" w:lineRule="exact" w:before="24"/>
              <w:ind w:left="20"/>
              <w:rPr>
                <w:sz w:val="20"/>
              </w:rPr>
            </w:pPr>
            <w:r>
              <w:rPr>
                <w:spacing w:val="-4"/>
                <w:sz w:val="20"/>
              </w:rPr>
              <w:t>2.59</w:t>
            </w:r>
          </w:p>
        </w:tc>
        <w:tc>
          <w:tcPr>
            <w:tcW w:w="808" w:type="dxa"/>
          </w:tcPr>
          <w:p>
            <w:pPr>
              <w:pStyle w:val="TableParagraph"/>
              <w:spacing w:line="213" w:lineRule="exact" w:before="24"/>
              <w:ind w:left="0" w:right="224"/>
              <w:jc w:val="right"/>
              <w:rPr>
                <w:sz w:val="20"/>
              </w:rPr>
            </w:pPr>
            <w:r>
              <w:rPr>
                <w:spacing w:val="-4"/>
                <w:sz w:val="20"/>
              </w:rPr>
              <w:t>0.82</w:t>
            </w:r>
          </w:p>
        </w:tc>
        <w:tc>
          <w:tcPr>
            <w:tcW w:w="853" w:type="dxa"/>
          </w:tcPr>
          <w:p>
            <w:pPr>
              <w:pStyle w:val="TableParagraph"/>
              <w:spacing w:line="213" w:lineRule="exact" w:before="24"/>
              <w:ind w:left="193"/>
              <w:jc w:val="left"/>
              <w:rPr>
                <w:sz w:val="20"/>
              </w:rPr>
            </w:pPr>
            <w:r>
              <w:rPr>
                <w:spacing w:val="-5"/>
                <w:sz w:val="20"/>
              </w:rPr>
              <w:t>20</w:t>
            </w:r>
          </w:p>
        </w:tc>
        <w:tc>
          <w:tcPr>
            <w:tcW w:w="1056" w:type="dxa"/>
          </w:tcPr>
          <w:p>
            <w:pPr>
              <w:pStyle w:val="TableParagraph"/>
              <w:ind w:left="0"/>
              <w:jc w:val="left"/>
              <w:rPr>
                <w:rFonts w:ascii="Times New Roman"/>
                <w:sz w:val="18"/>
              </w:rPr>
            </w:pPr>
          </w:p>
        </w:tc>
        <w:tc>
          <w:tcPr>
            <w:tcW w:w="2254" w:type="dxa"/>
          </w:tcPr>
          <w:p>
            <w:pPr>
              <w:pStyle w:val="TableParagraph"/>
              <w:ind w:left="0"/>
              <w:jc w:val="left"/>
              <w:rPr>
                <w:rFonts w:ascii="Times New Roman"/>
                <w:sz w:val="18"/>
              </w:rPr>
            </w:pPr>
          </w:p>
        </w:tc>
        <w:tc>
          <w:tcPr>
            <w:tcW w:w="1836" w:type="dxa"/>
          </w:tcPr>
          <w:p>
            <w:pPr>
              <w:pStyle w:val="TableParagraph"/>
              <w:spacing w:line="213" w:lineRule="exact" w:before="24"/>
              <w:ind w:left="261"/>
              <w:jc w:val="left"/>
              <w:rPr>
                <w:sz w:val="20"/>
              </w:rPr>
            </w:pPr>
            <w:r>
              <w:rPr>
                <w:sz w:val="20"/>
              </w:rPr>
              <w:t>Not</w:t>
            </w:r>
            <w:r>
              <w:rPr>
                <w:spacing w:val="-3"/>
                <w:sz w:val="20"/>
              </w:rPr>
              <w:t> </w:t>
            </w:r>
            <w:r>
              <w:rPr>
                <w:spacing w:val="-2"/>
                <w:sz w:val="20"/>
              </w:rPr>
              <w:t>significant</w:t>
            </w:r>
          </w:p>
        </w:tc>
      </w:tr>
      <w:tr>
        <w:trPr>
          <w:trHeight w:val="229" w:hRule="atLeast"/>
        </w:trPr>
        <w:tc>
          <w:tcPr>
            <w:tcW w:w="1296" w:type="dxa"/>
          </w:tcPr>
          <w:p>
            <w:pPr>
              <w:pStyle w:val="TableParagraph"/>
              <w:ind w:left="0"/>
              <w:jc w:val="left"/>
              <w:rPr>
                <w:rFonts w:ascii="Times New Roman"/>
                <w:sz w:val="16"/>
              </w:rPr>
            </w:pPr>
          </w:p>
        </w:tc>
        <w:tc>
          <w:tcPr>
            <w:tcW w:w="1130" w:type="dxa"/>
          </w:tcPr>
          <w:p>
            <w:pPr>
              <w:pStyle w:val="TableParagraph"/>
              <w:ind w:left="0"/>
              <w:jc w:val="left"/>
              <w:rPr>
                <w:rFonts w:ascii="Times New Roman"/>
                <w:sz w:val="16"/>
              </w:rPr>
            </w:pPr>
          </w:p>
        </w:tc>
        <w:tc>
          <w:tcPr>
            <w:tcW w:w="867" w:type="dxa"/>
          </w:tcPr>
          <w:p>
            <w:pPr>
              <w:pStyle w:val="TableParagraph"/>
              <w:ind w:left="0"/>
              <w:jc w:val="left"/>
              <w:rPr>
                <w:rFonts w:ascii="Times New Roman"/>
                <w:sz w:val="16"/>
              </w:rPr>
            </w:pPr>
          </w:p>
        </w:tc>
        <w:tc>
          <w:tcPr>
            <w:tcW w:w="808" w:type="dxa"/>
          </w:tcPr>
          <w:p>
            <w:pPr>
              <w:pStyle w:val="TableParagraph"/>
              <w:ind w:left="0"/>
              <w:jc w:val="left"/>
              <w:rPr>
                <w:rFonts w:ascii="Times New Roman"/>
                <w:sz w:val="16"/>
              </w:rPr>
            </w:pPr>
          </w:p>
        </w:tc>
        <w:tc>
          <w:tcPr>
            <w:tcW w:w="853" w:type="dxa"/>
          </w:tcPr>
          <w:p>
            <w:pPr>
              <w:pStyle w:val="TableParagraph"/>
              <w:ind w:left="0"/>
              <w:jc w:val="left"/>
              <w:rPr>
                <w:rFonts w:ascii="Times New Roman"/>
                <w:sz w:val="16"/>
              </w:rPr>
            </w:pPr>
          </w:p>
        </w:tc>
        <w:tc>
          <w:tcPr>
            <w:tcW w:w="1056" w:type="dxa"/>
          </w:tcPr>
          <w:p>
            <w:pPr>
              <w:pStyle w:val="TableParagraph"/>
              <w:spacing w:line="210" w:lineRule="exact"/>
              <w:ind w:left="331"/>
              <w:jc w:val="left"/>
              <w:rPr>
                <w:sz w:val="20"/>
              </w:rPr>
            </w:pPr>
            <w:r>
              <w:rPr>
                <w:spacing w:val="-4"/>
                <w:sz w:val="20"/>
              </w:rPr>
              <w:t>0.29</w:t>
            </w:r>
          </w:p>
        </w:tc>
        <w:tc>
          <w:tcPr>
            <w:tcW w:w="2254" w:type="dxa"/>
          </w:tcPr>
          <w:p>
            <w:pPr>
              <w:pStyle w:val="TableParagraph"/>
              <w:spacing w:line="210" w:lineRule="exact"/>
              <w:ind w:left="175"/>
              <w:jc w:val="left"/>
              <w:rPr>
                <w:sz w:val="20"/>
              </w:rPr>
            </w:pPr>
            <w:r>
              <w:rPr>
                <w:sz w:val="20"/>
              </w:rPr>
              <w:t>±1.96</w:t>
            </w:r>
            <w:r>
              <w:rPr>
                <w:spacing w:val="78"/>
                <w:w w:val="150"/>
                <w:sz w:val="20"/>
              </w:rPr>
              <w:t> </w:t>
            </w:r>
            <w:r>
              <w:rPr>
                <w:spacing w:val="-4"/>
                <w:sz w:val="20"/>
              </w:rPr>
              <w:t>0.05</w:t>
            </w:r>
          </w:p>
        </w:tc>
        <w:tc>
          <w:tcPr>
            <w:tcW w:w="1836" w:type="dxa"/>
          </w:tcPr>
          <w:p>
            <w:pPr>
              <w:pStyle w:val="TableParagraph"/>
              <w:ind w:left="0"/>
              <w:jc w:val="left"/>
              <w:rPr>
                <w:rFonts w:ascii="Times New Roman"/>
                <w:sz w:val="16"/>
              </w:rPr>
            </w:pPr>
          </w:p>
        </w:tc>
      </w:tr>
      <w:tr>
        <w:trPr>
          <w:trHeight w:val="281" w:hRule="atLeast"/>
        </w:trPr>
        <w:tc>
          <w:tcPr>
            <w:tcW w:w="1296" w:type="dxa"/>
            <w:tcBorders>
              <w:bottom w:val="single" w:sz="6" w:space="0" w:color="000000"/>
            </w:tcBorders>
          </w:tcPr>
          <w:p>
            <w:pPr>
              <w:pStyle w:val="TableParagraph"/>
              <w:spacing w:line="227" w:lineRule="exact"/>
              <w:ind w:left="50"/>
              <w:jc w:val="left"/>
              <w:rPr>
                <w:sz w:val="20"/>
              </w:rPr>
            </w:pPr>
            <w:r>
              <w:rPr>
                <w:spacing w:val="-2"/>
                <w:sz w:val="20"/>
              </w:rPr>
              <w:t>Females</w:t>
            </w:r>
          </w:p>
        </w:tc>
        <w:tc>
          <w:tcPr>
            <w:tcW w:w="1130" w:type="dxa"/>
            <w:tcBorders>
              <w:bottom w:val="single" w:sz="6" w:space="0" w:color="000000"/>
            </w:tcBorders>
          </w:tcPr>
          <w:p>
            <w:pPr>
              <w:pStyle w:val="TableParagraph"/>
              <w:spacing w:line="227" w:lineRule="exact"/>
              <w:ind w:left="478"/>
              <w:jc w:val="left"/>
              <w:rPr>
                <w:sz w:val="20"/>
              </w:rPr>
            </w:pPr>
            <w:r>
              <w:rPr>
                <w:spacing w:val="-5"/>
                <w:sz w:val="20"/>
              </w:rPr>
              <w:t>18</w:t>
            </w:r>
          </w:p>
        </w:tc>
        <w:tc>
          <w:tcPr>
            <w:tcW w:w="867" w:type="dxa"/>
            <w:tcBorders>
              <w:bottom w:val="single" w:sz="6" w:space="0" w:color="000000"/>
            </w:tcBorders>
          </w:tcPr>
          <w:p>
            <w:pPr>
              <w:pStyle w:val="TableParagraph"/>
              <w:spacing w:line="227" w:lineRule="exact"/>
              <w:ind w:left="20"/>
              <w:rPr>
                <w:sz w:val="20"/>
              </w:rPr>
            </w:pPr>
            <w:r>
              <w:rPr>
                <w:spacing w:val="-4"/>
                <w:sz w:val="20"/>
              </w:rPr>
              <w:t>2.60</w:t>
            </w:r>
          </w:p>
        </w:tc>
        <w:tc>
          <w:tcPr>
            <w:tcW w:w="808" w:type="dxa"/>
            <w:tcBorders>
              <w:bottom w:val="single" w:sz="6" w:space="0" w:color="000000"/>
            </w:tcBorders>
          </w:tcPr>
          <w:p>
            <w:pPr>
              <w:pStyle w:val="TableParagraph"/>
              <w:spacing w:line="227" w:lineRule="exact"/>
              <w:ind w:left="0" w:right="224"/>
              <w:jc w:val="right"/>
              <w:rPr>
                <w:sz w:val="20"/>
              </w:rPr>
            </w:pPr>
            <w:r>
              <w:rPr>
                <w:spacing w:val="-4"/>
                <w:sz w:val="20"/>
              </w:rPr>
              <w:t>0.76</w:t>
            </w:r>
          </w:p>
        </w:tc>
        <w:tc>
          <w:tcPr>
            <w:tcW w:w="853" w:type="dxa"/>
            <w:tcBorders>
              <w:bottom w:val="single" w:sz="6" w:space="0" w:color="000000"/>
            </w:tcBorders>
          </w:tcPr>
          <w:p>
            <w:pPr>
              <w:pStyle w:val="TableParagraph"/>
              <w:ind w:left="0"/>
              <w:jc w:val="left"/>
              <w:rPr>
                <w:rFonts w:ascii="Times New Roman"/>
                <w:sz w:val="20"/>
              </w:rPr>
            </w:pPr>
          </w:p>
        </w:tc>
        <w:tc>
          <w:tcPr>
            <w:tcW w:w="1056" w:type="dxa"/>
            <w:tcBorders>
              <w:bottom w:val="single" w:sz="6" w:space="0" w:color="000000"/>
            </w:tcBorders>
          </w:tcPr>
          <w:p>
            <w:pPr>
              <w:pStyle w:val="TableParagraph"/>
              <w:ind w:left="0"/>
              <w:jc w:val="left"/>
              <w:rPr>
                <w:rFonts w:ascii="Times New Roman"/>
                <w:sz w:val="20"/>
              </w:rPr>
            </w:pPr>
          </w:p>
        </w:tc>
        <w:tc>
          <w:tcPr>
            <w:tcW w:w="2254" w:type="dxa"/>
            <w:tcBorders>
              <w:bottom w:val="single" w:sz="6" w:space="0" w:color="000000"/>
            </w:tcBorders>
          </w:tcPr>
          <w:p>
            <w:pPr>
              <w:pStyle w:val="TableParagraph"/>
              <w:ind w:left="0"/>
              <w:jc w:val="left"/>
              <w:rPr>
                <w:rFonts w:ascii="Times New Roman"/>
                <w:sz w:val="20"/>
              </w:rPr>
            </w:pPr>
          </w:p>
        </w:tc>
        <w:tc>
          <w:tcPr>
            <w:tcW w:w="1836" w:type="dxa"/>
            <w:tcBorders>
              <w:bottom w:val="single" w:sz="6" w:space="0" w:color="000000"/>
            </w:tcBorders>
          </w:tcPr>
          <w:p>
            <w:pPr>
              <w:pStyle w:val="TableParagraph"/>
              <w:ind w:left="0"/>
              <w:jc w:val="left"/>
              <w:rPr>
                <w:rFonts w:ascii="Times New Roman"/>
                <w:sz w:val="20"/>
              </w:rPr>
            </w:pPr>
          </w:p>
        </w:tc>
      </w:tr>
    </w:tbl>
    <w:p>
      <w:pPr>
        <w:pStyle w:val="TableParagraph"/>
        <w:spacing w:after="0"/>
        <w:jc w:val="left"/>
        <w:rPr>
          <w:rFonts w:ascii="Times New Roman"/>
          <w:sz w:val="20"/>
        </w:rPr>
        <w:sectPr>
          <w:pgSz w:w="12240" w:h="15840"/>
          <w:pgMar w:top="1360" w:bottom="280" w:left="1080" w:right="720"/>
        </w:sectPr>
      </w:pPr>
    </w:p>
    <w:p>
      <w:pPr>
        <w:pStyle w:val="BodyText"/>
        <w:spacing w:line="480" w:lineRule="auto" w:before="80"/>
        <w:ind w:left="360" w:right="719"/>
        <w:jc w:val="both"/>
      </w:pPr>
      <w:r>
        <w:rPr/>
        <w:drawing>
          <wp:anchor distT="0" distB="0" distL="0" distR="0" allowOverlap="1" layoutInCell="1" locked="0" behindDoc="1" simplePos="0" relativeHeight="486935040">
            <wp:simplePos x="0" y="0"/>
            <wp:positionH relativeFrom="page">
              <wp:posOffset>919162</wp:posOffset>
            </wp:positionH>
            <wp:positionV relativeFrom="paragraph">
              <wp:posOffset>906462</wp:posOffset>
            </wp:positionV>
            <wp:extent cx="5934075" cy="5934075"/>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5" cstate="print"/>
                    <a:stretch>
                      <a:fillRect/>
                    </a:stretch>
                  </pic:blipFill>
                  <pic:spPr>
                    <a:xfrm>
                      <a:off x="0" y="0"/>
                      <a:ext cx="5934075" cy="5934075"/>
                    </a:xfrm>
                    <a:prstGeom prst="rect">
                      <a:avLst/>
                    </a:prstGeom>
                  </pic:spPr>
                </pic:pic>
              </a:graphicData>
            </a:graphic>
          </wp:anchor>
        </w:drawing>
      </w:r>
      <w:r>
        <w:rPr/>
        <w:t>Table 5 shows that</w:t>
      </w:r>
      <w:r>
        <w:rPr>
          <w:spacing w:val="-4"/>
        </w:rPr>
        <w:t> </w:t>
      </w:r>
      <w:r>
        <w:rPr/>
        <w:t>the</w:t>
      </w:r>
      <w:r>
        <w:rPr>
          <w:spacing w:val="-4"/>
        </w:rPr>
        <w:t> </w:t>
      </w:r>
      <w:r>
        <w:rPr/>
        <w:t>calculated</w:t>
      </w:r>
      <w:r>
        <w:rPr>
          <w:spacing w:val="-4"/>
        </w:rPr>
        <w:t> </w:t>
      </w:r>
      <w:r>
        <w:rPr/>
        <w:t>z-value</w:t>
      </w:r>
      <w:r>
        <w:rPr>
          <w:spacing w:val="-4"/>
        </w:rPr>
        <w:t> </w:t>
      </w:r>
      <w:r>
        <w:rPr/>
        <w:t>(0.29)</w:t>
      </w:r>
      <w:r>
        <w:rPr>
          <w:spacing w:val="-4"/>
        </w:rPr>
        <w:t> </w:t>
      </w:r>
      <w:r>
        <w:rPr/>
        <w:t>is</w:t>
      </w:r>
      <w:r>
        <w:rPr>
          <w:spacing w:val="-4"/>
        </w:rPr>
        <w:t> </w:t>
      </w:r>
      <w:r>
        <w:rPr/>
        <w:t>less</w:t>
      </w:r>
      <w:r>
        <w:rPr>
          <w:spacing w:val="-4"/>
        </w:rPr>
        <w:t> </w:t>
      </w:r>
      <w:r>
        <w:rPr/>
        <w:t>than</w:t>
      </w:r>
      <w:r>
        <w:rPr>
          <w:spacing w:val="-4"/>
        </w:rPr>
        <w:t> </w:t>
      </w:r>
      <w:r>
        <w:rPr/>
        <w:t>the</w:t>
      </w:r>
      <w:r>
        <w:rPr>
          <w:spacing w:val="-4"/>
        </w:rPr>
        <w:t> </w:t>
      </w:r>
      <w:r>
        <w:rPr/>
        <w:t>critical</w:t>
      </w:r>
      <w:r>
        <w:rPr>
          <w:spacing w:val="-4"/>
        </w:rPr>
        <w:t> </w:t>
      </w:r>
      <w:r>
        <w:rPr/>
        <w:t>z-value</w:t>
      </w:r>
      <w:r>
        <w:rPr>
          <w:spacing w:val="-4"/>
        </w:rPr>
        <w:t> </w:t>
      </w:r>
      <w:r>
        <w:rPr/>
        <w:t>(±1.96)</w:t>
      </w:r>
      <w:r>
        <w:rPr>
          <w:spacing w:val="-4"/>
        </w:rPr>
        <w:t> </w:t>
      </w:r>
      <w:r>
        <w:rPr/>
        <w:t>at</w:t>
      </w:r>
      <w:r>
        <w:rPr>
          <w:spacing w:val="-4"/>
        </w:rPr>
        <w:t> </w:t>
      </w:r>
      <w:r>
        <w:rPr/>
        <w:t>the</w:t>
      </w:r>
      <w:r>
        <w:rPr>
          <w:spacing w:val="-4"/>
        </w:rPr>
        <w:t> </w:t>
      </w:r>
      <w:r>
        <w:rPr/>
        <w:t>0.05</w:t>
      </w:r>
      <w:r>
        <w:rPr>
          <w:spacing w:val="-4"/>
        </w:rPr>
        <w:t> </w:t>
      </w:r>
      <w:r>
        <w:rPr/>
        <w:t>level</w:t>
      </w:r>
      <w:r>
        <w:rPr>
          <w:spacing w:val="-4"/>
        </w:rPr>
        <w:t> </w:t>
      </w:r>
      <w:r>
        <w:rPr/>
        <w:t>of significance and 20 degrees of freedom. Therefore,</w:t>
      </w:r>
      <w:r>
        <w:rPr>
          <w:spacing w:val="-3"/>
        </w:rPr>
        <w:t> </w:t>
      </w:r>
      <w:r>
        <w:rPr/>
        <w:t>the</w:t>
      </w:r>
      <w:r>
        <w:rPr>
          <w:spacing w:val="-3"/>
        </w:rPr>
        <w:t> </w:t>
      </w:r>
      <w:r>
        <w:rPr/>
        <w:t>null</w:t>
      </w:r>
      <w:r>
        <w:rPr>
          <w:spacing w:val="-3"/>
        </w:rPr>
        <w:t> </w:t>
      </w:r>
      <w:r>
        <w:rPr/>
        <w:t>hypothesis</w:t>
      </w:r>
      <w:r>
        <w:rPr>
          <w:spacing w:val="-3"/>
        </w:rPr>
        <w:t> </w:t>
      </w:r>
      <w:r>
        <w:rPr/>
        <w:t>is</w:t>
      </w:r>
      <w:r>
        <w:rPr>
          <w:spacing w:val="-3"/>
        </w:rPr>
        <w:t> </w:t>
      </w:r>
      <w:r>
        <w:rPr/>
        <w:t>retained.</w:t>
      </w:r>
      <w:r>
        <w:rPr>
          <w:spacing w:val="-3"/>
        </w:rPr>
        <w:t> </w:t>
      </w:r>
      <w:r>
        <w:rPr/>
        <w:t>This</w:t>
      </w:r>
      <w:r>
        <w:rPr>
          <w:spacing w:val="-3"/>
        </w:rPr>
        <w:t> </w:t>
      </w:r>
      <w:r>
        <w:rPr/>
        <w:t>means</w:t>
      </w:r>
      <w:r>
        <w:rPr>
          <w:spacing w:val="-3"/>
        </w:rPr>
        <w:t> </w:t>
      </w:r>
      <w:r>
        <w:rPr/>
        <w:t>that</w:t>
      </w:r>
      <w:r>
        <w:rPr>
          <w:spacing w:val="-3"/>
        </w:rPr>
        <w:t> </w:t>
      </w:r>
      <w:r>
        <w:rPr/>
        <w:t>there is no significant difference in the mean ratings of male and female lecturers on the extent to which information and communication technology (ICT) is utilized in the Post Basic Nursing Programme at the University of Port Harcourt Teaching Hospital.</w:t>
      </w:r>
    </w:p>
    <w:p>
      <w:pPr>
        <w:pStyle w:val="BodyText"/>
        <w:spacing w:before="49"/>
      </w:pPr>
    </w:p>
    <w:p>
      <w:pPr>
        <w:pStyle w:val="Heading3"/>
        <w:spacing w:before="1"/>
      </w:pPr>
      <w:bookmarkStart w:name="Discussion " w:id="5"/>
      <w:bookmarkEnd w:id="5"/>
      <w:r>
        <w:rPr>
          <w:b w:val="0"/>
        </w:rPr>
      </w:r>
      <w:r>
        <w:rPr>
          <w:spacing w:val="-2"/>
        </w:rPr>
        <w:t>Discussion</w:t>
      </w:r>
    </w:p>
    <w:p>
      <w:pPr>
        <w:pStyle w:val="BodyText"/>
        <w:rPr>
          <w:rFonts w:ascii="Arial"/>
          <w:b/>
        </w:rPr>
      </w:pPr>
    </w:p>
    <w:p>
      <w:pPr>
        <w:pStyle w:val="BodyText"/>
        <w:spacing w:before="50"/>
        <w:rPr>
          <w:rFonts w:ascii="Arial"/>
          <w:b/>
        </w:rPr>
      </w:pPr>
    </w:p>
    <w:p>
      <w:pPr>
        <w:spacing w:before="0"/>
        <w:ind w:left="360" w:right="0" w:firstLine="0"/>
        <w:jc w:val="left"/>
        <w:rPr>
          <w:rFonts w:ascii="Arial"/>
          <w:b/>
          <w:sz w:val="20"/>
        </w:rPr>
      </w:pPr>
      <w:r>
        <w:rPr>
          <w:rFonts w:ascii="Arial"/>
          <w:b/>
          <w:sz w:val="20"/>
        </w:rPr>
        <w:t>Utilization</w:t>
      </w:r>
      <w:r>
        <w:rPr>
          <w:rFonts w:ascii="Arial"/>
          <w:b/>
          <w:spacing w:val="-11"/>
          <w:sz w:val="20"/>
        </w:rPr>
        <w:t> </w:t>
      </w:r>
      <w:r>
        <w:rPr>
          <w:rFonts w:ascii="Arial"/>
          <w:b/>
          <w:sz w:val="20"/>
        </w:rPr>
        <w:t>of</w:t>
      </w:r>
      <w:r>
        <w:rPr>
          <w:rFonts w:ascii="Arial"/>
          <w:b/>
          <w:spacing w:val="-8"/>
          <w:sz w:val="20"/>
        </w:rPr>
        <w:t> </w:t>
      </w:r>
      <w:r>
        <w:rPr>
          <w:rFonts w:ascii="Arial"/>
          <w:b/>
          <w:sz w:val="20"/>
        </w:rPr>
        <w:t>Information</w:t>
      </w:r>
      <w:r>
        <w:rPr>
          <w:rFonts w:ascii="Arial"/>
          <w:b/>
          <w:spacing w:val="-9"/>
          <w:sz w:val="20"/>
        </w:rPr>
        <w:t> </w:t>
      </w:r>
      <w:r>
        <w:rPr>
          <w:rFonts w:ascii="Arial"/>
          <w:b/>
          <w:sz w:val="20"/>
        </w:rPr>
        <w:t>and</w:t>
      </w:r>
      <w:r>
        <w:rPr>
          <w:rFonts w:ascii="Arial"/>
          <w:b/>
          <w:spacing w:val="-8"/>
          <w:sz w:val="20"/>
        </w:rPr>
        <w:t> </w:t>
      </w:r>
      <w:r>
        <w:rPr>
          <w:rFonts w:ascii="Arial"/>
          <w:b/>
          <w:sz w:val="20"/>
        </w:rPr>
        <w:t>Communication</w:t>
      </w:r>
      <w:r>
        <w:rPr>
          <w:rFonts w:ascii="Arial"/>
          <w:b/>
          <w:spacing w:val="-9"/>
          <w:sz w:val="20"/>
        </w:rPr>
        <w:t> </w:t>
      </w:r>
      <w:r>
        <w:rPr>
          <w:rFonts w:ascii="Arial"/>
          <w:b/>
          <w:sz w:val="20"/>
        </w:rPr>
        <w:t>Technology</w:t>
      </w:r>
      <w:r>
        <w:rPr>
          <w:rFonts w:ascii="Arial"/>
          <w:b/>
          <w:spacing w:val="-8"/>
          <w:sz w:val="20"/>
        </w:rPr>
        <w:t> </w:t>
      </w:r>
      <w:r>
        <w:rPr>
          <w:rFonts w:ascii="Arial"/>
          <w:b/>
          <w:sz w:val="20"/>
        </w:rPr>
        <w:t>Among</w:t>
      </w:r>
      <w:r>
        <w:rPr>
          <w:rFonts w:ascii="Arial"/>
          <w:b/>
          <w:spacing w:val="-9"/>
          <w:sz w:val="20"/>
        </w:rPr>
        <w:t> </w:t>
      </w:r>
      <w:r>
        <w:rPr>
          <w:rFonts w:ascii="Arial"/>
          <w:b/>
          <w:sz w:val="20"/>
        </w:rPr>
        <w:t>Post</w:t>
      </w:r>
      <w:r>
        <w:rPr>
          <w:rFonts w:ascii="Arial"/>
          <w:b/>
          <w:spacing w:val="-8"/>
          <w:sz w:val="20"/>
        </w:rPr>
        <w:t> </w:t>
      </w:r>
      <w:r>
        <w:rPr>
          <w:rFonts w:ascii="Arial"/>
          <w:b/>
          <w:sz w:val="20"/>
        </w:rPr>
        <w:t>Basic</w:t>
      </w:r>
      <w:r>
        <w:rPr>
          <w:rFonts w:ascii="Arial"/>
          <w:b/>
          <w:spacing w:val="-9"/>
          <w:sz w:val="20"/>
        </w:rPr>
        <w:t> </w:t>
      </w:r>
      <w:r>
        <w:rPr>
          <w:rFonts w:ascii="Arial"/>
          <w:b/>
          <w:sz w:val="20"/>
        </w:rPr>
        <w:t>Nursing</w:t>
      </w:r>
      <w:r>
        <w:rPr>
          <w:rFonts w:ascii="Arial"/>
          <w:b/>
          <w:spacing w:val="-8"/>
          <w:sz w:val="20"/>
        </w:rPr>
        <w:t> </w:t>
      </w:r>
      <w:r>
        <w:rPr>
          <w:rFonts w:ascii="Arial"/>
          <w:b/>
          <w:spacing w:val="-2"/>
          <w:sz w:val="20"/>
        </w:rPr>
        <w:t>Students</w:t>
      </w:r>
    </w:p>
    <w:p>
      <w:pPr>
        <w:pStyle w:val="BodyText"/>
        <w:rPr>
          <w:rFonts w:ascii="Arial"/>
          <w:b/>
        </w:rPr>
      </w:pPr>
    </w:p>
    <w:p>
      <w:pPr>
        <w:pStyle w:val="BodyText"/>
        <w:spacing w:before="53"/>
        <w:rPr>
          <w:rFonts w:ascii="Arial"/>
          <w:b/>
        </w:rPr>
      </w:pPr>
    </w:p>
    <w:p>
      <w:pPr>
        <w:pStyle w:val="BodyText"/>
        <w:spacing w:line="480" w:lineRule="auto"/>
        <w:ind w:left="360" w:right="718"/>
        <w:jc w:val="both"/>
      </w:pPr>
      <w:r>
        <w:rPr/>
        <w:t>The results of this study revealed that both male and female post-basic nursing students moderately utilize Information and Communication Technology (ICT) in their academic activities. The z-test analysis indicated no significant difference in the mean ratings between male and female students regarding ICT utilization. This suggests a general trend of moderate use of ICT tools among the student population, irrespective of gender. These</w:t>
      </w:r>
      <w:r>
        <w:rPr>
          <w:spacing w:val="-4"/>
        </w:rPr>
        <w:t> </w:t>
      </w:r>
      <w:r>
        <w:rPr/>
        <w:t>findings</w:t>
      </w:r>
      <w:r>
        <w:rPr>
          <w:spacing w:val="-4"/>
        </w:rPr>
        <w:t> </w:t>
      </w:r>
      <w:r>
        <w:rPr/>
        <w:t>are</w:t>
      </w:r>
      <w:r>
        <w:rPr>
          <w:spacing w:val="-4"/>
        </w:rPr>
        <w:t> </w:t>
      </w:r>
      <w:r>
        <w:rPr/>
        <w:t>consistent</w:t>
      </w:r>
      <w:r>
        <w:rPr>
          <w:spacing w:val="-4"/>
        </w:rPr>
        <w:t> </w:t>
      </w:r>
      <w:r>
        <w:rPr/>
        <w:t>with</w:t>
      </w:r>
      <w:r>
        <w:rPr>
          <w:spacing w:val="-4"/>
        </w:rPr>
        <w:t> </w:t>
      </w:r>
      <w:r>
        <w:rPr/>
        <w:t>the</w:t>
      </w:r>
      <w:r>
        <w:rPr>
          <w:spacing w:val="-4"/>
        </w:rPr>
        <w:t> </w:t>
      </w:r>
      <w:r>
        <w:rPr/>
        <w:t>report</w:t>
      </w:r>
      <w:r>
        <w:rPr>
          <w:spacing w:val="-4"/>
        </w:rPr>
        <w:t> </w:t>
      </w:r>
      <w:r>
        <w:rPr/>
        <w:t>of</w:t>
      </w:r>
      <w:r>
        <w:rPr>
          <w:spacing w:val="-4"/>
        </w:rPr>
        <w:t> </w:t>
      </w:r>
      <w:r>
        <w:rPr/>
        <w:t>Alves</w:t>
      </w:r>
      <w:r>
        <w:rPr>
          <w:spacing w:val="-4"/>
        </w:rPr>
        <w:t> </w:t>
      </w:r>
      <w:r>
        <w:rPr/>
        <w:t>et</w:t>
      </w:r>
      <w:r>
        <w:rPr>
          <w:spacing w:val="-4"/>
        </w:rPr>
        <w:t> </w:t>
      </w:r>
      <w:r>
        <w:rPr/>
        <w:t>al.</w:t>
      </w:r>
      <w:r>
        <w:rPr>
          <w:spacing w:val="-4"/>
        </w:rPr>
        <w:t> </w:t>
      </w:r>
      <w:r>
        <w:rPr/>
        <w:t>(2020),</w:t>
      </w:r>
      <w:r>
        <w:rPr>
          <w:spacing w:val="-4"/>
        </w:rPr>
        <w:t> </w:t>
      </w:r>
      <w:r>
        <w:rPr/>
        <w:t>which</w:t>
      </w:r>
      <w:r>
        <w:rPr>
          <w:spacing w:val="-4"/>
        </w:rPr>
        <w:t> </w:t>
      </w:r>
      <w:r>
        <w:rPr/>
        <w:t>indicated that a considerable proportion of nursing students make use of the internet, computers, multimedia projectors, and other digital resources in their academic work. However, the moderate level of usage observed in this study implies that ICT is not yet fully integrated into students' daily academic practices, highlighting a potential area for improvement. The results also align with the study by Nwozichi et al. (2019), which found</w:t>
      </w:r>
      <w:r>
        <w:rPr>
          <w:spacing w:val="-3"/>
        </w:rPr>
        <w:t> </w:t>
      </w:r>
      <w:r>
        <w:rPr/>
        <w:t>that</w:t>
      </w:r>
      <w:r>
        <w:rPr>
          <w:spacing w:val="-3"/>
        </w:rPr>
        <w:t> </w:t>
      </w:r>
      <w:r>
        <w:rPr/>
        <w:t>many</w:t>
      </w:r>
      <w:r>
        <w:rPr>
          <w:spacing w:val="-3"/>
        </w:rPr>
        <w:t> </w:t>
      </w:r>
      <w:r>
        <w:rPr/>
        <w:t>nursing</w:t>
      </w:r>
      <w:r>
        <w:rPr>
          <w:spacing w:val="-3"/>
        </w:rPr>
        <w:t> </w:t>
      </w:r>
      <w:r>
        <w:rPr/>
        <w:t>students</w:t>
      </w:r>
      <w:r>
        <w:rPr>
          <w:spacing w:val="-3"/>
        </w:rPr>
        <w:t> </w:t>
      </w:r>
      <w:r>
        <w:rPr/>
        <w:t>rarely</w:t>
      </w:r>
      <w:r>
        <w:rPr>
          <w:spacing w:val="-3"/>
        </w:rPr>
        <w:t> </w:t>
      </w:r>
      <w:r>
        <w:rPr/>
        <w:t>utilize</w:t>
      </w:r>
      <w:r>
        <w:rPr>
          <w:spacing w:val="-3"/>
        </w:rPr>
        <w:t> </w:t>
      </w:r>
      <w:r>
        <w:rPr/>
        <w:t>computers</w:t>
      </w:r>
      <w:r>
        <w:rPr>
          <w:spacing w:val="-3"/>
        </w:rPr>
        <w:t> </w:t>
      </w:r>
      <w:r>
        <w:rPr/>
        <w:t>and</w:t>
      </w:r>
      <w:r>
        <w:rPr>
          <w:spacing w:val="-3"/>
        </w:rPr>
        <w:t> </w:t>
      </w:r>
      <w:r>
        <w:rPr/>
        <w:t>related</w:t>
      </w:r>
      <w:r>
        <w:rPr>
          <w:spacing w:val="-3"/>
        </w:rPr>
        <w:t> </w:t>
      </w:r>
      <w:r>
        <w:rPr/>
        <w:t>digital</w:t>
      </w:r>
      <w:r>
        <w:rPr>
          <w:spacing w:val="-3"/>
        </w:rPr>
        <w:t> </w:t>
      </w:r>
      <w:r>
        <w:rPr/>
        <w:t>tools</w:t>
      </w:r>
      <w:r>
        <w:rPr>
          <w:spacing w:val="-3"/>
        </w:rPr>
        <w:t> </w:t>
      </w:r>
      <w:r>
        <w:rPr/>
        <w:t>as</w:t>
      </w:r>
      <w:r>
        <w:rPr>
          <w:spacing w:val="-3"/>
        </w:rPr>
        <w:t> </w:t>
      </w:r>
      <w:r>
        <w:rPr/>
        <w:t>part</w:t>
      </w:r>
      <w:r>
        <w:rPr>
          <w:spacing w:val="-3"/>
        </w:rPr>
        <w:t> </w:t>
      </w:r>
      <w:r>
        <w:rPr/>
        <w:t>of their study resources. This supports the conclusion that while some level of ICT usage exists, it is insufficient for optimal educational outcomes. Conversely, the findings contradict those of Webb et al. (2017), who reported that ICT is highly utilized in modern nursing education. This discrepancy could be attributed to institutional differences, geographical location, or variations in the commitment of school administrators, faculty, and students toward embracing educational technology and innovation. Overall, the moderate ICT utilization observed may reflect a broader systemic issue, possibly limited access to digital</w:t>
      </w:r>
      <w:r>
        <w:rPr>
          <w:spacing w:val="40"/>
        </w:rPr>
        <w:t> </w:t>
      </w:r>
      <w:r>
        <w:rPr/>
        <w:t>infrastructure,</w:t>
      </w:r>
      <w:r>
        <w:rPr>
          <w:spacing w:val="40"/>
        </w:rPr>
        <w:t> </w:t>
      </w:r>
      <w:r>
        <w:rPr/>
        <w:t>inadequate</w:t>
      </w:r>
      <w:r>
        <w:rPr>
          <w:spacing w:val="40"/>
        </w:rPr>
        <w:t> </w:t>
      </w:r>
      <w:r>
        <w:rPr/>
        <w:t>training,</w:t>
      </w:r>
      <w:r>
        <w:rPr>
          <w:spacing w:val="40"/>
        </w:rPr>
        <w:t> </w:t>
      </w:r>
      <w:r>
        <w:rPr/>
        <w:t>or</w:t>
      </w:r>
      <w:r>
        <w:rPr>
          <w:spacing w:val="40"/>
        </w:rPr>
        <w:t> </w:t>
      </w:r>
      <w:r>
        <w:rPr/>
        <w:t>insufficient</w:t>
      </w:r>
      <w:r>
        <w:rPr>
          <w:spacing w:val="40"/>
        </w:rPr>
        <w:t> </w:t>
      </w:r>
      <w:r>
        <w:rPr/>
        <w:t>motivation.</w:t>
      </w:r>
      <w:r>
        <w:rPr>
          <w:spacing w:val="40"/>
        </w:rPr>
        <w:t> </w:t>
      </w:r>
      <w:r>
        <w:rPr/>
        <w:t>Enhancing</w:t>
      </w:r>
      <w:r>
        <w:rPr>
          <w:spacing w:val="40"/>
        </w:rPr>
        <w:t> </w:t>
      </w:r>
      <w:r>
        <w:rPr/>
        <w:t>ICT</w:t>
      </w:r>
      <w:r>
        <w:rPr>
          <w:spacing w:val="40"/>
        </w:rPr>
        <w:t> </w:t>
      </w:r>
      <w:r>
        <w:rPr/>
        <w:t>integration</w:t>
      </w:r>
      <w:r>
        <w:rPr>
          <w:spacing w:val="40"/>
        </w:rPr>
        <w:t> </w:t>
      </w:r>
      <w:r>
        <w:rPr/>
        <w:t>within</w:t>
      </w:r>
    </w:p>
    <w:p>
      <w:pPr>
        <w:pStyle w:val="BodyText"/>
        <w:spacing w:after="0" w:line="480" w:lineRule="auto"/>
        <w:jc w:val="both"/>
        <w:sectPr>
          <w:pgSz w:w="12240" w:h="15840"/>
          <w:pgMar w:top="1820" w:bottom="280" w:left="1080" w:right="720"/>
        </w:sectPr>
      </w:pPr>
    </w:p>
    <w:p>
      <w:pPr>
        <w:pStyle w:val="BodyText"/>
        <w:spacing w:line="480" w:lineRule="auto" w:before="80"/>
        <w:ind w:left="360" w:right="721"/>
        <w:jc w:val="both"/>
      </w:pPr>
      <w:r>
        <w:rPr/>
        <w:t>nursing education will require strategic investment, policy support, and attitudinal change at all levels of the academic community.</w:t>
      </w:r>
    </w:p>
    <w:p>
      <w:pPr>
        <w:pStyle w:val="BodyText"/>
        <w:spacing w:before="53"/>
      </w:pPr>
    </w:p>
    <w:p>
      <w:pPr>
        <w:pStyle w:val="Heading3"/>
        <w:jc w:val="both"/>
      </w:pPr>
      <w:bookmarkStart w:name="Utilization of Information and Communica" w:id="6"/>
      <w:bookmarkEnd w:id="6"/>
      <w:r>
        <w:rPr>
          <w:b w:val="0"/>
        </w:rPr>
      </w:r>
      <w:r>
        <w:rPr/>
        <w:t>Utilization</w:t>
      </w:r>
      <w:r>
        <w:rPr>
          <w:spacing w:val="-11"/>
        </w:rPr>
        <w:t> </w:t>
      </w:r>
      <w:r>
        <w:rPr/>
        <w:t>of</w:t>
      </w:r>
      <w:r>
        <w:rPr>
          <w:spacing w:val="-8"/>
        </w:rPr>
        <w:t> </w:t>
      </w:r>
      <w:r>
        <w:rPr/>
        <w:t>Information</w:t>
      </w:r>
      <w:r>
        <w:rPr>
          <w:spacing w:val="-9"/>
        </w:rPr>
        <w:t> </w:t>
      </w:r>
      <w:r>
        <w:rPr/>
        <w:t>and</w:t>
      </w:r>
      <w:r>
        <w:rPr>
          <w:spacing w:val="-8"/>
        </w:rPr>
        <w:t> </w:t>
      </w:r>
      <w:r>
        <w:rPr/>
        <w:t>Communication</w:t>
      </w:r>
      <w:r>
        <w:rPr>
          <w:spacing w:val="-9"/>
        </w:rPr>
        <w:t> </w:t>
      </w:r>
      <w:r>
        <w:rPr/>
        <w:t>Technology</w:t>
      </w:r>
      <w:r>
        <w:rPr>
          <w:spacing w:val="-8"/>
        </w:rPr>
        <w:t> </w:t>
      </w:r>
      <w:r>
        <w:rPr/>
        <w:t>Among</w:t>
      </w:r>
      <w:r>
        <w:rPr>
          <w:spacing w:val="-9"/>
        </w:rPr>
        <w:t> </w:t>
      </w:r>
      <w:r>
        <w:rPr/>
        <w:t>Post</w:t>
      </w:r>
      <w:r>
        <w:rPr>
          <w:spacing w:val="-8"/>
        </w:rPr>
        <w:t> </w:t>
      </w:r>
      <w:r>
        <w:rPr/>
        <w:t>Basic</w:t>
      </w:r>
      <w:r>
        <w:rPr>
          <w:spacing w:val="-9"/>
        </w:rPr>
        <w:t> </w:t>
      </w:r>
      <w:r>
        <w:rPr/>
        <w:t>Nursing</w:t>
      </w:r>
      <w:r>
        <w:rPr>
          <w:spacing w:val="-8"/>
        </w:rPr>
        <w:t> </w:t>
      </w:r>
      <w:r>
        <w:rPr>
          <w:spacing w:val="-2"/>
        </w:rPr>
        <w:t>Lecturers</w:t>
      </w:r>
    </w:p>
    <w:p>
      <w:pPr>
        <w:pStyle w:val="BodyText"/>
        <w:spacing w:before="165"/>
        <w:rPr>
          <w:rFonts w:ascii="Arial"/>
          <w:b/>
        </w:rPr>
      </w:pPr>
    </w:p>
    <w:p>
      <w:pPr>
        <w:pStyle w:val="BodyText"/>
        <w:spacing w:line="360" w:lineRule="auto"/>
        <w:ind w:left="360" w:right="719"/>
        <w:jc w:val="both"/>
      </w:pPr>
      <w:r>
        <w:rPr/>
        <w:drawing>
          <wp:anchor distT="0" distB="0" distL="0" distR="0" allowOverlap="1" layoutInCell="1" locked="0" behindDoc="1" simplePos="0" relativeHeight="486935552">
            <wp:simplePos x="0" y="0"/>
            <wp:positionH relativeFrom="page">
              <wp:posOffset>919162</wp:posOffset>
            </wp:positionH>
            <wp:positionV relativeFrom="paragraph">
              <wp:posOffset>-12930</wp:posOffset>
            </wp:positionV>
            <wp:extent cx="5934075" cy="5934075"/>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5" cstate="print"/>
                    <a:stretch>
                      <a:fillRect/>
                    </a:stretch>
                  </pic:blipFill>
                  <pic:spPr>
                    <a:xfrm>
                      <a:off x="0" y="0"/>
                      <a:ext cx="5934075" cy="5934075"/>
                    </a:xfrm>
                    <a:prstGeom prst="rect">
                      <a:avLst/>
                    </a:prstGeom>
                  </pic:spPr>
                </pic:pic>
              </a:graphicData>
            </a:graphic>
          </wp:anchor>
        </w:drawing>
      </w:r>
      <w:r>
        <w:rPr/>
        <w:t>The findings of this study revealed that both male and female lecturers in post-basic nursing education moderately utilize Information and Communication Technology (ICT). The z-test analysis showed no significant difference in the mean ratings between male and female lecturers regarding the</w:t>
      </w:r>
      <w:r>
        <w:rPr>
          <w:spacing w:val="-3"/>
        </w:rPr>
        <w:t> </w:t>
      </w:r>
      <w:r>
        <w:rPr/>
        <w:t>extent</w:t>
      </w:r>
      <w:r>
        <w:rPr>
          <w:spacing w:val="-3"/>
        </w:rPr>
        <w:t> </w:t>
      </w:r>
      <w:r>
        <w:rPr/>
        <w:t>of</w:t>
      </w:r>
      <w:r>
        <w:rPr>
          <w:spacing w:val="-3"/>
        </w:rPr>
        <w:t> </w:t>
      </w:r>
      <w:r>
        <w:rPr/>
        <w:t>ICT utilization. This suggests a generally moderate level of ICT integration in teaching, lesson planning, and academic-related tasks among the</w:t>
      </w:r>
      <w:r>
        <w:rPr>
          <w:spacing w:val="-4"/>
        </w:rPr>
        <w:t> </w:t>
      </w:r>
      <w:r>
        <w:rPr/>
        <w:t>lecturers,</w:t>
      </w:r>
      <w:r>
        <w:rPr>
          <w:spacing w:val="-4"/>
        </w:rPr>
        <w:t> </w:t>
      </w:r>
      <w:r>
        <w:rPr/>
        <w:t>regardless</w:t>
      </w:r>
      <w:r>
        <w:rPr>
          <w:spacing w:val="-4"/>
        </w:rPr>
        <w:t> </w:t>
      </w:r>
      <w:r>
        <w:rPr/>
        <w:t>of</w:t>
      </w:r>
      <w:r>
        <w:rPr>
          <w:spacing w:val="-4"/>
        </w:rPr>
        <w:t> </w:t>
      </w:r>
      <w:r>
        <w:rPr/>
        <w:t>gender.</w:t>
      </w:r>
      <w:r>
        <w:rPr>
          <w:spacing w:val="-4"/>
        </w:rPr>
        <w:t> </w:t>
      </w:r>
      <w:r>
        <w:rPr/>
        <w:t>These</w:t>
      </w:r>
      <w:r>
        <w:rPr>
          <w:spacing w:val="-4"/>
        </w:rPr>
        <w:t> </w:t>
      </w:r>
      <w:r>
        <w:rPr/>
        <w:t>results</w:t>
      </w:r>
      <w:r>
        <w:rPr>
          <w:spacing w:val="-4"/>
        </w:rPr>
        <w:t> </w:t>
      </w:r>
      <w:r>
        <w:rPr/>
        <w:t>align</w:t>
      </w:r>
      <w:r>
        <w:rPr>
          <w:spacing w:val="-4"/>
        </w:rPr>
        <w:t> </w:t>
      </w:r>
      <w:r>
        <w:rPr/>
        <w:t>with</w:t>
      </w:r>
      <w:r>
        <w:rPr>
          <w:spacing w:val="-4"/>
        </w:rPr>
        <w:t> </w:t>
      </w:r>
      <w:r>
        <w:rPr/>
        <w:t>the</w:t>
      </w:r>
      <w:r>
        <w:rPr>
          <w:spacing w:val="-4"/>
        </w:rPr>
        <w:t> </w:t>
      </w:r>
      <w:r>
        <w:rPr/>
        <w:t>findings</w:t>
      </w:r>
      <w:r>
        <w:rPr>
          <w:spacing w:val="-4"/>
        </w:rPr>
        <w:t> </w:t>
      </w:r>
      <w:r>
        <w:rPr/>
        <w:t>of Alves et al. (2020), who noted that although the effectiveness of ICT in enhancing task performance is widely acknowledged, only a small</w:t>
      </w:r>
      <w:r>
        <w:rPr>
          <w:spacing w:val="-3"/>
        </w:rPr>
        <w:t> </w:t>
      </w:r>
      <w:r>
        <w:rPr/>
        <w:t>proportion</w:t>
      </w:r>
      <w:r>
        <w:rPr>
          <w:spacing w:val="-3"/>
        </w:rPr>
        <w:t> </w:t>
      </w:r>
      <w:r>
        <w:rPr/>
        <w:t>of</w:t>
      </w:r>
      <w:r>
        <w:rPr>
          <w:spacing w:val="-3"/>
        </w:rPr>
        <w:t> </w:t>
      </w:r>
      <w:r>
        <w:rPr/>
        <w:t>lecturers</w:t>
      </w:r>
      <w:r>
        <w:rPr>
          <w:spacing w:val="-3"/>
        </w:rPr>
        <w:t> </w:t>
      </w:r>
      <w:r>
        <w:rPr/>
        <w:t>actually</w:t>
      </w:r>
      <w:r>
        <w:rPr>
          <w:spacing w:val="-3"/>
        </w:rPr>
        <w:t> </w:t>
      </w:r>
      <w:r>
        <w:rPr/>
        <w:t>incorporate</w:t>
      </w:r>
      <w:r>
        <w:rPr>
          <w:spacing w:val="-3"/>
        </w:rPr>
        <w:t> </w:t>
      </w:r>
      <w:r>
        <w:rPr/>
        <w:t>ICT</w:t>
      </w:r>
      <w:r>
        <w:rPr>
          <w:spacing w:val="-3"/>
        </w:rPr>
        <w:t> </w:t>
      </w:r>
      <w:r>
        <w:rPr/>
        <w:t>into</w:t>
      </w:r>
      <w:r>
        <w:rPr>
          <w:spacing w:val="-3"/>
        </w:rPr>
        <w:t> </w:t>
      </w:r>
      <w:r>
        <w:rPr/>
        <w:t>nursing</w:t>
      </w:r>
      <w:r>
        <w:rPr>
          <w:spacing w:val="-3"/>
        </w:rPr>
        <w:t> </w:t>
      </w:r>
      <w:r>
        <w:rPr/>
        <w:t>education. Furthermore, Alves et al. (2020) and Kaminskienė et al. (2022) attributed this limited adoption to challenges such as pedagogical constraints, limited access to technological tools, and generational disparities in digital fluency. The current findings are</w:t>
      </w:r>
      <w:r>
        <w:rPr>
          <w:spacing w:val="-4"/>
        </w:rPr>
        <w:t> </w:t>
      </w:r>
      <w:r>
        <w:rPr/>
        <w:t>also</w:t>
      </w:r>
      <w:r>
        <w:rPr>
          <w:spacing w:val="-4"/>
        </w:rPr>
        <w:t> </w:t>
      </w:r>
      <w:r>
        <w:rPr/>
        <w:t>supported</w:t>
      </w:r>
      <w:r>
        <w:rPr>
          <w:spacing w:val="-4"/>
        </w:rPr>
        <w:t> </w:t>
      </w:r>
      <w:r>
        <w:rPr/>
        <w:t>by</w:t>
      </w:r>
      <w:r>
        <w:rPr>
          <w:spacing w:val="-4"/>
        </w:rPr>
        <w:t> </w:t>
      </w:r>
      <w:r>
        <w:rPr/>
        <w:t>Button</w:t>
      </w:r>
      <w:r>
        <w:rPr>
          <w:spacing w:val="-4"/>
        </w:rPr>
        <w:t> </w:t>
      </w:r>
      <w:r>
        <w:rPr/>
        <w:t>et</w:t>
      </w:r>
      <w:r>
        <w:rPr>
          <w:spacing w:val="-4"/>
        </w:rPr>
        <w:t> </w:t>
      </w:r>
      <w:r>
        <w:rPr/>
        <w:t>al.</w:t>
      </w:r>
      <w:r>
        <w:rPr>
          <w:spacing w:val="-4"/>
        </w:rPr>
        <w:t> </w:t>
      </w:r>
      <w:r>
        <w:rPr/>
        <w:t>(2014),</w:t>
      </w:r>
      <w:r>
        <w:rPr>
          <w:spacing w:val="-4"/>
        </w:rPr>
        <w:t> </w:t>
      </w:r>
      <w:r>
        <w:rPr/>
        <w:t>who</w:t>
      </w:r>
      <w:r>
        <w:rPr>
          <w:spacing w:val="-4"/>
        </w:rPr>
        <w:t> </w:t>
      </w:r>
      <w:r>
        <w:rPr/>
        <w:t>reported that many</w:t>
      </w:r>
      <w:r>
        <w:rPr>
          <w:spacing w:val="-2"/>
        </w:rPr>
        <w:t> </w:t>
      </w:r>
      <w:r>
        <w:rPr/>
        <w:t>nursing</w:t>
      </w:r>
      <w:r>
        <w:rPr>
          <w:spacing w:val="-3"/>
        </w:rPr>
        <w:t> </w:t>
      </w:r>
      <w:r>
        <w:rPr/>
        <w:t>educators</w:t>
      </w:r>
      <w:r>
        <w:rPr>
          <w:spacing w:val="-2"/>
        </w:rPr>
        <w:t> </w:t>
      </w:r>
      <w:r>
        <w:rPr/>
        <w:t>have</w:t>
      </w:r>
      <w:r>
        <w:rPr>
          <w:spacing w:val="-3"/>
        </w:rPr>
        <w:t> </w:t>
      </w:r>
      <w:r>
        <w:rPr/>
        <w:t>yet</w:t>
      </w:r>
      <w:r>
        <w:rPr>
          <w:spacing w:val="-2"/>
        </w:rPr>
        <w:t> </w:t>
      </w:r>
      <w:r>
        <w:rPr/>
        <w:t>to</w:t>
      </w:r>
      <w:r>
        <w:rPr>
          <w:spacing w:val="-3"/>
        </w:rPr>
        <w:t> </w:t>
      </w:r>
      <w:r>
        <w:rPr/>
        <w:t>fully</w:t>
      </w:r>
      <w:r>
        <w:rPr>
          <w:spacing w:val="-2"/>
        </w:rPr>
        <w:t> </w:t>
      </w:r>
      <w:r>
        <w:rPr/>
        <w:t>embrace</w:t>
      </w:r>
      <w:r>
        <w:rPr>
          <w:spacing w:val="-3"/>
        </w:rPr>
        <w:t> </w:t>
      </w:r>
      <w:r>
        <w:rPr/>
        <w:t>e-learning</w:t>
      </w:r>
      <w:r>
        <w:rPr>
          <w:spacing w:val="-2"/>
        </w:rPr>
        <w:t> </w:t>
      </w:r>
      <w:r>
        <w:rPr/>
        <w:t>platforms</w:t>
      </w:r>
      <w:r>
        <w:rPr>
          <w:spacing w:val="-3"/>
        </w:rPr>
        <w:t> </w:t>
      </w:r>
      <w:r>
        <w:rPr/>
        <w:t>and</w:t>
      </w:r>
      <w:r>
        <w:rPr>
          <w:spacing w:val="-2"/>
        </w:rPr>
        <w:t> </w:t>
      </w:r>
      <w:r>
        <w:rPr/>
        <w:t>ICT</w:t>
      </w:r>
      <w:r>
        <w:rPr>
          <w:spacing w:val="-3"/>
        </w:rPr>
        <w:t> </w:t>
      </w:r>
      <w:r>
        <w:rPr/>
        <w:t>tools</w:t>
      </w:r>
      <w:r>
        <w:rPr>
          <w:spacing w:val="-2"/>
        </w:rPr>
        <w:t> </w:t>
      </w:r>
      <w:r>
        <w:rPr/>
        <w:t>in</w:t>
      </w:r>
      <w:r>
        <w:rPr>
          <w:spacing w:val="-3"/>
        </w:rPr>
        <w:t> </w:t>
      </w:r>
      <w:r>
        <w:rPr/>
        <w:t>their</w:t>
      </w:r>
      <w:r>
        <w:rPr>
          <w:spacing w:val="-2"/>
        </w:rPr>
        <w:t> </w:t>
      </w:r>
      <w:r>
        <w:rPr/>
        <w:t>teaching practices. Similarly, Nwozichi et al. (2019) found that full integration of ICT into nursing education by lecturers</w:t>
      </w:r>
      <w:r>
        <w:rPr>
          <w:spacing w:val="-4"/>
        </w:rPr>
        <w:t> </w:t>
      </w:r>
      <w:r>
        <w:rPr/>
        <w:t>remains</w:t>
      </w:r>
      <w:r>
        <w:rPr>
          <w:spacing w:val="-4"/>
        </w:rPr>
        <w:t> </w:t>
      </w:r>
      <w:r>
        <w:rPr/>
        <w:t>a</w:t>
      </w:r>
      <w:r>
        <w:rPr>
          <w:spacing w:val="-4"/>
        </w:rPr>
        <w:t> </w:t>
      </w:r>
      <w:r>
        <w:rPr/>
        <w:t>work</w:t>
      </w:r>
      <w:r>
        <w:rPr>
          <w:spacing w:val="-4"/>
        </w:rPr>
        <w:t> </w:t>
      </w:r>
      <w:r>
        <w:rPr/>
        <w:t>in</w:t>
      </w:r>
      <w:r>
        <w:rPr>
          <w:spacing w:val="-4"/>
        </w:rPr>
        <w:t> </w:t>
      </w:r>
      <w:r>
        <w:rPr/>
        <w:t>progress,</w:t>
      </w:r>
      <w:r>
        <w:rPr>
          <w:spacing w:val="-4"/>
        </w:rPr>
        <w:t> </w:t>
      </w:r>
      <w:r>
        <w:rPr/>
        <w:t>further</w:t>
      </w:r>
      <w:r>
        <w:rPr>
          <w:spacing w:val="-4"/>
        </w:rPr>
        <w:t> </w:t>
      </w:r>
      <w:r>
        <w:rPr/>
        <w:t>corroborating</w:t>
      </w:r>
      <w:r>
        <w:rPr>
          <w:spacing w:val="-4"/>
        </w:rPr>
        <w:t> </w:t>
      </w:r>
      <w:r>
        <w:rPr/>
        <w:t>the</w:t>
      </w:r>
      <w:r>
        <w:rPr>
          <w:spacing w:val="-4"/>
        </w:rPr>
        <w:t> </w:t>
      </w:r>
      <w:r>
        <w:rPr/>
        <w:t>findings</w:t>
      </w:r>
      <w:r>
        <w:rPr>
          <w:spacing w:val="-4"/>
        </w:rPr>
        <w:t> </w:t>
      </w:r>
      <w:r>
        <w:rPr/>
        <w:t>of</w:t>
      </w:r>
      <w:r>
        <w:rPr>
          <w:spacing w:val="-4"/>
        </w:rPr>
        <w:t> </w:t>
      </w:r>
      <w:r>
        <w:rPr/>
        <w:t>this</w:t>
      </w:r>
      <w:r>
        <w:rPr>
          <w:spacing w:val="-4"/>
        </w:rPr>
        <w:t> </w:t>
      </w:r>
      <w:r>
        <w:rPr/>
        <w:t>study.</w:t>
      </w:r>
      <w:r>
        <w:rPr>
          <w:spacing w:val="-4"/>
        </w:rPr>
        <w:t> </w:t>
      </w:r>
      <w:r>
        <w:rPr/>
        <w:t>Overall,</w:t>
      </w:r>
      <w:r>
        <w:rPr>
          <w:spacing w:val="-4"/>
        </w:rPr>
        <w:t> </w:t>
      </w:r>
      <w:r>
        <w:rPr/>
        <w:t>while</w:t>
      </w:r>
      <w:r>
        <w:rPr>
          <w:spacing w:val="-4"/>
        </w:rPr>
        <w:t> </w:t>
      </w:r>
      <w:r>
        <w:rPr/>
        <w:t>there</w:t>
      </w:r>
      <w:r>
        <w:rPr>
          <w:spacing w:val="-4"/>
        </w:rPr>
        <w:t> </w:t>
      </w:r>
      <w:r>
        <w:rPr/>
        <w:t>is evidence of moderate ICT usage among post-basic nursing lecturers, the data suggest a need for improved digital capacity building, institutional support, and professional development initiatives to</w:t>
      </w:r>
      <w:r>
        <w:rPr>
          <w:spacing w:val="-3"/>
        </w:rPr>
        <w:t> </w:t>
      </w:r>
      <w:r>
        <w:rPr/>
        <w:t>foster more robust integration of ICT in nursing education.</w:t>
      </w:r>
    </w:p>
    <w:p>
      <w:pPr>
        <w:pStyle w:val="BodyText"/>
        <w:spacing w:before="53"/>
      </w:pPr>
    </w:p>
    <w:p>
      <w:pPr>
        <w:pStyle w:val="Heading3"/>
        <w:spacing w:line="360" w:lineRule="auto"/>
        <w:ind w:right="721"/>
        <w:jc w:val="both"/>
      </w:pPr>
      <w:bookmarkStart w:name="Factors Influencing the Utilization of I" w:id="7"/>
      <w:bookmarkEnd w:id="7"/>
      <w:r>
        <w:rPr>
          <w:b w:val="0"/>
        </w:rPr>
      </w:r>
      <w:r>
        <w:rPr/>
        <w:t>Factors Influencing the Utilization of Information and Communication Technology Among Post Basic Nursing Students and Lecturers</w:t>
      </w:r>
    </w:p>
    <w:p>
      <w:pPr>
        <w:pStyle w:val="BodyText"/>
        <w:spacing w:before="50"/>
        <w:rPr>
          <w:rFonts w:ascii="Arial"/>
          <w:b/>
        </w:rPr>
      </w:pPr>
    </w:p>
    <w:p>
      <w:pPr>
        <w:pStyle w:val="BodyText"/>
        <w:spacing w:line="360" w:lineRule="auto"/>
        <w:ind w:left="360" w:right="718"/>
        <w:jc w:val="both"/>
      </w:pPr>
      <w:r>
        <w:rPr/>
        <w:t>The study revealed a range of factors influencing the utilization of Information and Communication Technology (ICT) among post-basic nursing students and lecturers. These factors</w:t>
      </w:r>
      <w:r>
        <w:rPr>
          <w:spacing w:val="-4"/>
        </w:rPr>
        <w:t> </w:t>
      </w:r>
      <w:r>
        <w:rPr/>
        <w:t>include</w:t>
      </w:r>
      <w:r>
        <w:rPr>
          <w:spacing w:val="-4"/>
        </w:rPr>
        <w:t> </w:t>
      </w:r>
      <w:r>
        <w:rPr/>
        <w:t>the</w:t>
      </w:r>
      <w:r>
        <w:rPr>
          <w:spacing w:val="-4"/>
        </w:rPr>
        <w:t> </w:t>
      </w:r>
      <w:r>
        <w:rPr/>
        <w:t>availability of ICT facilities, accessibility to computers, resistance to change among students and lecturers, poor electric power supply, insufficient government funding, high cost of ICT devices, inadequate telecommunication infrastructure, poor maintenance culture, and unreliable internet connectivity. These findings are consistent with the report of Nwozichi et al. (2019), who observed</w:t>
      </w:r>
      <w:r>
        <w:rPr>
          <w:spacing w:val="-3"/>
        </w:rPr>
        <w:t> </w:t>
      </w:r>
      <w:r>
        <w:rPr/>
        <w:t>that</w:t>
      </w:r>
      <w:r>
        <w:rPr>
          <w:spacing w:val="-3"/>
        </w:rPr>
        <w:t> </w:t>
      </w:r>
      <w:r>
        <w:rPr/>
        <w:t>the</w:t>
      </w:r>
      <w:r>
        <w:rPr>
          <w:spacing w:val="-3"/>
        </w:rPr>
        <w:t> </w:t>
      </w:r>
      <w:r>
        <w:rPr/>
        <w:t>integration</w:t>
      </w:r>
      <w:r>
        <w:rPr>
          <w:spacing w:val="-3"/>
        </w:rPr>
        <w:t> </w:t>
      </w:r>
      <w:r>
        <w:rPr/>
        <w:t>of</w:t>
      </w:r>
      <w:r>
        <w:rPr>
          <w:spacing w:val="-3"/>
        </w:rPr>
        <w:t> </w:t>
      </w:r>
      <w:r>
        <w:rPr/>
        <w:t>ICT</w:t>
      </w:r>
      <w:r>
        <w:rPr>
          <w:spacing w:val="40"/>
        </w:rPr>
        <w:t> </w:t>
      </w:r>
      <w:r>
        <w:rPr/>
        <w:t>in nursing education remains underdeveloped due to limited availability, poor accessibility, and the absence of institutional structures necessary for the maintenance and sustainability of technological resources. They emphasized the need for increased governmental support in providing the necessary infrastructure and policy frameworks to drive ICT implementation in nursing education. Similarly, the present findings align with those of Button et al. (2014), who identified poor government support, particularly in terms of funding, provision of ICT facilities, and staffing, as critical barriers to</w:t>
      </w:r>
      <w:r>
        <w:rPr>
          <w:spacing w:val="-3"/>
        </w:rPr>
        <w:t> </w:t>
      </w:r>
      <w:r>
        <w:rPr/>
        <w:t>the</w:t>
      </w:r>
      <w:r>
        <w:rPr>
          <w:spacing w:val="-3"/>
        </w:rPr>
        <w:t> </w:t>
      </w:r>
      <w:r>
        <w:rPr/>
        <w:t>adoption</w:t>
      </w:r>
    </w:p>
    <w:p>
      <w:pPr>
        <w:pStyle w:val="BodyText"/>
        <w:spacing w:after="0" w:line="360" w:lineRule="auto"/>
        <w:jc w:val="both"/>
        <w:sectPr>
          <w:pgSz w:w="12240" w:h="15840"/>
          <w:pgMar w:top="1360" w:bottom="280" w:left="1080" w:right="720"/>
        </w:sectPr>
      </w:pPr>
    </w:p>
    <w:p>
      <w:pPr>
        <w:pStyle w:val="BodyText"/>
        <w:spacing w:line="360" w:lineRule="auto" w:before="80"/>
        <w:ind w:left="360" w:right="719"/>
        <w:jc w:val="both"/>
      </w:pPr>
      <w:r>
        <w:rPr/>
        <w:drawing>
          <wp:anchor distT="0" distB="0" distL="0" distR="0" allowOverlap="1" layoutInCell="1" locked="0" behindDoc="1" simplePos="0" relativeHeight="486936064">
            <wp:simplePos x="0" y="0"/>
            <wp:positionH relativeFrom="page">
              <wp:posOffset>919162</wp:posOffset>
            </wp:positionH>
            <wp:positionV relativeFrom="paragraph">
              <wp:posOffset>1198562</wp:posOffset>
            </wp:positionV>
            <wp:extent cx="5934075" cy="5934075"/>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5" cstate="print"/>
                    <a:stretch>
                      <a:fillRect/>
                    </a:stretch>
                  </pic:blipFill>
                  <pic:spPr>
                    <a:xfrm>
                      <a:off x="0" y="0"/>
                      <a:ext cx="5934075" cy="5934075"/>
                    </a:xfrm>
                    <a:prstGeom prst="rect">
                      <a:avLst/>
                    </a:prstGeom>
                  </pic:spPr>
                </pic:pic>
              </a:graphicData>
            </a:graphic>
          </wp:anchor>
        </w:drawing>
      </w:r>
      <w:r>
        <w:rPr/>
        <w:t>and utilization of ICT in nursing</w:t>
      </w:r>
      <w:r>
        <w:rPr>
          <w:spacing w:val="-3"/>
        </w:rPr>
        <w:t> </w:t>
      </w:r>
      <w:r>
        <w:rPr/>
        <w:t>schools.</w:t>
      </w:r>
      <w:r>
        <w:rPr>
          <w:spacing w:val="-3"/>
        </w:rPr>
        <w:t> </w:t>
      </w:r>
      <w:r>
        <w:rPr/>
        <w:t>Without</w:t>
      </w:r>
      <w:r>
        <w:rPr>
          <w:spacing w:val="-3"/>
        </w:rPr>
        <w:t> </w:t>
      </w:r>
      <w:r>
        <w:rPr/>
        <w:t>adequate</w:t>
      </w:r>
      <w:r>
        <w:rPr>
          <w:spacing w:val="-3"/>
        </w:rPr>
        <w:t> </w:t>
      </w:r>
      <w:r>
        <w:rPr/>
        <w:t>resources</w:t>
      </w:r>
      <w:r>
        <w:rPr>
          <w:spacing w:val="-3"/>
        </w:rPr>
        <w:t> </w:t>
      </w:r>
      <w:r>
        <w:rPr/>
        <w:t>and</w:t>
      </w:r>
      <w:r>
        <w:rPr>
          <w:spacing w:val="-3"/>
        </w:rPr>
        <w:t> </w:t>
      </w:r>
      <w:r>
        <w:rPr/>
        <w:t>a</w:t>
      </w:r>
      <w:r>
        <w:rPr>
          <w:spacing w:val="-3"/>
        </w:rPr>
        <w:t> </w:t>
      </w:r>
      <w:r>
        <w:rPr/>
        <w:t>supportive</w:t>
      </w:r>
      <w:r>
        <w:rPr>
          <w:spacing w:val="-3"/>
        </w:rPr>
        <w:t> </w:t>
      </w:r>
      <w:r>
        <w:rPr/>
        <w:t>environment,</w:t>
      </w:r>
      <w:r>
        <w:rPr>
          <w:spacing w:val="-3"/>
        </w:rPr>
        <w:t> </w:t>
      </w:r>
      <w:r>
        <w:rPr/>
        <w:t>both students and lecturers struggle to fully embrace ICT in their academic and instructional activities. These challenges suggest the need for a systemic and collaborative approach involving government agencies, institutional leadership, and private stakeholders to invest in ICT infrastructure, training, and support systems. Such efforts will not only enhance ICT integration but also improve the quality of nursing education in line with global standards.</w:t>
      </w:r>
    </w:p>
    <w:p>
      <w:pPr>
        <w:pStyle w:val="BodyText"/>
        <w:spacing w:before="53"/>
      </w:pPr>
    </w:p>
    <w:p>
      <w:pPr>
        <w:pStyle w:val="Heading3"/>
      </w:pPr>
      <w:r>
        <w:rPr>
          <w:spacing w:val="-2"/>
        </w:rPr>
        <w:t>Conclusion</w:t>
      </w:r>
    </w:p>
    <w:p>
      <w:pPr>
        <w:pStyle w:val="BodyText"/>
        <w:spacing w:before="4"/>
        <w:rPr>
          <w:rFonts w:ascii="Arial"/>
          <w:b/>
        </w:rPr>
      </w:pPr>
    </w:p>
    <w:p>
      <w:pPr>
        <w:pStyle w:val="BodyText"/>
        <w:spacing w:line="480" w:lineRule="auto"/>
        <w:ind w:left="360" w:right="718"/>
        <w:jc w:val="both"/>
      </w:pPr>
      <w:r>
        <w:rPr/>
        <w:t>The study investigated the extent of utilization of Information and Communication Technology (ICT) among post-basic nursing students and lecturers at the University of</w:t>
      </w:r>
      <w:r>
        <w:rPr>
          <w:spacing w:val="-4"/>
        </w:rPr>
        <w:t> </w:t>
      </w:r>
      <w:r>
        <w:rPr/>
        <w:t>Port</w:t>
      </w:r>
      <w:r>
        <w:rPr>
          <w:spacing w:val="-4"/>
        </w:rPr>
        <w:t> </w:t>
      </w:r>
      <w:r>
        <w:rPr/>
        <w:t>Harcourt</w:t>
      </w:r>
      <w:r>
        <w:rPr>
          <w:spacing w:val="-4"/>
        </w:rPr>
        <w:t> </w:t>
      </w:r>
      <w:r>
        <w:rPr/>
        <w:t>Teaching</w:t>
      </w:r>
      <w:r>
        <w:rPr>
          <w:spacing w:val="-4"/>
        </w:rPr>
        <w:t> </w:t>
      </w:r>
      <w:r>
        <w:rPr/>
        <w:t>Hospital,</w:t>
      </w:r>
      <w:r>
        <w:rPr>
          <w:spacing w:val="-4"/>
        </w:rPr>
        <w:t> </w:t>
      </w:r>
      <w:r>
        <w:rPr/>
        <w:t>as well as the factors influencing its usage. Findings revealed a moderate level of ICT utilization by both students and lecturers,</w:t>
      </w:r>
      <w:r>
        <w:rPr>
          <w:spacing w:val="-3"/>
        </w:rPr>
        <w:t> </w:t>
      </w:r>
      <w:r>
        <w:rPr/>
        <w:t>with</w:t>
      </w:r>
      <w:r>
        <w:rPr>
          <w:spacing w:val="-3"/>
        </w:rPr>
        <w:t> </w:t>
      </w:r>
      <w:r>
        <w:rPr/>
        <w:t>no</w:t>
      </w:r>
      <w:r>
        <w:rPr>
          <w:spacing w:val="-3"/>
        </w:rPr>
        <w:t> </w:t>
      </w:r>
      <w:r>
        <w:rPr/>
        <w:t>statistically</w:t>
      </w:r>
      <w:r>
        <w:rPr>
          <w:spacing w:val="-3"/>
        </w:rPr>
        <w:t> </w:t>
      </w:r>
      <w:r>
        <w:rPr/>
        <w:t>significant</w:t>
      </w:r>
      <w:r>
        <w:rPr>
          <w:spacing w:val="-3"/>
        </w:rPr>
        <w:t> </w:t>
      </w:r>
      <w:r>
        <w:rPr/>
        <w:t>difference</w:t>
      </w:r>
      <w:r>
        <w:rPr>
          <w:spacing w:val="-3"/>
        </w:rPr>
        <w:t> </w:t>
      </w:r>
      <w:r>
        <w:rPr/>
        <w:t>between</w:t>
      </w:r>
      <w:r>
        <w:rPr>
          <w:spacing w:val="-3"/>
        </w:rPr>
        <w:t> </w:t>
      </w:r>
      <w:r>
        <w:rPr/>
        <w:t>male</w:t>
      </w:r>
      <w:r>
        <w:rPr>
          <w:spacing w:val="-3"/>
        </w:rPr>
        <w:t> </w:t>
      </w:r>
      <w:r>
        <w:rPr/>
        <w:t>and</w:t>
      </w:r>
      <w:r>
        <w:rPr>
          <w:spacing w:val="-3"/>
        </w:rPr>
        <w:t> </w:t>
      </w:r>
      <w:r>
        <w:rPr/>
        <w:t>female</w:t>
      </w:r>
      <w:r>
        <w:rPr>
          <w:spacing w:val="-3"/>
        </w:rPr>
        <w:t> </w:t>
      </w:r>
      <w:r>
        <w:rPr/>
        <w:t>respondents</w:t>
      </w:r>
      <w:r>
        <w:rPr>
          <w:spacing w:val="-3"/>
        </w:rPr>
        <w:t> </w:t>
      </w:r>
      <w:r>
        <w:rPr/>
        <w:t>in their use of ICT for academic purposes. This indicates a uniform, yet suboptimal, engagement with ICT tools in the delivery and assimilation of nursing education. Furthermore, several critical factors were identified as barriers to effective ICT integration. These include limited access to ICT facilities, poor electricity supply, inadequate funding, resistance to change, and poor internet connectivity. These challenges continue to hinder the transformation of nursing education through digital</w:t>
      </w:r>
      <w:r>
        <w:rPr>
          <w:spacing w:val="-3"/>
        </w:rPr>
        <w:t> </w:t>
      </w:r>
      <w:r>
        <w:rPr/>
        <w:t>innovations.</w:t>
      </w:r>
      <w:r>
        <w:rPr>
          <w:spacing w:val="-3"/>
        </w:rPr>
        <w:t> </w:t>
      </w:r>
      <w:r>
        <w:rPr/>
        <w:t>In</w:t>
      </w:r>
      <w:r>
        <w:rPr>
          <w:spacing w:val="-3"/>
        </w:rPr>
        <w:t> </w:t>
      </w:r>
      <w:r>
        <w:rPr/>
        <w:t>light of the findings, there is an urgent need for policymakers,</w:t>
      </w:r>
      <w:r>
        <w:rPr>
          <w:spacing w:val="-3"/>
        </w:rPr>
        <w:t> </w:t>
      </w:r>
      <w:r>
        <w:rPr/>
        <w:t>educational</w:t>
      </w:r>
      <w:r>
        <w:rPr>
          <w:spacing w:val="-3"/>
        </w:rPr>
        <w:t> </w:t>
      </w:r>
      <w:r>
        <w:rPr/>
        <w:t>administrators,</w:t>
      </w:r>
      <w:r>
        <w:rPr>
          <w:spacing w:val="-3"/>
        </w:rPr>
        <w:t> </w:t>
      </w:r>
      <w:r>
        <w:rPr/>
        <w:t>and</w:t>
      </w:r>
      <w:r>
        <w:rPr>
          <w:spacing w:val="-3"/>
        </w:rPr>
        <w:t> </w:t>
      </w:r>
      <w:r>
        <w:rPr/>
        <w:t>stakeholders</w:t>
      </w:r>
      <w:r>
        <w:rPr>
          <w:spacing w:val="-3"/>
        </w:rPr>
        <w:t> </w:t>
      </w:r>
      <w:r>
        <w:rPr/>
        <w:t>to intensify</w:t>
      </w:r>
      <w:r>
        <w:rPr>
          <w:spacing w:val="40"/>
        </w:rPr>
        <w:t> </w:t>
      </w:r>
      <w:r>
        <w:rPr/>
        <w:t>efforts</w:t>
      </w:r>
      <w:r>
        <w:rPr>
          <w:spacing w:val="40"/>
        </w:rPr>
        <w:t> </w:t>
      </w:r>
      <w:r>
        <w:rPr/>
        <w:t>toward</w:t>
      </w:r>
      <w:r>
        <w:rPr>
          <w:spacing w:val="40"/>
        </w:rPr>
        <w:t> </w:t>
      </w:r>
      <w:r>
        <w:rPr/>
        <w:t>improving</w:t>
      </w:r>
      <w:r>
        <w:rPr>
          <w:spacing w:val="40"/>
        </w:rPr>
        <w:t> </w:t>
      </w:r>
      <w:r>
        <w:rPr/>
        <w:t>the</w:t>
      </w:r>
      <w:r>
        <w:rPr>
          <w:spacing w:val="40"/>
        </w:rPr>
        <w:t> </w:t>
      </w:r>
      <w:r>
        <w:rPr/>
        <w:t>availability,</w:t>
      </w:r>
      <w:r>
        <w:rPr>
          <w:spacing w:val="40"/>
        </w:rPr>
        <w:t> </w:t>
      </w:r>
      <w:r>
        <w:rPr/>
        <w:t>accessibility,</w:t>
      </w:r>
      <w:r>
        <w:rPr>
          <w:spacing w:val="40"/>
        </w:rPr>
        <w:t> </w:t>
      </w:r>
      <w:r>
        <w:rPr/>
        <w:t>and</w:t>
      </w:r>
      <w:r>
        <w:rPr>
          <w:spacing w:val="40"/>
        </w:rPr>
        <w:t> </w:t>
      </w:r>
      <w:r>
        <w:rPr/>
        <w:t>functionality</w:t>
      </w:r>
      <w:r>
        <w:rPr>
          <w:spacing w:val="40"/>
        </w:rPr>
        <w:t> </w:t>
      </w:r>
      <w:r>
        <w:rPr/>
        <w:t>of</w:t>
      </w:r>
      <w:r>
        <w:rPr>
          <w:spacing w:val="39"/>
        </w:rPr>
        <w:t> </w:t>
      </w:r>
      <w:r>
        <w:rPr/>
        <w:t>ICT</w:t>
      </w:r>
      <w:r>
        <w:rPr>
          <w:spacing w:val="39"/>
        </w:rPr>
        <w:t> </w:t>
      </w:r>
      <w:r>
        <w:rPr/>
        <w:t>resources</w:t>
      </w:r>
      <w:r>
        <w:rPr>
          <w:spacing w:val="39"/>
        </w:rPr>
        <w:t> </w:t>
      </w:r>
      <w:r>
        <w:rPr/>
        <w:t>in post-basic nursing institutions. Embracing ICT in nursing education is essential to enhance teaching efficiency, promote interactive learning, and prepare nursing</w:t>
      </w:r>
      <w:r>
        <w:rPr>
          <w:spacing w:val="-4"/>
        </w:rPr>
        <w:t> </w:t>
      </w:r>
      <w:r>
        <w:rPr/>
        <w:t>professionals</w:t>
      </w:r>
      <w:r>
        <w:rPr>
          <w:spacing w:val="-4"/>
        </w:rPr>
        <w:t> </w:t>
      </w:r>
      <w:r>
        <w:rPr/>
        <w:t>to</w:t>
      </w:r>
      <w:r>
        <w:rPr>
          <w:spacing w:val="-4"/>
        </w:rPr>
        <w:t> </w:t>
      </w:r>
      <w:r>
        <w:rPr/>
        <w:t>meet</w:t>
      </w:r>
      <w:r>
        <w:rPr>
          <w:spacing w:val="-4"/>
        </w:rPr>
        <w:t> </w:t>
      </w:r>
      <w:r>
        <w:rPr/>
        <w:t>the</w:t>
      </w:r>
      <w:r>
        <w:rPr>
          <w:spacing w:val="-4"/>
        </w:rPr>
        <w:t> </w:t>
      </w:r>
      <w:r>
        <w:rPr/>
        <w:t>dynamic</w:t>
      </w:r>
      <w:r>
        <w:rPr>
          <w:spacing w:val="-4"/>
        </w:rPr>
        <w:t> </w:t>
      </w:r>
      <w:r>
        <w:rPr/>
        <w:t>demands of modern healthcare systems.</w:t>
      </w:r>
    </w:p>
    <w:p>
      <w:pPr>
        <w:pStyle w:val="BodyText"/>
        <w:spacing w:before="50"/>
      </w:pPr>
    </w:p>
    <w:p>
      <w:pPr>
        <w:pStyle w:val="Heading3"/>
      </w:pPr>
      <w:bookmarkStart w:name="Recommendations " w:id="8"/>
      <w:bookmarkEnd w:id="8"/>
      <w:r>
        <w:rPr>
          <w:b w:val="0"/>
        </w:rPr>
      </w:r>
      <w:r>
        <w:rPr>
          <w:spacing w:val="-2"/>
        </w:rPr>
        <w:t>Recommendations</w:t>
      </w:r>
    </w:p>
    <w:p>
      <w:pPr>
        <w:pStyle w:val="BodyText"/>
        <w:spacing w:before="165"/>
        <w:rPr>
          <w:rFonts w:ascii="Arial"/>
          <w:b/>
        </w:rPr>
      </w:pPr>
    </w:p>
    <w:p>
      <w:pPr>
        <w:pStyle w:val="BodyText"/>
        <w:spacing w:line="360" w:lineRule="auto"/>
        <w:ind w:left="360" w:right="725"/>
        <w:jc w:val="both"/>
      </w:pPr>
      <w:r>
        <w:rPr/>
        <w:t>Based on the findings of this study, the following recommendations are proposed to enhance the utilization of Information and Communication Technology (ICT) among post-basic nursing students and </w:t>
      </w:r>
      <w:r>
        <w:rPr>
          <w:spacing w:val="-2"/>
        </w:rPr>
        <w:t>lecturers:</w:t>
      </w:r>
    </w:p>
    <w:p>
      <w:pPr>
        <w:pStyle w:val="ListParagraph"/>
        <w:numPr>
          <w:ilvl w:val="0"/>
          <w:numId w:val="3"/>
        </w:numPr>
        <w:tabs>
          <w:tab w:pos="1063" w:val="left" w:leader="none"/>
          <w:tab w:pos="1065" w:val="left" w:leader="none"/>
        </w:tabs>
        <w:spacing w:line="360" w:lineRule="auto" w:before="200" w:after="0"/>
        <w:ind w:left="1065" w:right="722" w:hanging="285"/>
        <w:jc w:val="left"/>
        <w:rPr>
          <w:rFonts w:ascii="Arial MT"/>
          <w:sz w:val="20"/>
        </w:rPr>
      </w:pPr>
      <w:r>
        <w:rPr>
          <w:rFonts w:ascii="Arial MT"/>
          <w:sz w:val="20"/>
        </w:rPr>
        <w:t>Provision of ICT Facilities: Nursing</w:t>
      </w:r>
      <w:r>
        <w:rPr>
          <w:rFonts w:ascii="Arial MT"/>
          <w:spacing w:val="-4"/>
          <w:sz w:val="20"/>
        </w:rPr>
        <w:t> </w:t>
      </w:r>
      <w:r>
        <w:rPr>
          <w:rFonts w:ascii="Arial MT"/>
          <w:sz w:val="20"/>
        </w:rPr>
        <w:t>schools</w:t>
      </w:r>
      <w:r>
        <w:rPr>
          <w:rFonts w:ascii="Arial MT"/>
          <w:spacing w:val="-4"/>
          <w:sz w:val="20"/>
        </w:rPr>
        <w:t> </w:t>
      </w:r>
      <w:r>
        <w:rPr>
          <w:rFonts w:ascii="Arial MT"/>
          <w:sz w:val="20"/>
        </w:rPr>
        <w:t>and</w:t>
      </w:r>
      <w:r>
        <w:rPr>
          <w:rFonts w:ascii="Arial MT"/>
          <w:spacing w:val="-4"/>
          <w:sz w:val="20"/>
        </w:rPr>
        <w:t> </w:t>
      </w:r>
      <w:r>
        <w:rPr>
          <w:rFonts w:ascii="Arial MT"/>
          <w:sz w:val="20"/>
        </w:rPr>
        <w:t>departments</w:t>
      </w:r>
      <w:r>
        <w:rPr>
          <w:rFonts w:ascii="Arial MT"/>
          <w:spacing w:val="-4"/>
          <w:sz w:val="20"/>
        </w:rPr>
        <w:t> </w:t>
      </w:r>
      <w:r>
        <w:rPr>
          <w:rFonts w:ascii="Arial MT"/>
          <w:sz w:val="20"/>
        </w:rPr>
        <w:t>should</w:t>
      </w:r>
      <w:r>
        <w:rPr>
          <w:rFonts w:ascii="Arial MT"/>
          <w:spacing w:val="-4"/>
          <w:sz w:val="20"/>
        </w:rPr>
        <w:t> </w:t>
      </w:r>
      <w:r>
        <w:rPr>
          <w:rFonts w:ascii="Arial MT"/>
          <w:sz w:val="20"/>
        </w:rPr>
        <w:t>be</w:t>
      </w:r>
      <w:r>
        <w:rPr>
          <w:rFonts w:ascii="Arial MT"/>
          <w:spacing w:val="-4"/>
          <w:sz w:val="20"/>
        </w:rPr>
        <w:t> </w:t>
      </w:r>
      <w:r>
        <w:rPr>
          <w:rFonts w:ascii="Arial MT"/>
          <w:sz w:val="20"/>
        </w:rPr>
        <w:t>adequately</w:t>
      </w:r>
      <w:r>
        <w:rPr>
          <w:rFonts w:ascii="Arial MT"/>
          <w:spacing w:val="-4"/>
          <w:sz w:val="20"/>
        </w:rPr>
        <w:t> </w:t>
      </w:r>
      <w:r>
        <w:rPr>
          <w:rFonts w:ascii="Arial MT"/>
          <w:sz w:val="20"/>
        </w:rPr>
        <w:t>equipped</w:t>
      </w:r>
      <w:r>
        <w:rPr>
          <w:rFonts w:ascii="Arial MT"/>
          <w:spacing w:val="-4"/>
          <w:sz w:val="20"/>
        </w:rPr>
        <w:t> </w:t>
      </w:r>
      <w:r>
        <w:rPr>
          <w:rFonts w:ascii="Arial MT"/>
          <w:sz w:val="20"/>
        </w:rPr>
        <w:t>with functional and up-to-date ICT facilities to support teaching, learning, and research.</w:t>
      </w:r>
    </w:p>
    <w:p>
      <w:pPr>
        <w:pStyle w:val="ListParagraph"/>
        <w:spacing w:after="0" w:line="360" w:lineRule="auto"/>
        <w:jc w:val="left"/>
        <w:rPr>
          <w:rFonts w:ascii="Arial MT"/>
          <w:sz w:val="20"/>
        </w:rPr>
        <w:sectPr>
          <w:pgSz w:w="12240" w:h="15840"/>
          <w:pgMar w:top="1360" w:bottom="280" w:left="1080" w:right="720"/>
        </w:sectPr>
      </w:pPr>
    </w:p>
    <w:p>
      <w:pPr>
        <w:pStyle w:val="ListParagraph"/>
        <w:numPr>
          <w:ilvl w:val="0"/>
          <w:numId w:val="3"/>
        </w:numPr>
        <w:tabs>
          <w:tab w:pos="1063" w:val="left" w:leader="none"/>
          <w:tab w:pos="1065" w:val="left" w:leader="none"/>
        </w:tabs>
        <w:spacing w:line="360" w:lineRule="auto" w:before="80" w:after="0"/>
        <w:ind w:left="1065" w:right="725" w:hanging="285"/>
        <w:jc w:val="both"/>
        <w:rPr>
          <w:rFonts w:ascii="Arial MT"/>
          <w:sz w:val="20"/>
        </w:rPr>
      </w:pPr>
      <w:r>
        <w:rPr>
          <w:rFonts w:ascii="Arial MT"/>
          <w:sz w:val="20"/>
        </w:rPr>
        <w:t>Accessibility of ICT Resources: School authorities and management should ensure that ICT resources are readily accessible to both students and lecturers, removing barriers that hinder optimal usage.</w:t>
      </w:r>
    </w:p>
    <w:p>
      <w:pPr>
        <w:pStyle w:val="ListParagraph"/>
        <w:numPr>
          <w:ilvl w:val="0"/>
          <w:numId w:val="3"/>
        </w:numPr>
        <w:tabs>
          <w:tab w:pos="1063" w:val="left" w:leader="none"/>
          <w:tab w:pos="1065" w:val="left" w:leader="none"/>
        </w:tabs>
        <w:spacing w:line="360" w:lineRule="auto" w:before="200" w:after="0"/>
        <w:ind w:left="1065" w:right="726" w:hanging="285"/>
        <w:jc w:val="both"/>
        <w:rPr>
          <w:rFonts w:ascii="Arial MT"/>
          <w:sz w:val="20"/>
        </w:rPr>
      </w:pPr>
      <w:r>
        <w:rPr>
          <w:rFonts w:ascii="Arial MT"/>
          <w:sz w:val="20"/>
        </w:rPr>
        <w:drawing>
          <wp:anchor distT="0" distB="0" distL="0" distR="0" allowOverlap="1" layoutInCell="1" locked="0" behindDoc="1" simplePos="0" relativeHeight="486936576">
            <wp:simplePos x="0" y="0"/>
            <wp:positionH relativeFrom="page">
              <wp:posOffset>919162</wp:posOffset>
            </wp:positionH>
            <wp:positionV relativeFrom="paragraph">
              <wp:posOffset>490593</wp:posOffset>
            </wp:positionV>
            <wp:extent cx="5934075" cy="5934075"/>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5" cstate="print"/>
                    <a:stretch>
                      <a:fillRect/>
                    </a:stretch>
                  </pic:blipFill>
                  <pic:spPr>
                    <a:xfrm>
                      <a:off x="0" y="0"/>
                      <a:ext cx="5934075" cy="5934075"/>
                    </a:xfrm>
                    <a:prstGeom prst="rect">
                      <a:avLst/>
                    </a:prstGeom>
                  </pic:spPr>
                </pic:pic>
              </a:graphicData>
            </a:graphic>
          </wp:anchor>
        </w:drawing>
      </w:r>
      <w:r>
        <w:rPr>
          <w:rFonts w:ascii="Arial MT"/>
          <w:sz w:val="20"/>
        </w:rPr>
        <w:t>Promotion of Positive Attitude:</w:t>
      </w:r>
      <w:r>
        <w:rPr>
          <w:rFonts w:ascii="Arial MT"/>
          <w:spacing w:val="-4"/>
          <w:sz w:val="20"/>
        </w:rPr>
        <w:t> </w:t>
      </w:r>
      <w:r>
        <w:rPr>
          <w:rFonts w:ascii="Arial MT"/>
          <w:sz w:val="20"/>
        </w:rPr>
        <w:t>Lecturers</w:t>
      </w:r>
      <w:r>
        <w:rPr>
          <w:rFonts w:ascii="Arial MT"/>
          <w:spacing w:val="-4"/>
          <w:sz w:val="20"/>
        </w:rPr>
        <w:t> </w:t>
      </w:r>
      <w:r>
        <w:rPr>
          <w:rFonts w:ascii="Arial MT"/>
          <w:sz w:val="20"/>
        </w:rPr>
        <w:t>and</w:t>
      </w:r>
      <w:r>
        <w:rPr>
          <w:rFonts w:ascii="Arial MT"/>
          <w:spacing w:val="-4"/>
          <w:sz w:val="20"/>
        </w:rPr>
        <w:t> </w:t>
      </w:r>
      <w:r>
        <w:rPr>
          <w:rFonts w:ascii="Arial MT"/>
          <w:sz w:val="20"/>
        </w:rPr>
        <w:t>students</w:t>
      </w:r>
      <w:r>
        <w:rPr>
          <w:rFonts w:ascii="Arial MT"/>
          <w:spacing w:val="-4"/>
          <w:sz w:val="20"/>
        </w:rPr>
        <w:t> </w:t>
      </w:r>
      <w:r>
        <w:rPr>
          <w:rFonts w:ascii="Arial MT"/>
          <w:sz w:val="20"/>
        </w:rPr>
        <w:t>should</w:t>
      </w:r>
      <w:r>
        <w:rPr>
          <w:rFonts w:ascii="Arial MT"/>
          <w:spacing w:val="-4"/>
          <w:sz w:val="20"/>
        </w:rPr>
        <w:t> </w:t>
      </w:r>
      <w:r>
        <w:rPr>
          <w:rFonts w:ascii="Arial MT"/>
          <w:sz w:val="20"/>
        </w:rPr>
        <w:t>be</w:t>
      </w:r>
      <w:r>
        <w:rPr>
          <w:rFonts w:ascii="Arial MT"/>
          <w:spacing w:val="-4"/>
          <w:sz w:val="20"/>
        </w:rPr>
        <w:t> </w:t>
      </w:r>
      <w:r>
        <w:rPr>
          <w:rFonts w:ascii="Arial MT"/>
          <w:sz w:val="20"/>
        </w:rPr>
        <w:t>encouraged</w:t>
      </w:r>
      <w:r>
        <w:rPr>
          <w:rFonts w:ascii="Arial MT"/>
          <w:spacing w:val="-4"/>
          <w:sz w:val="20"/>
        </w:rPr>
        <w:t> </w:t>
      </w:r>
      <w:r>
        <w:rPr>
          <w:rFonts w:ascii="Arial MT"/>
          <w:sz w:val="20"/>
        </w:rPr>
        <w:t>through</w:t>
      </w:r>
      <w:r>
        <w:rPr>
          <w:rFonts w:ascii="Arial MT"/>
          <w:spacing w:val="-4"/>
          <w:sz w:val="20"/>
        </w:rPr>
        <w:t> </w:t>
      </w:r>
      <w:r>
        <w:rPr>
          <w:rFonts w:ascii="Arial MT"/>
          <w:sz w:val="20"/>
        </w:rPr>
        <w:t>workshops, training, and sensitization programs to develop openness and a positive attitude toward ICT adoption in academic activities.</w:t>
      </w:r>
    </w:p>
    <w:p>
      <w:pPr>
        <w:pStyle w:val="ListParagraph"/>
        <w:numPr>
          <w:ilvl w:val="0"/>
          <w:numId w:val="3"/>
        </w:numPr>
        <w:tabs>
          <w:tab w:pos="1063" w:val="left" w:leader="none"/>
          <w:tab w:pos="1065" w:val="left" w:leader="none"/>
        </w:tabs>
        <w:spacing w:line="360" w:lineRule="auto" w:before="200" w:after="0"/>
        <w:ind w:left="1065" w:right="724" w:hanging="285"/>
        <w:jc w:val="both"/>
        <w:rPr>
          <w:rFonts w:ascii="Arial MT"/>
          <w:sz w:val="20"/>
        </w:rPr>
      </w:pPr>
      <w:r>
        <w:rPr>
          <w:rFonts w:ascii="Arial MT"/>
          <w:sz w:val="20"/>
        </w:rPr>
        <w:t>Stable Power Supply: Institutions of learning should be provided with</w:t>
      </w:r>
      <w:r>
        <w:rPr>
          <w:rFonts w:ascii="Arial MT"/>
          <w:spacing w:val="-3"/>
          <w:sz w:val="20"/>
        </w:rPr>
        <w:t> </w:t>
      </w:r>
      <w:r>
        <w:rPr>
          <w:rFonts w:ascii="Arial MT"/>
          <w:sz w:val="20"/>
        </w:rPr>
        <w:t>a</w:t>
      </w:r>
      <w:r>
        <w:rPr>
          <w:rFonts w:ascii="Arial MT"/>
          <w:spacing w:val="-3"/>
          <w:sz w:val="20"/>
        </w:rPr>
        <w:t> </w:t>
      </w:r>
      <w:r>
        <w:rPr>
          <w:rFonts w:ascii="Arial MT"/>
          <w:sz w:val="20"/>
        </w:rPr>
        <w:t>stable</w:t>
      </w:r>
      <w:r>
        <w:rPr>
          <w:rFonts w:ascii="Arial MT"/>
          <w:spacing w:val="-3"/>
          <w:sz w:val="20"/>
        </w:rPr>
        <w:t> </w:t>
      </w:r>
      <w:r>
        <w:rPr>
          <w:rFonts w:ascii="Arial MT"/>
          <w:sz w:val="20"/>
        </w:rPr>
        <w:t>and</w:t>
      </w:r>
      <w:r>
        <w:rPr>
          <w:rFonts w:ascii="Arial MT"/>
          <w:spacing w:val="-3"/>
          <w:sz w:val="20"/>
        </w:rPr>
        <w:t> </w:t>
      </w:r>
      <w:r>
        <w:rPr>
          <w:rFonts w:ascii="Arial MT"/>
          <w:sz w:val="20"/>
        </w:rPr>
        <w:t>reliable</w:t>
      </w:r>
      <w:r>
        <w:rPr>
          <w:rFonts w:ascii="Arial MT"/>
          <w:spacing w:val="-3"/>
          <w:sz w:val="20"/>
        </w:rPr>
        <w:t> </w:t>
      </w:r>
      <w:r>
        <w:rPr>
          <w:rFonts w:ascii="Arial MT"/>
          <w:sz w:val="20"/>
        </w:rPr>
        <w:t>power supply to ensure uninterrupted use of ICT equipment and internet services.</w:t>
      </w:r>
    </w:p>
    <w:p>
      <w:pPr>
        <w:pStyle w:val="ListParagraph"/>
        <w:numPr>
          <w:ilvl w:val="0"/>
          <w:numId w:val="3"/>
        </w:numPr>
        <w:tabs>
          <w:tab w:pos="1063" w:val="left" w:leader="none"/>
          <w:tab w:pos="1065" w:val="left" w:leader="none"/>
        </w:tabs>
        <w:spacing w:line="360" w:lineRule="auto" w:before="200" w:after="0"/>
        <w:ind w:left="1065" w:right="718" w:hanging="285"/>
        <w:jc w:val="both"/>
        <w:rPr>
          <w:rFonts w:ascii="Arial MT"/>
          <w:sz w:val="20"/>
        </w:rPr>
      </w:pPr>
      <w:r>
        <w:rPr>
          <w:rFonts w:ascii="Arial MT"/>
          <w:sz w:val="20"/>
        </w:rPr>
        <w:t>Increased Government Funding: The government and</w:t>
      </w:r>
      <w:r>
        <w:rPr>
          <w:rFonts w:ascii="Arial MT"/>
          <w:spacing w:val="-4"/>
          <w:sz w:val="20"/>
        </w:rPr>
        <w:t> </w:t>
      </w:r>
      <w:r>
        <w:rPr>
          <w:rFonts w:ascii="Arial MT"/>
          <w:sz w:val="20"/>
        </w:rPr>
        <w:t>relevant</w:t>
      </w:r>
      <w:r>
        <w:rPr>
          <w:rFonts w:ascii="Arial MT"/>
          <w:spacing w:val="-4"/>
          <w:sz w:val="20"/>
        </w:rPr>
        <w:t> </w:t>
      </w:r>
      <w:r>
        <w:rPr>
          <w:rFonts w:ascii="Arial MT"/>
          <w:sz w:val="20"/>
        </w:rPr>
        <w:t>regulatory</w:t>
      </w:r>
      <w:r>
        <w:rPr>
          <w:rFonts w:ascii="Arial MT"/>
          <w:spacing w:val="-4"/>
          <w:sz w:val="20"/>
        </w:rPr>
        <w:t> </w:t>
      </w:r>
      <w:r>
        <w:rPr>
          <w:rFonts w:ascii="Arial MT"/>
          <w:sz w:val="20"/>
        </w:rPr>
        <w:t>bodies</w:t>
      </w:r>
      <w:r>
        <w:rPr>
          <w:rFonts w:ascii="Arial MT"/>
          <w:spacing w:val="-4"/>
          <w:sz w:val="20"/>
        </w:rPr>
        <w:t> </w:t>
      </w:r>
      <w:r>
        <w:rPr>
          <w:rFonts w:ascii="Arial MT"/>
          <w:sz w:val="20"/>
        </w:rPr>
        <w:t>should</w:t>
      </w:r>
      <w:r>
        <w:rPr>
          <w:rFonts w:ascii="Arial MT"/>
          <w:spacing w:val="-4"/>
          <w:sz w:val="20"/>
        </w:rPr>
        <w:t> </w:t>
      </w:r>
      <w:r>
        <w:rPr>
          <w:rFonts w:ascii="Arial MT"/>
          <w:sz w:val="20"/>
        </w:rPr>
        <w:t>prioritize and increase financial support for ICT development in nursing education to bridge the digital </w:t>
      </w:r>
      <w:r>
        <w:rPr>
          <w:rFonts w:ascii="Arial MT"/>
          <w:spacing w:val="-2"/>
          <w:sz w:val="20"/>
        </w:rPr>
        <w:t>divide.</w:t>
      </w:r>
    </w:p>
    <w:p>
      <w:pPr>
        <w:pStyle w:val="ListParagraph"/>
        <w:numPr>
          <w:ilvl w:val="0"/>
          <w:numId w:val="3"/>
        </w:numPr>
        <w:tabs>
          <w:tab w:pos="1063" w:val="left" w:leader="none"/>
          <w:tab w:pos="1065" w:val="left" w:leader="none"/>
        </w:tabs>
        <w:spacing w:line="360" w:lineRule="auto" w:before="200" w:after="0"/>
        <w:ind w:left="1065" w:right="719" w:hanging="285"/>
        <w:jc w:val="both"/>
        <w:rPr>
          <w:rFonts w:ascii="Arial MT"/>
          <w:sz w:val="20"/>
        </w:rPr>
      </w:pPr>
      <w:r>
        <w:rPr>
          <w:rFonts w:ascii="Arial MT"/>
          <w:sz w:val="20"/>
        </w:rPr>
        <w:t>Effective Maintenance Culture: Management of nursing schools should adopt and sustain a proactive maintenance culture to ensure continuous functionality and longevity of ICT </w:t>
      </w:r>
      <w:r>
        <w:rPr>
          <w:rFonts w:ascii="Arial MT"/>
          <w:spacing w:val="-2"/>
          <w:sz w:val="20"/>
        </w:rPr>
        <w:t>infrastructure.</w:t>
      </w:r>
    </w:p>
    <w:p>
      <w:pPr>
        <w:pStyle w:val="Heading1"/>
        <w:spacing w:before="204"/>
      </w:pPr>
      <w:r>
        <w:rPr/>
        <w:t>DISCLAIMER</w:t>
      </w:r>
      <w:r>
        <w:rPr>
          <w:spacing w:val="-12"/>
        </w:rPr>
        <w:t> </w:t>
      </w:r>
      <w:r>
        <w:rPr/>
        <w:t>(ARTIFICIAL</w:t>
      </w:r>
      <w:r>
        <w:rPr>
          <w:spacing w:val="-11"/>
        </w:rPr>
        <w:t> </w:t>
      </w:r>
      <w:r>
        <w:rPr>
          <w:spacing w:val="-2"/>
        </w:rPr>
        <w:t>INTELLIGENCE)</w:t>
      </w:r>
    </w:p>
    <w:p>
      <w:pPr>
        <w:spacing w:before="240"/>
        <w:ind w:left="360" w:right="0" w:firstLine="0"/>
        <w:jc w:val="left"/>
        <w:rPr>
          <w:rFonts w:ascii="Calibri"/>
          <w:sz w:val="22"/>
        </w:rPr>
      </w:pPr>
      <w:r>
        <w:rPr>
          <w:rFonts w:ascii="Calibri"/>
          <w:sz w:val="22"/>
        </w:rPr>
        <w:t>Author(s)</w:t>
      </w:r>
      <w:r>
        <w:rPr>
          <w:rFonts w:ascii="Calibri"/>
          <w:spacing w:val="-10"/>
          <w:sz w:val="22"/>
        </w:rPr>
        <w:t> </w:t>
      </w:r>
      <w:r>
        <w:rPr>
          <w:rFonts w:ascii="Calibri"/>
          <w:sz w:val="22"/>
        </w:rPr>
        <w:t>hereby</w:t>
      </w:r>
      <w:r>
        <w:rPr>
          <w:rFonts w:ascii="Calibri"/>
          <w:spacing w:val="-8"/>
          <w:sz w:val="22"/>
        </w:rPr>
        <w:t> </w:t>
      </w:r>
      <w:r>
        <w:rPr>
          <w:rFonts w:ascii="Calibri"/>
          <w:sz w:val="22"/>
        </w:rPr>
        <w:t>declare</w:t>
      </w:r>
      <w:r>
        <w:rPr>
          <w:rFonts w:ascii="Calibri"/>
          <w:spacing w:val="-8"/>
          <w:sz w:val="22"/>
        </w:rPr>
        <w:t> </w:t>
      </w:r>
      <w:r>
        <w:rPr>
          <w:rFonts w:ascii="Calibri"/>
          <w:sz w:val="22"/>
        </w:rPr>
        <w:t>that</w:t>
      </w:r>
      <w:r>
        <w:rPr>
          <w:rFonts w:ascii="Calibri"/>
          <w:spacing w:val="-8"/>
          <w:sz w:val="22"/>
        </w:rPr>
        <w:t> </w:t>
      </w:r>
      <w:r>
        <w:rPr>
          <w:rFonts w:ascii="Calibri"/>
          <w:sz w:val="22"/>
        </w:rPr>
        <w:t>NO</w:t>
      </w:r>
      <w:r>
        <w:rPr>
          <w:rFonts w:ascii="Calibri"/>
          <w:spacing w:val="-8"/>
          <w:sz w:val="22"/>
        </w:rPr>
        <w:t> </w:t>
      </w:r>
      <w:r>
        <w:rPr>
          <w:rFonts w:ascii="Calibri"/>
          <w:sz w:val="22"/>
        </w:rPr>
        <w:t>generative</w:t>
      </w:r>
      <w:r>
        <w:rPr>
          <w:rFonts w:ascii="Calibri"/>
          <w:spacing w:val="-7"/>
          <w:sz w:val="22"/>
        </w:rPr>
        <w:t> </w:t>
      </w:r>
      <w:r>
        <w:rPr>
          <w:rFonts w:ascii="Calibri"/>
          <w:sz w:val="22"/>
        </w:rPr>
        <w:t>AI</w:t>
      </w:r>
      <w:r>
        <w:rPr>
          <w:rFonts w:ascii="Calibri"/>
          <w:spacing w:val="-8"/>
          <w:sz w:val="22"/>
        </w:rPr>
        <w:t> </w:t>
      </w:r>
      <w:r>
        <w:rPr>
          <w:rFonts w:ascii="Calibri"/>
          <w:sz w:val="22"/>
        </w:rPr>
        <w:t>technologies</w:t>
      </w:r>
      <w:r>
        <w:rPr>
          <w:rFonts w:ascii="Calibri"/>
          <w:spacing w:val="-8"/>
          <w:sz w:val="22"/>
        </w:rPr>
        <w:t> </w:t>
      </w:r>
      <w:r>
        <w:rPr>
          <w:rFonts w:ascii="Calibri"/>
          <w:sz w:val="22"/>
        </w:rPr>
        <w:t>such</w:t>
      </w:r>
      <w:r>
        <w:rPr>
          <w:rFonts w:ascii="Calibri"/>
          <w:spacing w:val="-8"/>
          <w:sz w:val="22"/>
        </w:rPr>
        <w:t> </w:t>
      </w:r>
      <w:r>
        <w:rPr>
          <w:rFonts w:ascii="Calibri"/>
          <w:sz w:val="22"/>
        </w:rPr>
        <w:t>as</w:t>
      </w:r>
      <w:r>
        <w:rPr>
          <w:rFonts w:ascii="Calibri"/>
          <w:spacing w:val="-8"/>
          <w:sz w:val="22"/>
        </w:rPr>
        <w:t> </w:t>
      </w:r>
      <w:r>
        <w:rPr>
          <w:rFonts w:ascii="Calibri"/>
          <w:sz w:val="22"/>
        </w:rPr>
        <w:t>Large</w:t>
      </w:r>
      <w:r>
        <w:rPr>
          <w:rFonts w:ascii="Calibri"/>
          <w:spacing w:val="-8"/>
          <w:sz w:val="22"/>
        </w:rPr>
        <w:t> </w:t>
      </w:r>
      <w:r>
        <w:rPr>
          <w:rFonts w:ascii="Calibri"/>
          <w:sz w:val="22"/>
        </w:rPr>
        <w:t>Language</w:t>
      </w:r>
      <w:r>
        <w:rPr>
          <w:rFonts w:ascii="Calibri"/>
          <w:spacing w:val="-7"/>
          <w:sz w:val="22"/>
        </w:rPr>
        <w:t> </w:t>
      </w:r>
      <w:r>
        <w:rPr>
          <w:rFonts w:ascii="Calibri"/>
          <w:spacing w:val="-2"/>
          <w:sz w:val="22"/>
        </w:rPr>
        <w:t>Models</w:t>
      </w:r>
    </w:p>
    <w:p>
      <w:pPr>
        <w:spacing w:line="276" w:lineRule="auto" w:before="240"/>
        <w:ind w:left="360" w:right="827" w:firstLine="0"/>
        <w:jc w:val="left"/>
        <w:rPr>
          <w:rFonts w:ascii="Calibri"/>
          <w:sz w:val="22"/>
        </w:rPr>
      </w:pPr>
      <w:r>
        <w:rPr>
          <w:rFonts w:ascii="Calibri"/>
          <w:sz w:val="22"/>
        </w:rPr>
        <w:t>(ChatGPT,</w:t>
      </w:r>
      <w:r>
        <w:rPr>
          <w:rFonts w:ascii="Calibri"/>
          <w:spacing w:val="-11"/>
          <w:sz w:val="22"/>
        </w:rPr>
        <w:t> </w:t>
      </w:r>
      <w:r>
        <w:rPr>
          <w:rFonts w:ascii="Calibri"/>
          <w:sz w:val="22"/>
        </w:rPr>
        <w:t>COPILOT,</w:t>
      </w:r>
      <w:r>
        <w:rPr>
          <w:rFonts w:ascii="Calibri"/>
          <w:spacing w:val="-11"/>
          <w:sz w:val="22"/>
        </w:rPr>
        <w:t> </w:t>
      </w:r>
      <w:r>
        <w:rPr>
          <w:rFonts w:ascii="Calibri"/>
          <w:sz w:val="22"/>
        </w:rPr>
        <w:t>etc)</w:t>
      </w:r>
      <w:r>
        <w:rPr>
          <w:rFonts w:ascii="Calibri"/>
          <w:spacing w:val="-11"/>
          <w:sz w:val="22"/>
        </w:rPr>
        <w:t> </w:t>
      </w:r>
      <w:r>
        <w:rPr>
          <w:rFonts w:ascii="Calibri"/>
          <w:sz w:val="22"/>
        </w:rPr>
        <w:t>and</w:t>
      </w:r>
      <w:r>
        <w:rPr>
          <w:rFonts w:ascii="Calibri"/>
          <w:spacing w:val="-11"/>
          <w:sz w:val="22"/>
        </w:rPr>
        <w:t> </w:t>
      </w:r>
      <w:r>
        <w:rPr>
          <w:rFonts w:ascii="Calibri"/>
          <w:sz w:val="22"/>
        </w:rPr>
        <w:t>text-to-image</w:t>
      </w:r>
      <w:r>
        <w:rPr>
          <w:rFonts w:ascii="Calibri"/>
          <w:spacing w:val="-11"/>
          <w:sz w:val="22"/>
        </w:rPr>
        <w:t> </w:t>
      </w:r>
      <w:r>
        <w:rPr>
          <w:rFonts w:ascii="Calibri"/>
          <w:sz w:val="22"/>
        </w:rPr>
        <w:t>generators</w:t>
      </w:r>
      <w:r>
        <w:rPr>
          <w:rFonts w:ascii="Calibri"/>
          <w:spacing w:val="-11"/>
          <w:sz w:val="22"/>
        </w:rPr>
        <w:t> </w:t>
      </w:r>
      <w:r>
        <w:rPr>
          <w:rFonts w:ascii="Calibri"/>
          <w:sz w:val="22"/>
        </w:rPr>
        <w:t>have</w:t>
      </w:r>
      <w:r>
        <w:rPr>
          <w:rFonts w:ascii="Calibri"/>
          <w:spacing w:val="-11"/>
          <w:sz w:val="22"/>
        </w:rPr>
        <w:t> </w:t>
      </w:r>
      <w:r>
        <w:rPr>
          <w:rFonts w:ascii="Calibri"/>
          <w:sz w:val="22"/>
        </w:rPr>
        <w:t>been</w:t>
      </w:r>
      <w:r>
        <w:rPr>
          <w:rFonts w:ascii="Calibri"/>
          <w:spacing w:val="-11"/>
          <w:sz w:val="22"/>
        </w:rPr>
        <w:t> </w:t>
      </w:r>
      <w:r>
        <w:rPr>
          <w:rFonts w:ascii="Calibri"/>
          <w:sz w:val="22"/>
        </w:rPr>
        <w:t>used</w:t>
      </w:r>
      <w:r>
        <w:rPr>
          <w:rFonts w:ascii="Calibri"/>
          <w:spacing w:val="-11"/>
          <w:sz w:val="22"/>
        </w:rPr>
        <w:t> </w:t>
      </w:r>
      <w:r>
        <w:rPr>
          <w:rFonts w:ascii="Calibri"/>
          <w:sz w:val="22"/>
        </w:rPr>
        <w:t>during</w:t>
      </w:r>
      <w:r>
        <w:rPr>
          <w:rFonts w:ascii="Calibri"/>
          <w:spacing w:val="-11"/>
          <w:sz w:val="22"/>
        </w:rPr>
        <w:t> </w:t>
      </w:r>
      <w:r>
        <w:rPr>
          <w:rFonts w:ascii="Calibri"/>
          <w:sz w:val="22"/>
        </w:rPr>
        <w:t>writing</w:t>
      </w:r>
      <w:r>
        <w:rPr>
          <w:rFonts w:ascii="Calibri"/>
          <w:spacing w:val="-11"/>
          <w:sz w:val="22"/>
        </w:rPr>
        <w:t> </w:t>
      </w:r>
      <w:r>
        <w:rPr>
          <w:rFonts w:ascii="Calibri"/>
          <w:sz w:val="22"/>
        </w:rPr>
        <w:t>or</w:t>
      </w:r>
      <w:r>
        <w:rPr>
          <w:rFonts w:ascii="Calibri"/>
          <w:spacing w:val="-11"/>
          <w:sz w:val="22"/>
        </w:rPr>
        <w:t> </w:t>
      </w:r>
      <w:r>
        <w:rPr>
          <w:rFonts w:ascii="Calibri"/>
          <w:sz w:val="22"/>
        </w:rPr>
        <w:t>editing</w:t>
      </w:r>
      <w:r>
        <w:rPr>
          <w:rFonts w:ascii="Calibri"/>
          <w:spacing w:val="-11"/>
          <w:sz w:val="22"/>
        </w:rPr>
        <w:t> </w:t>
      </w:r>
      <w:r>
        <w:rPr>
          <w:rFonts w:ascii="Calibri"/>
          <w:sz w:val="22"/>
        </w:rPr>
        <w:t>of</w:t>
      </w:r>
      <w:r>
        <w:rPr>
          <w:rFonts w:ascii="Calibri"/>
          <w:spacing w:val="-11"/>
          <w:sz w:val="22"/>
        </w:rPr>
        <w:t> </w:t>
      </w:r>
      <w:r>
        <w:rPr>
          <w:rFonts w:ascii="Calibri"/>
          <w:sz w:val="22"/>
        </w:rPr>
        <w:t>this </w:t>
      </w:r>
      <w:r>
        <w:rPr>
          <w:rFonts w:ascii="Calibri"/>
          <w:spacing w:val="-2"/>
          <w:sz w:val="22"/>
        </w:rPr>
        <w:t>manuscript.</w:t>
      </w:r>
    </w:p>
    <w:p>
      <w:pPr>
        <w:pStyle w:val="Heading1"/>
      </w:pPr>
      <w:r>
        <w:rPr>
          <w:spacing w:val="-2"/>
        </w:rPr>
        <w:t>CONSENT</w:t>
      </w:r>
    </w:p>
    <w:p>
      <w:pPr>
        <w:spacing w:line="276" w:lineRule="auto" w:before="241"/>
        <w:ind w:left="360" w:right="827" w:firstLine="0"/>
        <w:jc w:val="left"/>
        <w:rPr>
          <w:rFonts w:ascii="Calibri" w:hAnsi="Calibri"/>
          <w:sz w:val="22"/>
        </w:rPr>
      </w:pPr>
      <w:r>
        <w:rPr>
          <w:rFonts w:ascii="Calibri" w:hAnsi="Calibri"/>
          <w:sz w:val="22"/>
        </w:rPr>
        <w:t>As</w:t>
      </w:r>
      <w:r>
        <w:rPr>
          <w:rFonts w:ascii="Calibri" w:hAnsi="Calibri"/>
          <w:spacing w:val="-8"/>
          <w:sz w:val="22"/>
        </w:rPr>
        <w:t> </w:t>
      </w:r>
      <w:r>
        <w:rPr>
          <w:rFonts w:ascii="Calibri" w:hAnsi="Calibri"/>
          <w:sz w:val="22"/>
        </w:rPr>
        <w:t>per</w:t>
      </w:r>
      <w:r>
        <w:rPr>
          <w:rFonts w:ascii="Calibri" w:hAnsi="Calibri"/>
          <w:spacing w:val="-8"/>
          <w:sz w:val="22"/>
        </w:rPr>
        <w:t> </w:t>
      </w:r>
      <w:r>
        <w:rPr>
          <w:rFonts w:ascii="Calibri" w:hAnsi="Calibri"/>
          <w:sz w:val="22"/>
        </w:rPr>
        <w:t>international</w:t>
      </w:r>
      <w:r>
        <w:rPr>
          <w:rFonts w:ascii="Calibri" w:hAnsi="Calibri"/>
          <w:spacing w:val="-8"/>
          <w:sz w:val="22"/>
        </w:rPr>
        <w:t> </w:t>
      </w:r>
      <w:r>
        <w:rPr>
          <w:rFonts w:ascii="Calibri" w:hAnsi="Calibri"/>
          <w:sz w:val="22"/>
        </w:rPr>
        <w:t>standards</w:t>
      </w:r>
      <w:r>
        <w:rPr>
          <w:rFonts w:ascii="Calibri" w:hAnsi="Calibri"/>
          <w:spacing w:val="-8"/>
          <w:sz w:val="22"/>
        </w:rPr>
        <w:t> </w:t>
      </w:r>
      <w:r>
        <w:rPr>
          <w:rFonts w:ascii="Calibri" w:hAnsi="Calibri"/>
          <w:sz w:val="22"/>
        </w:rPr>
        <w:t>or</w:t>
      </w:r>
      <w:r>
        <w:rPr>
          <w:rFonts w:ascii="Calibri" w:hAnsi="Calibri"/>
          <w:spacing w:val="-8"/>
          <w:sz w:val="22"/>
        </w:rPr>
        <w:t> </w:t>
      </w:r>
      <w:r>
        <w:rPr>
          <w:rFonts w:ascii="Calibri" w:hAnsi="Calibri"/>
          <w:sz w:val="22"/>
        </w:rPr>
        <w:t>university</w:t>
      </w:r>
      <w:r>
        <w:rPr>
          <w:rFonts w:ascii="Calibri" w:hAnsi="Calibri"/>
          <w:spacing w:val="-8"/>
          <w:sz w:val="22"/>
        </w:rPr>
        <w:t> </w:t>
      </w:r>
      <w:r>
        <w:rPr>
          <w:rFonts w:ascii="Calibri" w:hAnsi="Calibri"/>
          <w:sz w:val="22"/>
        </w:rPr>
        <w:t>standards,</w:t>
      </w:r>
      <w:r>
        <w:rPr>
          <w:rFonts w:ascii="Calibri" w:hAnsi="Calibri"/>
          <w:spacing w:val="-8"/>
          <w:sz w:val="22"/>
        </w:rPr>
        <w:t> </w:t>
      </w:r>
      <w:r>
        <w:rPr>
          <w:rFonts w:ascii="Calibri" w:hAnsi="Calibri"/>
          <w:sz w:val="22"/>
        </w:rPr>
        <w:t>Participants’</w:t>
      </w:r>
      <w:r>
        <w:rPr>
          <w:rFonts w:ascii="Calibri" w:hAnsi="Calibri"/>
          <w:spacing w:val="-8"/>
          <w:sz w:val="22"/>
        </w:rPr>
        <w:t> </w:t>
      </w:r>
      <w:r>
        <w:rPr>
          <w:rFonts w:ascii="Calibri" w:hAnsi="Calibri"/>
          <w:sz w:val="22"/>
        </w:rPr>
        <w:t>written</w:t>
      </w:r>
      <w:r>
        <w:rPr>
          <w:rFonts w:ascii="Calibri" w:hAnsi="Calibri"/>
          <w:spacing w:val="-8"/>
          <w:sz w:val="22"/>
        </w:rPr>
        <w:t> </w:t>
      </w:r>
      <w:r>
        <w:rPr>
          <w:rFonts w:ascii="Calibri" w:hAnsi="Calibri"/>
          <w:sz w:val="22"/>
        </w:rPr>
        <w:t>consent</w:t>
      </w:r>
      <w:r>
        <w:rPr>
          <w:rFonts w:ascii="Calibri" w:hAnsi="Calibri"/>
          <w:spacing w:val="-8"/>
          <w:sz w:val="22"/>
        </w:rPr>
        <w:t> </w:t>
      </w:r>
      <w:r>
        <w:rPr>
          <w:rFonts w:ascii="Calibri" w:hAnsi="Calibri"/>
          <w:sz w:val="22"/>
        </w:rPr>
        <w:t>has</w:t>
      </w:r>
      <w:r>
        <w:rPr>
          <w:rFonts w:ascii="Calibri" w:hAnsi="Calibri"/>
          <w:spacing w:val="-8"/>
          <w:sz w:val="22"/>
        </w:rPr>
        <w:t> </w:t>
      </w:r>
      <w:r>
        <w:rPr>
          <w:rFonts w:ascii="Calibri" w:hAnsi="Calibri"/>
          <w:sz w:val="22"/>
        </w:rPr>
        <w:t>been</w:t>
      </w:r>
      <w:r>
        <w:rPr>
          <w:rFonts w:ascii="Calibri" w:hAnsi="Calibri"/>
          <w:spacing w:val="-8"/>
          <w:sz w:val="22"/>
        </w:rPr>
        <w:t> </w:t>
      </w:r>
      <w:r>
        <w:rPr>
          <w:rFonts w:ascii="Calibri" w:hAnsi="Calibri"/>
          <w:sz w:val="22"/>
        </w:rPr>
        <w:t>collected and preserved by the author(s).</w:t>
      </w:r>
    </w:p>
    <w:p>
      <w:pPr>
        <w:pStyle w:val="Heading1"/>
      </w:pPr>
      <w:r>
        <w:rPr/>
        <w:t>COMPETING</w:t>
      </w:r>
      <w:r>
        <w:rPr>
          <w:spacing w:val="-10"/>
        </w:rPr>
        <w:t> </w:t>
      </w:r>
      <w:r>
        <w:rPr>
          <w:spacing w:val="-2"/>
        </w:rPr>
        <w:t>INTERESTS</w:t>
      </w:r>
    </w:p>
    <w:p>
      <w:pPr>
        <w:pStyle w:val="Heading2"/>
        <w:spacing w:before="240"/>
        <w:ind w:left="360" w:firstLine="0"/>
      </w:pPr>
      <w:r>
        <w:rPr/>
        <w:t>Authors</w:t>
      </w:r>
      <w:r>
        <w:rPr>
          <w:spacing w:val="-12"/>
        </w:rPr>
        <w:t> </w:t>
      </w:r>
      <w:r>
        <w:rPr/>
        <w:t>have</w:t>
      </w:r>
      <w:r>
        <w:rPr>
          <w:spacing w:val="-9"/>
        </w:rPr>
        <w:t> </w:t>
      </w:r>
      <w:r>
        <w:rPr/>
        <w:t>declared</w:t>
      </w:r>
      <w:r>
        <w:rPr>
          <w:spacing w:val="-9"/>
        </w:rPr>
        <w:t> </w:t>
      </w:r>
      <w:r>
        <w:rPr/>
        <w:t>that</w:t>
      </w:r>
      <w:r>
        <w:rPr>
          <w:spacing w:val="-10"/>
        </w:rPr>
        <w:t> </w:t>
      </w:r>
      <w:r>
        <w:rPr/>
        <w:t>no</w:t>
      </w:r>
      <w:r>
        <w:rPr>
          <w:spacing w:val="-9"/>
        </w:rPr>
        <w:t> </w:t>
      </w:r>
      <w:r>
        <w:rPr/>
        <w:t>competing</w:t>
      </w:r>
      <w:r>
        <w:rPr>
          <w:spacing w:val="-9"/>
        </w:rPr>
        <w:t> </w:t>
      </w:r>
      <w:r>
        <w:rPr/>
        <w:t>interests</w:t>
      </w:r>
      <w:r>
        <w:rPr>
          <w:spacing w:val="-9"/>
        </w:rPr>
        <w:t> </w:t>
      </w:r>
      <w:r>
        <w:rPr>
          <w:spacing w:val="-2"/>
        </w:rPr>
        <w:t>exist.</w:t>
      </w:r>
    </w:p>
    <w:p>
      <w:pPr>
        <w:pStyle w:val="Heading2"/>
        <w:spacing w:after="0"/>
        <w:sectPr>
          <w:pgSz w:w="12240" w:h="15840"/>
          <w:pgMar w:top="1360" w:bottom="280" w:left="1080" w:right="720"/>
        </w:sectPr>
      </w:pPr>
    </w:p>
    <w:p>
      <w:pPr>
        <w:spacing w:before="25"/>
        <w:ind w:left="360" w:right="0" w:firstLine="0"/>
        <w:jc w:val="left"/>
        <w:rPr>
          <w:rFonts w:ascii="Calibri"/>
          <w:b/>
          <w:sz w:val="26"/>
        </w:rPr>
      </w:pPr>
      <w:r>
        <w:rPr>
          <w:rFonts w:ascii="Calibri"/>
          <w:b/>
          <w:spacing w:val="-2"/>
          <w:sz w:val="26"/>
        </w:rPr>
        <w:t>References</w:t>
      </w:r>
    </w:p>
    <w:p>
      <w:pPr>
        <w:pStyle w:val="ListParagraph"/>
        <w:numPr>
          <w:ilvl w:val="0"/>
          <w:numId w:val="4"/>
        </w:numPr>
        <w:tabs>
          <w:tab w:pos="1078" w:val="left" w:leader="none"/>
          <w:tab w:pos="1080" w:val="left" w:leader="none"/>
        </w:tabs>
        <w:spacing w:line="240" w:lineRule="auto" w:before="286" w:after="0"/>
        <w:ind w:left="1080" w:right="820" w:hanging="360"/>
        <w:jc w:val="left"/>
        <w:rPr>
          <w:sz w:val="22"/>
        </w:rPr>
      </w:pPr>
      <w:r>
        <w:rPr>
          <w:sz w:val="22"/>
        </w:rPr>
        <w:t>Alves,</w:t>
      </w:r>
      <w:r>
        <w:rPr>
          <w:spacing w:val="-5"/>
          <w:sz w:val="22"/>
        </w:rPr>
        <w:t> </w:t>
      </w:r>
      <w:r>
        <w:rPr>
          <w:sz w:val="22"/>
        </w:rPr>
        <w:t>A.</w:t>
      </w:r>
      <w:r>
        <w:rPr>
          <w:spacing w:val="-5"/>
          <w:sz w:val="22"/>
        </w:rPr>
        <w:t> </w:t>
      </w:r>
      <w:r>
        <w:rPr>
          <w:sz w:val="22"/>
        </w:rPr>
        <w:t>G.,</w:t>
      </w:r>
      <w:r>
        <w:rPr>
          <w:spacing w:val="-5"/>
          <w:sz w:val="22"/>
        </w:rPr>
        <w:t> </w:t>
      </w:r>
      <w:r>
        <w:rPr>
          <w:sz w:val="22"/>
        </w:rPr>
        <w:t>Cesar,</w:t>
      </w:r>
      <w:r>
        <w:rPr>
          <w:spacing w:val="-5"/>
          <w:sz w:val="22"/>
        </w:rPr>
        <w:t> </w:t>
      </w:r>
      <w:r>
        <w:rPr>
          <w:sz w:val="22"/>
        </w:rPr>
        <w:t>F.</w:t>
      </w:r>
      <w:r>
        <w:rPr>
          <w:spacing w:val="-5"/>
          <w:sz w:val="22"/>
        </w:rPr>
        <w:t> </w:t>
      </w:r>
      <w:r>
        <w:rPr>
          <w:sz w:val="22"/>
        </w:rPr>
        <w:t>C.</w:t>
      </w:r>
      <w:r>
        <w:rPr>
          <w:spacing w:val="-5"/>
          <w:sz w:val="22"/>
        </w:rPr>
        <w:t> </w:t>
      </w:r>
      <w:r>
        <w:rPr>
          <w:sz w:val="22"/>
        </w:rPr>
        <w:t>R.,</w:t>
      </w:r>
      <w:r>
        <w:rPr>
          <w:spacing w:val="-5"/>
          <w:sz w:val="22"/>
        </w:rPr>
        <w:t> </w:t>
      </w:r>
      <w:r>
        <w:rPr>
          <w:sz w:val="22"/>
        </w:rPr>
        <w:t>Martins,</w:t>
      </w:r>
      <w:r>
        <w:rPr>
          <w:spacing w:val="-5"/>
          <w:sz w:val="22"/>
        </w:rPr>
        <w:t> </w:t>
      </w:r>
      <w:r>
        <w:rPr>
          <w:sz w:val="22"/>
        </w:rPr>
        <w:t>C.</w:t>
      </w:r>
      <w:r>
        <w:rPr>
          <w:spacing w:val="-5"/>
          <w:sz w:val="22"/>
        </w:rPr>
        <w:t> </w:t>
      </w:r>
      <w:r>
        <w:rPr>
          <w:sz w:val="22"/>
        </w:rPr>
        <w:t>A.,</w:t>
      </w:r>
      <w:r>
        <w:rPr>
          <w:spacing w:val="-5"/>
          <w:sz w:val="22"/>
        </w:rPr>
        <w:t> </w:t>
      </w:r>
      <w:r>
        <w:rPr>
          <w:sz w:val="22"/>
        </w:rPr>
        <w:t>Ribeiro,</w:t>
      </w:r>
      <w:r>
        <w:rPr>
          <w:spacing w:val="-5"/>
          <w:sz w:val="22"/>
        </w:rPr>
        <w:t> </w:t>
      </w:r>
      <w:r>
        <w:rPr>
          <w:sz w:val="22"/>
        </w:rPr>
        <w:t>L.</w:t>
      </w:r>
      <w:r>
        <w:rPr>
          <w:spacing w:val="-5"/>
          <w:sz w:val="22"/>
        </w:rPr>
        <w:t> </w:t>
      </w:r>
      <w:r>
        <w:rPr>
          <w:sz w:val="22"/>
        </w:rPr>
        <w:t>C.</w:t>
      </w:r>
      <w:r>
        <w:rPr>
          <w:spacing w:val="-5"/>
          <w:sz w:val="22"/>
        </w:rPr>
        <w:t> </w:t>
      </w:r>
      <w:r>
        <w:rPr>
          <w:sz w:val="22"/>
        </w:rPr>
        <w:t>M.,</w:t>
      </w:r>
      <w:r>
        <w:rPr>
          <w:spacing w:val="-5"/>
          <w:sz w:val="22"/>
        </w:rPr>
        <w:t> </w:t>
      </w:r>
      <w:r>
        <w:rPr>
          <w:sz w:val="22"/>
        </w:rPr>
        <w:t>Oliveira,</w:t>
      </w:r>
      <w:r>
        <w:rPr>
          <w:spacing w:val="-5"/>
          <w:sz w:val="22"/>
        </w:rPr>
        <w:t> </w:t>
      </w:r>
      <w:r>
        <w:rPr>
          <w:sz w:val="22"/>
        </w:rPr>
        <w:t>L.</w:t>
      </w:r>
      <w:r>
        <w:rPr>
          <w:spacing w:val="-5"/>
          <w:sz w:val="22"/>
        </w:rPr>
        <w:t> </w:t>
      </w:r>
      <w:r>
        <w:rPr>
          <w:sz w:val="22"/>
        </w:rPr>
        <w:t>M.</w:t>
      </w:r>
      <w:r>
        <w:rPr>
          <w:spacing w:val="-5"/>
          <w:sz w:val="22"/>
        </w:rPr>
        <w:t> </w:t>
      </w:r>
      <w:r>
        <w:rPr>
          <w:sz w:val="22"/>
        </w:rPr>
        <w:t>A.</w:t>
      </w:r>
      <w:r>
        <w:rPr>
          <w:spacing w:val="-5"/>
          <w:sz w:val="22"/>
        </w:rPr>
        <w:t> </w:t>
      </w:r>
      <w:r>
        <w:rPr>
          <w:sz w:val="22"/>
        </w:rPr>
        <w:t>C.,</w:t>
      </w:r>
      <w:r>
        <w:rPr>
          <w:spacing w:val="-5"/>
          <w:sz w:val="22"/>
        </w:rPr>
        <w:t> </w:t>
      </w:r>
      <w:r>
        <w:rPr>
          <w:sz w:val="22"/>
        </w:rPr>
        <w:t>Barbosa,</w:t>
      </w:r>
      <w:r>
        <w:rPr>
          <w:spacing w:val="-5"/>
          <w:sz w:val="22"/>
        </w:rPr>
        <w:t> </w:t>
      </w:r>
      <w:r>
        <w:rPr>
          <w:sz w:val="22"/>
        </w:rPr>
        <w:t>M.</w:t>
      </w:r>
      <w:r>
        <w:rPr>
          <w:spacing w:val="-5"/>
          <w:sz w:val="22"/>
        </w:rPr>
        <w:t> </w:t>
      </w:r>
      <w:r>
        <w:rPr>
          <w:sz w:val="22"/>
        </w:rPr>
        <w:t>A.,</w:t>
      </w:r>
      <w:r>
        <w:rPr>
          <w:spacing w:val="-5"/>
          <w:sz w:val="22"/>
        </w:rPr>
        <w:t> </w:t>
      </w:r>
      <w:r>
        <w:rPr>
          <w:sz w:val="22"/>
        </w:rPr>
        <w:t>&amp; Moraes, K. L. (2020). Information and communication technology in nursing education. </w:t>
      </w:r>
      <w:r>
        <w:rPr>
          <w:i/>
          <w:sz w:val="22"/>
        </w:rPr>
        <w:t>Acta Paulista</w:t>
      </w:r>
      <w:r>
        <w:rPr>
          <w:i/>
          <w:spacing w:val="-8"/>
          <w:sz w:val="22"/>
        </w:rPr>
        <w:t> </w:t>
      </w:r>
      <w:r>
        <w:rPr>
          <w:i/>
          <w:sz w:val="22"/>
        </w:rPr>
        <w:t>de</w:t>
      </w:r>
      <w:r>
        <w:rPr>
          <w:i/>
          <w:spacing w:val="-8"/>
          <w:sz w:val="22"/>
        </w:rPr>
        <w:t> </w:t>
      </w:r>
      <w:r>
        <w:rPr>
          <w:i/>
          <w:sz w:val="22"/>
        </w:rPr>
        <w:t>Enfermagem,</w:t>
      </w:r>
      <w:r>
        <w:rPr>
          <w:i/>
          <w:spacing w:val="-8"/>
          <w:sz w:val="22"/>
        </w:rPr>
        <w:t> </w:t>
      </w:r>
      <w:r>
        <w:rPr>
          <w:i/>
          <w:sz w:val="22"/>
        </w:rPr>
        <w:t>33</w:t>
      </w:r>
      <w:r>
        <w:rPr>
          <w:sz w:val="22"/>
        </w:rPr>
        <w:t>,</w:t>
      </w:r>
      <w:r>
        <w:rPr>
          <w:spacing w:val="-8"/>
          <w:sz w:val="22"/>
        </w:rPr>
        <w:t> </w:t>
      </w:r>
      <w:r>
        <w:rPr>
          <w:sz w:val="22"/>
        </w:rPr>
        <w:t>eAPE20190138.</w:t>
      </w:r>
      <w:r>
        <w:rPr>
          <w:spacing w:val="-8"/>
          <w:sz w:val="22"/>
        </w:rPr>
        <w:t> </w:t>
      </w:r>
      <w:hyperlink r:id="rId7">
        <w:r>
          <w:rPr>
            <w:color w:val="1154CC"/>
            <w:sz w:val="22"/>
            <w:u w:val="thick" w:color="1154CC"/>
          </w:rPr>
          <w:t>https://doi.org/10.37689/acta-ape/2020AO01385</w:t>
        </w:r>
      </w:hyperlink>
    </w:p>
    <w:p>
      <w:pPr>
        <w:pStyle w:val="BodyText"/>
        <w:rPr>
          <w:rFonts w:ascii="Calibri"/>
          <w:sz w:val="22"/>
        </w:rPr>
      </w:pPr>
    </w:p>
    <w:p>
      <w:pPr>
        <w:pStyle w:val="Heading2"/>
        <w:numPr>
          <w:ilvl w:val="0"/>
          <w:numId w:val="4"/>
        </w:numPr>
        <w:tabs>
          <w:tab w:pos="1078" w:val="left" w:leader="none"/>
          <w:tab w:pos="1080" w:val="left" w:leader="none"/>
        </w:tabs>
        <w:spacing w:line="240" w:lineRule="auto" w:before="0" w:after="0"/>
        <w:ind w:left="1080" w:right="1105" w:hanging="360"/>
        <w:jc w:val="left"/>
      </w:pPr>
      <w:r>
        <w:rPr/>
        <w:drawing>
          <wp:anchor distT="0" distB="0" distL="0" distR="0" allowOverlap="1" layoutInCell="1" locked="0" behindDoc="1" simplePos="0" relativeHeight="486937088">
            <wp:simplePos x="0" y="0"/>
            <wp:positionH relativeFrom="page">
              <wp:posOffset>919162</wp:posOffset>
            </wp:positionH>
            <wp:positionV relativeFrom="paragraph">
              <wp:posOffset>79310</wp:posOffset>
            </wp:positionV>
            <wp:extent cx="5934075" cy="5934075"/>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5" cstate="print"/>
                    <a:stretch>
                      <a:fillRect/>
                    </a:stretch>
                  </pic:blipFill>
                  <pic:spPr>
                    <a:xfrm>
                      <a:off x="0" y="0"/>
                      <a:ext cx="5934075" cy="5934075"/>
                    </a:xfrm>
                    <a:prstGeom prst="rect">
                      <a:avLst/>
                    </a:prstGeom>
                  </pic:spPr>
                </pic:pic>
              </a:graphicData>
            </a:graphic>
          </wp:anchor>
        </w:drawing>
      </w:r>
      <w:r>
        <w:rPr/>
        <w:t>Bester,</w:t>
      </w:r>
      <w:r>
        <w:rPr>
          <w:spacing w:val="-1"/>
        </w:rPr>
        <w:t> </w:t>
      </w:r>
      <w:r>
        <w:rPr/>
        <w:t>P.,</w:t>
      </w:r>
      <w:r>
        <w:rPr>
          <w:spacing w:val="-1"/>
        </w:rPr>
        <w:t> </w:t>
      </w:r>
      <w:r>
        <w:rPr/>
        <w:t>Smit,</w:t>
      </w:r>
      <w:r>
        <w:rPr>
          <w:spacing w:val="-1"/>
        </w:rPr>
        <w:t> </w:t>
      </w:r>
      <w:r>
        <w:rPr/>
        <w:t>K.,</w:t>
      </w:r>
      <w:r>
        <w:rPr>
          <w:spacing w:val="-1"/>
        </w:rPr>
        <w:t> </w:t>
      </w:r>
      <w:r>
        <w:rPr/>
        <w:t>Beer,</w:t>
      </w:r>
      <w:r>
        <w:rPr>
          <w:spacing w:val="-1"/>
        </w:rPr>
        <w:t> </w:t>
      </w:r>
      <w:r>
        <w:rPr/>
        <w:t>M.,</w:t>
      </w:r>
      <w:r>
        <w:rPr>
          <w:spacing w:val="-1"/>
        </w:rPr>
        <w:t> </w:t>
      </w:r>
      <w:r>
        <w:rPr/>
        <w:t>&amp;</w:t>
      </w:r>
      <w:r>
        <w:rPr>
          <w:spacing w:val="-1"/>
        </w:rPr>
        <w:t> </w:t>
      </w:r>
      <w:r>
        <w:rPr/>
        <w:t>Myburgh,</w:t>
      </w:r>
      <w:r>
        <w:rPr>
          <w:spacing w:val="-1"/>
        </w:rPr>
        <w:t> </w:t>
      </w:r>
      <w:r>
        <w:rPr/>
        <w:t>P.</w:t>
      </w:r>
      <w:r>
        <w:rPr>
          <w:spacing w:val="-1"/>
        </w:rPr>
        <w:t> </w:t>
      </w:r>
      <w:r>
        <w:rPr/>
        <w:t>H.</w:t>
      </w:r>
      <w:r>
        <w:rPr>
          <w:spacing w:val="-1"/>
        </w:rPr>
        <w:t> </w:t>
      </w:r>
      <w:r>
        <w:rPr/>
        <w:t>(2021).</w:t>
      </w:r>
      <w:r>
        <w:rPr>
          <w:spacing w:val="-1"/>
        </w:rPr>
        <w:t> </w:t>
      </w:r>
      <w:r>
        <w:rPr/>
        <w:t>When</w:t>
      </w:r>
      <w:r>
        <w:rPr>
          <w:spacing w:val="-1"/>
        </w:rPr>
        <w:t> </w:t>
      </w:r>
      <w:r>
        <w:rPr/>
        <w:t>online</w:t>
      </w:r>
      <w:r>
        <w:rPr>
          <w:spacing w:val="-1"/>
        </w:rPr>
        <w:t> </w:t>
      </w:r>
      <w:r>
        <w:rPr/>
        <w:t>learning</w:t>
      </w:r>
      <w:r>
        <w:rPr>
          <w:spacing w:val="-1"/>
        </w:rPr>
        <w:t> </w:t>
      </w:r>
      <w:r>
        <w:rPr/>
        <w:t>becomes compulsory:</w:t>
      </w:r>
      <w:r>
        <w:rPr>
          <w:spacing w:val="-8"/>
        </w:rPr>
        <w:t> </w:t>
      </w:r>
      <w:r>
        <w:rPr/>
        <w:t>Student</w:t>
      </w:r>
      <w:r>
        <w:rPr>
          <w:spacing w:val="-8"/>
        </w:rPr>
        <w:t> </w:t>
      </w:r>
      <w:r>
        <w:rPr/>
        <w:t>nurses'</w:t>
      </w:r>
      <w:r>
        <w:rPr>
          <w:spacing w:val="-8"/>
        </w:rPr>
        <w:t> </w:t>
      </w:r>
      <w:r>
        <w:rPr/>
        <w:t>adoption</w:t>
      </w:r>
      <w:r>
        <w:rPr>
          <w:spacing w:val="-8"/>
        </w:rPr>
        <w:t> </w:t>
      </w:r>
      <w:r>
        <w:rPr/>
        <w:t>of</w:t>
      </w:r>
      <w:r>
        <w:rPr>
          <w:spacing w:val="-8"/>
        </w:rPr>
        <w:t> </w:t>
      </w:r>
      <w:r>
        <w:rPr/>
        <w:t>information</w:t>
      </w:r>
      <w:r>
        <w:rPr>
          <w:spacing w:val="-8"/>
        </w:rPr>
        <w:t> </w:t>
      </w:r>
      <w:r>
        <w:rPr/>
        <w:t>communication</w:t>
      </w:r>
      <w:r>
        <w:rPr>
          <w:spacing w:val="-8"/>
        </w:rPr>
        <w:t> </w:t>
      </w:r>
      <w:r>
        <w:rPr/>
        <w:t>technology</w:t>
      </w:r>
      <w:r>
        <w:rPr>
          <w:spacing w:val="-8"/>
        </w:rPr>
        <w:t> </w:t>
      </w:r>
      <w:r>
        <w:rPr/>
        <w:t>in</w:t>
      </w:r>
      <w:r>
        <w:rPr>
          <w:spacing w:val="-8"/>
        </w:rPr>
        <w:t> </w:t>
      </w:r>
      <w:r>
        <w:rPr/>
        <w:t>a</w:t>
      </w:r>
      <w:r>
        <w:rPr>
          <w:spacing w:val="-8"/>
        </w:rPr>
        <w:t> </w:t>
      </w:r>
      <w:r>
        <w:rPr/>
        <w:t>private nursing education institution. </w:t>
      </w:r>
      <w:r>
        <w:rPr>
          <w:i/>
        </w:rPr>
        <w:t>Curationis, 44</w:t>
      </w:r>
      <w:r>
        <w:rPr/>
        <w:t>(1), 1–9.</w:t>
      </w:r>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1234" w:hanging="360"/>
        <w:jc w:val="left"/>
        <w:rPr>
          <w:sz w:val="22"/>
        </w:rPr>
      </w:pPr>
      <w:r>
        <w:rPr>
          <w:sz w:val="22"/>
        </w:rPr>
        <w:t>Bocean,</w:t>
      </w:r>
      <w:r>
        <w:rPr>
          <w:spacing w:val="-11"/>
          <w:sz w:val="22"/>
        </w:rPr>
        <w:t> </w:t>
      </w:r>
      <w:r>
        <w:rPr>
          <w:sz w:val="22"/>
        </w:rPr>
        <w:t>C.</w:t>
      </w:r>
      <w:r>
        <w:rPr>
          <w:spacing w:val="-11"/>
          <w:sz w:val="22"/>
        </w:rPr>
        <w:t> </w:t>
      </w:r>
      <w:r>
        <w:rPr>
          <w:sz w:val="22"/>
        </w:rPr>
        <w:t>G.,</w:t>
      </w:r>
      <w:r>
        <w:rPr>
          <w:spacing w:val="-11"/>
          <w:sz w:val="22"/>
        </w:rPr>
        <w:t> </w:t>
      </w:r>
      <w:r>
        <w:rPr>
          <w:sz w:val="22"/>
        </w:rPr>
        <w:t>&amp;</w:t>
      </w:r>
      <w:r>
        <w:rPr>
          <w:spacing w:val="-11"/>
          <w:sz w:val="22"/>
        </w:rPr>
        <w:t> </w:t>
      </w:r>
      <w:r>
        <w:rPr>
          <w:sz w:val="22"/>
        </w:rPr>
        <w:t>V</w:t>
      </w:r>
      <w:r>
        <w:rPr>
          <w:rFonts w:ascii="Arial MT" w:hAnsi="Arial MT"/>
          <w:sz w:val="22"/>
        </w:rPr>
        <w:t>ă</w:t>
      </w:r>
      <w:r>
        <w:rPr>
          <w:sz w:val="22"/>
        </w:rPr>
        <w:t>rzaru,</w:t>
      </w:r>
      <w:r>
        <w:rPr>
          <w:spacing w:val="-11"/>
          <w:sz w:val="22"/>
        </w:rPr>
        <w:t> </w:t>
      </w:r>
      <w:r>
        <w:rPr>
          <w:sz w:val="22"/>
        </w:rPr>
        <w:t>A.</w:t>
      </w:r>
      <w:r>
        <w:rPr>
          <w:spacing w:val="-11"/>
          <w:sz w:val="22"/>
        </w:rPr>
        <w:t> </w:t>
      </w:r>
      <w:r>
        <w:rPr>
          <w:sz w:val="22"/>
        </w:rPr>
        <w:t>A.</w:t>
      </w:r>
      <w:r>
        <w:rPr>
          <w:spacing w:val="-11"/>
          <w:sz w:val="22"/>
        </w:rPr>
        <w:t> </w:t>
      </w:r>
      <w:r>
        <w:rPr>
          <w:sz w:val="22"/>
        </w:rPr>
        <w:t>(2025).</w:t>
      </w:r>
      <w:r>
        <w:rPr>
          <w:spacing w:val="-11"/>
          <w:sz w:val="22"/>
        </w:rPr>
        <w:t> </w:t>
      </w:r>
      <w:r>
        <w:rPr>
          <w:sz w:val="22"/>
        </w:rPr>
        <w:t>Health</w:t>
      </w:r>
      <w:r>
        <w:rPr>
          <w:spacing w:val="-11"/>
          <w:sz w:val="22"/>
        </w:rPr>
        <w:t> </w:t>
      </w:r>
      <w:r>
        <w:rPr>
          <w:sz w:val="22"/>
        </w:rPr>
        <w:t>status</w:t>
      </w:r>
      <w:r>
        <w:rPr>
          <w:spacing w:val="-11"/>
          <w:sz w:val="22"/>
        </w:rPr>
        <w:t> </w:t>
      </w:r>
      <w:r>
        <w:rPr>
          <w:sz w:val="22"/>
        </w:rPr>
        <w:t>in</w:t>
      </w:r>
      <w:r>
        <w:rPr>
          <w:spacing w:val="-11"/>
          <w:sz w:val="22"/>
        </w:rPr>
        <w:t> </w:t>
      </w:r>
      <w:r>
        <w:rPr>
          <w:sz w:val="22"/>
        </w:rPr>
        <w:t>the</w:t>
      </w:r>
      <w:r>
        <w:rPr>
          <w:spacing w:val="-11"/>
          <w:sz w:val="22"/>
        </w:rPr>
        <w:t> </w:t>
      </w:r>
      <w:r>
        <w:rPr>
          <w:sz w:val="22"/>
        </w:rPr>
        <w:t>era</w:t>
      </w:r>
      <w:r>
        <w:rPr>
          <w:spacing w:val="-11"/>
          <w:sz w:val="22"/>
        </w:rPr>
        <w:t> </w:t>
      </w:r>
      <w:r>
        <w:rPr>
          <w:sz w:val="22"/>
        </w:rPr>
        <w:t>of</w:t>
      </w:r>
      <w:r>
        <w:rPr>
          <w:spacing w:val="-11"/>
          <w:sz w:val="22"/>
        </w:rPr>
        <w:t> </w:t>
      </w:r>
      <w:r>
        <w:rPr>
          <w:sz w:val="22"/>
        </w:rPr>
        <w:t>digital</w:t>
      </w:r>
      <w:r>
        <w:rPr>
          <w:spacing w:val="-11"/>
          <w:sz w:val="22"/>
        </w:rPr>
        <w:t> </w:t>
      </w:r>
      <w:r>
        <w:rPr>
          <w:sz w:val="22"/>
        </w:rPr>
        <w:t>transformation</w:t>
      </w:r>
      <w:r>
        <w:rPr>
          <w:spacing w:val="-11"/>
          <w:sz w:val="22"/>
        </w:rPr>
        <w:t> </w:t>
      </w:r>
      <w:r>
        <w:rPr>
          <w:sz w:val="22"/>
        </w:rPr>
        <w:t>and sustainable economic development. </w:t>
      </w:r>
      <w:r>
        <w:rPr>
          <w:i/>
          <w:sz w:val="22"/>
        </w:rPr>
        <w:t>BMC Health Services Research, 25</w:t>
      </w:r>
      <w:r>
        <w:rPr>
          <w:sz w:val="22"/>
        </w:rPr>
        <w:t>, Article 343. </w:t>
      </w:r>
      <w:hyperlink r:id="rId8">
        <w:r>
          <w:rPr>
            <w:color w:val="1154CC"/>
            <w:spacing w:val="-2"/>
            <w:sz w:val="22"/>
            <w:u w:val="thick" w:color="1154CC"/>
          </w:rPr>
          <w:t>https://doi.org/10.1186/s12913-025-02968-7</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837" w:hanging="360"/>
        <w:jc w:val="left"/>
        <w:rPr>
          <w:sz w:val="22"/>
        </w:rPr>
      </w:pPr>
      <w:r>
        <w:rPr>
          <w:sz w:val="22"/>
        </w:rPr>
        <w:t>Button, D., Harrington, A., &amp; Belan, I. (2014). E-learning and information communication technology</w:t>
      </w:r>
      <w:r>
        <w:rPr>
          <w:spacing w:val="-9"/>
          <w:sz w:val="22"/>
        </w:rPr>
        <w:t> </w:t>
      </w:r>
      <w:r>
        <w:rPr>
          <w:sz w:val="22"/>
        </w:rPr>
        <w:t>(ICT)</w:t>
      </w:r>
      <w:r>
        <w:rPr>
          <w:spacing w:val="-9"/>
          <w:sz w:val="22"/>
        </w:rPr>
        <w:t> </w:t>
      </w:r>
      <w:r>
        <w:rPr>
          <w:sz w:val="22"/>
        </w:rPr>
        <w:t>in</w:t>
      </w:r>
      <w:r>
        <w:rPr>
          <w:spacing w:val="-9"/>
          <w:sz w:val="22"/>
        </w:rPr>
        <w:t> </w:t>
      </w:r>
      <w:r>
        <w:rPr>
          <w:sz w:val="22"/>
        </w:rPr>
        <w:t>nursing</w:t>
      </w:r>
      <w:r>
        <w:rPr>
          <w:spacing w:val="-9"/>
          <w:sz w:val="22"/>
        </w:rPr>
        <w:t> </w:t>
      </w:r>
      <w:r>
        <w:rPr>
          <w:sz w:val="22"/>
        </w:rPr>
        <w:t>education:</w:t>
      </w:r>
      <w:r>
        <w:rPr>
          <w:spacing w:val="-9"/>
          <w:sz w:val="22"/>
        </w:rPr>
        <w:t> </w:t>
      </w:r>
      <w:r>
        <w:rPr>
          <w:sz w:val="22"/>
        </w:rPr>
        <w:t>A</w:t>
      </w:r>
      <w:r>
        <w:rPr>
          <w:spacing w:val="-9"/>
          <w:sz w:val="22"/>
        </w:rPr>
        <w:t> </w:t>
      </w:r>
      <w:r>
        <w:rPr>
          <w:sz w:val="22"/>
        </w:rPr>
        <w:t>review</w:t>
      </w:r>
      <w:r>
        <w:rPr>
          <w:spacing w:val="-9"/>
          <w:sz w:val="22"/>
        </w:rPr>
        <w:t> </w:t>
      </w:r>
      <w:r>
        <w:rPr>
          <w:sz w:val="22"/>
        </w:rPr>
        <w:t>of</w:t>
      </w:r>
      <w:r>
        <w:rPr>
          <w:spacing w:val="-9"/>
          <w:sz w:val="22"/>
        </w:rPr>
        <w:t> </w:t>
      </w:r>
      <w:r>
        <w:rPr>
          <w:sz w:val="22"/>
        </w:rPr>
        <w:t>the</w:t>
      </w:r>
      <w:r>
        <w:rPr>
          <w:spacing w:val="-9"/>
          <w:sz w:val="22"/>
        </w:rPr>
        <w:t> </w:t>
      </w:r>
      <w:r>
        <w:rPr>
          <w:sz w:val="22"/>
        </w:rPr>
        <w:t>literature.</w:t>
      </w:r>
      <w:r>
        <w:rPr>
          <w:spacing w:val="-9"/>
          <w:sz w:val="22"/>
        </w:rPr>
        <w:t> </w:t>
      </w:r>
      <w:r>
        <w:rPr>
          <w:i/>
          <w:sz w:val="22"/>
        </w:rPr>
        <w:t>Nurse</w:t>
      </w:r>
      <w:r>
        <w:rPr>
          <w:i/>
          <w:spacing w:val="-9"/>
          <w:sz w:val="22"/>
        </w:rPr>
        <w:t> </w:t>
      </w:r>
      <w:r>
        <w:rPr>
          <w:i/>
          <w:sz w:val="22"/>
        </w:rPr>
        <w:t>Education</w:t>
      </w:r>
      <w:r>
        <w:rPr>
          <w:i/>
          <w:spacing w:val="-9"/>
          <w:sz w:val="22"/>
        </w:rPr>
        <w:t> </w:t>
      </w:r>
      <w:r>
        <w:rPr>
          <w:i/>
          <w:sz w:val="22"/>
        </w:rPr>
        <w:t>Today,</w:t>
      </w:r>
      <w:r>
        <w:rPr>
          <w:i/>
          <w:spacing w:val="-9"/>
          <w:sz w:val="22"/>
        </w:rPr>
        <w:t> </w:t>
      </w:r>
      <w:r>
        <w:rPr>
          <w:i/>
          <w:sz w:val="22"/>
        </w:rPr>
        <w:t>34</w:t>
      </w:r>
      <w:r>
        <w:rPr>
          <w:sz w:val="22"/>
        </w:rPr>
        <w:t>(10), 1311–1323. </w:t>
      </w:r>
      <w:hyperlink r:id="rId9">
        <w:r>
          <w:rPr>
            <w:color w:val="1154CC"/>
            <w:sz w:val="22"/>
            <w:u w:val="thick" w:color="1154CC"/>
          </w:rPr>
          <w:t>https://doi.org/10.1016/j.nedt.2013.05.002</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866" w:hanging="360"/>
        <w:jc w:val="both"/>
        <w:rPr>
          <w:sz w:val="22"/>
        </w:rPr>
      </w:pPr>
      <w:r>
        <w:rPr>
          <w:sz w:val="22"/>
        </w:rPr>
        <w:t>Chohan,</w:t>
      </w:r>
      <w:r>
        <w:rPr>
          <w:spacing w:val="-2"/>
          <w:sz w:val="22"/>
        </w:rPr>
        <w:t> </w:t>
      </w:r>
      <w:r>
        <w:rPr>
          <w:sz w:val="22"/>
        </w:rPr>
        <w:t>S.</w:t>
      </w:r>
      <w:r>
        <w:rPr>
          <w:spacing w:val="-2"/>
          <w:sz w:val="22"/>
        </w:rPr>
        <w:t> </w:t>
      </w:r>
      <w:r>
        <w:rPr>
          <w:sz w:val="22"/>
        </w:rPr>
        <w:t>R.,</w:t>
      </w:r>
      <w:r>
        <w:rPr>
          <w:spacing w:val="-2"/>
          <w:sz w:val="22"/>
        </w:rPr>
        <w:t> </w:t>
      </w:r>
      <w:r>
        <w:rPr>
          <w:sz w:val="22"/>
        </w:rPr>
        <w:t>&amp;</w:t>
      </w:r>
      <w:r>
        <w:rPr>
          <w:spacing w:val="-2"/>
          <w:sz w:val="22"/>
        </w:rPr>
        <w:t> </w:t>
      </w:r>
      <w:r>
        <w:rPr>
          <w:sz w:val="22"/>
        </w:rPr>
        <w:t>Hu,</w:t>
      </w:r>
      <w:r>
        <w:rPr>
          <w:spacing w:val="-2"/>
          <w:sz w:val="22"/>
        </w:rPr>
        <w:t> </w:t>
      </w:r>
      <w:r>
        <w:rPr>
          <w:sz w:val="22"/>
        </w:rPr>
        <w:t>G.</w:t>
      </w:r>
      <w:r>
        <w:rPr>
          <w:spacing w:val="-2"/>
          <w:sz w:val="22"/>
        </w:rPr>
        <w:t> </w:t>
      </w:r>
      <w:r>
        <w:rPr>
          <w:sz w:val="22"/>
        </w:rPr>
        <w:t>(2022).</w:t>
      </w:r>
      <w:r>
        <w:rPr>
          <w:spacing w:val="-2"/>
          <w:sz w:val="22"/>
        </w:rPr>
        <w:t> </w:t>
      </w:r>
      <w:r>
        <w:rPr>
          <w:sz w:val="22"/>
        </w:rPr>
        <w:t>Strengthening</w:t>
      </w:r>
      <w:r>
        <w:rPr>
          <w:spacing w:val="-2"/>
          <w:sz w:val="22"/>
        </w:rPr>
        <w:t> </w:t>
      </w:r>
      <w:r>
        <w:rPr>
          <w:sz w:val="22"/>
        </w:rPr>
        <w:t>digital</w:t>
      </w:r>
      <w:r>
        <w:rPr>
          <w:spacing w:val="-2"/>
          <w:sz w:val="22"/>
        </w:rPr>
        <w:t> </w:t>
      </w:r>
      <w:r>
        <w:rPr>
          <w:sz w:val="22"/>
        </w:rPr>
        <w:t>inclusion</w:t>
      </w:r>
      <w:r>
        <w:rPr>
          <w:spacing w:val="-2"/>
          <w:sz w:val="22"/>
        </w:rPr>
        <w:t> </w:t>
      </w:r>
      <w:r>
        <w:rPr>
          <w:sz w:val="22"/>
        </w:rPr>
        <w:t>through</w:t>
      </w:r>
      <w:r>
        <w:rPr>
          <w:spacing w:val="-2"/>
          <w:sz w:val="22"/>
        </w:rPr>
        <w:t> </w:t>
      </w:r>
      <w:r>
        <w:rPr>
          <w:sz w:val="22"/>
        </w:rPr>
        <w:t>e-government:</w:t>
      </w:r>
      <w:r>
        <w:rPr>
          <w:spacing w:val="-2"/>
          <w:sz w:val="22"/>
        </w:rPr>
        <w:t> </w:t>
      </w:r>
      <w:r>
        <w:rPr>
          <w:sz w:val="22"/>
        </w:rPr>
        <w:t>Cohesive ICT</w:t>
      </w:r>
      <w:r>
        <w:rPr>
          <w:spacing w:val="-12"/>
          <w:sz w:val="22"/>
        </w:rPr>
        <w:t> </w:t>
      </w:r>
      <w:r>
        <w:rPr>
          <w:sz w:val="22"/>
        </w:rPr>
        <w:t>training</w:t>
      </w:r>
      <w:r>
        <w:rPr>
          <w:spacing w:val="-12"/>
          <w:sz w:val="22"/>
        </w:rPr>
        <w:t> </w:t>
      </w:r>
      <w:r>
        <w:rPr>
          <w:sz w:val="22"/>
        </w:rPr>
        <w:t>programs</w:t>
      </w:r>
      <w:r>
        <w:rPr>
          <w:spacing w:val="-12"/>
          <w:sz w:val="22"/>
        </w:rPr>
        <w:t> </w:t>
      </w:r>
      <w:r>
        <w:rPr>
          <w:sz w:val="22"/>
        </w:rPr>
        <w:t>to</w:t>
      </w:r>
      <w:r>
        <w:rPr>
          <w:spacing w:val="-12"/>
          <w:sz w:val="22"/>
        </w:rPr>
        <w:t> </w:t>
      </w:r>
      <w:r>
        <w:rPr>
          <w:sz w:val="22"/>
        </w:rPr>
        <w:t>intensify</w:t>
      </w:r>
      <w:r>
        <w:rPr>
          <w:spacing w:val="-12"/>
          <w:sz w:val="22"/>
        </w:rPr>
        <w:t> </w:t>
      </w:r>
      <w:r>
        <w:rPr>
          <w:sz w:val="22"/>
        </w:rPr>
        <w:t>digital</w:t>
      </w:r>
      <w:r>
        <w:rPr>
          <w:spacing w:val="-12"/>
          <w:sz w:val="22"/>
        </w:rPr>
        <w:t> </w:t>
      </w:r>
      <w:r>
        <w:rPr>
          <w:sz w:val="22"/>
        </w:rPr>
        <w:t>competency.</w:t>
      </w:r>
      <w:r>
        <w:rPr>
          <w:spacing w:val="-12"/>
          <w:sz w:val="22"/>
        </w:rPr>
        <w:t> </w:t>
      </w:r>
      <w:r>
        <w:rPr>
          <w:i/>
          <w:sz w:val="22"/>
        </w:rPr>
        <w:t>Information</w:t>
      </w:r>
      <w:r>
        <w:rPr>
          <w:i/>
          <w:spacing w:val="-12"/>
          <w:sz w:val="22"/>
        </w:rPr>
        <w:t> </w:t>
      </w:r>
      <w:r>
        <w:rPr>
          <w:i/>
          <w:sz w:val="22"/>
        </w:rPr>
        <w:t>Technology</w:t>
      </w:r>
      <w:r>
        <w:rPr>
          <w:i/>
          <w:spacing w:val="-12"/>
          <w:sz w:val="22"/>
        </w:rPr>
        <w:t> </w:t>
      </w:r>
      <w:r>
        <w:rPr>
          <w:i/>
          <w:sz w:val="22"/>
        </w:rPr>
        <w:t>for</w:t>
      </w:r>
      <w:r>
        <w:rPr>
          <w:i/>
          <w:spacing w:val="-12"/>
          <w:sz w:val="22"/>
        </w:rPr>
        <w:t> </w:t>
      </w:r>
      <w:r>
        <w:rPr>
          <w:i/>
          <w:sz w:val="22"/>
        </w:rPr>
        <w:t>Development, 28</w:t>
      </w:r>
      <w:r>
        <w:rPr>
          <w:sz w:val="22"/>
        </w:rPr>
        <w:t>(1), 16–38. </w:t>
      </w:r>
      <w:hyperlink r:id="rId10">
        <w:r>
          <w:rPr>
            <w:color w:val="1154CC"/>
            <w:sz w:val="22"/>
            <w:u w:val="thick" w:color="1154CC"/>
          </w:rPr>
          <w:t>https://doi.org/10.1080/02681102.2020.1841713</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937" w:hanging="360"/>
        <w:jc w:val="both"/>
        <w:rPr>
          <w:sz w:val="22"/>
        </w:rPr>
      </w:pPr>
      <w:r>
        <w:rPr>
          <w:sz w:val="22"/>
        </w:rPr>
        <w:t>Demestichas,</w:t>
      </w:r>
      <w:r>
        <w:rPr>
          <w:spacing w:val="-7"/>
          <w:sz w:val="22"/>
        </w:rPr>
        <w:t> </w:t>
      </w:r>
      <w:r>
        <w:rPr>
          <w:sz w:val="22"/>
        </w:rPr>
        <w:t>K.,</w:t>
      </w:r>
      <w:r>
        <w:rPr>
          <w:spacing w:val="-7"/>
          <w:sz w:val="22"/>
        </w:rPr>
        <w:t> </w:t>
      </w:r>
      <w:r>
        <w:rPr>
          <w:sz w:val="22"/>
        </w:rPr>
        <w:t>&amp;</w:t>
      </w:r>
      <w:r>
        <w:rPr>
          <w:spacing w:val="-7"/>
          <w:sz w:val="22"/>
        </w:rPr>
        <w:t> </w:t>
      </w:r>
      <w:r>
        <w:rPr>
          <w:sz w:val="22"/>
        </w:rPr>
        <w:t>Daskalakis,</w:t>
      </w:r>
      <w:r>
        <w:rPr>
          <w:spacing w:val="-7"/>
          <w:sz w:val="22"/>
        </w:rPr>
        <w:t> </w:t>
      </w:r>
      <w:r>
        <w:rPr>
          <w:sz w:val="22"/>
        </w:rPr>
        <w:t>E.</w:t>
      </w:r>
      <w:r>
        <w:rPr>
          <w:spacing w:val="-7"/>
          <w:sz w:val="22"/>
        </w:rPr>
        <w:t> </w:t>
      </w:r>
      <w:r>
        <w:rPr>
          <w:sz w:val="22"/>
        </w:rPr>
        <w:t>(2020).</w:t>
      </w:r>
      <w:r>
        <w:rPr>
          <w:spacing w:val="-7"/>
          <w:sz w:val="22"/>
        </w:rPr>
        <w:t> </w:t>
      </w:r>
      <w:r>
        <w:rPr>
          <w:sz w:val="22"/>
        </w:rPr>
        <w:t>Information</w:t>
      </w:r>
      <w:r>
        <w:rPr>
          <w:spacing w:val="-7"/>
          <w:sz w:val="22"/>
        </w:rPr>
        <w:t> </w:t>
      </w:r>
      <w:r>
        <w:rPr>
          <w:sz w:val="22"/>
        </w:rPr>
        <w:t>and</w:t>
      </w:r>
      <w:r>
        <w:rPr>
          <w:spacing w:val="-7"/>
          <w:sz w:val="22"/>
        </w:rPr>
        <w:t> </w:t>
      </w:r>
      <w:r>
        <w:rPr>
          <w:sz w:val="22"/>
        </w:rPr>
        <w:t>communication</w:t>
      </w:r>
      <w:r>
        <w:rPr>
          <w:spacing w:val="-7"/>
          <w:sz w:val="22"/>
        </w:rPr>
        <w:t> </w:t>
      </w:r>
      <w:r>
        <w:rPr>
          <w:sz w:val="22"/>
        </w:rPr>
        <w:t>technology</w:t>
      </w:r>
      <w:r>
        <w:rPr>
          <w:spacing w:val="-7"/>
          <w:sz w:val="22"/>
        </w:rPr>
        <w:t> </w:t>
      </w:r>
      <w:r>
        <w:rPr>
          <w:sz w:val="22"/>
        </w:rPr>
        <w:t>solutions for the circular economy. </w:t>
      </w:r>
      <w:r>
        <w:rPr>
          <w:i/>
          <w:sz w:val="22"/>
        </w:rPr>
        <w:t>Sustainability, 12</w:t>
      </w:r>
      <w:r>
        <w:rPr>
          <w:sz w:val="22"/>
        </w:rPr>
        <w:t>(18), 7272. </w:t>
      </w:r>
      <w:hyperlink r:id="rId11">
        <w:r>
          <w:rPr>
            <w:color w:val="1154CC"/>
            <w:sz w:val="22"/>
            <w:u w:val="thick" w:color="1154CC"/>
          </w:rPr>
          <w:t>https://doi.org/10.3390/su12187272</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795" w:hanging="360"/>
        <w:jc w:val="left"/>
        <w:rPr>
          <w:sz w:val="22"/>
        </w:rPr>
      </w:pPr>
      <w:r>
        <w:rPr>
          <w:sz w:val="22"/>
        </w:rPr>
        <w:t>Gause,</w:t>
      </w:r>
      <w:r>
        <w:rPr>
          <w:spacing w:val="-6"/>
          <w:sz w:val="22"/>
        </w:rPr>
        <w:t> </w:t>
      </w:r>
      <w:r>
        <w:rPr>
          <w:sz w:val="22"/>
        </w:rPr>
        <w:t>G.,</w:t>
      </w:r>
      <w:r>
        <w:rPr>
          <w:spacing w:val="-6"/>
          <w:sz w:val="22"/>
        </w:rPr>
        <w:t> </w:t>
      </w:r>
      <w:r>
        <w:rPr>
          <w:sz w:val="22"/>
        </w:rPr>
        <w:t>Mokgaola,</w:t>
      </w:r>
      <w:r>
        <w:rPr>
          <w:spacing w:val="-6"/>
          <w:sz w:val="22"/>
        </w:rPr>
        <w:t> </w:t>
      </w:r>
      <w:r>
        <w:rPr>
          <w:sz w:val="22"/>
        </w:rPr>
        <w:t>I.</w:t>
      </w:r>
      <w:r>
        <w:rPr>
          <w:spacing w:val="-6"/>
          <w:sz w:val="22"/>
        </w:rPr>
        <w:t> </w:t>
      </w:r>
      <w:r>
        <w:rPr>
          <w:sz w:val="22"/>
        </w:rPr>
        <w:t>O.,</w:t>
      </w:r>
      <w:r>
        <w:rPr>
          <w:spacing w:val="-6"/>
          <w:sz w:val="22"/>
        </w:rPr>
        <w:t> </w:t>
      </w:r>
      <w:r>
        <w:rPr>
          <w:sz w:val="22"/>
        </w:rPr>
        <w:t>&amp;</w:t>
      </w:r>
      <w:r>
        <w:rPr>
          <w:spacing w:val="-6"/>
          <w:sz w:val="22"/>
        </w:rPr>
        <w:t> </w:t>
      </w:r>
      <w:r>
        <w:rPr>
          <w:sz w:val="22"/>
        </w:rPr>
        <w:t>Rakhudu,</w:t>
      </w:r>
      <w:r>
        <w:rPr>
          <w:spacing w:val="-6"/>
          <w:sz w:val="22"/>
        </w:rPr>
        <w:t> </w:t>
      </w:r>
      <w:r>
        <w:rPr>
          <w:sz w:val="22"/>
        </w:rPr>
        <w:t>M.</w:t>
      </w:r>
      <w:r>
        <w:rPr>
          <w:spacing w:val="-6"/>
          <w:sz w:val="22"/>
        </w:rPr>
        <w:t> </w:t>
      </w:r>
      <w:r>
        <w:rPr>
          <w:sz w:val="22"/>
        </w:rPr>
        <w:t>A.</w:t>
      </w:r>
      <w:r>
        <w:rPr>
          <w:spacing w:val="-6"/>
          <w:sz w:val="22"/>
        </w:rPr>
        <w:t> </w:t>
      </w:r>
      <w:r>
        <w:rPr>
          <w:sz w:val="22"/>
        </w:rPr>
        <w:t>(2022).</w:t>
      </w:r>
      <w:r>
        <w:rPr>
          <w:spacing w:val="-6"/>
          <w:sz w:val="22"/>
        </w:rPr>
        <w:t> </w:t>
      </w:r>
      <w:r>
        <w:rPr>
          <w:sz w:val="22"/>
        </w:rPr>
        <w:t>Technology</w:t>
      </w:r>
      <w:r>
        <w:rPr>
          <w:spacing w:val="-6"/>
          <w:sz w:val="22"/>
        </w:rPr>
        <w:t> </w:t>
      </w:r>
      <w:r>
        <w:rPr>
          <w:sz w:val="22"/>
        </w:rPr>
        <w:t>usage</w:t>
      </w:r>
      <w:r>
        <w:rPr>
          <w:spacing w:val="-6"/>
          <w:sz w:val="22"/>
        </w:rPr>
        <w:t> </w:t>
      </w:r>
      <w:r>
        <w:rPr>
          <w:sz w:val="22"/>
        </w:rPr>
        <w:t>for</w:t>
      </w:r>
      <w:r>
        <w:rPr>
          <w:spacing w:val="-6"/>
          <w:sz w:val="22"/>
        </w:rPr>
        <w:t> </w:t>
      </w:r>
      <w:r>
        <w:rPr>
          <w:sz w:val="22"/>
        </w:rPr>
        <w:t>teaching</w:t>
      </w:r>
      <w:r>
        <w:rPr>
          <w:spacing w:val="-6"/>
          <w:sz w:val="22"/>
        </w:rPr>
        <w:t> </w:t>
      </w:r>
      <w:r>
        <w:rPr>
          <w:sz w:val="22"/>
        </w:rPr>
        <w:t>and</w:t>
      </w:r>
      <w:r>
        <w:rPr>
          <w:spacing w:val="-6"/>
          <w:sz w:val="22"/>
        </w:rPr>
        <w:t> </w:t>
      </w:r>
      <w:r>
        <w:rPr>
          <w:sz w:val="22"/>
        </w:rPr>
        <w:t>learning in nursing education: An integrative review. </w:t>
      </w:r>
      <w:r>
        <w:rPr>
          <w:i/>
          <w:sz w:val="22"/>
        </w:rPr>
        <w:t>Curationis, 45</w:t>
      </w:r>
      <w:r>
        <w:rPr>
          <w:sz w:val="22"/>
        </w:rPr>
        <w:t>(1), Article 2261. </w:t>
      </w:r>
      <w:hyperlink r:id="rId12">
        <w:r>
          <w:rPr>
            <w:color w:val="1154CC"/>
            <w:spacing w:val="-2"/>
            <w:sz w:val="22"/>
            <w:u w:val="thick" w:color="1154CC"/>
          </w:rPr>
          <w:t>https://doi.org/10.4102/curationis.v45i1.2261</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1386" w:hanging="360"/>
        <w:jc w:val="left"/>
        <w:rPr>
          <w:sz w:val="22"/>
        </w:rPr>
      </w:pPr>
      <w:r>
        <w:rPr>
          <w:sz w:val="22"/>
        </w:rPr>
        <w:t>Haleem,</w:t>
      </w:r>
      <w:r>
        <w:rPr>
          <w:spacing w:val="-4"/>
          <w:sz w:val="22"/>
        </w:rPr>
        <w:t> </w:t>
      </w:r>
      <w:r>
        <w:rPr>
          <w:sz w:val="22"/>
        </w:rPr>
        <w:t>A.,</w:t>
      </w:r>
      <w:r>
        <w:rPr>
          <w:spacing w:val="-4"/>
          <w:sz w:val="22"/>
        </w:rPr>
        <w:t> </w:t>
      </w:r>
      <w:r>
        <w:rPr>
          <w:sz w:val="22"/>
        </w:rPr>
        <w:t>Javaid,</w:t>
      </w:r>
      <w:r>
        <w:rPr>
          <w:spacing w:val="-4"/>
          <w:sz w:val="22"/>
        </w:rPr>
        <w:t> </w:t>
      </w:r>
      <w:r>
        <w:rPr>
          <w:sz w:val="22"/>
        </w:rPr>
        <w:t>M.,</w:t>
      </w:r>
      <w:r>
        <w:rPr>
          <w:spacing w:val="-4"/>
          <w:sz w:val="22"/>
        </w:rPr>
        <w:t> </w:t>
      </w:r>
      <w:r>
        <w:rPr>
          <w:sz w:val="22"/>
        </w:rPr>
        <w:t>Qadri,</w:t>
      </w:r>
      <w:r>
        <w:rPr>
          <w:spacing w:val="-4"/>
          <w:sz w:val="22"/>
        </w:rPr>
        <w:t> </w:t>
      </w:r>
      <w:r>
        <w:rPr>
          <w:sz w:val="22"/>
        </w:rPr>
        <w:t>M.</w:t>
      </w:r>
      <w:r>
        <w:rPr>
          <w:spacing w:val="-4"/>
          <w:sz w:val="22"/>
        </w:rPr>
        <w:t> </w:t>
      </w:r>
      <w:r>
        <w:rPr>
          <w:sz w:val="22"/>
        </w:rPr>
        <w:t>A.,</w:t>
      </w:r>
      <w:r>
        <w:rPr>
          <w:spacing w:val="-4"/>
          <w:sz w:val="22"/>
        </w:rPr>
        <w:t> </w:t>
      </w:r>
      <w:r>
        <w:rPr>
          <w:sz w:val="22"/>
        </w:rPr>
        <w:t>&amp;</w:t>
      </w:r>
      <w:r>
        <w:rPr>
          <w:spacing w:val="-4"/>
          <w:sz w:val="22"/>
        </w:rPr>
        <w:t> </w:t>
      </w:r>
      <w:r>
        <w:rPr>
          <w:sz w:val="22"/>
        </w:rPr>
        <w:t>Suman,</w:t>
      </w:r>
      <w:r>
        <w:rPr>
          <w:spacing w:val="-4"/>
          <w:sz w:val="22"/>
        </w:rPr>
        <w:t> </w:t>
      </w:r>
      <w:r>
        <w:rPr>
          <w:sz w:val="22"/>
        </w:rPr>
        <w:t>R.</w:t>
      </w:r>
      <w:r>
        <w:rPr>
          <w:spacing w:val="-4"/>
          <w:sz w:val="22"/>
        </w:rPr>
        <w:t> </w:t>
      </w:r>
      <w:r>
        <w:rPr>
          <w:sz w:val="22"/>
        </w:rPr>
        <w:t>(2022).</w:t>
      </w:r>
      <w:r>
        <w:rPr>
          <w:spacing w:val="-4"/>
          <w:sz w:val="22"/>
        </w:rPr>
        <w:t> </w:t>
      </w:r>
      <w:r>
        <w:rPr>
          <w:sz w:val="22"/>
        </w:rPr>
        <w:t>Understanding</w:t>
      </w:r>
      <w:r>
        <w:rPr>
          <w:spacing w:val="-4"/>
          <w:sz w:val="22"/>
        </w:rPr>
        <w:t> </w:t>
      </w:r>
      <w:r>
        <w:rPr>
          <w:sz w:val="22"/>
        </w:rPr>
        <w:t>the</w:t>
      </w:r>
      <w:r>
        <w:rPr>
          <w:spacing w:val="-4"/>
          <w:sz w:val="22"/>
        </w:rPr>
        <w:t> </w:t>
      </w:r>
      <w:r>
        <w:rPr>
          <w:sz w:val="22"/>
        </w:rPr>
        <w:t>role</w:t>
      </w:r>
      <w:r>
        <w:rPr>
          <w:spacing w:val="-4"/>
          <w:sz w:val="22"/>
        </w:rPr>
        <w:t> </w:t>
      </w:r>
      <w:r>
        <w:rPr>
          <w:sz w:val="22"/>
        </w:rPr>
        <w:t>of</w:t>
      </w:r>
      <w:r>
        <w:rPr>
          <w:spacing w:val="-4"/>
          <w:sz w:val="22"/>
        </w:rPr>
        <w:t> </w:t>
      </w:r>
      <w:r>
        <w:rPr>
          <w:sz w:val="22"/>
        </w:rPr>
        <w:t>digital technologies in education: A review. </w:t>
      </w:r>
      <w:r>
        <w:rPr>
          <w:i/>
          <w:sz w:val="22"/>
        </w:rPr>
        <w:t>Sustainable Operations and Computers, 3</w:t>
      </w:r>
      <w:r>
        <w:rPr>
          <w:sz w:val="22"/>
        </w:rPr>
        <w:t>, 275–285. </w:t>
      </w:r>
      <w:hyperlink r:id="rId13">
        <w:r>
          <w:rPr>
            <w:color w:val="1154CC"/>
            <w:spacing w:val="-2"/>
            <w:sz w:val="22"/>
            <w:u w:val="thick" w:color="1154CC"/>
          </w:rPr>
          <w:t>https://doi.org/10.1016/j.susoc.2022.05.004</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841" w:hanging="360"/>
        <w:jc w:val="both"/>
        <w:rPr>
          <w:sz w:val="22"/>
        </w:rPr>
      </w:pPr>
      <w:r>
        <w:rPr>
          <w:sz w:val="22"/>
        </w:rPr>
        <w:t>Hermann,</w:t>
      </w:r>
      <w:r>
        <w:rPr>
          <w:spacing w:val="-9"/>
          <w:sz w:val="22"/>
        </w:rPr>
        <w:t> </w:t>
      </w:r>
      <w:r>
        <w:rPr>
          <w:sz w:val="22"/>
        </w:rPr>
        <w:t>P.</w:t>
      </w:r>
      <w:r>
        <w:rPr>
          <w:spacing w:val="-9"/>
          <w:sz w:val="22"/>
        </w:rPr>
        <w:t> </w:t>
      </w:r>
      <w:r>
        <w:rPr>
          <w:sz w:val="22"/>
        </w:rPr>
        <w:t>A.,</w:t>
      </w:r>
      <w:r>
        <w:rPr>
          <w:spacing w:val="-9"/>
          <w:sz w:val="22"/>
        </w:rPr>
        <w:t> </w:t>
      </w:r>
      <w:r>
        <w:rPr>
          <w:sz w:val="22"/>
        </w:rPr>
        <w:t>Ngangue,</w:t>
      </w:r>
      <w:r>
        <w:rPr>
          <w:spacing w:val="-9"/>
          <w:sz w:val="22"/>
        </w:rPr>
        <w:t> </w:t>
      </w:r>
      <w:r>
        <w:rPr>
          <w:sz w:val="22"/>
        </w:rPr>
        <w:t>P.,</w:t>
      </w:r>
      <w:r>
        <w:rPr>
          <w:spacing w:val="-9"/>
          <w:sz w:val="22"/>
        </w:rPr>
        <w:t> </w:t>
      </w:r>
      <w:r>
        <w:rPr>
          <w:sz w:val="22"/>
        </w:rPr>
        <w:t>Nestor,</w:t>
      </w:r>
      <w:r>
        <w:rPr>
          <w:spacing w:val="-9"/>
          <w:sz w:val="22"/>
        </w:rPr>
        <w:t> </w:t>
      </w:r>
      <w:r>
        <w:rPr>
          <w:sz w:val="22"/>
        </w:rPr>
        <w:t>B.,</w:t>
      </w:r>
      <w:r>
        <w:rPr>
          <w:spacing w:val="-9"/>
          <w:sz w:val="22"/>
        </w:rPr>
        <w:t> </w:t>
      </w:r>
      <w:r>
        <w:rPr>
          <w:sz w:val="22"/>
        </w:rPr>
        <w:t>Abibata,</w:t>
      </w:r>
      <w:r>
        <w:rPr>
          <w:spacing w:val="-9"/>
          <w:sz w:val="22"/>
        </w:rPr>
        <w:t> </w:t>
      </w:r>
      <w:r>
        <w:rPr>
          <w:sz w:val="22"/>
        </w:rPr>
        <w:t>B.,</w:t>
      </w:r>
      <w:r>
        <w:rPr>
          <w:spacing w:val="-9"/>
          <w:sz w:val="22"/>
        </w:rPr>
        <w:t> </w:t>
      </w:r>
      <w:r>
        <w:rPr>
          <w:sz w:val="22"/>
        </w:rPr>
        <w:t>Yacouba,</w:t>
      </w:r>
      <w:r>
        <w:rPr>
          <w:spacing w:val="-9"/>
          <w:sz w:val="22"/>
        </w:rPr>
        <w:t> </w:t>
      </w:r>
      <w:r>
        <w:rPr>
          <w:sz w:val="22"/>
        </w:rPr>
        <w:t>P.,</w:t>
      </w:r>
      <w:r>
        <w:rPr>
          <w:spacing w:val="-9"/>
          <w:sz w:val="22"/>
        </w:rPr>
        <w:t> </w:t>
      </w:r>
      <w:r>
        <w:rPr>
          <w:sz w:val="22"/>
        </w:rPr>
        <w:t>&amp;</w:t>
      </w:r>
      <w:r>
        <w:rPr>
          <w:spacing w:val="-9"/>
          <w:sz w:val="22"/>
        </w:rPr>
        <w:t> </w:t>
      </w:r>
      <w:r>
        <w:rPr>
          <w:sz w:val="22"/>
        </w:rPr>
        <w:t>Dieudonné,</w:t>
      </w:r>
      <w:r>
        <w:rPr>
          <w:spacing w:val="-9"/>
          <w:sz w:val="22"/>
        </w:rPr>
        <w:t> </w:t>
      </w:r>
      <w:r>
        <w:rPr>
          <w:sz w:val="22"/>
        </w:rPr>
        <w:t>S.</w:t>
      </w:r>
      <w:r>
        <w:rPr>
          <w:spacing w:val="-9"/>
          <w:sz w:val="22"/>
        </w:rPr>
        <w:t> </w:t>
      </w:r>
      <w:r>
        <w:rPr>
          <w:sz w:val="22"/>
        </w:rPr>
        <w:t>(2022).</w:t>
      </w:r>
      <w:r>
        <w:rPr>
          <w:spacing w:val="-9"/>
          <w:sz w:val="22"/>
        </w:rPr>
        <w:t> </w:t>
      </w:r>
      <w:r>
        <w:rPr>
          <w:sz w:val="22"/>
        </w:rPr>
        <w:t>Effects of</w:t>
      </w:r>
      <w:r>
        <w:rPr>
          <w:spacing w:val="-3"/>
          <w:sz w:val="22"/>
        </w:rPr>
        <w:t> </w:t>
      </w:r>
      <w:r>
        <w:rPr>
          <w:sz w:val="22"/>
        </w:rPr>
        <w:t>information</w:t>
      </w:r>
      <w:r>
        <w:rPr>
          <w:spacing w:val="-3"/>
          <w:sz w:val="22"/>
        </w:rPr>
        <w:t> </w:t>
      </w:r>
      <w:r>
        <w:rPr>
          <w:sz w:val="22"/>
        </w:rPr>
        <w:t>and</w:t>
      </w:r>
      <w:r>
        <w:rPr>
          <w:spacing w:val="-3"/>
          <w:sz w:val="22"/>
        </w:rPr>
        <w:t> </w:t>
      </w:r>
      <w:r>
        <w:rPr>
          <w:sz w:val="22"/>
        </w:rPr>
        <w:t>communication</w:t>
      </w:r>
      <w:r>
        <w:rPr>
          <w:spacing w:val="-3"/>
          <w:sz w:val="22"/>
        </w:rPr>
        <w:t> </w:t>
      </w:r>
      <w:r>
        <w:rPr>
          <w:sz w:val="22"/>
        </w:rPr>
        <w:t>technology</w:t>
      </w:r>
      <w:r>
        <w:rPr>
          <w:spacing w:val="-3"/>
          <w:sz w:val="22"/>
        </w:rPr>
        <w:t> </w:t>
      </w:r>
      <w:r>
        <w:rPr>
          <w:sz w:val="22"/>
        </w:rPr>
        <w:t>use</w:t>
      </w:r>
      <w:r>
        <w:rPr>
          <w:spacing w:val="-3"/>
          <w:sz w:val="22"/>
        </w:rPr>
        <w:t> </w:t>
      </w:r>
      <w:r>
        <w:rPr>
          <w:sz w:val="22"/>
        </w:rPr>
        <w:t>in</w:t>
      </w:r>
      <w:r>
        <w:rPr>
          <w:spacing w:val="-3"/>
          <w:sz w:val="22"/>
        </w:rPr>
        <w:t> </w:t>
      </w:r>
      <w:r>
        <w:rPr>
          <w:sz w:val="22"/>
        </w:rPr>
        <w:t>nursing</w:t>
      </w:r>
      <w:r>
        <w:rPr>
          <w:spacing w:val="-3"/>
          <w:sz w:val="22"/>
        </w:rPr>
        <w:t> </w:t>
      </w:r>
      <w:r>
        <w:rPr>
          <w:sz w:val="22"/>
        </w:rPr>
        <w:t>and</w:t>
      </w:r>
      <w:r>
        <w:rPr>
          <w:spacing w:val="-3"/>
          <w:sz w:val="22"/>
        </w:rPr>
        <w:t> </w:t>
      </w:r>
      <w:r>
        <w:rPr>
          <w:sz w:val="22"/>
        </w:rPr>
        <w:t>obstetric</w:t>
      </w:r>
      <w:r>
        <w:rPr>
          <w:spacing w:val="-3"/>
          <w:sz w:val="22"/>
        </w:rPr>
        <w:t> </w:t>
      </w:r>
      <w:r>
        <w:rPr>
          <w:sz w:val="22"/>
        </w:rPr>
        <w:t>learning</w:t>
      </w:r>
      <w:r>
        <w:rPr>
          <w:spacing w:val="-3"/>
          <w:sz w:val="22"/>
        </w:rPr>
        <w:t> </w:t>
      </w:r>
      <w:r>
        <w:rPr>
          <w:sz w:val="22"/>
        </w:rPr>
        <w:t>in</w:t>
      </w:r>
      <w:r>
        <w:rPr>
          <w:spacing w:val="-3"/>
          <w:sz w:val="22"/>
        </w:rPr>
        <w:t> </w:t>
      </w:r>
      <w:r>
        <w:rPr>
          <w:sz w:val="22"/>
        </w:rPr>
        <w:t>low-</w:t>
      </w:r>
      <w:r>
        <w:rPr>
          <w:spacing w:val="-3"/>
          <w:sz w:val="22"/>
        </w:rPr>
        <w:t> </w:t>
      </w:r>
      <w:r>
        <w:rPr>
          <w:sz w:val="22"/>
        </w:rPr>
        <w:t>and middle-income</w:t>
      </w:r>
      <w:r>
        <w:rPr>
          <w:spacing w:val="-9"/>
          <w:sz w:val="22"/>
        </w:rPr>
        <w:t> </w:t>
      </w:r>
      <w:r>
        <w:rPr>
          <w:sz w:val="22"/>
        </w:rPr>
        <w:t>countries:</w:t>
      </w:r>
      <w:r>
        <w:rPr>
          <w:spacing w:val="-9"/>
          <w:sz w:val="22"/>
        </w:rPr>
        <w:t> </w:t>
      </w:r>
      <w:r>
        <w:rPr>
          <w:sz w:val="22"/>
        </w:rPr>
        <w:t>A</w:t>
      </w:r>
      <w:r>
        <w:rPr>
          <w:spacing w:val="-9"/>
          <w:sz w:val="22"/>
        </w:rPr>
        <w:t> </w:t>
      </w:r>
      <w:r>
        <w:rPr>
          <w:sz w:val="22"/>
        </w:rPr>
        <w:t>systematic</w:t>
      </w:r>
      <w:r>
        <w:rPr>
          <w:spacing w:val="-9"/>
          <w:sz w:val="22"/>
        </w:rPr>
        <w:t> </w:t>
      </w:r>
      <w:r>
        <w:rPr>
          <w:sz w:val="22"/>
        </w:rPr>
        <w:t>review.</w:t>
      </w:r>
      <w:r>
        <w:rPr>
          <w:spacing w:val="-9"/>
          <w:sz w:val="22"/>
        </w:rPr>
        <w:t> </w:t>
      </w:r>
      <w:r>
        <w:rPr>
          <w:i/>
          <w:sz w:val="22"/>
        </w:rPr>
        <w:t>Journal</w:t>
      </w:r>
      <w:r>
        <w:rPr>
          <w:i/>
          <w:spacing w:val="-9"/>
          <w:sz w:val="22"/>
        </w:rPr>
        <w:t> </w:t>
      </w:r>
      <w:r>
        <w:rPr>
          <w:i/>
          <w:sz w:val="22"/>
        </w:rPr>
        <w:t>of</w:t>
      </w:r>
      <w:r>
        <w:rPr>
          <w:i/>
          <w:spacing w:val="-9"/>
          <w:sz w:val="22"/>
        </w:rPr>
        <w:t> </w:t>
      </w:r>
      <w:r>
        <w:rPr>
          <w:i/>
          <w:sz w:val="22"/>
        </w:rPr>
        <w:t>Nursing</w:t>
      </w:r>
      <w:r>
        <w:rPr>
          <w:i/>
          <w:spacing w:val="-9"/>
          <w:sz w:val="22"/>
        </w:rPr>
        <w:t> </w:t>
      </w:r>
      <w:r>
        <w:rPr>
          <w:i/>
          <w:sz w:val="22"/>
        </w:rPr>
        <w:t>Education</w:t>
      </w:r>
      <w:r>
        <w:rPr>
          <w:i/>
          <w:spacing w:val="-9"/>
          <w:sz w:val="22"/>
        </w:rPr>
        <w:t> </w:t>
      </w:r>
      <w:r>
        <w:rPr>
          <w:i/>
          <w:sz w:val="22"/>
        </w:rPr>
        <w:t>and</w:t>
      </w:r>
      <w:r>
        <w:rPr>
          <w:i/>
          <w:spacing w:val="-9"/>
          <w:sz w:val="22"/>
        </w:rPr>
        <w:t> </w:t>
      </w:r>
      <w:r>
        <w:rPr>
          <w:i/>
          <w:sz w:val="22"/>
        </w:rPr>
        <w:t>Practice,</w:t>
      </w:r>
      <w:r>
        <w:rPr>
          <w:i/>
          <w:spacing w:val="-9"/>
          <w:sz w:val="22"/>
        </w:rPr>
        <w:t> </w:t>
      </w:r>
      <w:r>
        <w:rPr>
          <w:i/>
          <w:sz w:val="22"/>
        </w:rPr>
        <w:t>12</w:t>
      </w:r>
      <w:r>
        <w:rPr>
          <w:sz w:val="22"/>
        </w:rPr>
        <w:t>(1), 7–15. </w:t>
      </w:r>
      <w:hyperlink r:id="rId14">
        <w:r>
          <w:rPr>
            <w:color w:val="1154CC"/>
            <w:sz w:val="22"/>
            <w:u w:val="thick" w:color="1154CC"/>
          </w:rPr>
          <w:t>https://doi.org/10.5430/jnep.v12n1p7</w:t>
        </w:r>
      </w:hyperlink>
    </w:p>
    <w:p>
      <w:pPr>
        <w:pStyle w:val="BodyText"/>
        <w:rPr>
          <w:rFonts w:ascii="Calibri"/>
          <w:sz w:val="22"/>
        </w:rPr>
      </w:pPr>
    </w:p>
    <w:p>
      <w:pPr>
        <w:pStyle w:val="Heading2"/>
        <w:numPr>
          <w:ilvl w:val="0"/>
          <w:numId w:val="4"/>
        </w:numPr>
        <w:tabs>
          <w:tab w:pos="1078" w:val="left" w:leader="none"/>
          <w:tab w:pos="1080" w:val="left" w:leader="none"/>
        </w:tabs>
        <w:spacing w:line="240" w:lineRule="auto" w:before="0" w:after="0"/>
        <w:ind w:left="1080" w:right="766" w:hanging="360"/>
        <w:jc w:val="left"/>
      </w:pPr>
      <w:r>
        <w:rPr/>
        <w:t>Junaid,</w:t>
      </w:r>
      <w:r>
        <w:rPr>
          <w:spacing w:val="-6"/>
        </w:rPr>
        <w:t> </w:t>
      </w:r>
      <w:r>
        <w:rPr/>
        <w:t>S.</w:t>
      </w:r>
      <w:r>
        <w:rPr>
          <w:spacing w:val="-6"/>
        </w:rPr>
        <w:t> </w:t>
      </w:r>
      <w:r>
        <w:rPr/>
        <w:t>B.,</w:t>
      </w:r>
      <w:r>
        <w:rPr>
          <w:spacing w:val="-6"/>
        </w:rPr>
        <w:t> </w:t>
      </w:r>
      <w:r>
        <w:rPr/>
        <w:t>Imam,</w:t>
      </w:r>
      <w:r>
        <w:rPr>
          <w:spacing w:val="-6"/>
        </w:rPr>
        <w:t> </w:t>
      </w:r>
      <w:r>
        <w:rPr/>
        <w:t>A.</w:t>
      </w:r>
      <w:r>
        <w:rPr>
          <w:spacing w:val="-6"/>
        </w:rPr>
        <w:t> </w:t>
      </w:r>
      <w:r>
        <w:rPr/>
        <w:t>A.,</w:t>
      </w:r>
      <w:r>
        <w:rPr>
          <w:spacing w:val="-6"/>
        </w:rPr>
        <w:t> </w:t>
      </w:r>
      <w:r>
        <w:rPr/>
        <w:t>Balogun,</w:t>
      </w:r>
      <w:r>
        <w:rPr>
          <w:spacing w:val="-6"/>
        </w:rPr>
        <w:t> </w:t>
      </w:r>
      <w:r>
        <w:rPr/>
        <w:t>A.</w:t>
      </w:r>
      <w:r>
        <w:rPr>
          <w:spacing w:val="-6"/>
        </w:rPr>
        <w:t> </w:t>
      </w:r>
      <w:r>
        <w:rPr/>
        <w:t>O.,</w:t>
      </w:r>
      <w:r>
        <w:rPr>
          <w:spacing w:val="-6"/>
        </w:rPr>
        <w:t> </w:t>
      </w:r>
      <w:r>
        <w:rPr/>
        <w:t>De</w:t>
      </w:r>
      <w:r>
        <w:rPr>
          <w:spacing w:val="-6"/>
        </w:rPr>
        <w:t> </w:t>
      </w:r>
      <w:r>
        <w:rPr/>
        <w:t>Silva,</w:t>
      </w:r>
      <w:r>
        <w:rPr>
          <w:spacing w:val="-6"/>
        </w:rPr>
        <w:t> </w:t>
      </w:r>
      <w:r>
        <w:rPr/>
        <w:t>L.</w:t>
      </w:r>
      <w:r>
        <w:rPr>
          <w:spacing w:val="-6"/>
        </w:rPr>
        <w:t> </w:t>
      </w:r>
      <w:r>
        <w:rPr/>
        <w:t>C.,</w:t>
      </w:r>
      <w:r>
        <w:rPr>
          <w:spacing w:val="-6"/>
        </w:rPr>
        <w:t> </w:t>
      </w:r>
      <w:r>
        <w:rPr/>
        <w:t>Surakat,</w:t>
      </w:r>
      <w:r>
        <w:rPr>
          <w:spacing w:val="-6"/>
        </w:rPr>
        <w:t> </w:t>
      </w:r>
      <w:r>
        <w:rPr/>
        <w:t>Y.</w:t>
      </w:r>
      <w:r>
        <w:rPr>
          <w:spacing w:val="-6"/>
        </w:rPr>
        <w:t> </w:t>
      </w:r>
      <w:r>
        <w:rPr/>
        <w:t>A.,</w:t>
      </w:r>
      <w:r>
        <w:rPr>
          <w:spacing w:val="-6"/>
        </w:rPr>
        <w:t> </w:t>
      </w:r>
      <w:r>
        <w:rPr/>
        <w:t>Kumar,</w:t>
      </w:r>
      <w:r>
        <w:rPr>
          <w:spacing w:val="-6"/>
        </w:rPr>
        <w:t> </w:t>
      </w:r>
      <w:r>
        <w:rPr/>
        <w:t>G.,</w:t>
      </w:r>
      <w:r>
        <w:rPr>
          <w:spacing w:val="-6"/>
        </w:rPr>
        <w:t> </w:t>
      </w:r>
      <w:r>
        <w:rPr/>
        <w:t>Abdulkarim,</w:t>
      </w:r>
      <w:r>
        <w:rPr>
          <w:spacing w:val="-6"/>
        </w:rPr>
        <w:t> </w:t>
      </w:r>
      <w:r>
        <w:rPr/>
        <w:t>M., Shuaibu,</w:t>
      </w:r>
      <w:r>
        <w:rPr>
          <w:spacing w:val="-1"/>
        </w:rPr>
        <w:t> </w:t>
      </w:r>
      <w:r>
        <w:rPr/>
        <w:t>A.</w:t>
      </w:r>
      <w:r>
        <w:rPr>
          <w:spacing w:val="-1"/>
        </w:rPr>
        <w:t> </w:t>
      </w:r>
      <w:r>
        <w:rPr/>
        <w:t>N.,</w:t>
      </w:r>
      <w:r>
        <w:rPr>
          <w:spacing w:val="-1"/>
        </w:rPr>
        <w:t> </w:t>
      </w:r>
      <w:r>
        <w:rPr/>
        <w:t>Garba,</w:t>
      </w:r>
      <w:r>
        <w:rPr>
          <w:spacing w:val="-1"/>
        </w:rPr>
        <w:t> </w:t>
      </w:r>
      <w:r>
        <w:rPr/>
        <w:t>A.,</w:t>
      </w:r>
      <w:r>
        <w:rPr>
          <w:spacing w:val="-1"/>
        </w:rPr>
        <w:t> </w:t>
      </w:r>
      <w:r>
        <w:rPr/>
        <w:t>Sahalu,</w:t>
      </w:r>
      <w:r>
        <w:rPr>
          <w:spacing w:val="-1"/>
        </w:rPr>
        <w:t> </w:t>
      </w:r>
      <w:r>
        <w:rPr/>
        <w:t>Y.,</w:t>
      </w:r>
      <w:r>
        <w:rPr>
          <w:spacing w:val="-1"/>
        </w:rPr>
        <w:t> </w:t>
      </w:r>
      <w:r>
        <w:rPr/>
        <w:t>Mohammed,</w:t>
      </w:r>
      <w:r>
        <w:rPr>
          <w:spacing w:val="-1"/>
        </w:rPr>
        <w:t> </w:t>
      </w:r>
      <w:r>
        <w:rPr/>
        <w:t>A.,</w:t>
      </w:r>
      <w:r>
        <w:rPr>
          <w:spacing w:val="-1"/>
        </w:rPr>
        <w:t> </w:t>
      </w:r>
      <w:r>
        <w:rPr/>
        <w:t>Mohammed,</w:t>
      </w:r>
      <w:r>
        <w:rPr>
          <w:spacing w:val="-1"/>
        </w:rPr>
        <w:t> </w:t>
      </w:r>
      <w:r>
        <w:rPr/>
        <w:t>T.</w:t>
      </w:r>
      <w:r>
        <w:rPr>
          <w:spacing w:val="-1"/>
        </w:rPr>
        <w:t> </w:t>
      </w:r>
      <w:r>
        <w:rPr/>
        <w:t>Y.,</w:t>
      </w:r>
      <w:r>
        <w:rPr>
          <w:spacing w:val="-1"/>
        </w:rPr>
        <w:t> </w:t>
      </w:r>
      <w:r>
        <w:rPr/>
        <w:t>Abdulkadir,</w:t>
      </w:r>
      <w:r>
        <w:rPr>
          <w:spacing w:val="-1"/>
        </w:rPr>
        <w:t> </w:t>
      </w:r>
      <w:r>
        <w:rPr/>
        <w:t>B.</w:t>
      </w:r>
      <w:r>
        <w:rPr>
          <w:spacing w:val="-1"/>
        </w:rPr>
        <w:t> </w:t>
      </w:r>
      <w:r>
        <w:rPr/>
        <w:t>A.,</w:t>
      </w:r>
      <w:r>
        <w:rPr>
          <w:spacing w:val="-1"/>
        </w:rPr>
        <w:t> </w:t>
      </w:r>
      <w:r>
        <w:rPr/>
        <w:t>Abba,</w:t>
      </w:r>
    </w:p>
    <w:p>
      <w:pPr>
        <w:spacing w:before="0"/>
        <w:ind w:left="1080" w:right="827" w:firstLine="0"/>
        <w:jc w:val="left"/>
        <w:rPr>
          <w:rFonts w:ascii="Calibri"/>
          <w:sz w:val="22"/>
        </w:rPr>
      </w:pPr>
      <w:r>
        <w:rPr>
          <w:rFonts w:ascii="Calibri"/>
          <w:sz w:val="22"/>
        </w:rPr>
        <w:t>A.</w:t>
      </w:r>
      <w:r>
        <w:rPr>
          <w:rFonts w:ascii="Calibri"/>
          <w:spacing w:val="-5"/>
          <w:sz w:val="22"/>
        </w:rPr>
        <w:t> </w:t>
      </w:r>
      <w:r>
        <w:rPr>
          <w:rFonts w:ascii="Calibri"/>
          <w:sz w:val="22"/>
        </w:rPr>
        <w:t>A.,</w:t>
      </w:r>
      <w:r>
        <w:rPr>
          <w:rFonts w:ascii="Calibri"/>
          <w:spacing w:val="-5"/>
          <w:sz w:val="22"/>
        </w:rPr>
        <w:t> </w:t>
      </w:r>
      <w:r>
        <w:rPr>
          <w:rFonts w:ascii="Calibri"/>
          <w:sz w:val="22"/>
        </w:rPr>
        <w:t>Kakumi,</w:t>
      </w:r>
      <w:r>
        <w:rPr>
          <w:rFonts w:ascii="Calibri"/>
          <w:spacing w:val="-5"/>
          <w:sz w:val="22"/>
        </w:rPr>
        <w:t> </w:t>
      </w:r>
      <w:r>
        <w:rPr>
          <w:rFonts w:ascii="Calibri"/>
          <w:sz w:val="22"/>
        </w:rPr>
        <w:t>N.</w:t>
      </w:r>
      <w:r>
        <w:rPr>
          <w:rFonts w:ascii="Calibri"/>
          <w:spacing w:val="-5"/>
          <w:sz w:val="22"/>
        </w:rPr>
        <w:t> </w:t>
      </w:r>
      <w:r>
        <w:rPr>
          <w:rFonts w:ascii="Calibri"/>
          <w:sz w:val="22"/>
        </w:rPr>
        <w:t>A.</w:t>
      </w:r>
      <w:r>
        <w:rPr>
          <w:rFonts w:ascii="Calibri"/>
          <w:spacing w:val="-5"/>
          <w:sz w:val="22"/>
        </w:rPr>
        <w:t> </w:t>
      </w:r>
      <w:r>
        <w:rPr>
          <w:rFonts w:ascii="Calibri"/>
          <w:sz w:val="22"/>
        </w:rPr>
        <w:t>I.,</w:t>
      </w:r>
      <w:r>
        <w:rPr>
          <w:rFonts w:ascii="Calibri"/>
          <w:spacing w:val="-5"/>
          <w:sz w:val="22"/>
        </w:rPr>
        <w:t> </w:t>
      </w:r>
      <w:r>
        <w:rPr>
          <w:rFonts w:ascii="Calibri"/>
          <w:sz w:val="22"/>
        </w:rPr>
        <w:t>&amp;</w:t>
      </w:r>
      <w:r>
        <w:rPr>
          <w:rFonts w:ascii="Calibri"/>
          <w:spacing w:val="-5"/>
          <w:sz w:val="22"/>
        </w:rPr>
        <w:t> </w:t>
      </w:r>
      <w:r>
        <w:rPr>
          <w:rFonts w:ascii="Calibri"/>
          <w:sz w:val="22"/>
        </w:rPr>
        <w:t>Mahamad,</w:t>
      </w:r>
      <w:r>
        <w:rPr>
          <w:rFonts w:ascii="Calibri"/>
          <w:spacing w:val="-5"/>
          <w:sz w:val="22"/>
        </w:rPr>
        <w:t> </w:t>
      </w:r>
      <w:r>
        <w:rPr>
          <w:rFonts w:ascii="Calibri"/>
          <w:sz w:val="22"/>
        </w:rPr>
        <w:t>S.</w:t>
      </w:r>
      <w:r>
        <w:rPr>
          <w:rFonts w:ascii="Calibri"/>
          <w:spacing w:val="-5"/>
          <w:sz w:val="22"/>
        </w:rPr>
        <w:t> </w:t>
      </w:r>
      <w:r>
        <w:rPr>
          <w:rFonts w:ascii="Calibri"/>
          <w:sz w:val="22"/>
        </w:rPr>
        <w:t>(2022).</w:t>
      </w:r>
      <w:r>
        <w:rPr>
          <w:rFonts w:ascii="Calibri"/>
          <w:spacing w:val="-5"/>
          <w:sz w:val="22"/>
        </w:rPr>
        <w:t> </w:t>
      </w:r>
      <w:r>
        <w:rPr>
          <w:rFonts w:ascii="Calibri"/>
          <w:sz w:val="22"/>
        </w:rPr>
        <w:t>Recent</w:t>
      </w:r>
      <w:r>
        <w:rPr>
          <w:rFonts w:ascii="Calibri"/>
          <w:spacing w:val="-5"/>
          <w:sz w:val="22"/>
        </w:rPr>
        <w:t> </w:t>
      </w:r>
      <w:r>
        <w:rPr>
          <w:rFonts w:ascii="Calibri"/>
          <w:sz w:val="22"/>
        </w:rPr>
        <w:t>advancements</w:t>
      </w:r>
      <w:r>
        <w:rPr>
          <w:rFonts w:ascii="Calibri"/>
          <w:spacing w:val="-5"/>
          <w:sz w:val="22"/>
        </w:rPr>
        <w:t> </w:t>
      </w:r>
      <w:r>
        <w:rPr>
          <w:rFonts w:ascii="Calibri"/>
          <w:sz w:val="22"/>
        </w:rPr>
        <w:t>in</w:t>
      </w:r>
      <w:r>
        <w:rPr>
          <w:rFonts w:ascii="Calibri"/>
          <w:spacing w:val="-5"/>
          <w:sz w:val="22"/>
        </w:rPr>
        <w:t> </w:t>
      </w:r>
      <w:r>
        <w:rPr>
          <w:rFonts w:ascii="Calibri"/>
          <w:sz w:val="22"/>
        </w:rPr>
        <w:t>emerging</w:t>
      </w:r>
      <w:r>
        <w:rPr>
          <w:rFonts w:ascii="Calibri"/>
          <w:spacing w:val="-5"/>
          <w:sz w:val="22"/>
        </w:rPr>
        <w:t> </w:t>
      </w:r>
      <w:r>
        <w:rPr>
          <w:rFonts w:ascii="Calibri"/>
          <w:sz w:val="22"/>
        </w:rPr>
        <w:t>technologies for healthcare management systems: A survey. </w:t>
      </w:r>
      <w:r>
        <w:rPr>
          <w:rFonts w:ascii="Calibri"/>
          <w:i/>
          <w:sz w:val="22"/>
        </w:rPr>
        <w:t>Healthcare (Basel), 10</w:t>
      </w:r>
      <w:r>
        <w:rPr>
          <w:rFonts w:ascii="Calibri"/>
          <w:sz w:val="22"/>
        </w:rPr>
        <w:t>(10), 1940. </w:t>
      </w:r>
      <w:hyperlink r:id="rId15">
        <w:r>
          <w:rPr>
            <w:rFonts w:ascii="Calibri"/>
            <w:color w:val="1154CC"/>
            <w:spacing w:val="-2"/>
            <w:sz w:val="22"/>
            <w:u w:val="thick" w:color="1154CC"/>
          </w:rPr>
          <w:t>https://doi.org/10.3390/healthcare10101940</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1041" w:hanging="360"/>
        <w:jc w:val="left"/>
        <w:rPr>
          <w:sz w:val="22"/>
        </w:rPr>
      </w:pPr>
      <w:r>
        <w:rPr>
          <w:sz w:val="22"/>
        </w:rPr>
        <w:t>Kaminskien</w:t>
      </w:r>
      <w:r>
        <w:rPr>
          <w:rFonts w:ascii="Arial MT" w:hAnsi="Arial MT"/>
          <w:sz w:val="22"/>
        </w:rPr>
        <w:t>ė</w:t>
      </w:r>
      <w:r>
        <w:rPr>
          <w:sz w:val="22"/>
        </w:rPr>
        <w:t>,</w:t>
      </w:r>
      <w:r>
        <w:rPr>
          <w:spacing w:val="-3"/>
          <w:sz w:val="22"/>
        </w:rPr>
        <w:t> </w:t>
      </w:r>
      <w:r>
        <w:rPr>
          <w:sz w:val="22"/>
        </w:rPr>
        <w:t>L.,</w:t>
      </w:r>
      <w:r>
        <w:rPr>
          <w:spacing w:val="-3"/>
          <w:sz w:val="22"/>
        </w:rPr>
        <w:t> </w:t>
      </w:r>
      <w:r>
        <w:rPr>
          <w:sz w:val="22"/>
        </w:rPr>
        <w:t>Järvelä,</w:t>
      </w:r>
      <w:r>
        <w:rPr>
          <w:spacing w:val="-3"/>
          <w:sz w:val="22"/>
        </w:rPr>
        <w:t> </w:t>
      </w:r>
      <w:r>
        <w:rPr>
          <w:sz w:val="22"/>
        </w:rPr>
        <w:t>S.,</w:t>
      </w:r>
      <w:r>
        <w:rPr>
          <w:spacing w:val="-3"/>
          <w:sz w:val="22"/>
        </w:rPr>
        <w:t> </w:t>
      </w:r>
      <w:r>
        <w:rPr>
          <w:sz w:val="22"/>
        </w:rPr>
        <w:t>&amp;</w:t>
      </w:r>
      <w:r>
        <w:rPr>
          <w:spacing w:val="-3"/>
          <w:sz w:val="22"/>
        </w:rPr>
        <w:t> </w:t>
      </w:r>
      <w:r>
        <w:rPr>
          <w:sz w:val="22"/>
        </w:rPr>
        <w:t>Lehtinen,</w:t>
      </w:r>
      <w:r>
        <w:rPr>
          <w:spacing w:val="-3"/>
          <w:sz w:val="22"/>
        </w:rPr>
        <w:t> </w:t>
      </w:r>
      <w:r>
        <w:rPr>
          <w:sz w:val="22"/>
        </w:rPr>
        <w:t>E.</w:t>
      </w:r>
      <w:r>
        <w:rPr>
          <w:spacing w:val="-3"/>
          <w:sz w:val="22"/>
        </w:rPr>
        <w:t> </w:t>
      </w:r>
      <w:r>
        <w:rPr>
          <w:sz w:val="22"/>
        </w:rPr>
        <w:t>(2022).</w:t>
      </w:r>
      <w:r>
        <w:rPr>
          <w:spacing w:val="-3"/>
          <w:sz w:val="22"/>
        </w:rPr>
        <w:t> </w:t>
      </w:r>
      <w:r>
        <w:rPr>
          <w:sz w:val="22"/>
        </w:rPr>
        <w:t>How</w:t>
      </w:r>
      <w:r>
        <w:rPr>
          <w:spacing w:val="-3"/>
          <w:sz w:val="22"/>
        </w:rPr>
        <w:t> </w:t>
      </w:r>
      <w:r>
        <w:rPr>
          <w:sz w:val="22"/>
        </w:rPr>
        <w:t>does</w:t>
      </w:r>
      <w:r>
        <w:rPr>
          <w:spacing w:val="-3"/>
          <w:sz w:val="22"/>
        </w:rPr>
        <w:t> </w:t>
      </w:r>
      <w:r>
        <w:rPr>
          <w:sz w:val="22"/>
        </w:rPr>
        <w:t>technology</w:t>
      </w:r>
      <w:r>
        <w:rPr>
          <w:spacing w:val="-3"/>
          <w:sz w:val="22"/>
        </w:rPr>
        <w:t> </w:t>
      </w:r>
      <w:r>
        <w:rPr>
          <w:sz w:val="22"/>
        </w:rPr>
        <w:t>challenge</w:t>
      </w:r>
      <w:r>
        <w:rPr>
          <w:spacing w:val="-3"/>
          <w:sz w:val="22"/>
        </w:rPr>
        <w:t> </w:t>
      </w:r>
      <w:r>
        <w:rPr>
          <w:sz w:val="22"/>
        </w:rPr>
        <w:t>teacher education?</w:t>
      </w:r>
      <w:r>
        <w:rPr>
          <w:spacing w:val="-9"/>
          <w:sz w:val="22"/>
        </w:rPr>
        <w:t> </w:t>
      </w:r>
      <w:r>
        <w:rPr>
          <w:i/>
          <w:sz w:val="22"/>
        </w:rPr>
        <w:t>International</w:t>
      </w:r>
      <w:r>
        <w:rPr>
          <w:i/>
          <w:spacing w:val="-9"/>
          <w:sz w:val="22"/>
        </w:rPr>
        <w:t> </w:t>
      </w:r>
      <w:r>
        <w:rPr>
          <w:i/>
          <w:sz w:val="22"/>
        </w:rPr>
        <w:t>Journal</w:t>
      </w:r>
      <w:r>
        <w:rPr>
          <w:i/>
          <w:spacing w:val="-9"/>
          <w:sz w:val="22"/>
        </w:rPr>
        <w:t> </w:t>
      </w:r>
      <w:r>
        <w:rPr>
          <w:i/>
          <w:sz w:val="22"/>
        </w:rPr>
        <w:t>of</w:t>
      </w:r>
      <w:r>
        <w:rPr>
          <w:i/>
          <w:spacing w:val="-9"/>
          <w:sz w:val="22"/>
        </w:rPr>
        <w:t> </w:t>
      </w:r>
      <w:r>
        <w:rPr>
          <w:i/>
          <w:sz w:val="22"/>
        </w:rPr>
        <w:t>Educational</w:t>
      </w:r>
      <w:r>
        <w:rPr>
          <w:i/>
          <w:spacing w:val="-9"/>
          <w:sz w:val="22"/>
        </w:rPr>
        <w:t> </w:t>
      </w:r>
      <w:r>
        <w:rPr>
          <w:i/>
          <w:sz w:val="22"/>
        </w:rPr>
        <w:t>Technology</w:t>
      </w:r>
      <w:r>
        <w:rPr>
          <w:i/>
          <w:spacing w:val="-9"/>
          <w:sz w:val="22"/>
        </w:rPr>
        <w:t> </w:t>
      </w:r>
      <w:r>
        <w:rPr>
          <w:i/>
          <w:sz w:val="22"/>
        </w:rPr>
        <w:t>in</w:t>
      </w:r>
      <w:r>
        <w:rPr>
          <w:i/>
          <w:spacing w:val="-9"/>
          <w:sz w:val="22"/>
        </w:rPr>
        <w:t> </w:t>
      </w:r>
      <w:r>
        <w:rPr>
          <w:i/>
          <w:sz w:val="22"/>
        </w:rPr>
        <w:t>Higher</w:t>
      </w:r>
      <w:r>
        <w:rPr>
          <w:i/>
          <w:spacing w:val="-9"/>
          <w:sz w:val="22"/>
        </w:rPr>
        <w:t> </w:t>
      </w:r>
      <w:r>
        <w:rPr>
          <w:i/>
          <w:sz w:val="22"/>
        </w:rPr>
        <w:t>Education,</w:t>
      </w:r>
      <w:r>
        <w:rPr>
          <w:i/>
          <w:spacing w:val="-9"/>
          <w:sz w:val="22"/>
        </w:rPr>
        <w:t> </w:t>
      </w:r>
      <w:r>
        <w:rPr>
          <w:i/>
          <w:sz w:val="22"/>
        </w:rPr>
        <w:t>19</w:t>
      </w:r>
      <w:r>
        <w:rPr>
          <w:sz w:val="22"/>
        </w:rPr>
        <w:t>(1),</w:t>
      </w:r>
      <w:r>
        <w:rPr>
          <w:spacing w:val="-9"/>
          <w:sz w:val="22"/>
        </w:rPr>
        <w:t> </w:t>
      </w:r>
      <w:r>
        <w:rPr>
          <w:sz w:val="22"/>
        </w:rPr>
        <w:t>Article</w:t>
      </w:r>
    </w:p>
    <w:p>
      <w:pPr>
        <w:spacing w:before="0"/>
        <w:ind w:left="1080" w:right="0" w:firstLine="0"/>
        <w:jc w:val="left"/>
        <w:rPr>
          <w:rFonts w:ascii="Calibri"/>
          <w:sz w:val="22"/>
        </w:rPr>
      </w:pPr>
      <w:r>
        <w:rPr>
          <w:rFonts w:ascii="Calibri"/>
          <w:spacing w:val="-2"/>
          <w:sz w:val="22"/>
        </w:rPr>
        <w:t>64.</w:t>
      </w:r>
      <w:r>
        <w:rPr>
          <w:rFonts w:ascii="Calibri"/>
          <w:spacing w:val="37"/>
          <w:sz w:val="22"/>
        </w:rPr>
        <w:t> </w:t>
      </w:r>
      <w:hyperlink r:id="rId16">
        <w:r>
          <w:rPr>
            <w:rFonts w:ascii="Calibri"/>
            <w:color w:val="1154CC"/>
            <w:spacing w:val="-2"/>
            <w:sz w:val="22"/>
            <w:u w:val="thick" w:color="1154CC"/>
          </w:rPr>
          <w:t>https://doi.org/10.1186/s41239-022-00376-</w:t>
        </w:r>
        <w:r>
          <w:rPr>
            <w:rFonts w:ascii="Calibri"/>
            <w:color w:val="1154CC"/>
            <w:spacing w:val="-10"/>
            <w:sz w:val="22"/>
            <w:u w:val="thick" w:color="1154CC"/>
          </w:rPr>
          <w:t>0</w:t>
        </w:r>
      </w:hyperlink>
    </w:p>
    <w:p>
      <w:pPr>
        <w:spacing w:after="0"/>
        <w:jc w:val="left"/>
        <w:rPr>
          <w:rFonts w:ascii="Calibri"/>
          <w:sz w:val="22"/>
        </w:rPr>
        <w:sectPr>
          <w:pgSz w:w="12240" w:h="15840"/>
          <w:pgMar w:top="1420" w:bottom="280" w:left="1080" w:right="720"/>
        </w:sectPr>
      </w:pPr>
    </w:p>
    <w:p>
      <w:pPr>
        <w:pStyle w:val="ListParagraph"/>
        <w:numPr>
          <w:ilvl w:val="0"/>
          <w:numId w:val="4"/>
        </w:numPr>
        <w:tabs>
          <w:tab w:pos="1078" w:val="left" w:leader="none"/>
          <w:tab w:pos="1080" w:val="left" w:leader="none"/>
        </w:tabs>
        <w:spacing w:line="240" w:lineRule="auto" w:before="44" w:after="0"/>
        <w:ind w:left="1080" w:right="1086" w:hanging="360"/>
        <w:jc w:val="left"/>
        <w:rPr>
          <w:sz w:val="22"/>
        </w:rPr>
      </w:pPr>
      <w:r>
        <w:rPr>
          <w:sz w:val="22"/>
        </w:rPr>
        <w:t>Matthew, U. O., Kazaure, J. S., Kazaure, A. S., Onyedibe, O. N., &amp; Okafor, A. N. (2022). The twenty-first</w:t>
      </w:r>
      <w:r>
        <w:rPr>
          <w:spacing w:val="-9"/>
          <w:sz w:val="22"/>
        </w:rPr>
        <w:t> </w:t>
      </w:r>
      <w:r>
        <w:rPr>
          <w:sz w:val="22"/>
        </w:rPr>
        <w:t>century</w:t>
      </w:r>
      <w:r>
        <w:rPr>
          <w:spacing w:val="-9"/>
          <w:sz w:val="22"/>
        </w:rPr>
        <w:t> </w:t>
      </w:r>
      <w:r>
        <w:rPr>
          <w:sz w:val="22"/>
        </w:rPr>
        <w:t>e-learning</w:t>
      </w:r>
      <w:r>
        <w:rPr>
          <w:spacing w:val="-9"/>
          <w:sz w:val="22"/>
        </w:rPr>
        <w:t> </w:t>
      </w:r>
      <w:r>
        <w:rPr>
          <w:sz w:val="22"/>
        </w:rPr>
        <w:t>education</w:t>
      </w:r>
      <w:r>
        <w:rPr>
          <w:spacing w:val="-9"/>
          <w:sz w:val="22"/>
        </w:rPr>
        <w:t> </w:t>
      </w:r>
      <w:r>
        <w:rPr>
          <w:sz w:val="22"/>
        </w:rPr>
        <w:t>management</w:t>
      </w:r>
      <w:r>
        <w:rPr>
          <w:spacing w:val="-9"/>
          <w:sz w:val="22"/>
        </w:rPr>
        <w:t> </w:t>
      </w:r>
      <w:r>
        <w:rPr>
          <w:sz w:val="22"/>
        </w:rPr>
        <w:t>and</w:t>
      </w:r>
      <w:r>
        <w:rPr>
          <w:spacing w:val="-9"/>
          <w:sz w:val="22"/>
        </w:rPr>
        <w:t> </w:t>
      </w:r>
      <w:r>
        <w:rPr>
          <w:sz w:val="22"/>
        </w:rPr>
        <w:t>implication</w:t>
      </w:r>
      <w:r>
        <w:rPr>
          <w:spacing w:val="-9"/>
          <w:sz w:val="22"/>
        </w:rPr>
        <w:t> </w:t>
      </w:r>
      <w:r>
        <w:rPr>
          <w:sz w:val="22"/>
        </w:rPr>
        <w:t>for</w:t>
      </w:r>
      <w:r>
        <w:rPr>
          <w:spacing w:val="-9"/>
          <w:sz w:val="22"/>
        </w:rPr>
        <w:t> </w:t>
      </w:r>
      <w:r>
        <w:rPr>
          <w:sz w:val="22"/>
        </w:rPr>
        <w:t>media</w:t>
      </w:r>
      <w:r>
        <w:rPr>
          <w:spacing w:val="-9"/>
          <w:sz w:val="22"/>
        </w:rPr>
        <w:t> </w:t>
      </w:r>
      <w:r>
        <w:rPr>
          <w:sz w:val="22"/>
        </w:rPr>
        <w:t>technology adoption in the period of pandemic. </w:t>
      </w:r>
      <w:r>
        <w:rPr>
          <w:i/>
          <w:sz w:val="22"/>
        </w:rPr>
        <w:t>EAI Endorsed Transactions on e-Learning, 8</w:t>
      </w:r>
      <w:r>
        <w:rPr>
          <w:sz w:val="22"/>
        </w:rPr>
        <w:t>(1). </w:t>
      </w:r>
      <w:hyperlink r:id="rId17">
        <w:r>
          <w:rPr>
            <w:color w:val="1154CC"/>
            <w:spacing w:val="-2"/>
            <w:sz w:val="22"/>
            <w:u w:val="thick" w:color="1154CC"/>
          </w:rPr>
          <w:t>https://doi.org/10.4108/eetel.v8i1.2342</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788" w:hanging="360"/>
        <w:jc w:val="left"/>
        <w:rPr>
          <w:sz w:val="22"/>
        </w:rPr>
      </w:pPr>
      <w:r>
        <w:rPr>
          <w:sz w:val="22"/>
        </w:rPr>
        <w:drawing>
          <wp:anchor distT="0" distB="0" distL="0" distR="0" allowOverlap="1" layoutInCell="1" locked="0" behindDoc="1" simplePos="0" relativeHeight="486937600">
            <wp:simplePos x="0" y="0"/>
            <wp:positionH relativeFrom="page">
              <wp:posOffset>919162</wp:posOffset>
            </wp:positionH>
            <wp:positionV relativeFrom="paragraph">
              <wp:posOffset>292561</wp:posOffset>
            </wp:positionV>
            <wp:extent cx="5934075" cy="5934075"/>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5" cstate="print"/>
                    <a:stretch>
                      <a:fillRect/>
                    </a:stretch>
                  </pic:blipFill>
                  <pic:spPr>
                    <a:xfrm>
                      <a:off x="0" y="0"/>
                      <a:ext cx="5934075" cy="5934075"/>
                    </a:xfrm>
                    <a:prstGeom prst="rect">
                      <a:avLst/>
                    </a:prstGeom>
                  </pic:spPr>
                </pic:pic>
              </a:graphicData>
            </a:graphic>
          </wp:anchor>
        </w:drawing>
      </w:r>
      <w:r>
        <w:rPr>
          <w:sz w:val="22"/>
        </w:rPr>
        <w:t>Meek,</w:t>
      </w:r>
      <w:r>
        <w:rPr>
          <w:spacing w:val="-4"/>
          <w:sz w:val="22"/>
        </w:rPr>
        <w:t> </w:t>
      </w:r>
      <w:r>
        <w:rPr>
          <w:sz w:val="22"/>
        </w:rPr>
        <w:t>J.</w:t>
      </w:r>
      <w:r>
        <w:rPr>
          <w:spacing w:val="-4"/>
          <w:sz w:val="22"/>
        </w:rPr>
        <w:t> </w:t>
      </w:r>
      <w:r>
        <w:rPr>
          <w:sz w:val="22"/>
        </w:rPr>
        <w:t>A.,</w:t>
      </w:r>
      <w:r>
        <w:rPr>
          <w:spacing w:val="-4"/>
          <w:sz w:val="22"/>
        </w:rPr>
        <w:t> </w:t>
      </w:r>
      <w:r>
        <w:rPr>
          <w:sz w:val="22"/>
        </w:rPr>
        <w:t>Lee,</w:t>
      </w:r>
      <w:r>
        <w:rPr>
          <w:spacing w:val="-4"/>
          <w:sz w:val="22"/>
        </w:rPr>
        <w:t> </w:t>
      </w:r>
      <w:r>
        <w:rPr>
          <w:sz w:val="22"/>
        </w:rPr>
        <w:t>M.,</w:t>
      </w:r>
      <w:r>
        <w:rPr>
          <w:spacing w:val="-4"/>
          <w:sz w:val="22"/>
        </w:rPr>
        <w:t> </w:t>
      </w:r>
      <w:r>
        <w:rPr>
          <w:sz w:val="22"/>
        </w:rPr>
        <w:t>Jones,</w:t>
      </w:r>
      <w:r>
        <w:rPr>
          <w:spacing w:val="-4"/>
          <w:sz w:val="22"/>
        </w:rPr>
        <w:t> </w:t>
      </w:r>
      <w:r>
        <w:rPr>
          <w:sz w:val="22"/>
        </w:rPr>
        <w:t>J.,</w:t>
      </w:r>
      <w:r>
        <w:rPr>
          <w:spacing w:val="-4"/>
          <w:sz w:val="22"/>
        </w:rPr>
        <w:t> </w:t>
      </w:r>
      <w:r>
        <w:rPr>
          <w:sz w:val="22"/>
        </w:rPr>
        <w:t>Mutea,</w:t>
      </w:r>
      <w:r>
        <w:rPr>
          <w:spacing w:val="-4"/>
          <w:sz w:val="22"/>
        </w:rPr>
        <w:t> </w:t>
      </w:r>
      <w:r>
        <w:rPr>
          <w:sz w:val="22"/>
        </w:rPr>
        <w:t>N.,</w:t>
      </w:r>
      <w:r>
        <w:rPr>
          <w:spacing w:val="-4"/>
          <w:sz w:val="22"/>
        </w:rPr>
        <w:t> </w:t>
      </w:r>
      <w:r>
        <w:rPr>
          <w:sz w:val="22"/>
        </w:rPr>
        <w:t>&amp;</w:t>
      </w:r>
      <w:r>
        <w:rPr>
          <w:spacing w:val="-4"/>
          <w:sz w:val="22"/>
        </w:rPr>
        <w:t> </w:t>
      </w:r>
      <w:r>
        <w:rPr>
          <w:sz w:val="22"/>
        </w:rPr>
        <w:t>Prizevoits,</w:t>
      </w:r>
      <w:r>
        <w:rPr>
          <w:spacing w:val="-4"/>
          <w:sz w:val="22"/>
        </w:rPr>
        <w:t> </w:t>
      </w:r>
      <w:r>
        <w:rPr>
          <w:sz w:val="22"/>
        </w:rPr>
        <w:t>A.</w:t>
      </w:r>
      <w:r>
        <w:rPr>
          <w:spacing w:val="-4"/>
          <w:sz w:val="22"/>
        </w:rPr>
        <w:t> </w:t>
      </w:r>
      <w:r>
        <w:rPr>
          <w:sz w:val="22"/>
        </w:rPr>
        <w:t>(2012).</w:t>
      </w:r>
      <w:r>
        <w:rPr>
          <w:spacing w:val="-4"/>
          <w:sz w:val="22"/>
        </w:rPr>
        <w:t> </w:t>
      </w:r>
      <w:r>
        <w:rPr>
          <w:sz w:val="22"/>
        </w:rPr>
        <w:t>Using</w:t>
      </w:r>
      <w:r>
        <w:rPr>
          <w:spacing w:val="-4"/>
          <w:sz w:val="22"/>
        </w:rPr>
        <w:t> </w:t>
      </w:r>
      <w:r>
        <w:rPr>
          <w:sz w:val="22"/>
        </w:rPr>
        <w:t>podcasts</w:t>
      </w:r>
      <w:r>
        <w:rPr>
          <w:spacing w:val="-4"/>
          <w:sz w:val="22"/>
        </w:rPr>
        <w:t> </w:t>
      </w:r>
      <w:r>
        <w:rPr>
          <w:sz w:val="22"/>
        </w:rPr>
        <w:t>to</w:t>
      </w:r>
      <w:r>
        <w:rPr>
          <w:spacing w:val="-4"/>
          <w:sz w:val="22"/>
        </w:rPr>
        <w:t> </w:t>
      </w:r>
      <w:r>
        <w:rPr>
          <w:sz w:val="22"/>
        </w:rPr>
        <w:t>help</w:t>
      </w:r>
      <w:r>
        <w:rPr>
          <w:spacing w:val="-4"/>
          <w:sz w:val="22"/>
        </w:rPr>
        <w:t> </w:t>
      </w:r>
      <w:r>
        <w:rPr>
          <w:sz w:val="22"/>
        </w:rPr>
        <w:t>students apply health informatics concepts: Benefits and unintended consequences. </w:t>
      </w:r>
      <w:r>
        <w:rPr>
          <w:i/>
          <w:sz w:val="22"/>
        </w:rPr>
        <w:t>Computers, Informatics, Nursing, 30</w:t>
      </w:r>
      <w:r>
        <w:rPr>
          <w:sz w:val="22"/>
        </w:rPr>
        <w:t>(8), 426–439. </w:t>
      </w:r>
      <w:hyperlink r:id="rId18">
        <w:r>
          <w:rPr>
            <w:color w:val="1154CC"/>
            <w:sz w:val="22"/>
            <w:u w:val="thick" w:color="1154CC"/>
          </w:rPr>
          <w:t>https://doi.org/10.1097/NXN.0b013e31825108d1</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730" w:hanging="360"/>
        <w:jc w:val="left"/>
        <w:rPr>
          <w:sz w:val="22"/>
        </w:rPr>
      </w:pPr>
      <w:r>
        <w:rPr>
          <w:sz w:val="22"/>
        </w:rPr>
        <w:t>Motsaanaka,</w:t>
      </w:r>
      <w:r>
        <w:rPr>
          <w:spacing w:val="-7"/>
          <w:sz w:val="22"/>
        </w:rPr>
        <w:t> </w:t>
      </w:r>
      <w:r>
        <w:rPr>
          <w:sz w:val="22"/>
        </w:rPr>
        <w:t>M.</w:t>
      </w:r>
      <w:r>
        <w:rPr>
          <w:spacing w:val="-7"/>
          <w:sz w:val="22"/>
        </w:rPr>
        <w:t> </w:t>
      </w:r>
      <w:r>
        <w:rPr>
          <w:sz w:val="22"/>
        </w:rPr>
        <w:t>N.,</w:t>
      </w:r>
      <w:r>
        <w:rPr>
          <w:spacing w:val="-7"/>
          <w:sz w:val="22"/>
        </w:rPr>
        <w:t> </w:t>
      </w:r>
      <w:r>
        <w:rPr>
          <w:sz w:val="22"/>
        </w:rPr>
        <w:t>Makhene,</w:t>
      </w:r>
      <w:r>
        <w:rPr>
          <w:spacing w:val="-7"/>
          <w:sz w:val="22"/>
        </w:rPr>
        <w:t> </w:t>
      </w:r>
      <w:r>
        <w:rPr>
          <w:sz w:val="22"/>
        </w:rPr>
        <w:t>A.,</w:t>
      </w:r>
      <w:r>
        <w:rPr>
          <w:spacing w:val="-7"/>
          <w:sz w:val="22"/>
        </w:rPr>
        <w:t> </w:t>
      </w:r>
      <w:r>
        <w:rPr>
          <w:sz w:val="22"/>
        </w:rPr>
        <w:t>&amp;</w:t>
      </w:r>
      <w:r>
        <w:rPr>
          <w:spacing w:val="-7"/>
          <w:sz w:val="22"/>
        </w:rPr>
        <w:t> </w:t>
      </w:r>
      <w:r>
        <w:rPr>
          <w:sz w:val="22"/>
        </w:rPr>
        <w:t>Ndawo,</w:t>
      </w:r>
      <w:r>
        <w:rPr>
          <w:spacing w:val="-7"/>
          <w:sz w:val="22"/>
        </w:rPr>
        <w:t> </w:t>
      </w:r>
      <w:r>
        <w:rPr>
          <w:sz w:val="22"/>
        </w:rPr>
        <w:t>G.</w:t>
      </w:r>
      <w:r>
        <w:rPr>
          <w:spacing w:val="-7"/>
          <w:sz w:val="22"/>
        </w:rPr>
        <w:t> </w:t>
      </w:r>
      <w:r>
        <w:rPr>
          <w:sz w:val="22"/>
        </w:rPr>
        <w:t>(2024).</w:t>
      </w:r>
      <w:r>
        <w:rPr>
          <w:spacing w:val="-7"/>
          <w:sz w:val="22"/>
        </w:rPr>
        <w:t> </w:t>
      </w:r>
      <w:r>
        <w:rPr>
          <w:sz w:val="22"/>
        </w:rPr>
        <w:t>Technology-based</w:t>
      </w:r>
      <w:r>
        <w:rPr>
          <w:spacing w:val="-7"/>
          <w:sz w:val="22"/>
        </w:rPr>
        <w:t> </w:t>
      </w:r>
      <w:r>
        <w:rPr>
          <w:sz w:val="22"/>
        </w:rPr>
        <w:t>approaches</w:t>
      </w:r>
      <w:r>
        <w:rPr>
          <w:spacing w:val="-7"/>
          <w:sz w:val="22"/>
        </w:rPr>
        <w:t> </w:t>
      </w:r>
      <w:r>
        <w:rPr>
          <w:sz w:val="22"/>
        </w:rPr>
        <w:t>to</w:t>
      </w:r>
      <w:r>
        <w:rPr>
          <w:spacing w:val="-7"/>
          <w:sz w:val="22"/>
        </w:rPr>
        <w:t> </w:t>
      </w:r>
      <w:r>
        <w:rPr>
          <w:sz w:val="22"/>
        </w:rPr>
        <w:t>enhance clinical learning opportunities for student nurses in a nursing education institution in Gauteng. </w:t>
      </w:r>
      <w:r>
        <w:rPr>
          <w:i/>
          <w:sz w:val="22"/>
        </w:rPr>
        <w:t>International Journal of Africa Nursing Sciences, 21</w:t>
      </w:r>
      <w:r>
        <w:rPr>
          <w:sz w:val="22"/>
        </w:rPr>
        <w:t>, 100790. </w:t>
      </w:r>
      <w:hyperlink r:id="rId19">
        <w:r>
          <w:rPr>
            <w:color w:val="1154CC"/>
            <w:spacing w:val="-2"/>
            <w:sz w:val="22"/>
            <w:u w:val="thick" w:color="1154CC"/>
          </w:rPr>
          <w:t>https://doi.org/10.1016/j.ijans.2024.100790</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727" w:hanging="360"/>
        <w:jc w:val="left"/>
        <w:rPr>
          <w:sz w:val="22"/>
        </w:rPr>
      </w:pPr>
      <w:r>
        <w:rPr>
          <w:sz w:val="22"/>
        </w:rPr>
        <w:t>Nwamara,</w:t>
      </w:r>
      <w:r>
        <w:rPr>
          <w:spacing w:val="-5"/>
          <w:sz w:val="22"/>
        </w:rPr>
        <w:t> </w:t>
      </w:r>
      <w:r>
        <w:rPr>
          <w:sz w:val="22"/>
        </w:rPr>
        <w:t>E.</w:t>
      </w:r>
      <w:r>
        <w:rPr>
          <w:spacing w:val="-5"/>
          <w:sz w:val="22"/>
        </w:rPr>
        <w:t> </w:t>
      </w:r>
      <w:r>
        <w:rPr>
          <w:sz w:val="22"/>
        </w:rPr>
        <w:t>N.</w:t>
      </w:r>
      <w:r>
        <w:rPr>
          <w:spacing w:val="-5"/>
          <w:sz w:val="22"/>
        </w:rPr>
        <w:t> </w:t>
      </w:r>
      <w:r>
        <w:rPr>
          <w:sz w:val="22"/>
        </w:rPr>
        <w:t>K.</w:t>
      </w:r>
      <w:r>
        <w:rPr>
          <w:spacing w:val="-5"/>
          <w:sz w:val="22"/>
        </w:rPr>
        <w:t> </w:t>
      </w:r>
      <w:r>
        <w:rPr>
          <w:sz w:val="22"/>
        </w:rPr>
        <w:t>(2023).</w:t>
      </w:r>
      <w:r>
        <w:rPr>
          <w:spacing w:val="-5"/>
          <w:sz w:val="22"/>
        </w:rPr>
        <w:t> </w:t>
      </w:r>
      <w:r>
        <w:rPr>
          <w:sz w:val="22"/>
        </w:rPr>
        <w:t>Challenges</w:t>
      </w:r>
      <w:r>
        <w:rPr>
          <w:spacing w:val="-5"/>
          <w:sz w:val="22"/>
        </w:rPr>
        <w:t> </w:t>
      </w:r>
      <w:r>
        <w:rPr>
          <w:sz w:val="22"/>
        </w:rPr>
        <w:t>in</w:t>
      </w:r>
      <w:r>
        <w:rPr>
          <w:spacing w:val="-5"/>
          <w:sz w:val="22"/>
        </w:rPr>
        <w:t> </w:t>
      </w:r>
      <w:r>
        <w:rPr>
          <w:sz w:val="22"/>
        </w:rPr>
        <w:t>the</w:t>
      </w:r>
      <w:r>
        <w:rPr>
          <w:spacing w:val="-5"/>
          <w:sz w:val="22"/>
        </w:rPr>
        <w:t> </w:t>
      </w:r>
      <w:r>
        <w:rPr>
          <w:sz w:val="22"/>
        </w:rPr>
        <w:t>use</w:t>
      </w:r>
      <w:r>
        <w:rPr>
          <w:spacing w:val="-5"/>
          <w:sz w:val="22"/>
        </w:rPr>
        <w:t> </w:t>
      </w:r>
      <w:r>
        <w:rPr>
          <w:sz w:val="22"/>
        </w:rPr>
        <w:t>of</w:t>
      </w:r>
      <w:r>
        <w:rPr>
          <w:spacing w:val="-5"/>
          <w:sz w:val="22"/>
        </w:rPr>
        <w:t> </w:t>
      </w:r>
      <w:r>
        <w:rPr>
          <w:sz w:val="22"/>
        </w:rPr>
        <w:t>information</w:t>
      </w:r>
      <w:r>
        <w:rPr>
          <w:spacing w:val="-5"/>
          <w:sz w:val="22"/>
        </w:rPr>
        <w:t> </w:t>
      </w:r>
      <w:r>
        <w:rPr>
          <w:sz w:val="22"/>
        </w:rPr>
        <w:t>and</w:t>
      </w:r>
      <w:r>
        <w:rPr>
          <w:spacing w:val="-5"/>
          <w:sz w:val="22"/>
        </w:rPr>
        <w:t> </w:t>
      </w:r>
      <w:r>
        <w:rPr>
          <w:sz w:val="22"/>
        </w:rPr>
        <w:t>communication</w:t>
      </w:r>
      <w:r>
        <w:rPr>
          <w:spacing w:val="-5"/>
          <w:sz w:val="22"/>
        </w:rPr>
        <w:t> </w:t>
      </w:r>
      <w:r>
        <w:rPr>
          <w:sz w:val="22"/>
        </w:rPr>
        <w:t>technology</w:t>
      </w:r>
      <w:r>
        <w:rPr>
          <w:spacing w:val="-5"/>
          <w:sz w:val="22"/>
        </w:rPr>
        <w:t> </w:t>
      </w:r>
      <w:r>
        <w:rPr>
          <w:sz w:val="22"/>
        </w:rPr>
        <w:t>in teaching and learning in secondary schools in Nigeria. </w:t>
      </w:r>
      <w:r>
        <w:rPr>
          <w:i/>
          <w:sz w:val="22"/>
        </w:rPr>
        <w:t>Publication of the African Academics Network</w:t>
      </w:r>
      <w:r>
        <w:rPr>
          <w:sz w:val="22"/>
        </w:rPr>
        <w:t>. </w:t>
      </w:r>
      <w:hyperlink r:id="rId20">
        <w:r>
          <w:rPr>
            <w:color w:val="1154CC"/>
            <w:sz w:val="22"/>
            <w:u w:val="thick" w:color="1154CC"/>
          </w:rPr>
          <w:t>https://www.academia.edu/</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1148" w:hanging="360"/>
        <w:jc w:val="left"/>
        <w:rPr>
          <w:sz w:val="22"/>
        </w:rPr>
      </w:pPr>
      <w:r>
        <w:rPr>
          <w:sz w:val="22"/>
        </w:rPr>
        <mc:AlternateContent>
          <mc:Choice Requires="wps">
            <w:drawing>
              <wp:anchor distT="0" distB="0" distL="0" distR="0" allowOverlap="1" layoutInCell="1" locked="0" behindDoc="1" simplePos="0" relativeHeight="486938112">
                <wp:simplePos x="0" y="0"/>
                <wp:positionH relativeFrom="page">
                  <wp:posOffset>1371600</wp:posOffset>
                </wp:positionH>
                <wp:positionV relativeFrom="paragraph">
                  <wp:posOffset>655329</wp:posOffset>
                </wp:positionV>
                <wp:extent cx="243840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438400" cy="1270"/>
                        </a:xfrm>
                        <a:custGeom>
                          <a:avLst/>
                          <a:gdLst/>
                          <a:ahLst/>
                          <a:cxnLst/>
                          <a:rect l="l" t="t" r="r" b="b"/>
                          <a:pathLst>
                            <a:path w="2438400" h="0">
                              <a:moveTo>
                                <a:pt x="0" y="0"/>
                              </a:moveTo>
                              <a:lnTo>
                                <a:pt x="2438400"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78368" from="108pt,51.60078pt" to="300pt,51.60078pt" stroked="true" strokeweight="1.0pt" strokecolor="#1154cc">
                <v:stroke dashstyle="solid"/>
                <w10:wrap type="none"/>
              </v:line>
            </w:pict>
          </mc:Fallback>
        </mc:AlternateContent>
      </w:r>
      <w:r>
        <w:rPr>
          <w:sz w:val="22"/>
        </w:rPr>
        <w:t>Nwozichi, C. U., Marcial, D. E., Farotimi, A. A., Escabarte, A. B. S., &amp; Madu, A. M. (n.d.). Integration</w:t>
      </w:r>
      <w:r>
        <w:rPr>
          <w:spacing w:val="-9"/>
          <w:sz w:val="22"/>
        </w:rPr>
        <w:t> </w:t>
      </w:r>
      <w:r>
        <w:rPr>
          <w:sz w:val="22"/>
        </w:rPr>
        <w:t>of</w:t>
      </w:r>
      <w:r>
        <w:rPr>
          <w:spacing w:val="-9"/>
          <w:sz w:val="22"/>
        </w:rPr>
        <w:t> </w:t>
      </w:r>
      <w:r>
        <w:rPr>
          <w:sz w:val="22"/>
        </w:rPr>
        <w:t>information</w:t>
      </w:r>
      <w:r>
        <w:rPr>
          <w:spacing w:val="-9"/>
          <w:sz w:val="22"/>
        </w:rPr>
        <w:t> </w:t>
      </w:r>
      <w:r>
        <w:rPr>
          <w:sz w:val="22"/>
        </w:rPr>
        <w:t>and</w:t>
      </w:r>
      <w:r>
        <w:rPr>
          <w:spacing w:val="-9"/>
          <w:sz w:val="22"/>
        </w:rPr>
        <w:t> </w:t>
      </w:r>
      <w:r>
        <w:rPr>
          <w:sz w:val="22"/>
        </w:rPr>
        <w:t>communication</w:t>
      </w:r>
      <w:r>
        <w:rPr>
          <w:spacing w:val="-9"/>
          <w:sz w:val="22"/>
        </w:rPr>
        <w:t> </w:t>
      </w:r>
      <w:r>
        <w:rPr>
          <w:sz w:val="22"/>
        </w:rPr>
        <w:t>technology</w:t>
      </w:r>
      <w:r>
        <w:rPr>
          <w:spacing w:val="-9"/>
          <w:sz w:val="22"/>
        </w:rPr>
        <w:t> </w:t>
      </w:r>
      <w:r>
        <w:rPr>
          <w:sz w:val="22"/>
        </w:rPr>
        <w:t>in</w:t>
      </w:r>
      <w:r>
        <w:rPr>
          <w:spacing w:val="-9"/>
          <w:sz w:val="22"/>
        </w:rPr>
        <w:t> </w:t>
      </w:r>
      <w:r>
        <w:rPr>
          <w:sz w:val="22"/>
        </w:rPr>
        <w:t>nursing</w:t>
      </w:r>
      <w:r>
        <w:rPr>
          <w:spacing w:val="-9"/>
          <w:sz w:val="22"/>
        </w:rPr>
        <w:t> </w:t>
      </w:r>
      <w:r>
        <w:rPr>
          <w:sz w:val="22"/>
        </w:rPr>
        <w:t>education</w:t>
      </w:r>
      <w:r>
        <w:rPr>
          <w:spacing w:val="-9"/>
          <w:sz w:val="22"/>
        </w:rPr>
        <w:t> </w:t>
      </w:r>
      <w:r>
        <w:rPr>
          <w:sz w:val="22"/>
        </w:rPr>
        <w:t>in</w:t>
      </w:r>
      <w:r>
        <w:rPr>
          <w:spacing w:val="-9"/>
          <w:sz w:val="22"/>
        </w:rPr>
        <w:t> </w:t>
      </w:r>
      <w:r>
        <w:rPr>
          <w:sz w:val="22"/>
        </w:rPr>
        <w:t>Southeast Asia: A systematic literature review. </w:t>
      </w:r>
      <w:r>
        <w:rPr>
          <w:i/>
          <w:sz w:val="22"/>
        </w:rPr>
        <w:t>Journal of Education and Health Promotion</w:t>
      </w:r>
      <w:r>
        <w:rPr>
          <w:sz w:val="22"/>
        </w:rPr>
        <w:t>. </w:t>
      </w:r>
      <w:hyperlink r:id="rId21">
        <w:r>
          <w:rPr>
            <w:color w:val="1154CC"/>
            <w:spacing w:val="-2"/>
            <w:sz w:val="22"/>
          </w:rPr>
          <w:t>https://doi.org/10.4103/jehp.jehp_240_18</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830" w:hanging="360"/>
        <w:jc w:val="left"/>
        <w:rPr>
          <w:sz w:val="22"/>
        </w:rPr>
      </w:pPr>
      <w:r>
        <w:rPr>
          <w:sz w:val="22"/>
        </w:rPr>
        <mc:AlternateContent>
          <mc:Choice Requires="wps">
            <w:drawing>
              <wp:anchor distT="0" distB="0" distL="0" distR="0" allowOverlap="1" layoutInCell="1" locked="0" behindDoc="0" simplePos="0" relativeHeight="15742976">
                <wp:simplePos x="0" y="0"/>
                <wp:positionH relativeFrom="page">
                  <wp:posOffset>3822700</wp:posOffset>
                </wp:positionH>
                <wp:positionV relativeFrom="paragraph">
                  <wp:posOffset>323368</wp:posOffset>
                </wp:positionV>
                <wp:extent cx="2197100"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197100" cy="1270"/>
                        </a:xfrm>
                        <a:custGeom>
                          <a:avLst/>
                          <a:gdLst/>
                          <a:ahLst/>
                          <a:cxnLst/>
                          <a:rect l="l" t="t" r="r" b="b"/>
                          <a:pathLst>
                            <a:path w="2197100" h="0">
                              <a:moveTo>
                                <a:pt x="0" y="0"/>
                              </a:moveTo>
                              <a:lnTo>
                                <a:pt x="2197099"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301pt,25.462114pt" to="473.999995pt,25.462114pt" stroked="true" strokeweight="1.0pt" strokecolor="#1154cc">
                <v:stroke dashstyle="solid"/>
                <w10:wrap type="none"/>
              </v:line>
            </w:pict>
          </mc:Fallback>
        </mc:AlternateContent>
      </w:r>
      <w:r>
        <w:rPr>
          <w:spacing w:val="-4"/>
          <w:sz w:val="22"/>
        </w:rPr>
        <w:t>Shatokhin,</w:t>
      </w:r>
      <w:r>
        <w:rPr>
          <w:spacing w:val="-6"/>
          <w:sz w:val="22"/>
        </w:rPr>
        <w:t> </w:t>
      </w:r>
      <w:r>
        <w:rPr>
          <w:spacing w:val="-4"/>
          <w:sz w:val="22"/>
        </w:rPr>
        <w:t>O.,</w:t>
      </w:r>
      <w:r>
        <w:rPr>
          <w:spacing w:val="-6"/>
          <w:sz w:val="22"/>
        </w:rPr>
        <w:t> </w:t>
      </w:r>
      <w:r>
        <w:rPr>
          <w:spacing w:val="-4"/>
          <w:sz w:val="22"/>
        </w:rPr>
        <w:t>Dzedzickis,</w:t>
      </w:r>
      <w:r>
        <w:rPr>
          <w:spacing w:val="-6"/>
          <w:sz w:val="22"/>
        </w:rPr>
        <w:t> </w:t>
      </w:r>
      <w:r>
        <w:rPr>
          <w:spacing w:val="-4"/>
          <w:sz w:val="22"/>
        </w:rPr>
        <w:t>A.,</w:t>
      </w:r>
      <w:r>
        <w:rPr>
          <w:spacing w:val="-6"/>
          <w:sz w:val="22"/>
        </w:rPr>
        <w:t> </w:t>
      </w:r>
      <w:r>
        <w:rPr>
          <w:spacing w:val="-4"/>
          <w:sz w:val="22"/>
        </w:rPr>
        <w:t>Pe</w:t>
      </w:r>
      <w:r>
        <w:rPr>
          <w:rFonts w:ascii="Arial MT" w:hAnsi="Arial MT"/>
          <w:spacing w:val="-4"/>
          <w:sz w:val="22"/>
        </w:rPr>
        <w:t>č</w:t>
      </w:r>
      <w:r>
        <w:rPr>
          <w:spacing w:val="-4"/>
          <w:sz w:val="22"/>
        </w:rPr>
        <w:t>iulien</w:t>
      </w:r>
      <w:r>
        <w:rPr>
          <w:rFonts w:ascii="Arial MT" w:hAnsi="Arial MT"/>
          <w:spacing w:val="-4"/>
          <w:sz w:val="22"/>
        </w:rPr>
        <w:t>ė</w:t>
      </w:r>
      <w:r>
        <w:rPr>
          <w:spacing w:val="-4"/>
          <w:sz w:val="22"/>
        </w:rPr>
        <w:t>,</w:t>
      </w:r>
      <w:r>
        <w:rPr>
          <w:spacing w:val="-6"/>
          <w:sz w:val="22"/>
        </w:rPr>
        <w:t> </w:t>
      </w:r>
      <w:r>
        <w:rPr>
          <w:spacing w:val="-4"/>
          <w:sz w:val="22"/>
        </w:rPr>
        <w:t>M.,</w:t>
      </w:r>
      <w:r>
        <w:rPr>
          <w:spacing w:val="-6"/>
          <w:sz w:val="22"/>
        </w:rPr>
        <w:t> </w:t>
      </w:r>
      <w:r>
        <w:rPr>
          <w:spacing w:val="-4"/>
          <w:sz w:val="22"/>
        </w:rPr>
        <w:t>&amp;</w:t>
      </w:r>
      <w:r>
        <w:rPr>
          <w:spacing w:val="-6"/>
          <w:sz w:val="22"/>
        </w:rPr>
        <w:t> </w:t>
      </w:r>
      <w:r>
        <w:rPr>
          <w:spacing w:val="-4"/>
          <w:sz w:val="22"/>
        </w:rPr>
        <w:t>Bu</w:t>
      </w:r>
      <w:r>
        <w:rPr>
          <w:rFonts w:ascii="Arial MT" w:hAnsi="Arial MT"/>
          <w:spacing w:val="-4"/>
          <w:sz w:val="22"/>
        </w:rPr>
        <w:t>č</w:t>
      </w:r>
      <w:r>
        <w:rPr>
          <w:spacing w:val="-4"/>
          <w:sz w:val="22"/>
        </w:rPr>
        <w:t>inskas,</w:t>
      </w:r>
      <w:r>
        <w:rPr>
          <w:spacing w:val="-6"/>
          <w:sz w:val="22"/>
        </w:rPr>
        <w:t> </w:t>
      </w:r>
      <w:r>
        <w:rPr>
          <w:spacing w:val="-4"/>
          <w:sz w:val="22"/>
        </w:rPr>
        <w:t>V.</w:t>
      </w:r>
      <w:r>
        <w:rPr>
          <w:spacing w:val="-6"/>
          <w:sz w:val="22"/>
        </w:rPr>
        <w:t> </w:t>
      </w:r>
      <w:r>
        <w:rPr>
          <w:spacing w:val="-4"/>
          <w:sz w:val="22"/>
        </w:rPr>
        <w:t>(2025).</w:t>
      </w:r>
      <w:r>
        <w:rPr>
          <w:spacing w:val="-6"/>
          <w:sz w:val="22"/>
        </w:rPr>
        <w:t> </w:t>
      </w:r>
      <w:r>
        <w:rPr>
          <w:spacing w:val="-4"/>
          <w:sz w:val="22"/>
        </w:rPr>
        <w:t>Extended</w:t>
      </w:r>
      <w:r>
        <w:rPr>
          <w:spacing w:val="-6"/>
          <w:sz w:val="22"/>
        </w:rPr>
        <w:t> </w:t>
      </w:r>
      <w:r>
        <w:rPr>
          <w:spacing w:val="-4"/>
          <w:sz w:val="22"/>
        </w:rPr>
        <w:t>reality:</w:t>
      </w:r>
      <w:r>
        <w:rPr>
          <w:spacing w:val="-6"/>
          <w:sz w:val="22"/>
        </w:rPr>
        <w:t> </w:t>
      </w:r>
      <w:r>
        <w:rPr>
          <w:spacing w:val="-4"/>
          <w:sz w:val="22"/>
        </w:rPr>
        <w:t>Types</w:t>
      </w:r>
      <w:r>
        <w:rPr>
          <w:spacing w:val="-6"/>
          <w:sz w:val="22"/>
        </w:rPr>
        <w:t> </w:t>
      </w:r>
      <w:r>
        <w:rPr>
          <w:spacing w:val="-4"/>
          <w:sz w:val="22"/>
        </w:rPr>
        <w:t>and </w:t>
      </w:r>
      <w:r>
        <w:rPr>
          <w:sz w:val="22"/>
        </w:rPr>
        <w:t>applications. </w:t>
      </w:r>
      <w:r>
        <w:rPr>
          <w:i/>
          <w:sz w:val="22"/>
        </w:rPr>
        <w:t>Applied Sciences, 15</w:t>
      </w:r>
      <w:r>
        <w:rPr>
          <w:sz w:val="22"/>
        </w:rPr>
        <w:t>(6), 3282. </w:t>
      </w:r>
      <w:hyperlink r:id="rId22">
        <w:r>
          <w:rPr>
            <w:color w:val="1154CC"/>
            <w:sz w:val="22"/>
          </w:rPr>
          <w:t>https://doi.org/10.3390/app15063282</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1117" w:hanging="360"/>
        <w:jc w:val="left"/>
        <w:rPr>
          <w:sz w:val="22"/>
        </w:rPr>
      </w:pPr>
      <w:r>
        <w:rPr>
          <w:sz w:val="22"/>
        </w:rPr>
        <w:t>Singh,</w:t>
      </w:r>
      <w:r>
        <w:rPr>
          <w:spacing w:val="-10"/>
          <w:sz w:val="22"/>
        </w:rPr>
        <w:t> </w:t>
      </w:r>
      <w:r>
        <w:rPr>
          <w:sz w:val="22"/>
        </w:rPr>
        <w:t>F.,</w:t>
      </w:r>
      <w:r>
        <w:rPr>
          <w:spacing w:val="-10"/>
          <w:sz w:val="22"/>
        </w:rPr>
        <w:t> </w:t>
      </w:r>
      <w:r>
        <w:rPr>
          <w:sz w:val="22"/>
        </w:rPr>
        <w:t>&amp;</w:t>
      </w:r>
      <w:r>
        <w:rPr>
          <w:spacing w:val="-10"/>
          <w:sz w:val="22"/>
        </w:rPr>
        <w:t> </w:t>
      </w:r>
      <w:r>
        <w:rPr>
          <w:sz w:val="22"/>
        </w:rPr>
        <w:t>Masango,</w:t>
      </w:r>
      <w:r>
        <w:rPr>
          <w:spacing w:val="-10"/>
          <w:sz w:val="22"/>
        </w:rPr>
        <w:t> </w:t>
      </w:r>
      <w:r>
        <w:rPr>
          <w:sz w:val="22"/>
        </w:rPr>
        <w:t>T.</w:t>
      </w:r>
      <w:r>
        <w:rPr>
          <w:spacing w:val="-10"/>
          <w:sz w:val="22"/>
        </w:rPr>
        <w:t> </w:t>
      </w:r>
      <w:r>
        <w:rPr>
          <w:sz w:val="22"/>
        </w:rPr>
        <w:t>(2020).</w:t>
      </w:r>
      <w:r>
        <w:rPr>
          <w:spacing w:val="-10"/>
          <w:sz w:val="22"/>
        </w:rPr>
        <w:t> </w:t>
      </w:r>
      <w:r>
        <w:rPr>
          <w:sz w:val="22"/>
        </w:rPr>
        <w:t>Information</w:t>
      </w:r>
      <w:r>
        <w:rPr>
          <w:spacing w:val="-10"/>
          <w:sz w:val="22"/>
        </w:rPr>
        <w:t> </w:t>
      </w:r>
      <w:r>
        <w:rPr>
          <w:sz w:val="22"/>
        </w:rPr>
        <w:t>technology</w:t>
      </w:r>
      <w:r>
        <w:rPr>
          <w:spacing w:val="-10"/>
          <w:sz w:val="22"/>
        </w:rPr>
        <w:t> </w:t>
      </w:r>
      <w:r>
        <w:rPr>
          <w:sz w:val="22"/>
        </w:rPr>
        <w:t>in</w:t>
      </w:r>
      <w:r>
        <w:rPr>
          <w:spacing w:val="-10"/>
          <w:sz w:val="22"/>
        </w:rPr>
        <w:t> </w:t>
      </w:r>
      <w:r>
        <w:rPr>
          <w:sz w:val="22"/>
        </w:rPr>
        <w:t>nursing</w:t>
      </w:r>
      <w:r>
        <w:rPr>
          <w:spacing w:val="-10"/>
          <w:sz w:val="22"/>
        </w:rPr>
        <w:t> </w:t>
      </w:r>
      <w:r>
        <w:rPr>
          <w:sz w:val="22"/>
        </w:rPr>
        <w:t>education:</w:t>
      </w:r>
      <w:r>
        <w:rPr>
          <w:spacing w:val="-10"/>
          <w:sz w:val="22"/>
        </w:rPr>
        <w:t> </w:t>
      </w:r>
      <w:r>
        <w:rPr>
          <w:sz w:val="22"/>
        </w:rPr>
        <w:t>Perspectives</w:t>
      </w:r>
      <w:r>
        <w:rPr>
          <w:spacing w:val="-10"/>
          <w:sz w:val="22"/>
        </w:rPr>
        <w:t> </w:t>
      </w:r>
      <w:r>
        <w:rPr>
          <w:sz w:val="22"/>
        </w:rPr>
        <w:t>of student nurses. </w:t>
      </w:r>
      <w:r>
        <w:rPr>
          <w:i/>
          <w:sz w:val="22"/>
        </w:rPr>
        <w:t>The Open Nursing Journal, 14</w:t>
      </w:r>
      <w:r>
        <w:rPr>
          <w:sz w:val="22"/>
        </w:rPr>
        <w:t>, Article 18. </w:t>
      </w:r>
      <w:hyperlink r:id="rId23">
        <w:r>
          <w:rPr>
            <w:color w:val="1154CC"/>
            <w:spacing w:val="-2"/>
            <w:sz w:val="22"/>
            <w:u w:val="thick" w:color="1154CC"/>
          </w:rPr>
          <w:t>https://doi.org/10.2174/1874434602014010018</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875" w:hanging="360"/>
        <w:jc w:val="left"/>
        <w:rPr>
          <w:sz w:val="22"/>
        </w:rPr>
      </w:pPr>
      <w:r>
        <w:rPr>
          <w:sz w:val="22"/>
        </w:rPr>
        <w:t>Timotheou, S., Miliou, O., Dimitriadis, Y., Villagrá Sobrino, S., Giannoutsou, N., Cachia, R., Martínez Monés, A., &amp; Ioannou, A. (2022). Impacts of digital technologies on education and factors influencing schools' digital capacity and transformation: A literature review. </w:t>
      </w:r>
      <w:r>
        <w:rPr>
          <w:i/>
          <w:sz w:val="22"/>
        </w:rPr>
        <w:t>Education and</w:t>
      </w:r>
      <w:r>
        <w:rPr>
          <w:i/>
          <w:spacing w:val="-13"/>
          <w:sz w:val="22"/>
        </w:rPr>
        <w:t> </w:t>
      </w:r>
      <w:r>
        <w:rPr>
          <w:i/>
          <w:sz w:val="22"/>
        </w:rPr>
        <w:t>Information</w:t>
      </w:r>
      <w:r>
        <w:rPr>
          <w:i/>
          <w:spacing w:val="-12"/>
          <w:sz w:val="22"/>
        </w:rPr>
        <w:t> </w:t>
      </w:r>
      <w:r>
        <w:rPr>
          <w:i/>
          <w:sz w:val="22"/>
        </w:rPr>
        <w:t>Technologies,</w:t>
      </w:r>
      <w:r>
        <w:rPr>
          <w:i/>
          <w:spacing w:val="-13"/>
          <w:sz w:val="22"/>
        </w:rPr>
        <w:t> </w:t>
      </w:r>
      <w:r>
        <w:rPr>
          <w:i/>
          <w:sz w:val="22"/>
        </w:rPr>
        <w:t>28</w:t>
      </w:r>
      <w:r>
        <w:rPr>
          <w:sz w:val="22"/>
        </w:rPr>
        <w:t>(6),</w:t>
      </w:r>
      <w:r>
        <w:rPr>
          <w:spacing w:val="-12"/>
          <w:sz w:val="22"/>
        </w:rPr>
        <w:t> </w:t>
      </w:r>
      <w:r>
        <w:rPr>
          <w:sz w:val="22"/>
        </w:rPr>
        <w:t>6695–6726.</w:t>
      </w:r>
      <w:r>
        <w:rPr>
          <w:spacing w:val="-13"/>
          <w:sz w:val="22"/>
        </w:rPr>
        <w:t> </w:t>
      </w:r>
      <w:hyperlink r:id="rId24">
        <w:r>
          <w:rPr>
            <w:color w:val="1154CC"/>
            <w:sz w:val="22"/>
            <w:u w:val="thick" w:color="1154CC"/>
          </w:rPr>
          <w:t>https://doi.org/10.1007/s10639-022-11431-8</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730" w:hanging="360"/>
        <w:jc w:val="left"/>
        <w:rPr>
          <w:sz w:val="22"/>
        </w:rPr>
      </w:pPr>
      <w:r>
        <w:rPr>
          <w:sz w:val="22"/>
        </w:rPr>
        <w:t>Walter,</w:t>
      </w:r>
      <w:r>
        <w:rPr>
          <w:spacing w:val="-9"/>
          <w:sz w:val="22"/>
        </w:rPr>
        <w:t> </w:t>
      </w:r>
      <w:r>
        <w:rPr>
          <w:sz w:val="22"/>
        </w:rPr>
        <w:t>Y.</w:t>
      </w:r>
      <w:r>
        <w:rPr>
          <w:spacing w:val="-9"/>
          <w:sz w:val="22"/>
        </w:rPr>
        <w:t> </w:t>
      </w:r>
      <w:r>
        <w:rPr>
          <w:sz w:val="22"/>
        </w:rPr>
        <w:t>(2024).</w:t>
      </w:r>
      <w:r>
        <w:rPr>
          <w:spacing w:val="-9"/>
          <w:sz w:val="22"/>
        </w:rPr>
        <w:t> </w:t>
      </w:r>
      <w:r>
        <w:rPr>
          <w:sz w:val="22"/>
        </w:rPr>
        <w:t>Embracing</w:t>
      </w:r>
      <w:r>
        <w:rPr>
          <w:spacing w:val="-9"/>
          <w:sz w:val="22"/>
        </w:rPr>
        <w:t> </w:t>
      </w:r>
      <w:r>
        <w:rPr>
          <w:sz w:val="22"/>
        </w:rPr>
        <w:t>the</w:t>
      </w:r>
      <w:r>
        <w:rPr>
          <w:spacing w:val="-9"/>
          <w:sz w:val="22"/>
        </w:rPr>
        <w:t> </w:t>
      </w:r>
      <w:r>
        <w:rPr>
          <w:sz w:val="22"/>
        </w:rPr>
        <w:t>future</w:t>
      </w:r>
      <w:r>
        <w:rPr>
          <w:spacing w:val="-9"/>
          <w:sz w:val="22"/>
        </w:rPr>
        <w:t> </w:t>
      </w:r>
      <w:r>
        <w:rPr>
          <w:sz w:val="22"/>
        </w:rPr>
        <w:t>of</w:t>
      </w:r>
      <w:r>
        <w:rPr>
          <w:spacing w:val="-9"/>
          <w:sz w:val="22"/>
        </w:rPr>
        <w:t> </w:t>
      </w:r>
      <w:r>
        <w:rPr>
          <w:sz w:val="22"/>
        </w:rPr>
        <w:t>artificial</w:t>
      </w:r>
      <w:r>
        <w:rPr>
          <w:spacing w:val="-9"/>
          <w:sz w:val="22"/>
        </w:rPr>
        <w:t> </w:t>
      </w:r>
      <w:r>
        <w:rPr>
          <w:sz w:val="22"/>
        </w:rPr>
        <w:t>intelligence</w:t>
      </w:r>
      <w:r>
        <w:rPr>
          <w:spacing w:val="-9"/>
          <w:sz w:val="22"/>
        </w:rPr>
        <w:t> </w:t>
      </w:r>
      <w:r>
        <w:rPr>
          <w:sz w:val="22"/>
        </w:rPr>
        <w:t>in</w:t>
      </w:r>
      <w:r>
        <w:rPr>
          <w:spacing w:val="-9"/>
          <w:sz w:val="22"/>
        </w:rPr>
        <w:t> </w:t>
      </w:r>
      <w:r>
        <w:rPr>
          <w:sz w:val="22"/>
        </w:rPr>
        <w:t>the</w:t>
      </w:r>
      <w:r>
        <w:rPr>
          <w:spacing w:val="-9"/>
          <w:sz w:val="22"/>
        </w:rPr>
        <w:t> </w:t>
      </w:r>
      <w:r>
        <w:rPr>
          <w:sz w:val="22"/>
        </w:rPr>
        <w:t>classroom:</w:t>
      </w:r>
      <w:r>
        <w:rPr>
          <w:spacing w:val="-9"/>
          <w:sz w:val="22"/>
        </w:rPr>
        <w:t> </w:t>
      </w:r>
      <w:r>
        <w:rPr>
          <w:sz w:val="22"/>
        </w:rPr>
        <w:t>The</w:t>
      </w:r>
      <w:r>
        <w:rPr>
          <w:spacing w:val="-9"/>
          <w:sz w:val="22"/>
        </w:rPr>
        <w:t> </w:t>
      </w:r>
      <w:r>
        <w:rPr>
          <w:sz w:val="22"/>
        </w:rPr>
        <w:t>relevance</w:t>
      </w:r>
      <w:r>
        <w:rPr>
          <w:spacing w:val="-9"/>
          <w:sz w:val="22"/>
        </w:rPr>
        <w:t> </w:t>
      </w:r>
      <w:r>
        <w:rPr>
          <w:sz w:val="22"/>
        </w:rPr>
        <w:t>of AI literacy, prompt engineering, and critical thinking in modern education. </w:t>
      </w:r>
      <w:r>
        <w:rPr>
          <w:i/>
          <w:sz w:val="22"/>
        </w:rPr>
        <w:t>International Journal</w:t>
      </w:r>
      <w:r>
        <w:rPr>
          <w:i/>
          <w:sz w:val="22"/>
        </w:rPr>
        <w:t> of Educational Technology in Higher Education, 21</w:t>
      </w:r>
      <w:r>
        <w:rPr>
          <w:sz w:val="22"/>
        </w:rPr>
        <w:t>, Article 15.</w:t>
      </w:r>
    </w:p>
    <w:p>
      <w:pPr>
        <w:spacing w:before="0"/>
        <w:ind w:left="1080" w:right="0" w:firstLine="0"/>
        <w:jc w:val="left"/>
        <w:rPr>
          <w:rFonts w:ascii="Calibri"/>
          <w:sz w:val="22"/>
        </w:rPr>
      </w:pPr>
      <w:hyperlink r:id="rId25">
        <w:r>
          <w:rPr>
            <w:rFonts w:ascii="Calibri"/>
            <w:color w:val="1154CC"/>
            <w:spacing w:val="-2"/>
            <w:sz w:val="22"/>
            <w:u w:val="thick" w:color="1154CC"/>
          </w:rPr>
          <w:t>https://doi.org/10.1186/s41239-024-00414-</w:t>
        </w:r>
        <w:r>
          <w:rPr>
            <w:rFonts w:ascii="Calibri"/>
            <w:color w:val="1154CC"/>
            <w:spacing w:val="-10"/>
            <w:sz w:val="22"/>
            <w:u w:val="thick" w:color="1154CC"/>
          </w:rPr>
          <w:t>5</w:t>
        </w:r>
      </w:hyperlink>
    </w:p>
    <w:p>
      <w:pPr>
        <w:pStyle w:val="BodyText"/>
        <w:rPr>
          <w:rFonts w:ascii="Calibri"/>
          <w:sz w:val="22"/>
        </w:rPr>
      </w:pPr>
    </w:p>
    <w:p>
      <w:pPr>
        <w:pStyle w:val="ListParagraph"/>
        <w:numPr>
          <w:ilvl w:val="0"/>
          <w:numId w:val="4"/>
        </w:numPr>
        <w:tabs>
          <w:tab w:pos="1078" w:val="left" w:leader="none"/>
          <w:tab w:pos="1080" w:val="left" w:leader="none"/>
        </w:tabs>
        <w:spacing w:line="240" w:lineRule="auto" w:before="0" w:after="0"/>
        <w:ind w:left="1080" w:right="1037" w:hanging="360"/>
        <w:jc w:val="left"/>
        <w:rPr>
          <w:sz w:val="22"/>
        </w:rPr>
      </w:pPr>
      <w:r>
        <w:rPr>
          <w:sz w:val="22"/>
        </w:rPr>
        <w:t>Webb, L., Clough, J., O’Reilly, D., Wilmott, D., &amp; Witham, G. (2017). The utility and impact of information</w:t>
      </w:r>
      <w:r>
        <w:rPr>
          <w:spacing w:val="-11"/>
          <w:sz w:val="22"/>
        </w:rPr>
        <w:t> </w:t>
      </w:r>
      <w:r>
        <w:rPr>
          <w:sz w:val="22"/>
        </w:rPr>
        <w:t>communication</w:t>
      </w:r>
      <w:r>
        <w:rPr>
          <w:spacing w:val="-11"/>
          <w:sz w:val="22"/>
        </w:rPr>
        <w:t> </w:t>
      </w:r>
      <w:r>
        <w:rPr>
          <w:sz w:val="22"/>
        </w:rPr>
        <w:t>technology</w:t>
      </w:r>
      <w:r>
        <w:rPr>
          <w:spacing w:val="-11"/>
          <w:sz w:val="22"/>
        </w:rPr>
        <w:t> </w:t>
      </w:r>
      <w:r>
        <w:rPr>
          <w:sz w:val="22"/>
        </w:rPr>
        <w:t>(ICT)</w:t>
      </w:r>
      <w:r>
        <w:rPr>
          <w:spacing w:val="-11"/>
          <w:sz w:val="22"/>
        </w:rPr>
        <w:t> </w:t>
      </w:r>
      <w:r>
        <w:rPr>
          <w:sz w:val="22"/>
        </w:rPr>
        <w:t>for</w:t>
      </w:r>
      <w:r>
        <w:rPr>
          <w:spacing w:val="-11"/>
          <w:sz w:val="22"/>
        </w:rPr>
        <w:t> </w:t>
      </w:r>
      <w:r>
        <w:rPr>
          <w:sz w:val="22"/>
        </w:rPr>
        <w:t>pre-registration</w:t>
      </w:r>
      <w:r>
        <w:rPr>
          <w:spacing w:val="-11"/>
          <w:sz w:val="22"/>
        </w:rPr>
        <w:t> </w:t>
      </w:r>
      <w:r>
        <w:rPr>
          <w:sz w:val="22"/>
        </w:rPr>
        <w:t>nurse</w:t>
      </w:r>
      <w:r>
        <w:rPr>
          <w:spacing w:val="-11"/>
          <w:sz w:val="22"/>
        </w:rPr>
        <w:t> </w:t>
      </w:r>
      <w:r>
        <w:rPr>
          <w:sz w:val="22"/>
        </w:rPr>
        <w:t>education:</w:t>
      </w:r>
      <w:r>
        <w:rPr>
          <w:spacing w:val="-11"/>
          <w:sz w:val="22"/>
        </w:rPr>
        <w:t> </w:t>
      </w:r>
      <w:r>
        <w:rPr>
          <w:sz w:val="22"/>
        </w:rPr>
        <w:t>A</w:t>
      </w:r>
      <w:r>
        <w:rPr>
          <w:spacing w:val="-11"/>
          <w:sz w:val="22"/>
        </w:rPr>
        <w:t> </w:t>
      </w:r>
      <w:r>
        <w:rPr>
          <w:sz w:val="22"/>
        </w:rPr>
        <w:t>narrative synthesis systematic review. </w:t>
      </w:r>
      <w:r>
        <w:rPr>
          <w:i/>
          <w:sz w:val="22"/>
        </w:rPr>
        <w:t>Nurse Education Today, 48</w:t>
      </w:r>
      <w:r>
        <w:rPr>
          <w:sz w:val="22"/>
        </w:rPr>
        <w:t>, 160–171. </w:t>
      </w:r>
      <w:hyperlink r:id="rId26">
        <w:r>
          <w:rPr>
            <w:color w:val="1154CC"/>
            <w:spacing w:val="-2"/>
            <w:sz w:val="22"/>
            <w:u w:val="thick" w:color="1154CC"/>
          </w:rPr>
          <w:t>https://doi.org/10.1016/j.nedt.2016.10.007</w:t>
        </w:r>
      </w:hyperlink>
    </w:p>
    <w:sectPr>
      <w:pgSz w:w="12240" w:h="15840"/>
      <w:pgMar w:top="140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 w:name="MS PGothic">
    <w:altName w:val="MS PGothic"/>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65" w:hanging="285"/>
        <w:jc w:val="left"/>
      </w:pPr>
      <w:rPr>
        <w:rFonts w:hint="default" w:ascii="Arial" w:hAnsi="Arial" w:eastAsia="Arial" w:cs="Arial"/>
        <w:b/>
        <w:bCs/>
        <w:i w:val="0"/>
        <w:iCs w:val="0"/>
        <w:spacing w:val="-1"/>
        <w:w w:val="100"/>
        <w:sz w:val="20"/>
        <w:szCs w:val="20"/>
        <w:lang w:val="en-US" w:eastAsia="en-US" w:bidi="ar-SA"/>
      </w:rPr>
    </w:lvl>
    <w:lvl w:ilvl="1">
      <w:start w:val="0"/>
      <w:numFmt w:val="bullet"/>
      <w:lvlText w:val="•"/>
      <w:lvlJc w:val="left"/>
      <w:pPr>
        <w:ind w:left="1998" w:hanging="285"/>
      </w:pPr>
      <w:rPr>
        <w:rFonts w:hint="default"/>
        <w:lang w:val="en-US" w:eastAsia="en-US" w:bidi="ar-SA"/>
      </w:rPr>
    </w:lvl>
    <w:lvl w:ilvl="2">
      <w:start w:val="0"/>
      <w:numFmt w:val="bullet"/>
      <w:lvlText w:val="•"/>
      <w:lvlJc w:val="left"/>
      <w:pPr>
        <w:ind w:left="2936" w:hanging="285"/>
      </w:pPr>
      <w:rPr>
        <w:rFonts w:hint="default"/>
        <w:lang w:val="en-US" w:eastAsia="en-US" w:bidi="ar-SA"/>
      </w:rPr>
    </w:lvl>
    <w:lvl w:ilvl="3">
      <w:start w:val="0"/>
      <w:numFmt w:val="bullet"/>
      <w:lvlText w:val="•"/>
      <w:lvlJc w:val="left"/>
      <w:pPr>
        <w:ind w:left="3874" w:hanging="285"/>
      </w:pPr>
      <w:rPr>
        <w:rFonts w:hint="default"/>
        <w:lang w:val="en-US" w:eastAsia="en-US" w:bidi="ar-SA"/>
      </w:rPr>
    </w:lvl>
    <w:lvl w:ilvl="4">
      <w:start w:val="0"/>
      <w:numFmt w:val="bullet"/>
      <w:lvlText w:val="•"/>
      <w:lvlJc w:val="left"/>
      <w:pPr>
        <w:ind w:left="4812" w:hanging="285"/>
      </w:pPr>
      <w:rPr>
        <w:rFonts w:hint="default"/>
        <w:lang w:val="en-US" w:eastAsia="en-US" w:bidi="ar-SA"/>
      </w:rPr>
    </w:lvl>
    <w:lvl w:ilvl="5">
      <w:start w:val="0"/>
      <w:numFmt w:val="bullet"/>
      <w:lvlText w:val="•"/>
      <w:lvlJc w:val="left"/>
      <w:pPr>
        <w:ind w:left="5750" w:hanging="285"/>
      </w:pPr>
      <w:rPr>
        <w:rFonts w:hint="default"/>
        <w:lang w:val="en-US" w:eastAsia="en-US" w:bidi="ar-SA"/>
      </w:rPr>
    </w:lvl>
    <w:lvl w:ilvl="6">
      <w:start w:val="0"/>
      <w:numFmt w:val="bullet"/>
      <w:lvlText w:val="•"/>
      <w:lvlJc w:val="left"/>
      <w:pPr>
        <w:ind w:left="6688" w:hanging="285"/>
      </w:pPr>
      <w:rPr>
        <w:rFonts w:hint="default"/>
        <w:lang w:val="en-US" w:eastAsia="en-US" w:bidi="ar-SA"/>
      </w:rPr>
    </w:lvl>
    <w:lvl w:ilvl="7">
      <w:start w:val="0"/>
      <w:numFmt w:val="bullet"/>
      <w:lvlText w:val="•"/>
      <w:lvlJc w:val="left"/>
      <w:pPr>
        <w:ind w:left="7626" w:hanging="285"/>
      </w:pPr>
      <w:rPr>
        <w:rFonts w:hint="default"/>
        <w:lang w:val="en-US" w:eastAsia="en-US" w:bidi="ar-SA"/>
      </w:rPr>
    </w:lvl>
    <w:lvl w:ilvl="8">
      <w:start w:val="0"/>
      <w:numFmt w:val="bullet"/>
      <w:lvlText w:val="•"/>
      <w:lvlJc w:val="left"/>
      <w:pPr>
        <w:ind w:left="8564" w:hanging="285"/>
      </w:pPr>
      <w:rPr>
        <w:rFonts w:hint="default"/>
        <w:lang w:val="en-US" w:eastAsia="en-US" w:bidi="ar-SA"/>
      </w:rPr>
    </w:lvl>
  </w:abstractNum>
  <w:abstractNum w:abstractNumId="3">
    <w:multiLevelType w:val="hybridMultilevel"/>
    <w:lvl w:ilvl="0">
      <w:start w:val="1"/>
      <w:numFmt w:val="decimal"/>
      <w:lvlText w:val="%1."/>
      <w:lvlJc w:val="left"/>
      <w:pPr>
        <w:ind w:left="108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
    <w:multiLevelType w:val="hybridMultilevel"/>
    <w:lvl w:ilvl="0">
      <w:start w:val="0"/>
      <w:numFmt w:val="bullet"/>
      <w:lvlText w:val="●"/>
      <w:lvlJc w:val="left"/>
      <w:pPr>
        <w:ind w:left="285" w:hanging="285"/>
      </w:pPr>
      <w:rPr>
        <w:rFonts w:hint="default" w:ascii="Arial MT" w:hAnsi="Arial MT" w:eastAsia="Arial MT" w:cs="Arial MT"/>
        <w:b w:val="0"/>
        <w:bCs w:val="0"/>
        <w:i w:val="0"/>
        <w:iCs w:val="0"/>
        <w:color w:val="111111"/>
        <w:spacing w:val="0"/>
        <w:w w:val="60"/>
        <w:sz w:val="20"/>
        <w:szCs w:val="20"/>
        <w:lang w:val="en-US" w:eastAsia="en-US" w:bidi="ar-SA"/>
      </w:rPr>
    </w:lvl>
    <w:lvl w:ilvl="1">
      <w:start w:val="0"/>
      <w:numFmt w:val="bullet"/>
      <w:lvlText w:val="•"/>
      <w:lvlJc w:val="left"/>
      <w:pPr>
        <w:ind w:left="1146" w:hanging="285"/>
      </w:pPr>
      <w:rPr>
        <w:rFonts w:hint="default"/>
        <w:lang w:val="en-US" w:eastAsia="en-US" w:bidi="ar-SA"/>
      </w:rPr>
    </w:lvl>
    <w:lvl w:ilvl="2">
      <w:start w:val="0"/>
      <w:numFmt w:val="bullet"/>
      <w:lvlText w:val="•"/>
      <w:lvlJc w:val="left"/>
      <w:pPr>
        <w:ind w:left="2012" w:hanging="285"/>
      </w:pPr>
      <w:rPr>
        <w:rFonts w:hint="default"/>
        <w:lang w:val="en-US" w:eastAsia="en-US" w:bidi="ar-SA"/>
      </w:rPr>
    </w:lvl>
    <w:lvl w:ilvl="3">
      <w:start w:val="0"/>
      <w:numFmt w:val="bullet"/>
      <w:lvlText w:val="•"/>
      <w:lvlJc w:val="left"/>
      <w:pPr>
        <w:ind w:left="2878" w:hanging="285"/>
      </w:pPr>
      <w:rPr>
        <w:rFonts w:hint="default"/>
        <w:lang w:val="en-US" w:eastAsia="en-US" w:bidi="ar-SA"/>
      </w:rPr>
    </w:lvl>
    <w:lvl w:ilvl="4">
      <w:start w:val="0"/>
      <w:numFmt w:val="bullet"/>
      <w:lvlText w:val="•"/>
      <w:lvlJc w:val="left"/>
      <w:pPr>
        <w:ind w:left="3744" w:hanging="285"/>
      </w:pPr>
      <w:rPr>
        <w:rFonts w:hint="default"/>
        <w:lang w:val="en-US" w:eastAsia="en-US" w:bidi="ar-SA"/>
      </w:rPr>
    </w:lvl>
    <w:lvl w:ilvl="5">
      <w:start w:val="0"/>
      <w:numFmt w:val="bullet"/>
      <w:lvlText w:val="•"/>
      <w:lvlJc w:val="left"/>
      <w:pPr>
        <w:ind w:left="4610" w:hanging="285"/>
      </w:pPr>
      <w:rPr>
        <w:rFonts w:hint="default"/>
        <w:lang w:val="en-US" w:eastAsia="en-US" w:bidi="ar-SA"/>
      </w:rPr>
    </w:lvl>
    <w:lvl w:ilvl="6">
      <w:start w:val="0"/>
      <w:numFmt w:val="bullet"/>
      <w:lvlText w:val="•"/>
      <w:lvlJc w:val="left"/>
      <w:pPr>
        <w:ind w:left="5476" w:hanging="285"/>
      </w:pPr>
      <w:rPr>
        <w:rFonts w:hint="default"/>
        <w:lang w:val="en-US" w:eastAsia="en-US" w:bidi="ar-SA"/>
      </w:rPr>
    </w:lvl>
    <w:lvl w:ilvl="7">
      <w:start w:val="0"/>
      <w:numFmt w:val="bullet"/>
      <w:lvlText w:val="•"/>
      <w:lvlJc w:val="left"/>
      <w:pPr>
        <w:ind w:left="6342" w:hanging="285"/>
      </w:pPr>
      <w:rPr>
        <w:rFonts w:hint="default"/>
        <w:lang w:val="en-US" w:eastAsia="en-US" w:bidi="ar-SA"/>
      </w:rPr>
    </w:lvl>
    <w:lvl w:ilvl="8">
      <w:start w:val="0"/>
      <w:numFmt w:val="bullet"/>
      <w:lvlText w:val="•"/>
      <w:lvlJc w:val="left"/>
      <w:pPr>
        <w:ind w:left="7208" w:hanging="285"/>
      </w:pPr>
      <w:rPr>
        <w:rFonts w:hint="default"/>
        <w:lang w:val="en-US" w:eastAsia="en-US" w:bidi="ar-SA"/>
      </w:rPr>
    </w:lvl>
  </w:abstractNum>
  <w:abstractNum w:abstractNumId="0">
    <w:multiLevelType w:val="hybridMultilevel"/>
    <w:lvl w:ilvl="0">
      <w:start w:val="1"/>
      <w:numFmt w:val="decimal"/>
      <w:lvlText w:val="%1."/>
      <w:lvlJc w:val="left"/>
      <w:pPr>
        <w:ind w:left="1065" w:hanging="285"/>
        <w:jc w:val="left"/>
      </w:pPr>
      <w:rPr>
        <w:rFonts w:hint="default" w:ascii="Arial MT" w:hAnsi="Arial MT" w:eastAsia="Arial MT" w:cs="Arial MT"/>
        <w:b w:val="0"/>
        <w:bCs w:val="0"/>
        <w:i w:val="0"/>
        <w:iCs w:val="0"/>
        <w:spacing w:val="-1"/>
        <w:w w:val="100"/>
        <w:sz w:val="20"/>
        <w:szCs w:val="20"/>
        <w:lang w:val="en-US" w:eastAsia="en-US" w:bidi="ar-SA"/>
      </w:rPr>
    </w:lvl>
    <w:lvl w:ilvl="1">
      <w:start w:val="0"/>
      <w:numFmt w:val="bullet"/>
      <w:lvlText w:val="•"/>
      <w:lvlJc w:val="left"/>
      <w:pPr>
        <w:ind w:left="1998" w:hanging="285"/>
      </w:pPr>
      <w:rPr>
        <w:rFonts w:hint="default"/>
        <w:lang w:val="en-US" w:eastAsia="en-US" w:bidi="ar-SA"/>
      </w:rPr>
    </w:lvl>
    <w:lvl w:ilvl="2">
      <w:start w:val="0"/>
      <w:numFmt w:val="bullet"/>
      <w:lvlText w:val="•"/>
      <w:lvlJc w:val="left"/>
      <w:pPr>
        <w:ind w:left="2936" w:hanging="285"/>
      </w:pPr>
      <w:rPr>
        <w:rFonts w:hint="default"/>
        <w:lang w:val="en-US" w:eastAsia="en-US" w:bidi="ar-SA"/>
      </w:rPr>
    </w:lvl>
    <w:lvl w:ilvl="3">
      <w:start w:val="0"/>
      <w:numFmt w:val="bullet"/>
      <w:lvlText w:val="•"/>
      <w:lvlJc w:val="left"/>
      <w:pPr>
        <w:ind w:left="3874" w:hanging="285"/>
      </w:pPr>
      <w:rPr>
        <w:rFonts w:hint="default"/>
        <w:lang w:val="en-US" w:eastAsia="en-US" w:bidi="ar-SA"/>
      </w:rPr>
    </w:lvl>
    <w:lvl w:ilvl="4">
      <w:start w:val="0"/>
      <w:numFmt w:val="bullet"/>
      <w:lvlText w:val="•"/>
      <w:lvlJc w:val="left"/>
      <w:pPr>
        <w:ind w:left="4812" w:hanging="285"/>
      </w:pPr>
      <w:rPr>
        <w:rFonts w:hint="default"/>
        <w:lang w:val="en-US" w:eastAsia="en-US" w:bidi="ar-SA"/>
      </w:rPr>
    </w:lvl>
    <w:lvl w:ilvl="5">
      <w:start w:val="0"/>
      <w:numFmt w:val="bullet"/>
      <w:lvlText w:val="•"/>
      <w:lvlJc w:val="left"/>
      <w:pPr>
        <w:ind w:left="5750" w:hanging="285"/>
      </w:pPr>
      <w:rPr>
        <w:rFonts w:hint="default"/>
        <w:lang w:val="en-US" w:eastAsia="en-US" w:bidi="ar-SA"/>
      </w:rPr>
    </w:lvl>
    <w:lvl w:ilvl="6">
      <w:start w:val="0"/>
      <w:numFmt w:val="bullet"/>
      <w:lvlText w:val="•"/>
      <w:lvlJc w:val="left"/>
      <w:pPr>
        <w:ind w:left="6688" w:hanging="285"/>
      </w:pPr>
      <w:rPr>
        <w:rFonts w:hint="default"/>
        <w:lang w:val="en-US" w:eastAsia="en-US" w:bidi="ar-SA"/>
      </w:rPr>
    </w:lvl>
    <w:lvl w:ilvl="7">
      <w:start w:val="0"/>
      <w:numFmt w:val="bullet"/>
      <w:lvlText w:val="•"/>
      <w:lvlJc w:val="left"/>
      <w:pPr>
        <w:ind w:left="7626" w:hanging="285"/>
      </w:pPr>
      <w:rPr>
        <w:rFonts w:hint="default"/>
        <w:lang w:val="en-US" w:eastAsia="en-US" w:bidi="ar-SA"/>
      </w:rPr>
    </w:lvl>
    <w:lvl w:ilvl="8">
      <w:start w:val="0"/>
      <w:numFmt w:val="bullet"/>
      <w:lvlText w:val="•"/>
      <w:lvlJc w:val="left"/>
      <w:pPr>
        <w:ind w:left="8564" w:hanging="285"/>
      </w:pPr>
      <w:rPr>
        <w:rFonts w:hint="default"/>
        <w:lang w:val="en-US" w:eastAsia="en-US" w:bidi="ar-SA"/>
      </w:rPr>
    </w:lvl>
  </w:abstract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200"/>
      <w:ind w:left="360"/>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080" w:hanging="360"/>
      <w:outlineLvl w:val="2"/>
    </w:pPr>
    <w:rPr>
      <w:rFonts w:ascii="Calibri" w:hAnsi="Calibri" w:eastAsia="Calibri" w:cs="Calibri"/>
      <w:sz w:val="22"/>
      <w:szCs w:val="22"/>
      <w:lang w:val="en-US" w:eastAsia="en-US" w:bidi="ar-SA"/>
    </w:rPr>
  </w:style>
  <w:style w:styleId="Heading3" w:type="paragraph">
    <w:name w:val="Heading 3"/>
    <w:basedOn w:val="Normal"/>
    <w:uiPriority w:val="1"/>
    <w:qFormat/>
    <w:pPr>
      <w:ind w:left="360"/>
      <w:outlineLvl w:val="3"/>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1080" w:right="730" w:hanging="360"/>
    </w:pPr>
    <w:rPr>
      <w:rFonts w:ascii="Calibri" w:hAnsi="Calibri" w:eastAsia="Calibri" w:cs="Calibri"/>
      <w:lang w:val="en-US" w:eastAsia="en-US" w:bidi="ar-SA"/>
    </w:rPr>
  </w:style>
  <w:style w:styleId="TableParagraph" w:type="paragraph">
    <w:name w:val="Table Paragraph"/>
    <w:basedOn w:val="Normal"/>
    <w:uiPriority w:val="1"/>
    <w:qFormat/>
    <w:pPr>
      <w:ind w:left="10"/>
      <w:jc w:val="center"/>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doi.org/10.37689/acta-ape/2020AO01385" TargetMode="External"/><Relationship Id="rId8" Type="http://schemas.openxmlformats.org/officeDocument/2006/relationships/hyperlink" Target="https://doi.org/10.1186/s12913-025-02968-7" TargetMode="External"/><Relationship Id="rId9" Type="http://schemas.openxmlformats.org/officeDocument/2006/relationships/hyperlink" Target="https://doi.org/10.1016/j.nedt.2013.05.002" TargetMode="External"/><Relationship Id="rId10" Type="http://schemas.openxmlformats.org/officeDocument/2006/relationships/hyperlink" Target="https://doi.org/10.1080/02681102.2020.1841713" TargetMode="External"/><Relationship Id="rId11" Type="http://schemas.openxmlformats.org/officeDocument/2006/relationships/hyperlink" Target="https://doi.org/10.3390/su12187272" TargetMode="External"/><Relationship Id="rId12" Type="http://schemas.openxmlformats.org/officeDocument/2006/relationships/hyperlink" Target="https://doi.org/10.4102/curationis.v45i1.2261" TargetMode="External"/><Relationship Id="rId13" Type="http://schemas.openxmlformats.org/officeDocument/2006/relationships/hyperlink" Target="https://doi.org/10.1016/j.susoc.2022.05.004" TargetMode="External"/><Relationship Id="rId14" Type="http://schemas.openxmlformats.org/officeDocument/2006/relationships/hyperlink" Target="https://doi.org/10.5430/jnep.v12n1p7" TargetMode="External"/><Relationship Id="rId15" Type="http://schemas.openxmlformats.org/officeDocument/2006/relationships/hyperlink" Target="https://doi.org/10.3390/healthcare10101940" TargetMode="External"/><Relationship Id="rId16" Type="http://schemas.openxmlformats.org/officeDocument/2006/relationships/hyperlink" Target="https://doi.org/10.1186/s41239-022-00376-0" TargetMode="External"/><Relationship Id="rId17" Type="http://schemas.openxmlformats.org/officeDocument/2006/relationships/hyperlink" Target="https://doi.org/10.4108/eetel.v8i1.2342" TargetMode="External"/><Relationship Id="rId18" Type="http://schemas.openxmlformats.org/officeDocument/2006/relationships/hyperlink" Target="https://doi.org/10.1097/NXN.0b013e31825108d1" TargetMode="External"/><Relationship Id="rId19" Type="http://schemas.openxmlformats.org/officeDocument/2006/relationships/hyperlink" Target="https://doi.org/10.1016/j.ijans.2024.100790" TargetMode="External"/><Relationship Id="rId20" Type="http://schemas.openxmlformats.org/officeDocument/2006/relationships/hyperlink" Target="https://www.academia.edu/" TargetMode="External"/><Relationship Id="rId21" Type="http://schemas.openxmlformats.org/officeDocument/2006/relationships/hyperlink" Target="https://doi.org/10.4103/jehp.jehp_240_18" TargetMode="External"/><Relationship Id="rId22" Type="http://schemas.openxmlformats.org/officeDocument/2006/relationships/hyperlink" Target="https://doi.org/10.3390/app15063282" TargetMode="External"/><Relationship Id="rId23" Type="http://schemas.openxmlformats.org/officeDocument/2006/relationships/hyperlink" Target="https://doi.org/10.2174/1874434602014010018" TargetMode="External"/><Relationship Id="rId24" Type="http://schemas.openxmlformats.org/officeDocument/2006/relationships/hyperlink" Target="https://doi.org/10.1007/s10639-022-11431-8" TargetMode="External"/><Relationship Id="rId25" Type="http://schemas.openxmlformats.org/officeDocument/2006/relationships/hyperlink" Target="https://doi.org/10.1186/s41239-024-00414-5" TargetMode="External"/><Relationship Id="rId26" Type="http://schemas.openxmlformats.org/officeDocument/2006/relationships/hyperlink" Target="https://doi.org/10.1016/j.nedt.2016.10.007"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Manuscript_AJRNH_142336.docx</dc:title>
  <dcterms:created xsi:type="dcterms:W3CDTF">2025-08-12T05:52:46Z</dcterms:created>
  <dcterms:modified xsi:type="dcterms:W3CDTF">2025-08-12T05:52:46Z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Producer">
    <vt:lpwstr>Skia/PDF m140 Google Docs Renderer</vt:lpwstr>
  </property>
  <property fmtid="{D5CDD505-2E9C-101B-9397-08002B2CF9AE}" pid="4" name="LastSaved">
    <vt:filetime>2025-08-12T00:00:00Z</vt:filetime>
  </property>
</Properties>
</file>