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B08F1" w14:textId="77777777" w:rsidR="00000A4F" w:rsidRPr="00000A4F" w:rsidRDefault="00000A4F" w:rsidP="00000A4F">
      <w:pPr>
        <w:jc w:val="right"/>
        <w:rPr>
          <w:rFonts w:ascii="Arial" w:hAnsi="Arial" w:cs="Arial"/>
          <w:b/>
          <w:bCs/>
          <w:i/>
          <w:iCs/>
          <w:sz w:val="36"/>
          <w:szCs w:val="36"/>
          <w:u w:val="single"/>
        </w:rPr>
      </w:pPr>
      <w:r w:rsidRPr="00000A4F">
        <w:rPr>
          <w:rFonts w:ascii="Arial" w:hAnsi="Arial" w:cs="Arial"/>
          <w:b/>
          <w:bCs/>
          <w:i/>
          <w:iCs/>
          <w:sz w:val="36"/>
          <w:szCs w:val="36"/>
          <w:u w:val="single"/>
        </w:rPr>
        <w:t>Original Research Article</w:t>
      </w:r>
    </w:p>
    <w:p w14:paraId="360E83FD" w14:textId="7E952292" w:rsidR="009B66B9" w:rsidRPr="00973ECD" w:rsidRDefault="009B66B9" w:rsidP="00973ECD">
      <w:pPr>
        <w:jc w:val="right"/>
        <w:rPr>
          <w:rFonts w:ascii="Arial" w:hAnsi="Arial" w:cs="Arial"/>
          <w:b/>
          <w:bCs/>
          <w:sz w:val="36"/>
          <w:szCs w:val="36"/>
          <w:lang w:val="en-GB"/>
        </w:rPr>
      </w:pPr>
      <w:r w:rsidRPr="00973ECD">
        <w:rPr>
          <w:rFonts w:ascii="Arial" w:hAnsi="Arial" w:cs="Arial"/>
          <w:b/>
          <w:bCs/>
          <w:sz w:val="36"/>
          <w:szCs w:val="36"/>
          <w:lang w:val="en-GB"/>
        </w:rPr>
        <w:t xml:space="preserve">Prevalence of gastro-intestinal parasites, proximate and heavy metal analysis of </w:t>
      </w:r>
      <w:r w:rsidR="007F6B62" w:rsidRPr="00973ECD">
        <w:rPr>
          <w:rFonts w:ascii="Arial" w:hAnsi="Arial" w:cs="Arial"/>
          <w:b/>
          <w:bCs/>
          <w:i/>
          <w:iCs/>
          <w:sz w:val="36"/>
          <w:szCs w:val="36"/>
          <w:lang w:val="en-GB"/>
        </w:rPr>
        <w:t>Lutjanus campechanus</w:t>
      </w:r>
      <w:r w:rsidR="007F6B62" w:rsidRPr="00973ECD">
        <w:rPr>
          <w:rFonts w:ascii="Arial" w:hAnsi="Arial" w:cs="Arial"/>
          <w:b/>
          <w:bCs/>
          <w:sz w:val="36"/>
          <w:szCs w:val="36"/>
          <w:lang w:val="en-GB"/>
        </w:rPr>
        <w:t xml:space="preserve">, </w:t>
      </w:r>
      <w:r w:rsidR="007F6B62" w:rsidRPr="00973ECD">
        <w:rPr>
          <w:rFonts w:ascii="Arial" w:hAnsi="Arial" w:cs="Arial"/>
          <w:b/>
          <w:bCs/>
          <w:i/>
          <w:iCs/>
          <w:sz w:val="36"/>
          <w:szCs w:val="36"/>
          <w:lang w:val="en-GB"/>
        </w:rPr>
        <w:t>Mugil cephalus</w:t>
      </w:r>
      <w:r w:rsidR="007F6B62" w:rsidRPr="00973ECD">
        <w:rPr>
          <w:rFonts w:ascii="Arial" w:hAnsi="Arial" w:cs="Arial"/>
          <w:b/>
          <w:bCs/>
          <w:sz w:val="36"/>
          <w:szCs w:val="36"/>
          <w:lang w:val="en-GB"/>
        </w:rPr>
        <w:t xml:space="preserve"> and </w:t>
      </w:r>
      <w:r w:rsidR="007F6B62" w:rsidRPr="00973ECD">
        <w:rPr>
          <w:rFonts w:ascii="Arial" w:hAnsi="Arial" w:cs="Arial"/>
          <w:b/>
          <w:bCs/>
          <w:i/>
          <w:iCs/>
          <w:sz w:val="36"/>
          <w:szCs w:val="36"/>
          <w:lang w:val="en-GB"/>
        </w:rPr>
        <w:t>Callinectes amnicola</w:t>
      </w:r>
      <w:r w:rsidR="007F6B62" w:rsidRPr="00973ECD">
        <w:rPr>
          <w:rFonts w:ascii="Arial" w:hAnsi="Arial" w:cs="Arial"/>
          <w:b/>
          <w:bCs/>
          <w:sz w:val="36"/>
          <w:szCs w:val="36"/>
          <w:lang w:val="en-GB"/>
        </w:rPr>
        <w:t xml:space="preserve"> from New Calabar River, Rivers State, Nigeria</w:t>
      </w:r>
    </w:p>
    <w:p w14:paraId="65EA555A" w14:textId="77777777" w:rsidR="009B66B9" w:rsidRPr="00973ECD" w:rsidRDefault="009B66B9" w:rsidP="009B66B9">
      <w:pPr>
        <w:jc w:val="center"/>
        <w:rPr>
          <w:rFonts w:ascii="Arial" w:hAnsi="Arial" w:cs="Arial"/>
          <w:b/>
          <w:bCs/>
          <w:sz w:val="24"/>
          <w:szCs w:val="24"/>
          <w:lang w:val="en-GB"/>
        </w:rPr>
      </w:pPr>
    </w:p>
    <w:p w14:paraId="234A0C63" w14:textId="77777777" w:rsidR="00257421" w:rsidRPr="00257421" w:rsidRDefault="00257421" w:rsidP="009B66B9">
      <w:pPr>
        <w:spacing w:before="240" w:after="0" w:line="480" w:lineRule="auto"/>
        <w:ind w:left="720" w:hanging="720"/>
        <w:rPr>
          <w:rFonts w:ascii="Arial" w:hAnsi="Arial" w:cs="Arial"/>
          <w:bCs/>
          <w:i/>
          <w:iCs/>
          <w:sz w:val="24"/>
          <w:szCs w:val="24"/>
          <w:lang w:val="en-IN"/>
        </w:rPr>
      </w:pPr>
    </w:p>
    <w:p w14:paraId="63B4277D" w14:textId="77777777" w:rsidR="009B66B9" w:rsidRPr="00973ECD" w:rsidRDefault="009B66B9" w:rsidP="009B66B9">
      <w:pPr>
        <w:jc w:val="center"/>
        <w:rPr>
          <w:rFonts w:ascii="Arial" w:hAnsi="Arial" w:cs="Arial"/>
          <w:sz w:val="24"/>
          <w:szCs w:val="24"/>
          <w:lang w:val="en-GB"/>
        </w:rPr>
      </w:pPr>
    </w:p>
    <w:p w14:paraId="115BDA07" w14:textId="77777777" w:rsidR="009B66B9" w:rsidRPr="00EB3A92" w:rsidRDefault="009B66B9" w:rsidP="00EB3A92">
      <w:pPr>
        <w:rPr>
          <w:rFonts w:ascii="Arial" w:hAnsi="Arial" w:cs="Arial"/>
          <w:b/>
          <w:bCs/>
          <w:lang w:val="en-GB"/>
        </w:rPr>
      </w:pPr>
      <w:r w:rsidRPr="00EB3A92">
        <w:rPr>
          <w:rFonts w:ascii="Arial" w:hAnsi="Arial" w:cs="Arial"/>
          <w:b/>
          <w:bCs/>
          <w:lang w:val="en-GB"/>
        </w:rPr>
        <w:t>ABSTRACT</w:t>
      </w:r>
    </w:p>
    <w:p w14:paraId="1780DF9D" w14:textId="41F2EE21" w:rsidR="00EB3A92" w:rsidRPr="00C67479" w:rsidRDefault="00EB3A92" w:rsidP="008B29CB">
      <w:pPr>
        <w:spacing w:after="0" w:line="240" w:lineRule="auto"/>
        <w:jc w:val="both"/>
        <w:rPr>
          <w:rFonts w:ascii="Arial" w:hAnsi="Arial" w:cs="Arial"/>
          <w:sz w:val="20"/>
          <w:szCs w:val="20"/>
          <w:lang w:val="en-GB"/>
        </w:rPr>
      </w:pPr>
      <w:r w:rsidRPr="00C67479">
        <w:rPr>
          <w:rFonts w:ascii="Arial" w:hAnsi="Arial" w:cs="Arial"/>
          <w:b/>
          <w:bCs/>
          <w:sz w:val="20"/>
          <w:szCs w:val="20"/>
          <w:lang w:val="en-GB"/>
        </w:rPr>
        <w:t>Aim:</w:t>
      </w:r>
      <w:r w:rsidRPr="00C67479">
        <w:rPr>
          <w:rFonts w:ascii="Arial" w:hAnsi="Arial" w:cs="Arial"/>
          <w:sz w:val="20"/>
          <w:szCs w:val="20"/>
          <w:lang w:val="en-GB"/>
        </w:rPr>
        <w:t xml:space="preserve"> </w:t>
      </w:r>
      <w:r w:rsidR="00706416" w:rsidRPr="00C67479">
        <w:rPr>
          <w:rFonts w:ascii="Arial" w:hAnsi="Arial" w:cs="Arial"/>
          <w:sz w:val="20"/>
          <w:szCs w:val="20"/>
          <w:lang w:val="en-GB"/>
        </w:rPr>
        <w:t xml:space="preserve">Edible aquatic organisms are a major source of protein </w:t>
      </w:r>
      <w:r w:rsidR="00334D53" w:rsidRPr="00C67479">
        <w:rPr>
          <w:rFonts w:ascii="Arial" w:hAnsi="Arial" w:cs="Arial"/>
          <w:sz w:val="20"/>
          <w:szCs w:val="20"/>
          <w:lang w:val="en-GB"/>
        </w:rPr>
        <w:t xml:space="preserve">among several individuals in </w:t>
      </w:r>
      <w:r w:rsidR="008B29CB" w:rsidRPr="00C67479">
        <w:rPr>
          <w:rFonts w:ascii="Arial" w:hAnsi="Arial" w:cs="Arial"/>
          <w:sz w:val="20"/>
          <w:szCs w:val="20"/>
          <w:lang w:val="en-GB"/>
        </w:rPr>
        <w:t>Nigeria; therefore, a study</w:t>
      </w:r>
      <w:r w:rsidR="001D3DE7" w:rsidRPr="00C67479">
        <w:rPr>
          <w:rFonts w:ascii="Arial" w:hAnsi="Arial" w:cs="Arial"/>
          <w:sz w:val="20"/>
          <w:szCs w:val="20"/>
          <w:lang w:val="en-GB"/>
        </w:rPr>
        <w:t xml:space="preserve"> was conducted to evaluate the prevalence of gastro-intestinal parasites, proximate and heavy metal analysis of </w:t>
      </w:r>
      <w:r w:rsidR="001D3DE7" w:rsidRPr="00C67479">
        <w:rPr>
          <w:rFonts w:ascii="Arial" w:hAnsi="Arial" w:cs="Arial"/>
          <w:i/>
          <w:iCs/>
          <w:sz w:val="20"/>
          <w:szCs w:val="20"/>
          <w:lang w:val="en-GB"/>
        </w:rPr>
        <w:t>Lutjanus campechanus</w:t>
      </w:r>
      <w:r w:rsidR="001D3DE7" w:rsidRPr="00C67479">
        <w:rPr>
          <w:rFonts w:ascii="Arial" w:hAnsi="Arial" w:cs="Arial"/>
          <w:sz w:val="20"/>
          <w:szCs w:val="20"/>
          <w:lang w:val="en-GB"/>
        </w:rPr>
        <w:t xml:space="preserve">, </w:t>
      </w:r>
      <w:r w:rsidR="001D3DE7" w:rsidRPr="00C67479">
        <w:rPr>
          <w:rFonts w:ascii="Arial" w:hAnsi="Arial" w:cs="Arial"/>
          <w:i/>
          <w:iCs/>
          <w:sz w:val="20"/>
          <w:szCs w:val="20"/>
          <w:lang w:val="en-GB"/>
        </w:rPr>
        <w:t>Mugil cephalus</w:t>
      </w:r>
      <w:r w:rsidR="001D3DE7" w:rsidRPr="00C67479">
        <w:rPr>
          <w:rFonts w:ascii="Arial" w:hAnsi="Arial" w:cs="Arial"/>
          <w:sz w:val="20"/>
          <w:szCs w:val="20"/>
          <w:lang w:val="en-GB"/>
        </w:rPr>
        <w:t xml:space="preserve"> and </w:t>
      </w:r>
      <w:r w:rsidR="001D3DE7" w:rsidRPr="00C67479">
        <w:rPr>
          <w:rFonts w:ascii="Arial" w:hAnsi="Arial" w:cs="Arial"/>
          <w:i/>
          <w:iCs/>
          <w:sz w:val="20"/>
          <w:szCs w:val="20"/>
          <w:lang w:val="en-GB"/>
        </w:rPr>
        <w:t>Callinectes amnicola</w:t>
      </w:r>
      <w:r w:rsidR="001D3DE7" w:rsidRPr="00C67479">
        <w:rPr>
          <w:rFonts w:ascii="Arial" w:hAnsi="Arial" w:cs="Arial"/>
          <w:sz w:val="20"/>
          <w:szCs w:val="20"/>
          <w:lang w:val="en-GB"/>
        </w:rPr>
        <w:t xml:space="preserve"> from New Calabar River, Rivers State, Nigeria</w:t>
      </w:r>
    </w:p>
    <w:p w14:paraId="4FF545ED" w14:textId="77777777" w:rsidR="00E00ACD" w:rsidRPr="00C67479" w:rsidRDefault="00EB3A92" w:rsidP="008B29CB">
      <w:pPr>
        <w:spacing w:after="0" w:line="240" w:lineRule="auto"/>
        <w:jc w:val="both"/>
        <w:rPr>
          <w:rFonts w:ascii="Arial" w:hAnsi="Arial" w:cs="Arial"/>
          <w:sz w:val="20"/>
          <w:szCs w:val="20"/>
          <w:lang w:val="en-GB"/>
        </w:rPr>
      </w:pPr>
      <w:r w:rsidRPr="00C67479">
        <w:rPr>
          <w:rFonts w:ascii="Arial" w:hAnsi="Arial" w:cs="Arial"/>
          <w:b/>
          <w:bCs/>
          <w:sz w:val="20"/>
          <w:szCs w:val="20"/>
          <w:lang w:val="en-GB"/>
        </w:rPr>
        <w:t>Study Design:</w:t>
      </w:r>
      <w:r w:rsidRPr="00C67479">
        <w:rPr>
          <w:rFonts w:ascii="Arial" w:hAnsi="Arial" w:cs="Arial"/>
          <w:sz w:val="20"/>
          <w:szCs w:val="20"/>
          <w:lang w:val="en-GB"/>
        </w:rPr>
        <w:t xml:space="preserve"> </w:t>
      </w:r>
      <w:r w:rsidR="00334D53" w:rsidRPr="00C67479">
        <w:rPr>
          <w:rFonts w:ascii="Arial" w:hAnsi="Arial" w:cs="Arial"/>
          <w:sz w:val="20"/>
          <w:szCs w:val="20"/>
          <w:lang w:val="en-GB"/>
        </w:rPr>
        <w:t xml:space="preserve">A cross-sectional randomized study </w:t>
      </w:r>
      <w:r w:rsidR="00AA4A12" w:rsidRPr="00C67479">
        <w:rPr>
          <w:rFonts w:ascii="Arial" w:hAnsi="Arial" w:cs="Arial"/>
          <w:sz w:val="20"/>
          <w:szCs w:val="20"/>
          <w:lang w:val="en-GB"/>
        </w:rPr>
        <w:t>from July to December 2024</w:t>
      </w:r>
    </w:p>
    <w:p w14:paraId="776A422E" w14:textId="414C3792" w:rsidR="00A5714F" w:rsidRPr="00C67479" w:rsidRDefault="00E00ACD" w:rsidP="008B29CB">
      <w:pPr>
        <w:spacing w:after="0" w:line="240" w:lineRule="auto"/>
        <w:jc w:val="both"/>
        <w:rPr>
          <w:rFonts w:ascii="Arial" w:hAnsi="Arial" w:cs="Arial"/>
          <w:sz w:val="20"/>
          <w:szCs w:val="20"/>
          <w:lang w:val="en-GB"/>
        </w:rPr>
      </w:pPr>
      <w:r w:rsidRPr="00C67479">
        <w:rPr>
          <w:rFonts w:ascii="Arial" w:hAnsi="Arial" w:cs="Arial"/>
          <w:b/>
          <w:bCs/>
          <w:sz w:val="20"/>
          <w:szCs w:val="20"/>
          <w:lang w:val="en-GB"/>
        </w:rPr>
        <w:t>Methodology:</w:t>
      </w:r>
      <w:r w:rsidRPr="00C67479">
        <w:rPr>
          <w:rFonts w:ascii="Arial" w:hAnsi="Arial" w:cs="Arial"/>
          <w:sz w:val="20"/>
          <w:szCs w:val="20"/>
          <w:lang w:val="en-GB"/>
        </w:rPr>
        <w:t xml:space="preserve"> One hundred and eighty (180)</w:t>
      </w:r>
      <w:r w:rsidR="00AA4A12" w:rsidRPr="00C67479">
        <w:rPr>
          <w:rFonts w:ascii="Arial" w:hAnsi="Arial" w:cs="Arial"/>
          <w:sz w:val="20"/>
          <w:szCs w:val="20"/>
          <w:lang w:val="en-GB"/>
        </w:rPr>
        <w:t xml:space="preserve"> randomly selected </w:t>
      </w:r>
      <w:r w:rsidR="00375FFB" w:rsidRPr="00C67479">
        <w:rPr>
          <w:rFonts w:ascii="Arial" w:hAnsi="Arial" w:cs="Arial"/>
          <w:sz w:val="20"/>
          <w:szCs w:val="20"/>
          <w:lang w:val="en-GB"/>
        </w:rPr>
        <w:t>aquatic organism</w:t>
      </w:r>
      <w:r w:rsidR="008124AE" w:rsidRPr="00C67479">
        <w:rPr>
          <w:rFonts w:ascii="Arial" w:hAnsi="Arial" w:cs="Arial"/>
          <w:sz w:val="20"/>
          <w:szCs w:val="20"/>
          <w:lang w:val="en-GB"/>
        </w:rPr>
        <w:t>s</w:t>
      </w:r>
      <w:r w:rsidR="003B6914" w:rsidRPr="00C67479">
        <w:rPr>
          <w:rFonts w:ascii="Arial" w:hAnsi="Arial" w:cs="Arial"/>
          <w:sz w:val="20"/>
          <w:szCs w:val="20"/>
          <w:lang w:val="en-GB"/>
        </w:rPr>
        <w:t xml:space="preserve"> (60 </w:t>
      </w:r>
      <w:r w:rsidR="008124AE" w:rsidRPr="00C67479">
        <w:rPr>
          <w:rFonts w:ascii="Arial" w:hAnsi="Arial" w:cs="Arial"/>
          <w:sz w:val="20"/>
          <w:szCs w:val="20"/>
          <w:lang w:val="en-GB"/>
        </w:rPr>
        <w:t>species of each sampled organism)</w:t>
      </w:r>
      <w:r w:rsidR="003B0606" w:rsidRPr="00C67479">
        <w:rPr>
          <w:rFonts w:ascii="Arial" w:hAnsi="Arial" w:cs="Arial"/>
          <w:sz w:val="20"/>
          <w:szCs w:val="20"/>
          <w:lang w:val="en-GB"/>
        </w:rPr>
        <w:t xml:space="preserve"> </w:t>
      </w:r>
      <w:r w:rsidR="003B0606" w:rsidRPr="00974DBA">
        <w:rPr>
          <w:rFonts w:ascii="Arial" w:hAnsi="Arial" w:cs="Arial"/>
          <w:sz w:val="20"/>
          <w:szCs w:val="20"/>
          <w:highlight w:val="yellow"/>
          <w:lang w:val="en-GB"/>
        </w:rPr>
        <w:t>w</w:t>
      </w:r>
      <w:r w:rsidR="00811304" w:rsidRPr="00811304">
        <w:rPr>
          <w:rFonts w:ascii="Arial" w:hAnsi="Arial" w:cs="Arial"/>
          <w:sz w:val="20"/>
          <w:szCs w:val="20"/>
          <w:highlight w:val="yellow"/>
          <w:lang w:val="en-GB"/>
        </w:rPr>
        <w:t>ere</w:t>
      </w:r>
      <w:r w:rsidR="003B0606" w:rsidRPr="00C67479">
        <w:rPr>
          <w:rFonts w:ascii="Arial" w:hAnsi="Arial" w:cs="Arial"/>
          <w:sz w:val="20"/>
          <w:szCs w:val="20"/>
          <w:lang w:val="en-GB"/>
        </w:rPr>
        <w:t xml:space="preserve"> used for this study</w:t>
      </w:r>
      <w:r w:rsidR="005C1FF8" w:rsidRPr="00C67479">
        <w:rPr>
          <w:rFonts w:ascii="Arial" w:hAnsi="Arial" w:cs="Arial"/>
          <w:sz w:val="20"/>
          <w:szCs w:val="20"/>
          <w:lang w:val="en-GB"/>
        </w:rPr>
        <w:t xml:space="preserve">. </w:t>
      </w:r>
      <w:r w:rsidR="00473951" w:rsidRPr="00C67479">
        <w:rPr>
          <w:rFonts w:ascii="Arial" w:hAnsi="Arial" w:cs="Arial"/>
          <w:sz w:val="20"/>
          <w:szCs w:val="20"/>
          <w:lang w:val="en-GB"/>
        </w:rPr>
        <w:t xml:space="preserve">Standard laboratory techniques were used to </w:t>
      </w:r>
      <w:r w:rsidR="003D6CED" w:rsidRPr="00C67479">
        <w:rPr>
          <w:rFonts w:ascii="Arial" w:hAnsi="Arial" w:cs="Arial"/>
          <w:sz w:val="20"/>
          <w:szCs w:val="20"/>
          <w:lang w:val="en-GB"/>
        </w:rPr>
        <w:t xml:space="preserve">analyse each sample and all data generated were analysed statistically using student T test and analysis of </w:t>
      </w:r>
      <w:r w:rsidR="009A0015" w:rsidRPr="00C67479">
        <w:rPr>
          <w:rFonts w:ascii="Arial" w:hAnsi="Arial" w:cs="Arial"/>
          <w:sz w:val="20"/>
          <w:szCs w:val="20"/>
          <w:lang w:val="en-GB"/>
        </w:rPr>
        <w:t xml:space="preserve">variance (ANOVA) with </w:t>
      </w:r>
      <w:r w:rsidR="009A0015" w:rsidRPr="00230EAB">
        <w:rPr>
          <w:rFonts w:ascii="Arial" w:hAnsi="Arial" w:cs="Arial"/>
          <w:sz w:val="20"/>
          <w:szCs w:val="20"/>
          <w:highlight w:val="yellow"/>
          <w:lang w:val="en-GB"/>
        </w:rPr>
        <w:t>Tukey’s</w:t>
      </w:r>
      <w:r w:rsidR="009A0015" w:rsidRPr="00C67479">
        <w:rPr>
          <w:rFonts w:ascii="Arial" w:hAnsi="Arial" w:cs="Arial"/>
          <w:sz w:val="20"/>
          <w:szCs w:val="20"/>
          <w:lang w:val="en-GB"/>
        </w:rPr>
        <w:t xml:space="preserve"> HDS post hoc test as well as all statistical results were considered significant at P&lt;0.05.</w:t>
      </w:r>
    </w:p>
    <w:p w14:paraId="3AABBE35" w14:textId="6A534523" w:rsidR="00A5714F" w:rsidRPr="00C67479" w:rsidRDefault="00A5714F" w:rsidP="008B29CB">
      <w:pPr>
        <w:spacing w:after="0" w:line="240" w:lineRule="auto"/>
        <w:jc w:val="both"/>
        <w:rPr>
          <w:rFonts w:ascii="Arial" w:hAnsi="Arial" w:cs="Arial"/>
          <w:sz w:val="20"/>
          <w:szCs w:val="20"/>
          <w:lang w:val="en-GB"/>
        </w:rPr>
      </w:pPr>
      <w:r w:rsidRPr="00C67479">
        <w:rPr>
          <w:rFonts w:ascii="Arial" w:hAnsi="Arial" w:cs="Arial"/>
          <w:b/>
          <w:bCs/>
          <w:sz w:val="20"/>
          <w:szCs w:val="20"/>
          <w:lang w:val="en-GB"/>
        </w:rPr>
        <w:t>Results:</w:t>
      </w:r>
      <w:r w:rsidRPr="00C67479">
        <w:rPr>
          <w:rFonts w:ascii="Arial" w:hAnsi="Arial" w:cs="Arial"/>
          <w:sz w:val="20"/>
          <w:szCs w:val="20"/>
          <w:lang w:val="en-GB"/>
        </w:rPr>
        <w:t xml:space="preserve"> </w:t>
      </w:r>
      <w:r w:rsidR="009A0015" w:rsidRPr="00C67479">
        <w:rPr>
          <w:rFonts w:ascii="Arial" w:hAnsi="Arial" w:cs="Arial"/>
          <w:sz w:val="20"/>
          <w:szCs w:val="20"/>
          <w:lang w:val="en-GB"/>
        </w:rPr>
        <w:t xml:space="preserve">An overall parasite prevalence of </w:t>
      </w:r>
      <w:r w:rsidR="00C42DFD" w:rsidRPr="00C67479">
        <w:rPr>
          <w:rFonts w:ascii="Arial" w:hAnsi="Arial" w:cs="Arial"/>
          <w:sz w:val="20"/>
          <w:szCs w:val="20"/>
          <w:lang w:val="en-GB"/>
        </w:rPr>
        <w:t xml:space="preserve">36 (20.0%) was recorded in this study (P&lt;0.05); parasite prevalence values of 25.0%, 18.3% and 16.7% were recorded for </w:t>
      </w:r>
      <w:r w:rsidR="00C42DFD" w:rsidRPr="00C67479">
        <w:rPr>
          <w:rFonts w:ascii="Arial" w:hAnsi="Arial" w:cs="Arial"/>
          <w:i/>
          <w:iCs/>
          <w:sz w:val="20"/>
          <w:szCs w:val="20"/>
          <w:lang w:val="en-GB"/>
        </w:rPr>
        <w:t>Lutjanus</w:t>
      </w:r>
      <w:r w:rsidR="00C42DFD" w:rsidRPr="00C67479">
        <w:rPr>
          <w:rFonts w:ascii="Arial" w:hAnsi="Arial" w:cs="Arial"/>
          <w:sz w:val="20"/>
          <w:szCs w:val="20"/>
          <w:lang w:val="en-GB"/>
        </w:rPr>
        <w:t xml:space="preserve">, </w:t>
      </w:r>
      <w:r w:rsidR="00C42DFD" w:rsidRPr="00C67479">
        <w:rPr>
          <w:rFonts w:ascii="Arial" w:hAnsi="Arial" w:cs="Arial"/>
          <w:i/>
          <w:iCs/>
          <w:sz w:val="20"/>
          <w:szCs w:val="20"/>
          <w:lang w:val="en-GB"/>
        </w:rPr>
        <w:t>Mugil</w:t>
      </w:r>
      <w:r w:rsidR="00C42DFD" w:rsidRPr="00C67479">
        <w:rPr>
          <w:rFonts w:ascii="Arial" w:hAnsi="Arial" w:cs="Arial"/>
          <w:sz w:val="20"/>
          <w:szCs w:val="20"/>
          <w:lang w:val="en-GB"/>
        </w:rPr>
        <w:t xml:space="preserve"> and </w:t>
      </w:r>
      <w:r w:rsidR="00C42DFD" w:rsidRPr="00C67479">
        <w:rPr>
          <w:rFonts w:ascii="Arial" w:hAnsi="Arial" w:cs="Arial"/>
          <w:i/>
          <w:iCs/>
          <w:sz w:val="20"/>
          <w:szCs w:val="20"/>
          <w:lang w:val="en-GB"/>
        </w:rPr>
        <w:t>Callinectes</w:t>
      </w:r>
      <w:r w:rsidR="00A7223D" w:rsidRPr="00C67479">
        <w:rPr>
          <w:rFonts w:ascii="Arial" w:hAnsi="Arial" w:cs="Arial"/>
          <w:i/>
          <w:iCs/>
          <w:sz w:val="20"/>
          <w:szCs w:val="20"/>
          <w:lang w:val="en-GB"/>
        </w:rPr>
        <w:t xml:space="preserve"> </w:t>
      </w:r>
      <w:r w:rsidR="00A7223D" w:rsidRPr="00C67479">
        <w:rPr>
          <w:rFonts w:ascii="Arial" w:hAnsi="Arial" w:cs="Arial"/>
          <w:sz w:val="20"/>
          <w:szCs w:val="20"/>
          <w:lang w:val="en-GB"/>
        </w:rPr>
        <w:t>respectively</w:t>
      </w:r>
      <w:r w:rsidR="00C42DFD" w:rsidRPr="00C67479">
        <w:rPr>
          <w:rFonts w:ascii="Arial" w:hAnsi="Arial" w:cs="Arial"/>
          <w:sz w:val="20"/>
          <w:szCs w:val="20"/>
          <w:lang w:val="en-GB"/>
        </w:rPr>
        <w:t>.</w:t>
      </w:r>
      <w:r w:rsidR="00A7223D" w:rsidRPr="00C67479">
        <w:rPr>
          <w:rFonts w:ascii="Arial" w:hAnsi="Arial" w:cs="Arial"/>
          <w:sz w:val="20"/>
          <w:szCs w:val="20"/>
          <w:lang w:val="en-GB"/>
        </w:rPr>
        <w:t xml:space="preserve"> A total of 61 parasites were isolated belonging to protozoa </w:t>
      </w:r>
      <w:r w:rsidR="00112FB5" w:rsidRPr="00C67479">
        <w:rPr>
          <w:rFonts w:ascii="Arial" w:hAnsi="Arial" w:cs="Arial"/>
          <w:sz w:val="20"/>
          <w:szCs w:val="20"/>
          <w:lang w:val="en-GB"/>
        </w:rPr>
        <w:t>(</w:t>
      </w:r>
      <w:proofErr w:type="spellStart"/>
      <w:r w:rsidR="00112FB5" w:rsidRPr="00C67479">
        <w:rPr>
          <w:rFonts w:ascii="Arial" w:hAnsi="Arial" w:cs="Arial"/>
          <w:i/>
          <w:iCs/>
          <w:sz w:val="20"/>
          <w:szCs w:val="20"/>
          <w:lang w:val="en-GB"/>
        </w:rPr>
        <w:t>Hexamita</w:t>
      </w:r>
      <w:proofErr w:type="spellEnd"/>
      <w:r w:rsidR="00112FB5" w:rsidRPr="00C67479">
        <w:rPr>
          <w:rFonts w:ascii="Arial" w:hAnsi="Arial" w:cs="Arial"/>
          <w:sz w:val="20"/>
          <w:szCs w:val="20"/>
          <w:lang w:val="en-GB"/>
        </w:rPr>
        <w:t xml:space="preserve"> 16.4%), trematode (</w:t>
      </w:r>
      <w:proofErr w:type="spellStart"/>
      <w:r w:rsidR="00112FB5" w:rsidRPr="00C67479">
        <w:rPr>
          <w:rFonts w:ascii="Arial" w:hAnsi="Arial" w:cs="Arial"/>
          <w:i/>
          <w:iCs/>
          <w:sz w:val="20"/>
          <w:szCs w:val="20"/>
          <w:lang w:val="en-GB"/>
        </w:rPr>
        <w:t>Dactylog</w:t>
      </w:r>
      <w:r w:rsidR="001713D3" w:rsidRPr="00C67479">
        <w:rPr>
          <w:rFonts w:ascii="Arial" w:hAnsi="Arial" w:cs="Arial"/>
          <w:i/>
          <w:iCs/>
          <w:sz w:val="20"/>
          <w:szCs w:val="20"/>
          <w:lang w:val="en-GB"/>
        </w:rPr>
        <w:t>yrus</w:t>
      </w:r>
      <w:proofErr w:type="spellEnd"/>
      <w:r w:rsidR="001713D3" w:rsidRPr="00C67479">
        <w:rPr>
          <w:rFonts w:ascii="Arial" w:hAnsi="Arial" w:cs="Arial"/>
          <w:sz w:val="20"/>
          <w:szCs w:val="20"/>
          <w:lang w:val="en-GB"/>
        </w:rPr>
        <w:t xml:space="preserve"> 9.8%), cestode (</w:t>
      </w:r>
      <w:r w:rsidR="001713D3" w:rsidRPr="00230EAB">
        <w:rPr>
          <w:rFonts w:ascii="Arial" w:hAnsi="Arial" w:cs="Arial"/>
          <w:i/>
          <w:iCs/>
          <w:sz w:val="20"/>
          <w:szCs w:val="20"/>
          <w:highlight w:val="yellow"/>
          <w:lang w:val="en-GB"/>
        </w:rPr>
        <w:t>D</w:t>
      </w:r>
      <w:r w:rsidR="00230EAB" w:rsidRPr="00230EAB">
        <w:rPr>
          <w:rFonts w:ascii="Arial" w:hAnsi="Arial" w:cs="Arial"/>
          <w:i/>
          <w:iCs/>
          <w:sz w:val="20"/>
          <w:szCs w:val="20"/>
          <w:highlight w:val="yellow"/>
          <w:lang w:val="en-GB"/>
        </w:rPr>
        <w:t>i</w:t>
      </w:r>
      <w:r w:rsidR="001713D3" w:rsidRPr="00230EAB">
        <w:rPr>
          <w:rFonts w:ascii="Arial" w:hAnsi="Arial" w:cs="Arial"/>
          <w:i/>
          <w:iCs/>
          <w:sz w:val="20"/>
          <w:szCs w:val="20"/>
          <w:highlight w:val="yellow"/>
          <w:lang w:val="en-GB"/>
        </w:rPr>
        <w:t>phyllobothrium</w:t>
      </w:r>
      <w:r w:rsidR="001713D3" w:rsidRPr="00C67479">
        <w:rPr>
          <w:rFonts w:ascii="Arial" w:hAnsi="Arial" w:cs="Arial"/>
          <w:sz w:val="20"/>
          <w:szCs w:val="20"/>
          <w:lang w:val="en-GB"/>
        </w:rPr>
        <w:t xml:space="preserve"> </w:t>
      </w:r>
      <w:r w:rsidR="000E4D83" w:rsidRPr="00C67479">
        <w:rPr>
          <w:rFonts w:ascii="Arial" w:hAnsi="Arial" w:cs="Arial"/>
          <w:sz w:val="20"/>
          <w:szCs w:val="20"/>
          <w:lang w:val="en-GB"/>
        </w:rPr>
        <w:t>3.3%) and nematode (</w:t>
      </w:r>
      <w:proofErr w:type="spellStart"/>
      <w:r w:rsidR="000E4D83" w:rsidRPr="00C67479">
        <w:rPr>
          <w:rFonts w:ascii="Arial" w:hAnsi="Arial" w:cs="Arial"/>
          <w:i/>
          <w:iCs/>
          <w:sz w:val="20"/>
          <w:szCs w:val="20"/>
          <w:lang w:val="en-GB"/>
        </w:rPr>
        <w:t>Procamallanus</w:t>
      </w:r>
      <w:proofErr w:type="spellEnd"/>
      <w:r w:rsidR="00095045" w:rsidRPr="00C67479">
        <w:rPr>
          <w:rFonts w:ascii="Arial" w:hAnsi="Arial" w:cs="Arial"/>
          <w:i/>
          <w:iCs/>
          <w:sz w:val="20"/>
          <w:szCs w:val="20"/>
          <w:lang w:val="en-GB"/>
        </w:rPr>
        <w:t xml:space="preserve"> </w:t>
      </w:r>
      <w:r w:rsidR="00095045" w:rsidRPr="00C67479">
        <w:rPr>
          <w:rFonts w:ascii="Arial" w:hAnsi="Arial" w:cs="Arial"/>
          <w:sz w:val="20"/>
          <w:szCs w:val="20"/>
          <w:lang w:val="en-GB"/>
        </w:rPr>
        <w:t>70.5%</w:t>
      </w:r>
      <w:r w:rsidR="000E4D83" w:rsidRPr="00C67479">
        <w:rPr>
          <w:rFonts w:ascii="Arial" w:hAnsi="Arial" w:cs="Arial"/>
          <w:sz w:val="20"/>
          <w:szCs w:val="20"/>
          <w:lang w:val="en-GB"/>
        </w:rPr>
        <w:t>)</w:t>
      </w:r>
      <w:r w:rsidR="00095045" w:rsidRPr="00C67479">
        <w:rPr>
          <w:rFonts w:ascii="Arial" w:hAnsi="Arial" w:cs="Arial"/>
          <w:sz w:val="20"/>
          <w:szCs w:val="20"/>
          <w:lang w:val="en-GB"/>
        </w:rPr>
        <w:t xml:space="preserve">. </w:t>
      </w:r>
      <w:r w:rsidR="00095045" w:rsidRPr="00C67479">
        <w:rPr>
          <w:rFonts w:ascii="Arial" w:hAnsi="Arial" w:cs="Arial"/>
          <w:i/>
          <w:iCs/>
          <w:sz w:val="20"/>
          <w:szCs w:val="20"/>
          <w:lang w:val="en-GB"/>
        </w:rPr>
        <w:t>Lutjanus</w:t>
      </w:r>
      <w:r w:rsidR="00095045" w:rsidRPr="00C67479">
        <w:rPr>
          <w:rFonts w:ascii="Arial" w:hAnsi="Arial" w:cs="Arial"/>
          <w:sz w:val="20"/>
          <w:szCs w:val="20"/>
          <w:lang w:val="en-GB"/>
        </w:rPr>
        <w:t xml:space="preserve"> had the highest percentage for ash</w:t>
      </w:r>
      <w:r w:rsidR="00F709F2" w:rsidRPr="00C67479">
        <w:rPr>
          <w:rFonts w:ascii="Arial" w:hAnsi="Arial" w:cs="Arial"/>
          <w:sz w:val="20"/>
          <w:szCs w:val="20"/>
          <w:lang w:val="en-GB"/>
        </w:rPr>
        <w:t xml:space="preserve"> (1.44%)</w:t>
      </w:r>
      <w:r w:rsidR="00095045" w:rsidRPr="00C67479">
        <w:rPr>
          <w:rFonts w:ascii="Arial" w:hAnsi="Arial" w:cs="Arial"/>
          <w:sz w:val="20"/>
          <w:szCs w:val="20"/>
          <w:lang w:val="en-GB"/>
        </w:rPr>
        <w:t>, lipid</w:t>
      </w:r>
      <w:r w:rsidR="00F709F2" w:rsidRPr="00C67479">
        <w:rPr>
          <w:rFonts w:ascii="Arial" w:hAnsi="Arial" w:cs="Arial"/>
          <w:sz w:val="20"/>
          <w:szCs w:val="20"/>
          <w:lang w:val="en-GB"/>
        </w:rPr>
        <w:t xml:space="preserve"> (0.13%)</w:t>
      </w:r>
      <w:r w:rsidR="00095045" w:rsidRPr="00C67479">
        <w:rPr>
          <w:rFonts w:ascii="Arial" w:hAnsi="Arial" w:cs="Arial"/>
          <w:sz w:val="20"/>
          <w:szCs w:val="20"/>
          <w:lang w:val="en-GB"/>
        </w:rPr>
        <w:t>,</w:t>
      </w:r>
      <w:r w:rsidR="001025F8" w:rsidRPr="00C67479">
        <w:rPr>
          <w:rFonts w:ascii="Arial" w:hAnsi="Arial" w:cs="Arial"/>
          <w:sz w:val="20"/>
          <w:szCs w:val="20"/>
          <w:lang w:val="en-GB"/>
        </w:rPr>
        <w:t xml:space="preserve"> </w:t>
      </w:r>
      <w:r w:rsidR="00F709F2" w:rsidRPr="00C67479">
        <w:rPr>
          <w:rFonts w:ascii="Arial" w:hAnsi="Arial" w:cs="Arial"/>
          <w:sz w:val="20"/>
          <w:szCs w:val="20"/>
          <w:lang w:val="en-GB"/>
        </w:rPr>
        <w:t>fibre</w:t>
      </w:r>
      <w:r w:rsidR="001025F8" w:rsidRPr="00C67479">
        <w:rPr>
          <w:rFonts w:ascii="Arial" w:hAnsi="Arial" w:cs="Arial"/>
          <w:sz w:val="20"/>
          <w:szCs w:val="20"/>
          <w:lang w:val="en-GB"/>
        </w:rPr>
        <w:t xml:space="preserve"> </w:t>
      </w:r>
      <w:r w:rsidR="00F709F2" w:rsidRPr="00C67479">
        <w:rPr>
          <w:rFonts w:ascii="Arial" w:hAnsi="Arial" w:cs="Arial"/>
          <w:sz w:val="20"/>
          <w:szCs w:val="20"/>
          <w:lang w:val="en-GB"/>
        </w:rPr>
        <w:t xml:space="preserve">(15.37%) </w:t>
      </w:r>
      <w:r w:rsidR="001025F8" w:rsidRPr="00C67479">
        <w:rPr>
          <w:rFonts w:ascii="Arial" w:hAnsi="Arial" w:cs="Arial"/>
          <w:sz w:val="20"/>
          <w:szCs w:val="20"/>
          <w:lang w:val="en-GB"/>
        </w:rPr>
        <w:t xml:space="preserve">and carbohydrate </w:t>
      </w:r>
      <w:r w:rsidR="00F709F2" w:rsidRPr="00C67479">
        <w:rPr>
          <w:rFonts w:ascii="Arial" w:hAnsi="Arial" w:cs="Arial"/>
          <w:sz w:val="20"/>
          <w:szCs w:val="20"/>
          <w:lang w:val="en-GB"/>
        </w:rPr>
        <w:t>(7.34</w:t>
      </w:r>
      <w:r w:rsidR="00277CBB" w:rsidRPr="00C67479">
        <w:rPr>
          <w:rFonts w:ascii="Arial" w:hAnsi="Arial" w:cs="Arial"/>
          <w:sz w:val="20"/>
          <w:szCs w:val="20"/>
          <w:lang w:val="en-GB"/>
        </w:rPr>
        <w:t xml:space="preserve">%) </w:t>
      </w:r>
      <w:r w:rsidR="001025F8" w:rsidRPr="00C67479">
        <w:rPr>
          <w:rFonts w:ascii="Arial" w:hAnsi="Arial" w:cs="Arial"/>
          <w:sz w:val="20"/>
          <w:szCs w:val="20"/>
          <w:lang w:val="en-GB"/>
        </w:rPr>
        <w:t xml:space="preserve">while </w:t>
      </w:r>
      <w:r w:rsidR="001025F8" w:rsidRPr="00C67479">
        <w:rPr>
          <w:rFonts w:ascii="Arial" w:hAnsi="Arial" w:cs="Arial"/>
          <w:i/>
          <w:iCs/>
          <w:sz w:val="20"/>
          <w:szCs w:val="20"/>
          <w:lang w:val="en-GB"/>
        </w:rPr>
        <w:t>Mugil</w:t>
      </w:r>
      <w:r w:rsidR="001025F8" w:rsidRPr="00C67479">
        <w:rPr>
          <w:rFonts w:ascii="Arial" w:hAnsi="Arial" w:cs="Arial"/>
          <w:sz w:val="20"/>
          <w:szCs w:val="20"/>
          <w:lang w:val="en-GB"/>
        </w:rPr>
        <w:t xml:space="preserve"> had the highest percentage for moisture content</w:t>
      </w:r>
      <w:r w:rsidR="00300702" w:rsidRPr="00C67479">
        <w:rPr>
          <w:rFonts w:ascii="Arial" w:hAnsi="Arial" w:cs="Arial"/>
          <w:sz w:val="20"/>
          <w:szCs w:val="20"/>
          <w:lang w:val="en-GB"/>
        </w:rPr>
        <w:t xml:space="preserve"> </w:t>
      </w:r>
      <w:r w:rsidR="00277CBB" w:rsidRPr="00C67479">
        <w:rPr>
          <w:rFonts w:ascii="Arial" w:hAnsi="Arial" w:cs="Arial"/>
          <w:sz w:val="20"/>
          <w:szCs w:val="20"/>
          <w:lang w:val="en-GB"/>
        </w:rPr>
        <w:t>(71.28</w:t>
      </w:r>
      <w:r w:rsidR="00EF3D66" w:rsidRPr="00C67479">
        <w:rPr>
          <w:rFonts w:ascii="Arial" w:hAnsi="Arial" w:cs="Arial"/>
          <w:sz w:val="20"/>
          <w:szCs w:val="20"/>
          <w:lang w:val="en-GB"/>
        </w:rPr>
        <w:t xml:space="preserve">%) </w:t>
      </w:r>
      <w:r w:rsidR="00300702" w:rsidRPr="00C67479">
        <w:rPr>
          <w:rFonts w:ascii="Arial" w:hAnsi="Arial" w:cs="Arial"/>
          <w:sz w:val="20"/>
          <w:szCs w:val="20"/>
          <w:lang w:val="en-GB"/>
        </w:rPr>
        <w:t>and protein</w:t>
      </w:r>
      <w:r w:rsidR="00EF3D66" w:rsidRPr="00C67479">
        <w:rPr>
          <w:rFonts w:ascii="Arial" w:hAnsi="Arial" w:cs="Arial"/>
          <w:sz w:val="20"/>
          <w:szCs w:val="20"/>
          <w:lang w:val="en-GB"/>
        </w:rPr>
        <w:t xml:space="preserve"> (15.94%).</w:t>
      </w:r>
      <w:r w:rsidR="001F7ED9" w:rsidRPr="00C67479">
        <w:rPr>
          <w:rFonts w:ascii="Arial" w:hAnsi="Arial" w:cs="Arial"/>
          <w:sz w:val="20"/>
          <w:szCs w:val="20"/>
          <w:lang w:val="en-GB"/>
        </w:rPr>
        <w:t xml:space="preserve"> Nickel, lead, chromium, cadmium and zinc values were below the WHO permissible limits</w:t>
      </w:r>
      <w:r w:rsidR="00293229" w:rsidRPr="00C67479">
        <w:rPr>
          <w:rFonts w:ascii="Arial" w:hAnsi="Arial" w:cs="Arial"/>
          <w:sz w:val="20"/>
          <w:szCs w:val="20"/>
          <w:lang w:val="en-GB"/>
        </w:rPr>
        <w:t>.</w:t>
      </w:r>
    </w:p>
    <w:p w14:paraId="72C57F64" w14:textId="44C57383" w:rsidR="00334D53" w:rsidRPr="00C67479" w:rsidRDefault="00A5714F" w:rsidP="008B29CB">
      <w:pPr>
        <w:spacing w:after="0" w:line="240" w:lineRule="auto"/>
        <w:jc w:val="both"/>
        <w:rPr>
          <w:rFonts w:ascii="Arial" w:hAnsi="Arial" w:cs="Arial"/>
          <w:sz w:val="20"/>
          <w:szCs w:val="20"/>
          <w:lang w:val="en-GB"/>
        </w:rPr>
      </w:pPr>
      <w:r w:rsidRPr="00C67479">
        <w:rPr>
          <w:rFonts w:ascii="Arial" w:hAnsi="Arial" w:cs="Arial"/>
          <w:b/>
          <w:bCs/>
          <w:sz w:val="20"/>
          <w:szCs w:val="20"/>
          <w:lang w:val="en-GB"/>
        </w:rPr>
        <w:t>Conclusion:</w:t>
      </w:r>
      <w:r w:rsidRPr="00C67479">
        <w:rPr>
          <w:rFonts w:ascii="Arial" w:hAnsi="Arial" w:cs="Arial"/>
          <w:sz w:val="20"/>
          <w:szCs w:val="20"/>
          <w:lang w:val="en-GB"/>
        </w:rPr>
        <w:t xml:space="preserve"> </w:t>
      </w:r>
      <w:r w:rsidR="00293229" w:rsidRPr="00C67479">
        <w:rPr>
          <w:rFonts w:ascii="Arial" w:hAnsi="Arial" w:cs="Arial"/>
          <w:sz w:val="20"/>
          <w:szCs w:val="20"/>
          <w:lang w:val="en-GB"/>
        </w:rPr>
        <w:t>Despite the absence of zoonotic parasites</w:t>
      </w:r>
      <w:r w:rsidR="00FC1B3E" w:rsidRPr="00C67479">
        <w:rPr>
          <w:rFonts w:ascii="Arial" w:hAnsi="Arial" w:cs="Arial"/>
          <w:sz w:val="20"/>
          <w:szCs w:val="20"/>
          <w:lang w:val="en-GB"/>
        </w:rPr>
        <w:t>, good nutritional composition</w:t>
      </w:r>
      <w:r w:rsidR="00293229" w:rsidRPr="00C67479">
        <w:rPr>
          <w:rFonts w:ascii="Arial" w:hAnsi="Arial" w:cs="Arial"/>
          <w:sz w:val="20"/>
          <w:szCs w:val="20"/>
          <w:lang w:val="en-GB"/>
        </w:rPr>
        <w:t xml:space="preserve"> and low heavy metal concentrations</w:t>
      </w:r>
      <w:r w:rsidR="00FC1B3E" w:rsidRPr="00C67479">
        <w:rPr>
          <w:rFonts w:ascii="Arial" w:hAnsi="Arial" w:cs="Arial"/>
          <w:sz w:val="20"/>
          <w:szCs w:val="20"/>
          <w:lang w:val="en-GB"/>
        </w:rPr>
        <w:t xml:space="preserve">, </w:t>
      </w:r>
      <w:r w:rsidR="00A11D33" w:rsidRPr="00C67479">
        <w:rPr>
          <w:rFonts w:ascii="Arial" w:hAnsi="Arial" w:cs="Arial"/>
          <w:sz w:val="20"/>
          <w:szCs w:val="20"/>
          <w:lang w:val="en-GB"/>
        </w:rPr>
        <w:t xml:space="preserve">proper cooking and regular </w:t>
      </w:r>
      <w:r w:rsidR="00153C8E" w:rsidRPr="00C67479">
        <w:rPr>
          <w:rFonts w:ascii="Arial" w:hAnsi="Arial" w:cs="Arial"/>
          <w:sz w:val="20"/>
          <w:szCs w:val="20"/>
          <w:lang w:val="en-GB"/>
        </w:rPr>
        <w:t>monitoring of edible aquatic organisms are essential for promoting public health and environmental sustainability.</w:t>
      </w:r>
    </w:p>
    <w:p w14:paraId="0BC7FC70" w14:textId="1DB5109F" w:rsidR="009B66B9" w:rsidRPr="00C67479" w:rsidRDefault="009B66B9" w:rsidP="009B66B9">
      <w:pPr>
        <w:jc w:val="both"/>
        <w:rPr>
          <w:rFonts w:ascii="Arial" w:hAnsi="Arial" w:cs="Arial"/>
          <w:sz w:val="20"/>
          <w:szCs w:val="20"/>
          <w:lang w:val="en-GB"/>
        </w:rPr>
      </w:pPr>
    </w:p>
    <w:p w14:paraId="122C0984" w14:textId="4C5D79CF" w:rsidR="009B66B9" w:rsidRPr="00C67479" w:rsidRDefault="009B66B9" w:rsidP="009B66B9">
      <w:pPr>
        <w:jc w:val="both"/>
        <w:rPr>
          <w:rFonts w:ascii="Arial" w:hAnsi="Arial" w:cs="Arial"/>
          <w:sz w:val="20"/>
          <w:szCs w:val="20"/>
          <w:lang w:val="en-GB"/>
        </w:rPr>
      </w:pPr>
      <w:r w:rsidRPr="00C67479">
        <w:rPr>
          <w:rFonts w:ascii="Arial" w:hAnsi="Arial" w:cs="Arial"/>
          <w:sz w:val="20"/>
          <w:szCs w:val="20"/>
          <w:lang w:val="en-GB"/>
        </w:rPr>
        <w:t xml:space="preserve">Keywords: </w:t>
      </w:r>
      <w:r w:rsidR="007B732E" w:rsidRPr="00C67479">
        <w:rPr>
          <w:rFonts w:ascii="Arial" w:hAnsi="Arial" w:cs="Arial"/>
          <w:i/>
          <w:iCs/>
          <w:sz w:val="20"/>
          <w:szCs w:val="20"/>
          <w:lang w:val="en-GB"/>
        </w:rPr>
        <w:t>Lutjanus</w:t>
      </w:r>
      <w:r w:rsidR="007B732E" w:rsidRPr="00C67479">
        <w:rPr>
          <w:rFonts w:ascii="Arial" w:hAnsi="Arial" w:cs="Arial"/>
          <w:sz w:val="20"/>
          <w:szCs w:val="20"/>
          <w:lang w:val="en-GB"/>
        </w:rPr>
        <w:t xml:space="preserve">, </w:t>
      </w:r>
      <w:r w:rsidR="007B732E" w:rsidRPr="00C67479">
        <w:rPr>
          <w:rFonts w:ascii="Arial" w:hAnsi="Arial" w:cs="Arial"/>
          <w:i/>
          <w:iCs/>
          <w:sz w:val="20"/>
          <w:szCs w:val="20"/>
          <w:lang w:val="en-GB"/>
        </w:rPr>
        <w:t>Mugil</w:t>
      </w:r>
      <w:r w:rsidR="007B732E" w:rsidRPr="00C67479">
        <w:rPr>
          <w:rFonts w:ascii="Arial" w:hAnsi="Arial" w:cs="Arial"/>
          <w:sz w:val="20"/>
          <w:szCs w:val="20"/>
          <w:lang w:val="en-GB"/>
        </w:rPr>
        <w:t xml:space="preserve">, </w:t>
      </w:r>
      <w:r w:rsidR="007B732E" w:rsidRPr="00C67479">
        <w:rPr>
          <w:rFonts w:ascii="Arial" w:hAnsi="Arial" w:cs="Arial"/>
          <w:i/>
          <w:iCs/>
          <w:sz w:val="20"/>
          <w:szCs w:val="20"/>
          <w:lang w:val="en-GB"/>
        </w:rPr>
        <w:t>Callinectes</w:t>
      </w:r>
      <w:r w:rsidR="007B732E" w:rsidRPr="00C67479">
        <w:rPr>
          <w:rFonts w:ascii="Arial" w:hAnsi="Arial" w:cs="Arial"/>
          <w:sz w:val="20"/>
          <w:szCs w:val="20"/>
          <w:lang w:val="en-GB"/>
        </w:rPr>
        <w:t xml:space="preserve">, parasites, </w:t>
      </w:r>
      <w:r w:rsidR="00DF78DF" w:rsidRPr="00C67479">
        <w:rPr>
          <w:rFonts w:ascii="Arial" w:hAnsi="Arial" w:cs="Arial"/>
          <w:sz w:val="20"/>
          <w:szCs w:val="20"/>
          <w:lang w:val="en-GB"/>
        </w:rPr>
        <w:t xml:space="preserve">proximate analysis, </w:t>
      </w:r>
      <w:r w:rsidRPr="00C67479">
        <w:rPr>
          <w:rFonts w:ascii="Arial" w:hAnsi="Arial" w:cs="Arial"/>
          <w:sz w:val="20"/>
          <w:szCs w:val="20"/>
          <w:lang w:val="en-GB"/>
        </w:rPr>
        <w:t>heavy metals</w:t>
      </w:r>
    </w:p>
    <w:p w14:paraId="1912F14A" w14:textId="77777777" w:rsidR="00946C5D" w:rsidRPr="00973ECD" w:rsidRDefault="00946C5D">
      <w:pPr>
        <w:rPr>
          <w:rFonts w:ascii="Arial" w:hAnsi="Arial" w:cs="Arial"/>
          <w:sz w:val="24"/>
          <w:szCs w:val="24"/>
        </w:rPr>
      </w:pPr>
    </w:p>
    <w:p w14:paraId="5FCCB3C8" w14:textId="77777777" w:rsidR="000F79A9" w:rsidRPr="00973ECD" w:rsidRDefault="000F79A9">
      <w:pPr>
        <w:rPr>
          <w:rFonts w:ascii="Arial" w:hAnsi="Arial" w:cs="Arial"/>
          <w:sz w:val="24"/>
          <w:szCs w:val="24"/>
        </w:rPr>
      </w:pPr>
    </w:p>
    <w:p w14:paraId="3A8005E3" w14:textId="77777777" w:rsidR="000F79A9" w:rsidRPr="00973ECD" w:rsidRDefault="000F79A9">
      <w:pPr>
        <w:rPr>
          <w:rFonts w:ascii="Arial" w:hAnsi="Arial" w:cs="Arial"/>
          <w:sz w:val="24"/>
          <w:szCs w:val="24"/>
        </w:rPr>
      </w:pPr>
    </w:p>
    <w:p w14:paraId="1AD85113" w14:textId="77777777" w:rsidR="000F79A9" w:rsidRDefault="000F79A9">
      <w:pPr>
        <w:rPr>
          <w:rFonts w:ascii="Arial" w:hAnsi="Arial" w:cs="Arial"/>
          <w:sz w:val="24"/>
          <w:szCs w:val="24"/>
        </w:rPr>
      </w:pPr>
    </w:p>
    <w:p w14:paraId="76E59C1F" w14:textId="77777777" w:rsidR="000F79A9" w:rsidRPr="00973ECD" w:rsidRDefault="000F79A9">
      <w:pPr>
        <w:rPr>
          <w:rFonts w:ascii="Arial" w:hAnsi="Arial" w:cs="Arial"/>
          <w:sz w:val="24"/>
          <w:szCs w:val="24"/>
        </w:rPr>
      </w:pPr>
    </w:p>
    <w:p w14:paraId="4EE9B177" w14:textId="0B374411" w:rsidR="000F79A9" w:rsidRPr="00F65CD9" w:rsidRDefault="00F65CD9" w:rsidP="00F65CD9">
      <w:pPr>
        <w:rPr>
          <w:rFonts w:ascii="Arial" w:hAnsi="Arial" w:cs="Arial"/>
          <w:b/>
          <w:bCs/>
        </w:rPr>
      </w:pPr>
      <w:r>
        <w:rPr>
          <w:rFonts w:ascii="Arial" w:hAnsi="Arial" w:cs="Arial"/>
          <w:b/>
          <w:bCs/>
        </w:rPr>
        <w:t xml:space="preserve">1. </w:t>
      </w:r>
      <w:r w:rsidR="000F79A9" w:rsidRPr="00F65CD9">
        <w:rPr>
          <w:rFonts w:ascii="Arial" w:hAnsi="Arial" w:cs="Arial"/>
          <w:b/>
          <w:bCs/>
        </w:rPr>
        <w:t>INTRODUCTION</w:t>
      </w:r>
    </w:p>
    <w:p w14:paraId="1858EECA" w14:textId="4C2F1B72" w:rsidR="000F79A9" w:rsidRPr="00E2359C" w:rsidRDefault="00840D89" w:rsidP="00840D89">
      <w:pPr>
        <w:jc w:val="both"/>
        <w:rPr>
          <w:rFonts w:ascii="Arial" w:hAnsi="Arial" w:cs="Arial"/>
          <w:sz w:val="20"/>
          <w:szCs w:val="20"/>
        </w:rPr>
      </w:pPr>
      <w:r w:rsidRPr="00E2359C">
        <w:rPr>
          <w:rFonts w:ascii="Arial" w:hAnsi="Arial" w:cs="Arial"/>
          <w:sz w:val="20"/>
          <w:szCs w:val="20"/>
        </w:rPr>
        <w:t xml:space="preserve">Edible aquatic organisms contain both macro and micro nutrients that are necessary for development and improvement of human health (Mishra, 2020). The consumption of edible aquatic organisms is rising due to increasing human population, high price and health risks of alternative sources of animal protein (Tavarez-Dias &amp; Martins, 2017). </w:t>
      </w:r>
      <w:r w:rsidR="00AC537B" w:rsidRPr="00E2359C">
        <w:rPr>
          <w:rFonts w:ascii="Arial" w:hAnsi="Arial" w:cs="Arial"/>
          <w:sz w:val="20"/>
          <w:szCs w:val="20"/>
        </w:rPr>
        <w:t xml:space="preserve">These organisms can meet the nutritional </w:t>
      </w:r>
      <w:r w:rsidR="00116C64" w:rsidRPr="00E2359C">
        <w:rPr>
          <w:rFonts w:ascii="Arial" w:hAnsi="Arial" w:cs="Arial"/>
          <w:sz w:val="20"/>
          <w:szCs w:val="20"/>
        </w:rPr>
        <w:t>needs of humans due to their high digestible energy content and good nutritional profile (</w:t>
      </w:r>
      <w:proofErr w:type="spellStart"/>
      <w:r w:rsidR="00116C64" w:rsidRPr="00E2359C">
        <w:rPr>
          <w:rFonts w:ascii="Arial" w:hAnsi="Arial" w:cs="Arial"/>
          <w:sz w:val="20"/>
          <w:szCs w:val="20"/>
        </w:rPr>
        <w:t>Takon</w:t>
      </w:r>
      <w:proofErr w:type="spellEnd"/>
      <w:r w:rsidR="00116C64" w:rsidRPr="00E2359C">
        <w:rPr>
          <w:rFonts w:ascii="Arial" w:hAnsi="Arial" w:cs="Arial"/>
          <w:sz w:val="20"/>
          <w:szCs w:val="20"/>
        </w:rPr>
        <w:t xml:space="preserve"> et al., 2020)</w:t>
      </w:r>
      <w:r w:rsidR="0083168C" w:rsidRPr="00E2359C">
        <w:rPr>
          <w:rFonts w:ascii="Arial" w:hAnsi="Arial" w:cs="Arial"/>
          <w:sz w:val="20"/>
          <w:szCs w:val="20"/>
        </w:rPr>
        <w:t xml:space="preserve">. The status </w:t>
      </w:r>
      <w:r w:rsidR="0083168C" w:rsidRPr="00E2359C">
        <w:rPr>
          <w:rFonts w:ascii="Arial" w:hAnsi="Arial" w:cs="Arial"/>
          <w:sz w:val="20"/>
          <w:szCs w:val="20"/>
        </w:rPr>
        <w:lastRenderedPageBreak/>
        <w:t xml:space="preserve">of food security is sub-Saharan African (including Nigeria) is becoming less favourable </w:t>
      </w:r>
      <w:r w:rsidR="00E929D7" w:rsidRPr="00E2359C">
        <w:rPr>
          <w:rFonts w:ascii="Arial" w:hAnsi="Arial" w:cs="Arial"/>
          <w:sz w:val="20"/>
          <w:szCs w:val="20"/>
        </w:rPr>
        <w:t>due to disruptions in the global economy, population expansion, insecurity and changes in consumer behaviour (</w:t>
      </w:r>
      <w:proofErr w:type="spellStart"/>
      <w:r w:rsidR="00E929D7" w:rsidRPr="00E2359C">
        <w:rPr>
          <w:rFonts w:ascii="Arial" w:hAnsi="Arial" w:cs="Arial"/>
          <w:sz w:val="20"/>
          <w:szCs w:val="20"/>
        </w:rPr>
        <w:t>Wudil</w:t>
      </w:r>
      <w:proofErr w:type="spellEnd"/>
      <w:r w:rsidR="00E929D7" w:rsidRPr="00E2359C">
        <w:rPr>
          <w:rFonts w:ascii="Arial" w:hAnsi="Arial" w:cs="Arial"/>
          <w:sz w:val="20"/>
          <w:szCs w:val="20"/>
        </w:rPr>
        <w:t xml:space="preserve"> et al., 2022). </w:t>
      </w:r>
      <w:r w:rsidR="00514041" w:rsidRPr="00E2359C">
        <w:rPr>
          <w:rFonts w:ascii="Arial" w:hAnsi="Arial" w:cs="Arial"/>
          <w:sz w:val="20"/>
          <w:szCs w:val="20"/>
        </w:rPr>
        <w:t>The New Calabar River, situated in the Niger Delta region of Nigeria is a vital aquatic ecosystem supporting diverse aquatic organisms which play a significant role in the l</w:t>
      </w:r>
      <w:r w:rsidR="004E3B95" w:rsidRPr="00E2359C">
        <w:rPr>
          <w:rFonts w:ascii="Arial" w:hAnsi="Arial" w:cs="Arial"/>
          <w:sz w:val="20"/>
          <w:szCs w:val="20"/>
        </w:rPr>
        <w:t>i</w:t>
      </w:r>
      <w:r w:rsidR="00514041" w:rsidRPr="00E2359C">
        <w:rPr>
          <w:rFonts w:ascii="Arial" w:hAnsi="Arial" w:cs="Arial"/>
          <w:sz w:val="20"/>
          <w:szCs w:val="20"/>
        </w:rPr>
        <w:t>velihoods of local communities by contributing to food security and economic activities</w:t>
      </w:r>
      <w:r w:rsidR="00F55D6C" w:rsidRPr="00E2359C">
        <w:rPr>
          <w:rFonts w:ascii="Arial" w:hAnsi="Arial" w:cs="Arial"/>
          <w:sz w:val="20"/>
          <w:szCs w:val="20"/>
        </w:rPr>
        <w:t xml:space="preserve">. </w:t>
      </w:r>
      <w:r w:rsidR="00F55D6C" w:rsidRPr="00E2359C">
        <w:rPr>
          <w:rFonts w:ascii="Arial" w:hAnsi="Arial" w:cs="Arial"/>
          <w:i/>
          <w:iCs/>
          <w:sz w:val="20"/>
          <w:szCs w:val="20"/>
        </w:rPr>
        <w:t>Lutjanus</w:t>
      </w:r>
      <w:r w:rsidR="00F55D6C" w:rsidRPr="00E2359C">
        <w:rPr>
          <w:rFonts w:ascii="Arial" w:hAnsi="Arial" w:cs="Arial"/>
          <w:sz w:val="20"/>
          <w:szCs w:val="20"/>
        </w:rPr>
        <w:t xml:space="preserve"> </w:t>
      </w:r>
      <w:r w:rsidR="00F55D6C" w:rsidRPr="00E2359C">
        <w:rPr>
          <w:rFonts w:ascii="Arial" w:hAnsi="Arial" w:cs="Arial"/>
          <w:i/>
          <w:iCs/>
          <w:sz w:val="20"/>
          <w:szCs w:val="20"/>
        </w:rPr>
        <w:t>campechanus</w:t>
      </w:r>
      <w:r w:rsidR="00F55D6C" w:rsidRPr="00E2359C">
        <w:rPr>
          <w:rFonts w:ascii="Arial" w:hAnsi="Arial" w:cs="Arial"/>
          <w:sz w:val="20"/>
          <w:szCs w:val="20"/>
        </w:rPr>
        <w:t xml:space="preserve"> (Red snapper), </w:t>
      </w:r>
      <w:r w:rsidR="00F55D6C" w:rsidRPr="00E2359C">
        <w:rPr>
          <w:rFonts w:ascii="Arial" w:hAnsi="Arial" w:cs="Arial"/>
          <w:i/>
          <w:iCs/>
          <w:sz w:val="20"/>
          <w:szCs w:val="20"/>
        </w:rPr>
        <w:t>Mugil</w:t>
      </w:r>
      <w:r w:rsidR="00F55D6C" w:rsidRPr="00E2359C">
        <w:rPr>
          <w:rFonts w:ascii="Arial" w:hAnsi="Arial" w:cs="Arial"/>
          <w:sz w:val="20"/>
          <w:szCs w:val="20"/>
        </w:rPr>
        <w:t xml:space="preserve"> </w:t>
      </w:r>
      <w:r w:rsidR="00F55D6C" w:rsidRPr="00E2359C">
        <w:rPr>
          <w:rFonts w:ascii="Arial" w:hAnsi="Arial" w:cs="Arial"/>
          <w:i/>
          <w:iCs/>
          <w:sz w:val="20"/>
          <w:szCs w:val="20"/>
        </w:rPr>
        <w:t>cephalus</w:t>
      </w:r>
      <w:r w:rsidR="00F55D6C" w:rsidRPr="00E2359C">
        <w:rPr>
          <w:rFonts w:ascii="Arial" w:hAnsi="Arial" w:cs="Arial"/>
          <w:sz w:val="20"/>
          <w:szCs w:val="20"/>
        </w:rPr>
        <w:t xml:space="preserve"> (Mullet) and </w:t>
      </w:r>
      <w:r w:rsidR="00F55D6C" w:rsidRPr="00E2359C">
        <w:rPr>
          <w:rFonts w:ascii="Arial" w:hAnsi="Arial" w:cs="Arial"/>
          <w:i/>
          <w:iCs/>
          <w:sz w:val="20"/>
          <w:szCs w:val="20"/>
        </w:rPr>
        <w:t>Callinectes</w:t>
      </w:r>
      <w:r w:rsidR="00F55D6C" w:rsidRPr="00E2359C">
        <w:rPr>
          <w:rFonts w:ascii="Arial" w:hAnsi="Arial" w:cs="Arial"/>
          <w:sz w:val="20"/>
          <w:szCs w:val="20"/>
        </w:rPr>
        <w:t xml:space="preserve"> </w:t>
      </w:r>
      <w:r w:rsidR="00F55D6C" w:rsidRPr="00E2359C">
        <w:rPr>
          <w:rFonts w:ascii="Arial" w:hAnsi="Arial" w:cs="Arial"/>
          <w:i/>
          <w:iCs/>
          <w:sz w:val="20"/>
          <w:szCs w:val="20"/>
        </w:rPr>
        <w:t>amnicola</w:t>
      </w:r>
      <w:r w:rsidR="00F55D6C" w:rsidRPr="00E2359C">
        <w:rPr>
          <w:rFonts w:ascii="Arial" w:hAnsi="Arial" w:cs="Arial"/>
          <w:sz w:val="20"/>
          <w:szCs w:val="20"/>
        </w:rPr>
        <w:t xml:space="preserve"> (Blue crab) are some notable aquatic organisms in the New Calabar River.</w:t>
      </w:r>
      <w:r w:rsidR="004E3B95" w:rsidRPr="00E2359C">
        <w:rPr>
          <w:rFonts w:ascii="Arial" w:hAnsi="Arial" w:cs="Arial"/>
          <w:sz w:val="20"/>
          <w:szCs w:val="20"/>
        </w:rPr>
        <w:t xml:space="preserve"> Anthropogenic activities</w:t>
      </w:r>
      <w:r w:rsidR="00861D26" w:rsidRPr="00E2359C">
        <w:rPr>
          <w:rFonts w:ascii="Arial" w:hAnsi="Arial" w:cs="Arial"/>
          <w:sz w:val="20"/>
          <w:szCs w:val="20"/>
        </w:rPr>
        <w:t xml:space="preserve"> (such as industrial discharge, agricultural runoffs and urban effluents) can introduce parasites and heavy metals into water bodies, posing risks to aquatic life and their human consumers</w:t>
      </w:r>
      <w:r w:rsidR="00C51061" w:rsidRPr="00E2359C">
        <w:rPr>
          <w:rFonts w:ascii="Arial" w:hAnsi="Arial" w:cs="Arial"/>
          <w:sz w:val="20"/>
          <w:szCs w:val="20"/>
        </w:rPr>
        <w:t xml:space="preserve">.  Understanding the prevalence of parasites in edible aquatic organisms is vital in safe guarding public health </w:t>
      </w:r>
      <w:r w:rsidR="00160DE5" w:rsidRPr="00E2359C">
        <w:rPr>
          <w:rFonts w:ascii="Arial" w:hAnsi="Arial" w:cs="Arial"/>
          <w:sz w:val="20"/>
          <w:szCs w:val="20"/>
        </w:rPr>
        <w:t xml:space="preserve">and preventing zoonoses. Also, proximate </w:t>
      </w:r>
      <w:r w:rsidR="006D0EEE" w:rsidRPr="00E2359C">
        <w:rPr>
          <w:rFonts w:ascii="Arial" w:hAnsi="Arial" w:cs="Arial"/>
          <w:sz w:val="20"/>
          <w:szCs w:val="20"/>
        </w:rPr>
        <w:t xml:space="preserve">and heavy metals </w:t>
      </w:r>
      <w:r w:rsidR="00160DE5" w:rsidRPr="00E2359C">
        <w:rPr>
          <w:rFonts w:ascii="Arial" w:hAnsi="Arial" w:cs="Arial"/>
          <w:sz w:val="20"/>
          <w:szCs w:val="20"/>
        </w:rPr>
        <w:t>analysis</w:t>
      </w:r>
      <w:r w:rsidR="006D0EEE" w:rsidRPr="00E2359C">
        <w:rPr>
          <w:rFonts w:ascii="Arial" w:hAnsi="Arial" w:cs="Arial"/>
          <w:sz w:val="20"/>
          <w:szCs w:val="20"/>
        </w:rPr>
        <w:t xml:space="preserve"> of these organisms will provide necessary insights </w:t>
      </w:r>
      <w:r w:rsidR="00CC02F0" w:rsidRPr="00E2359C">
        <w:rPr>
          <w:rFonts w:ascii="Arial" w:hAnsi="Arial" w:cs="Arial"/>
          <w:sz w:val="20"/>
          <w:szCs w:val="20"/>
        </w:rPr>
        <w:t>on their nutritional composition and potential contamination levels.</w:t>
      </w:r>
      <w:r w:rsidR="00581236" w:rsidRPr="00E2359C">
        <w:rPr>
          <w:rFonts w:ascii="Arial" w:hAnsi="Arial" w:cs="Arial"/>
          <w:sz w:val="20"/>
          <w:szCs w:val="20"/>
        </w:rPr>
        <w:t xml:space="preserve"> Therefore, a study was conducted to evaluate the prevalence of gastrointestinal parasites, proximate and heavy metal analysis of </w:t>
      </w:r>
      <w:r w:rsidR="00BB1F4F" w:rsidRPr="00E2359C">
        <w:rPr>
          <w:rFonts w:ascii="Arial" w:hAnsi="Arial" w:cs="Arial"/>
          <w:i/>
          <w:iCs/>
          <w:sz w:val="20"/>
          <w:szCs w:val="20"/>
        </w:rPr>
        <w:t>Lutjanus</w:t>
      </w:r>
      <w:r w:rsidR="00BB1F4F" w:rsidRPr="00E2359C">
        <w:rPr>
          <w:rFonts w:ascii="Arial" w:hAnsi="Arial" w:cs="Arial"/>
          <w:sz w:val="20"/>
          <w:szCs w:val="20"/>
        </w:rPr>
        <w:t xml:space="preserve"> </w:t>
      </w:r>
      <w:r w:rsidR="00BB1F4F" w:rsidRPr="00E2359C">
        <w:rPr>
          <w:rFonts w:ascii="Arial" w:hAnsi="Arial" w:cs="Arial"/>
          <w:i/>
          <w:iCs/>
          <w:sz w:val="20"/>
          <w:szCs w:val="20"/>
        </w:rPr>
        <w:t>campechanus</w:t>
      </w:r>
      <w:r w:rsidR="00BB1F4F" w:rsidRPr="00E2359C">
        <w:rPr>
          <w:rFonts w:ascii="Arial" w:hAnsi="Arial" w:cs="Arial"/>
          <w:sz w:val="20"/>
          <w:szCs w:val="20"/>
        </w:rPr>
        <w:t xml:space="preserve">, </w:t>
      </w:r>
      <w:r w:rsidR="00BB1F4F" w:rsidRPr="00E2359C">
        <w:rPr>
          <w:rFonts w:ascii="Arial" w:hAnsi="Arial" w:cs="Arial"/>
          <w:i/>
          <w:iCs/>
          <w:sz w:val="20"/>
          <w:szCs w:val="20"/>
        </w:rPr>
        <w:t>Mugil</w:t>
      </w:r>
      <w:r w:rsidR="00BB1F4F" w:rsidRPr="00E2359C">
        <w:rPr>
          <w:rFonts w:ascii="Arial" w:hAnsi="Arial" w:cs="Arial"/>
          <w:sz w:val="20"/>
          <w:szCs w:val="20"/>
        </w:rPr>
        <w:t xml:space="preserve"> </w:t>
      </w:r>
      <w:r w:rsidR="00BB1F4F" w:rsidRPr="00E2359C">
        <w:rPr>
          <w:rFonts w:ascii="Arial" w:hAnsi="Arial" w:cs="Arial"/>
          <w:i/>
          <w:iCs/>
          <w:sz w:val="20"/>
          <w:szCs w:val="20"/>
        </w:rPr>
        <w:t>cephalus</w:t>
      </w:r>
      <w:r w:rsidR="00BB1F4F" w:rsidRPr="00E2359C">
        <w:rPr>
          <w:rFonts w:ascii="Arial" w:hAnsi="Arial" w:cs="Arial"/>
          <w:sz w:val="20"/>
          <w:szCs w:val="20"/>
        </w:rPr>
        <w:t xml:space="preserve"> and </w:t>
      </w:r>
      <w:r w:rsidR="00BB1F4F" w:rsidRPr="00E2359C">
        <w:rPr>
          <w:rFonts w:ascii="Arial" w:hAnsi="Arial" w:cs="Arial"/>
          <w:i/>
          <w:iCs/>
          <w:sz w:val="20"/>
          <w:szCs w:val="20"/>
        </w:rPr>
        <w:t>Callinectes</w:t>
      </w:r>
      <w:r w:rsidR="00BB1F4F" w:rsidRPr="00E2359C">
        <w:rPr>
          <w:rFonts w:ascii="Arial" w:hAnsi="Arial" w:cs="Arial"/>
          <w:sz w:val="20"/>
          <w:szCs w:val="20"/>
        </w:rPr>
        <w:t xml:space="preserve"> </w:t>
      </w:r>
      <w:r w:rsidR="00BB1F4F" w:rsidRPr="00E2359C">
        <w:rPr>
          <w:rFonts w:ascii="Arial" w:hAnsi="Arial" w:cs="Arial"/>
          <w:i/>
          <w:iCs/>
          <w:sz w:val="20"/>
          <w:szCs w:val="20"/>
        </w:rPr>
        <w:t>amnicola</w:t>
      </w:r>
      <w:r w:rsidR="00BB1F4F" w:rsidRPr="00E2359C">
        <w:rPr>
          <w:rFonts w:ascii="Arial" w:hAnsi="Arial" w:cs="Arial"/>
          <w:sz w:val="20"/>
          <w:szCs w:val="20"/>
        </w:rPr>
        <w:t xml:space="preserve"> from New Calabar River, Rivers State, Nigeria.</w:t>
      </w:r>
    </w:p>
    <w:p w14:paraId="0C23959B" w14:textId="244B0C99" w:rsidR="00415E48" w:rsidRPr="00E2359C" w:rsidRDefault="00E2359C" w:rsidP="00840D89">
      <w:pPr>
        <w:jc w:val="both"/>
        <w:rPr>
          <w:rFonts w:ascii="Arial" w:hAnsi="Arial" w:cs="Arial"/>
          <w:b/>
          <w:bCs/>
        </w:rPr>
      </w:pPr>
      <w:r w:rsidRPr="00E2359C">
        <w:rPr>
          <w:rFonts w:ascii="Arial" w:hAnsi="Arial" w:cs="Arial"/>
          <w:b/>
          <w:bCs/>
        </w:rPr>
        <w:t xml:space="preserve">2. </w:t>
      </w:r>
      <w:r w:rsidR="00415E48" w:rsidRPr="00E2359C">
        <w:rPr>
          <w:rFonts w:ascii="Arial" w:hAnsi="Arial" w:cs="Arial"/>
          <w:b/>
          <w:bCs/>
        </w:rPr>
        <w:t>MATERIALS AND METHODS</w:t>
      </w:r>
    </w:p>
    <w:p w14:paraId="37D80494" w14:textId="03ACC139" w:rsidR="00415E48" w:rsidRPr="00E2359C" w:rsidRDefault="00E2359C" w:rsidP="00840D89">
      <w:pPr>
        <w:jc w:val="both"/>
        <w:rPr>
          <w:rFonts w:ascii="Arial" w:hAnsi="Arial" w:cs="Arial"/>
          <w:b/>
          <w:bCs/>
        </w:rPr>
      </w:pPr>
      <w:r w:rsidRPr="00E2359C">
        <w:rPr>
          <w:rFonts w:ascii="Arial" w:hAnsi="Arial" w:cs="Arial"/>
          <w:b/>
          <w:bCs/>
        </w:rPr>
        <w:t xml:space="preserve">2.1 </w:t>
      </w:r>
      <w:r w:rsidR="00415E48" w:rsidRPr="00E2359C">
        <w:rPr>
          <w:rFonts w:ascii="Arial" w:hAnsi="Arial" w:cs="Arial"/>
          <w:b/>
          <w:bCs/>
        </w:rPr>
        <w:t>Study Area</w:t>
      </w:r>
    </w:p>
    <w:p w14:paraId="37577AE6" w14:textId="011ED695" w:rsidR="00415E48" w:rsidRPr="00E2359C" w:rsidRDefault="00415E48" w:rsidP="00840D89">
      <w:pPr>
        <w:jc w:val="both"/>
        <w:rPr>
          <w:rFonts w:ascii="Arial" w:hAnsi="Arial" w:cs="Arial"/>
          <w:sz w:val="20"/>
          <w:szCs w:val="20"/>
        </w:rPr>
      </w:pPr>
      <w:r w:rsidRPr="00E2359C">
        <w:rPr>
          <w:rFonts w:ascii="Arial" w:hAnsi="Arial" w:cs="Arial"/>
          <w:sz w:val="20"/>
          <w:szCs w:val="20"/>
        </w:rPr>
        <w:t>The study was conducted at the New Calabar River, Rivers State</w:t>
      </w:r>
      <w:r w:rsidR="0056621F" w:rsidRPr="00E2359C">
        <w:rPr>
          <w:rFonts w:ascii="Arial" w:hAnsi="Arial" w:cs="Arial"/>
          <w:sz w:val="20"/>
          <w:szCs w:val="20"/>
        </w:rPr>
        <w:t>, Nigeria</w:t>
      </w:r>
      <w:r w:rsidR="004D7FC6" w:rsidRPr="00E2359C">
        <w:rPr>
          <w:rFonts w:ascii="Arial" w:hAnsi="Arial" w:cs="Arial"/>
          <w:sz w:val="20"/>
          <w:szCs w:val="20"/>
        </w:rPr>
        <w:t xml:space="preserve"> (Figure 1)</w:t>
      </w:r>
      <w:r w:rsidR="0056621F" w:rsidRPr="00E2359C">
        <w:rPr>
          <w:rFonts w:ascii="Arial" w:hAnsi="Arial" w:cs="Arial"/>
          <w:sz w:val="20"/>
          <w:szCs w:val="20"/>
        </w:rPr>
        <w:t xml:space="preserve">. The New Calabar River is located on the eastern flank of the Niger Delta River System which </w:t>
      </w:r>
      <w:r w:rsidR="008C6C42" w:rsidRPr="00E2359C">
        <w:rPr>
          <w:rFonts w:ascii="Arial" w:hAnsi="Arial" w:cs="Arial"/>
          <w:sz w:val="20"/>
          <w:szCs w:val="20"/>
        </w:rPr>
        <w:t>lies at Longitude 4°</w:t>
      </w:r>
      <w:r w:rsidR="000703C4" w:rsidRPr="00E2359C">
        <w:rPr>
          <w:rFonts w:ascii="Arial" w:hAnsi="Arial" w:cs="Arial"/>
          <w:sz w:val="20"/>
          <w:szCs w:val="20"/>
        </w:rPr>
        <w:t xml:space="preserve">30’ </w:t>
      </w:r>
      <w:r w:rsidR="00CA360E" w:rsidRPr="00E2359C">
        <w:rPr>
          <w:rFonts w:ascii="Arial" w:hAnsi="Arial" w:cs="Arial"/>
          <w:sz w:val="20"/>
          <w:szCs w:val="20"/>
        </w:rPr>
        <w:t xml:space="preserve">to </w:t>
      </w:r>
      <w:r w:rsidR="000703C4" w:rsidRPr="00E2359C">
        <w:rPr>
          <w:rFonts w:ascii="Arial" w:hAnsi="Arial" w:cs="Arial"/>
          <w:sz w:val="20"/>
          <w:szCs w:val="20"/>
        </w:rPr>
        <w:t>5</w:t>
      </w:r>
      <w:r w:rsidR="00CA360E" w:rsidRPr="00E2359C">
        <w:rPr>
          <w:rFonts w:ascii="Arial" w:hAnsi="Arial" w:cs="Arial"/>
          <w:sz w:val="20"/>
          <w:szCs w:val="20"/>
        </w:rPr>
        <w:t>°</w:t>
      </w:r>
      <w:r w:rsidR="000703C4" w:rsidRPr="00E2359C">
        <w:rPr>
          <w:rFonts w:ascii="Arial" w:hAnsi="Arial" w:cs="Arial"/>
          <w:sz w:val="20"/>
          <w:szCs w:val="20"/>
        </w:rPr>
        <w:t>00’N and Latitude 6°</w:t>
      </w:r>
      <w:r w:rsidR="00CA360E" w:rsidRPr="00E2359C">
        <w:rPr>
          <w:rFonts w:ascii="Arial" w:hAnsi="Arial" w:cs="Arial"/>
          <w:sz w:val="20"/>
          <w:szCs w:val="20"/>
        </w:rPr>
        <w:t>30’ to 7°00’E</w:t>
      </w:r>
      <w:r w:rsidR="00CC0010" w:rsidRPr="00E2359C">
        <w:rPr>
          <w:rFonts w:ascii="Arial" w:hAnsi="Arial" w:cs="Arial"/>
          <w:sz w:val="20"/>
          <w:szCs w:val="20"/>
        </w:rPr>
        <w:t xml:space="preserve"> </w:t>
      </w:r>
      <w:r w:rsidR="002C6365" w:rsidRPr="00E2359C">
        <w:rPr>
          <w:rFonts w:ascii="Arial" w:hAnsi="Arial" w:cs="Arial"/>
          <w:sz w:val="20"/>
          <w:szCs w:val="20"/>
        </w:rPr>
        <w:t>as well as</w:t>
      </w:r>
      <w:r w:rsidR="00CC0010" w:rsidRPr="00E2359C">
        <w:rPr>
          <w:rFonts w:ascii="Arial" w:hAnsi="Arial" w:cs="Arial"/>
          <w:sz w:val="20"/>
          <w:szCs w:val="20"/>
        </w:rPr>
        <w:t xml:space="preserve"> empties into some creeks and lagoons bordering the Atlantic Ocean</w:t>
      </w:r>
      <w:r w:rsidR="002C6365" w:rsidRPr="00E2359C">
        <w:rPr>
          <w:rFonts w:ascii="Arial" w:hAnsi="Arial" w:cs="Arial"/>
          <w:sz w:val="20"/>
          <w:szCs w:val="20"/>
        </w:rPr>
        <w:t xml:space="preserve"> (Nweke et al., 2018).</w:t>
      </w:r>
      <w:r w:rsidR="00C91644" w:rsidRPr="00E2359C">
        <w:rPr>
          <w:rFonts w:ascii="Arial" w:hAnsi="Arial" w:cs="Arial"/>
          <w:sz w:val="20"/>
          <w:szCs w:val="20"/>
        </w:rPr>
        <w:t xml:space="preserve"> At the </w:t>
      </w:r>
      <w:proofErr w:type="spellStart"/>
      <w:r w:rsidR="00C91644" w:rsidRPr="00E2359C">
        <w:rPr>
          <w:rFonts w:ascii="Arial" w:hAnsi="Arial" w:cs="Arial"/>
          <w:sz w:val="20"/>
          <w:szCs w:val="20"/>
        </w:rPr>
        <w:t>Aluu</w:t>
      </w:r>
      <w:proofErr w:type="spellEnd"/>
      <w:r w:rsidR="00C91644" w:rsidRPr="00E2359C">
        <w:rPr>
          <w:rFonts w:ascii="Arial" w:hAnsi="Arial" w:cs="Arial"/>
          <w:sz w:val="20"/>
          <w:szCs w:val="20"/>
        </w:rPr>
        <w:t xml:space="preserve"> sampling area, the river is fresh and tidal while downstream at </w:t>
      </w:r>
      <w:proofErr w:type="spellStart"/>
      <w:r w:rsidR="00C91644" w:rsidRPr="00E2359C">
        <w:rPr>
          <w:rFonts w:ascii="Arial" w:hAnsi="Arial" w:cs="Arial"/>
          <w:sz w:val="20"/>
          <w:szCs w:val="20"/>
        </w:rPr>
        <w:t>Choba</w:t>
      </w:r>
      <w:proofErr w:type="spellEnd"/>
      <w:r w:rsidR="00C91644" w:rsidRPr="00E2359C">
        <w:rPr>
          <w:rFonts w:ascii="Arial" w:hAnsi="Arial" w:cs="Arial"/>
          <w:sz w:val="20"/>
          <w:szCs w:val="20"/>
        </w:rPr>
        <w:t xml:space="preserve"> and </w:t>
      </w:r>
      <w:proofErr w:type="spellStart"/>
      <w:r w:rsidR="00C91644" w:rsidRPr="00E2359C">
        <w:rPr>
          <w:rFonts w:ascii="Arial" w:hAnsi="Arial" w:cs="Arial"/>
          <w:sz w:val="20"/>
          <w:szCs w:val="20"/>
        </w:rPr>
        <w:t>Ogbogoro</w:t>
      </w:r>
      <w:proofErr w:type="spellEnd"/>
      <w:r w:rsidR="00C91644" w:rsidRPr="00E2359C">
        <w:rPr>
          <w:rFonts w:ascii="Arial" w:hAnsi="Arial" w:cs="Arial"/>
          <w:sz w:val="20"/>
          <w:szCs w:val="20"/>
        </w:rPr>
        <w:t xml:space="preserve"> sections, the river is </w:t>
      </w:r>
      <w:r w:rsidR="001B0649" w:rsidRPr="00E2359C">
        <w:rPr>
          <w:rFonts w:ascii="Arial" w:hAnsi="Arial" w:cs="Arial"/>
          <w:sz w:val="20"/>
          <w:szCs w:val="20"/>
        </w:rPr>
        <w:t>brackish (Nweke et al., 2018).</w:t>
      </w:r>
    </w:p>
    <w:p w14:paraId="3497AC59" w14:textId="58E5C301" w:rsidR="000E1B8E" w:rsidRPr="00973ECD" w:rsidRDefault="000E1B8E" w:rsidP="00840D89">
      <w:pPr>
        <w:jc w:val="both"/>
        <w:rPr>
          <w:rFonts w:ascii="Arial" w:hAnsi="Arial" w:cs="Arial"/>
          <w:sz w:val="24"/>
          <w:szCs w:val="24"/>
        </w:rPr>
      </w:pPr>
      <w:r w:rsidRPr="00973ECD">
        <w:rPr>
          <w:rFonts w:ascii="Arial" w:hAnsi="Arial" w:cs="Arial"/>
          <w:noProof/>
          <w:sz w:val="24"/>
          <w:szCs w:val="24"/>
        </w:rPr>
        <w:drawing>
          <wp:inline distT="0" distB="0" distL="0" distR="0" wp14:anchorId="3971F475" wp14:editId="67767E8F">
            <wp:extent cx="3343701" cy="2413000"/>
            <wp:effectExtent l="0" t="0" r="9525" b="6350"/>
            <wp:docPr id="940662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0302" cy="2468280"/>
                    </a:xfrm>
                    <a:prstGeom prst="rect">
                      <a:avLst/>
                    </a:prstGeom>
                    <a:noFill/>
                    <a:ln>
                      <a:noFill/>
                    </a:ln>
                  </pic:spPr>
                </pic:pic>
              </a:graphicData>
            </a:graphic>
          </wp:inline>
        </w:drawing>
      </w:r>
    </w:p>
    <w:p w14:paraId="6C5C2D19" w14:textId="0B429D04" w:rsidR="000E1B8E" w:rsidRPr="00E2359C" w:rsidRDefault="000E1B8E" w:rsidP="000E1B8E">
      <w:pPr>
        <w:spacing w:after="0"/>
        <w:jc w:val="both"/>
        <w:rPr>
          <w:rFonts w:ascii="Arial" w:hAnsi="Arial" w:cs="Arial"/>
          <w:sz w:val="20"/>
          <w:szCs w:val="20"/>
        </w:rPr>
      </w:pPr>
      <w:r w:rsidRPr="00E2359C">
        <w:rPr>
          <w:rFonts w:ascii="Arial" w:hAnsi="Arial" w:cs="Arial"/>
          <w:sz w:val="20"/>
          <w:szCs w:val="20"/>
        </w:rPr>
        <w:t>Figure 1: Map of New Calabar River</w:t>
      </w:r>
    </w:p>
    <w:p w14:paraId="133AFDD7" w14:textId="7AA0ACAD" w:rsidR="000E1B8E" w:rsidRPr="00E2359C" w:rsidRDefault="000E1B8E" w:rsidP="00E2359C">
      <w:pPr>
        <w:jc w:val="both"/>
        <w:rPr>
          <w:rFonts w:ascii="Arial" w:hAnsi="Arial" w:cs="Arial"/>
          <w:sz w:val="20"/>
          <w:szCs w:val="20"/>
        </w:rPr>
      </w:pPr>
      <w:r w:rsidRPr="00E2359C">
        <w:rPr>
          <w:rFonts w:ascii="Arial" w:hAnsi="Arial" w:cs="Arial"/>
          <w:sz w:val="20"/>
          <w:szCs w:val="20"/>
        </w:rPr>
        <w:t>(Source: Nweke et al., 2018</w:t>
      </w:r>
      <w:r w:rsidR="000D2460" w:rsidRPr="0043487A">
        <w:rPr>
          <w:rFonts w:ascii="Arial" w:hAnsi="Arial" w:cs="Arial"/>
          <w:sz w:val="20"/>
          <w:szCs w:val="20"/>
          <w:highlight w:val="yellow"/>
        </w:rPr>
        <w:t>)</w:t>
      </w:r>
    </w:p>
    <w:p w14:paraId="6BA33D30" w14:textId="3F7EF89D" w:rsidR="00067E2B" w:rsidRPr="004E0579" w:rsidRDefault="00067E2B" w:rsidP="00067E2B">
      <w:pPr>
        <w:spacing w:after="0"/>
        <w:rPr>
          <w:rFonts w:ascii="Arial" w:hAnsi="Arial" w:cs="Arial"/>
        </w:rPr>
      </w:pPr>
      <w:r>
        <w:rPr>
          <w:rFonts w:ascii="Arial" w:hAnsi="Arial" w:cs="Arial"/>
          <w:b/>
          <w:bCs/>
        </w:rPr>
        <w:t xml:space="preserve">2.2 </w:t>
      </w:r>
      <w:r w:rsidRPr="004E0579">
        <w:rPr>
          <w:rFonts w:ascii="Arial" w:hAnsi="Arial" w:cs="Arial"/>
          <w:b/>
          <w:bCs/>
        </w:rPr>
        <w:t>Study Design</w:t>
      </w:r>
    </w:p>
    <w:p w14:paraId="706F38EB" w14:textId="77777777" w:rsidR="00067E2B" w:rsidRDefault="00067E2B" w:rsidP="00067E2B">
      <w:pPr>
        <w:spacing w:before="240" w:after="0"/>
        <w:jc w:val="both"/>
        <w:rPr>
          <w:rFonts w:ascii="Arial" w:hAnsi="Arial" w:cs="Arial"/>
          <w:sz w:val="20"/>
          <w:szCs w:val="20"/>
        </w:rPr>
      </w:pPr>
      <w:r w:rsidRPr="00990297">
        <w:rPr>
          <w:rFonts w:ascii="Arial" w:hAnsi="Arial" w:cs="Arial"/>
          <w:sz w:val="20"/>
          <w:szCs w:val="20"/>
        </w:rPr>
        <w:t>A cross-sectional randomized study</w:t>
      </w:r>
    </w:p>
    <w:p w14:paraId="75E79185" w14:textId="574B23D0" w:rsidR="00067E2B" w:rsidRPr="007F44B7" w:rsidRDefault="00067E2B" w:rsidP="00067E2B">
      <w:pPr>
        <w:spacing w:before="240"/>
        <w:rPr>
          <w:rFonts w:ascii="Arial" w:hAnsi="Arial" w:cs="Arial"/>
          <w:b/>
          <w:bCs/>
        </w:rPr>
      </w:pPr>
      <w:r w:rsidRPr="007F44B7">
        <w:rPr>
          <w:rFonts w:ascii="Arial" w:hAnsi="Arial" w:cs="Arial"/>
          <w:b/>
          <w:bCs/>
        </w:rPr>
        <w:t>2.</w:t>
      </w:r>
      <w:r>
        <w:rPr>
          <w:rFonts w:ascii="Arial" w:hAnsi="Arial" w:cs="Arial"/>
          <w:b/>
          <w:bCs/>
        </w:rPr>
        <w:t>3</w:t>
      </w:r>
      <w:r w:rsidRPr="007F44B7">
        <w:rPr>
          <w:rFonts w:ascii="Arial" w:hAnsi="Arial" w:cs="Arial"/>
          <w:b/>
          <w:bCs/>
        </w:rPr>
        <w:t xml:space="preserve"> Place and Duration of Study </w:t>
      </w:r>
    </w:p>
    <w:p w14:paraId="4FC688C9" w14:textId="0EA48D23" w:rsidR="00067E2B" w:rsidRDefault="00A8070D" w:rsidP="00E6652E">
      <w:pPr>
        <w:jc w:val="both"/>
        <w:rPr>
          <w:rFonts w:ascii="Arial" w:hAnsi="Arial" w:cs="Arial"/>
          <w:sz w:val="20"/>
          <w:szCs w:val="20"/>
        </w:rPr>
      </w:pPr>
      <w:r w:rsidRPr="00A8070D">
        <w:rPr>
          <w:rFonts w:ascii="Arial" w:hAnsi="Arial" w:cs="Arial"/>
          <w:sz w:val="20"/>
          <w:szCs w:val="20"/>
        </w:rPr>
        <w:t xml:space="preserve">Sites for sample </w:t>
      </w:r>
      <w:r w:rsidR="00C233BB">
        <w:rPr>
          <w:rFonts w:ascii="Arial" w:hAnsi="Arial" w:cs="Arial"/>
          <w:sz w:val="20"/>
          <w:szCs w:val="20"/>
        </w:rPr>
        <w:t>collection</w:t>
      </w:r>
      <w:r w:rsidRPr="00A8070D">
        <w:rPr>
          <w:rFonts w:ascii="Arial" w:hAnsi="Arial" w:cs="Arial"/>
          <w:sz w:val="20"/>
          <w:szCs w:val="20"/>
        </w:rPr>
        <w:t xml:space="preserve"> were chosen using random sampling technique and three stations (</w:t>
      </w:r>
      <w:proofErr w:type="spellStart"/>
      <w:r w:rsidRPr="00A8070D">
        <w:rPr>
          <w:rFonts w:ascii="Arial" w:hAnsi="Arial" w:cs="Arial"/>
          <w:sz w:val="20"/>
          <w:szCs w:val="20"/>
        </w:rPr>
        <w:t>Aluu</w:t>
      </w:r>
      <w:proofErr w:type="spellEnd"/>
      <w:r w:rsidRPr="00A8070D">
        <w:rPr>
          <w:rFonts w:ascii="Arial" w:hAnsi="Arial" w:cs="Arial"/>
          <w:sz w:val="20"/>
          <w:szCs w:val="20"/>
        </w:rPr>
        <w:t xml:space="preserve">, </w:t>
      </w:r>
      <w:proofErr w:type="spellStart"/>
      <w:r w:rsidRPr="00A8070D">
        <w:rPr>
          <w:rFonts w:ascii="Arial" w:hAnsi="Arial" w:cs="Arial"/>
          <w:sz w:val="20"/>
          <w:szCs w:val="20"/>
        </w:rPr>
        <w:t>Choba</w:t>
      </w:r>
      <w:proofErr w:type="spellEnd"/>
      <w:r w:rsidRPr="00A8070D">
        <w:rPr>
          <w:rFonts w:ascii="Arial" w:hAnsi="Arial" w:cs="Arial"/>
          <w:sz w:val="20"/>
          <w:szCs w:val="20"/>
        </w:rPr>
        <w:t xml:space="preserve"> and </w:t>
      </w:r>
      <w:proofErr w:type="spellStart"/>
      <w:r w:rsidRPr="00A8070D">
        <w:rPr>
          <w:rFonts w:ascii="Arial" w:hAnsi="Arial" w:cs="Arial"/>
          <w:sz w:val="20"/>
          <w:szCs w:val="20"/>
        </w:rPr>
        <w:t>Ogbogoro</w:t>
      </w:r>
      <w:proofErr w:type="spellEnd"/>
      <w:r w:rsidRPr="00A8070D">
        <w:rPr>
          <w:rFonts w:ascii="Arial" w:hAnsi="Arial" w:cs="Arial"/>
          <w:sz w:val="20"/>
          <w:szCs w:val="20"/>
        </w:rPr>
        <w:t>) were mapped out along the New Calabar River to eliminate bias</w:t>
      </w:r>
      <w:r w:rsidR="00C05F5C">
        <w:rPr>
          <w:rFonts w:ascii="Arial" w:hAnsi="Arial" w:cs="Arial"/>
          <w:sz w:val="20"/>
          <w:szCs w:val="20"/>
        </w:rPr>
        <w:t>; the study was conducted</w:t>
      </w:r>
      <w:r w:rsidR="00067E2B" w:rsidRPr="00990297">
        <w:rPr>
          <w:rFonts w:ascii="Arial" w:hAnsi="Arial" w:cs="Arial"/>
          <w:sz w:val="20"/>
          <w:szCs w:val="20"/>
        </w:rPr>
        <w:t xml:space="preserve"> from July </w:t>
      </w:r>
      <w:r w:rsidR="005E5E7F">
        <w:rPr>
          <w:rFonts w:ascii="Arial" w:hAnsi="Arial" w:cs="Arial"/>
          <w:sz w:val="20"/>
          <w:szCs w:val="20"/>
        </w:rPr>
        <w:t xml:space="preserve">to December </w:t>
      </w:r>
      <w:r w:rsidR="00067E2B" w:rsidRPr="00990297">
        <w:rPr>
          <w:rFonts w:ascii="Arial" w:hAnsi="Arial" w:cs="Arial"/>
          <w:sz w:val="20"/>
          <w:szCs w:val="20"/>
        </w:rPr>
        <w:t>2024.</w:t>
      </w:r>
    </w:p>
    <w:p w14:paraId="4C7EAED6" w14:textId="4B852F13" w:rsidR="005A661A" w:rsidRPr="00E2359C" w:rsidRDefault="00E6652E" w:rsidP="00840D89">
      <w:pPr>
        <w:jc w:val="both"/>
        <w:rPr>
          <w:rFonts w:ascii="Arial" w:hAnsi="Arial" w:cs="Arial"/>
          <w:b/>
          <w:bCs/>
        </w:rPr>
      </w:pPr>
      <w:r>
        <w:rPr>
          <w:rFonts w:ascii="Arial" w:hAnsi="Arial" w:cs="Arial"/>
          <w:b/>
          <w:bCs/>
        </w:rPr>
        <w:t xml:space="preserve">2.4 </w:t>
      </w:r>
      <w:r w:rsidR="005A661A" w:rsidRPr="00E2359C">
        <w:rPr>
          <w:rFonts w:ascii="Arial" w:hAnsi="Arial" w:cs="Arial"/>
          <w:b/>
          <w:bCs/>
        </w:rPr>
        <w:t>Sample Collection and Analysis</w:t>
      </w:r>
    </w:p>
    <w:p w14:paraId="0B9B5AA7" w14:textId="445DDDAE" w:rsidR="00E6652E" w:rsidRDefault="00852049" w:rsidP="00F65CD9">
      <w:pPr>
        <w:jc w:val="both"/>
        <w:rPr>
          <w:rFonts w:ascii="Arial" w:hAnsi="Arial" w:cs="Arial"/>
          <w:sz w:val="20"/>
          <w:szCs w:val="20"/>
        </w:rPr>
      </w:pPr>
      <w:r w:rsidRPr="00E6652E">
        <w:rPr>
          <w:rFonts w:ascii="Arial" w:hAnsi="Arial" w:cs="Arial"/>
          <w:sz w:val="20"/>
          <w:szCs w:val="20"/>
        </w:rPr>
        <w:t xml:space="preserve">A total of 180 </w:t>
      </w:r>
      <w:r w:rsidR="00FF6B75" w:rsidRPr="00E6652E">
        <w:rPr>
          <w:rFonts w:ascii="Arial" w:hAnsi="Arial" w:cs="Arial"/>
          <w:sz w:val="20"/>
          <w:szCs w:val="20"/>
        </w:rPr>
        <w:t xml:space="preserve">freshly caught </w:t>
      </w:r>
      <w:r w:rsidR="005A17F2" w:rsidRPr="00E6652E">
        <w:rPr>
          <w:rFonts w:ascii="Arial" w:hAnsi="Arial" w:cs="Arial"/>
          <w:sz w:val="20"/>
          <w:szCs w:val="20"/>
        </w:rPr>
        <w:t>aquatic organisms</w:t>
      </w:r>
      <w:r w:rsidRPr="00E6652E">
        <w:rPr>
          <w:rFonts w:ascii="Arial" w:hAnsi="Arial" w:cs="Arial"/>
          <w:sz w:val="20"/>
          <w:szCs w:val="20"/>
        </w:rPr>
        <w:t xml:space="preserve"> (60 red snapper</w:t>
      </w:r>
      <w:r w:rsidR="00FF6B75" w:rsidRPr="00E6652E">
        <w:rPr>
          <w:rFonts w:ascii="Arial" w:hAnsi="Arial" w:cs="Arial"/>
          <w:sz w:val="20"/>
          <w:szCs w:val="20"/>
        </w:rPr>
        <w:t>s</w:t>
      </w:r>
      <w:r w:rsidRPr="00E6652E">
        <w:rPr>
          <w:rFonts w:ascii="Arial" w:hAnsi="Arial" w:cs="Arial"/>
          <w:sz w:val="20"/>
          <w:szCs w:val="20"/>
        </w:rPr>
        <w:t>, 60 mullet</w:t>
      </w:r>
      <w:r w:rsidR="00FF6B75" w:rsidRPr="00E6652E">
        <w:rPr>
          <w:rFonts w:ascii="Arial" w:hAnsi="Arial" w:cs="Arial"/>
          <w:sz w:val="20"/>
          <w:szCs w:val="20"/>
        </w:rPr>
        <w:t xml:space="preserve">s and 60 blue crabs) were randomly obtained from </w:t>
      </w:r>
      <w:r w:rsidR="009924FC" w:rsidRPr="00E6652E">
        <w:rPr>
          <w:rFonts w:ascii="Arial" w:hAnsi="Arial" w:cs="Arial"/>
          <w:sz w:val="20"/>
          <w:szCs w:val="20"/>
        </w:rPr>
        <w:t xml:space="preserve">local fishermen, labelled appropriately, kept in sterile containers and conveyed </w:t>
      </w:r>
      <w:r w:rsidR="009924FC" w:rsidRPr="00E6652E">
        <w:rPr>
          <w:rFonts w:ascii="Arial" w:hAnsi="Arial" w:cs="Arial"/>
          <w:sz w:val="20"/>
          <w:szCs w:val="20"/>
        </w:rPr>
        <w:lastRenderedPageBreak/>
        <w:t xml:space="preserve">to the laboratory for identification as well as analysis. The fish and crab samples were identified using </w:t>
      </w:r>
      <w:r w:rsidR="00E64EA2" w:rsidRPr="00E6652E">
        <w:rPr>
          <w:rFonts w:ascii="Arial" w:hAnsi="Arial" w:cs="Arial"/>
          <w:sz w:val="20"/>
          <w:szCs w:val="20"/>
        </w:rPr>
        <w:t xml:space="preserve">appropriate taxonomic keys (Schneider, 1992; </w:t>
      </w:r>
      <w:proofErr w:type="spellStart"/>
      <w:r w:rsidR="00E64EA2" w:rsidRPr="00E6652E">
        <w:rPr>
          <w:rFonts w:ascii="Arial" w:hAnsi="Arial" w:cs="Arial"/>
          <w:sz w:val="20"/>
          <w:szCs w:val="20"/>
        </w:rPr>
        <w:t>Idodo</w:t>
      </w:r>
      <w:proofErr w:type="spellEnd"/>
      <w:r w:rsidR="00E64EA2" w:rsidRPr="00E6652E">
        <w:rPr>
          <w:rFonts w:ascii="Arial" w:hAnsi="Arial" w:cs="Arial"/>
          <w:sz w:val="20"/>
          <w:szCs w:val="20"/>
        </w:rPr>
        <w:t>-</w:t>
      </w:r>
      <w:r w:rsidR="005B2B28">
        <w:rPr>
          <w:rFonts w:ascii="Arial" w:hAnsi="Arial" w:cs="Arial"/>
          <w:sz w:val="20"/>
          <w:szCs w:val="20"/>
        </w:rPr>
        <w:t>U</w:t>
      </w:r>
      <w:r w:rsidR="00E64EA2" w:rsidRPr="00E6652E">
        <w:rPr>
          <w:rFonts w:ascii="Arial" w:hAnsi="Arial" w:cs="Arial"/>
          <w:sz w:val="20"/>
          <w:szCs w:val="20"/>
        </w:rPr>
        <w:t>meh, 2003). S</w:t>
      </w:r>
      <w:r w:rsidR="005A17F2" w:rsidRPr="00E6652E">
        <w:rPr>
          <w:rFonts w:ascii="Arial" w:hAnsi="Arial" w:cs="Arial"/>
          <w:sz w:val="20"/>
          <w:szCs w:val="20"/>
        </w:rPr>
        <w:t>pecimens from the sampled aquatic organisms</w:t>
      </w:r>
      <w:r w:rsidR="008D6E07" w:rsidRPr="00E6652E">
        <w:rPr>
          <w:rFonts w:ascii="Arial" w:hAnsi="Arial" w:cs="Arial"/>
          <w:sz w:val="20"/>
          <w:szCs w:val="20"/>
        </w:rPr>
        <w:t xml:space="preserve"> were grouped into two sub-specimens; gills and gastrointestinal tract (GIT). </w:t>
      </w:r>
      <w:r w:rsidR="00B21A3F" w:rsidRPr="00E6652E">
        <w:rPr>
          <w:rFonts w:ascii="Arial" w:hAnsi="Arial" w:cs="Arial"/>
          <w:sz w:val="20"/>
          <w:szCs w:val="20"/>
        </w:rPr>
        <w:t>E</w:t>
      </w:r>
      <w:r w:rsidR="008D6E07" w:rsidRPr="00E6652E">
        <w:rPr>
          <w:rFonts w:ascii="Arial" w:hAnsi="Arial" w:cs="Arial"/>
          <w:sz w:val="20"/>
          <w:szCs w:val="20"/>
        </w:rPr>
        <w:t>xtractio</w:t>
      </w:r>
      <w:r w:rsidR="00B21A3F" w:rsidRPr="00E6652E">
        <w:rPr>
          <w:rFonts w:ascii="Arial" w:hAnsi="Arial" w:cs="Arial"/>
          <w:sz w:val="20"/>
          <w:szCs w:val="20"/>
        </w:rPr>
        <w:t>n and identification of parasites from the sub-specimens was done using standard laboratory techniques (Eze et al., 2020; Ibrahim et al., 2020). Specimen digestion and proximate analysis were conducted using standard metho</w:t>
      </w:r>
      <w:r w:rsidR="003374D6" w:rsidRPr="00E6652E">
        <w:rPr>
          <w:rFonts w:ascii="Arial" w:hAnsi="Arial" w:cs="Arial"/>
          <w:sz w:val="20"/>
          <w:szCs w:val="20"/>
        </w:rPr>
        <w:t>ds given by AOAC (1999) and Mansur et al. (2018) while</w:t>
      </w:r>
      <w:r w:rsidR="00CE2B00" w:rsidRPr="00E6652E">
        <w:rPr>
          <w:rFonts w:ascii="Arial" w:hAnsi="Arial" w:cs="Arial"/>
          <w:sz w:val="20"/>
          <w:szCs w:val="20"/>
        </w:rPr>
        <w:t xml:space="preserve"> concentration of</w:t>
      </w:r>
      <w:r w:rsidR="003374D6" w:rsidRPr="00E6652E">
        <w:rPr>
          <w:rFonts w:ascii="Arial" w:hAnsi="Arial" w:cs="Arial"/>
          <w:sz w:val="20"/>
          <w:szCs w:val="20"/>
        </w:rPr>
        <w:t xml:space="preserve"> heavy metal</w:t>
      </w:r>
      <w:r w:rsidR="00CE2B00" w:rsidRPr="00E6652E">
        <w:rPr>
          <w:rFonts w:ascii="Arial" w:hAnsi="Arial" w:cs="Arial"/>
          <w:sz w:val="20"/>
          <w:szCs w:val="20"/>
        </w:rPr>
        <w:t>s was determined by stand</w:t>
      </w:r>
      <w:r w:rsidR="00140BC7" w:rsidRPr="00E6652E">
        <w:rPr>
          <w:rFonts w:ascii="Arial" w:hAnsi="Arial" w:cs="Arial"/>
          <w:sz w:val="20"/>
          <w:szCs w:val="20"/>
        </w:rPr>
        <w:t>ard methods given by AOAC (2005) and Mansur et al. (2018)</w:t>
      </w:r>
      <w:r w:rsidR="00081C87" w:rsidRPr="00E6652E">
        <w:rPr>
          <w:rFonts w:ascii="Arial" w:hAnsi="Arial" w:cs="Arial"/>
          <w:sz w:val="20"/>
          <w:szCs w:val="20"/>
        </w:rPr>
        <w:t xml:space="preserve">. </w:t>
      </w:r>
      <w:r w:rsidR="006D3BC7" w:rsidRPr="00E6652E">
        <w:rPr>
          <w:rFonts w:ascii="Arial" w:hAnsi="Arial" w:cs="Arial"/>
          <w:sz w:val="20"/>
          <w:szCs w:val="20"/>
        </w:rPr>
        <w:t>L</w:t>
      </w:r>
      <w:r w:rsidR="00081C87" w:rsidRPr="00E6652E">
        <w:rPr>
          <w:rFonts w:ascii="Arial" w:hAnsi="Arial" w:cs="Arial"/>
          <w:sz w:val="20"/>
          <w:szCs w:val="20"/>
        </w:rPr>
        <w:t xml:space="preserve">aboratory tests </w:t>
      </w:r>
      <w:r w:rsidR="006D3BC7" w:rsidRPr="00E6652E">
        <w:rPr>
          <w:rFonts w:ascii="Arial" w:hAnsi="Arial" w:cs="Arial"/>
          <w:sz w:val="20"/>
          <w:szCs w:val="20"/>
        </w:rPr>
        <w:t xml:space="preserve">of specimens </w:t>
      </w:r>
      <w:r w:rsidR="00081C87" w:rsidRPr="00E6652E">
        <w:rPr>
          <w:rFonts w:ascii="Arial" w:hAnsi="Arial" w:cs="Arial"/>
          <w:sz w:val="20"/>
          <w:szCs w:val="20"/>
        </w:rPr>
        <w:t xml:space="preserve">were conducted in triplicates and recorded as mean </w:t>
      </w:r>
      <w:r w:rsidR="006D3BC7" w:rsidRPr="00E6652E">
        <w:rPr>
          <w:rFonts w:ascii="Arial" w:hAnsi="Arial" w:cs="Arial"/>
          <w:sz w:val="20"/>
          <w:szCs w:val="20"/>
        </w:rPr>
        <w:t>values or percentages.</w:t>
      </w:r>
    </w:p>
    <w:p w14:paraId="0C5020CB" w14:textId="02FC27E1" w:rsidR="00F65CD9" w:rsidRPr="00F65CD9" w:rsidRDefault="00F65CD9" w:rsidP="00840D89">
      <w:pPr>
        <w:jc w:val="both"/>
        <w:rPr>
          <w:rFonts w:ascii="Arial" w:hAnsi="Arial" w:cs="Arial"/>
          <w:b/>
          <w:bCs/>
        </w:rPr>
      </w:pPr>
      <w:r>
        <w:rPr>
          <w:rFonts w:ascii="Arial" w:hAnsi="Arial" w:cs="Arial"/>
          <w:b/>
          <w:bCs/>
        </w:rPr>
        <w:t xml:space="preserve">2.5 </w:t>
      </w:r>
      <w:r w:rsidR="00E6652E" w:rsidRPr="00F65CD9">
        <w:rPr>
          <w:rFonts w:ascii="Arial" w:hAnsi="Arial" w:cs="Arial"/>
          <w:b/>
          <w:bCs/>
        </w:rPr>
        <w:t>Statistical Analysis</w:t>
      </w:r>
    </w:p>
    <w:p w14:paraId="4932AB5C" w14:textId="5F1CA9EA" w:rsidR="005A661A" w:rsidRPr="00E6652E" w:rsidRDefault="006D3BC7" w:rsidP="00840D89">
      <w:pPr>
        <w:jc w:val="both"/>
        <w:rPr>
          <w:rFonts w:ascii="Arial" w:hAnsi="Arial" w:cs="Arial"/>
          <w:sz w:val="20"/>
          <w:szCs w:val="20"/>
        </w:rPr>
      </w:pPr>
      <w:r w:rsidRPr="00E6652E">
        <w:rPr>
          <w:rFonts w:ascii="Arial" w:hAnsi="Arial" w:cs="Arial"/>
          <w:sz w:val="20"/>
          <w:szCs w:val="20"/>
        </w:rPr>
        <w:t xml:space="preserve">All data generated were </w:t>
      </w:r>
      <w:r w:rsidR="003B5616" w:rsidRPr="003B5616">
        <w:rPr>
          <w:rFonts w:ascii="Arial" w:hAnsi="Arial" w:cs="Arial"/>
          <w:sz w:val="20"/>
          <w:szCs w:val="20"/>
          <w:highlight w:val="yellow"/>
        </w:rPr>
        <w:t>analyzed</w:t>
      </w:r>
      <w:r w:rsidRPr="00E6652E">
        <w:rPr>
          <w:rFonts w:ascii="Arial" w:hAnsi="Arial" w:cs="Arial"/>
          <w:sz w:val="20"/>
          <w:szCs w:val="20"/>
        </w:rPr>
        <w:t xml:space="preserve"> statistically </w:t>
      </w:r>
      <w:r w:rsidR="004B0F7C" w:rsidRPr="00E6652E">
        <w:rPr>
          <w:rFonts w:ascii="Arial" w:hAnsi="Arial" w:cs="Arial"/>
          <w:sz w:val="20"/>
          <w:szCs w:val="20"/>
        </w:rPr>
        <w:t xml:space="preserve">by IBM Statistical Package for Social Sciences version 28.0 </w:t>
      </w:r>
      <w:r w:rsidRPr="00E6652E">
        <w:rPr>
          <w:rFonts w:ascii="Arial" w:hAnsi="Arial" w:cs="Arial"/>
          <w:sz w:val="20"/>
          <w:szCs w:val="20"/>
        </w:rPr>
        <w:t>using student T test</w:t>
      </w:r>
      <w:r w:rsidR="008E3BE5" w:rsidRPr="00E6652E">
        <w:rPr>
          <w:rFonts w:ascii="Arial" w:hAnsi="Arial" w:cs="Arial"/>
          <w:sz w:val="20"/>
          <w:szCs w:val="20"/>
        </w:rPr>
        <w:t xml:space="preserve"> and analysis of variance (ANOVA) with </w:t>
      </w:r>
      <w:r w:rsidR="008E3BE5" w:rsidRPr="002C0A43">
        <w:rPr>
          <w:rFonts w:ascii="Arial" w:hAnsi="Arial" w:cs="Arial"/>
          <w:sz w:val="20"/>
          <w:szCs w:val="20"/>
          <w:highlight w:val="yellow"/>
        </w:rPr>
        <w:t>Tukey’s</w:t>
      </w:r>
      <w:r w:rsidR="008E3BE5" w:rsidRPr="00E6652E">
        <w:rPr>
          <w:rFonts w:ascii="Arial" w:hAnsi="Arial" w:cs="Arial"/>
          <w:sz w:val="20"/>
          <w:szCs w:val="20"/>
        </w:rPr>
        <w:t xml:space="preserve"> HDS post Hoc as well as statistical results were considered significant at P&lt;0.05</w:t>
      </w:r>
      <w:r w:rsidR="00071F28" w:rsidRPr="00E6652E">
        <w:rPr>
          <w:rFonts w:ascii="Arial" w:hAnsi="Arial" w:cs="Arial"/>
          <w:sz w:val="20"/>
          <w:szCs w:val="20"/>
        </w:rPr>
        <w:t>.</w:t>
      </w:r>
    </w:p>
    <w:p w14:paraId="461E999E" w14:textId="13F38FD7" w:rsidR="00071F28" w:rsidRPr="00F65CD9" w:rsidRDefault="00F65CD9" w:rsidP="00840D89">
      <w:pPr>
        <w:jc w:val="both"/>
        <w:rPr>
          <w:rFonts w:ascii="Arial" w:hAnsi="Arial" w:cs="Arial"/>
          <w:b/>
          <w:bCs/>
        </w:rPr>
      </w:pPr>
      <w:r>
        <w:rPr>
          <w:rFonts w:ascii="Arial" w:hAnsi="Arial" w:cs="Arial"/>
          <w:b/>
          <w:bCs/>
        </w:rPr>
        <w:t xml:space="preserve">3. </w:t>
      </w:r>
      <w:r w:rsidR="00071F28" w:rsidRPr="00F65CD9">
        <w:rPr>
          <w:rFonts w:ascii="Arial" w:hAnsi="Arial" w:cs="Arial"/>
          <w:b/>
          <w:bCs/>
        </w:rPr>
        <w:t>RESULTS</w:t>
      </w:r>
    </w:p>
    <w:p w14:paraId="399B5F16" w14:textId="23AF6366" w:rsidR="00071F28" w:rsidRPr="00A15B91" w:rsidRDefault="00071F28" w:rsidP="00840D89">
      <w:pPr>
        <w:jc w:val="both"/>
        <w:rPr>
          <w:rFonts w:ascii="Arial" w:hAnsi="Arial" w:cs="Arial"/>
          <w:sz w:val="20"/>
          <w:szCs w:val="20"/>
        </w:rPr>
      </w:pPr>
      <w:r w:rsidRPr="00A15B91">
        <w:rPr>
          <w:rFonts w:ascii="Arial" w:hAnsi="Arial" w:cs="Arial"/>
          <w:sz w:val="20"/>
          <w:szCs w:val="20"/>
        </w:rPr>
        <w:t>An overall parasite prevalence of 20</w:t>
      </w:r>
      <w:r w:rsidR="00857819" w:rsidRPr="00A15B91">
        <w:rPr>
          <w:rFonts w:ascii="Arial" w:hAnsi="Arial" w:cs="Arial"/>
          <w:sz w:val="20"/>
          <w:szCs w:val="20"/>
        </w:rPr>
        <w:t xml:space="preserve">.0% was recorded (P&lt;0.05); </w:t>
      </w:r>
      <w:r w:rsidR="005274B0" w:rsidRPr="00A15B91">
        <w:rPr>
          <w:rFonts w:ascii="Arial" w:hAnsi="Arial" w:cs="Arial"/>
          <w:i/>
          <w:iCs/>
          <w:sz w:val="20"/>
          <w:szCs w:val="20"/>
        </w:rPr>
        <w:t>Lutjanus</w:t>
      </w:r>
      <w:r w:rsidR="005274B0" w:rsidRPr="00A15B91">
        <w:rPr>
          <w:rFonts w:ascii="Arial" w:hAnsi="Arial" w:cs="Arial"/>
          <w:sz w:val="20"/>
          <w:szCs w:val="20"/>
        </w:rPr>
        <w:t>,</w:t>
      </w:r>
      <w:r w:rsidR="005274B0" w:rsidRPr="00A15B91">
        <w:rPr>
          <w:rFonts w:ascii="Arial" w:hAnsi="Arial" w:cs="Arial"/>
          <w:i/>
          <w:iCs/>
          <w:sz w:val="20"/>
          <w:szCs w:val="20"/>
        </w:rPr>
        <w:t xml:space="preserve"> Mugil </w:t>
      </w:r>
      <w:r w:rsidR="00EC47A1" w:rsidRPr="00A15B91">
        <w:rPr>
          <w:rFonts w:ascii="Arial" w:hAnsi="Arial" w:cs="Arial"/>
          <w:sz w:val="20"/>
          <w:szCs w:val="20"/>
        </w:rPr>
        <w:t xml:space="preserve">and </w:t>
      </w:r>
      <w:r w:rsidR="005274B0" w:rsidRPr="00A15B91">
        <w:rPr>
          <w:rFonts w:ascii="Arial" w:hAnsi="Arial" w:cs="Arial"/>
          <w:i/>
          <w:iCs/>
          <w:sz w:val="20"/>
          <w:szCs w:val="20"/>
        </w:rPr>
        <w:t>Callinectes</w:t>
      </w:r>
      <w:r w:rsidR="00EC47A1" w:rsidRPr="00A15B91">
        <w:rPr>
          <w:rFonts w:ascii="Arial" w:hAnsi="Arial" w:cs="Arial"/>
          <w:sz w:val="20"/>
          <w:szCs w:val="20"/>
        </w:rPr>
        <w:t xml:space="preserve"> had prevalence values of 25.0%, 18.3% and 16.7% respectively (Table 1).</w:t>
      </w:r>
    </w:p>
    <w:p w14:paraId="7BC9F6B2" w14:textId="7F108F67" w:rsidR="00EC47A1" w:rsidRPr="00A15B91" w:rsidRDefault="00800462" w:rsidP="00840D89">
      <w:pPr>
        <w:jc w:val="both"/>
        <w:rPr>
          <w:rFonts w:ascii="Arial" w:hAnsi="Arial" w:cs="Arial"/>
          <w:sz w:val="20"/>
          <w:szCs w:val="20"/>
        </w:rPr>
      </w:pPr>
      <w:r w:rsidRPr="00A15B91">
        <w:rPr>
          <w:rFonts w:ascii="Arial" w:hAnsi="Arial" w:cs="Arial"/>
          <w:sz w:val="20"/>
          <w:szCs w:val="20"/>
        </w:rPr>
        <w:t xml:space="preserve">Four parasite species </w:t>
      </w:r>
      <w:r w:rsidR="003E6154" w:rsidRPr="00A15B91">
        <w:rPr>
          <w:rFonts w:ascii="Arial" w:hAnsi="Arial" w:cs="Arial"/>
          <w:sz w:val="20"/>
          <w:szCs w:val="20"/>
        </w:rPr>
        <w:t xml:space="preserve">(protozoa, trematode, cestode and nematode) </w:t>
      </w:r>
      <w:r w:rsidRPr="00A15B91">
        <w:rPr>
          <w:rFonts w:ascii="Arial" w:hAnsi="Arial" w:cs="Arial"/>
          <w:sz w:val="20"/>
          <w:szCs w:val="20"/>
        </w:rPr>
        <w:t xml:space="preserve">were identified in this study with an abundance of 61; </w:t>
      </w:r>
      <w:proofErr w:type="spellStart"/>
      <w:r w:rsidRPr="00A15B91">
        <w:rPr>
          <w:rFonts w:ascii="Arial" w:hAnsi="Arial" w:cs="Arial"/>
          <w:i/>
          <w:iCs/>
          <w:sz w:val="20"/>
          <w:szCs w:val="20"/>
        </w:rPr>
        <w:t>Hexamita</w:t>
      </w:r>
      <w:proofErr w:type="spellEnd"/>
      <w:r w:rsidRPr="00A15B91">
        <w:rPr>
          <w:rFonts w:ascii="Arial" w:hAnsi="Arial" w:cs="Arial"/>
          <w:sz w:val="20"/>
          <w:szCs w:val="20"/>
        </w:rPr>
        <w:t xml:space="preserve"> (16</w:t>
      </w:r>
      <w:r w:rsidR="00DF0F4E" w:rsidRPr="00A15B91">
        <w:rPr>
          <w:rFonts w:ascii="Arial" w:hAnsi="Arial" w:cs="Arial"/>
          <w:sz w:val="20"/>
          <w:szCs w:val="20"/>
        </w:rPr>
        <w:t xml:space="preserve">.4%), </w:t>
      </w:r>
      <w:proofErr w:type="spellStart"/>
      <w:r w:rsidR="00DF0F4E" w:rsidRPr="00A15B91">
        <w:rPr>
          <w:rFonts w:ascii="Arial" w:hAnsi="Arial" w:cs="Arial"/>
          <w:i/>
          <w:iCs/>
          <w:sz w:val="20"/>
          <w:szCs w:val="20"/>
        </w:rPr>
        <w:t>Dactylogyrus</w:t>
      </w:r>
      <w:proofErr w:type="spellEnd"/>
      <w:r w:rsidR="00DF0F4E" w:rsidRPr="00A15B91">
        <w:rPr>
          <w:rFonts w:ascii="Arial" w:hAnsi="Arial" w:cs="Arial"/>
          <w:sz w:val="20"/>
          <w:szCs w:val="20"/>
        </w:rPr>
        <w:t xml:space="preserve"> (9.8%), </w:t>
      </w:r>
      <w:r w:rsidR="00DF0F4E" w:rsidRPr="00A15B91">
        <w:rPr>
          <w:rFonts w:ascii="Arial" w:hAnsi="Arial" w:cs="Arial"/>
          <w:i/>
          <w:iCs/>
          <w:sz w:val="20"/>
          <w:szCs w:val="20"/>
        </w:rPr>
        <w:t>Diphyllobothrium</w:t>
      </w:r>
      <w:r w:rsidR="00DF0F4E" w:rsidRPr="00A15B91">
        <w:rPr>
          <w:rFonts w:ascii="Arial" w:hAnsi="Arial" w:cs="Arial"/>
          <w:sz w:val="20"/>
          <w:szCs w:val="20"/>
        </w:rPr>
        <w:t xml:space="preserve"> (</w:t>
      </w:r>
      <w:r w:rsidR="00C759B5" w:rsidRPr="00A15B91">
        <w:rPr>
          <w:rFonts w:ascii="Arial" w:hAnsi="Arial" w:cs="Arial"/>
          <w:sz w:val="20"/>
          <w:szCs w:val="20"/>
        </w:rPr>
        <w:t xml:space="preserve">3.3%) and </w:t>
      </w:r>
      <w:proofErr w:type="spellStart"/>
      <w:r w:rsidR="00C759B5" w:rsidRPr="00A15B91">
        <w:rPr>
          <w:rFonts w:ascii="Arial" w:hAnsi="Arial" w:cs="Arial"/>
          <w:i/>
          <w:iCs/>
          <w:sz w:val="20"/>
          <w:szCs w:val="20"/>
        </w:rPr>
        <w:t>Procamallanus</w:t>
      </w:r>
      <w:proofErr w:type="spellEnd"/>
      <w:r w:rsidR="00C759B5" w:rsidRPr="00A15B91">
        <w:rPr>
          <w:rFonts w:ascii="Arial" w:hAnsi="Arial" w:cs="Arial"/>
          <w:sz w:val="20"/>
          <w:szCs w:val="20"/>
        </w:rPr>
        <w:t xml:space="preserve"> (70.5%) (Table 2).</w:t>
      </w:r>
    </w:p>
    <w:p w14:paraId="797DD03B" w14:textId="77777777" w:rsidR="00741B70" w:rsidRPr="00A15B91" w:rsidRDefault="0065104B" w:rsidP="00840D89">
      <w:pPr>
        <w:jc w:val="both"/>
        <w:rPr>
          <w:rFonts w:ascii="Arial" w:hAnsi="Arial" w:cs="Arial"/>
          <w:sz w:val="20"/>
          <w:szCs w:val="20"/>
        </w:rPr>
      </w:pPr>
      <w:r w:rsidRPr="00A15B91">
        <w:rPr>
          <w:rFonts w:ascii="Arial" w:hAnsi="Arial" w:cs="Arial"/>
          <w:sz w:val="20"/>
          <w:szCs w:val="20"/>
        </w:rPr>
        <w:t xml:space="preserve">The proximate analysis in this study showed that </w:t>
      </w:r>
      <w:r w:rsidRPr="00A15B91">
        <w:rPr>
          <w:rFonts w:ascii="Arial" w:hAnsi="Arial" w:cs="Arial"/>
          <w:i/>
          <w:iCs/>
          <w:sz w:val="20"/>
          <w:szCs w:val="20"/>
        </w:rPr>
        <w:t>Lutjanus</w:t>
      </w:r>
      <w:r w:rsidRPr="00A15B91">
        <w:rPr>
          <w:rFonts w:ascii="Arial" w:hAnsi="Arial" w:cs="Arial"/>
          <w:sz w:val="20"/>
          <w:szCs w:val="20"/>
        </w:rPr>
        <w:t xml:space="preserve"> had the highest percentage for </w:t>
      </w:r>
      <w:r w:rsidR="00075E0A" w:rsidRPr="00A15B91">
        <w:rPr>
          <w:rFonts w:ascii="Arial" w:hAnsi="Arial" w:cs="Arial"/>
          <w:sz w:val="20"/>
          <w:szCs w:val="20"/>
        </w:rPr>
        <w:t>ash (1.44%), lipid (0.13%), fibre (15.37%) and carbohydrate (7.34%)</w:t>
      </w:r>
      <w:r w:rsidR="00741B70" w:rsidRPr="00A15B91">
        <w:rPr>
          <w:rFonts w:ascii="Arial" w:hAnsi="Arial" w:cs="Arial"/>
          <w:sz w:val="20"/>
          <w:szCs w:val="20"/>
        </w:rPr>
        <w:t xml:space="preserve"> while </w:t>
      </w:r>
      <w:r w:rsidR="00741B70" w:rsidRPr="00A15B91">
        <w:rPr>
          <w:rFonts w:ascii="Arial" w:hAnsi="Arial" w:cs="Arial"/>
          <w:i/>
          <w:iCs/>
          <w:sz w:val="20"/>
          <w:szCs w:val="20"/>
        </w:rPr>
        <w:t>Mugil</w:t>
      </w:r>
      <w:r w:rsidR="00741B70" w:rsidRPr="00A15B91">
        <w:rPr>
          <w:rFonts w:ascii="Arial" w:hAnsi="Arial" w:cs="Arial"/>
          <w:sz w:val="20"/>
          <w:szCs w:val="20"/>
        </w:rPr>
        <w:t xml:space="preserve"> had the highest percentage for moisture content (71.28%) and protein (15.94%) (Table 3).</w:t>
      </w:r>
    </w:p>
    <w:p w14:paraId="42AC6236" w14:textId="77777777" w:rsidR="00F75C6A" w:rsidRPr="00A15B91" w:rsidRDefault="00F3785B" w:rsidP="00840D89">
      <w:pPr>
        <w:jc w:val="both"/>
        <w:rPr>
          <w:rFonts w:ascii="Arial" w:hAnsi="Arial" w:cs="Arial"/>
          <w:sz w:val="20"/>
          <w:szCs w:val="20"/>
        </w:rPr>
      </w:pPr>
      <w:r w:rsidRPr="00A15B91">
        <w:rPr>
          <w:rFonts w:ascii="Arial" w:hAnsi="Arial" w:cs="Arial"/>
          <w:sz w:val="20"/>
          <w:szCs w:val="20"/>
        </w:rPr>
        <w:t xml:space="preserve">The </w:t>
      </w:r>
      <w:r w:rsidR="00353AD1" w:rsidRPr="00A15B91">
        <w:rPr>
          <w:rFonts w:ascii="Arial" w:hAnsi="Arial" w:cs="Arial"/>
          <w:sz w:val="20"/>
          <w:szCs w:val="20"/>
        </w:rPr>
        <w:t>heavy metal analysis showed that nickel, lead, c</w:t>
      </w:r>
      <w:r w:rsidR="00AC0160" w:rsidRPr="00A15B91">
        <w:rPr>
          <w:rFonts w:ascii="Arial" w:hAnsi="Arial" w:cs="Arial"/>
          <w:sz w:val="20"/>
          <w:szCs w:val="20"/>
        </w:rPr>
        <w:t>hromium, cadmium and zinc concentrations were all below the WHO permissible limits in the three sampled aquatic organisms (Table 4)</w:t>
      </w:r>
      <w:r w:rsidR="001F3DC1" w:rsidRPr="00A15B91">
        <w:rPr>
          <w:rFonts w:ascii="Arial" w:hAnsi="Arial" w:cs="Arial"/>
          <w:sz w:val="20"/>
          <w:szCs w:val="20"/>
        </w:rPr>
        <w:t>.</w:t>
      </w:r>
    </w:p>
    <w:p w14:paraId="7A9497A0" w14:textId="77777777" w:rsidR="00F75C6A" w:rsidRPr="00A15B91" w:rsidRDefault="00F75C6A" w:rsidP="00840D89">
      <w:pPr>
        <w:jc w:val="both"/>
        <w:rPr>
          <w:rFonts w:ascii="Arial" w:hAnsi="Arial" w:cs="Arial"/>
          <w:b/>
          <w:bCs/>
          <w:sz w:val="20"/>
          <w:szCs w:val="20"/>
        </w:rPr>
      </w:pPr>
      <w:r w:rsidRPr="00A15B91">
        <w:rPr>
          <w:rFonts w:ascii="Arial" w:hAnsi="Arial" w:cs="Arial"/>
          <w:b/>
          <w:bCs/>
          <w:sz w:val="20"/>
          <w:szCs w:val="20"/>
        </w:rPr>
        <w:t>Table 1: Overall Parasite Prevalence in the Study</w:t>
      </w:r>
    </w:p>
    <w:tbl>
      <w:tblPr>
        <w:tblStyle w:val="TableGrid"/>
        <w:tblW w:w="9209" w:type="dxa"/>
        <w:tblBorders>
          <w:left w:val="none" w:sz="0" w:space="0" w:color="auto"/>
          <w:right w:val="none" w:sz="0" w:space="0" w:color="auto"/>
          <w:insideV w:val="none" w:sz="0" w:space="0" w:color="auto"/>
        </w:tblBorders>
        <w:tblLook w:val="04A0" w:firstRow="1" w:lastRow="0" w:firstColumn="1" w:lastColumn="0" w:noHBand="0" w:noVBand="1"/>
      </w:tblPr>
      <w:tblGrid>
        <w:gridCol w:w="1413"/>
        <w:gridCol w:w="2268"/>
        <w:gridCol w:w="2835"/>
        <w:gridCol w:w="2693"/>
      </w:tblGrid>
      <w:tr w:rsidR="00B47BA1" w:rsidRPr="00A15B91" w14:paraId="0D219C09" w14:textId="77777777" w:rsidTr="006B37EE">
        <w:tc>
          <w:tcPr>
            <w:tcW w:w="1413" w:type="dxa"/>
          </w:tcPr>
          <w:p w14:paraId="60B3CF72" w14:textId="29209BB6" w:rsidR="00B47BA1" w:rsidRPr="00A15B91" w:rsidRDefault="00420911" w:rsidP="00840D89">
            <w:pPr>
              <w:jc w:val="both"/>
              <w:rPr>
                <w:rFonts w:ascii="Arial" w:hAnsi="Arial" w:cs="Arial"/>
                <w:b/>
                <w:bCs/>
                <w:sz w:val="20"/>
                <w:szCs w:val="20"/>
              </w:rPr>
            </w:pPr>
            <w:r w:rsidRPr="00A15B91">
              <w:rPr>
                <w:rFonts w:ascii="Arial" w:hAnsi="Arial" w:cs="Arial"/>
                <w:b/>
                <w:bCs/>
                <w:sz w:val="20"/>
                <w:szCs w:val="20"/>
              </w:rPr>
              <w:t>Samples</w:t>
            </w:r>
          </w:p>
        </w:tc>
        <w:tc>
          <w:tcPr>
            <w:tcW w:w="2268" w:type="dxa"/>
          </w:tcPr>
          <w:p w14:paraId="6D2A3309" w14:textId="1440CBCB" w:rsidR="00B47BA1" w:rsidRPr="00A15B91" w:rsidRDefault="00EF0144" w:rsidP="00EF0144">
            <w:pPr>
              <w:jc w:val="center"/>
              <w:rPr>
                <w:rFonts w:ascii="Arial" w:hAnsi="Arial" w:cs="Arial"/>
                <w:b/>
                <w:bCs/>
                <w:sz w:val="20"/>
                <w:szCs w:val="20"/>
              </w:rPr>
            </w:pPr>
            <w:r w:rsidRPr="00A15B91">
              <w:rPr>
                <w:rFonts w:ascii="Arial" w:hAnsi="Arial" w:cs="Arial"/>
                <w:b/>
                <w:bCs/>
                <w:sz w:val="20"/>
                <w:szCs w:val="20"/>
              </w:rPr>
              <w:t>Number Examined</w:t>
            </w:r>
          </w:p>
        </w:tc>
        <w:tc>
          <w:tcPr>
            <w:tcW w:w="2835" w:type="dxa"/>
          </w:tcPr>
          <w:p w14:paraId="06F4CC52" w14:textId="6B506639" w:rsidR="00B47BA1" w:rsidRPr="00A15B91" w:rsidRDefault="00EF0144" w:rsidP="00EF0144">
            <w:pPr>
              <w:jc w:val="center"/>
              <w:rPr>
                <w:rFonts w:ascii="Arial" w:hAnsi="Arial" w:cs="Arial"/>
                <w:b/>
                <w:bCs/>
                <w:sz w:val="20"/>
                <w:szCs w:val="20"/>
              </w:rPr>
            </w:pPr>
            <w:r w:rsidRPr="00A15B91">
              <w:rPr>
                <w:rFonts w:ascii="Arial" w:hAnsi="Arial" w:cs="Arial"/>
                <w:b/>
                <w:bCs/>
                <w:sz w:val="20"/>
                <w:szCs w:val="20"/>
              </w:rPr>
              <w:t>Number Uninfected</w:t>
            </w:r>
            <w:r w:rsidR="009C4D69" w:rsidRPr="00A15B91">
              <w:rPr>
                <w:rFonts w:ascii="Arial" w:hAnsi="Arial" w:cs="Arial"/>
                <w:b/>
                <w:bCs/>
                <w:sz w:val="20"/>
                <w:szCs w:val="20"/>
              </w:rPr>
              <w:t xml:space="preserve"> (%)</w:t>
            </w:r>
          </w:p>
        </w:tc>
        <w:tc>
          <w:tcPr>
            <w:tcW w:w="2693" w:type="dxa"/>
          </w:tcPr>
          <w:p w14:paraId="784F1690" w14:textId="46B64A72" w:rsidR="00B47BA1" w:rsidRPr="00A15B91" w:rsidRDefault="00EF0144" w:rsidP="00EF0144">
            <w:pPr>
              <w:jc w:val="center"/>
              <w:rPr>
                <w:rFonts w:ascii="Arial" w:hAnsi="Arial" w:cs="Arial"/>
                <w:b/>
                <w:bCs/>
                <w:sz w:val="20"/>
                <w:szCs w:val="20"/>
              </w:rPr>
            </w:pPr>
            <w:r w:rsidRPr="00A15B91">
              <w:rPr>
                <w:rFonts w:ascii="Arial" w:hAnsi="Arial" w:cs="Arial"/>
                <w:b/>
                <w:bCs/>
                <w:sz w:val="20"/>
                <w:szCs w:val="20"/>
              </w:rPr>
              <w:t>Number Infected</w:t>
            </w:r>
            <w:r w:rsidR="009C4D69" w:rsidRPr="00A15B91">
              <w:rPr>
                <w:rFonts w:ascii="Arial" w:hAnsi="Arial" w:cs="Arial"/>
                <w:b/>
                <w:bCs/>
                <w:sz w:val="20"/>
                <w:szCs w:val="20"/>
              </w:rPr>
              <w:t xml:space="preserve"> (%)</w:t>
            </w:r>
          </w:p>
        </w:tc>
      </w:tr>
      <w:tr w:rsidR="00B47BA1" w:rsidRPr="00A15B91" w14:paraId="3EBE6910" w14:textId="77777777" w:rsidTr="006B37EE">
        <w:tc>
          <w:tcPr>
            <w:tcW w:w="1413" w:type="dxa"/>
            <w:tcBorders>
              <w:bottom w:val="nil"/>
            </w:tcBorders>
          </w:tcPr>
          <w:p w14:paraId="5D6BB359" w14:textId="5B1D28CC" w:rsidR="00B47BA1" w:rsidRPr="00A15B91" w:rsidRDefault="00EF0144" w:rsidP="00840D89">
            <w:pPr>
              <w:jc w:val="both"/>
              <w:rPr>
                <w:rFonts w:ascii="Arial" w:hAnsi="Arial" w:cs="Arial"/>
                <w:i/>
                <w:iCs/>
                <w:sz w:val="20"/>
                <w:szCs w:val="20"/>
              </w:rPr>
            </w:pPr>
            <w:r w:rsidRPr="00A15B91">
              <w:rPr>
                <w:rFonts w:ascii="Arial" w:hAnsi="Arial" w:cs="Arial"/>
                <w:i/>
                <w:iCs/>
                <w:sz w:val="20"/>
                <w:szCs w:val="20"/>
              </w:rPr>
              <w:t>Lutjanus</w:t>
            </w:r>
          </w:p>
        </w:tc>
        <w:tc>
          <w:tcPr>
            <w:tcW w:w="2268" w:type="dxa"/>
            <w:tcBorders>
              <w:bottom w:val="nil"/>
            </w:tcBorders>
          </w:tcPr>
          <w:p w14:paraId="07CC5260" w14:textId="3F167357" w:rsidR="00B47BA1" w:rsidRPr="00A15B91" w:rsidRDefault="009C4D69" w:rsidP="00EF0144">
            <w:pPr>
              <w:jc w:val="center"/>
              <w:rPr>
                <w:rFonts w:ascii="Arial" w:hAnsi="Arial" w:cs="Arial"/>
                <w:sz w:val="20"/>
                <w:szCs w:val="20"/>
              </w:rPr>
            </w:pPr>
            <w:r w:rsidRPr="00A15B91">
              <w:rPr>
                <w:rFonts w:ascii="Arial" w:hAnsi="Arial" w:cs="Arial"/>
                <w:sz w:val="20"/>
                <w:szCs w:val="20"/>
              </w:rPr>
              <w:t>60</w:t>
            </w:r>
          </w:p>
        </w:tc>
        <w:tc>
          <w:tcPr>
            <w:tcW w:w="2835" w:type="dxa"/>
            <w:tcBorders>
              <w:bottom w:val="nil"/>
            </w:tcBorders>
          </w:tcPr>
          <w:p w14:paraId="4480D5B6" w14:textId="2489E48A" w:rsidR="00B47BA1" w:rsidRPr="00A15B91" w:rsidRDefault="006B6775" w:rsidP="00EF0144">
            <w:pPr>
              <w:jc w:val="center"/>
              <w:rPr>
                <w:rFonts w:ascii="Arial" w:hAnsi="Arial" w:cs="Arial"/>
                <w:sz w:val="20"/>
                <w:szCs w:val="20"/>
              </w:rPr>
            </w:pPr>
            <w:r w:rsidRPr="00A15B91">
              <w:rPr>
                <w:rFonts w:ascii="Arial" w:hAnsi="Arial" w:cs="Arial"/>
                <w:sz w:val="20"/>
                <w:szCs w:val="20"/>
              </w:rPr>
              <w:t>45 (75.0)</w:t>
            </w:r>
          </w:p>
        </w:tc>
        <w:tc>
          <w:tcPr>
            <w:tcW w:w="2693" w:type="dxa"/>
            <w:tcBorders>
              <w:bottom w:val="nil"/>
            </w:tcBorders>
          </w:tcPr>
          <w:p w14:paraId="1D9380BC" w14:textId="03630F1C" w:rsidR="00B47BA1" w:rsidRPr="00A15B91" w:rsidRDefault="006B6775" w:rsidP="00EF0144">
            <w:pPr>
              <w:jc w:val="center"/>
              <w:rPr>
                <w:rFonts w:ascii="Arial" w:hAnsi="Arial" w:cs="Arial"/>
                <w:sz w:val="20"/>
                <w:szCs w:val="20"/>
              </w:rPr>
            </w:pPr>
            <w:r w:rsidRPr="00A15B91">
              <w:rPr>
                <w:rFonts w:ascii="Arial" w:hAnsi="Arial" w:cs="Arial"/>
                <w:sz w:val="20"/>
                <w:szCs w:val="20"/>
              </w:rPr>
              <w:t>15 (25.0)</w:t>
            </w:r>
          </w:p>
        </w:tc>
      </w:tr>
      <w:tr w:rsidR="00B47BA1" w:rsidRPr="00A15B91" w14:paraId="320C6FB6" w14:textId="77777777" w:rsidTr="006B37EE">
        <w:tc>
          <w:tcPr>
            <w:tcW w:w="1413" w:type="dxa"/>
            <w:tcBorders>
              <w:top w:val="nil"/>
              <w:bottom w:val="nil"/>
            </w:tcBorders>
          </w:tcPr>
          <w:p w14:paraId="29D17091" w14:textId="204D3A55" w:rsidR="00B47BA1" w:rsidRPr="00A15B91" w:rsidRDefault="00EF0144" w:rsidP="00840D89">
            <w:pPr>
              <w:jc w:val="both"/>
              <w:rPr>
                <w:rFonts w:ascii="Arial" w:hAnsi="Arial" w:cs="Arial"/>
                <w:i/>
                <w:iCs/>
                <w:sz w:val="20"/>
                <w:szCs w:val="20"/>
              </w:rPr>
            </w:pPr>
            <w:r w:rsidRPr="00A15B91">
              <w:rPr>
                <w:rFonts w:ascii="Arial" w:hAnsi="Arial" w:cs="Arial"/>
                <w:i/>
                <w:iCs/>
                <w:sz w:val="20"/>
                <w:szCs w:val="20"/>
              </w:rPr>
              <w:t>Mugil</w:t>
            </w:r>
          </w:p>
        </w:tc>
        <w:tc>
          <w:tcPr>
            <w:tcW w:w="2268" w:type="dxa"/>
            <w:tcBorders>
              <w:top w:val="nil"/>
              <w:bottom w:val="nil"/>
            </w:tcBorders>
          </w:tcPr>
          <w:p w14:paraId="62D837C6" w14:textId="3523190D" w:rsidR="00B47BA1" w:rsidRPr="00A15B91" w:rsidRDefault="009C4D69" w:rsidP="00EF0144">
            <w:pPr>
              <w:jc w:val="center"/>
              <w:rPr>
                <w:rFonts w:ascii="Arial" w:hAnsi="Arial" w:cs="Arial"/>
                <w:sz w:val="20"/>
                <w:szCs w:val="20"/>
              </w:rPr>
            </w:pPr>
            <w:r w:rsidRPr="00A15B91">
              <w:rPr>
                <w:rFonts w:ascii="Arial" w:hAnsi="Arial" w:cs="Arial"/>
                <w:sz w:val="20"/>
                <w:szCs w:val="20"/>
              </w:rPr>
              <w:t>60</w:t>
            </w:r>
          </w:p>
        </w:tc>
        <w:tc>
          <w:tcPr>
            <w:tcW w:w="2835" w:type="dxa"/>
            <w:tcBorders>
              <w:top w:val="nil"/>
              <w:bottom w:val="nil"/>
            </w:tcBorders>
          </w:tcPr>
          <w:p w14:paraId="1BE0A39D" w14:textId="737FF797" w:rsidR="00B47BA1" w:rsidRPr="00A15B91" w:rsidRDefault="006B6775" w:rsidP="00EF0144">
            <w:pPr>
              <w:jc w:val="center"/>
              <w:rPr>
                <w:rFonts w:ascii="Arial" w:hAnsi="Arial" w:cs="Arial"/>
                <w:sz w:val="20"/>
                <w:szCs w:val="20"/>
              </w:rPr>
            </w:pPr>
            <w:r w:rsidRPr="00A15B91">
              <w:rPr>
                <w:rFonts w:ascii="Arial" w:hAnsi="Arial" w:cs="Arial"/>
                <w:sz w:val="20"/>
                <w:szCs w:val="20"/>
              </w:rPr>
              <w:t>49 (81.7)</w:t>
            </w:r>
          </w:p>
        </w:tc>
        <w:tc>
          <w:tcPr>
            <w:tcW w:w="2693" w:type="dxa"/>
            <w:tcBorders>
              <w:top w:val="nil"/>
              <w:bottom w:val="nil"/>
            </w:tcBorders>
          </w:tcPr>
          <w:p w14:paraId="13F17B1B" w14:textId="6292D551" w:rsidR="00B47BA1" w:rsidRPr="00A15B91" w:rsidRDefault="006B6775" w:rsidP="00EF0144">
            <w:pPr>
              <w:jc w:val="center"/>
              <w:rPr>
                <w:rFonts w:ascii="Arial" w:hAnsi="Arial" w:cs="Arial"/>
                <w:sz w:val="20"/>
                <w:szCs w:val="20"/>
              </w:rPr>
            </w:pPr>
            <w:r w:rsidRPr="00A15B91">
              <w:rPr>
                <w:rFonts w:ascii="Arial" w:hAnsi="Arial" w:cs="Arial"/>
                <w:sz w:val="20"/>
                <w:szCs w:val="20"/>
              </w:rPr>
              <w:t>11 (18.3)</w:t>
            </w:r>
          </w:p>
        </w:tc>
      </w:tr>
      <w:tr w:rsidR="00B47BA1" w:rsidRPr="00A15B91" w14:paraId="3210A1CF" w14:textId="77777777" w:rsidTr="006B37EE">
        <w:tc>
          <w:tcPr>
            <w:tcW w:w="1413" w:type="dxa"/>
            <w:tcBorders>
              <w:top w:val="nil"/>
            </w:tcBorders>
          </w:tcPr>
          <w:p w14:paraId="222655BC" w14:textId="628C8318" w:rsidR="00B47BA1" w:rsidRPr="00A15B91" w:rsidRDefault="00EF0144" w:rsidP="00840D89">
            <w:pPr>
              <w:jc w:val="both"/>
              <w:rPr>
                <w:rFonts w:ascii="Arial" w:hAnsi="Arial" w:cs="Arial"/>
                <w:i/>
                <w:iCs/>
                <w:sz w:val="20"/>
                <w:szCs w:val="20"/>
              </w:rPr>
            </w:pPr>
            <w:r w:rsidRPr="00A15B91">
              <w:rPr>
                <w:rFonts w:ascii="Arial" w:hAnsi="Arial" w:cs="Arial"/>
                <w:i/>
                <w:iCs/>
                <w:sz w:val="20"/>
                <w:szCs w:val="20"/>
              </w:rPr>
              <w:t>Callinectes</w:t>
            </w:r>
          </w:p>
        </w:tc>
        <w:tc>
          <w:tcPr>
            <w:tcW w:w="2268" w:type="dxa"/>
            <w:tcBorders>
              <w:top w:val="nil"/>
            </w:tcBorders>
          </w:tcPr>
          <w:p w14:paraId="33B3E51D" w14:textId="68E578F8" w:rsidR="00B47BA1" w:rsidRPr="00A15B91" w:rsidRDefault="009C4D69" w:rsidP="00EF0144">
            <w:pPr>
              <w:jc w:val="center"/>
              <w:rPr>
                <w:rFonts w:ascii="Arial" w:hAnsi="Arial" w:cs="Arial"/>
                <w:sz w:val="20"/>
                <w:szCs w:val="20"/>
              </w:rPr>
            </w:pPr>
            <w:r w:rsidRPr="00A15B91">
              <w:rPr>
                <w:rFonts w:ascii="Arial" w:hAnsi="Arial" w:cs="Arial"/>
                <w:sz w:val="20"/>
                <w:szCs w:val="20"/>
              </w:rPr>
              <w:t>60</w:t>
            </w:r>
          </w:p>
        </w:tc>
        <w:tc>
          <w:tcPr>
            <w:tcW w:w="2835" w:type="dxa"/>
            <w:tcBorders>
              <w:top w:val="nil"/>
            </w:tcBorders>
          </w:tcPr>
          <w:p w14:paraId="17695EE2" w14:textId="06EA4C19" w:rsidR="00B47BA1" w:rsidRPr="00A15B91" w:rsidRDefault="006B6775" w:rsidP="00EF0144">
            <w:pPr>
              <w:jc w:val="center"/>
              <w:rPr>
                <w:rFonts w:ascii="Arial" w:hAnsi="Arial" w:cs="Arial"/>
                <w:sz w:val="20"/>
                <w:szCs w:val="20"/>
              </w:rPr>
            </w:pPr>
            <w:r w:rsidRPr="00A15B91">
              <w:rPr>
                <w:rFonts w:ascii="Arial" w:hAnsi="Arial" w:cs="Arial"/>
                <w:sz w:val="20"/>
                <w:szCs w:val="20"/>
              </w:rPr>
              <w:t>50 (83.3)</w:t>
            </w:r>
          </w:p>
        </w:tc>
        <w:tc>
          <w:tcPr>
            <w:tcW w:w="2693" w:type="dxa"/>
            <w:tcBorders>
              <w:top w:val="nil"/>
            </w:tcBorders>
          </w:tcPr>
          <w:p w14:paraId="4069B34F" w14:textId="41073D73" w:rsidR="00B47BA1" w:rsidRPr="00A15B91" w:rsidRDefault="006B6775" w:rsidP="00EF0144">
            <w:pPr>
              <w:jc w:val="center"/>
              <w:rPr>
                <w:rFonts w:ascii="Arial" w:hAnsi="Arial" w:cs="Arial"/>
                <w:sz w:val="20"/>
                <w:szCs w:val="20"/>
              </w:rPr>
            </w:pPr>
            <w:r w:rsidRPr="00A15B91">
              <w:rPr>
                <w:rFonts w:ascii="Arial" w:hAnsi="Arial" w:cs="Arial"/>
                <w:sz w:val="20"/>
                <w:szCs w:val="20"/>
              </w:rPr>
              <w:t>10 (16.7)</w:t>
            </w:r>
          </w:p>
        </w:tc>
      </w:tr>
      <w:tr w:rsidR="00B47BA1" w:rsidRPr="00A15B91" w14:paraId="43936CE5" w14:textId="77777777" w:rsidTr="006B37EE">
        <w:tc>
          <w:tcPr>
            <w:tcW w:w="1413" w:type="dxa"/>
          </w:tcPr>
          <w:p w14:paraId="431C604F" w14:textId="6DF1CF7C" w:rsidR="00B47BA1" w:rsidRPr="00A15B91" w:rsidRDefault="00420911" w:rsidP="00840D89">
            <w:pPr>
              <w:jc w:val="both"/>
              <w:rPr>
                <w:rFonts w:ascii="Arial" w:hAnsi="Arial" w:cs="Arial"/>
                <w:b/>
                <w:bCs/>
                <w:sz w:val="20"/>
                <w:szCs w:val="20"/>
              </w:rPr>
            </w:pPr>
            <w:r w:rsidRPr="00A15B91">
              <w:rPr>
                <w:rFonts w:ascii="Arial" w:hAnsi="Arial" w:cs="Arial"/>
                <w:b/>
                <w:bCs/>
                <w:sz w:val="20"/>
                <w:szCs w:val="20"/>
              </w:rPr>
              <w:t>Total</w:t>
            </w:r>
          </w:p>
        </w:tc>
        <w:tc>
          <w:tcPr>
            <w:tcW w:w="2268" w:type="dxa"/>
          </w:tcPr>
          <w:p w14:paraId="32A795EF" w14:textId="14C26089" w:rsidR="00B47BA1" w:rsidRPr="00A15B91" w:rsidRDefault="009C4D69" w:rsidP="00EF0144">
            <w:pPr>
              <w:jc w:val="center"/>
              <w:rPr>
                <w:rFonts w:ascii="Arial" w:hAnsi="Arial" w:cs="Arial"/>
                <w:b/>
                <w:bCs/>
                <w:sz w:val="20"/>
                <w:szCs w:val="20"/>
              </w:rPr>
            </w:pPr>
            <w:r w:rsidRPr="00A15B91">
              <w:rPr>
                <w:rFonts w:ascii="Arial" w:hAnsi="Arial" w:cs="Arial"/>
                <w:b/>
                <w:bCs/>
                <w:sz w:val="20"/>
                <w:szCs w:val="20"/>
              </w:rPr>
              <w:t>180</w:t>
            </w:r>
          </w:p>
        </w:tc>
        <w:tc>
          <w:tcPr>
            <w:tcW w:w="2835" w:type="dxa"/>
          </w:tcPr>
          <w:p w14:paraId="622FC67E" w14:textId="24C63A96" w:rsidR="00B47BA1" w:rsidRPr="00A15B91" w:rsidRDefault="006B6775" w:rsidP="00EF0144">
            <w:pPr>
              <w:jc w:val="center"/>
              <w:rPr>
                <w:rFonts w:ascii="Arial" w:hAnsi="Arial" w:cs="Arial"/>
                <w:b/>
                <w:bCs/>
                <w:sz w:val="20"/>
                <w:szCs w:val="20"/>
              </w:rPr>
            </w:pPr>
            <w:r w:rsidRPr="00A15B91">
              <w:rPr>
                <w:rFonts w:ascii="Arial" w:hAnsi="Arial" w:cs="Arial"/>
                <w:b/>
                <w:bCs/>
                <w:sz w:val="20"/>
                <w:szCs w:val="20"/>
              </w:rPr>
              <w:t>144 (80.0)</w:t>
            </w:r>
          </w:p>
        </w:tc>
        <w:tc>
          <w:tcPr>
            <w:tcW w:w="2693" w:type="dxa"/>
          </w:tcPr>
          <w:p w14:paraId="5DDEB35A" w14:textId="3BB50DEB" w:rsidR="00B47BA1" w:rsidRPr="00A15B91" w:rsidRDefault="006B6775" w:rsidP="00EF0144">
            <w:pPr>
              <w:jc w:val="center"/>
              <w:rPr>
                <w:rFonts w:ascii="Arial" w:hAnsi="Arial" w:cs="Arial"/>
                <w:b/>
                <w:bCs/>
                <w:sz w:val="20"/>
                <w:szCs w:val="20"/>
              </w:rPr>
            </w:pPr>
            <w:r w:rsidRPr="00A15B91">
              <w:rPr>
                <w:rFonts w:ascii="Arial" w:hAnsi="Arial" w:cs="Arial"/>
                <w:b/>
                <w:bCs/>
                <w:sz w:val="20"/>
                <w:szCs w:val="20"/>
              </w:rPr>
              <w:t>36 (20.0)</w:t>
            </w:r>
          </w:p>
        </w:tc>
      </w:tr>
    </w:tbl>
    <w:p w14:paraId="2988A63C" w14:textId="578CAC48" w:rsidR="00CE4D51" w:rsidRPr="00A15B91" w:rsidRDefault="00710C35" w:rsidP="00886B09">
      <w:pPr>
        <w:spacing w:before="240"/>
        <w:jc w:val="both"/>
        <w:rPr>
          <w:rFonts w:ascii="Arial" w:hAnsi="Arial" w:cs="Arial"/>
          <w:b/>
          <w:bCs/>
          <w:sz w:val="20"/>
          <w:szCs w:val="20"/>
        </w:rPr>
      </w:pPr>
      <w:r w:rsidRPr="00A15B91">
        <w:rPr>
          <w:rFonts w:ascii="Arial" w:hAnsi="Arial" w:cs="Arial"/>
          <w:b/>
          <w:bCs/>
          <w:sz w:val="20"/>
          <w:szCs w:val="20"/>
        </w:rPr>
        <w:t xml:space="preserve">Table 2: </w:t>
      </w:r>
      <w:r w:rsidR="00CE4D51" w:rsidRPr="00A15B91">
        <w:rPr>
          <w:rFonts w:ascii="Arial" w:hAnsi="Arial" w:cs="Arial"/>
          <w:b/>
          <w:bCs/>
          <w:sz w:val="20"/>
          <w:szCs w:val="20"/>
        </w:rPr>
        <w:t xml:space="preserve">Taxonomic Group and </w:t>
      </w:r>
      <w:r w:rsidRPr="00A15B91">
        <w:rPr>
          <w:rFonts w:ascii="Arial" w:hAnsi="Arial" w:cs="Arial"/>
          <w:b/>
          <w:bCs/>
          <w:sz w:val="20"/>
          <w:szCs w:val="20"/>
        </w:rPr>
        <w:t>Distribution</w:t>
      </w:r>
      <w:r w:rsidR="00CE4D51" w:rsidRPr="00A15B91">
        <w:rPr>
          <w:rFonts w:ascii="Arial" w:hAnsi="Arial" w:cs="Arial"/>
          <w:b/>
          <w:bCs/>
          <w:sz w:val="20"/>
          <w:szCs w:val="20"/>
        </w:rPr>
        <w:t xml:space="preserve"> of Parasites in the Study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4"/>
        <w:gridCol w:w="2254"/>
        <w:gridCol w:w="2433"/>
        <w:gridCol w:w="2075"/>
      </w:tblGrid>
      <w:tr w:rsidR="00420911" w:rsidRPr="00A15B91" w14:paraId="713EB784" w14:textId="77777777" w:rsidTr="00BD46A6">
        <w:tc>
          <w:tcPr>
            <w:tcW w:w="2254" w:type="dxa"/>
          </w:tcPr>
          <w:p w14:paraId="1CDA8C70" w14:textId="088C1C4C" w:rsidR="00420911" w:rsidRPr="00A15B91" w:rsidRDefault="00420911" w:rsidP="00840D89">
            <w:pPr>
              <w:jc w:val="both"/>
              <w:rPr>
                <w:rFonts w:ascii="Arial" w:hAnsi="Arial" w:cs="Arial"/>
                <w:b/>
                <w:bCs/>
                <w:sz w:val="20"/>
                <w:szCs w:val="20"/>
              </w:rPr>
            </w:pPr>
            <w:r w:rsidRPr="00A15B91">
              <w:rPr>
                <w:rFonts w:ascii="Arial" w:hAnsi="Arial" w:cs="Arial"/>
                <w:b/>
                <w:bCs/>
                <w:sz w:val="20"/>
                <w:szCs w:val="20"/>
              </w:rPr>
              <w:t>Parasite Species</w:t>
            </w:r>
          </w:p>
        </w:tc>
        <w:tc>
          <w:tcPr>
            <w:tcW w:w="2254" w:type="dxa"/>
          </w:tcPr>
          <w:p w14:paraId="074A6B0D" w14:textId="3EDE1444" w:rsidR="00420911" w:rsidRPr="00A15B91" w:rsidRDefault="00420911" w:rsidP="000E70BC">
            <w:pPr>
              <w:jc w:val="center"/>
              <w:rPr>
                <w:rFonts w:ascii="Arial" w:hAnsi="Arial" w:cs="Arial"/>
                <w:b/>
                <w:bCs/>
                <w:sz w:val="20"/>
                <w:szCs w:val="20"/>
              </w:rPr>
            </w:pPr>
            <w:r w:rsidRPr="00A15B91">
              <w:rPr>
                <w:rFonts w:ascii="Arial" w:hAnsi="Arial" w:cs="Arial"/>
                <w:b/>
                <w:bCs/>
                <w:sz w:val="20"/>
                <w:szCs w:val="20"/>
              </w:rPr>
              <w:t>Taxonomic Group</w:t>
            </w:r>
          </w:p>
        </w:tc>
        <w:tc>
          <w:tcPr>
            <w:tcW w:w="2433" w:type="dxa"/>
          </w:tcPr>
          <w:p w14:paraId="4CF97457" w14:textId="419B6828" w:rsidR="00420911" w:rsidRPr="00A15B91" w:rsidRDefault="000E70BC" w:rsidP="000E70BC">
            <w:pPr>
              <w:jc w:val="center"/>
              <w:rPr>
                <w:rFonts w:ascii="Arial" w:hAnsi="Arial" w:cs="Arial"/>
                <w:b/>
                <w:bCs/>
                <w:sz w:val="20"/>
                <w:szCs w:val="20"/>
              </w:rPr>
            </w:pPr>
            <w:r w:rsidRPr="00A15B91">
              <w:rPr>
                <w:rFonts w:ascii="Arial" w:hAnsi="Arial" w:cs="Arial"/>
                <w:b/>
                <w:bCs/>
                <w:sz w:val="20"/>
                <w:szCs w:val="20"/>
              </w:rPr>
              <w:t>Location of Parasites</w:t>
            </w:r>
          </w:p>
        </w:tc>
        <w:tc>
          <w:tcPr>
            <w:tcW w:w="2075" w:type="dxa"/>
          </w:tcPr>
          <w:p w14:paraId="18F1044D" w14:textId="661B77FF" w:rsidR="00420911" w:rsidRPr="00A15B91" w:rsidRDefault="000E70BC" w:rsidP="000E70BC">
            <w:pPr>
              <w:jc w:val="center"/>
              <w:rPr>
                <w:rFonts w:ascii="Arial" w:hAnsi="Arial" w:cs="Arial"/>
                <w:b/>
                <w:bCs/>
                <w:sz w:val="20"/>
                <w:szCs w:val="20"/>
              </w:rPr>
            </w:pPr>
            <w:r w:rsidRPr="00A15B91">
              <w:rPr>
                <w:rFonts w:ascii="Arial" w:hAnsi="Arial" w:cs="Arial"/>
                <w:b/>
                <w:bCs/>
                <w:sz w:val="20"/>
                <w:szCs w:val="20"/>
              </w:rPr>
              <w:t>Frequency (%)</w:t>
            </w:r>
          </w:p>
        </w:tc>
      </w:tr>
      <w:tr w:rsidR="00420911" w:rsidRPr="00A15B91" w14:paraId="79882C17" w14:textId="77777777" w:rsidTr="00BD46A6">
        <w:tc>
          <w:tcPr>
            <w:tcW w:w="2254" w:type="dxa"/>
            <w:tcBorders>
              <w:bottom w:val="nil"/>
            </w:tcBorders>
          </w:tcPr>
          <w:p w14:paraId="0E132FFA" w14:textId="0CD7406D" w:rsidR="00420911" w:rsidRPr="00A15B91" w:rsidRDefault="00455080" w:rsidP="00840D89">
            <w:pPr>
              <w:jc w:val="both"/>
              <w:rPr>
                <w:rFonts w:ascii="Arial" w:hAnsi="Arial" w:cs="Arial"/>
                <w:i/>
                <w:iCs/>
                <w:sz w:val="20"/>
                <w:szCs w:val="20"/>
              </w:rPr>
            </w:pPr>
            <w:proofErr w:type="spellStart"/>
            <w:r w:rsidRPr="00A15B91">
              <w:rPr>
                <w:rFonts w:ascii="Arial" w:hAnsi="Arial" w:cs="Arial"/>
                <w:i/>
                <w:iCs/>
                <w:sz w:val="20"/>
                <w:szCs w:val="20"/>
              </w:rPr>
              <w:t>Hexamita</w:t>
            </w:r>
            <w:proofErr w:type="spellEnd"/>
          </w:p>
        </w:tc>
        <w:tc>
          <w:tcPr>
            <w:tcW w:w="2254" w:type="dxa"/>
            <w:tcBorders>
              <w:bottom w:val="nil"/>
            </w:tcBorders>
          </w:tcPr>
          <w:p w14:paraId="11244863" w14:textId="0F9ADE3B" w:rsidR="00420911" w:rsidRPr="00A15B91" w:rsidRDefault="005C1A72" w:rsidP="000E70BC">
            <w:pPr>
              <w:jc w:val="center"/>
              <w:rPr>
                <w:rFonts w:ascii="Arial" w:hAnsi="Arial" w:cs="Arial"/>
                <w:sz w:val="20"/>
                <w:szCs w:val="20"/>
              </w:rPr>
            </w:pPr>
            <w:r w:rsidRPr="00A15B91">
              <w:rPr>
                <w:rFonts w:ascii="Arial" w:hAnsi="Arial" w:cs="Arial"/>
                <w:sz w:val="20"/>
                <w:szCs w:val="20"/>
              </w:rPr>
              <w:t>Protozoa</w:t>
            </w:r>
          </w:p>
        </w:tc>
        <w:tc>
          <w:tcPr>
            <w:tcW w:w="2433" w:type="dxa"/>
            <w:tcBorders>
              <w:bottom w:val="nil"/>
            </w:tcBorders>
          </w:tcPr>
          <w:p w14:paraId="37F9CB24" w14:textId="23D1B508" w:rsidR="00420911" w:rsidRPr="00A15B91" w:rsidRDefault="005C1A72" w:rsidP="000E70BC">
            <w:pPr>
              <w:jc w:val="center"/>
              <w:rPr>
                <w:rFonts w:ascii="Arial" w:hAnsi="Arial" w:cs="Arial"/>
                <w:sz w:val="20"/>
                <w:szCs w:val="20"/>
              </w:rPr>
            </w:pPr>
            <w:r w:rsidRPr="00A15B91">
              <w:rPr>
                <w:rFonts w:ascii="Arial" w:hAnsi="Arial" w:cs="Arial"/>
                <w:sz w:val="20"/>
                <w:szCs w:val="20"/>
              </w:rPr>
              <w:t>GIT</w:t>
            </w:r>
          </w:p>
        </w:tc>
        <w:tc>
          <w:tcPr>
            <w:tcW w:w="2075" w:type="dxa"/>
            <w:tcBorders>
              <w:bottom w:val="nil"/>
            </w:tcBorders>
          </w:tcPr>
          <w:p w14:paraId="04F3015E" w14:textId="421AF0C1" w:rsidR="00420911" w:rsidRPr="00A15B91" w:rsidRDefault="005C1A72" w:rsidP="000E70BC">
            <w:pPr>
              <w:jc w:val="center"/>
              <w:rPr>
                <w:rFonts w:ascii="Arial" w:hAnsi="Arial" w:cs="Arial"/>
                <w:sz w:val="20"/>
                <w:szCs w:val="20"/>
              </w:rPr>
            </w:pPr>
            <w:r w:rsidRPr="00A15B91">
              <w:rPr>
                <w:rFonts w:ascii="Arial" w:hAnsi="Arial" w:cs="Arial"/>
                <w:sz w:val="20"/>
                <w:szCs w:val="20"/>
              </w:rPr>
              <w:t>10 (16.4)</w:t>
            </w:r>
          </w:p>
        </w:tc>
      </w:tr>
      <w:tr w:rsidR="00420911" w:rsidRPr="00A15B91" w14:paraId="54410564" w14:textId="77777777" w:rsidTr="00BD46A6">
        <w:tc>
          <w:tcPr>
            <w:tcW w:w="2254" w:type="dxa"/>
            <w:tcBorders>
              <w:top w:val="nil"/>
              <w:bottom w:val="nil"/>
            </w:tcBorders>
          </w:tcPr>
          <w:p w14:paraId="7810705A" w14:textId="3C5CA837" w:rsidR="00420911" w:rsidRPr="00A15B91" w:rsidRDefault="00455080" w:rsidP="00840D89">
            <w:pPr>
              <w:jc w:val="both"/>
              <w:rPr>
                <w:rFonts w:ascii="Arial" w:hAnsi="Arial" w:cs="Arial"/>
                <w:i/>
                <w:iCs/>
                <w:sz w:val="20"/>
                <w:szCs w:val="20"/>
              </w:rPr>
            </w:pPr>
            <w:proofErr w:type="spellStart"/>
            <w:r w:rsidRPr="00A15B91">
              <w:rPr>
                <w:rFonts w:ascii="Arial" w:hAnsi="Arial" w:cs="Arial"/>
                <w:i/>
                <w:iCs/>
                <w:sz w:val="20"/>
                <w:szCs w:val="20"/>
              </w:rPr>
              <w:t>Dactylogyrus</w:t>
            </w:r>
            <w:proofErr w:type="spellEnd"/>
          </w:p>
        </w:tc>
        <w:tc>
          <w:tcPr>
            <w:tcW w:w="2254" w:type="dxa"/>
            <w:tcBorders>
              <w:top w:val="nil"/>
              <w:bottom w:val="nil"/>
            </w:tcBorders>
          </w:tcPr>
          <w:p w14:paraId="29B33298" w14:textId="2EC81D38" w:rsidR="00420911" w:rsidRPr="00A15B91" w:rsidRDefault="005C1A72" w:rsidP="000E70BC">
            <w:pPr>
              <w:jc w:val="center"/>
              <w:rPr>
                <w:rFonts w:ascii="Arial" w:hAnsi="Arial" w:cs="Arial"/>
                <w:sz w:val="20"/>
                <w:szCs w:val="20"/>
              </w:rPr>
            </w:pPr>
            <w:r w:rsidRPr="00A15B91">
              <w:rPr>
                <w:rFonts w:ascii="Arial" w:hAnsi="Arial" w:cs="Arial"/>
                <w:sz w:val="20"/>
                <w:szCs w:val="20"/>
              </w:rPr>
              <w:t>Trematode</w:t>
            </w:r>
          </w:p>
        </w:tc>
        <w:tc>
          <w:tcPr>
            <w:tcW w:w="2433" w:type="dxa"/>
            <w:tcBorders>
              <w:top w:val="nil"/>
              <w:bottom w:val="nil"/>
            </w:tcBorders>
          </w:tcPr>
          <w:p w14:paraId="5AA8BB79" w14:textId="42A50545" w:rsidR="00420911" w:rsidRPr="00A15B91" w:rsidRDefault="005C1A72" w:rsidP="000E70BC">
            <w:pPr>
              <w:jc w:val="center"/>
              <w:rPr>
                <w:rFonts w:ascii="Arial" w:hAnsi="Arial" w:cs="Arial"/>
                <w:sz w:val="20"/>
                <w:szCs w:val="20"/>
              </w:rPr>
            </w:pPr>
            <w:r w:rsidRPr="00A15B91">
              <w:rPr>
                <w:rFonts w:ascii="Arial" w:hAnsi="Arial" w:cs="Arial"/>
                <w:sz w:val="20"/>
                <w:szCs w:val="20"/>
              </w:rPr>
              <w:t>Gill</w:t>
            </w:r>
          </w:p>
        </w:tc>
        <w:tc>
          <w:tcPr>
            <w:tcW w:w="2075" w:type="dxa"/>
            <w:tcBorders>
              <w:top w:val="nil"/>
              <w:bottom w:val="nil"/>
            </w:tcBorders>
          </w:tcPr>
          <w:p w14:paraId="162CEB06" w14:textId="27BBE05F" w:rsidR="00420911" w:rsidRPr="00A15B91" w:rsidRDefault="005C1A72" w:rsidP="000E70BC">
            <w:pPr>
              <w:jc w:val="center"/>
              <w:rPr>
                <w:rFonts w:ascii="Arial" w:hAnsi="Arial" w:cs="Arial"/>
                <w:sz w:val="20"/>
                <w:szCs w:val="20"/>
              </w:rPr>
            </w:pPr>
            <w:r w:rsidRPr="00A15B91">
              <w:rPr>
                <w:rFonts w:ascii="Arial" w:hAnsi="Arial" w:cs="Arial"/>
                <w:sz w:val="20"/>
                <w:szCs w:val="20"/>
              </w:rPr>
              <w:t>6 (9.8)</w:t>
            </w:r>
          </w:p>
        </w:tc>
      </w:tr>
      <w:tr w:rsidR="00420911" w:rsidRPr="00A15B91" w14:paraId="523BB65F" w14:textId="77777777" w:rsidTr="00BD46A6">
        <w:tc>
          <w:tcPr>
            <w:tcW w:w="2254" w:type="dxa"/>
            <w:tcBorders>
              <w:top w:val="nil"/>
              <w:bottom w:val="nil"/>
            </w:tcBorders>
          </w:tcPr>
          <w:p w14:paraId="5D78C0B7" w14:textId="2AACD541" w:rsidR="00420911" w:rsidRPr="00A15B91" w:rsidRDefault="005C1A72" w:rsidP="00840D89">
            <w:pPr>
              <w:jc w:val="both"/>
              <w:rPr>
                <w:rFonts w:ascii="Arial" w:hAnsi="Arial" w:cs="Arial"/>
                <w:i/>
                <w:iCs/>
                <w:sz w:val="20"/>
                <w:szCs w:val="20"/>
              </w:rPr>
            </w:pPr>
            <w:r w:rsidRPr="00A15B91">
              <w:rPr>
                <w:rFonts w:ascii="Arial" w:hAnsi="Arial" w:cs="Arial"/>
                <w:i/>
                <w:iCs/>
                <w:sz w:val="20"/>
                <w:szCs w:val="20"/>
              </w:rPr>
              <w:t>Diphy</w:t>
            </w:r>
            <w:r w:rsidR="00455080" w:rsidRPr="00A15B91">
              <w:rPr>
                <w:rFonts w:ascii="Arial" w:hAnsi="Arial" w:cs="Arial"/>
                <w:i/>
                <w:iCs/>
                <w:sz w:val="20"/>
                <w:szCs w:val="20"/>
              </w:rPr>
              <w:t>llobothrium</w:t>
            </w:r>
          </w:p>
        </w:tc>
        <w:tc>
          <w:tcPr>
            <w:tcW w:w="2254" w:type="dxa"/>
            <w:tcBorders>
              <w:top w:val="nil"/>
              <w:bottom w:val="nil"/>
            </w:tcBorders>
          </w:tcPr>
          <w:p w14:paraId="7C862230" w14:textId="14C5B2A2" w:rsidR="00420911" w:rsidRPr="00A15B91" w:rsidRDefault="005C1A72" w:rsidP="000E70BC">
            <w:pPr>
              <w:jc w:val="center"/>
              <w:rPr>
                <w:rFonts w:ascii="Arial" w:hAnsi="Arial" w:cs="Arial"/>
                <w:sz w:val="20"/>
                <w:szCs w:val="20"/>
              </w:rPr>
            </w:pPr>
            <w:r w:rsidRPr="00A15B91">
              <w:rPr>
                <w:rFonts w:ascii="Arial" w:hAnsi="Arial" w:cs="Arial"/>
                <w:sz w:val="20"/>
                <w:szCs w:val="20"/>
              </w:rPr>
              <w:t>Cestode</w:t>
            </w:r>
          </w:p>
        </w:tc>
        <w:tc>
          <w:tcPr>
            <w:tcW w:w="2433" w:type="dxa"/>
            <w:tcBorders>
              <w:top w:val="nil"/>
              <w:bottom w:val="nil"/>
            </w:tcBorders>
          </w:tcPr>
          <w:p w14:paraId="40DA995A" w14:textId="18E7E0C7" w:rsidR="00420911" w:rsidRPr="00A15B91" w:rsidRDefault="005C1A72" w:rsidP="000E70BC">
            <w:pPr>
              <w:jc w:val="center"/>
              <w:rPr>
                <w:rFonts w:ascii="Arial" w:hAnsi="Arial" w:cs="Arial"/>
                <w:sz w:val="20"/>
                <w:szCs w:val="20"/>
              </w:rPr>
            </w:pPr>
            <w:r w:rsidRPr="00A15B91">
              <w:rPr>
                <w:rFonts w:ascii="Arial" w:hAnsi="Arial" w:cs="Arial"/>
                <w:sz w:val="20"/>
                <w:szCs w:val="20"/>
              </w:rPr>
              <w:t>GIT</w:t>
            </w:r>
          </w:p>
        </w:tc>
        <w:tc>
          <w:tcPr>
            <w:tcW w:w="2075" w:type="dxa"/>
            <w:tcBorders>
              <w:top w:val="nil"/>
              <w:bottom w:val="nil"/>
            </w:tcBorders>
          </w:tcPr>
          <w:p w14:paraId="1D39ECBC" w14:textId="32E7B523" w:rsidR="00420911" w:rsidRPr="00A15B91" w:rsidRDefault="00BC2F53" w:rsidP="000E70BC">
            <w:pPr>
              <w:jc w:val="center"/>
              <w:rPr>
                <w:rFonts w:ascii="Arial" w:hAnsi="Arial" w:cs="Arial"/>
                <w:sz w:val="20"/>
                <w:szCs w:val="20"/>
              </w:rPr>
            </w:pPr>
            <w:r w:rsidRPr="00A15B91">
              <w:rPr>
                <w:rFonts w:ascii="Arial" w:hAnsi="Arial" w:cs="Arial"/>
                <w:sz w:val="20"/>
                <w:szCs w:val="20"/>
              </w:rPr>
              <w:t>2 (3.3)</w:t>
            </w:r>
          </w:p>
        </w:tc>
      </w:tr>
      <w:tr w:rsidR="00420911" w:rsidRPr="00A15B91" w14:paraId="51563AF7" w14:textId="77777777" w:rsidTr="00BD46A6">
        <w:tc>
          <w:tcPr>
            <w:tcW w:w="2254" w:type="dxa"/>
            <w:tcBorders>
              <w:top w:val="nil"/>
            </w:tcBorders>
          </w:tcPr>
          <w:p w14:paraId="57D03EB1" w14:textId="782D6B70" w:rsidR="00420911" w:rsidRPr="00A15B91" w:rsidRDefault="005C1A72" w:rsidP="00840D89">
            <w:pPr>
              <w:jc w:val="both"/>
              <w:rPr>
                <w:rFonts w:ascii="Arial" w:hAnsi="Arial" w:cs="Arial"/>
                <w:i/>
                <w:iCs/>
                <w:sz w:val="20"/>
                <w:szCs w:val="20"/>
              </w:rPr>
            </w:pPr>
            <w:proofErr w:type="spellStart"/>
            <w:r w:rsidRPr="00A15B91">
              <w:rPr>
                <w:rFonts w:ascii="Arial" w:hAnsi="Arial" w:cs="Arial"/>
                <w:i/>
                <w:iCs/>
                <w:sz w:val="20"/>
                <w:szCs w:val="20"/>
              </w:rPr>
              <w:t>Procamallanus</w:t>
            </w:r>
            <w:proofErr w:type="spellEnd"/>
          </w:p>
        </w:tc>
        <w:tc>
          <w:tcPr>
            <w:tcW w:w="2254" w:type="dxa"/>
            <w:tcBorders>
              <w:top w:val="nil"/>
            </w:tcBorders>
          </w:tcPr>
          <w:p w14:paraId="6B01E085" w14:textId="20052DFC" w:rsidR="00420911" w:rsidRPr="00A15B91" w:rsidRDefault="005C1A72" w:rsidP="000E70BC">
            <w:pPr>
              <w:jc w:val="center"/>
              <w:rPr>
                <w:rFonts w:ascii="Arial" w:hAnsi="Arial" w:cs="Arial"/>
                <w:sz w:val="20"/>
                <w:szCs w:val="20"/>
              </w:rPr>
            </w:pPr>
            <w:r w:rsidRPr="00A15B91">
              <w:rPr>
                <w:rFonts w:ascii="Arial" w:hAnsi="Arial" w:cs="Arial"/>
                <w:sz w:val="20"/>
                <w:szCs w:val="20"/>
              </w:rPr>
              <w:t>Nematode</w:t>
            </w:r>
          </w:p>
        </w:tc>
        <w:tc>
          <w:tcPr>
            <w:tcW w:w="2433" w:type="dxa"/>
            <w:tcBorders>
              <w:top w:val="nil"/>
            </w:tcBorders>
          </w:tcPr>
          <w:p w14:paraId="420F2E73" w14:textId="22E2782D" w:rsidR="00420911" w:rsidRPr="00A15B91" w:rsidRDefault="005C1A72" w:rsidP="000E70BC">
            <w:pPr>
              <w:jc w:val="center"/>
              <w:rPr>
                <w:rFonts w:ascii="Arial" w:hAnsi="Arial" w:cs="Arial"/>
                <w:sz w:val="20"/>
                <w:szCs w:val="20"/>
              </w:rPr>
            </w:pPr>
            <w:r w:rsidRPr="00A15B91">
              <w:rPr>
                <w:rFonts w:ascii="Arial" w:hAnsi="Arial" w:cs="Arial"/>
                <w:sz w:val="20"/>
                <w:szCs w:val="20"/>
              </w:rPr>
              <w:t>GIT</w:t>
            </w:r>
          </w:p>
        </w:tc>
        <w:tc>
          <w:tcPr>
            <w:tcW w:w="2075" w:type="dxa"/>
            <w:tcBorders>
              <w:top w:val="nil"/>
            </w:tcBorders>
          </w:tcPr>
          <w:p w14:paraId="5B75CD6A" w14:textId="73D14810" w:rsidR="00420911" w:rsidRPr="00A15B91" w:rsidRDefault="00BC2F53" w:rsidP="000E70BC">
            <w:pPr>
              <w:jc w:val="center"/>
              <w:rPr>
                <w:rFonts w:ascii="Arial" w:hAnsi="Arial" w:cs="Arial"/>
                <w:sz w:val="20"/>
                <w:szCs w:val="20"/>
              </w:rPr>
            </w:pPr>
            <w:r w:rsidRPr="00A15B91">
              <w:rPr>
                <w:rFonts w:ascii="Arial" w:hAnsi="Arial" w:cs="Arial"/>
                <w:sz w:val="20"/>
                <w:szCs w:val="20"/>
              </w:rPr>
              <w:t>43 (70.5)</w:t>
            </w:r>
          </w:p>
        </w:tc>
      </w:tr>
      <w:tr w:rsidR="00420911" w:rsidRPr="00A15B91" w14:paraId="0ACC4E63" w14:textId="77777777" w:rsidTr="00BD46A6">
        <w:tc>
          <w:tcPr>
            <w:tcW w:w="2254" w:type="dxa"/>
          </w:tcPr>
          <w:p w14:paraId="7420FF4D" w14:textId="139605D7" w:rsidR="00420911" w:rsidRPr="00A15B91" w:rsidRDefault="00BC2F53" w:rsidP="00840D89">
            <w:pPr>
              <w:jc w:val="both"/>
              <w:rPr>
                <w:rFonts w:ascii="Arial" w:hAnsi="Arial" w:cs="Arial"/>
                <w:b/>
                <w:bCs/>
                <w:sz w:val="20"/>
                <w:szCs w:val="20"/>
              </w:rPr>
            </w:pPr>
            <w:r w:rsidRPr="00A15B91">
              <w:rPr>
                <w:rFonts w:ascii="Arial" w:hAnsi="Arial" w:cs="Arial"/>
                <w:b/>
                <w:bCs/>
                <w:sz w:val="20"/>
                <w:szCs w:val="20"/>
              </w:rPr>
              <w:t>Total</w:t>
            </w:r>
          </w:p>
        </w:tc>
        <w:tc>
          <w:tcPr>
            <w:tcW w:w="2254" w:type="dxa"/>
          </w:tcPr>
          <w:p w14:paraId="30EF2A8E" w14:textId="77777777" w:rsidR="00420911" w:rsidRPr="00A15B91" w:rsidRDefault="00420911" w:rsidP="000E70BC">
            <w:pPr>
              <w:jc w:val="center"/>
              <w:rPr>
                <w:rFonts w:ascii="Arial" w:hAnsi="Arial" w:cs="Arial"/>
                <w:sz w:val="20"/>
                <w:szCs w:val="20"/>
              </w:rPr>
            </w:pPr>
          </w:p>
        </w:tc>
        <w:tc>
          <w:tcPr>
            <w:tcW w:w="2433" w:type="dxa"/>
          </w:tcPr>
          <w:p w14:paraId="62404D8B" w14:textId="77777777" w:rsidR="00420911" w:rsidRPr="00A15B91" w:rsidRDefault="00420911" w:rsidP="000E70BC">
            <w:pPr>
              <w:jc w:val="center"/>
              <w:rPr>
                <w:rFonts w:ascii="Arial" w:hAnsi="Arial" w:cs="Arial"/>
                <w:sz w:val="20"/>
                <w:szCs w:val="20"/>
              </w:rPr>
            </w:pPr>
          </w:p>
        </w:tc>
        <w:tc>
          <w:tcPr>
            <w:tcW w:w="2075" w:type="dxa"/>
          </w:tcPr>
          <w:p w14:paraId="57EBC408" w14:textId="1CB75D77" w:rsidR="00420911" w:rsidRPr="00A15B91" w:rsidRDefault="00BC2F53" w:rsidP="000E70BC">
            <w:pPr>
              <w:jc w:val="center"/>
              <w:rPr>
                <w:rFonts w:ascii="Arial" w:hAnsi="Arial" w:cs="Arial"/>
                <w:sz w:val="20"/>
                <w:szCs w:val="20"/>
              </w:rPr>
            </w:pPr>
            <w:r w:rsidRPr="00A15B91">
              <w:rPr>
                <w:rFonts w:ascii="Arial" w:hAnsi="Arial" w:cs="Arial"/>
                <w:sz w:val="20"/>
                <w:szCs w:val="20"/>
              </w:rPr>
              <w:t>61 (100.0)</w:t>
            </w:r>
          </w:p>
        </w:tc>
      </w:tr>
    </w:tbl>
    <w:p w14:paraId="4F6A41A7" w14:textId="243893BE" w:rsidR="00C759B5" w:rsidRPr="00A15B91" w:rsidRDefault="00710C35" w:rsidP="00840D89">
      <w:pPr>
        <w:jc w:val="both"/>
        <w:rPr>
          <w:rFonts w:ascii="Arial" w:hAnsi="Arial" w:cs="Arial"/>
          <w:sz w:val="20"/>
          <w:szCs w:val="20"/>
        </w:rPr>
      </w:pPr>
      <w:r w:rsidRPr="00A15B91">
        <w:rPr>
          <w:rFonts w:ascii="Arial" w:hAnsi="Arial" w:cs="Arial"/>
          <w:sz w:val="20"/>
          <w:szCs w:val="20"/>
        </w:rPr>
        <w:t xml:space="preserve"> </w:t>
      </w:r>
    </w:p>
    <w:p w14:paraId="7D62A942" w14:textId="5C6E18A7" w:rsidR="00886B09" w:rsidRDefault="00886B09" w:rsidP="00840D89">
      <w:pPr>
        <w:jc w:val="both"/>
        <w:rPr>
          <w:rFonts w:ascii="Arial" w:hAnsi="Arial" w:cs="Arial"/>
          <w:b/>
          <w:bCs/>
          <w:sz w:val="20"/>
          <w:szCs w:val="20"/>
        </w:rPr>
      </w:pPr>
    </w:p>
    <w:p w14:paraId="06B4A2DA" w14:textId="5AD8330D" w:rsidR="00317467" w:rsidRDefault="00317467" w:rsidP="00840D89">
      <w:pPr>
        <w:jc w:val="both"/>
        <w:rPr>
          <w:rFonts w:ascii="Arial" w:hAnsi="Arial" w:cs="Arial"/>
          <w:b/>
          <w:bCs/>
          <w:sz w:val="20"/>
          <w:szCs w:val="20"/>
        </w:rPr>
      </w:pPr>
    </w:p>
    <w:p w14:paraId="332B59DB" w14:textId="21230220" w:rsidR="00317467" w:rsidRDefault="00317467" w:rsidP="00840D89">
      <w:pPr>
        <w:jc w:val="both"/>
        <w:rPr>
          <w:rFonts w:ascii="Arial" w:hAnsi="Arial" w:cs="Arial"/>
          <w:b/>
          <w:bCs/>
          <w:sz w:val="20"/>
          <w:szCs w:val="20"/>
        </w:rPr>
      </w:pPr>
    </w:p>
    <w:p w14:paraId="571537C0" w14:textId="77777777" w:rsidR="00317467" w:rsidRDefault="00317467" w:rsidP="00840D89">
      <w:pPr>
        <w:jc w:val="both"/>
        <w:rPr>
          <w:rFonts w:ascii="Arial" w:hAnsi="Arial" w:cs="Arial"/>
          <w:b/>
          <w:bCs/>
          <w:sz w:val="20"/>
          <w:szCs w:val="20"/>
        </w:rPr>
      </w:pPr>
    </w:p>
    <w:p w14:paraId="25635C45" w14:textId="4F7CAF6C" w:rsidR="00DE0A48" w:rsidRPr="00886B09" w:rsidRDefault="00DE0A48" w:rsidP="00840D89">
      <w:pPr>
        <w:jc w:val="both"/>
        <w:rPr>
          <w:rFonts w:ascii="Arial" w:hAnsi="Arial" w:cs="Arial"/>
          <w:b/>
          <w:bCs/>
          <w:sz w:val="20"/>
          <w:szCs w:val="20"/>
        </w:rPr>
      </w:pPr>
      <w:r w:rsidRPr="00886B09">
        <w:rPr>
          <w:rFonts w:ascii="Arial" w:hAnsi="Arial" w:cs="Arial"/>
          <w:b/>
          <w:bCs/>
          <w:sz w:val="20"/>
          <w:szCs w:val="20"/>
        </w:rPr>
        <w:t xml:space="preserve">Table 3: Proximate Analysis of Sampled </w:t>
      </w:r>
      <w:r w:rsidR="009936A2" w:rsidRPr="00886B09">
        <w:rPr>
          <w:rFonts w:ascii="Arial" w:hAnsi="Arial" w:cs="Arial"/>
          <w:b/>
          <w:bCs/>
          <w:sz w:val="20"/>
          <w:szCs w:val="20"/>
        </w:rPr>
        <w:t xml:space="preserve">Aquatic </w:t>
      </w:r>
      <w:r w:rsidRPr="00886B09">
        <w:rPr>
          <w:rFonts w:ascii="Arial" w:hAnsi="Arial" w:cs="Arial"/>
          <w:b/>
          <w:bCs/>
          <w:sz w:val="20"/>
          <w:szCs w:val="20"/>
        </w:rPr>
        <w:t>Organisms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4"/>
        <w:gridCol w:w="2254"/>
        <w:gridCol w:w="2254"/>
        <w:gridCol w:w="2254"/>
      </w:tblGrid>
      <w:tr w:rsidR="009936A2" w:rsidRPr="00A15B91" w14:paraId="2D87786F" w14:textId="77777777" w:rsidTr="00FE205A">
        <w:tc>
          <w:tcPr>
            <w:tcW w:w="2254" w:type="dxa"/>
          </w:tcPr>
          <w:p w14:paraId="19EC90C9" w14:textId="25181D7E" w:rsidR="009936A2" w:rsidRPr="00A15B91" w:rsidRDefault="004E1374" w:rsidP="00840D89">
            <w:pPr>
              <w:jc w:val="both"/>
              <w:rPr>
                <w:rFonts w:ascii="Arial" w:hAnsi="Arial" w:cs="Arial"/>
                <w:b/>
                <w:bCs/>
                <w:sz w:val="20"/>
                <w:szCs w:val="20"/>
              </w:rPr>
            </w:pPr>
            <w:r w:rsidRPr="00A15B91">
              <w:rPr>
                <w:rFonts w:ascii="Arial" w:hAnsi="Arial" w:cs="Arial"/>
                <w:b/>
                <w:bCs/>
                <w:sz w:val="20"/>
                <w:szCs w:val="20"/>
              </w:rPr>
              <w:t>Parameters (%)</w:t>
            </w:r>
          </w:p>
        </w:tc>
        <w:tc>
          <w:tcPr>
            <w:tcW w:w="2254" w:type="dxa"/>
          </w:tcPr>
          <w:p w14:paraId="237B3168" w14:textId="0B2CE219" w:rsidR="009936A2" w:rsidRPr="00A15B91" w:rsidRDefault="004E1374" w:rsidP="004E1374">
            <w:pPr>
              <w:jc w:val="center"/>
              <w:rPr>
                <w:rFonts w:ascii="Arial" w:hAnsi="Arial" w:cs="Arial"/>
                <w:b/>
                <w:bCs/>
                <w:i/>
                <w:iCs/>
                <w:sz w:val="20"/>
                <w:szCs w:val="20"/>
              </w:rPr>
            </w:pPr>
            <w:r w:rsidRPr="00A15B91">
              <w:rPr>
                <w:rFonts w:ascii="Arial" w:hAnsi="Arial" w:cs="Arial"/>
                <w:b/>
                <w:bCs/>
                <w:i/>
                <w:iCs/>
                <w:sz w:val="20"/>
                <w:szCs w:val="20"/>
              </w:rPr>
              <w:t>Lutjanus</w:t>
            </w:r>
          </w:p>
        </w:tc>
        <w:tc>
          <w:tcPr>
            <w:tcW w:w="2254" w:type="dxa"/>
          </w:tcPr>
          <w:p w14:paraId="48233A13" w14:textId="5501E5F7" w:rsidR="009936A2" w:rsidRPr="00A15B91" w:rsidRDefault="004E1374" w:rsidP="004E1374">
            <w:pPr>
              <w:jc w:val="center"/>
              <w:rPr>
                <w:rFonts w:ascii="Arial" w:hAnsi="Arial" w:cs="Arial"/>
                <w:b/>
                <w:bCs/>
                <w:i/>
                <w:iCs/>
                <w:sz w:val="20"/>
                <w:szCs w:val="20"/>
              </w:rPr>
            </w:pPr>
            <w:r w:rsidRPr="00A15B91">
              <w:rPr>
                <w:rFonts w:ascii="Arial" w:hAnsi="Arial" w:cs="Arial"/>
                <w:b/>
                <w:bCs/>
                <w:i/>
                <w:iCs/>
                <w:sz w:val="20"/>
                <w:szCs w:val="20"/>
              </w:rPr>
              <w:t>Mugil</w:t>
            </w:r>
          </w:p>
        </w:tc>
        <w:tc>
          <w:tcPr>
            <w:tcW w:w="2254" w:type="dxa"/>
          </w:tcPr>
          <w:p w14:paraId="0A77B5D6" w14:textId="64D27E12" w:rsidR="009936A2" w:rsidRPr="00A15B91" w:rsidRDefault="004E1374" w:rsidP="004E1374">
            <w:pPr>
              <w:jc w:val="center"/>
              <w:rPr>
                <w:rFonts w:ascii="Arial" w:hAnsi="Arial" w:cs="Arial"/>
                <w:b/>
                <w:bCs/>
                <w:i/>
                <w:iCs/>
                <w:sz w:val="20"/>
                <w:szCs w:val="20"/>
              </w:rPr>
            </w:pPr>
            <w:r w:rsidRPr="00A15B91">
              <w:rPr>
                <w:rFonts w:ascii="Arial" w:hAnsi="Arial" w:cs="Arial"/>
                <w:b/>
                <w:bCs/>
                <w:i/>
                <w:iCs/>
                <w:sz w:val="20"/>
                <w:szCs w:val="20"/>
              </w:rPr>
              <w:t>Callinectes</w:t>
            </w:r>
          </w:p>
        </w:tc>
      </w:tr>
      <w:tr w:rsidR="009936A2" w:rsidRPr="00A15B91" w14:paraId="72F44023" w14:textId="77777777" w:rsidTr="00FE205A">
        <w:tc>
          <w:tcPr>
            <w:tcW w:w="2254" w:type="dxa"/>
            <w:tcBorders>
              <w:bottom w:val="nil"/>
            </w:tcBorders>
          </w:tcPr>
          <w:p w14:paraId="4123FBD0" w14:textId="68A24A68" w:rsidR="009936A2" w:rsidRPr="00A15B91" w:rsidRDefault="004E1374" w:rsidP="00840D89">
            <w:pPr>
              <w:jc w:val="both"/>
              <w:rPr>
                <w:rFonts w:ascii="Arial" w:hAnsi="Arial" w:cs="Arial"/>
                <w:sz w:val="20"/>
                <w:szCs w:val="20"/>
              </w:rPr>
            </w:pPr>
            <w:r w:rsidRPr="00A15B91">
              <w:rPr>
                <w:rFonts w:ascii="Arial" w:hAnsi="Arial" w:cs="Arial"/>
                <w:sz w:val="20"/>
                <w:szCs w:val="20"/>
              </w:rPr>
              <w:t>Moisture Content</w:t>
            </w:r>
          </w:p>
        </w:tc>
        <w:tc>
          <w:tcPr>
            <w:tcW w:w="2254" w:type="dxa"/>
            <w:tcBorders>
              <w:bottom w:val="nil"/>
            </w:tcBorders>
          </w:tcPr>
          <w:p w14:paraId="1C802AF7" w14:textId="3E3A49D1" w:rsidR="009936A2" w:rsidRPr="00A15B91" w:rsidRDefault="00FE205A" w:rsidP="004E1374">
            <w:pPr>
              <w:jc w:val="center"/>
              <w:rPr>
                <w:rFonts w:ascii="Arial" w:hAnsi="Arial" w:cs="Arial"/>
                <w:sz w:val="20"/>
                <w:szCs w:val="20"/>
              </w:rPr>
            </w:pPr>
            <w:r w:rsidRPr="00A15B91">
              <w:rPr>
                <w:rFonts w:ascii="Arial" w:hAnsi="Arial" w:cs="Arial"/>
                <w:sz w:val="20"/>
                <w:szCs w:val="20"/>
              </w:rPr>
              <w:t>63.97</w:t>
            </w:r>
          </w:p>
        </w:tc>
        <w:tc>
          <w:tcPr>
            <w:tcW w:w="2254" w:type="dxa"/>
            <w:tcBorders>
              <w:bottom w:val="nil"/>
            </w:tcBorders>
          </w:tcPr>
          <w:p w14:paraId="7BFCF562" w14:textId="059E6D1D" w:rsidR="009936A2" w:rsidRPr="00A15B91" w:rsidRDefault="00FE205A" w:rsidP="004E1374">
            <w:pPr>
              <w:jc w:val="center"/>
              <w:rPr>
                <w:rFonts w:ascii="Arial" w:hAnsi="Arial" w:cs="Arial"/>
                <w:sz w:val="20"/>
                <w:szCs w:val="20"/>
              </w:rPr>
            </w:pPr>
            <w:r w:rsidRPr="00A15B91">
              <w:rPr>
                <w:rFonts w:ascii="Arial" w:hAnsi="Arial" w:cs="Arial"/>
                <w:sz w:val="20"/>
                <w:szCs w:val="20"/>
              </w:rPr>
              <w:t>71.28</w:t>
            </w:r>
          </w:p>
        </w:tc>
        <w:tc>
          <w:tcPr>
            <w:tcW w:w="2254" w:type="dxa"/>
            <w:tcBorders>
              <w:bottom w:val="nil"/>
            </w:tcBorders>
          </w:tcPr>
          <w:p w14:paraId="325E9E86" w14:textId="26604360" w:rsidR="009936A2" w:rsidRPr="00A15B91" w:rsidRDefault="00FE205A" w:rsidP="004E1374">
            <w:pPr>
              <w:jc w:val="center"/>
              <w:rPr>
                <w:rFonts w:ascii="Arial" w:hAnsi="Arial" w:cs="Arial"/>
                <w:sz w:val="20"/>
                <w:szCs w:val="20"/>
              </w:rPr>
            </w:pPr>
            <w:r w:rsidRPr="00A15B91">
              <w:rPr>
                <w:rFonts w:ascii="Arial" w:hAnsi="Arial" w:cs="Arial"/>
                <w:sz w:val="20"/>
                <w:szCs w:val="20"/>
              </w:rPr>
              <w:t>68.72</w:t>
            </w:r>
          </w:p>
        </w:tc>
      </w:tr>
      <w:tr w:rsidR="009936A2" w:rsidRPr="00A15B91" w14:paraId="08FD29BB" w14:textId="77777777" w:rsidTr="00FE205A">
        <w:tc>
          <w:tcPr>
            <w:tcW w:w="2254" w:type="dxa"/>
            <w:tcBorders>
              <w:top w:val="nil"/>
              <w:bottom w:val="nil"/>
            </w:tcBorders>
          </w:tcPr>
          <w:p w14:paraId="1F4D672B" w14:textId="2B3162BA" w:rsidR="009936A2" w:rsidRPr="00A15B91" w:rsidRDefault="004E1374" w:rsidP="00840D89">
            <w:pPr>
              <w:jc w:val="both"/>
              <w:rPr>
                <w:rFonts w:ascii="Arial" w:hAnsi="Arial" w:cs="Arial"/>
                <w:sz w:val="20"/>
                <w:szCs w:val="20"/>
              </w:rPr>
            </w:pPr>
            <w:r w:rsidRPr="00A15B91">
              <w:rPr>
                <w:rFonts w:ascii="Arial" w:hAnsi="Arial" w:cs="Arial"/>
                <w:sz w:val="20"/>
                <w:szCs w:val="20"/>
              </w:rPr>
              <w:lastRenderedPageBreak/>
              <w:t>Ash</w:t>
            </w:r>
          </w:p>
        </w:tc>
        <w:tc>
          <w:tcPr>
            <w:tcW w:w="2254" w:type="dxa"/>
            <w:tcBorders>
              <w:top w:val="nil"/>
              <w:bottom w:val="nil"/>
            </w:tcBorders>
          </w:tcPr>
          <w:p w14:paraId="777B9830" w14:textId="02F05EDC" w:rsidR="009936A2" w:rsidRPr="00A15B91" w:rsidRDefault="00FE205A" w:rsidP="004E1374">
            <w:pPr>
              <w:jc w:val="center"/>
              <w:rPr>
                <w:rFonts w:ascii="Arial" w:hAnsi="Arial" w:cs="Arial"/>
                <w:sz w:val="20"/>
                <w:szCs w:val="20"/>
              </w:rPr>
            </w:pPr>
            <w:r w:rsidRPr="00A15B91">
              <w:rPr>
                <w:rFonts w:ascii="Arial" w:hAnsi="Arial" w:cs="Arial"/>
                <w:sz w:val="20"/>
                <w:szCs w:val="20"/>
              </w:rPr>
              <w:t>1.44</w:t>
            </w:r>
          </w:p>
        </w:tc>
        <w:tc>
          <w:tcPr>
            <w:tcW w:w="2254" w:type="dxa"/>
            <w:tcBorders>
              <w:top w:val="nil"/>
              <w:bottom w:val="nil"/>
            </w:tcBorders>
          </w:tcPr>
          <w:p w14:paraId="5B8A52C9" w14:textId="632EFB87" w:rsidR="009936A2" w:rsidRPr="00A15B91" w:rsidRDefault="00FE205A" w:rsidP="004E1374">
            <w:pPr>
              <w:jc w:val="center"/>
              <w:rPr>
                <w:rFonts w:ascii="Arial" w:hAnsi="Arial" w:cs="Arial"/>
                <w:sz w:val="20"/>
                <w:szCs w:val="20"/>
              </w:rPr>
            </w:pPr>
            <w:r w:rsidRPr="00A15B91">
              <w:rPr>
                <w:rFonts w:ascii="Arial" w:hAnsi="Arial" w:cs="Arial"/>
                <w:sz w:val="20"/>
                <w:szCs w:val="20"/>
              </w:rPr>
              <w:t>1.17</w:t>
            </w:r>
          </w:p>
        </w:tc>
        <w:tc>
          <w:tcPr>
            <w:tcW w:w="2254" w:type="dxa"/>
            <w:tcBorders>
              <w:top w:val="nil"/>
              <w:bottom w:val="nil"/>
            </w:tcBorders>
          </w:tcPr>
          <w:p w14:paraId="6496D1D8" w14:textId="78D74504" w:rsidR="009936A2" w:rsidRPr="00A15B91" w:rsidRDefault="00FE205A" w:rsidP="004E1374">
            <w:pPr>
              <w:jc w:val="center"/>
              <w:rPr>
                <w:rFonts w:ascii="Arial" w:hAnsi="Arial" w:cs="Arial"/>
                <w:sz w:val="20"/>
                <w:szCs w:val="20"/>
              </w:rPr>
            </w:pPr>
            <w:r w:rsidRPr="00A15B91">
              <w:rPr>
                <w:rFonts w:ascii="Arial" w:hAnsi="Arial" w:cs="Arial"/>
                <w:sz w:val="20"/>
                <w:szCs w:val="20"/>
              </w:rPr>
              <w:t>1.24</w:t>
            </w:r>
          </w:p>
        </w:tc>
      </w:tr>
      <w:tr w:rsidR="009936A2" w:rsidRPr="00A15B91" w14:paraId="3160EEC6" w14:textId="77777777" w:rsidTr="00FE205A">
        <w:tc>
          <w:tcPr>
            <w:tcW w:w="2254" w:type="dxa"/>
            <w:tcBorders>
              <w:top w:val="nil"/>
              <w:bottom w:val="nil"/>
            </w:tcBorders>
          </w:tcPr>
          <w:p w14:paraId="7336B1BD" w14:textId="6A502357" w:rsidR="009936A2" w:rsidRPr="00A15B91" w:rsidRDefault="004E1374" w:rsidP="00840D89">
            <w:pPr>
              <w:jc w:val="both"/>
              <w:rPr>
                <w:rFonts w:ascii="Arial" w:hAnsi="Arial" w:cs="Arial"/>
                <w:sz w:val="20"/>
                <w:szCs w:val="20"/>
              </w:rPr>
            </w:pPr>
            <w:r w:rsidRPr="00A15B91">
              <w:rPr>
                <w:rFonts w:ascii="Arial" w:hAnsi="Arial" w:cs="Arial"/>
                <w:sz w:val="20"/>
                <w:szCs w:val="20"/>
              </w:rPr>
              <w:t>Lipid</w:t>
            </w:r>
          </w:p>
        </w:tc>
        <w:tc>
          <w:tcPr>
            <w:tcW w:w="2254" w:type="dxa"/>
            <w:tcBorders>
              <w:top w:val="nil"/>
              <w:bottom w:val="nil"/>
            </w:tcBorders>
          </w:tcPr>
          <w:p w14:paraId="144D9274" w14:textId="5B6D910E" w:rsidR="009936A2" w:rsidRPr="00A15B91" w:rsidRDefault="00FE205A" w:rsidP="004E1374">
            <w:pPr>
              <w:jc w:val="center"/>
              <w:rPr>
                <w:rFonts w:ascii="Arial" w:hAnsi="Arial" w:cs="Arial"/>
                <w:sz w:val="20"/>
                <w:szCs w:val="20"/>
              </w:rPr>
            </w:pPr>
            <w:r w:rsidRPr="00A15B91">
              <w:rPr>
                <w:rFonts w:ascii="Arial" w:hAnsi="Arial" w:cs="Arial"/>
                <w:sz w:val="20"/>
                <w:szCs w:val="20"/>
              </w:rPr>
              <w:t>0.13</w:t>
            </w:r>
          </w:p>
        </w:tc>
        <w:tc>
          <w:tcPr>
            <w:tcW w:w="2254" w:type="dxa"/>
            <w:tcBorders>
              <w:top w:val="nil"/>
              <w:bottom w:val="nil"/>
            </w:tcBorders>
          </w:tcPr>
          <w:p w14:paraId="7EF82A1A" w14:textId="25D3ED95" w:rsidR="009936A2" w:rsidRPr="00A15B91" w:rsidRDefault="00FE205A" w:rsidP="004E1374">
            <w:pPr>
              <w:jc w:val="center"/>
              <w:rPr>
                <w:rFonts w:ascii="Arial" w:hAnsi="Arial" w:cs="Arial"/>
                <w:sz w:val="20"/>
                <w:szCs w:val="20"/>
              </w:rPr>
            </w:pPr>
            <w:r w:rsidRPr="00A15B91">
              <w:rPr>
                <w:rFonts w:ascii="Arial" w:hAnsi="Arial" w:cs="Arial"/>
                <w:sz w:val="20"/>
                <w:szCs w:val="20"/>
              </w:rPr>
              <w:t>0.08</w:t>
            </w:r>
          </w:p>
        </w:tc>
        <w:tc>
          <w:tcPr>
            <w:tcW w:w="2254" w:type="dxa"/>
            <w:tcBorders>
              <w:top w:val="nil"/>
              <w:bottom w:val="nil"/>
            </w:tcBorders>
          </w:tcPr>
          <w:p w14:paraId="11742FF8" w14:textId="0BF53117" w:rsidR="009936A2" w:rsidRPr="00A15B91" w:rsidRDefault="00FE205A" w:rsidP="004E1374">
            <w:pPr>
              <w:jc w:val="center"/>
              <w:rPr>
                <w:rFonts w:ascii="Arial" w:hAnsi="Arial" w:cs="Arial"/>
                <w:sz w:val="20"/>
                <w:szCs w:val="20"/>
              </w:rPr>
            </w:pPr>
            <w:r w:rsidRPr="00A15B91">
              <w:rPr>
                <w:rFonts w:ascii="Arial" w:hAnsi="Arial" w:cs="Arial"/>
                <w:sz w:val="20"/>
                <w:szCs w:val="20"/>
              </w:rPr>
              <w:t>0.06</w:t>
            </w:r>
          </w:p>
        </w:tc>
      </w:tr>
      <w:tr w:rsidR="009936A2" w:rsidRPr="00A15B91" w14:paraId="7EB2084D" w14:textId="77777777" w:rsidTr="00FE205A">
        <w:tc>
          <w:tcPr>
            <w:tcW w:w="2254" w:type="dxa"/>
            <w:tcBorders>
              <w:top w:val="nil"/>
              <w:bottom w:val="nil"/>
            </w:tcBorders>
          </w:tcPr>
          <w:p w14:paraId="6EB4E5D0" w14:textId="110C64B0" w:rsidR="009936A2" w:rsidRPr="00A15B91" w:rsidRDefault="004E1374" w:rsidP="00840D89">
            <w:pPr>
              <w:jc w:val="both"/>
              <w:rPr>
                <w:rFonts w:ascii="Arial" w:hAnsi="Arial" w:cs="Arial"/>
                <w:sz w:val="20"/>
                <w:szCs w:val="20"/>
              </w:rPr>
            </w:pPr>
            <w:r w:rsidRPr="00A15B91">
              <w:rPr>
                <w:rFonts w:ascii="Arial" w:hAnsi="Arial" w:cs="Arial"/>
                <w:sz w:val="20"/>
                <w:szCs w:val="20"/>
              </w:rPr>
              <w:t>Protein</w:t>
            </w:r>
          </w:p>
        </w:tc>
        <w:tc>
          <w:tcPr>
            <w:tcW w:w="2254" w:type="dxa"/>
            <w:tcBorders>
              <w:top w:val="nil"/>
              <w:bottom w:val="nil"/>
            </w:tcBorders>
          </w:tcPr>
          <w:p w14:paraId="2CE14C22" w14:textId="3EACE56E" w:rsidR="009936A2" w:rsidRPr="00A15B91" w:rsidRDefault="00FE205A" w:rsidP="004E1374">
            <w:pPr>
              <w:jc w:val="center"/>
              <w:rPr>
                <w:rFonts w:ascii="Arial" w:hAnsi="Arial" w:cs="Arial"/>
                <w:sz w:val="20"/>
                <w:szCs w:val="20"/>
              </w:rPr>
            </w:pPr>
            <w:r w:rsidRPr="00A15B91">
              <w:rPr>
                <w:rFonts w:ascii="Arial" w:hAnsi="Arial" w:cs="Arial"/>
                <w:sz w:val="20"/>
                <w:szCs w:val="20"/>
              </w:rPr>
              <w:t>11.75</w:t>
            </w:r>
          </w:p>
        </w:tc>
        <w:tc>
          <w:tcPr>
            <w:tcW w:w="2254" w:type="dxa"/>
            <w:tcBorders>
              <w:top w:val="nil"/>
              <w:bottom w:val="nil"/>
            </w:tcBorders>
          </w:tcPr>
          <w:p w14:paraId="5A3279A9" w14:textId="388F7AC4" w:rsidR="009936A2" w:rsidRPr="00A15B91" w:rsidRDefault="00FE205A" w:rsidP="004E1374">
            <w:pPr>
              <w:jc w:val="center"/>
              <w:rPr>
                <w:rFonts w:ascii="Arial" w:hAnsi="Arial" w:cs="Arial"/>
                <w:sz w:val="20"/>
                <w:szCs w:val="20"/>
              </w:rPr>
            </w:pPr>
            <w:r w:rsidRPr="00A15B91">
              <w:rPr>
                <w:rFonts w:ascii="Arial" w:hAnsi="Arial" w:cs="Arial"/>
                <w:sz w:val="20"/>
                <w:szCs w:val="20"/>
              </w:rPr>
              <w:t>15.94</w:t>
            </w:r>
          </w:p>
        </w:tc>
        <w:tc>
          <w:tcPr>
            <w:tcW w:w="2254" w:type="dxa"/>
            <w:tcBorders>
              <w:top w:val="nil"/>
              <w:bottom w:val="nil"/>
            </w:tcBorders>
          </w:tcPr>
          <w:p w14:paraId="5D7222E8" w14:textId="2AC3AF85" w:rsidR="009936A2" w:rsidRPr="00A15B91" w:rsidRDefault="00FE205A" w:rsidP="004E1374">
            <w:pPr>
              <w:jc w:val="center"/>
              <w:rPr>
                <w:rFonts w:ascii="Arial" w:hAnsi="Arial" w:cs="Arial"/>
                <w:sz w:val="20"/>
                <w:szCs w:val="20"/>
              </w:rPr>
            </w:pPr>
            <w:r w:rsidRPr="00A15B91">
              <w:rPr>
                <w:rFonts w:ascii="Arial" w:hAnsi="Arial" w:cs="Arial"/>
                <w:sz w:val="20"/>
                <w:szCs w:val="20"/>
              </w:rPr>
              <w:t>13.14</w:t>
            </w:r>
          </w:p>
        </w:tc>
      </w:tr>
      <w:tr w:rsidR="009936A2" w:rsidRPr="00A15B91" w14:paraId="7B4E41A3" w14:textId="77777777" w:rsidTr="00FE205A">
        <w:tc>
          <w:tcPr>
            <w:tcW w:w="2254" w:type="dxa"/>
            <w:tcBorders>
              <w:top w:val="nil"/>
              <w:bottom w:val="nil"/>
            </w:tcBorders>
          </w:tcPr>
          <w:p w14:paraId="0EF57301" w14:textId="57C008C0" w:rsidR="009936A2" w:rsidRPr="00A15B91" w:rsidRDefault="004E1374" w:rsidP="00840D89">
            <w:pPr>
              <w:jc w:val="both"/>
              <w:rPr>
                <w:rFonts w:ascii="Arial" w:hAnsi="Arial" w:cs="Arial"/>
                <w:sz w:val="20"/>
                <w:szCs w:val="20"/>
              </w:rPr>
            </w:pPr>
            <w:r w:rsidRPr="00A15B91">
              <w:rPr>
                <w:rFonts w:ascii="Arial" w:hAnsi="Arial" w:cs="Arial"/>
                <w:sz w:val="20"/>
                <w:szCs w:val="20"/>
              </w:rPr>
              <w:t>Fibre</w:t>
            </w:r>
          </w:p>
        </w:tc>
        <w:tc>
          <w:tcPr>
            <w:tcW w:w="2254" w:type="dxa"/>
            <w:tcBorders>
              <w:top w:val="nil"/>
              <w:bottom w:val="nil"/>
            </w:tcBorders>
          </w:tcPr>
          <w:p w14:paraId="794998BE" w14:textId="5B608D48" w:rsidR="009936A2" w:rsidRPr="00A15B91" w:rsidRDefault="00FE205A" w:rsidP="004E1374">
            <w:pPr>
              <w:jc w:val="center"/>
              <w:rPr>
                <w:rFonts w:ascii="Arial" w:hAnsi="Arial" w:cs="Arial"/>
                <w:sz w:val="20"/>
                <w:szCs w:val="20"/>
              </w:rPr>
            </w:pPr>
            <w:r w:rsidRPr="00A15B91">
              <w:rPr>
                <w:rFonts w:ascii="Arial" w:hAnsi="Arial" w:cs="Arial"/>
                <w:sz w:val="20"/>
                <w:szCs w:val="20"/>
              </w:rPr>
              <w:t>15.37</w:t>
            </w:r>
          </w:p>
        </w:tc>
        <w:tc>
          <w:tcPr>
            <w:tcW w:w="2254" w:type="dxa"/>
            <w:tcBorders>
              <w:top w:val="nil"/>
              <w:bottom w:val="nil"/>
            </w:tcBorders>
          </w:tcPr>
          <w:p w14:paraId="1775B7BF" w14:textId="472DC7DB" w:rsidR="009936A2" w:rsidRPr="00A15B91" w:rsidRDefault="00FE205A" w:rsidP="004E1374">
            <w:pPr>
              <w:jc w:val="center"/>
              <w:rPr>
                <w:rFonts w:ascii="Arial" w:hAnsi="Arial" w:cs="Arial"/>
                <w:sz w:val="20"/>
                <w:szCs w:val="20"/>
              </w:rPr>
            </w:pPr>
            <w:r w:rsidRPr="00A15B91">
              <w:rPr>
                <w:rFonts w:ascii="Arial" w:hAnsi="Arial" w:cs="Arial"/>
                <w:sz w:val="20"/>
                <w:szCs w:val="20"/>
              </w:rPr>
              <w:t>8.11</w:t>
            </w:r>
          </w:p>
        </w:tc>
        <w:tc>
          <w:tcPr>
            <w:tcW w:w="2254" w:type="dxa"/>
            <w:tcBorders>
              <w:top w:val="nil"/>
              <w:bottom w:val="nil"/>
            </w:tcBorders>
          </w:tcPr>
          <w:p w14:paraId="1A16E4A5" w14:textId="35D54018" w:rsidR="009936A2" w:rsidRPr="00A15B91" w:rsidRDefault="00FE205A" w:rsidP="004E1374">
            <w:pPr>
              <w:jc w:val="center"/>
              <w:rPr>
                <w:rFonts w:ascii="Arial" w:hAnsi="Arial" w:cs="Arial"/>
                <w:sz w:val="20"/>
                <w:szCs w:val="20"/>
              </w:rPr>
            </w:pPr>
            <w:r w:rsidRPr="00A15B91">
              <w:rPr>
                <w:rFonts w:ascii="Arial" w:hAnsi="Arial" w:cs="Arial"/>
                <w:sz w:val="20"/>
                <w:szCs w:val="20"/>
              </w:rPr>
              <w:t>11.28</w:t>
            </w:r>
          </w:p>
        </w:tc>
      </w:tr>
      <w:tr w:rsidR="009936A2" w:rsidRPr="00A15B91" w14:paraId="7B1231FB" w14:textId="77777777" w:rsidTr="00FE205A">
        <w:tc>
          <w:tcPr>
            <w:tcW w:w="2254" w:type="dxa"/>
            <w:tcBorders>
              <w:top w:val="nil"/>
            </w:tcBorders>
          </w:tcPr>
          <w:p w14:paraId="04391729" w14:textId="17E759AD" w:rsidR="009936A2" w:rsidRPr="00A15B91" w:rsidRDefault="004E1374" w:rsidP="00840D89">
            <w:pPr>
              <w:jc w:val="both"/>
              <w:rPr>
                <w:rFonts w:ascii="Arial" w:hAnsi="Arial" w:cs="Arial"/>
                <w:sz w:val="20"/>
                <w:szCs w:val="20"/>
              </w:rPr>
            </w:pPr>
            <w:r w:rsidRPr="00A15B91">
              <w:rPr>
                <w:rFonts w:ascii="Arial" w:hAnsi="Arial" w:cs="Arial"/>
                <w:sz w:val="20"/>
                <w:szCs w:val="20"/>
              </w:rPr>
              <w:t>Carbohydrates</w:t>
            </w:r>
          </w:p>
        </w:tc>
        <w:tc>
          <w:tcPr>
            <w:tcW w:w="2254" w:type="dxa"/>
            <w:tcBorders>
              <w:top w:val="nil"/>
            </w:tcBorders>
          </w:tcPr>
          <w:p w14:paraId="1D3A26A3" w14:textId="51C2181A" w:rsidR="009936A2" w:rsidRPr="00A15B91" w:rsidRDefault="00FE205A" w:rsidP="004E1374">
            <w:pPr>
              <w:jc w:val="center"/>
              <w:rPr>
                <w:rFonts w:ascii="Arial" w:hAnsi="Arial" w:cs="Arial"/>
                <w:sz w:val="20"/>
                <w:szCs w:val="20"/>
              </w:rPr>
            </w:pPr>
            <w:r w:rsidRPr="00A15B91">
              <w:rPr>
                <w:rFonts w:ascii="Arial" w:hAnsi="Arial" w:cs="Arial"/>
                <w:sz w:val="20"/>
                <w:szCs w:val="20"/>
              </w:rPr>
              <w:t>7.34</w:t>
            </w:r>
          </w:p>
        </w:tc>
        <w:tc>
          <w:tcPr>
            <w:tcW w:w="2254" w:type="dxa"/>
            <w:tcBorders>
              <w:top w:val="nil"/>
            </w:tcBorders>
          </w:tcPr>
          <w:p w14:paraId="5AE8EB2B" w14:textId="4C10EEB8" w:rsidR="009936A2" w:rsidRPr="00A15B91" w:rsidRDefault="00FE205A" w:rsidP="004E1374">
            <w:pPr>
              <w:jc w:val="center"/>
              <w:rPr>
                <w:rFonts w:ascii="Arial" w:hAnsi="Arial" w:cs="Arial"/>
                <w:sz w:val="20"/>
                <w:szCs w:val="20"/>
              </w:rPr>
            </w:pPr>
            <w:r w:rsidRPr="00A15B91">
              <w:rPr>
                <w:rFonts w:ascii="Arial" w:hAnsi="Arial" w:cs="Arial"/>
                <w:sz w:val="20"/>
                <w:szCs w:val="20"/>
              </w:rPr>
              <w:t>3.42</w:t>
            </w:r>
          </w:p>
        </w:tc>
        <w:tc>
          <w:tcPr>
            <w:tcW w:w="2254" w:type="dxa"/>
            <w:tcBorders>
              <w:top w:val="nil"/>
            </w:tcBorders>
          </w:tcPr>
          <w:p w14:paraId="3492B40D" w14:textId="3670229B" w:rsidR="009936A2" w:rsidRPr="00A15B91" w:rsidRDefault="00FE205A" w:rsidP="004E1374">
            <w:pPr>
              <w:jc w:val="center"/>
              <w:rPr>
                <w:rFonts w:ascii="Arial" w:hAnsi="Arial" w:cs="Arial"/>
                <w:sz w:val="20"/>
                <w:szCs w:val="20"/>
              </w:rPr>
            </w:pPr>
            <w:r w:rsidRPr="00A15B91">
              <w:rPr>
                <w:rFonts w:ascii="Arial" w:hAnsi="Arial" w:cs="Arial"/>
                <w:sz w:val="20"/>
                <w:szCs w:val="20"/>
              </w:rPr>
              <w:t>5.56</w:t>
            </w:r>
          </w:p>
        </w:tc>
      </w:tr>
    </w:tbl>
    <w:p w14:paraId="79973476" w14:textId="0FDCFB5B" w:rsidR="009936A2" w:rsidRPr="00A15B91" w:rsidRDefault="00FE205A" w:rsidP="00840D89">
      <w:pPr>
        <w:jc w:val="both"/>
        <w:rPr>
          <w:rFonts w:ascii="Arial" w:hAnsi="Arial" w:cs="Arial"/>
          <w:sz w:val="20"/>
          <w:szCs w:val="20"/>
        </w:rPr>
      </w:pPr>
      <w:r w:rsidRPr="00A15B91">
        <w:rPr>
          <w:rFonts w:ascii="Arial" w:hAnsi="Arial" w:cs="Arial"/>
          <w:sz w:val="20"/>
          <w:szCs w:val="20"/>
        </w:rPr>
        <w:t>Values are mean ±SD from three replicates</w:t>
      </w:r>
    </w:p>
    <w:p w14:paraId="33F4B137" w14:textId="14B07C4C" w:rsidR="00FE205A" w:rsidRPr="00886B09" w:rsidRDefault="00FE205A" w:rsidP="00840D89">
      <w:pPr>
        <w:jc w:val="both"/>
        <w:rPr>
          <w:rFonts w:ascii="Arial" w:hAnsi="Arial" w:cs="Arial"/>
          <w:b/>
          <w:bCs/>
          <w:sz w:val="20"/>
          <w:szCs w:val="20"/>
        </w:rPr>
      </w:pPr>
      <w:r w:rsidRPr="00886B09">
        <w:rPr>
          <w:rFonts w:ascii="Arial" w:hAnsi="Arial" w:cs="Arial"/>
          <w:b/>
          <w:bCs/>
          <w:sz w:val="20"/>
          <w:szCs w:val="20"/>
        </w:rPr>
        <w:t>Table 4: Heavy Metal Analysis of Sampled Aquatic Organisms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1701"/>
        <w:gridCol w:w="1843"/>
        <w:gridCol w:w="1701"/>
        <w:gridCol w:w="1508"/>
      </w:tblGrid>
      <w:tr w:rsidR="00FE205A" w:rsidRPr="00A15B91" w14:paraId="3ED1EF0C" w14:textId="77777777" w:rsidTr="00FE205A">
        <w:tc>
          <w:tcPr>
            <w:tcW w:w="2263" w:type="dxa"/>
          </w:tcPr>
          <w:p w14:paraId="13F4FEEA" w14:textId="2614E945" w:rsidR="00FE205A" w:rsidRPr="00A15B91" w:rsidRDefault="00FE205A" w:rsidP="00FE205A">
            <w:pPr>
              <w:rPr>
                <w:rFonts w:ascii="Arial" w:hAnsi="Arial" w:cs="Arial"/>
                <w:b/>
                <w:bCs/>
                <w:sz w:val="20"/>
                <w:szCs w:val="20"/>
              </w:rPr>
            </w:pPr>
            <w:r w:rsidRPr="00A15B91">
              <w:rPr>
                <w:rFonts w:ascii="Arial" w:hAnsi="Arial" w:cs="Arial"/>
                <w:b/>
                <w:bCs/>
                <w:sz w:val="20"/>
                <w:szCs w:val="20"/>
              </w:rPr>
              <w:t>Parameters (mg/kg)</w:t>
            </w:r>
          </w:p>
        </w:tc>
        <w:tc>
          <w:tcPr>
            <w:tcW w:w="1701" w:type="dxa"/>
          </w:tcPr>
          <w:p w14:paraId="38E4126D" w14:textId="433059EB" w:rsidR="00FE205A" w:rsidRPr="00A15B91" w:rsidRDefault="00FE205A" w:rsidP="00FE205A">
            <w:pPr>
              <w:jc w:val="center"/>
              <w:rPr>
                <w:rFonts w:ascii="Arial" w:hAnsi="Arial" w:cs="Arial"/>
                <w:sz w:val="20"/>
                <w:szCs w:val="20"/>
              </w:rPr>
            </w:pPr>
            <w:r w:rsidRPr="00A15B91">
              <w:rPr>
                <w:rFonts w:ascii="Arial" w:hAnsi="Arial" w:cs="Arial"/>
                <w:b/>
                <w:bCs/>
                <w:i/>
                <w:iCs/>
                <w:sz w:val="20"/>
                <w:szCs w:val="20"/>
              </w:rPr>
              <w:t>Lutjanus</w:t>
            </w:r>
          </w:p>
        </w:tc>
        <w:tc>
          <w:tcPr>
            <w:tcW w:w="1843" w:type="dxa"/>
          </w:tcPr>
          <w:p w14:paraId="20A3BB03" w14:textId="30F65BA5" w:rsidR="00FE205A" w:rsidRPr="00A15B91" w:rsidRDefault="00FE205A" w:rsidP="00FE205A">
            <w:pPr>
              <w:jc w:val="center"/>
              <w:rPr>
                <w:rFonts w:ascii="Arial" w:hAnsi="Arial" w:cs="Arial"/>
                <w:sz w:val="20"/>
                <w:szCs w:val="20"/>
              </w:rPr>
            </w:pPr>
            <w:r w:rsidRPr="00A15B91">
              <w:rPr>
                <w:rFonts w:ascii="Arial" w:hAnsi="Arial" w:cs="Arial"/>
                <w:b/>
                <w:bCs/>
                <w:i/>
                <w:iCs/>
                <w:sz w:val="20"/>
                <w:szCs w:val="20"/>
              </w:rPr>
              <w:t>Mugil</w:t>
            </w:r>
          </w:p>
        </w:tc>
        <w:tc>
          <w:tcPr>
            <w:tcW w:w="1701" w:type="dxa"/>
          </w:tcPr>
          <w:p w14:paraId="444A2CA5" w14:textId="7626A985" w:rsidR="00FE205A" w:rsidRPr="00A15B91" w:rsidRDefault="00FE205A" w:rsidP="00FE205A">
            <w:pPr>
              <w:jc w:val="center"/>
              <w:rPr>
                <w:rFonts w:ascii="Arial" w:hAnsi="Arial" w:cs="Arial"/>
                <w:sz w:val="20"/>
                <w:szCs w:val="20"/>
              </w:rPr>
            </w:pPr>
            <w:r w:rsidRPr="00A15B91">
              <w:rPr>
                <w:rFonts w:ascii="Arial" w:hAnsi="Arial" w:cs="Arial"/>
                <w:b/>
                <w:bCs/>
                <w:i/>
                <w:iCs/>
                <w:sz w:val="20"/>
                <w:szCs w:val="20"/>
              </w:rPr>
              <w:t>Callinectes</w:t>
            </w:r>
          </w:p>
        </w:tc>
        <w:tc>
          <w:tcPr>
            <w:tcW w:w="1508" w:type="dxa"/>
          </w:tcPr>
          <w:p w14:paraId="6C9F8583" w14:textId="7A034399" w:rsidR="00FE205A" w:rsidRPr="00A15B91" w:rsidRDefault="00FE205A" w:rsidP="00FE205A">
            <w:pPr>
              <w:jc w:val="center"/>
              <w:rPr>
                <w:rFonts w:ascii="Arial" w:hAnsi="Arial" w:cs="Arial"/>
                <w:b/>
                <w:bCs/>
                <w:sz w:val="20"/>
                <w:szCs w:val="20"/>
              </w:rPr>
            </w:pPr>
            <w:r w:rsidRPr="00A15B91">
              <w:rPr>
                <w:rFonts w:ascii="Arial" w:hAnsi="Arial" w:cs="Arial"/>
                <w:b/>
                <w:bCs/>
                <w:sz w:val="20"/>
                <w:szCs w:val="20"/>
              </w:rPr>
              <w:t>WHO Limit</w:t>
            </w:r>
          </w:p>
        </w:tc>
      </w:tr>
      <w:tr w:rsidR="00FE205A" w:rsidRPr="00A15B91" w14:paraId="096874B9" w14:textId="77777777" w:rsidTr="00FE205A">
        <w:tc>
          <w:tcPr>
            <w:tcW w:w="2263" w:type="dxa"/>
            <w:tcBorders>
              <w:bottom w:val="nil"/>
            </w:tcBorders>
          </w:tcPr>
          <w:p w14:paraId="16CC6DF6" w14:textId="1D474725" w:rsidR="00FE205A" w:rsidRPr="00A15B91" w:rsidRDefault="00FE205A" w:rsidP="00840D89">
            <w:pPr>
              <w:jc w:val="both"/>
              <w:rPr>
                <w:rFonts w:ascii="Arial" w:hAnsi="Arial" w:cs="Arial"/>
                <w:sz w:val="20"/>
                <w:szCs w:val="20"/>
              </w:rPr>
            </w:pPr>
            <w:r w:rsidRPr="00A15B91">
              <w:rPr>
                <w:rFonts w:ascii="Arial" w:hAnsi="Arial" w:cs="Arial"/>
                <w:sz w:val="20"/>
                <w:szCs w:val="20"/>
              </w:rPr>
              <w:t>Nickel</w:t>
            </w:r>
          </w:p>
        </w:tc>
        <w:tc>
          <w:tcPr>
            <w:tcW w:w="1701" w:type="dxa"/>
            <w:tcBorders>
              <w:bottom w:val="nil"/>
            </w:tcBorders>
          </w:tcPr>
          <w:p w14:paraId="3BA33E99" w14:textId="7E941F10" w:rsidR="00FE205A" w:rsidRPr="00A15B91" w:rsidRDefault="00FE205A" w:rsidP="00FE205A">
            <w:pPr>
              <w:jc w:val="center"/>
              <w:rPr>
                <w:rFonts w:ascii="Arial" w:hAnsi="Arial" w:cs="Arial"/>
                <w:sz w:val="20"/>
                <w:szCs w:val="20"/>
              </w:rPr>
            </w:pPr>
            <w:r w:rsidRPr="00A15B91">
              <w:rPr>
                <w:rFonts w:ascii="Arial" w:hAnsi="Arial" w:cs="Arial"/>
                <w:sz w:val="20"/>
                <w:szCs w:val="20"/>
              </w:rPr>
              <w:t>0.014±0.06</w:t>
            </w:r>
          </w:p>
        </w:tc>
        <w:tc>
          <w:tcPr>
            <w:tcW w:w="1843" w:type="dxa"/>
            <w:tcBorders>
              <w:bottom w:val="nil"/>
            </w:tcBorders>
          </w:tcPr>
          <w:p w14:paraId="00A55152" w14:textId="55B4E536" w:rsidR="00FE205A" w:rsidRPr="00A15B91" w:rsidRDefault="00FE205A" w:rsidP="00FE205A">
            <w:pPr>
              <w:jc w:val="center"/>
              <w:rPr>
                <w:rFonts w:ascii="Arial" w:hAnsi="Arial" w:cs="Arial"/>
                <w:sz w:val="20"/>
                <w:szCs w:val="20"/>
              </w:rPr>
            </w:pPr>
            <w:r w:rsidRPr="00A15B91">
              <w:rPr>
                <w:rFonts w:ascii="Arial" w:hAnsi="Arial" w:cs="Arial"/>
                <w:sz w:val="20"/>
                <w:szCs w:val="20"/>
              </w:rPr>
              <w:t>0.007±0.02</w:t>
            </w:r>
          </w:p>
        </w:tc>
        <w:tc>
          <w:tcPr>
            <w:tcW w:w="1701" w:type="dxa"/>
            <w:tcBorders>
              <w:bottom w:val="nil"/>
            </w:tcBorders>
          </w:tcPr>
          <w:p w14:paraId="612D732E" w14:textId="107779DE" w:rsidR="00FE205A" w:rsidRPr="00A15B91" w:rsidRDefault="00FE205A" w:rsidP="00FE205A">
            <w:pPr>
              <w:jc w:val="center"/>
              <w:rPr>
                <w:rFonts w:ascii="Arial" w:hAnsi="Arial" w:cs="Arial"/>
                <w:sz w:val="20"/>
                <w:szCs w:val="20"/>
              </w:rPr>
            </w:pPr>
            <w:r w:rsidRPr="00A15B91">
              <w:rPr>
                <w:rFonts w:ascii="Arial" w:hAnsi="Arial" w:cs="Arial"/>
                <w:sz w:val="20"/>
                <w:szCs w:val="20"/>
              </w:rPr>
              <w:t>0.010±0.05</w:t>
            </w:r>
          </w:p>
        </w:tc>
        <w:tc>
          <w:tcPr>
            <w:tcW w:w="1508" w:type="dxa"/>
            <w:tcBorders>
              <w:bottom w:val="nil"/>
            </w:tcBorders>
          </w:tcPr>
          <w:p w14:paraId="27A894FD" w14:textId="5C2094B7" w:rsidR="00FE205A" w:rsidRPr="00A15B91" w:rsidRDefault="00FE205A" w:rsidP="00FE205A">
            <w:pPr>
              <w:jc w:val="center"/>
              <w:rPr>
                <w:rFonts w:ascii="Arial" w:hAnsi="Arial" w:cs="Arial"/>
                <w:sz w:val="20"/>
                <w:szCs w:val="20"/>
              </w:rPr>
            </w:pPr>
            <w:r w:rsidRPr="00A15B91">
              <w:rPr>
                <w:rFonts w:ascii="Arial" w:hAnsi="Arial" w:cs="Arial"/>
                <w:sz w:val="20"/>
                <w:szCs w:val="20"/>
              </w:rPr>
              <w:t>0.6</w:t>
            </w:r>
          </w:p>
        </w:tc>
      </w:tr>
      <w:tr w:rsidR="00FE205A" w:rsidRPr="00A15B91" w14:paraId="6D7DA2C3" w14:textId="77777777" w:rsidTr="00FE205A">
        <w:tc>
          <w:tcPr>
            <w:tcW w:w="2263" w:type="dxa"/>
            <w:tcBorders>
              <w:top w:val="nil"/>
              <w:bottom w:val="nil"/>
            </w:tcBorders>
          </w:tcPr>
          <w:p w14:paraId="07528346" w14:textId="02B454BD" w:rsidR="00FE205A" w:rsidRPr="00A15B91" w:rsidRDefault="00FE205A" w:rsidP="00840D89">
            <w:pPr>
              <w:jc w:val="both"/>
              <w:rPr>
                <w:rFonts w:ascii="Arial" w:hAnsi="Arial" w:cs="Arial"/>
                <w:sz w:val="20"/>
                <w:szCs w:val="20"/>
              </w:rPr>
            </w:pPr>
            <w:r w:rsidRPr="00A15B91">
              <w:rPr>
                <w:rFonts w:ascii="Arial" w:hAnsi="Arial" w:cs="Arial"/>
                <w:sz w:val="20"/>
                <w:szCs w:val="20"/>
              </w:rPr>
              <w:t>Lead</w:t>
            </w:r>
          </w:p>
        </w:tc>
        <w:tc>
          <w:tcPr>
            <w:tcW w:w="1701" w:type="dxa"/>
            <w:tcBorders>
              <w:top w:val="nil"/>
              <w:bottom w:val="nil"/>
            </w:tcBorders>
          </w:tcPr>
          <w:p w14:paraId="0382D266" w14:textId="0F37685A" w:rsidR="00FE205A" w:rsidRPr="00A15B91" w:rsidRDefault="00FE205A" w:rsidP="00FE205A">
            <w:pPr>
              <w:jc w:val="center"/>
              <w:rPr>
                <w:rFonts w:ascii="Arial" w:hAnsi="Arial" w:cs="Arial"/>
                <w:sz w:val="20"/>
                <w:szCs w:val="20"/>
              </w:rPr>
            </w:pPr>
            <w:r w:rsidRPr="00A15B91">
              <w:rPr>
                <w:rFonts w:ascii="Arial" w:hAnsi="Arial" w:cs="Arial"/>
                <w:sz w:val="20"/>
                <w:szCs w:val="20"/>
              </w:rPr>
              <w:t>0.162±0.02</w:t>
            </w:r>
          </w:p>
        </w:tc>
        <w:tc>
          <w:tcPr>
            <w:tcW w:w="1843" w:type="dxa"/>
            <w:tcBorders>
              <w:top w:val="nil"/>
              <w:bottom w:val="nil"/>
            </w:tcBorders>
          </w:tcPr>
          <w:p w14:paraId="4CCE4ED9" w14:textId="685606DA" w:rsidR="00FE205A" w:rsidRPr="00A15B91" w:rsidRDefault="00FE205A" w:rsidP="00FE205A">
            <w:pPr>
              <w:jc w:val="center"/>
              <w:rPr>
                <w:rFonts w:ascii="Arial" w:hAnsi="Arial" w:cs="Arial"/>
                <w:sz w:val="20"/>
                <w:szCs w:val="20"/>
              </w:rPr>
            </w:pPr>
            <w:r w:rsidRPr="00A15B91">
              <w:rPr>
                <w:rFonts w:ascii="Arial" w:hAnsi="Arial" w:cs="Arial"/>
                <w:sz w:val="20"/>
                <w:szCs w:val="20"/>
              </w:rPr>
              <w:t>0.121±0.01</w:t>
            </w:r>
          </w:p>
        </w:tc>
        <w:tc>
          <w:tcPr>
            <w:tcW w:w="1701" w:type="dxa"/>
            <w:tcBorders>
              <w:top w:val="nil"/>
              <w:bottom w:val="nil"/>
            </w:tcBorders>
          </w:tcPr>
          <w:p w14:paraId="21B3B2BA" w14:textId="166CAC44" w:rsidR="00FE205A" w:rsidRPr="00A15B91" w:rsidRDefault="00FE205A" w:rsidP="00FE205A">
            <w:pPr>
              <w:jc w:val="center"/>
              <w:rPr>
                <w:rFonts w:ascii="Arial" w:hAnsi="Arial" w:cs="Arial"/>
                <w:sz w:val="20"/>
                <w:szCs w:val="20"/>
              </w:rPr>
            </w:pPr>
            <w:r w:rsidRPr="00A15B91">
              <w:rPr>
                <w:rFonts w:ascii="Arial" w:hAnsi="Arial" w:cs="Arial"/>
                <w:sz w:val="20"/>
                <w:szCs w:val="20"/>
              </w:rPr>
              <w:t>0.138±0.03</w:t>
            </w:r>
          </w:p>
        </w:tc>
        <w:tc>
          <w:tcPr>
            <w:tcW w:w="1508" w:type="dxa"/>
            <w:tcBorders>
              <w:top w:val="nil"/>
              <w:bottom w:val="nil"/>
            </w:tcBorders>
          </w:tcPr>
          <w:p w14:paraId="05DC3F86" w14:textId="48A1E206" w:rsidR="00FE205A" w:rsidRPr="00A15B91" w:rsidRDefault="00FE205A" w:rsidP="00FE205A">
            <w:pPr>
              <w:jc w:val="center"/>
              <w:rPr>
                <w:rFonts w:ascii="Arial" w:hAnsi="Arial" w:cs="Arial"/>
                <w:sz w:val="20"/>
                <w:szCs w:val="20"/>
              </w:rPr>
            </w:pPr>
            <w:r w:rsidRPr="00A15B91">
              <w:rPr>
                <w:rFonts w:ascii="Arial" w:hAnsi="Arial" w:cs="Arial"/>
                <w:sz w:val="20"/>
                <w:szCs w:val="20"/>
              </w:rPr>
              <w:t>0.5</w:t>
            </w:r>
          </w:p>
        </w:tc>
      </w:tr>
      <w:tr w:rsidR="00FE205A" w:rsidRPr="00A15B91" w14:paraId="781EDC96" w14:textId="77777777" w:rsidTr="00FE205A">
        <w:tc>
          <w:tcPr>
            <w:tcW w:w="2263" w:type="dxa"/>
            <w:tcBorders>
              <w:top w:val="nil"/>
              <w:bottom w:val="nil"/>
            </w:tcBorders>
          </w:tcPr>
          <w:p w14:paraId="07D9FDB1" w14:textId="3F000BA3" w:rsidR="00FE205A" w:rsidRPr="00A15B91" w:rsidRDefault="00FE205A" w:rsidP="00840D89">
            <w:pPr>
              <w:jc w:val="both"/>
              <w:rPr>
                <w:rFonts w:ascii="Arial" w:hAnsi="Arial" w:cs="Arial"/>
                <w:sz w:val="20"/>
                <w:szCs w:val="20"/>
              </w:rPr>
            </w:pPr>
            <w:r w:rsidRPr="00A15B91">
              <w:rPr>
                <w:rFonts w:ascii="Arial" w:hAnsi="Arial" w:cs="Arial"/>
                <w:sz w:val="20"/>
                <w:szCs w:val="20"/>
              </w:rPr>
              <w:t>Chromium</w:t>
            </w:r>
          </w:p>
        </w:tc>
        <w:tc>
          <w:tcPr>
            <w:tcW w:w="1701" w:type="dxa"/>
            <w:tcBorders>
              <w:top w:val="nil"/>
              <w:bottom w:val="nil"/>
            </w:tcBorders>
          </w:tcPr>
          <w:p w14:paraId="50E623AD" w14:textId="365B688E" w:rsidR="00FE205A" w:rsidRPr="00A15B91" w:rsidRDefault="00FE205A" w:rsidP="00FE205A">
            <w:pPr>
              <w:jc w:val="center"/>
              <w:rPr>
                <w:rFonts w:ascii="Arial" w:hAnsi="Arial" w:cs="Arial"/>
                <w:sz w:val="20"/>
                <w:szCs w:val="20"/>
              </w:rPr>
            </w:pPr>
            <w:r w:rsidRPr="00A15B91">
              <w:rPr>
                <w:rFonts w:ascii="Arial" w:hAnsi="Arial" w:cs="Arial"/>
                <w:sz w:val="20"/>
                <w:szCs w:val="20"/>
              </w:rPr>
              <w:t>0.030±0.01</w:t>
            </w:r>
          </w:p>
        </w:tc>
        <w:tc>
          <w:tcPr>
            <w:tcW w:w="1843" w:type="dxa"/>
            <w:tcBorders>
              <w:top w:val="nil"/>
              <w:bottom w:val="nil"/>
            </w:tcBorders>
          </w:tcPr>
          <w:p w14:paraId="27F37C6A" w14:textId="1816BFF8" w:rsidR="00FE205A" w:rsidRPr="00A15B91" w:rsidRDefault="00FE205A" w:rsidP="00FE205A">
            <w:pPr>
              <w:jc w:val="center"/>
              <w:rPr>
                <w:rFonts w:ascii="Arial" w:hAnsi="Arial" w:cs="Arial"/>
                <w:sz w:val="20"/>
                <w:szCs w:val="20"/>
              </w:rPr>
            </w:pPr>
            <w:r w:rsidRPr="00A15B91">
              <w:rPr>
                <w:rFonts w:ascii="Arial" w:hAnsi="Arial" w:cs="Arial"/>
                <w:sz w:val="20"/>
                <w:szCs w:val="20"/>
              </w:rPr>
              <w:t>0.025±0.03</w:t>
            </w:r>
          </w:p>
        </w:tc>
        <w:tc>
          <w:tcPr>
            <w:tcW w:w="1701" w:type="dxa"/>
            <w:tcBorders>
              <w:top w:val="nil"/>
              <w:bottom w:val="nil"/>
            </w:tcBorders>
          </w:tcPr>
          <w:p w14:paraId="42F8BCCF" w14:textId="7474E2F0" w:rsidR="00FE205A" w:rsidRPr="00A15B91" w:rsidRDefault="00FE205A" w:rsidP="00FE205A">
            <w:pPr>
              <w:jc w:val="center"/>
              <w:rPr>
                <w:rFonts w:ascii="Arial" w:hAnsi="Arial" w:cs="Arial"/>
                <w:sz w:val="20"/>
                <w:szCs w:val="20"/>
              </w:rPr>
            </w:pPr>
            <w:r w:rsidRPr="00A15B91">
              <w:rPr>
                <w:rFonts w:ascii="Arial" w:hAnsi="Arial" w:cs="Arial"/>
                <w:sz w:val="20"/>
                <w:szCs w:val="20"/>
              </w:rPr>
              <w:t>0.037±0.02</w:t>
            </w:r>
          </w:p>
        </w:tc>
        <w:tc>
          <w:tcPr>
            <w:tcW w:w="1508" w:type="dxa"/>
            <w:tcBorders>
              <w:top w:val="nil"/>
              <w:bottom w:val="nil"/>
            </w:tcBorders>
          </w:tcPr>
          <w:p w14:paraId="5B7023EB" w14:textId="3BDAECFB" w:rsidR="00FE205A" w:rsidRPr="00A15B91" w:rsidRDefault="00FE205A" w:rsidP="00FE205A">
            <w:pPr>
              <w:jc w:val="center"/>
              <w:rPr>
                <w:rFonts w:ascii="Arial" w:hAnsi="Arial" w:cs="Arial"/>
                <w:sz w:val="20"/>
                <w:szCs w:val="20"/>
              </w:rPr>
            </w:pPr>
            <w:r w:rsidRPr="00A15B91">
              <w:rPr>
                <w:rFonts w:ascii="Arial" w:hAnsi="Arial" w:cs="Arial"/>
                <w:sz w:val="20"/>
                <w:szCs w:val="20"/>
              </w:rPr>
              <w:t>0.05</w:t>
            </w:r>
          </w:p>
        </w:tc>
      </w:tr>
      <w:tr w:rsidR="00FE205A" w:rsidRPr="00A15B91" w14:paraId="2569220D" w14:textId="77777777" w:rsidTr="00FE205A">
        <w:tc>
          <w:tcPr>
            <w:tcW w:w="2263" w:type="dxa"/>
            <w:tcBorders>
              <w:top w:val="nil"/>
              <w:bottom w:val="nil"/>
            </w:tcBorders>
          </w:tcPr>
          <w:p w14:paraId="53016E1D" w14:textId="05B6CDDF" w:rsidR="00FE205A" w:rsidRPr="00A15B91" w:rsidRDefault="00FE205A" w:rsidP="00840D89">
            <w:pPr>
              <w:jc w:val="both"/>
              <w:rPr>
                <w:rFonts w:ascii="Arial" w:hAnsi="Arial" w:cs="Arial"/>
                <w:sz w:val="20"/>
                <w:szCs w:val="20"/>
              </w:rPr>
            </w:pPr>
            <w:r w:rsidRPr="00A15B91">
              <w:rPr>
                <w:rFonts w:ascii="Arial" w:hAnsi="Arial" w:cs="Arial"/>
                <w:sz w:val="20"/>
                <w:szCs w:val="20"/>
              </w:rPr>
              <w:t>Cadmium</w:t>
            </w:r>
          </w:p>
        </w:tc>
        <w:tc>
          <w:tcPr>
            <w:tcW w:w="1701" w:type="dxa"/>
            <w:tcBorders>
              <w:top w:val="nil"/>
              <w:bottom w:val="nil"/>
            </w:tcBorders>
          </w:tcPr>
          <w:p w14:paraId="78EA1FAE" w14:textId="12E3F87C" w:rsidR="00FE205A" w:rsidRPr="00A15B91" w:rsidRDefault="00FE205A" w:rsidP="00FE205A">
            <w:pPr>
              <w:jc w:val="center"/>
              <w:rPr>
                <w:rFonts w:ascii="Arial" w:hAnsi="Arial" w:cs="Arial"/>
                <w:sz w:val="20"/>
                <w:szCs w:val="20"/>
              </w:rPr>
            </w:pPr>
            <w:r w:rsidRPr="00A15B91">
              <w:rPr>
                <w:rFonts w:ascii="Arial" w:hAnsi="Arial" w:cs="Arial"/>
                <w:sz w:val="20"/>
                <w:szCs w:val="20"/>
              </w:rPr>
              <w:t>0.017±0.05</w:t>
            </w:r>
          </w:p>
        </w:tc>
        <w:tc>
          <w:tcPr>
            <w:tcW w:w="1843" w:type="dxa"/>
            <w:tcBorders>
              <w:top w:val="nil"/>
              <w:bottom w:val="nil"/>
            </w:tcBorders>
          </w:tcPr>
          <w:p w14:paraId="48CE4B8C" w14:textId="3400DE54" w:rsidR="00FE205A" w:rsidRPr="00A15B91" w:rsidRDefault="00FE205A" w:rsidP="00FE205A">
            <w:pPr>
              <w:jc w:val="center"/>
              <w:rPr>
                <w:rFonts w:ascii="Arial" w:hAnsi="Arial" w:cs="Arial"/>
                <w:sz w:val="20"/>
                <w:szCs w:val="20"/>
              </w:rPr>
            </w:pPr>
            <w:r w:rsidRPr="00A15B91">
              <w:rPr>
                <w:rFonts w:ascii="Arial" w:hAnsi="Arial" w:cs="Arial"/>
                <w:sz w:val="20"/>
                <w:szCs w:val="20"/>
              </w:rPr>
              <w:t>0.014±0.07</w:t>
            </w:r>
          </w:p>
        </w:tc>
        <w:tc>
          <w:tcPr>
            <w:tcW w:w="1701" w:type="dxa"/>
            <w:tcBorders>
              <w:top w:val="nil"/>
              <w:bottom w:val="nil"/>
            </w:tcBorders>
          </w:tcPr>
          <w:p w14:paraId="2D352515" w14:textId="1080DD5D" w:rsidR="00FE205A" w:rsidRPr="00A15B91" w:rsidRDefault="00FE205A" w:rsidP="00FE205A">
            <w:pPr>
              <w:jc w:val="center"/>
              <w:rPr>
                <w:rFonts w:ascii="Arial" w:hAnsi="Arial" w:cs="Arial"/>
                <w:sz w:val="20"/>
                <w:szCs w:val="20"/>
              </w:rPr>
            </w:pPr>
            <w:r w:rsidRPr="00A15B91">
              <w:rPr>
                <w:rFonts w:ascii="Arial" w:hAnsi="Arial" w:cs="Arial"/>
                <w:sz w:val="20"/>
                <w:szCs w:val="20"/>
              </w:rPr>
              <w:t>0.026±0.04</w:t>
            </w:r>
          </w:p>
        </w:tc>
        <w:tc>
          <w:tcPr>
            <w:tcW w:w="1508" w:type="dxa"/>
            <w:tcBorders>
              <w:top w:val="nil"/>
              <w:bottom w:val="nil"/>
            </w:tcBorders>
          </w:tcPr>
          <w:p w14:paraId="6ADC6DB1" w14:textId="5AAF8F1F" w:rsidR="00FE205A" w:rsidRPr="00A15B91" w:rsidRDefault="00FE205A" w:rsidP="00FE205A">
            <w:pPr>
              <w:jc w:val="center"/>
              <w:rPr>
                <w:rFonts w:ascii="Arial" w:hAnsi="Arial" w:cs="Arial"/>
                <w:sz w:val="20"/>
                <w:szCs w:val="20"/>
              </w:rPr>
            </w:pPr>
            <w:r w:rsidRPr="00A15B91">
              <w:rPr>
                <w:rFonts w:ascii="Arial" w:hAnsi="Arial" w:cs="Arial"/>
                <w:sz w:val="20"/>
                <w:szCs w:val="20"/>
              </w:rPr>
              <w:t>0.05</w:t>
            </w:r>
          </w:p>
        </w:tc>
      </w:tr>
      <w:tr w:rsidR="00FE205A" w:rsidRPr="00A15B91" w14:paraId="76231DE4" w14:textId="77777777" w:rsidTr="00FE205A">
        <w:tc>
          <w:tcPr>
            <w:tcW w:w="2263" w:type="dxa"/>
            <w:tcBorders>
              <w:top w:val="nil"/>
            </w:tcBorders>
          </w:tcPr>
          <w:p w14:paraId="4D4C2536" w14:textId="67A60337" w:rsidR="00FE205A" w:rsidRPr="00A15B91" w:rsidRDefault="00FE205A" w:rsidP="00840D89">
            <w:pPr>
              <w:jc w:val="both"/>
              <w:rPr>
                <w:rFonts w:ascii="Arial" w:hAnsi="Arial" w:cs="Arial"/>
                <w:sz w:val="20"/>
                <w:szCs w:val="20"/>
              </w:rPr>
            </w:pPr>
            <w:r w:rsidRPr="00A15B91">
              <w:rPr>
                <w:rFonts w:ascii="Arial" w:hAnsi="Arial" w:cs="Arial"/>
                <w:sz w:val="20"/>
                <w:szCs w:val="20"/>
              </w:rPr>
              <w:t>Zinc</w:t>
            </w:r>
          </w:p>
        </w:tc>
        <w:tc>
          <w:tcPr>
            <w:tcW w:w="1701" w:type="dxa"/>
            <w:tcBorders>
              <w:top w:val="nil"/>
            </w:tcBorders>
          </w:tcPr>
          <w:p w14:paraId="7D3C764F" w14:textId="055C7174" w:rsidR="00FE205A" w:rsidRPr="00A15B91" w:rsidRDefault="00FE205A" w:rsidP="00FE205A">
            <w:pPr>
              <w:jc w:val="center"/>
              <w:rPr>
                <w:rFonts w:ascii="Arial" w:hAnsi="Arial" w:cs="Arial"/>
                <w:sz w:val="20"/>
                <w:szCs w:val="20"/>
              </w:rPr>
            </w:pPr>
            <w:r w:rsidRPr="00A15B91">
              <w:rPr>
                <w:rFonts w:ascii="Arial" w:hAnsi="Arial" w:cs="Arial"/>
                <w:sz w:val="20"/>
                <w:szCs w:val="20"/>
              </w:rPr>
              <w:t>12.039±0.01</w:t>
            </w:r>
          </w:p>
        </w:tc>
        <w:tc>
          <w:tcPr>
            <w:tcW w:w="1843" w:type="dxa"/>
            <w:tcBorders>
              <w:top w:val="nil"/>
            </w:tcBorders>
          </w:tcPr>
          <w:p w14:paraId="1393B1E8" w14:textId="4FFCB8B7" w:rsidR="00FE205A" w:rsidRPr="00A15B91" w:rsidRDefault="00FE205A" w:rsidP="00FE205A">
            <w:pPr>
              <w:jc w:val="center"/>
              <w:rPr>
                <w:rFonts w:ascii="Arial" w:hAnsi="Arial" w:cs="Arial"/>
                <w:sz w:val="20"/>
                <w:szCs w:val="20"/>
              </w:rPr>
            </w:pPr>
            <w:r w:rsidRPr="00A15B91">
              <w:rPr>
                <w:rFonts w:ascii="Arial" w:hAnsi="Arial" w:cs="Arial"/>
                <w:sz w:val="20"/>
                <w:szCs w:val="20"/>
              </w:rPr>
              <w:t>9.027±0.01</w:t>
            </w:r>
          </w:p>
        </w:tc>
        <w:tc>
          <w:tcPr>
            <w:tcW w:w="1701" w:type="dxa"/>
            <w:tcBorders>
              <w:top w:val="nil"/>
            </w:tcBorders>
          </w:tcPr>
          <w:p w14:paraId="241CD8D7" w14:textId="5FA9C2BA" w:rsidR="00FE205A" w:rsidRPr="00A15B91" w:rsidRDefault="00FE205A" w:rsidP="00FE205A">
            <w:pPr>
              <w:jc w:val="center"/>
              <w:rPr>
                <w:rFonts w:ascii="Arial" w:hAnsi="Arial" w:cs="Arial"/>
                <w:sz w:val="20"/>
                <w:szCs w:val="20"/>
              </w:rPr>
            </w:pPr>
            <w:r w:rsidRPr="00A15B91">
              <w:rPr>
                <w:rFonts w:ascii="Arial" w:hAnsi="Arial" w:cs="Arial"/>
                <w:sz w:val="20"/>
                <w:szCs w:val="20"/>
              </w:rPr>
              <w:t>10.011±0.01</w:t>
            </w:r>
          </w:p>
        </w:tc>
        <w:tc>
          <w:tcPr>
            <w:tcW w:w="1508" w:type="dxa"/>
            <w:tcBorders>
              <w:top w:val="nil"/>
            </w:tcBorders>
          </w:tcPr>
          <w:p w14:paraId="01B7757E" w14:textId="7A35EC83" w:rsidR="00FE205A" w:rsidRPr="00A15B91" w:rsidRDefault="00FE205A" w:rsidP="00FE205A">
            <w:pPr>
              <w:jc w:val="center"/>
              <w:rPr>
                <w:rFonts w:ascii="Arial" w:hAnsi="Arial" w:cs="Arial"/>
                <w:sz w:val="20"/>
                <w:szCs w:val="20"/>
              </w:rPr>
            </w:pPr>
            <w:r w:rsidRPr="00A15B91">
              <w:rPr>
                <w:rFonts w:ascii="Arial" w:hAnsi="Arial" w:cs="Arial"/>
                <w:sz w:val="20"/>
                <w:szCs w:val="20"/>
              </w:rPr>
              <w:t>100</w:t>
            </w:r>
          </w:p>
        </w:tc>
      </w:tr>
    </w:tbl>
    <w:p w14:paraId="20115AEF" w14:textId="009BD74F" w:rsidR="00FE205A" w:rsidRPr="002338B6" w:rsidRDefault="002338B6" w:rsidP="00886B09">
      <w:pPr>
        <w:spacing w:before="240"/>
        <w:jc w:val="both"/>
        <w:rPr>
          <w:rFonts w:ascii="Arial" w:hAnsi="Arial" w:cs="Arial"/>
          <w:b/>
          <w:bCs/>
        </w:rPr>
      </w:pPr>
      <w:r>
        <w:rPr>
          <w:rFonts w:ascii="Arial" w:hAnsi="Arial" w:cs="Arial"/>
          <w:b/>
          <w:bCs/>
        </w:rPr>
        <w:t xml:space="preserve">4. </w:t>
      </w:r>
      <w:r w:rsidR="00FE205A" w:rsidRPr="002338B6">
        <w:rPr>
          <w:rFonts w:ascii="Arial" w:hAnsi="Arial" w:cs="Arial"/>
          <w:b/>
          <w:bCs/>
        </w:rPr>
        <w:t>DISCUSSION</w:t>
      </w:r>
    </w:p>
    <w:p w14:paraId="3E855E3A" w14:textId="2664F7A1" w:rsidR="00FE205A" w:rsidRPr="00C07001" w:rsidRDefault="00FE205A" w:rsidP="00E67CED">
      <w:pPr>
        <w:spacing w:after="0"/>
        <w:jc w:val="both"/>
        <w:rPr>
          <w:rFonts w:ascii="Arial" w:hAnsi="Arial" w:cs="Arial"/>
          <w:sz w:val="20"/>
          <w:szCs w:val="20"/>
        </w:rPr>
      </w:pPr>
      <w:r w:rsidRPr="00C07001">
        <w:rPr>
          <w:rFonts w:ascii="Arial" w:hAnsi="Arial" w:cs="Arial"/>
          <w:sz w:val="20"/>
          <w:szCs w:val="20"/>
        </w:rPr>
        <w:t xml:space="preserve">An overall parasite prevalence of </w:t>
      </w:r>
      <w:r w:rsidR="00E01100" w:rsidRPr="00C07001">
        <w:rPr>
          <w:rFonts w:ascii="Arial" w:hAnsi="Arial" w:cs="Arial"/>
          <w:sz w:val="20"/>
          <w:szCs w:val="20"/>
        </w:rPr>
        <w:t>20.0% was recorded in this study; this is comparable with the prevalence reported in some similar studies (Isah et al., 2024; Salami et al., 2025) but disagrees with other studies having higher parasite prevalence (Ambrose &amp;</w:t>
      </w:r>
      <w:r w:rsidR="00272FB8" w:rsidRPr="00C07001">
        <w:rPr>
          <w:rFonts w:ascii="Arial" w:hAnsi="Arial" w:cs="Arial"/>
          <w:sz w:val="20"/>
          <w:szCs w:val="20"/>
        </w:rPr>
        <w:t xml:space="preserve"> </w:t>
      </w:r>
      <w:proofErr w:type="spellStart"/>
      <w:r w:rsidR="00E01100" w:rsidRPr="00C07001">
        <w:rPr>
          <w:rFonts w:ascii="Arial" w:hAnsi="Arial" w:cs="Arial"/>
          <w:sz w:val="20"/>
          <w:szCs w:val="20"/>
        </w:rPr>
        <w:t>Maikai</w:t>
      </w:r>
      <w:proofErr w:type="spellEnd"/>
      <w:r w:rsidR="00E01100" w:rsidRPr="00C07001">
        <w:rPr>
          <w:rFonts w:ascii="Arial" w:hAnsi="Arial" w:cs="Arial"/>
          <w:sz w:val="20"/>
          <w:szCs w:val="20"/>
        </w:rPr>
        <w:t xml:space="preserve">, 2018; Afolabi et al., 2020; </w:t>
      </w:r>
      <w:proofErr w:type="spellStart"/>
      <w:r w:rsidR="00E01100" w:rsidRPr="00C07001">
        <w:rPr>
          <w:rFonts w:ascii="Arial" w:hAnsi="Arial" w:cs="Arial"/>
          <w:sz w:val="20"/>
          <w:szCs w:val="20"/>
        </w:rPr>
        <w:t>Saudaki</w:t>
      </w:r>
      <w:proofErr w:type="spellEnd"/>
      <w:r w:rsidR="00E01100" w:rsidRPr="00C07001">
        <w:rPr>
          <w:rFonts w:ascii="Arial" w:hAnsi="Arial" w:cs="Arial"/>
          <w:sz w:val="20"/>
          <w:szCs w:val="20"/>
        </w:rPr>
        <w:t xml:space="preserve"> et al., 2022). The influence of anthropogenic activities such as swimming, bathing, defecation and laundry may all contribute to the parasite prevalence of aquatic organisms in this study. Unhealthy human actions combined with unfavourable environmental conditions frequently expose aquatic organisms to parasites (</w:t>
      </w:r>
      <w:proofErr w:type="spellStart"/>
      <w:r w:rsidR="00E01100" w:rsidRPr="00C07001">
        <w:rPr>
          <w:rFonts w:ascii="Arial" w:hAnsi="Arial" w:cs="Arial"/>
          <w:sz w:val="20"/>
          <w:szCs w:val="20"/>
        </w:rPr>
        <w:t>Saudaki</w:t>
      </w:r>
      <w:proofErr w:type="spellEnd"/>
      <w:r w:rsidR="00E01100" w:rsidRPr="00C07001">
        <w:rPr>
          <w:rFonts w:ascii="Arial" w:hAnsi="Arial" w:cs="Arial"/>
          <w:sz w:val="20"/>
          <w:szCs w:val="20"/>
        </w:rPr>
        <w:t xml:space="preserve"> et al., 2022).</w:t>
      </w:r>
    </w:p>
    <w:p w14:paraId="7A6C38EF" w14:textId="4AFAE589" w:rsidR="00E01100" w:rsidRPr="00C07001" w:rsidRDefault="00E01100" w:rsidP="00E67CED">
      <w:pPr>
        <w:spacing w:after="0"/>
        <w:jc w:val="both"/>
        <w:rPr>
          <w:rFonts w:ascii="Arial" w:hAnsi="Arial" w:cs="Arial"/>
          <w:sz w:val="20"/>
          <w:szCs w:val="20"/>
        </w:rPr>
      </w:pPr>
      <w:r w:rsidRPr="00C07001">
        <w:rPr>
          <w:rFonts w:ascii="Arial" w:hAnsi="Arial" w:cs="Arial"/>
          <w:sz w:val="20"/>
          <w:szCs w:val="20"/>
        </w:rPr>
        <w:t xml:space="preserve">Parasites identified in this study belonged to four taxonomic groups (protozoa, trematode, cestode and nematode); this agrees with the findings of </w:t>
      </w:r>
      <w:proofErr w:type="gramStart"/>
      <w:r w:rsidR="00B92F2C">
        <w:rPr>
          <w:rFonts w:ascii="Arial" w:hAnsi="Arial" w:cs="Arial"/>
          <w:sz w:val="20"/>
          <w:szCs w:val="20"/>
        </w:rPr>
        <w:t xml:space="preserve">a </w:t>
      </w:r>
      <w:r w:rsidR="00B92F2C" w:rsidRPr="00C07001">
        <w:rPr>
          <w:rFonts w:ascii="Arial" w:hAnsi="Arial" w:cs="Arial"/>
          <w:sz w:val="20"/>
          <w:szCs w:val="20"/>
        </w:rPr>
        <w:t>similar research (Isah et al., 2024)</w:t>
      </w:r>
      <w:proofErr w:type="gramEnd"/>
      <w:r w:rsidRPr="00C07001">
        <w:rPr>
          <w:rFonts w:ascii="Arial" w:hAnsi="Arial" w:cs="Arial"/>
          <w:sz w:val="20"/>
          <w:szCs w:val="20"/>
        </w:rPr>
        <w:t xml:space="preserve">. The parasite with the highest abundance </w:t>
      </w:r>
      <w:r w:rsidR="00B920FD" w:rsidRPr="00C07001">
        <w:rPr>
          <w:rFonts w:ascii="Arial" w:hAnsi="Arial" w:cs="Arial"/>
          <w:sz w:val="20"/>
          <w:szCs w:val="20"/>
        </w:rPr>
        <w:t xml:space="preserve">in the study </w:t>
      </w:r>
      <w:r w:rsidRPr="00C07001">
        <w:rPr>
          <w:rFonts w:ascii="Arial" w:hAnsi="Arial" w:cs="Arial"/>
          <w:sz w:val="20"/>
          <w:szCs w:val="20"/>
        </w:rPr>
        <w:t xml:space="preserve">was </w:t>
      </w:r>
      <w:proofErr w:type="spellStart"/>
      <w:r w:rsidR="00B920FD" w:rsidRPr="00C07001">
        <w:rPr>
          <w:rFonts w:ascii="Arial" w:hAnsi="Arial" w:cs="Arial"/>
          <w:i/>
          <w:iCs/>
          <w:sz w:val="20"/>
          <w:szCs w:val="20"/>
        </w:rPr>
        <w:t>Procamallanus</w:t>
      </w:r>
      <w:proofErr w:type="spellEnd"/>
      <w:r w:rsidR="00B920FD" w:rsidRPr="00C07001">
        <w:rPr>
          <w:rFonts w:ascii="Arial" w:hAnsi="Arial" w:cs="Arial"/>
          <w:sz w:val="20"/>
          <w:szCs w:val="20"/>
        </w:rPr>
        <w:t xml:space="preserve"> (a nematode) and this was also reported by Isah et al. (2024). Most parasites were found </w:t>
      </w:r>
      <w:r w:rsidR="004B0727" w:rsidRPr="00C07001">
        <w:rPr>
          <w:rFonts w:ascii="Arial" w:hAnsi="Arial" w:cs="Arial"/>
          <w:sz w:val="20"/>
          <w:szCs w:val="20"/>
        </w:rPr>
        <w:t xml:space="preserve">in the gastrointestinal tract (GIT) and this was also reported in several similar studies (Ambrose &amp; </w:t>
      </w:r>
      <w:proofErr w:type="spellStart"/>
      <w:r w:rsidR="004B0727" w:rsidRPr="00C07001">
        <w:rPr>
          <w:rFonts w:ascii="Arial" w:hAnsi="Arial" w:cs="Arial"/>
          <w:sz w:val="20"/>
          <w:szCs w:val="20"/>
        </w:rPr>
        <w:t>Maikai</w:t>
      </w:r>
      <w:proofErr w:type="spellEnd"/>
      <w:r w:rsidR="004B0727" w:rsidRPr="00C07001">
        <w:rPr>
          <w:rFonts w:ascii="Arial" w:hAnsi="Arial" w:cs="Arial"/>
          <w:sz w:val="20"/>
          <w:szCs w:val="20"/>
        </w:rPr>
        <w:t xml:space="preserve">, 2018; Afolabi et al., 2020; </w:t>
      </w:r>
      <w:proofErr w:type="spellStart"/>
      <w:r w:rsidR="004B0727" w:rsidRPr="00C07001">
        <w:rPr>
          <w:rFonts w:ascii="Arial" w:hAnsi="Arial" w:cs="Arial"/>
          <w:sz w:val="20"/>
          <w:szCs w:val="20"/>
        </w:rPr>
        <w:t>Saudaki</w:t>
      </w:r>
      <w:proofErr w:type="spellEnd"/>
      <w:r w:rsidR="004B0727" w:rsidRPr="00C07001">
        <w:rPr>
          <w:rFonts w:ascii="Arial" w:hAnsi="Arial" w:cs="Arial"/>
          <w:sz w:val="20"/>
          <w:szCs w:val="20"/>
        </w:rPr>
        <w:t xml:space="preserve"> et al., 2022; Isah et al., 2024; Salami et al., 2025). </w:t>
      </w:r>
      <w:r w:rsidR="00B920FD" w:rsidRPr="00C07001">
        <w:rPr>
          <w:rFonts w:ascii="Arial" w:hAnsi="Arial" w:cs="Arial"/>
          <w:sz w:val="20"/>
          <w:szCs w:val="20"/>
        </w:rPr>
        <w:t xml:space="preserve">The large population of parasites </w:t>
      </w:r>
      <w:r w:rsidR="004B0727" w:rsidRPr="00C07001">
        <w:rPr>
          <w:rFonts w:ascii="Arial" w:hAnsi="Arial" w:cs="Arial"/>
          <w:sz w:val="20"/>
          <w:szCs w:val="20"/>
        </w:rPr>
        <w:t>in the GIT could be due to the presence of parasite ova or cysts in food particles ingested by the aquatic organisms; these parasites are released during intestinal digestion activities (</w:t>
      </w:r>
      <w:proofErr w:type="spellStart"/>
      <w:r w:rsidR="004B0727" w:rsidRPr="00C07001">
        <w:rPr>
          <w:rFonts w:ascii="Arial" w:hAnsi="Arial" w:cs="Arial"/>
          <w:sz w:val="20"/>
          <w:szCs w:val="20"/>
        </w:rPr>
        <w:t>Omeji</w:t>
      </w:r>
      <w:proofErr w:type="spellEnd"/>
      <w:r w:rsidR="004B0727" w:rsidRPr="00C07001">
        <w:rPr>
          <w:rFonts w:ascii="Arial" w:hAnsi="Arial" w:cs="Arial"/>
          <w:sz w:val="20"/>
          <w:szCs w:val="20"/>
        </w:rPr>
        <w:t>, 2012).</w:t>
      </w:r>
    </w:p>
    <w:p w14:paraId="680D3657" w14:textId="314DC7EC" w:rsidR="004B0727" w:rsidRPr="00C07001" w:rsidRDefault="004B0727" w:rsidP="00E67CED">
      <w:pPr>
        <w:spacing w:after="0"/>
        <w:jc w:val="both"/>
        <w:rPr>
          <w:rFonts w:ascii="Arial" w:hAnsi="Arial" w:cs="Arial"/>
          <w:sz w:val="20"/>
          <w:szCs w:val="20"/>
        </w:rPr>
      </w:pPr>
      <w:r w:rsidRPr="00C07001">
        <w:rPr>
          <w:rFonts w:ascii="Arial" w:hAnsi="Arial" w:cs="Arial"/>
          <w:sz w:val="20"/>
          <w:szCs w:val="20"/>
        </w:rPr>
        <w:t>The proximate analysis showed that the sampled aquatic organisms had good nutritional composition and are beneficial to humans when consumed. The discharge of domestic wastes and runoffs from agriculture (pesticides and fertilizers) into water bodies constitute a major threat to hydro-chemical and fauna characteristics (Isah et al., 2024).</w:t>
      </w:r>
    </w:p>
    <w:p w14:paraId="3B073E87" w14:textId="52B152D8" w:rsidR="004B0727" w:rsidRPr="00C07001" w:rsidRDefault="004B0727" w:rsidP="00840D89">
      <w:pPr>
        <w:jc w:val="both"/>
        <w:rPr>
          <w:rFonts w:ascii="Arial" w:hAnsi="Arial" w:cs="Arial"/>
          <w:sz w:val="20"/>
          <w:szCs w:val="20"/>
        </w:rPr>
      </w:pPr>
      <w:r w:rsidRPr="00C07001">
        <w:rPr>
          <w:rFonts w:ascii="Arial" w:hAnsi="Arial" w:cs="Arial"/>
          <w:sz w:val="20"/>
          <w:szCs w:val="20"/>
        </w:rPr>
        <w:t>The concentration of all heavy metals in sampled aquatic organisms were below the WHO permissible limits. However, regular monitoring of the heavy metal concentrations is essential for the safety of seafood consumers.</w:t>
      </w:r>
    </w:p>
    <w:p w14:paraId="350C88B6" w14:textId="1BFA5E48" w:rsidR="004B0727" w:rsidRPr="002262B1" w:rsidRDefault="002262B1" w:rsidP="00840D89">
      <w:pPr>
        <w:jc w:val="both"/>
        <w:rPr>
          <w:rFonts w:ascii="Arial" w:hAnsi="Arial" w:cs="Arial"/>
          <w:b/>
          <w:bCs/>
        </w:rPr>
      </w:pPr>
      <w:r w:rsidRPr="002262B1">
        <w:rPr>
          <w:rFonts w:ascii="Arial" w:hAnsi="Arial" w:cs="Arial"/>
          <w:b/>
          <w:bCs/>
        </w:rPr>
        <w:t xml:space="preserve">5. </w:t>
      </w:r>
      <w:r w:rsidR="004B0727" w:rsidRPr="002262B1">
        <w:rPr>
          <w:rFonts w:ascii="Arial" w:hAnsi="Arial" w:cs="Arial"/>
          <w:b/>
          <w:bCs/>
        </w:rPr>
        <w:t>CONCLUSION</w:t>
      </w:r>
    </w:p>
    <w:p w14:paraId="0C122198" w14:textId="6C1A542D" w:rsidR="004B0727" w:rsidRPr="002262B1" w:rsidRDefault="004B0727" w:rsidP="00840D89">
      <w:pPr>
        <w:jc w:val="both"/>
        <w:rPr>
          <w:rFonts w:ascii="Arial" w:hAnsi="Arial" w:cs="Arial"/>
          <w:sz w:val="20"/>
          <w:szCs w:val="20"/>
        </w:rPr>
      </w:pPr>
      <w:r w:rsidRPr="002262B1">
        <w:rPr>
          <w:rFonts w:ascii="Arial" w:hAnsi="Arial" w:cs="Arial"/>
          <w:sz w:val="20"/>
          <w:szCs w:val="20"/>
        </w:rPr>
        <w:t>Despite the absence of zoonotic parasites, good nutritional composition and low concentration of heavy metals in the sampled aquatic organisms, these organisms should be properly washed and cooked before consumption.</w:t>
      </w:r>
    </w:p>
    <w:p w14:paraId="0BCA6D6E" w14:textId="77777777" w:rsidR="008636DB" w:rsidRPr="0019226C" w:rsidRDefault="00BB36C0" w:rsidP="00840D89">
      <w:pPr>
        <w:jc w:val="both"/>
        <w:rPr>
          <w:rFonts w:ascii="Arial" w:hAnsi="Arial" w:cs="Arial"/>
          <w:b/>
          <w:bCs/>
        </w:rPr>
      </w:pPr>
      <w:r w:rsidRPr="0019226C">
        <w:rPr>
          <w:rFonts w:ascii="Arial" w:hAnsi="Arial" w:cs="Arial"/>
          <w:b/>
          <w:bCs/>
        </w:rPr>
        <w:t>ETHICAL APPROVAL</w:t>
      </w:r>
    </w:p>
    <w:p w14:paraId="216218B1" w14:textId="4A787FC4" w:rsidR="00BB36C0" w:rsidRPr="0019226C" w:rsidRDefault="00BB36C0" w:rsidP="00840D89">
      <w:pPr>
        <w:jc w:val="both"/>
        <w:rPr>
          <w:rFonts w:ascii="Arial" w:hAnsi="Arial" w:cs="Arial"/>
          <w:sz w:val="20"/>
          <w:szCs w:val="20"/>
        </w:rPr>
      </w:pPr>
      <w:r w:rsidRPr="0019226C">
        <w:rPr>
          <w:rFonts w:ascii="Arial" w:hAnsi="Arial" w:cs="Arial"/>
          <w:sz w:val="20"/>
          <w:szCs w:val="20"/>
        </w:rPr>
        <w:t>All authors hereby declare that principles of laboratory animal care (NIH Publication No. 85 – 23, revised 1985) were followed as well as specific National laws were applicable. All experiments have been exami</w:t>
      </w:r>
      <w:r w:rsidR="008636DB" w:rsidRPr="0019226C">
        <w:rPr>
          <w:rFonts w:ascii="Arial" w:hAnsi="Arial" w:cs="Arial"/>
          <w:sz w:val="20"/>
          <w:szCs w:val="20"/>
        </w:rPr>
        <w:t>ned and approved by the appropriate ethics committee.</w:t>
      </w:r>
    </w:p>
    <w:p w14:paraId="547D9263" w14:textId="7EA2B8EA" w:rsidR="00BB36C0" w:rsidRPr="00497644" w:rsidRDefault="00BB36C0" w:rsidP="00840D89">
      <w:pPr>
        <w:jc w:val="both"/>
        <w:rPr>
          <w:rFonts w:ascii="Arial" w:hAnsi="Arial" w:cs="Arial"/>
          <w:b/>
          <w:bCs/>
        </w:rPr>
      </w:pPr>
      <w:r w:rsidRPr="00497644">
        <w:rPr>
          <w:rFonts w:ascii="Arial" w:hAnsi="Arial" w:cs="Arial"/>
          <w:b/>
          <w:bCs/>
        </w:rPr>
        <w:t>DISCLAIMER (ARTIFICAL INTELLIGENCE)</w:t>
      </w:r>
    </w:p>
    <w:p w14:paraId="7E62E2AE" w14:textId="5C9A6C24" w:rsidR="00BB36C0" w:rsidRDefault="008636DB" w:rsidP="00840D89">
      <w:pPr>
        <w:jc w:val="both"/>
        <w:rPr>
          <w:rFonts w:ascii="Arial" w:hAnsi="Arial" w:cs="Arial"/>
          <w:sz w:val="20"/>
          <w:szCs w:val="20"/>
        </w:rPr>
      </w:pPr>
      <w:r w:rsidRPr="00497644">
        <w:rPr>
          <w:rFonts w:ascii="Arial" w:hAnsi="Arial" w:cs="Arial"/>
          <w:sz w:val="20"/>
          <w:szCs w:val="20"/>
        </w:rPr>
        <w:t>A</w:t>
      </w:r>
      <w:r w:rsidR="002F1946" w:rsidRPr="00497644">
        <w:rPr>
          <w:rFonts w:ascii="Arial" w:hAnsi="Arial" w:cs="Arial"/>
          <w:sz w:val="20"/>
          <w:szCs w:val="20"/>
        </w:rPr>
        <w:t>uthors hereby declare that NO generative AI technologies such as Large Language Models (ChatGPT, COPILOT, etc.) and text-to-</w:t>
      </w:r>
      <w:r w:rsidR="00583D8B" w:rsidRPr="00497644">
        <w:rPr>
          <w:rFonts w:ascii="Arial" w:hAnsi="Arial" w:cs="Arial"/>
          <w:sz w:val="20"/>
          <w:szCs w:val="20"/>
        </w:rPr>
        <w:t>image generators have been used during the writing or editing of this manuscript.</w:t>
      </w:r>
    </w:p>
    <w:p w14:paraId="63F76C49" w14:textId="77777777" w:rsidR="006C7D7A" w:rsidRPr="00496A87" w:rsidRDefault="006C7D7A" w:rsidP="006C7D7A">
      <w:pPr>
        <w:jc w:val="both"/>
        <w:rPr>
          <w:rFonts w:ascii="Arial" w:hAnsi="Arial" w:cs="Arial"/>
          <w:b/>
          <w:bCs/>
          <w:highlight w:val="yellow"/>
        </w:rPr>
      </w:pPr>
      <w:r w:rsidRPr="00496A87">
        <w:rPr>
          <w:rFonts w:ascii="Arial" w:hAnsi="Arial" w:cs="Arial"/>
          <w:b/>
          <w:bCs/>
          <w:highlight w:val="yellow"/>
        </w:rPr>
        <w:t>ACKNOWLEDGEMENTS</w:t>
      </w:r>
    </w:p>
    <w:p w14:paraId="2602284E" w14:textId="77777777" w:rsidR="006C7D7A" w:rsidRPr="004E7D47" w:rsidRDefault="006C7D7A" w:rsidP="006C7D7A">
      <w:pPr>
        <w:jc w:val="both"/>
        <w:rPr>
          <w:rFonts w:ascii="Arial" w:hAnsi="Arial" w:cs="Arial"/>
          <w:sz w:val="20"/>
          <w:szCs w:val="20"/>
        </w:rPr>
      </w:pPr>
      <w:r w:rsidRPr="00496A87">
        <w:rPr>
          <w:rFonts w:ascii="Arial" w:hAnsi="Arial" w:cs="Arial"/>
          <w:sz w:val="20"/>
          <w:szCs w:val="20"/>
          <w:highlight w:val="yellow"/>
        </w:rPr>
        <w:lastRenderedPageBreak/>
        <w:t xml:space="preserve">Authors thank the local fishermen that assisted in the collection of sampled aquatic organisms as well as Miss C. E. </w:t>
      </w:r>
      <w:proofErr w:type="spellStart"/>
      <w:r w:rsidRPr="00496A87">
        <w:rPr>
          <w:rFonts w:ascii="Arial" w:hAnsi="Arial" w:cs="Arial"/>
          <w:sz w:val="20"/>
          <w:szCs w:val="20"/>
          <w:highlight w:val="yellow"/>
        </w:rPr>
        <w:t>Onunwo</w:t>
      </w:r>
      <w:proofErr w:type="spellEnd"/>
      <w:r w:rsidRPr="00496A87">
        <w:rPr>
          <w:rFonts w:ascii="Arial" w:hAnsi="Arial" w:cs="Arial"/>
          <w:sz w:val="20"/>
          <w:szCs w:val="20"/>
          <w:highlight w:val="yellow"/>
        </w:rPr>
        <w:t xml:space="preserve"> and Miss P. O. </w:t>
      </w:r>
      <w:proofErr w:type="spellStart"/>
      <w:r w:rsidRPr="00496A87">
        <w:rPr>
          <w:rFonts w:ascii="Arial" w:hAnsi="Arial" w:cs="Arial"/>
          <w:sz w:val="20"/>
          <w:szCs w:val="20"/>
          <w:highlight w:val="yellow"/>
        </w:rPr>
        <w:t>Ilevba</w:t>
      </w:r>
      <w:proofErr w:type="spellEnd"/>
      <w:r w:rsidRPr="00496A87">
        <w:rPr>
          <w:rFonts w:ascii="Arial" w:hAnsi="Arial" w:cs="Arial"/>
          <w:sz w:val="20"/>
          <w:szCs w:val="20"/>
          <w:highlight w:val="yellow"/>
        </w:rPr>
        <w:t xml:space="preserve"> for their invaluable contributions during sample analysis.</w:t>
      </w:r>
    </w:p>
    <w:p w14:paraId="5C5FEAE6" w14:textId="09317B85" w:rsidR="00BB36C0" w:rsidRPr="004E7D47" w:rsidRDefault="00BB36C0" w:rsidP="00840D89">
      <w:pPr>
        <w:jc w:val="both"/>
        <w:rPr>
          <w:rFonts w:ascii="Arial" w:hAnsi="Arial" w:cs="Arial"/>
          <w:b/>
          <w:bCs/>
        </w:rPr>
      </w:pPr>
      <w:r w:rsidRPr="004E7D47">
        <w:rPr>
          <w:rFonts w:ascii="Arial" w:hAnsi="Arial" w:cs="Arial"/>
          <w:b/>
          <w:bCs/>
        </w:rPr>
        <w:t>REFERENCES</w:t>
      </w:r>
    </w:p>
    <w:p w14:paraId="624C1906" w14:textId="77777777" w:rsidR="000B2E7B" w:rsidRPr="002C429B" w:rsidRDefault="000B2E7B" w:rsidP="004E7D47">
      <w:pPr>
        <w:ind w:left="709" w:hanging="709"/>
        <w:jc w:val="both"/>
        <w:rPr>
          <w:rFonts w:ascii="Arial" w:hAnsi="Arial" w:cs="Arial"/>
          <w:sz w:val="20"/>
          <w:szCs w:val="20"/>
        </w:rPr>
      </w:pPr>
      <w:r w:rsidRPr="002C429B">
        <w:rPr>
          <w:rFonts w:ascii="Arial" w:hAnsi="Arial" w:cs="Arial"/>
          <w:sz w:val="20"/>
          <w:szCs w:val="20"/>
        </w:rPr>
        <w:t xml:space="preserve">Afolabi, O. J., </w:t>
      </w:r>
      <w:proofErr w:type="spellStart"/>
      <w:r w:rsidRPr="002C429B">
        <w:rPr>
          <w:rFonts w:ascii="Arial" w:hAnsi="Arial" w:cs="Arial"/>
          <w:sz w:val="20"/>
          <w:szCs w:val="20"/>
        </w:rPr>
        <w:t>Olususi</w:t>
      </w:r>
      <w:proofErr w:type="spellEnd"/>
      <w:r w:rsidRPr="002C429B">
        <w:rPr>
          <w:rFonts w:ascii="Arial" w:hAnsi="Arial" w:cs="Arial"/>
          <w:sz w:val="20"/>
          <w:szCs w:val="20"/>
        </w:rPr>
        <w:t xml:space="preserve">, E. C. &amp; Odeyemi, O. O. (2020). Comparative study of African catfish parasites from cultured and natural habitats. </w:t>
      </w:r>
      <w:r w:rsidRPr="002C429B">
        <w:rPr>
          <w:rFonts w:ascii="Arial" w:hAnsi="Arial" w:cs="Arial"/>
          <w:i/>
          <w:iCs/>
          <w:sz w:val="20"/>
          <w:szCs w:val="20"/>
        </w:rPr>
        <w:t>Bulletin of National Research Centre</w:t>
      </w:r>
      <w:r w:rsidRPr="002C429B">
        <w:rPr>
          <w:rFonts w:ascii="Arial" w:hAnsi="Arial" w:cs="Arial"/>
          <w:sz w:val="20"/>
          <w:szCs w:val="20"/>
        </w:rPr>
        <w:t>, 44: 163</w:t>
      </w:r>
    </w:p>
    <w:p w14:paraId="1C68D505" w14:textId="77777777" w:rsidR="000B2E7B" w:rsidRPr="002C429B" w:rsidRDefault="000B2E7B" w:rsidP="004E7D47">
      <w:pPr>
        <w:ind w:left="709" w:hanging="709"/>
        <w:jc w:val="both"/>
        <w:rPr>
          <w:rFonts w:ascii="Arial" w:hAnsi="Arial" w:cs="Arial"/>
          <w:sz w:val="20"/>
          <w:szCs w:val="20"/>
        </w:rPr>
      </w:pPr>
      <w:r w:rsidRPr="002C429B">
        <w:rPr>
          <w:rFonts w:ascii="Arial" w:hAnsi="Arial" w:cs="Arial"/>
          <w:sz w:val="20"/>
          <w:szCs w:val="20"/>
        </w:rPr>
        <w:t xml:space="preserve">Ambrose, V. &amp; </w:t>
      </w:r>
      <w:proofErr w:type="spellStart"/>
      <w:r w:rsidRPr="002C429B">
        <w:rPr>
          <w:rFonts w:ascii="Arial" w:hAnsi="Arial" w:cs="Arial"/>
          <w:sz w:val="20"/>
          <w:szCs w:val="20"/>
        </w:rPr>
        <w:t>Maikai</w:t>
      </w:r>
      <w:proofErr w:type="spellEnd"/>
      <w:r w:rsidRPr="002C429B">
        <w:rPr>
          <w:rFonts w:ascii="Arial" w:hAnsi="Arial" w:cs="Arial"/>
          <w:sz w:val="20"/>
          <w:szCs w:val="20"/>
        </w:rPr>
        <w:t>, B. (2018). Survey of gastrointestinal parasites in African catfish (</w:t>
      </w:r>
      <w:r w:rsidRPr="002C429B">
        <w:rPr>
          <w:rFonts w:ascii="Arial" w:hAnsi="Arial" w:cs="Arial"/>
          <w:i/>
          <w:iCs/>
          <w:sz w:val="20"/>
          <w:szCs w:val="20"/>
        </w:rPr>
        <w:t>Clarias</w:t>
      </w:r>
      <w:r w:rsidRPr="002C429B">
        <w:rPr>
          <w:rFonts w:ascii="Arial" w:hAnsi="Arial" w:cs="Arial"/>
          <w:sz w:val="20"/>
          <w:szCs w:val="20"/>
        </w:rPr>
        <w:t xml:space="preserve"> </w:t>
      </w:r>
      <w:proofErr w:type="spellStart"/>
      <w:r w:rsidRPr="002C429B">
        <w:rPr>
          <w:rFonts w:ascii="Arial" w:hAnsi="Arial" w:cs="Arial"/>
          <w:i/>
          <w:iCs/>
          <w:sz w:val="20"/>
          <w:szCs w:val="20"/>
        </w:rPr>
        <w:t>gariepinus</w:t>
      </w:r>
      <w:proofErr w:type="spellEnd"/>
      <w:r w:rsidRPr="002C429B">
        <w:rPr>
          <w:rFonts w:ascii="Arial" w:hAnsi="Arial" w:cs="Arial"/>
          <w:sz w:val="20"/>
          <w:szCs w:val="20"/>
        </w:rPr>
        <w:t xml:space="preserve">) in some fish ponds in Kaduna Metropolis, Nigeria. </w:t>
      </w:r>
      <w:r w:rsidRPr="002C429B">
        <w:rPr>
          <w:rFonts w:ascii="Arial" w:hAnsi="Arial" w:cs="Arial"/>
          <w:i/>
          <w:iCs/>
          <w:sz w:val="20"/>
          <w:szCs w:val="20"/>
        </w:rPr>
        <w:t>Journal of Animal Science and Veterinary</w:t>
      </w:r>
      <w:r w:rsidRPr="002C429B">
        <w:rPr>
          <w:rFonts w:ascii="Arial" w:hAnsi="Arial" w:cs="Arial"/>
          <w:sz w:val="20"/>
          <w:szCs w:val="20"/>
        </w:rPr>
        <w:t xml:space="preserve"> </w:t>
      </w:r>
      <w:r w:rsidRPr="002C429B">
        <w:rPr>
          <w:rFonts w:ascii="Arial" w:hAnsi="Arial" w:cs="Arial"/>
          <w:i/>
          <w:iCs/>
          <w:sz w:val="20"/>
          <w:szCs w:val="20"/>
        </w:rPr>
        <w:t>Medicine</w:t>
      </w:r>
      <w:r w:rsidRPr="002C429B">
        <w:rPr>
          <w:rFonts w:ascii="Arial" w:hAnsi="Arial" w:cs="Arial"/>
          <w:sz w:val="20"/>
          <w:szCs w:val="20"/>
        </w:rPr>
        <w:t>, 3: 184 – 198</w:t>
      </w:r>
    </w:p>
    <w:p w14:paraId="7CC0F27C" w14:textId="77777777" w:rsidR="000B2E7B" w:rsidRPr="002C429B" w:rsidRDefault="000B2E7B" w:rsidP="004E7D47">
      <w:pPr>
        <w:ind w:left="709" w:hanging="709"/>
        <w:jc w:val="both"/>
        <w:rPr>
          <w:rFonts w:ascii="Arial" w:hAnsi="Arial" w:cs="Arial"/>
          <w:sz w:val="20"/>
          <w:szCs w:val="20"/>
        </w:rPr>
      </w:pPr>
      <w:r w:rsidRPr="002C429B">
        <w:rPr>
          <w:rFonts w:ascii="Arial" w:hAnsi="Arial" w:cs="Arial"/>
          <w:sz w:val="20"/>
          <w:szCs w:val="20"/>
        </w:rPr>
        <w:t>AOAC (1999). Association of Official Analytical Chemists, Washington DC, USA, p.77</w:t>
      </w:r>
    </w:p>
    <w:p w14:paraId="11237ECE" w14:textId="77777777" w:rsidR="000B2E7B" w:rsidRPr="002C429B" w:rsidRDefault="000B2E7B" w:rsidP="004E7D47">
      <w:pPr>
        <w:ind w:left="709" w:hanging="709"/>
        <w:jc w:val="both"/>
        <w:rPr>
          <w:rFonts w:ascii="Arial" w:hAnsi="Arial" w:cs="Arial"/>
          <w:sz w:val="20"/>
          <w:szCs w:val="20"/>
        </w:rPr>
      </w:pPr>
      <w:r w:rsidRPr="002C429B">
        <w:rPr>
          <w:rFonts w:ascii="Arial" w:hAnsi="Arial" w:cs="Arial"/>
          <w:sz w:val="20"/>
          <w:szCs w:val="20"/>
        </w:rPr>
        <w:t>AOAC (2005). Association of official Analytical Chemists, Official Method of Analysis 13th (Ed) Washington DC USA, p. 125 – 127</w:t>
      </w:r>
    </w:p>
    <w:p w14:paraId="19C44CC6" w14:textId="77777777" w:rsidR="000B2E7B" w:rsidRPr="002C429B" w:rsidRDefault="000B2E7B" w:rsidP="004E7D47">
      <w:pPr>
        <w:ind w:left="709" w:hanging="709"/>
        <w:jc w:val="both"/>
        <w:rPr>
          <w:rFonts w:ascii="Arial" w:hAnsi="Arial" w:cs="Arial"/>
          <w:sz w:val="20"/>
          <w:szCs w:val="20"/>
        </w:rPr>
      </w:pPr>
      <w:r w:rsidRPr="002C429B">
        <w:rPr>
          <w:rFonts w:ascii="Arial" w:hAnsi="Arial" w:cs="Arial"/>
          <w:sz w:val="20"/>
          <w:szCs w:val="20"/>
        </w:rPr>
        <w:t xml:space="preserve">Eze, C. N., </w:t>
      </w:r>
      <w:proofErr w:type="spellStart"/>
      <w:r w:rsidRPr="002C429B">
        <w:rPr>
          <w:rFonts w:ascii="Arial" w:hAnsi="Arial" w:cs="Arial"/>
          <w:sz w:val="20"/>
          <w:szCs w:val="20"/>
        </w:rPr>
        <w:t>Owhoeli</w:t>
      </w:r>
      <w:proofErr w:type="spellEnd"/>
      <w:r w:rsidRPr="002C429B">
        <w:rPr>
          <w:rFonts w:ascii="Arial" w:hAnsi="Arial" w:cs="Arial"/>
          <w:sz w:val="20"/>
          <w:szCs w:val="20"/>
        </w:rPr>
        <w:t>, O. &amp; Chukwuma, D. T. (2020). Isolation of parasite in blue swimming crab (</w:t>
      </w:r>
      <w:r w:rsidRPr="002C429B">
        <w:rPr>
          <w:rFonts w:ascii="Arial" w:hAnsi="Arial" w:cs="Arial"/>
          <w:i/>
          <w:iCs/>
          <w:sz w:val="20"/>
          <w:szCs w:val="20"/>
        </w:rPr>
        <w:t>Callinectes amnicola</w:t>
      </w:r>
      <w:r w:rsidRPr="002C429B">
        <w:rPr>
          <w:rFonts w:ascii="Arial" w:hAnsi="Arial" w:cs="Arial"/>
          <w:sz w:val="20"/>
          <w:szCs w:val="20"/>
        </w:rPr>
        <w:t xml:space="preserve">) from Elechi creek in Port Harcourt, Rivers State, Nigeria. </w:t>
      </w:r>
      <w:r w:rsidRPr="002C429B">
        <w:rPr>
          <w:rFonts w:ascii="Arial" w:hAnsi="Arial" w:cs="Arial"/>
          <w:i/>
          <w:iCs/>
          <w:sz w:val="20"/>
          <w:szCs w:val="20"/>
        </w:rPr>
        <w:t>Journal of Agricultural Science and Food Technology</w:t>
      </w:r>
      <w:r w:rsidRPr="002C429B">
        <w:rPr>
          <w:rFonts w:ascii="Arial" w:hAnsi="Arial" w:cs="Arial"/>
          <w:sz w:val="20"/>
          <w:szCs w:val="20"/>
        </w:rPr>
        <w:t>, 6(5): 87 – 93</w:t>
      </w:r>
    </w:p>
    <w:p w14:paraId="1AC21AA7" w14:textId="77777777" w:rsidR="000B2E7B" w:rsidRPr="002C429B" w:rsidRDefault="000B2E7B" w:rsidP="004E7D47">
      <w:pPr>
        <w:ind w:left="709" w:hanging="709"/>
        <w:jc w:val="both"/>
        <w:rPr>
          <w:rFonts w:ascii="Arial" w:hAnsi="Arial" w:cs="Arial"/>
          <w:sz w:val="20"/>
          <w:szCs w:val="20"/>
        </w:rPr>
      </w:pPr>
      <w:r w:rsidRPr="002C429B">
        <w:rPr>
          <w:rFonts w:ascii="Arial" w:hAnsi="Arial" w:cs="Arial"/>
          <w:sz w:val="20"/>
          <w:szCs w:val="20"/>
        </w:rPr>
        <w:t xml:space="preserve">Ibrahim, Z. A., </w:t>
      </w:r>
      <w:proofErr w:type="spellStart"/>
      <w:r w:rsidRPr="002C429B">
        <w:rPr>
          <w:rFonts w:ascii="Arial" w:hAnsi="Arial" w:cs="Arial"/>
          <w:sz w:val="20"/>
          <w:szCs w:val="20"/>
        </w:rPr>
        <w:t>Aken’Ova</w:t>
      </w:r>
      <w:proofErr w:type="spellEnd"/>
      <w:r w:rsidRPr="002C429B">
        <w:rPr>
          <w:rFonts w:ascii="Arial" w:hAnsi="Arial" w:cs="Arial"/>
          <w:sz w:val="20"/>
          <w:szCs w:val="20"/>
        </w:rPr>
        <w:t xml:space="preserve">, T. &amp; Luka, S. A. (2020). Nematode infections of Clariid and Claroteid catfish species in River </w:t>
      </w:r>
      <w:proofErr w:type="spellStart"/>
      <w:r w:rsidRPr="002C429B">
        <w:rPr>
          <w:rFonts w:ascii="Arial" w:hAnsi="Arial" w:cs="Arial"/>
          <w:sz w:val="20"/>
          <w:szCs w:val="20"/>
        </w:rPr>
        <w:t>Galma</w:t>
      </w:r>
      <w:proofErr w:type="spellEnd"/>
      <w:r w:rsidRPr="002C429B">
        <w:rPr>
          <w:rFonts w:ascii="Arial" w:hAnsi="Arial" w:cs="Arial"/>
          <w:sz w:val="20"/>
          <w:szCs w:val="20"/>
        </w:rPr>
        <w:t xml:space="preserve">, Zaria Nigeria. </w:t>
      </w:r>
      <w:r w:rsidRPr="002C429B">
        <w:rPr>
          <w:rFonts w:ascii="Arial" w:hAnsi="Arial" w:cs="Arial"/>
          <w:i/>
          <w:iCs/>
          <w:sz w:val="20"/>
          <w:szCs w:val="20"/>
        </w:rPr>
        <w:t xml:space="preserve">Nigerian Journal of Parasitology, </w:t>
      </w:r>
      <w:r w:rsidRPr="002C429B">
        <w:rPr>
          <w:rFonts w:ascii="Arial" w:hAnsi="Arial" w:cs="Arial"/>
          <w:sz w:val="20"/>
          <w:szCs w:val="20"/>
        </w:rPr>
        <w:t>41(1): 14 – 20</w:t>
      </w:r>
    </w:p>
    <w:p w14:paraId="23854087" w14:textId="77777777" w:rsidR="000B2E7B" w:rsidRPr="002C429B" w:rsidRDefault="000B2E7B" w:rsidP="004E7D47">
      <w:pPr>
        <w:ind w:left="709" w:hanging="709"/>
        <w:jc w:val="both"/>
        <w:rPr>
          <w:rFonts w:ascii="Arial" w:hAnsi="Arial" w:cs="Arial"/>
          <w:sz w:val="20"/>
          <w:szCs w:val="20"/>
        </w:rPr>
      </w:pPr>
      <w:proofErr w:type="spellStart"/>
      <w:r w:rsidRPr="002C429B">
        <w:rPr>
          <w:rFonts w:ascii="Arial" w:hAnsi="Arial" w:cs="Arial"/>
          <w:sz w:val="20"/>
          <w:szCs w:val="20"/>
        </w:rPr>
        <w:t>Idodo</w:t>
      </w:r>
      <w:proofErr w:type="spellEnd"/>
      <w:r w:rsidRPr="002C429B">
        <w:rPr>
          <w:rFonts w:ascii="Arial" w:hAnsi="Arial" w:cs="Arial"/>
          <w:sz w:val="20"/>
          <w:szCs w:val="20"/>
        </w:rPr>
        <w:t xml:space="preserve">-Umeh, G. (2003). </w:t>
      </w:r>
      <w:r w:rsidRPr="002C429B">
        <w:rPr>
          <w:rFonts w:ascii="Arial" w:hAnsi="Arial" w:cs="Arial"/>
          <w:i/>
          <w:iCs/>
          <w:sz w:val="20"/>
          <w:szCs w:val="20"/>
        </w:rPr>
        <w:t>Freshwater fishes of Nigeria (taxonomy, Ecological Notes, Diet and Utilization).</w:t>
      </w:r>
      <w:r w:rsidRPr="002C429B">
        <w:rPr>
          <w:rFonts w:ascii="Arial" w:hAnsi="Arial" w:cs="Arial"/>
          <w:sz w:val="20"/>
          <w:szCs w:val="20"/>
        </w:rPr>
        <w:t xml:space="preserve"> </w:t>
      </w:r>
      <w:proofErr w:type="spellStart"/>
      <w:r w:rsidRPr="002C429B">
        <w:rPr>
          <w:rFonts w:ascii="Arial" w:hAnsi="Arial" w:cs="Arial"/>
          <w:sz w:val="20"/>
          <w:szCs w:val="20"/>
        </w:rPr>
        <w:t>Idodo</w:t>
      </w:r>
      <w:proofErr w:type="spellEnd"/>
      <w:r w:rsidRPr="002C429B">
        <w:rPr>
          <w:rFonts w:ascii="Arial" w:hAnsi="Arial" w:cs="Arial"/>
          <w:sz w:val="20"/>
          <w:szCs w:val="20"/>
        </w:rPr>
        <w:t>-Umeh Publishers Limited, p. 408</w:t>
      </w:r>
    </w:p>
    <w:p w14:paraId="4A0935F0" w14:textId="77777777" w:rsidR="000B2E7B" w:rsidRPr="002C429B" w:rsidRDefault="000B2E7B" w:rsidP="004E7D47">
      <w:pPr>
        <w:ind w:left="709" w:hanging="709"/>
        <w:jc w:val="both"/>
        <w:rPr>
          <w:rFonts w:ascii="Arial" w:hAnsi="Arial" w:cs="Arial"/>
          <w:sz w:val="20"/>
          <w:szCs w:val="20"/>
        </w:rPr>
      </w:pPr>
      <w:r w:rsidRPr="002C429B">
        <w:rPr>
          <w:rFonts w:ascii="Arial" w:hAnsi="Arial" w:cs="Arial"/>
          <w:sz w:val="20"/>
          <w:szCs w:val="20"/>
        </w:rPr>
        <w:t xml:space="preserve">Isah, M. A., Ameh, S. M. &amp; </w:t>
      </w:r>
      <w:proofErr w:type="spellStart"/>
      <w:r w:rsidRPr="002C429B">
        <w:rPr>
          <w:rFonts w:ascii="Arial" w:hAnsi="Arial" w:cs="Arial"/>
          <w:sz w:val="20"/>
          <w:szCs w:val="20"/>
        </w:rPr>
        <w:t>Banyigyi</w:t>
      </w:r>
      <w:proofErr w:type="spellEnd"/>
      <w:r w:rsidRPr="002C429B">
        <w:rPr>
          <w:rFonts w:ascii="Arial" w:hAnsi="Arial" w:cs="Arial"/>
          <w:sz w:val="20"/>
          <w:szCs w:val="20"/>
        </w:rPr>
        <w:t xml:space="preserve">, A. H. (2024). Prevalence of </w:t>
      </w:r>
      <w:proofErr w:type="spellStart"/>
      <w:r w:rsidRPr="002C429B">
        <w:rPr>
          <w:rFonts w:ascii="Arial" w:hAnsi="Arial" w:cs="Arial"/>
          <w:sz w:val="20"/>
          <w:szCs w:val="20"/>
        </w:rPr>
        <w:t>ecto</w:t>
      </w:r>
      <w:proofErr w:type="spellEnd"/>
      <w:r w:rsidRPr="002C429B">
        <w:rPr>
          <w:rFonts w:ascii="Arial" w:hAnsi="Arial" w:cs="Arial"/>
          <w:sz w:val="20"/>
          <w:szCs w:val="20"/>
        </w:rPr>
        <w:t xml:space="preserve"> and endo parasites of white catfish (</w:t>
      </w:r>
      <w:proofErr w:type="spellStart"/>
      <w:r w:rsidRPr="002C429B">
        <w:rPr>
          <w:rFonts w:ascii="Arial" w:hAnsi="Arial" w:cs="Arial"/>
          <w:i/>
          <w:iCs/>
          <w:sz w:val="20"/>
          <w:szCs w:val="20"/>
        </w:rPr>
        <w:t>Ameirus</w:t>
      </w:r>
      <w:proofErr w:type="spellEnd"/>
      <w:r w:rsidRPr="002C429B">
        <w:rPr>
          <w:rFonts w:ascii="Arial" w:hAnsi="Arial" w:cs="Arial"/>
          <w:i/>
          <w:iCs/>
          <w:sz w:val="20"/>
          <w:szCs w:val="20"/>
        </w:rPr>
        <w:t xml:space="preserve"> catus</w:t>
      </w:r>
      <w:r w:rsidRPr="002C429B">
        <w:rPr>
          <w:rFonts w:ascii="Arial" w:hAnsi="Arial" w:cs="Arial"/>
          <w:sz w:val="20"/>
          <w:szCs w:val="20"/>
        </w:rPr>
        <w:t xml:space="preserve">) in Uke River, Karu Local Government Area of Nasarawa State, Nigeria. </w:t>
      </w:r>
      <w:r w:rsidRPr="002C429B">
        <w:rPr>
          <w:rFonts w:ascii="Arial" w:hAnsi="Arial" w:cs="Arial"/>
          <w:i/>
          <w:iCs/>
          <w:sz w:val="20"/>
          <w:szCs w:val="20"/>
        </w:rPr>
        <w:t>FUDMA Journal of Sciences</w:t>
      </w:r>
      <w:r w:rsidRPr="002C429B">
        <w:rPr>
          <w:rFonts w:ascii="Arial" w:hAnsi="Arial" w:cs="Arial"/>
          <w:sz w:val="20"/>
          <w:szCs w:val="20"/>
        </w:rPr>
        <w:t>, 8(3): 373 – 378</w:t>
      </w:r>
    </w:p>
    <w:p w14:paraId="5E67092F" w14:textId="77777777" w:rsidR="000B2E7B" w:rsidRPr="002C429B" w:rsidRDefault="000B2E7B" w:rsidP="004E7D47">
      <w:pPr>
        <w:ind w:left="709" w:hanging="709"/>
        <w:jc w:val="both"/>
        <w:rPr>
          <w:rFonts w:ascii="Arial" w:hAnsi="Arial" w:cs="Arial"/>
          <w:sz w:val="20"/>
          <w:szCs w:val="20"/>
        </w:rPr>
      </w:pPr>
      <w:r w:rsidRPr="002C429B">
        <w:rPr>
          <w:rFonts w:ascii="Arial" w:hAnsi="Arial" w:cs="Arial"/>
          <w:sz w:val="20"/>
          <w:szCs w:val="20"/>
        </w:rPr>
        <w:t xml:space="preserve">Mansur, A., Faruk, U., Kabiru, J. U., </w:t>
      </w:r>
      <w:proofErr w:type="spellStart"/>
      <w:r w:rsidRPr="002C429B">
        <w:rPr>
          <w:rFonts w:ascii="Arial" w:hAnsi="Arial" w:cs="Arial"/>
          <w:sz w:val="20"/>
          <w:szCs w:val="20"/>
        </w:rPr>
        <w:t>Yaquba</w:t>
      </w:r>
      <w:proofErr w:type="spellEnd"/>
      <w:r w:rsidRPr="002C429B">
        <w:rPr>
          <w:rFonts w:ascii="Arial" w:hAnsi="Arial" w:cs="Arial"/>
          <w:sz w:val="20"/>
          <w:szCs w:val="20"/>
        </w:rPr>
        <w:t xml:space="preserve">, M. S. &amp; Yahaya, N. (2018). Proximate, mineral and heavy metal analysis of some fish species caught from Shagari Earth Dam. </w:t>
      </w:r>
      <w:r w:rsidRPr="002C429B">
        <w:rPr>
          <w:rFonts w:ascii="Arial" w:hAnsi="Arial" w:cs="Arial"/>
          <w:i/>
          <w:iCs/>
          <w:sz w:val="20"/>
          <w:szCs w:val="20"/>
        </w:rPr>
        <w:t>Journal of Applied Chemistry</w:t>
      </w:r>
      <w:r w:rsidRPr="002C429B">
        <w:rPr>
          <w:rFonts w:ascii="Arial" w:hAnsi="Arial" w:cs="Arial"/>
          <w:sz w:val="20"/>
          <w:szCs w:val="20"/>
        </w:rPr>
        <w:t>, 11(1): 55 – 58</w:t>
      </w:r>
    </w:p>
    <w:p w14:paraId="31D8377A" w14:textId="77777777" w:rsidR="000B2E7B" w:rsidRPr="002C429B" w:rsidRDefault="000B2E7B" w:rsidP="004E7D47">
      <w:pPr>
        <w:ind w:left="709" w:hanging="709"/>
        <w:jc w:val="both"/>
        <w:rPr>
          <w:rFonts w:ascii="Arial" w:hAnsi="Arial" w:cs="Arial"/>
          <w:sz w:val="20"/>
          <w:szCs w:val="20"/>
        </w:rPr>
      </w:pPr>
      <w:r w:rsidRPr="002C429B">
        <w:rPr>
          <w:rFonts w:ascii="Arial" w:hAnsi="Arial" w:cs="Arial"/>
          <w:sz w:val="20"/>
          <w:szCs w:val="20"/>
        </w:rPr>
        <w:t xml:space="preserve">Mishra, S. O. (2020). Significance of fish nutrients for human health. </w:t>
      </w:r>
      <w:r w:rsidRPr="002C429B">
        <w:rPr>
          <w:rFonts w:ascii="Arial" w:hAnsi="Arial" w:cs="Arial"/>
          <w:i/>
          <w:iCs/>
          <w:sz w:val="20"/>
          <w:szCs w:val="20"/>
        </w:rPr>
        <w:t>International Journal of fisheries and Aquatic Research</w:t>
      </w:r>
      <w:r w:rsidRPr="002C429B">
        <w:rPr>
          <w:rFonts w:ascii="Arial" w:hAnsi="Arial" w:cs="Arial"/>
          <w:sz w:val="20"/>
          <w:szCs w:val="20"/>
        </w:rPr>
        <w:t>, 5(3): 47 – 49</w:t>
      </w:r>
    </w:p>
    <w:p w14:paraId="4ED51045" w14:textId="77777777" w:rsidR="000B2E7B" w:rsidRPr="002C429B" w:rsidRDefault="000B2E7B" w:rsidP="004E7D47">
      <w:pPr>
        <w:ind w:left="709" w:hanging="709"/>
        <w:jc w:val="both"/>
        <w:rPr>
          <w:rFonts w:ascii="Arial" w:hAnsi="Arial" w:cs="Arial"/>
          <w:sz w:val="20"/>
          <w:szCs w:val="20"/>
        </w:rPr>
      </w:pPr>
      <w:r w:rsidRPr="002C429B">
        <w:rPr>
          <w:rFonts w:ascii="Arial" w:hAnsi="Arial" w:cs="Arial"/>
          <w:sz w:val="20"/>
          <w:szCs w:val="20"/>
        </w:rPr>
        <w:t xml:space="preserve">Nweke, D. O., Sikoki, F. D. &amp; </w:t>
      </w:r>
      <w:proofErr w:type="spellStart"/>
      <w:r w:rsidRPr="002C429B">
        <w:rPr>
          <w:rFonts w:ascii="Arial" w:hAnsi="Arial" w:cs="Arial"/>
          <w:sz w:val="20"/>
          <w:szCs w:val="20"/>
        </w:rPr>
        <w:t>Nzeako</w:t>
      </w:r>
      <w:proofErr w:type="spellEnd"/>
      <w:r w:rsidRPr="002C429B">
        <w:rPr>
          <w:rFonts w:ascii="Arial" w:hAnsi="Arial" w:cs="Arial"/>
          <w:sz w:val="20"/>
          <w:szCs w:val="20"/>
        </w:rPr>
        <w:t xml:space="preserve">, S. O. (2018). Comparative study of parasitic loads of </w:t>
      </w:r>
      <w:r w:rsidRPr="002C429B">
        <w:rPr>
          <w:rFonts w:ascii="Arial" w:hAnsi="Arial" w:cs="Arial"/>
          <w:i/>
          <w:iCs/>
          <w:sz w:val="20"/>
          <w:szCs w:val="20"/>
        </w:rPr>
        <w:t xml:space="preserve">Callinectes amnicola </w:t>
      </w:r>
      <w:r w:rsidRPr="002C429B">
        <w:rPr>
          <w:rFonts w:ascii="Arial" w:hAnsi="Arial" w:cs="Arial"/>
          <w:sz w:val="20"/>
          <w:szCs w:val="20"/>
        </w:rPr>
        <w:t xml:space="preserve">and </w:t>
      </w:r>
      <w:r w:rsidRPr="002C429B">
        <w:rPr>
          <w:rFonts w:ascii="Arial" w:hAnsi="Arial" w:cs="Arial"/>
          <w:i/>
          <w:iCs/>
          <w:sz w:val="20"/>
          <w:szCs w:val="20"/>
        </w:rPr>
        <w:t>Cardisoma armatum</w:t>
      </w:r>
      <w:r w:rsidRPr="002C429B">
        <w:rPr>
          <w:rFonts w:ascii="Arial" w:hAnsi="Arial" w:cs="Arial"/>
          <w:sz w:val="20"/>
          <w:szCs w:val="20"/>
        </w:rPr>
        <w:t xml:space="preserve"> from two major river systems in Rivers State, Nigeria. </w:t>
      </w:r>
      <w:r w:rsidRPr="002C429B">
        <w:rPr>
          <w:rFonts w:ascii="Arial" w:hAnsi="Arial" w:cs="Arial"/>
          <w:i/>
          <w:iCs/>
          <w:sz w:val="20"/>
          <w:szCs w:val="20"/>
        </w:rPr>
        <w:t>Nigerian Journal of Parasitology</w:t>
      </w:r>
      <w:r w:rsidRPr="002C429B">
        <w:rPr>
          <w:rFonts w:ascii="Arial" w:hAnsi="Arial" w:cs="Arial"/>
          <w:sz w:val="20"/>
          <w:szCs w:val="20"/>
        </w:rPr>
        <w:t>, 39(1): 59 – 68</w:t>
      </w:r>
    </w:p>
    <w:p w14:paraId="5EDE15CF" w14:textId="77777777" w:rsidR="000B2E7B" w:rsidRPr="002C429B" w:rsidRDefault="000B2E7B" w:rsidP="004E7D47">
      <w:pPr>
        <w:ind w:left="709" w:hanging="709"/>
        <w:jc w:val="both"/>
        <w:rPr>
          <w:rFonts w:ascii="Arial" w:hAnsi="Arial" w:cs="Arial"/>
          <w:sz w:val="20"/>
          <w:szCs w:val="20"/>
        </w:rPr>
      </w:pPr>
      <w:proofErr w:type="spellStart"/>
      <w:r w:rsidRPr="002C429B">
        <w:rPr>
          <w:rFonts w:ascii="Arial" w:hAnsi="Arial" w:cs="Arial"/>
          <w:sz w:val="20"/>
          <w:szCs w:val="20"/>
        </w:rPr>
        <w:t>Omeji</w:t>
      </w:r>
      <w:proofErr w:type="spellEnd"/>
      <w:r w:rsidRPr="002C429B">
        <w:rPr>
          <w:rFonts w:ascii="Arial" w:hAnsi="Arial" w:cs="Arial"/>
          <w:sz w:val="20"/>
          <w:szCs w:val="20"/>
        </w:rPr>
        <w:t xml:space="preserve">, S. (2012). Gastrointestinal helminth parasites of </w:t>
      </w:r>
      <w:proofErr w:type="spellStart"/>
      <w:r w:rsidRPr="002C429B">
        <w:rPr>
          <w:rFonts w:ascii="Arial" w:hAnsi="Arial" w:cs="Arial"/>
          <w:i/>
          <w:iCs/>
          <w:sz w:val="20"/>
          <w:szCs w:val="20"/>
        </w:rPr>
        <w:t>Auchenoglanis</w:t>
      </w:r>
      <w:proofErr w:type="spellEnd"/>
      <w:r w:rsidRPr="002C429B">
        <w:rPr>
          <w:rFonts w:ascii="Arial" w:hAnsi="Arial" w:cs="Arial"/>
          <w:i/>
          <w:iCs/>
          <w:sz w:val="20"/>
          <w:szCs w:val="20"/>
        </w:rPr>
        <w:t xml:space="preserve"> occidentalis</w:t>
      </w:r>
      <w:r w:rsidRPr="002C429B">
        <w:rPr>
          <w:rFonts w:ascii="Arial" w:hAnsi="Arial" w:cs="Arial"/>
          <w:sz w:val="20"/>
          <w:szCs w:val="20"/>
        </w:rPr>
        <w:t xml:space="preserve"> and </w:t>
      </w:r>
      <w:proofErr w:type="spellStart"/>
      <w:r w:rsidRPr="002C429B">
        <w:rPr>
          <w:rFonts w:ascii="Arial" w:hAnsi="Arial" w:cs="Arial"/>
          <w:i/>
          <w:iCs/>
          <w:sz w:val="20"/>
          <w:szCs w:val="20"/>
        </w:rPr>
        <w:t>Synodontis</w:t>
      </w:r>
      <w:proofErr w:type="spellEnd"/>
      <w:r w:rsidRPr="002C429B">
        <w:rPr>
          <w:rFonts w:ascii="Arial" w:hAnsi="Arial" w:cs="Arial"/>
          <w:i/>
          <w:iCs/>
          <w:sz w:val="20"/>
          <w:szCs w:val="20"/>
        </w:rPr>
        <w:t xml:space="preserve"> </w:t>
      </w:r>
      <w:proofErr w:type="spellStart"/>
      <w:r w:rsidRPr="002C429B">
        <w:rPr>
          <w:rFonts w:ascii="Arial" w:hAnsi="Arial" w:cs="Arial"/>
          <w:i/>
          <w:iCs/>
          <w:sz w:val="20"/>
          <w:szCs w:val="20"/>
        </w:rPr>
        <w:t>clarias</w:t>
      </w:r>
      <w:proofErr w:type="spellEnd"/>
      <w:r w:rsidRPr="002C429B">
        <w:rPr>
          <w:rFonts w:ascii="Arial" w:hAnsi="Arial" w:cs="Arial"/>
          <w:sz w:val="20"/>
          <w:szCs w:val="20"/>
        </w:rPr>
        <w:t xml:space="preserve"> from Lower River Benue, </w:t>
      </w:r>
      <w:proofErr w:type="spellStart"/>
      <w:r w:rsidRPr="002C429B">
        <w:rPr>
          <w:rFonts w:ascii="Arial" w:hAnsi="Arial" w:cs="Arial"/>
          <w:sz w:val="20"/>
          <w:szCs w:val="20"/>
        </w:rPr>
        <w:t>Markurdi</w:t>
      </w:r>
      <w:proofErr w:type="spellEnd"/>
      <w:r w:rsidRPr="002C429B">
        <w:rPr>
          <w:rFonts w:ascii="Arial" w:hAnsi="Arial" w:cs="Arial"/>
          <w:sz w:val="20"/>
          <w:szCs w:val="20"/>
        </w:rPr>
        <w:t xml:space="preserve">, Nigeria. </w:t>
      </w:r>
      <w:r w:rsidRPr="002C429B">
        <w:rPr>
          <w:rFonts w:ascii="Arial" w:hAnsi="Arial" w:cs="Arial"/>
          <w:i/>
          <w:iCs/>
          <w:sz w:val="20"/>
          <w:szCs w:val="20"/>
        </w:rPr>
        <w:t>Advances in Agriculture, Sciences and Engineering Research</w:t>
      </w:r>
      <w:r w:rsidRPr="002C429B">
        <w:rPr>
          <w:rFonts w:ascii="Arial" w:hAnsi="Arial" w:cs="Arial"/>
          <w:sz w:val="20"/>
          <w:szCs w:val="20"/>
        </w:rPr>
        <w:t>, 2912): 544 – 549</w:t>
      </w:r>
    </w:p>
    <w:p w14:paraId="08F791E0" w14:textId="77777777" w:rsidR="000B2E7B" w:rsidRPr="002C429B" w:rsidRDefault="000B2E7B" w:rsidP="004E7D47">
      <w:pPr>
        <w:ind w:left="709" w:hanging="709"/>
        <w:jc w:val="both"/>
        <w:rPr>
          <w:rFonts w:ascii="Arial" w:hAnsi="Arial" w:cs="Arial"/>
          <w:sz w:val="20"/>
          <w:szCs w:val="20"/>
        </w:rPr>
      </w:pPr>
      <w:r w:rsidRPr="002C429B">
        <w:rPr>
          <w:rFonts w:ascii="Arial" w:hAnsi="Arial" w:cs="Arial"/>
          <w:sz w:val="20"/>
          <w:szCs w:val="20"/>
        </w:rPr>
        <w:t xml:space="preserve">Salami, D. Q., </w:t>
      </w:r>
      <w:proofErr w:type="spellStart"/>
      <w:r w:rsidRPr="002C429B">
        <w:rPr>
          <w:rFonts w:ascii="Arial" w:hAnsi="Arial" w:cs="Arial"/>
          <w:sz w:val="20"/>
          <w:szCs w:val="20"/>
        </w:rPr>
        <w:t>Vantsawa</w:t>
      </w:r>
      <w:proofErr w:type="spellEnd"/>
      <w:r w:rsidRPr="002C429B">
        <w:rPr>
          <w:rFonts w:ascii="Arial" w:hAnsi="Arial" w:cs="Arial"/>
          <w:sz w:val="20"/>
          <w:szCs w:val="20"/>
        </w:rPr>
        <w:t xml:space="preserve">, P. A., Dambo, A. &amp; </w:t>
      </w:r>
      <w:proofErr w:type="spellStart"/>
      <w:r w:rsidRPr="002C429B">
        <w:rPr>
          <w:rFonts w:ascii="Arial" w:hAnsi="Arial" w:cs="Arial"/>
          <w:sz w:val="20"/>
          <w:szCs w:val="20"/>
        </w:rPr>
        <w:t>Onusiriuka</w:t>
      </w:r>
      <w:proofErr w:type="spellEnd"/>
      <w:r w:rsidRPr="002C429B">
        <w:rPr>
          <w:rFonts w:ascii="Arial" w:hAnsi="Arial" w:cs="Arial"/>
          <w:sz w:val="20"/>
          <w:szCs w:val="20"/>
        </w:rPr>
        <w:t xml:space="preserve">, B. C. (2025). Gastrointestinal parasitic infection and nutritional composition of </w:t>
      </w:r>
      <w:r w:rsidRPr="002C429B">
        <w:rPr>
          <w:rFonts w:ascii="Arial" w:hAnsi="Arial" w:cs="Arial"/>
          <w:i/>
          <w:iCs/>
          <w:sz w:val="20"/>
          <w:szCs w:val="20"/>
        </w:rPr>
        <w:t xml:space="preserve">Clarias </w:t>
      </w:r>
      <w:proofErr w:type="spellStart"/>
      <w:r w:rsidRPr="002C429B">
        <w:rPr>
          <w:rFonts w:ascii="Arial" w:hAnsi="Arial" w:cs="Arial"/>
          <w:i/>
          <w:iCs/>
          <w:sz w:val="20"/>
          <w:szCs w:val="20"/>
        </w:rPr>
        <w:t>gariepinus</w:t>
      </w:r>
      <w:proofErr w:type="spellEnd"/>
      <w:r w:rsidRPr="002C429B">
        <w:rPr>
          <w:rFonts w:ascii="Arial" w:hAnsi="Arial" w:cs="Arial"/>
          <w:sz w:val="20"/>
          <w:szCs w:val="20"/>
        </w:rPr>
        <w:t xml:space="preserve"> (Burchell, 1822) from selected fish farms in Kaduna Metropolis, Nigeria</w:t>
      </w:r>
    </w:p>
    <w:p w14:paraId="1CA3F287" w14:textId="77777777" w:rsidR="000B2E7B" w:rsidRPr="002C429B" w:rsidRDefault="000B2E7B" w:rsidP="004E7D47">
      <w:pPr>
        <w:ind w:left="709" w:hanging="709"/>
        <w:jc w:val="both"/>
        <w:rPr>
          <w:rFonts w:ascii="Arial" w:hAnsi="Arial" w:cs="Arial"/>
          <w:sz w:val="20"/>
          <w:szCs w:val="20"/>
        </w:rPr>
      </w:pPr>
      <w:proofErr w:type="spellStart"/>
      <w:r w:rsidRPr="002C429B">
        <w:rPr>
          <w:rFonts w:ascii="Arial" w:hAnsi="Arial" w:cs="Arial"/>
          <w:sz w:val="20"/>
          <w:szCs w:val="20"/>
        </w:rPr>
        <w:t>Saudaki</w:t>
      </w:r>
      <w:proofErr w:type="spellEnd"/>
      <w:r w:rsidRPr="002C429B">
        <w:rPr>
          <w:rFonts w:ascii="Arial" w:hAnsi="Arial" w:cs="Arial"/>
          <w:sz w:val="20"/>
          <w:szCs w:val="20"/>
        </w:rPr>
        <w:t xml:space="preserve">, M. A., Bawa, S. B. &amp; Umar, J. (2022). Studies of parasitic infections and prevalence in </w:t>
      </w:r>
      <w:r w:rsidRPr="002C429B">
        <w:rPr>
          <w:rFonts w:ascii="Arial" w:hAnsi="Arial" w:cs="Arial"/>
          <w:i/>
          <w:iCs/>
          <w:sz w:val="20"/>
          <w:szCs w:val="20"/>
        </w:rPr>
        <w:t xml:space="preserve">Clarias </w:t>
      </w:r>
      <w:proofErr w:type="spellStart"/>
      <w:r w:rsidRPr="002C429B">
        <w:rPr>
          <w:rFonts w:ascii="Arial" w:hAnsi="Arial" w:cs="Arial"/>
          <w:i/>
          <w:iCs/>
          <w:sz w:val="20"/>
          <w:szCs w:val="20"/>
        </w:rPr>
        <w:t>gariepinus</w:t>
      </w:r>
      <w:proofErr w:type="spellEnd"/>
      <w:r w:rsidRPr="002C429B">
        <w:rPr>
          <w:rFonts w:ascii="Arial" w:hAnsi="Arial" w:cs="Arial"/>
          <w:sz w:val="20"/>
          <w:szCs w:val="20"/>
        </w:rPr>
        <w:t xml:space="preserve"> (Burchell, 1822) from </w:t>
      </w:r>
      <w:proofErr w:type="spellStart"/>
      <w:r w:rsidRPr="002C429B">
        <w:rPr>
          <w:rFonts w:ascii="Arial" w:hAnsi="Arial" w:cs="Arial"/>
          <w:sz w:val="20"/>
          <w:szCs w:val="20"/>
        </w:rPr>
        <w:t>Zobe</w:t>
      </w:r>
      <w:proofErr w:type="spellEnd"/>
      <w:r w:rsidRPr="002C429B">
        <w:rPr>
          <w:rFonts w:ascii="Arial" w:hAnsi="Arial" w:cs="Arial"/>
          <w:sz w:val="20"/>
          <w:szCs w:val="20"/>
        </w:rPr>
        <w:t xml:space="preserve"> Reservoir, Katsina State, Nigeria. </w:t>
      </w:r>
      <w:r w:rsidRPr="002C429B">
        <w:rPr>
          <w:rFonts w:ascii="Arial" w:hAnsi="Arial" w:cs="Arial"/>
          <w:i/>
          <w:iCs/>
          <w:sz w:val="20"/>
          <w:szCs w:val="20"/>
        </w:rPr>
        <w:t>Nigerian Journal of Animal Science</w:t>
      </w:r>
      <w:r w:rsidRPr="002C429B">
        <w:rPr>
          <w:rFonts w:ascii="Arial" w:hAnsi="Arial" w:cs="Arial"/>
          <w:sz w:val="20"/>
          <w:szCs w:val="20"/>
        </w:rPr>
        <w:t>, 22(1): 100 – 107</w:t>
      </w:r>
    </w:p>
    <w:p w14:paraId="589BE8B4" w14:textId="77777777" w:rsidR="000B2E7B" w:rsidRPr="002C429B" w:rsidRDefault="000B2E7B" w:rsidP="004E7D47">
      <w:pPr>
        <w:ind w:left="709" w:hanging="709"/>
        <w:jc w:val="both"/>
        <w:rPr>
          <w:rFonts w:ascii="Arial" w:hAnsi="Arial" w:cs="Arial"/>
          <w:sz w:val="20"/>
          <w:szCs w:val="20"/>
        </w:rPr>
      </w:pPr>
      <w:r w:rsidRPr="002C429B">
        <w:rPr>
          <w:rFonts w:ascii="Arial" w:hAnsi="Arial" w:cs="Arial"/>
          <w:sz w:val="20"/>
          <w:szCs w:val="20"/>
        </w:rPr>
        <w:t xml:space="preserve">Schneider, W. (1992). </w:t>
      </w:r>
      <w:r w:rsidRPr="002C429B">
        <w:rPr>
          <w:rFonts w:ascii="Arial" w:hAnsi="Arial" w:cs="Arial"/>
          <w:i/>
          <w:iCs/>
          <w:sz w:val="20"/>
          <w:szCs w:val="20"/>
        </w:rPr>
        <w:t>FAQ species identification sheet for fishery purpose</w:t>
      </w:r>
      <w:r w:rsidRPr="002C429B">
        <w:rPr>
          <w:rFonts w:ascii="Arial" w:hAnsi="Arial" w:cs="Arial"/>
          <w:sz w:val="20"/>
          <w:szCs w:val="20"/>
        </w:rPr>
        <w:t>. Field guide to the commercial marine resources of the Gulf of Guinea. FAQ, Rom; 268</w:t>
      </w:r>
    </w:p>
    <w:p w14:paraId="703B1C0D" w14:textId="77777777" w:rsidR="000B2E7B" w:rsidRPr="002C429B" w:rsidRDefault="000B2E7B" w:rsidP="004E7D47">
      <w:pPr>
        <w:ind w:left="709" w:hanging="709"/>
        <w:jc w:val="both"/>
        <w:rPr>
          <w:rFonts w:ascii="Arial" w:hAnsi="Arial" w:cs="Arial"/>
          <w:sz w:val="20"/>
          <w:szCs w:val="20"/>
        </w:rPr>
      </w:pPr>
      <w:proofErr w:type="spellStart"/>
      <w:r w:rsidRPr="002C429B">
        <w:rPr>
          <w:rFonts w:ascii="Arial" w:hAnsi="Arial" w:cs="Arial"/>
          <w:sz w:val="20"/>
          <w:szCs w:val="20"/>
        </w:rPr>
        <w:t>Takon</w:t>
      </w:r>
      <w:proofErr w:type="spellEnd"/>
      <w:r w:rsidRPr="002C429B">
        <w:rPr>
          <w:rFonts w:ascii="Arial" w:hAnsi="Arial" w:cs="Arial"/>
          <w:sz w:val="20"/>
          <w:szCs w:val="20"/>
        </w:rPr>
        <w:t xml:space="preserve">, A. G. J., Lemon, D. &amp; Metian, M. (2020). Fish for health: Improved Nutritional Quality of cultured fish for human consumption. </w:t>
      </w:r>
      <w:r w:rsidRPr="002C429B">
        <w:rPr>
          <w:rFonts w:ascii="Arial" w:hAnsi="Arial" w:cs="Arial"/>
          <w:i/>
          <w:iCs/>
          <w:sz w:val="20"/>
          <w:szCs w:val="20"/>
        </w:rPr>
        <w:t>Reviews in Fisheries Science</w:t>
      </w:r>
      <w:r w:rsidRPr="002C429B">
        <w:rPr>
          <w:rFonts w:ascii="Arial" w:hAnsi="Arial" w:cs="Arial"/>
          <w:sz w:val="20"/>
          <w:szCs w:val="20"/>
        </w:rPr>
        <w:t xml:space="preserve"> </w:t>
      </w:r>
      <w:r w:rsidRPr="002C429B">
        <w:rPr>
          <w:rFonts w:ascii="Arial" w:hAnsi="Arial" w:cs="Arial"/>
          <w:i/>
          <w:iCs/>
          <w:sz w:val="20"/>
          <w:szCs w:val="20"/>
        </w:rPr>
        <w:t>and Aquaculture</w:t>
      </w:r>
      <w:r w:rsidRPr="002C429B">
        <w:rPr>
          <w:rFonts w:ascii="Arial" w:hAnsi="Arial" w:cs="Arial"/>
          <w:sz w:val="20"/>
          <w:szCs w:val="20"/>
        </w:rPr>
        <w:t>, 28(4): 449 – 458</w:t>
      </w:r>
    </w:p>
    <w:p w14:paraId="26B016AF" w14:textId="77777777" w:rsidR="000B2E7B" w:rsidRPr="002C429B" w:rsidRDefault="000B2E7B" w:rsidP="004E7D47">
      <w:pPr>
        <w:ind w:left="709" w:hanging="709"/>
        <w:jc w:val="both"/>
        <w:rPr>
          <w:rFonts w:ascii="Arial" w:hAnsi="Arial" w:cs="Arial"/>
          <w:sz w:val="20"/>
          <w:szCs w:val="20"/>
        </w:rPr>
      </w:pPr>
      <w:r w:rsidRPr="002C429B">
        <w:rPr>
          <w:rFonts w:ascii="Arial" w:hAnsi="Arial" w:cs="Arial"/>
          <w:sz w:val="20"/>
          <w:szCs w:val="20"/>
        </w:rPr>
        <w:t xml:space="preserve">Tavarez-Diaz, M. &amp; Martins, M. L. (2017). An overall estimation of losses caused by diseases in the Brazilian fish farms. </w:t>
      </w:r>
      <w:r w:rsidRPr="002C429B">
        <w:rPr>
          <w:rFonts w:ascii="Arial" w:hAnsi="Arial" w:cs="Arial"/>
          <w:i/>
          <w:iCs/>
          <w:sz w:val="20"/>
          <w:szCs w:val="20"/>
        </w:rPr>
        <w:t>Journal of Parasitic Diseases</w:t>
      </w:r>
      <w:r w:rsidRPr="002C429B">
        <w:rPr>
          <w:rFonts w:ascii="Arial" w:hAnsi="Arial" w:cs="Arial"/>
          <w:sz w:val="20"/>
          <w:szCs w:val="20"/>
        </w:rPr>
        <w:t>, 41(4): 913 – 918</w:t>
      </w:r>
    </w:p>
    <w:p w14:paraId="4C630A12" w14:textId="77777777" w:rsidR="000B2E7B" w:rsidRPr="002C429B" w:rsidRDefault="000B2E7B" w:rsidP="004E7D47">
      <w:pPr>
        <w:ind w:left="709" w:hanging="709"/>
        <w:jc w:val="both"/>
        <w:rPr>
          <w:rFonts w:ascii="Arial" w:hAnsi="Arial" w:cs="Arial"/>
          <w:sz w:val="20"/>
          <w:szCs w:val="20"/>
        </w:rPr>
      </w:pPr>
      <w:proofErr w:type="spellStart"/>
      <w:r w:rsidRPr="002C429B">
        <w:rPr>
          <w:rFonts w:ascii="Arial" w:hAnsi="Arial" w:cs="Arial"/>
          <w:sz w:val="20"/>
          <w:szCs w:val="20"/>
        </w:rPr>
        <w:lastRenderedPageBreak/>
        <w:t>Wudil</w:t>
      </w:r>
      <w:proofErr w:type="spellEnd"/>
      <w:r w:rsidRPr="002C429B">
        <w:rPr>
          <w:rFonts w:ascii="Arial" w:hAnsi="Arial" w:cs="Arial"/>
          <w:sz w:val="20"/>
          <w:szCs w:val="20"/>
        </w:rPr>
        <w:t>, A. H., Usman, M., Rosak-</w:t>
      </w:r>
      <w:proofErr w:type="spellStart"/>
      <w:r w:rsidRPr="002C429B">
        <w:rPr>
          <w:rFonts w:ascii="Arial" w:hAnsi="Arial" w:cs="Arial"/>
          <w:sz w:val="20"/>
          <w:szCs w:val="20"/>
        </w:rPr>
        <w:t>Szyrocka</w:t>
      </w:r>
      <w:proofErr w:type="spellEnd"/>
      <w:r w:rsidRPr="002C429B">
        <w:rPr>
          <w:rFonts w:ascii="Arial" w:hAnsi="Arial" w:cs="Arial"/>
          <w:sz w:val="20"/>
          <w:szCs w:val="20"/>
        </w:rPr>
        <w:t xml:space="preserve">, J., Pilal, L. &amp; Boye, M. (2022). Reversing years for global food security: A review of the food security situation in sub-Saharan Africa (SSA). </w:t>
      </w:r>
      <w:r w:rsidRPr="002C429B">
        <w:rPr>
          <w:rFonts w:ascii="Arial" w:hAnsi="Arial" w:cs="Arial"/>
          <w:i/>
          <w:iCs/>
          <w:sz w:val="20"/>
          <w:szCs w:val="20"/>
        </w:rPr>
        <w:t>International Journal of Environmental Research and Public Health</w:t>
      </w:r>
      <w:r w:rsidRPr="002C429B">
        <w:rPr>
          <w:rFonts w:ascii="Arial" w:hAnsi="Arial" w:cs="Arial"/>
          <w:sz w:val="20"/>
          <w:szCs w:val="20"/>
        </w:rPr>
        <w:t>, 19(22): 14836</w:t>
      </w:r>
    </w:p>
    <w:sectPr w:rsidR="000B2E7B" w:rsidRPr="002C429B" w:rsidSect="00B3186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6E0D7" w14:textId="77777777" w:rsidR="00300F0E" w:rsidRDefault="00300F0E" w:rsidP="0070233B">
      <w:pPr>
        <w:spacing w:after="0" w:line="240" w:lineRule="auto"/>
      </w:pPr>
      <w:r>
        <w:separator/>
      </w:r>
    </w:p>
  </w:endnote>
  <w:endnote w:type="continuationSeparator" w:id="0">
    <w:p w14:paraId="037B5B7E" w14:textId="77777777" w:rsidR="00300F0E" w:rsidRDefault="00300F0E" w:rsidP="00702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F0D69" w14:textId="77777777" w:rsidR="0070233B" w:rsidRDefault="00702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93E19" w14:textId="77777777" w:rsidR="0070233B" w:rsidRDefault="00702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6F864" w14:textId="77777777" w:rsidR="0070233B" w:rsidRDefault="00702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635F4" w14:textId="77777777" w:rsidR="00300F0E" w:rsidRDefault="00300F0E" w:rsidP="0070233B">
      <w:pPr>
        <w:spacing w:after="0" w:line="240" w:lineRule="auto"/>
      </w:pPr>
      <w:r>
        <w:separator/>
      </w:r>
    </w:p>
  </w:footnote>
  <w:footnote w:type="continuationSeparator" w:id="0">
    <w:p w14:paraId="4802E71D" w14:textId="77777777" w:rsidR="00300F0E" w:rsidRDefault="00300F0E" w:rsidP="00702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BD785" w14:textId="55E67C35" w:rsidR="0070233B" w:rsidRDefault="00496A87">
    <w:pPr>
      <w:pStyle w:val="Header"/>
    </w:pPr>
    <w:r>
      <w:rPr>
        <w:noProof/>
      </w:rPr>
      <w:pict w14:anchorId="07F17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217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05E9" w14:textId="39872CD6" w:rsidR="0070233B" w:rsidRDefault="00496A87">
    <w:pPr>
      <w:pStyle w:val="Header"/>
    </w:pPr>
    <w:r>
      <w:rPr>
        <w:noProof/>
      </w:rPr>
      <w:pict w14:anchorId="23060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2170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BFFEC" w14:textId="45D77E90" w:rsidR="0070233B" w:rsidRDefault="00496A87">
    <w:pPr>
      <w:pStyle w:val="Header"/>
    </w:pPr>
    <w:r>
      <w:rPr>
        <w:noProof/>
      </w:rPr>
      <w:pict w14:anchorId="3D6AD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217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37A84"/>
    <w:multiLevelType w:val="hybridMultilevel"/>
    <w:tmpl w:val="DADA6166"/>
    <w:lvl w:ilvl="0" w:tplc="1F1AB088">
      <w:start w:val="2"/>
      <w:numFmt w:val="decimal"/>
      <w:lvlText w:val="%1."/>
      <w:lvlJc w:val="left"/>
      <w:pPr>
        <w:ind w:left="720" w:hanging="360"/>
      </w:pPr>
      <w:rPr>
        <w:rFonts w:hint="default"/>
        <w:b w:val="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7049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A3"/>
    <w:rsid w:val="00000A4F"/>
    <w:rsid w:val="0002448B"/>
    <w:rsid w:val="000332A8"/>
    <w:rsid w:val="00067E2B"/>
    <w:rsid w:val="000703C4"/>
    <w:rsid w:val="00071F28"/>
    <w:rsid w:val="00075E0A"/>
    <w:rsid w:val="00081C87"/>
    <w:rsid w:val="000860D8"/>
    <w:rsid w:val="00095045"/>
    <w:rsid w:val="000B2E7B"/>
    <w:rsid w:val="000C48E4"/>
    <w:rsid w:val="000D2460"/>
    <w:rsid w:val="000D3A6D"/>
    <w:rsid w:val="000E1B8E"/>
    <w:rsid w:val="000E4D83"/>
    <w:rsid w:val="000E70BC"/>
    <w:rsid w:val="000F79A9"/>
    <w:rsid w:val="001025F8"/>
    <w:rsid w:val="00112FB5"/>
    <w:rsid w:val="00116C64"/>
    <w:rsid w:val="00140BC7"/>
    <w:rsid w:val="0014452A"/>
    <w:rsid w:val="00153C8E"/>
    <w:rsid w:val="00160DE5"/>
    <w:rsid w:val="00164F88"/>
    <w:rsid w:val="001713D3"/>
    <w:rsid w:val="00180BB7"/>
    <w:rsid w:val="0019226C"/>
    <w:rsid w:val="001B0649"/>
    <w:rsid w:val="001D3DE7"/>
    <w:rsid w:val="001D672C"/>
    <w:rsid w:val="001F3DC1"/>
    <w:rsid w:val="001F7ED9"/>
    <w:rsid w:val="002262B1"/>
    <w:rsid w:val="00230EAB"/>
    <w:rsid w:val="002338B6"/>
    <w:rsid w:val="00257421"/>
    <w:rsid w:val="00272FB8"/>
    <w:rsid w:val="00277CBB"/>
    <w:rsid w:val="002808FA"/>
    <w:rsid w:val="00281B33"/>
    <w:rsid w:val="00293229"/>
    <w:rsid w:val="002C0A43"/>
    <w:rsid w:val="002C429B"/>
    <w:rsid w:val="002C6365"/>
    <w:rsid w:val="002D1941"/>
    <w:rsid w:val="002F188C"/>
    <w:rsid w:val="002F1946"/>
    <w:rsid w:val="00300702"/>
    <w:rsid w:val="00300F0E"/>
    <w:rsid w:val="003029AB"/>
    <w:rsid w:val="00317467"/>
    <w:rsid w:val="00334D53"/>
    <w:rsid w:val="003374D6"/>
    <w:rsid w:val="00353AD1"/>
    <w:rsid w:val="00372135"/>
    <w:rsid w:val="00375FFB"/>
    <w:rsid w:val="0038215C"/>
    <w:rsid w:val="00387AE1"/>
    <w:rsid w:val="003950A7"/>
    <w:rsid w:val="003A0A35"/>
    <w:rsid w:val="003B0606"/>
    <w:rsid w:val="003B5616"/>
    <w:rsid w:val="003B6914"/>
    <w:rsid w:val="003D6CED"/>
    <w:rsid w:val="003E6154"/>
    <w:rsid w:val="00415E48"/>
    <w:rsid w:val="00420911"/>
    <w:rsid w:val="0043487A"/>
    <w:rsid w:val="00455080"/>
    <w:rsid w:val="00473951"/>
    <w:rsid w:val="00496A87"/>
    <w:rsid w:val="00497644"/>
    <w:rsid w:val="004A0446"/>
    <w:rsid w:val="004B0727"/>
    <w:rsid w:val="004B0F7C"/>
    <w:rsid w:val="004B494A"/>
    <w:rsid w:val="004C1E99"/>
    <w:rsid w:val="004D7FC6"/>
    <w:rsid w:val="004E1374"/>
    <w:rsid w:val="004E3B95"/>
    <w:rsid w:val="004E7D47"/>
    <w:rsid w:val="004F2127"/>
    <w:rsid w:val="00514041"/>
    <w:rsid w:val="005274B0"/>
    <w:rsid w:val="005318B6"/>
    <w:rsid w:val="0056621F"/>
    <w:rsid w:val="00581236"/>
    <w:rsid w:val="00583D8B"/>
    <w:rsid w:val="005A17F2"/>
    <w:rsid w:val="005A661A"/>
    <w:rsid w:val="005B2B28"/>
    <w:rsid w:val="005C1A72"/>
    <w:rsid w:val="005C1FF8"/>
    <w:rsid w:val="005C7260"/>
    <w:rsid w:val="005D294A"/>
    <w:rsid w:val="005E5E7F"/>
    <w:rsid w:val="005F5AA9"/>
    <w:rsid w:val="005F73A3"/>
    <w:rsid w:val="0065104B"/>
    <w:rsid w:val="00660E30"/>
    <w:rsid w:val="00667EF7"/>
    <w:rsid w:val="006B37EE"/>
    <w:rsid w:val="006B6775"/>
    <w:rsid w:val="006C6A7A"/>
    <w:rsid w:val="006C7D7A"/>
    <w:rsid w:val="006D0EEE"/>
    <w:rsid w:val="006D3BC7"/>
    <w:rsid w:val="0070233B"/>
    <w:rsid w:val="00706416"/>
    <w:rsid w:val="00710C35"/>
    <w:rsid w:val="0072509F"/>
    <w:rsid w:val="00741B70"/>
    <w:rsid w:val="007B732E"/>
    <w:rsid w:val="007F6B62"/>
    <w:rsid w:val="00800462"/>
    <w:rsid w:val="00811304"/>
    <w:rsid w:val="008124AE"/>
    <w:rsid w:val="00824D7A"/>
    <w:rsid w:val="0083168C"/>
    <w:rsid w:val="00840D89"/>
    <w:rsid w:val="00852049"/>
    <w:rsid w:val="00855412"/>
    <w:rsid w:val="00857819"/>
    <w:rsid w:val="00861D26"/>
    <w:rsid w:val="008636DB"/>
    <w:rsid w:val="00863FD4"/>
    <w:rsid w:val="0086411F"/>
    <w:rsid w:val="008653AC"/>
    <w:rsid w:val="00886B09"/>
    <w:rsid w:val="008B29CB"/>
    <w:rsid w:val="008C6C42"/>
    <w:rsid w:val="008D6E07"/>
    <w:rsid w:val="008E3BE5"/>
    <w:rsid w:val="00911869"/>
    <w:rsid w:val="00932E4E"/>
    <w:rsid w:val="00946C5D"/>
    <w:rsid w:val="00973ECD"/>
    <w:rsid w:val="00974DBA"/>
    <w:rsid w:val="00976B2A"/>
    <w:rsid w:val="009924FC"/>
    <w:rsid w:val="009936A2"/>
    <w:rsid w:val="009A0015"/>
    <w:rsid w:val="009B66B9"/>
    <w:rsid w:val="009C4D69"/>
    <w:rsid w:val="009F1CBA"/>
    <w:rsid w:val="00A07B47"/>
    <w:rsid w:val="00A11D33"/>
    <w:rsid w:val="00A15B91"/>
    <w:rsid w:val="00A5714F"/>
    <w:rsid w:val="00A62458"/>
    <w:rsid w:val="00A7223D"/>
    <w:rsid w:val="00A8070D"/>
    <w:rsid w:val="00A8294E"/>
    <w:rsid w:val="00AA4A12"/>
    <w:rsid w:val="00AB4421"/>
    <w:rsid w:val="00AC0160"/>
    <w:rsid w:val="00AC537B"/>
    <w:rsid w:val="00AE5881"/>
    <w:rsid w:val="00B21A3F"/>
    <w:rsid w:val="00B3186A"/>
    <w:rsid w:val="00B47BA1"/>
    <w:rsid w:val="00B8618E"/>
    <w:rsid w:val="00B920FD"/>
    <w:rsid w:val="00B92F2C"/>
    <w:rsid w:val="00BB1F4F"/>
    <w:rsid w:val="00BB36C0"/>
    <w:rsid w:val="00BB4E0D"/>
    <w:rsid w:val="00BC2F53"/>
    <w:rsid w:val="00BD46A6"/>
    <w:rsid w:val="00C05F5C"/>
    <w:rsid w:val="00C07001"/>
    <w:rsid w:val="00C233BB"/>
    <w:rsid w:val="00C42DFD"/>
    <w:rsid w:val="00C51061"/>
    <w:rsid w:val="00C67479"/>
    <w:rsid w:val="00C759B5"/>
    <w:rsid w:val="00C81CF8"/>
    <w:rsid w:val="00C91644"/>
    <w:rsid w:val="00CA360E"/>
    <w:rsid w:val="00CA547F"/>
    <w:rsid w:val="00CB1A9B"/>
    <w:rsid w:val="00CC0010"/>
    <w:rsid w:val="00CC02F0"/>
    <w:rsid w:val="00CE2B00"/>
    <w:rsid w:val="00CE4D51"/>
    <w:rsid w:val="00D006A2"/>
    <w:rsid w:val="00D41D16"/>
    <w:rsid w:val="00D6180B"/>
    <w:rsid w:val="00D62096"/>
    <w:rsid w:val="00D812BE"/>
    <w:rsid w:val="00DE0A48"/>
    <w:rsid w:val="00DF0F4E"/>
    <w:rsid w:val="00DF78DF"/>
    <w:rsid w:val="00E00ACD"/>
    <w:rsid w:val="00E01100"/>
    <w:rsid w:val="00E01AD8"/>
    <w:rsid w:val="00E2359C"/>
    <w:rsid w:val="00E64EA2"/>
    <w:rsid w:val="00E6652E"/>
    <w:rsid w:val="00E67CED"/>
    <w:rsid w:val="00E82287"/>
    <w:rsid w:val="00E929D7"/>
    <w:rsid w:val="00EB029F"/>
    <w:rsid w:val="00EB3A92"/>
    <w:rsid w:val="00EC47A1"/>
    <w:rsid w:val="00ED22B4"/>
    <w:rsid w:val="00EF0144"/>
    <w:rsid w:val="00EF3D66"/>
    <w:rsid w:val="00F3785B"/>
    <w:rsid w:val="00F55D6C"/>
    <w:rsid w:val="00F65CD9"/>
    <w:rsid w:val="00F709F2"/>
    <w:rsid w:val="00F75C6A"/>
    <w:rsid w:val="00F93DB3"/>
    <w:rsid w:val="00FB18EE"/>
    <w:rsid w:val="00FC1B3E"/>
    <w:rsid w:val="00FE205A"/>
    <w:rsid w:val="00FF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28540"/>
  <w15:chartTrackingRefBased/>
  <w15:docId w15:val="{FDC259CC-0319-4D91-9EA9-5E80E6DC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6B9"/>
  </w:style>
  <w:style w:type="paragraph" w:styleId="Heading1">
    <w:name w:val="heading 1"/>
    <w:basedOn w:val="Normal"/>
    <w:next w:val="Normal"/>
    <w:link w:val="Heading1Char"/>
    <w:uiPriority w:val="9"/>
    <w:qFormat/>
    <w:rsid w:val="005F73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73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73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73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73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73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3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3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3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3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73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73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73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73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73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3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3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3A3"/>
    <w:rPr>
      <w:rFonts w:eastAsiaTheme="majorEastAsia" w:cstheme="majorBidi"/>
      <w:color w:val="272727" w:themeColor="text1" w:themeTint="D8"/>
    </w:rPr>
  </w:style>
  <w:style w:type="paragraph" w:styleId="Title">
    <w:name w:val="Title"/>
    <w:basedOn w:val="Normal"/>
    <w:next w:val="Normal"/>
    <w:link w:val="TitleChar"/>
    <w:uiPriority w:val="10"/>
    <w:qFormat/>
    <w:rsid w:val="005F73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3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3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3A3"/>
    <w:pPr>
      <w:spacing w:before="160"/>
      <w:jc w:val="center"/>
    </w:pPr>
    <w:rPr>
      <w:i/>
      <w:iCs/>
      <w:color w:val="404040" w:themeColor="text1" w:themeTint="BF"/>
    </w:rPr>
  </w:style>
  <w:style w:type="character" w:customStyle="1" w:styleId="QuoteChar">
    <w:name w:val="Quote Char"/>
    <w:basedOn w:val="DefaultParagraphFont"/>
    <w:link w:val="Quote"/>
    <w:uiPriority w:val="29"/>
    <w:rsid w:val="005F73A3"/>
    <w:rPr>
      <w:i/>
      <w:iCs/>
      <w:color w:val="404040" w:themeColor="text1" w:themeTint="BF"/>
    </w:rPr>
  </w:style>
  <w:style w:type="paragraph" w:styleId="ListParagraph">
    <w:name w:val="List Paragraph"/>
    <w:basedOn w:val="Normal"/>
    <w:uiPriority w:val="34"/>
    <w:qFormat/>
    <w:rsid w:val="005F73A3"/>
    <w:pPr>
      <w:ind w:left="720"/>
      <w:contextualSpacing/>
    </w:pPr>
  </w:style>
  <w:style w:type="character" w:styleId="IntenseEmphasis">
    <w:name w:val="Intense Emphasis"/>
    <w:basedOn w:val="DefaultParagraphFont"/>
    <w:uiPriority w:val="21"/>
    <w:qFormat/>
    <w:rsid w:val="005F73A3"/>
    <w:rPr>
      <w:i/>
      <w:iCs/>
      <w:color w:val="2F5496" w:themeColor="accent1" w:themeShade="BF"/>
    </w:rPr>
  </w:style>
  <w:style w:type="paragraph" w:styleId="IntenseQuote">
    <w:name w:val="Intense Quote"/>
    <w:basedOn w:val="Normal"/>
    <w:next w:val="Normal"/>
    <w:link w:val="IntenseQuoteChar"/>
    <w:uiPriority w:val="30"/>
    <w:qFormat/>
    <w:rsid w:val="005F7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73A3"/>
    <w:rPr>
      <w:i/>
      <w:iCs/>
      <w:color w:val="2F5496" w:themeColor="accent1" w:themeShade="BF"/>
    </w:rPr>
  </w:style>
  <w:style w:type="character" w:styleId="IntenseReference">
    <w:name w:val="Intense Reference"/>
    <w:basedOn w:val="DefaultParagraphFont"/>
    <w:uiPriority w:val="32"/>
    <w:qFormat/>
    <w:rsid w:val="005F73A3"/>
    <w:rPr>
      <w:b/>
      <w:bCs/>
      <w:smallCaps/>
      <w:color w:val="2F5496" w:themeColor="accent1" w:themeShade="BF"/>
      <w:spacing w:val="5"/>
    </w:rPr>
  </w:style>
  <w:style w:type="table" w:styleId="TableGrid">
    <w:name w:val="Table Grid"/>
    <w:basedOn w:val="TableNormal"/>
    <w:uiPriority w:val="39"/>
    <w:rsid w:val="00B4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4452A"/>
  </w:style>
  <w:style w:type="character" w:styleId="Hyperlink">
    <w:name w:val="Hyperlink"/>
    <w:basedOn w:val="DefaultParagraphFont"/>
    <w:uiPriority w:val="99"/>
    <w:unhideWhenUsed/>
    <w:rsid w:val="00257421"/>
    <w:rPr>
      <w:color w:val="0563C1" w:themeColor="hyperlink"/>
      <w:u w:val="single"/>
    </w:rPr>
  </w:style>
  <w:style w:type="character" w:styleId="UnresolvedMention">
    <w:name w:val="Unresolved Mention"/>
    <w:basedOn w:val="DefaultParagraphFont"/>
    <w:uiPriority w:val="99"/>
    <w:semiHidden/>
    <w:unhideWhenUsed/>
    <w:rsid w:val="00257421"/>
    <w:rPr>
      <w:color w:val="605E5C"/>
      <w:shd w:val="clear" w:color="auto" w:fill="E1DFDD"/>
    </w:rPr>
  </w:style>
  <w:style w:type="paragraph" w:styleId="Header">
    <w:name w:val="header"/>
    <w:basedOn w:val="Normal"/>
    <w:link w:val="HeaderChar"/>
    <w:uiPriority w:val="99"/>
    <w:unhideWhenUsed/>
    <w:rsid w:val="00702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33B"/>
  </w:style>
  <w:style w:type="paragraph" w:styleId="Footer">
    <w:name w:val="footer"/>
    <w:basedOn w:val="Normal"/>
    <w:link w:val="FooterChar"/>
    <w:uiPriority w:val="99"/>
    <w:unhideWhenUsed/>
    <w:rsid w:val="00702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2201</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Wogu</dc:creator>
  <cp:keywords/>
  <dc:description/>
  <cp:lastModifiedBy>Michael Wogu</cp:lastModifiedBy>
  <cp:revision>21</cp:revision>
  <dcterms:created xsi:type="dcterms:W3CDTF">2025-07-06T10:34:00Z</dcterms:created>
  <dcterms:modified xsi:type="dcterms:W3CDTF">2025-07-06T12:27:00Z</dcterms:modified>
</cp:coreProperties>
</file>