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67B5" w14:textId="342D4F53" w:rsidR="00460A8A" w:rsidRPr="00C86716" w:rsidRDefault="00C86716" w:rsidP="00C86716">
      <w:pPr>
        <w:spacing w:after="0" w:line="360" w:lineRule="auto"/>
        <w:ind w:right="-873"/>
        <w:jc w:val="both"/>
        <w:rPr>
          <w:rFonts w:ascii="Times New Roman" w:hAnsi="Times New Roman"/>
          <w:b/>
          <w:sz w:val="32"/>
          <w:szCs w:val="20"/>
        </w:rPr>
      </w:pPr>
      <w:r w:rsidRPr="00C86716">
        <w:rPr>
          <w:rFonts w:ascii="Times New Roman" w:hAnsi="Times New Roman"/>
          <w:b/>
          <w:sz w:val="32"/>
          <w:szCs w:val="20"/>
        </w:rPr>
        <w:t xml:space="preserve">Characterization of cervical lesions among </w:t>
      </w:r>
      <w:proofErr w:type="spellStart"/>
      <w:r w:rsidRPr="00C86716">
        <w:rPr>
          <w:rFonts w:ascii="Times New Roman" w:hAnsi="Times New Roman"/>
          <w:b/>
          <w:sz w:val="32"/>
          <w:szCs w:val="20"/>
        </w:rPr>
        <w:t>hiv</w:t>
      </w:r>
      <w:proofErr w:type="spellEnd"/>
      <w:r w:rsidRPr="00C86716">
        <w:rPr>
          <w:rFonts w:ascii="Times New Roman" w:hAnsi="Times New Roman"/>
          <w:b/>
          <w:sz w:val="32"/>
          <w:szCs w:val="20"/>
        </w:rPr>
        <w:t xml:space="preserve">-infected women at </w:t>
      </w:r>
      <w:proofErr w:type="spellStart"/>
      <w:r w:rsidRPr="00C86716">
        <w:rPr>
          <w:rFonts w:ascii="Times New Roman" w:hAnsi="Times New Roman"/>
          <w:b/>
          <w:sz w:val="32"/>
          <w:szCs w:val="20"/>
        </w:rPr>
        <w:t>hiv</w:t>
      </w:r>
      <w:proofErr w:type="spellEnd"/>
      <w:r w:rsidRPr="00C86716">
        <w:rPr>
          <w:rFonts w:ascii="Times New Roman" w:hAnsi="Times New Roman"/>
          <w:b/>
          <w:sz w:val="32"/>
          <w:szCs w:val="20"/>
        </w:rPr>
        <w:t xml:space="preserve"> clinic, university of </w:t>
      </w:r>
      <w:proofErr w:type="spellStart"/>
      <w:r w:rsidRPr="00C86716">
        <w:rPr>
          <w:rFonts w:ascii="Times New Roman" w:hAnsi="Times New Roman"/>
          <w:b/>
          <w:sz w:val="32"/>
          <w:szCs w:val="20"/>
        </w:rPr>
        <w:t>abuja</w:t>
      </w:r>
      <w:proofErr w:type="spellEnd"/>
      <w:r w:rsidRPr="00C86716">
        <w:rPr>
          <w:rFonts w:ascii="Times New Roman" w:hAnsi="Times New Roman"/>
          <w:b/>
          <w:sz w:val="32"/>
          <w:szCs w:val="20"/>
        </w:rPr>
        <w:t xml:space="preserve"> teaching hospital </w:t>
      </w:r>
      <w:r>
        <w:rPr>
          <w:rFonts w:ascii="Times New Roman" w:hAnsi="Times New Roman"/>
          <w:b/>
          <w:sz w:val="32"/>
          <w:szCs w:val="20"/>
        </w:rPr>
        <w:t>G</w:t>
      </w:r>
      <w:r w:rsidRPr="00C86716">
        <w:rPr>
          <w:rFonts w:ascii="Times New Roman" w:hAnsi="Times New Roman"/>
          <w:b/>
          <w:sz w:val="32"/>
          <w:szCs w:val="20"/>
        </w:rPr>
        <w:t>wagwalada</w:t>
      </w:r>
      <w:r w:rsidR="00957453" w:rsidRPr="00C86716">
        <w:rPr>
          <w:rFonts w:ascii="Times New Roman" w:hAnsi="Times New Roman"/>
          <w:b/>
          <w:sz w:val="32"/>
          <w:szCs w:val="20"/>
        </w:rPr>
        <w:t>,</w:t>
      </w:r>
      <w:r w:rsidRPr="00C86716">
        <w:rPr>
          <w:rFonts w:ascii="Times New Roman" w:hAnsi="Times New Roman"/>
          <w:b/>
          <w:sz w:val="32"/>
          <w:szCs w:val="20"/>
        </w:rPr>
        <w:t xml:space="preserve"> </w:t>
      </w:r>
      <w:r>
        <w:rPr>
          <w:rFonts w:ascii="Times New Roman" w:hAnsi="Times New Roman"/>
          <w:b/>
          <w:sz w:val="32"/>
          <w:szCs w:val="20"/>
        </w:rPr>
        <w:t>A</w:t>
      </w:r>
      <w:r w:rsidRPr="00C86716">
        <w:rPr>
          <w:rFonts w:ascii="Times New Roman" w:hAnsi="Times New Roman"/>
          <w:b/>
          <w:sz w:val="32"/>
          <w:szCs w:val="20"/>
        </w:rPr>
        <w:t xml:space="preserve">buja, </w:t>
      </w:r>
      <w:r>
        <w:rPr>
          <w:rFonts w:ascii="Times New Roman" w:hAnsi="Times New Roman"/>
          <w:b/>
          <w:sz w:val="32"/>
          <w:szCs w:val="20"/>
        </w:rPr>
        <w:t>N</w:t>
      </w:r>
      <w:r w:rsidRPr="00C86716">
        <w:rPr>
          <w:rFonts w:ascii="Times New Roman" w:hAnsi="Times New Roman"/>
          <w:b/>
          <w:sz w:val="32"/>
          <w:szCs w:val="20"/>
        </w:rPr>
        <w:t>igeria</w:t>
      </w:r>
    </w:p>
    <w:p w14:paraId="4DC875E7" w14:textId="2EDEA3B0" w:rsidR="00460A8A" w:rsidRDefault="001D2DA3" w:rsidP="00E9385A">
      <w:pPr>
        <w:pStyle w:val="NoSpacing"/>
        <w:ind w:left="360"/>
        <w:rPr>
          <w:rFonts w:ascii="Times New Roman" w:hAnsi="Times New Roman"/>
          <w:b/>
          <w:sz w:val="20"/>
          <w:szCs w:val="20"/>
        </w:rPr>
      </w:pPr>
      <w:r>
        <w:rPr>
          <w:rFonts w:ascii="Times New Roman" w:hAnsi="Times New Roman"/>
          <w:sz w:val="24"/>
          <w:szCs w:val="24"/>
        </w:rPr>
        <w:t xml:space="preserve"> </w:t>
      </w:r>
      <w:r>
        <w:rPr>
          <w:rFonts w:ascii="Times New Roman" w:hAnsi="Times New Roman"/>
          <w:sz w:val="24"/>
          <w:szCs w:val="24"/>
        </w:rPr>
        <w:tab/>
      </w:r>
    </w:p>
    <w:p w14:paraId="1E5FEF2B" w14:textId="77777777" w:rsidR="00460A8A" w:rsidRDefault="00460A8A">
      <w:pPr>
        <w:spacing w:after="0" w:line="360" w:lineRule="auto"/>
        <w:jc w:val="both"/>
        <w:rPr>
          <w:rFonts w:ascii="Times New Roman" w:hAnsi="Times New Roman"/>
          <w:b/>
          <w:sz w:val="24"/>
          <w:szCs w:val="24"/>
        </w:rPr>
      </w:pPr>
    </w:p>
    <w:p w14:paraId="61670CB3" w14:textId="77777777" w:rsidR="00460A8A" w:rsidRDefault="00957453">
      <w:pPr>
        <w:spacing w:after="0" w:line="360" w:lineRule="auto"/>
        <w:jc w:val="both"/>
        <w:rPr>
          <w:rFonts w:ascii="Times New Roman" w:hAnsi="Times New Roman"/>
          <w:b/>
          <w:sz w:val="24"/>
          <w:szCs w:val="24"/>
        </w:rPr>
      </w:pPr>
      <w:r>
        <w:rPr>
          <w:rFonts w:ascii="Times New Roman" w:hAnsi="Times New Roman"/>
          <w:b/>
          <w:sz w:val="24"/>
          <w:szCs w:val="24"/>
        </w:rPr>
        <w:t>ABSTRACT</w:t>
      </w:r>
    </w:p>
    <w:p w14:paraId="357387E8" w14:textId="21FCE2A5" w:rsidR="007E7423" w:rsidRPr="007E7423" w:rsidRDefault="007E7423" w:rsidP="007E7423">
      <w:pPr>
        <w:spacing w:after="0" w:line="360" w:lineRule="auto"/>
        <w:rPr>
          <w:rFonts w:ascii="Times New Roman" w:hAnsi="Times New Roman"/>
        </w:rPr>
      </w:pPr>
      <w:r w:rsidRPr="007E7423">
        <w:rPr>
          <w:rFonts w:ascii="Times New Roman" w:hAnsi="Times New Roman"/>
          <w:b/>
          <w:bCs/>
        </w:rPr>
        <w:t>Background:</w:t>
      </w:r>
      <w:r w:rsidRPr="007E7423">
        <w:rPr>
          <w:rFonts w:ascii="Times New Roman" w:hAnsi="Times New Roman"/>
        </w:rPr>
        <w:t xml:space="preserve"> Human Immunodeficiency Virus (HIV) infection increases the risk of cervical lesions due to immune suppression. In Nigeria, where HIV remains prevalent, characterizing these lesions can guide targeted screening strategies.</w:t>
      </w:r>
    </w:p>
    <w:p w14:paraId="0643722E" w14:textId="3190FB13" w:rsidR="007E7423" w:rsidRPr="007E7423" w:rsidRDefault="007E7423" w:rsidP="007E7423">
      <w:pPr>
        <w:spacing w:after="0" w:line="360" w:lineRule="auto"/>
        <w:rPr>
          <w:rFonts w:ascii="Times New Roman" w:hAnsi="Times New Roman"/>
        </w:rPr>
      </w:pPr>
      <w:r w:rsidRPr="007E7423">
        <w:rPr>
          <w:rFonts w:ascii="Times New Roman" w:hAnsi="Times New Roman"/>
          <w:b/>
          <w:bCs/>
        </w:rPr>
        <w:t>Objective:</w:t>
      </w:r>
      <w:r w:rsidRPr="007E7423">
        <w:rPr>
          <w:rFonts w:ascii="Times New Roman" w:hAnsi="Times New Roman"/>
        </w:rPr>
        <w:t xml:space="preserve"> To characterize cervical lesions among HIV-positive women attending the University of Abuja Teaching Hospital, Nigeria, and to assess associations with immunological and clinical factors.</w:t>
      </w:r>
    </w:p>
    <w:p w14:paraId="208CDE55" w14:textId="65B37B60" w:rsidR="007E7423" w:rsidRPr="007E7423" w:rsidRDefault="007E7423" w:rsidP="007E7423">
      <w:pPr>
        <w:spacing w:after="0" w:line="360" w:lineRule="auto"/>
        <w:rPr>
          <w:rFonts w:ascii="Times New Roman" w:hAnsi="Times New Roman"/>
        </w:rPr>
      </w:pPr>
      <w:r w:rsidRPr="007E7423">
        <w:rPr>
          <w:rFonts w:ascii="Times New Roman" w:hAnsi="Times New Roman"/>
          <w:b/>
          <w:bCs/>
        </w:rPr>
        <w:t>Methods:</w:t>
      </w:r>
      <w:r w:rsidRPr="007E7423">
        <w:rPr>
          <w:rFonts w:ascii="Times New Roman" w:hAnsi="Times New Roman"/>
        </w:rPr>
        <w:t xml:space="preserve"> A cross-sectional study was conducted among 61 HIV-positive women between January and May 2025. Participants underwent visual inspection with acetic acid/Lugol iodine (VIA/VILI) and liquid-based cytology. Statistical analysis included descriptive methods, t-test, Pearson correlation, and ordinal logistic regression.</w:t>
      </w:r>
    </w:p>
    <w:p w14:paraId="6CE556CB" w14:textId="50C6623C" w:rsidR="007E7423" w:rsidRPr="007E7423" w:rsidRDefault="007E7423" w:rsidP="007E7423">
      <w:pPr>
        <w:spacing w:after="0" w:line="360" w:lineRule="auto"/>
        <w:rPr>
          <w:rFonts w:ascii="Times New Roman" w:hAnsi="Times New Roman"/>
        </w:rPr>
      </w:pPr>
      <w:r w:rsidRPr="007E7423">
        <w:rPr>
          <w:rFonts w:ascii="Times New Roman" w:hAnsi="Times New Roman"/>
          <w:b/>
          <w:bCs/>
        </w:rPr>
        <w:t>Results:</w:t>
      </w:r>
      <w:r w:rsidRPr="007E7423">
        <w:rPr>
          <w:rFonts w:ascii="Times New Roman" w:hAnsi="Times New Roman"/>
        </w:rPr>
        <w:t xml:space="preserve"> Cervical lesion prevalence was 50.8%. Low-grade squamous intraepithelial lesion (LGSIL) was most common (61.3%), followed by inflammation (19.4%), ASCUS (12.9%), and high-grade SIL (6.5%). CD4+ count was significantly associated with lesion severity (t = 37.186, p &lt; 0.001; B = 2.715). HIV viral load showed a moderate inverse correlation (r = –0.340), and ART duration was negatively correlated with lesion occurrence (r = –0.256).</w:t>
      </w:r>
    </w:p>
    <w:p w14:paraId="652B6F3F" w14:textId="093BA8C6" w:rsidR="007E7423" w:rsidRPr="007E7423" w:rsidRDefault="007E7423" w:rsidP="007E7423">
      <w:pPr>
        <w:spacing w:after="0" w:line="360" w:lineRule="auto"/>
        <w:rPr>
          <w:rFonts w:ascii="Times New Roman" w:hAnsi="Times New Roman"/>
        </w:rPr>
      </w:pPr>
      <w:r w:rsidRPr="007E7423">
        <w:rPr>
          <w:rFonts w:ascii="Times New Roman" w:hAnsi="Times New Roman"/>
          <w:b/>
          <w:bCs/>
        </w:rPr>
        <w:t>Conclusion:</w:t>
      </w:r>
      <w:r w:rsidRPr="007E7423">
        <w:rPr>
          <w:rFonts w:ascii="Times New Roman" w:hAnsi="Times New Roman"/>
        </w:rPr>
        <w:t xml:space="preserve"> CD4+ count is a key predictor of cervical lesion severity. Integrating cervical screening into HIV care, especially for immunocompromised women, is vital for early detection and intervention.</w:t>
      </w:r>
    </w:p>
    <w:p w14:paraId="4E57C390" w14:textId="77777777" w:rsidR="007E7423" w:rsidRPr="007E7423" w:rsidRDefault="007E7423" w:rsidP="007E7423">
      <w:pPr>
        <w:spacing w:after="0" w:line="360" w:lineRule="auto"/>
        <w:rPr>
          <w:rFonts w:ascii="Times New Roman" w:hAnsi="Times New Roman"/>
        </w:rPr>
      </w:pPr>
      <w:r w:rsidRPr="007E7423">
        <w:rPr>
          <w:rFonts w:ascii="Times New Roman" w:hAnsi="Times New Roman"/>
          <w:b/>
          <w:bCs/>
        </w:rPr>
        <w:t>Keywords:</w:t>
      </w:r>
      <w:r w:rsidRPr="007E7423">
        <w:rPr>
          <w:rFonts w:ascii="Times New Roman" w:hAnsi="Times New Roman"/>
        </w:rPr>
        <w:t xml:space="preserve"> Cervical lesions, HIV, CD4 count, ART, Pap smear</w:t>
      </w:r>
    </w:p>
    <w:p w14:paraId="049DBE8E" w14:textId="77777777" w:rsidR="00460A8A" w:rsidRDefault="00460A8A">
      <w:pPr>
        <w:spacing w:after="0" w:line="360" w:lineRule="auto"/>
        <w:jc w:val="both"/>
        <w:rPr>
          <w:rFonts w:ascii="Times New Roman" w:hAnsi="Times New Roman"/>
          <w:b/>
          <w:sz w:val="24"/>
          <w:szCs w:val="24"/>
        </w:rPr>
      </w:pPr>
    </w:p>
    <w:p w14:paraId="32A3F79F" w14:textId="77777777" w:rsidR="00460A8A" w:rsidRDefault="00957453">
      <w:pPr>
        <w:spacing w:line="360" w:lineRule="auto"/>
        <w:jc w:val="both"/>
        <w:rPr>
          <w:rFonts w:ascii="Times New Roman" w:hAnsi="Times New Roman"/>
          <w:b/>
          <w:bCs/>
          <w:sz w:val="24"/>
          <w:szCs w:val="24"/>
        </w:rPr>
      </w:pPr>
      <w:r>
        <w:rPr>
          <w:rFonts w:ascii="Times New Roman" w:hAnsi="Times New Roman"/>
          <w:b/>
          <w:bCs/>
          <w:sz w:val="24"/>
          <w:szCs w:val="24"/>
        </w:rPr>
        <w:t>1. INTRODUCTION</w:t>
      </w:r>
    </w:p>
    <w:p w14:paraId="575F64C7" w14:textId="650D8344" w:rsidR="00460A8A" w:rsidRDefault="00957453">
      <w:pPr>
        <w:spacing w:after="0" w:line="360" w:lineRule="auto"/>
        <w:jc w:val="both"/>
        <w:rPr>
          <w:rFonts w:ascii="Times New Roman" w:hAnsi="Times New Roman"/>
          <w:sz w:val="24"/>
          <w:szCs w:val="24"/>
        </w:rPr>
      </w:pPr>
      <w:r>
        <w:rPr>
          <w:rFonts w:ascii="Times New Roman" w:hAnsi="Times New Roman"/>
          <w:sz w:val="24"/>
          <w:szCs w:val="24"/>
        </w:rPr>
        <w:t>Cervical cancer remains a leading cause of morbidity and mortality among women in sub-Saharan Africa, particularly among HIV-positive populations due to their immunocompromised status (WHO, 2021). In Nigeria, cervical cancer is the second most common cancer among women, with an estimated age-standardized incidence rate of 25 per 100,000 women and a mortality rate of 18.9 per 100,000 women (</w:t>
      </w:r>
      <w:proofErr w:type="spellStart"/>
      <w:r>
        <w:rPr>
          <w:rFonts w:ascii="Times New Roman" w:hAnsi="Times New Roman"/>
          <w:sz w:val="24"/>
          <w:szCs w:val="24"/>
        </w:rPr>
        <w:t>Jedy-Agba</w:t>
      </w:r>
      <w:proofErr w:type="spellEnd"/>
      <w:r>
        <w:rPr>
          <w:rFonts w:ascii="Times New Roman" w:hAnsi="Times New Roman"/>
          <w:sz w:val="24"/>
          <w:szCs w:val="24"/>
        </w:rPr>
        <w:t xml:space="preserve"> et al., 201</w:t>
      </w:r>
      <w:r w:rsidR="00342748">
        <w:rPr>
          <w:rFonts w:ascii="Times New Roman" w:hAnsi="Times New Roman"/>
          <w:sz w:val="24"/>
          <w:szCs w:val="24"/>
        </w:rPr>
        <w:t>6</w:t>
      </w:r>
      <w:r>
        <w:rPr>
          <w:rFonts w:ascii="Times New Roman" w:hAnsi="Times New Roman"/>
          <w:sz w:val="24"/>
          <w:szCs w:val="24"/>
        </w:rPr>
        <w:t>). The burden is disproportionately higher in northern Nigeria, where cultural barriers and limited access to screening services contribute to advanced disease presentation (O</w:t>
      </w:r>
      <w:r w:rsidR="00AE34AA">
        <w:rPr>
          <w:rFonts w:ascii="Times New Roman" w:hAnsi="Times New Roman"/>
          <w:sz w:val="24"/>
          <w:szCs w:val="24"/>
        </w:rPr>
        <w:t>koye et al</w:t>
      </w:r>
      <w:r>
        <w:rPr>
          <w:rFonts w:ascii="Times New Roman" w:hAnsi="Times New Roman"/>
          <w:color w:val="EE0000"/>
          <w:sz w:val="24"/>
          <w:szCs w:val="24"/>
        </w:rPr>
        <w:t>, 20</w:t>
      </w:r>
      <w:r w:rsidR="00AE34AA">
        <w:rPr>
          <w:rFonts w:ascii="Times New Roman" w:hAnsi="Times New Roman"/>
          <w:color w:val="EE0000"/>
          <w:sz w:val="24"/>
          <w:szCs w:val="24"/>
        </w:rPr>
        <w:t>22</w:t>
      </w:r>
      <w:r>
        <w:rPr>
          <w:rFonts w:ascii="Times New Roman" w:hAnsi="Times New Roman"/>
          <w:color w:val="EE0000"/>
          <w:sz w:val="24"/>
          <w:szCs w:val="24"/>
        </w:rPr>
        <w:t xml:space="preserve">). </w:t>
      </w:r>
      <w:r>
        <w:rPr>
          <w:rFonts w:ascii="Times New Roman" w:hAnsi="Times New Roman"/>
          <w:sz w:val="24"/>
          <w:szCs w:val="24"/>
        </w:rPr>
        <w:t xml:space="preserve">Current estimates suggest that approximately 14,089 new cases of cervical cancer are </w:t>
      </w:r>
      <w:r>
        <w:rPr>
          <w:rFonts w:ascii="Times New Roman" w:hAnsi="Times New Roman"/>
          <w:sz w:val="24"/>
          <w:szCs w:val="24"/>
        </w:rPr>
        <w:lastRenderedPageBreak/>
        <w:t>diagnosed annually in Nigeria, with over 10,403 deaths recorded yearly (</w:t>
      </w:r>
      <w:proofErr w:type="spellStart"/>
      <w:r>
        <w:rPr>
          <w:rFonts w:ascii="Times New Roman" w:hAnsi="Times New Roman"/>
          <w:sz w:val="24"/>
          <w:szCs w:val="24"/>
        </w:rPr>
        <w:t>Ferlay</w:t>
      </w:r>
      <w:proofErr w:type="spellEnd"/>
      <w:r>
        <w:rPr>
          <w:rFonts w:ascii="Times New Roman" w:hAnsi="Times New Roman"/>
          <w:sz w:val="24"/>
          <w:szCs w:val="24"/>
        </w:rPr>
        <w:t xml:space="preserve"> et al., 2015). HIV infection significantly increases the risk of persistent human papillomavirus (HPV) infection, which is a known etiological factor for cervical lesions. HIV-positive women have a 2 – </w:t>
      </w:r>
      <w:proofErr w:type="gramStart"/>
      <w:r>
        <w:rPr>
          <w:rFonts w:ascii="Times New Roman" w:hAnsi="Times New Roman"/>
          <w:sz w:val="24"/>
          <w:szCs w:val="24"/>
        </w:rPr>
        <w:t>12 fold</w:t>
      </w:r>
      <w:proofErr w:type="gramEnd"/>
      <w:r>
        <w:rPr>
          <w:rFonts w:ascii="Times New Roman" w:hAnsi="Times New Roman"/>
          <w:sz w:val="24"/>
          <w:szCs w:val="24"/>
        </w:rPr>
        <w:t xml:space="preserve"> increased risk of developing cervical intraepithelial neoplasia and invasive cervical cancer compared to HIV-negative women </w:t>
      </w:r>
      <w:r>
        <w:rPr>
          <w:rFonts w:ascii="Times New Roman" w:hAnsi="Times New Roman"/>
          <w:color w:val="EE0000"/>
          <w:sz w:val="24"/>
          <w:szCs w:val="24"/>
        </w:rPr>
        <w:t xml:space="preserve">(Abraham et al., 2013). </w:t>
      </w:r>
      <w:r>
        <w:rPr>
          <w:rFonts w:ascii="Times New Roman" w:hAnsi="Times New Roman"/>
          <w:sz w:val="24"/>
          <w:szCs w:val="24"/>
        </w:rPr>
        <w:t xml:space="preserve">The immunosuppressive effects of HIV lead to impaired clearance of HPV infections, increased viral persistence, and accelerated progression from low-grade to high-grade lesions </w:t>
      </w:r>
      <w:r>
        <w:rPr>
          <w:rFonts w:ascii="Times New Roman" w:hAnsi="Times New Roman"/>
          <w:color w:val="EE0000"/>
          <w:sz w:val="24"/>
          <w:szCs w:val="24"/>
        </w:rPr>
        <w:t xml:space="preserve">(Denslow et al., 2014). </w:t>
      </w:r>
      <w:r>
        <w:rPr>
          <w:rFonts w:ascii="Times New Roman" w:hAnsi="Times New Roman"/>
          <w:sz w:val="24"/>
          <w:szCs w:val="24"/>
        </w:rPr>
        <w:t xml:space="preserve">HIV-positive women demonstrate higher rates of HPV co-infection with multiple high-risk types, increased viral load, and reduced response to standard treatments </w:t>
      </w:r>
      <w:r>
        <w:rPr>
          <w:rFonts w:ascii="Times New Roman" w:hAnsi="Times New Roman"/>
          <w:color w:val="EE0000"/>
          <w:sz w:val="24"/>
          <w:szCs w:val="24"/>
        </w:rPr>
        <w:t>(</w:t>
      </w:r>
      <w:r w:rsidR="00342748">
        <w:rPr>
          <w:rFonts w:ascii="Times New Roman" w:hAnsi="Times New Roman"/>
          <w:color w:val="EE0000"/>
          <w:sz w:val="24"/>
          <w:szCs w:val="24"/>
        </w:rPr>
        <w:t>Massad</w:t>
      </w:r>
      <w:r>
        <w:rPr>
          <w:rFonts w:ascii="Times New Roman" w:hAnsi="Times New Roman"/>
          <w:color w:val="EE0000"/>
          <w:sz w:val="24"/>
          <w:szCs w:val="24"/>
        </w:rPr>
        <w:t xml:space="preserve"> et al., </w:t>
      </w:r>
      <w:r w:rsidR="00342748">
        <w:rPr>
          <w:rFonts w:ascii="Times New Roman" w:hAnsi="Times New Roman"/>
          <w:color w:val="EE0000"/>
          <w:sz w:val="24"/>
          <w:szCs w:val="24"/>
        </w:rPr>
        <w:t>20</w:t>
      </w:r>
      <w:r w:rsidR="007B3C66">
        <w:rPr>
          <w:rFonts w:ascii="Times New Roman" w:hAnsi="Times New Roman"/>
          <w:color w:val="EE0000"/>
          <w:sz w:val="24"/>
          <w:szCs w:val="24"/>
        </w:rPr>
        <w:t>21</w:t>
      </w:r>
      <w:r>
        <w:rPr>
          <w:rFonts w:ascii="Times New Roman" w:hAnsi="Times New Roman"/>
          <w:color w:val="EE0000"/>
          <w:sz w:val="24"/>
          <w:szCs w:val="24"/>
        </w:rPr>
        <w:t xml:space="preserve">). </w:t>
      </w:r>
      <w:r>
        <w:rPr>
          <w:rFonts w:ascii="Times New Roman" w:hAnsi="Times New Roman"/>
          <w:sz w:val="24"/>
          <w:szCs w:val="24"/>
        </w:rPr>
        <w:t xml:space="preserve">The synergistic relationship between HIV and HPV creates a complex pathophysiological environment where immune dysfunction facilitates HPV persistence, leading to a more aggressive cervical disease progression. Despite the widespread use of antiretroviral therapy (ART), cervical cancer screening for HIV positive individuals remains inconsistent, and the relationship between immunological parameters and lesion progression is still unclear in some populations </w:t>
      </w:r>
      <w:r>
        <w:rPr>
          <w:rFonts w:ascii="Times New Roman" w:hAnsi="Times New Roman"/>
        </w:rPr>
        <w:t>(</w:t>
      </w:r>
      <w:proofErr w:type="spellStart"/>
      <w:r>
        <w:rPr>
          <w:rFonts w:ascii="Times New Roman" w:hAnsi="Times New Roman"/>
        </w:rPr>
        <w:t>Ovuakporaye</w:t>
      </w:r>
      <w:proofErr w:type="spellEnd"/>
      <w:r>
        <w:rPr>
          <w:rFonts w:ascii="Times New Roman" w:hAnsi="Times New Roman"/>
        </w:rPr>
        <w:t xml:space="preserve"> et al., 2020)</w:t>
      </w:r>
      <w:r>
        <w:rPr>
          <w:rFonts w:ascii="Times New Roman" w:hAnsi="Times New Roman"/>
          <w:sz w:val="24"/>
          <w:szCs w:val="24"/>
        </w:rPr>
        <w:t>. Given the high burden of both HIV and cervical cancer in Nigeria, and the limited data on cervical lesion characterization among HIV-positive women in this region. This study justified evidence-based insights into improved clinical management and prevention strategies as well as identifying prevalence and types of cervical lesions and sociodemographic, reproductive, and clinical correlates.</w:t>
      </w:r>
    </w:p>
    <w:p w14:paraId="74D6475C" w14:textId="77777777" w:rsidR="00460A8A" w:rsidRDefault="00460A8A">
      <w:pPr>
        <w:spacing w:after="0" w:line="360" w:lineRule="auto"/>
        <w:jc w:val="both"/>
        <w:rPr>
          <w:rFonts w:ascii="Times New Roman" w:hAnsi="Times New Roman"/>
          <w:b/>
          <w:sz w:val="24"/>
          <w:szCs w:val="24"/>
        </w:rPr>
      </w:pPr>
    </w:p>
    <w:p w14:paraId="5B7C9C44" w14:textId="77777777" w:rsidR="00460A8A" w:rsidRDefault="00957453">
      <w:pPr>
        <w:spacing w:line="360" w:lineRule="auto"/>
        <w:rPr>
          <w:rFonts w:ascii="Times New Roman" w:hAnsi="Times New Roman"/>
          <w:b/>
          <w:bCs/>
          <w:sz w:val="24"/>
          <w:szCs w:val="24"/>
        </w:rPr>
      </w:pPr>
      <w:r>
        <w:rPr>
          <w:rFonts w:ascii="Times New Roman" w:hAnsi="Times New Roman"/>
          <w:b/>
          <w:bCs/>
          <w:sz w:val="24"/>
          <w:szCs w:val="24"/>
        </w:rPr>
        <w:t>2. METHODS</w:t>
      </w:r>
    </w:p>
    <w:p w14:paraId="5683CE38" w14:textId="77777777" w:rsidR="00460A8A" w:rsidRDefault="00957453">
      <w:pPr>
        <w:spacing w:after="0" w:line="360" w:lineRule="auto"/>
        <w:jc w:val="both"/>
        <w:rPr>
          <w:rFonts w:ascii="Times New Roman" w:hAnsi="Times New Roman"/>
          <w:b/>
          <w:bCs/>
        </w:rPr>
      </w:pPr>
      <w:r>
        <w:rPr>
          <w:rFonts w:ascii="Times New Roman" w:hAnsi="Times New Roman"/>
          <w:b/>
          <w:bCs/>
        </w:rPr>
        <w:t>Study Design and Period</w:t>
      </w:r>
    </w:p>
    <w:p w14:paraId="198B1B4E" w14:textId="77777777" w:rsidR="00460A8A" w:rsidRDefault="00957453">
      <w:pPr>
        <w:spacing w:after="0" w:line="360" w:lineRule="auto"/>
        <w:jc w:val="both"/>
        <w:rPr>
          <w:rFonts w:ascii="Times New Roman" w:hAnsi="Times New Roman"/>
        </w:rPr>
      </w:pPr>
      <w:r>
        <w:rPr>
          <w:rFonts w:ascii="Times New Roman" w:hAnsi="Times New Roman"/>
        </w:rPr>
        <w:t>This research employed a prospective cross-sectional study design, conducted from January to May 2025. The design was selected to enable simultaneous assessment of HIV status, immunological parameters, and cervical cytological findings, allowing for correlation analyses between these variables.</w:t>
      </w:r>
    </w:p>
    <w:p w14:paraId="08A33477" w14:textId="77777777" w:rsidR="00460A8A" w:rsidRDefault="00957453">
      <w:pPr>
        <w:spacing w:after="0" w:line="360" w:lineRule="auto"/>
        <w:jc w:val="both"/>
        <w:rPr>
          <w:rFonts w:ascii="Times New Roman" w:hAnsi="Times New Roman"/>
          <w:b/>
          <w:bCs/>
        </w:rPr>
      </w:pPr>
      <w:r>
        <w:rPr>
          <w:rFonts w:ascii="Times New Roman" w:hAnsi="Times New Roman"/>
          <w:b/>
          <w:bCs/>
        </w:rPr>
        <w:t>Description of Study Area</w:t>
      </w:r>
    </w:p>
    <w:p w14:paraId="78206463" w14:textId="77777777" w:rsidR="00460A8A" w:rsidRDefault="00957453">
      <w:pPr>
        <w:spacing w:after="0" w:line="360" w:lineRule="auto"/>
        <w:jc w:val="both"/>
      </w:pPr>
      <w:r>
        <w:rPr>
          <w:rFonts w:ascii="Times New Roman" w:hAnsi="Times New Roman"/>
        </w:rPr>
        <w:t xml:space="preserve">The research was done at University of Abuja Teaching Hospital (UATH), Gwagwalada, Federal Capital Territory, Abuja, Nigeria. Gwagwalada is a major local government area of the Federal Capital Territory and was established on October 15, 1984. The region is found at about 45km of the Abuja city </w:t>
      </w:r>
      <w:proofErr w:type="spellStart"/>
      <w:r>
        <w:rPr>
          <w:rFonts w:ascii="Times New Roman" w:hAnsi="Times New Roman"/>
        </w:rPr>
        <w:t>centre</w:t>
      </w:r>
      <w:proofErr w:type="spellEnd"/>
      <w:r>
        <w:rPr>
          <w:rFonts w:ascii="Times New Roman" w:hAnsi="Times New Roman"/>
        </w:rPr>
        <w:t xml:space="preserve"> and is bordered </w:t>
      </w:r>
      <w:r>
        <w:t>latitude 8°55' and 9°00' N and longitude 7°00' and 7°05' E.</w:t>
      </w:r>
    </w:p>
    <w:p w14:paraId="0DB81BC9" w14:textId="77777777" w:rsidR="00460A8A" w:rsidRDefault="00957453">
      <w:pPr>
        <w:spacing w:after="0" w:line="360" w:lineRule="auto"/>
        <w:jc w:val="both"/>
        <w:rPr>
          <w:rFonts w:ascii="Times New Roman" w:hAnsi="Times New Roman"/>
        </w:rPr>
      </w:pPr>
      <w:r>
        <w:rPr>
          <w:rFonts w:ascii="Times New Roman" w:hAnsi="Times New Roman"/>
        </w:rPr>
        <w:t>It has a tropical climate with a proper wet/dry season with temperatures varying between 30</w:t>
      </w:r>
      <w:r>
        <w:rPr>
          <w:rFonts w:ascii="Times New Roman" w:hAnsi="Times New Roman"/>
          <w:vertAlign w:val="superscript"/>
        </w:rPr>
        <w:t>o</w:t>
      </w:r>
      <w:r>
        <w:rPr>
          <w:rFonts w:ascii="Times New Roman" w:hAnsi="Times New Roman"/>
        </w:rPr>
        <w:t>C and 37</w:t>
      </w:r>
      <w:r>
        <w:rPr>
          <w:rFonts w:ascii="Times New Roman" w:hAnsi="Times New Roman"/>
          <w:vertAlign w:val="superscript"/>
        </w:rPr>
        <w:t>o</w:t>
      </w:r>
      <w:r>
        <w:rPr>
          <w:rFonts w:ascii="Times New Roman" w:hAnsi="Times New Roman"/>
        </w:rPr>
        <w:t xml:space="preserve">C and averagely raining 1650mm a year. As the capital city center, Gwagwalada is the second most cosmopolitan area within the FCT, and it harbors more than 26 federal outfits such as University </w:t>
      </w:r>
      <w:r>
        <w:rPr>
          <w:rFonts w:ascii="Times New Roman" w:hAnsi="Times New Roman"/>
        </w:rPr>
        <w:lastRenderedPageBreak/>
        <w:t>of Abuja, General Azazi military Barracks, and UATH. Such centrality and multiplicity of institutions combine with population mobility and other social forces that establish patterns in the transmission of HIV in the area.</w:t>
      </w:r>
    </w:p>
    <w:p w14:paraId="6B0E9E32" w14:textId="77777777" w:rsidR="00460A8A" w:rsidRDefault="00957453">
      <w:pPr>
        <w:spacing w:after="0" w:line="360" w:lineRule="auto"/>
        <w:jc w:val="both"/>
        <w:rPr>
          <w:rFonts w:ascii="Times New Roman" w:hAnsi="Times New Roman"/>
        </w:rPr>
      </w:pPr>
      <w:r>
        <w:rPr>
          <w:rFonts w:ascii="Times New Roman" w:hAnsi="Times New Roman"/>
        </w:rPr>
        <w:t>UATH is also a huge referral center in the HIV care and these patients are referred by not only their own FCT but also neighboring states such as Nasarawa, Kogi, Kaduna, and Niger. The HIV clinic in the hospital offers a full package of services that covers counseling, testing, the use of antiretroviral therapy, treatment of opportunistic infections.</w:t>
      </w:r>
    </w:p>
    <w:p w14:paraId="2AD7DC80" w14:textId="77777777" w:rsidR="00460A8A" w:rsidRDefault="00460A8A">
      <w:pPr>
        <w:spacing w:after="0" w:line="360" w:lineRule="auto"/>
        <w:jc w:val="both"/>
        <w:rPr>
          <w:rFonts w:ascii="Times New Roman" w:hAnsi="Times New Roman"/>
          <w:b/>
          <w:bCs/>
        </w:rPr>
      </w:pPr>
    </w:p>
    <w:p w14:paraId="3632E98D" w14:textId="77777777" w:rsidR="00460A8A" w:rsidRDefault="00957453">
      <w:pPr>
        <w:spacing w:after="0" w:line="360" w:lineRule="auto"/>
        <w:jc w:val="both"/>
        <w:rPr>
          <w:rFonts w:ascii="Times New Roman" w:hAnsi="Times New Roman"/>
          <w:b/>
          <w:bCs/>
        </w:rPr>
      </w:pPr>
      <w:r>
        <w:rPr>
          <w:rFonts w:ascii="Times New Roman" w:hAnsi="Times New Roman"/>
          <w:b/>
          <w:bCs/>
        </w:rPr>
        <w:t>Source Population:</w:t>
      </w:r>
    </w:p>
    <w:p w14:paraId="5A3691E6" w14:textId="77777777" w:rsidR="00460A8A" w:rsidRDefault="00957453">
      <w:pPr>
        <w:spacing w:after="0" w:line="360" w:lineRule="auto"/>
        <w:jc w:val="both"/>
        <w:rPr>
          <w:rFonts w:ascii="Times New Roman" w:hAnsi="Times New Roman"/>
        </w:rPr>
      </w:pPr>
      <w:r>
        <w:rPr>
          <w:rFonts w:ascii="Times New Roman" w:hAnsi="Times New Roman"/>
        </w:rPr>
        <w:t>The source population comprised all female patients attending the HIV clinic at UATH during the study period.</w:t>
      </w:r>
    </w:p>
    <w:p w14:paraId="7A880FEC" w14:textId="77777777" w:rsidR="00460A8A" w:rsidRDefault="00957453">
      <w:pPr>
        <w:spacing w:after="0" w:line="360" w:lineRule="auto"/>
        <w:jc w:val="both"/>
        <w:rPr>
          <w:rFonts w:ascii="Times New Roman" w:hAnsi="Times New Roman"/>
          <w:b/>
          <w:bCs/>
        </w:rPr>
      </w:pPr>
      <w:r>
        <w:rPr>
          <w:rFonts w:ascii="Times New Roman" w:hAnsi="Times New Roman"/>
          <w:b/>
          <w:bCs/>
        </w:rPr>
        <w:t>Study Population</w:t>
      </w:r>
    </w:p>
    <w:p w14:paraId="50D7DC1A" w14:textId="77777777" w:rsidR="00460A8A" w:rsidRDefault="00957453">
      <w:pPr>
        <w:spacing w:after="0" w:line="360" w:lineRule="auto"/>
        <w:jc w:val="both"/>
        <w:rPr>
          <w:rFonts w:ascii="Times New Roman" w:hAnsi="Times New Roman"/>
        </w:rPr>
      </w:pPr>
      <w:r>
        <w:rPr>
          <w:rFonts w:ascii="Times New Roman" w:hAnsi="Times New Roman"/>
        </w:rPr>
        <w:t>The study population consisted of HIV-positive women aged 20-65 years who were receiving care at the HIV clinic in UATH and met the inclusion criteria.</w:t>
      </w:r>
    </w:p>
    <w:p w14:paraId="0423A598" w14:textId="77777777" w:rsidR="00460A8A" w:rsidRDefault="00957453">
      <w:pPr>
        <w:spacing w:after="0" w:line="360" w:lineRule="auto"/>
        <w:jc w:val="both"/>
        <w:rPr>
          <w:rFonts w:ascii="Times New Roman Bold" w:hAnsi="Times New Roman Bold" w:cs="Times New Roman Bold"/>
          <w:b/>
          <w:bCs/>
        </w:rPr>
      </w:pPr>
      <w:r>
        <w:rPr>
          <w:rFonts w:ascii="Times New Roman Bold" w:hAnsi="Times New Roman Bold" w:cs="Times New Roman Bold"/>
          <w:b/>
          <w:bCs/>
        </w:rPr>
        <w:t xml:space="preserve">Sample Size Determination </w:t>
      </w:r>
    </w:p>
    <w:p w14:paraId="6B165383" w14:textId="251D8EAA" w:rsidR="00015171" w:rsidRDefault="00957453" w:rsidP="00015171">
      <w:pPr>
        <w:spacing w:after="0" w:line="360" w:lineRule="auto"/>
        <w:jc w:val="both"/>
        <w:rPr>
          <w:rFonts w:ascii="Times New Roman" w:hAnsi="Times New Roman"/>
        </w:rPr>
      </w:pPr>
      <w:r>
        <w:rPr>
          <w:rFonts w:ascii="Times New Roman" w:hAnsi="Times New Roman"/>
        </w:rPr>
        <w:t xml:space="preserve">The number of </w:t>
      </w:r>
      <w:proofErr w:type="gramStart"/>
      <w:r>
        <w:rPr>
          <w:rFonts w:ascii="Times New Roman" w:hAnsi="Times New Roman"/>
        </w:rPr>
        <w:t>sample</w:t>
      </w:r>
      <w:proofErr w:type="gramEnd"/>
      <w:r>
        <w:rPr>
          <w:rFonts w:ascii="Times New Roman" w:hAnsi="Times New Roman"/>
        </w:rPr>
        <w:t xml:space="preserve"> required in this research w</w:t>
      </w:r>
      <w:r w:rsidR="001C4D5D">
        <w:rPr>
          <w:rFonts w:ascii="Times New Roman" w:hAnsi="Times New Roman"/>
        </w:rPr>
        <w:t>as</w:t>
      </w:r>
      <w:r>
        <w:rPr>
          <w:rFonts w:ascii="Times New Roman" w:hAnsi="Times New Roman"/>
        </w:rPr>
        <w:t xml:space="preserve"> guided by upper limit required to give 95% level of confidence at an expected prevalence of about 4.2% using the precise formula: </w:t>
      </w:r>
    </w:p>
    <w:p w14:paraId="66DA7E7F" w14:textId="69B080A2" w:rsidR="00460A8A" w:rsidRPr="005F6FAC" w:rsidRDefault="00023C8B">
      <w:pPr>
        <w:spacing w:after="0" w:line="360" w:lineRule="auto"/>
        <w:jc w:val="both"/>
        <w:rPr>
          <w:rFonts w:ascii="Times New Roman" w:hAnsi="Times New Roman"/>
        </w:rPr>
      </w:pPr>
      <w:r>
        <w:rPr>
          <w:rFonts w:ascii="Times New Roman" w:hAnsi="Times New Roman"/>
        </w:rPr>
        <w:t xml:space="preserve"> </w:t>
      </w:r>
      <w:r w:rsidR="00015171">
        <w:rPr>
          <w:rFonts w:ascii="Times New Roman" w:hAnsi="Times New Roman"/>
        </w:rPr>
        <w:br/>
      </w:r>
      <m:oMath>
        <m:r>
          <m:rPr>
            <m:sty m:val="b"/>
          </m:rPr>
          <w:rPr>
            <w:rFonts w:ascii="Cambria Math" w:hAnsi="Cambria Math" w:cs="Cambria Math"/>
            <w:lang w:bidi="en-US"/>
          </w:rPr>
          <m:t>N</m:t>
        </m:r>
        <m:r>
          <w:rPr>
            <w:rFonts w:ascii="Cambria Math" w:hAnsi="Cambria Math"/>
          </w:rPr>
          <m:t>=</m:t>
        </m:r>
        <m:f>
          <m:fPr>
            <m:ctrlPr>
              <w:rPr>
                <w:rFonts w:ascii="Cambria Math" w:hAnsi="Cambria Math" w:cs="Cambria Math"/>
                <w:i/>
                <w:iCs/>
                <w:lang w:bidi="en-US"/>
              </w:rPr>
            </m:ctrlPr>
          </m:fPr>
          <m:num>
            <m:sSup>
              <m:sSupPr>
                <m:ctrlPr>
                  <w:rPr>
                    <w:rFonts w:ascii="Cambria Math" w:hAnsi="Cambria Math"/>
                    <w:i/>
                    <w:iCs/>
                  </w:rPr>
                </m:ctrlPr>
              </m:sSupPr>
              <m:e>
                <m:r>
                  <w:rPr>
                    <w:rFonts w:ascii="Cambria Math" w:hAnsi="Cambria Math" w:cs="Cambria Math"/>
                    <w:lang w:bidi="en-US"/>
                  </w:rPr>
                  <m:t>z</m:t>
                </m:r>
                <m:ctrlPr>
                  <w:rPr>
                    <w:rFonts w:ascii="Cambria Math" w:hAnsi="Cambria Math" w:cs="Cambria Math" w:hint="cs"/>
                    <w:i/>
                    <w:iCs/>
                    <w:cs/>
                    <w:lang w:bidi="en-US"/>
                  </w:rPr>
                </m:ctrlPr>
              </m:e>
              <m:sup>
                <m:r>
                  <w:rPr>
                    <w:rFonts w:ascii="Cambria Math" w:hAnsi="Cambria Math"/>
                  </w:rPr>
                  <m:t>2</m:t>
                </m:r>
              </m:sup>
            </m:sSup>
            <m:r>
              <w:rPr>
                <w:rFonts w:ascii="Cambria Math" w:hAnsi="Cambria Math" w:cs="Cambria Math"/>
                <w:lang w:bidi="en-US"/>
              </w:rPr>
              <m:t>pq</m:t>
            </m:r>
            <m:ctrlPr>
              <w:rPr>
                <w:rFonts w:ascii="Cambria Math" w:hAnsi="Cambria Math" w:cs="Cambria Math" w:hint="cs"/>
                <w:i/>
                <w:iCs/>
                <w:cs/>
                <w:lang w:bidi="en-US"/>
              </w:rPr>
            </m:ctrlPr>
          </m:num>
          <m:den>
            <m:sSup>
              <m:sSupPr>
                <m:ctrlPr>
                  <w:rPr>
                    <w:rFonts w:ascii="Cambria Math" w:hAnsi="Cambria Math" w:cs="Cambria Math"/>
                    <w:i/>
                    <w:iCs/>
                    <w:lang w:bidi="en-US"/>
                  </w:rPr>
                </m:ctrlPr>
              </m:sSupPr>
              <m:e>
                <m:r>
                  <w:rPr>
                    <w:rFonts w:ascii="Cambria Math" w:hAnsi="Cambria Math" w:cs="Cambria Math"/>
                    <w:lang w:bidi="en-US"/>
                  </w:rPr>
                  <m:t>D</m:t>
                </m:r>
              </m:e>
              <m:sup>
                <m:r>
                  <w:rPr>
                    <w:rFonts w:ascii="Cambria Math" w:hAnsi="Cambria Math" w:cs="Cambria Math"/>
                    <w:lang w:bidi="en-US"/>
                  </w:rPr>
                  <m:t>2</m:t>
                </m:r>
              </m:sup>
            </m:sSup>
            <m:ctrlPr>
              <w:rPr>
                <w:rFonts w:ascii="Cambria Math" w:hAnsi="Cambria Math"/>
                <w:i/>
                <w:iCs/>
              </w:rPr>
            </m:ctrlPr>
          </m:den>
        </m:f>
      </m:oMath>
      <w:r>
        <w:rPr>
          <w:rFonts w:ascii="Times New Roman" w:hAnsi="Times New Roman"/>
          <w:vertAlign w:val="superscript"/>
        </w:rPr>
        <w:t xml:space="preserve"> </w:t>
      </w:r>
    </w:p>
    <w:p w14:paraId="6733CC9D" w14:textId="77777777" w:rsidR="00460A8A" w:rsidRDefault="00957453">
      <w:pPr>
        <w:spacing w:after="0" w:line="360" w:lineRule="auto"/>
        <w:jc w:val="both"/>
        <w:rPr>
          <w:rFonts w:ascii="Times New Roman" w:hAnsi="Times New Roman"/>
        </w:rPr>
      </w:pPr>
      <w:r>
        <w:rPr>
          <w:rFonts w:ascii="Times New Roman" w:hAnsi="Times New Roman"/>
        </w:rPr>
        <w:t xml:space="preserve">N = required sample size </w:t>
      </w:r>
    </w:p>
    <w:p w14:paraId="493D9440" w14:textId="74D4D9CB" w:rsidR="00460A8A" w:rsidRDefault="00957453">
      <w:pPr>
        <w:spacing w:after="0" w:line="360" w:lineRule="auto"/>
        <w:jc w:val="both"/>
        <w:rPr>
          <w:rFonts w:ascii="Times New Roman" w:hAnsi="Times New Roman"/>
        </w:rPr>
      </w:pPr>
      <w:r>
        <w:rPr>
          <w:rFonts w:ascii="Times New Roman" w:hAnsi="Times New Roman"/>
        </w:rPr>
        <w:t xml:space="preserve">Z = score (for 95% confidence, Z=1.96) </w:t>
      </w:r>
    </w:p>
    <w:p w14:paraId="5A6D46B2" w14:textId="77777777" w:rsidR="00460A8A" w:rsidRDefault="00957453">
      <w:pPr>
        <w:spacing w:after="0" w:line="360" w:lineRule="auto"/>
        <w:jc w:val="both"/>
        <w:rPr>
          <w:rFonts w:ascii="Times New Roman" w:hAnsi="Times New Roman"/>
        </w:rPr>
      </w:pPr>
      <w:r>
        <w:rPr>
          <w:rFonts w:ascii="Times New Roman" w:hAnsi="Times New Roman"/>
        </w:rPr>
        <w:t xml:space="preserve">P = estimated prevalence = 4.2% (Abah, 2014) </w:t>
      </w:r>
    </w:p>
    <w:p w14:paraId="3F916B3D" w14:textId="00D79FD1" w:rsidR="00460A8A" w:rsidRPr="00022831" w:rsidRDefault="00957453" w:rsidP="00022831">
      <w:pPr>
        <w:spacing w:after="0" w:line="360" w:lineRule="auto"/>
        <w:jc w:val="both"/>
        <w:rPr>
          <w:rFonts w:ascii="Times New Roman" w:hAnsi="Times New Roman"/>
        </w:rPr>
      </w:pPr>
      <w:r>
        <w:rPr>
          <w:rFonts w:ascii="Times New Roman" w:hAnsi="Times New Roman"/>
        </w:rPr>
        <w:t xml:space="preserve">d = margin of error (precision), typically 0.05 (5%) </w:t>
      </w:r>
      <w:r w:rsidR="00022831">
        <w:rPr>
          <w:rFonts w:ascii="Times New Roman" w:hAnsi="Times New Roman"/>
          <w:vertAlign w:val="superscript"/>
        </w:rPr>
        <w:tab/>
      </w:r>
    </w:p>
    <w:p w14:paraId="3E6880D2" w14:textId="3343AFC1" w:rsidR="00022831" w:rsidRPr="005F6FAC" w:rsidRDefault="00022831" w:rsidP="005F6FAC">
      <w:pPr>
        <w:tabs>
          <w:tab w:val="left" w:pos="4050"/>
        </w:tabs>
        <w:spacing w:after="0" w:line="360" w:lineRule="auto"/>
        <w:jc w:val="both"/>
        <w:rPr>
          <w:rFonts w:ascii="Times New Roman" w:hAnsi="Times New Roman"/>
        </w:rPr>
      </w:pPr>
      <m:oMathPara>
        <m:oMathParaPr>
          <m:jc m:val="left"/>
        </m:oMathParaPr>
        <m:oMath>
          <m:r>
            <m:rPr>
              <m:sty m:val="b"/>
            </m:rPr>
            <w:rPr>
              <w:rFonts w:ascii="Cambria Math" w:hAnsi="Cambria Math" w:cs="Cambria Math"/>
              <w:lang w:bidi="en-US"/>
            </w:rPr>
            <m:t>N</m:t>
          </m:r>
          <m:r>
            <m:rPr>
              <m:brk/>
            </m:rPr>
            <w:rPr>
              <w:rFonts w:ascii="Cambria Math" w:hAnsi="Cambria Math"/>
            </w:rPr>
            <m:t>=</m:t>
          </m:r>
          <m:f>
            <m:fPr>
              <m:ctrlPr>
                <w:rPr>
                  <w:rFonts w:ascii="Cambria Math" w:hAnsi="Cambria Math" w:cs="Cambria Math"/>
                  <w:i/>
                  <w:iCs/>
                  <w:lang w:bidi="en-US"/>
                </w:rPr>
              </m:ctrlPr>
            </m:fPr>
            <m:num>
              <m:r>
                <m:rPr>
                  <m:sty m:val="p"/>
                </m:rPr>
                <w:rPr>
                  <w:rFonts w:ascii="Cambria Math" w:hAnsi="Cambria Math"/>
                </w:rPr>
                <m:t xml:space="preserve"> </m:t>
              </m:r>
              <m:sSup>
                <m:sSupPr>
                  <m:ctrlPr>
                    <w:rPr>
                      <w:rFonts w:ascii="Cambria Math" w:hAnsi="Cambria Math"/>
                      <w:i/>
                      <w:iCs/>
                    </w:rPr>
                  </m:ctrlPr>
                </m:sSupPr>
                <m:e>
                  <m:r>
                    <w:rPr>
                      <w:rFonts w:ascii="Cambria Math" w:hAnsi="Cambria Math" w:cs="Cambria Math"/>
                      <w:lang w:bidi="en-US"/>
                    </w:rPr>
                    <m:t>(1.96)</m:t>
                  </m:r>
                  <m:ctrlPr>
                    <w:rPr>
                      <w:rFonts w:ascii="Cambria Math" w:hAnsi="Cambria Math" w:cs="Cambria Math" w:hint="cs"/>
                      <w:i/>
                      <w:iCs/>
                      <w:cs/>
                      <w:lang w:bidi="en-US"/>
                    </w:rPr>
                  </m:ctrlPr>
                </m:e>
                <m:sup>
                  <m:r>
                    <w:rPr>
                      <w:rFonts w:ascii="Cambria Math" w:hAnsi="Cambria Math"/>
                    </w:rPr>
                    <m:t>2</m:t>
                  </m:r>
                </m:sup>
              </m:sSup>
              <m:r>
                <m:rPr>
                  <m:sty m:val="p"/>
                </m:rPr>
                <w:rPr>
                  <w:rFonts w:ascii="Cambria Math" w:hAnsi="Cambria Math"/>
                </w:rPr>
                <m:t xml:space="preserve"> X 0.042 (1 – 0.042)</m:t>
              </m:r>
              <m:ctrlPr>
                <w:rPr>
                  <w:rFonts w:ascii="Cambria Math" w:hAnsi="Cambria Math" w:cs="Cambria Math" w:hint="cs"/>
                  <w:i/>
                  <w:iCs/>
                  <w:cs/>
                  <w:lang w:bidi="en-US"/>
                </w:rPr>
              </m:ctrlPr>
            </m:num>
            <m:den>
              <m:sSup>
                <m:sSupPr>
                  <m:ctrlPr>
                    <w:rPr>
                      <w:rFonts w:ascii="Cambria Math" w:hAnsi="Cambria Math" w:cs="Cambria Math"/>
                      <w:i/>
                      <w:iCs/>
                      <w:lang w:bidi="en-US"/>
                    </w:rPr>
                  </m:ctrlPr>
                </m:sSupPr>
                <m:e>
                  <m:r>
                    <w:rPr>
                      <w:rFonts w:ascii="Cambria Math" w:hAnsi="Cambria Math" w:cs="Cambria Math"/>
                      <w:lang w:bidi="en-US"/>
                    </w:rPr>
                    <m:t>(0.05)</m:t>
                  </m:r>
                </m:e>
                <m:sup>
                  <m:r>
                    <w:rPr>
                      <w:rFonts w:ascii="Cambria Math" w:hAnsi="Cambria Math" w:cs="Cambria Math"/>
                      <w:lang w:bidi="en-US"/>
                    </w:rPr>
                    <m:t>2</m:t>
                  </m:r>
                </m:sup>
              </m:sSup>
              <m:ctrlPr>
                <w:rPr>
                  <w:rFonts w:ascii="Cambria Math" w:hAnsi="Cambria Math"/>
                  <w:i/>
                  <w:iCs/>
                </w:rPr>
              </m:ctrlPr>
            </m:den>
          </m:f>
        </m:oMath>
      </m:oMathPara>
    </w:p>
    <w:p w14:paraId="69143293" w14:textId="71E888DE" w:rsidR="00022831" w:rsidRPr="005F6FAC" w:rsidRDefault="00022831" w:rsidP="00022831">
      <w:pPr>
        <w:tabs>
          <w:tab w:val="left" w:pos="4050"/>
        </w:tabs>
        <w:spacing w:after="0" w:line="360" w:lineRule="auto"/>
        <w:jc w:val="both"/>
        <w:rPr>
          <w:rFonts w:ascii="Times New Roman" w:hAnsi="Times New Roman"/>
        </w:rPr>
      </w:pPr>
      <m:oMathPara>
        <m:oMathParaPr>
          <m:jc m:val="left"/>
        </m:oMathParaPr>
        <m:oMath>
          <m:r>
            <m:rPr>
              <m:sty m:val="b"/>
            </m:rPr>
            <w:rPr>
              <w:rFonts w:ascii="Cambria Math" w:hAnsi="Cambria Math" w:cs="Cambria Math"/>
              <w:lang w:bidi="en-US"/>
            </w:rPr>
            <m:t>N</m:t>
          </m:r>
          <m:r>
            <w:rPr>
              <w:rFonts w:ascii="Cambria Math" w:hAnsi="Cambria Math"/>
            </w:rPr>
            <m:t>=</m:t>
          </m:r>
          <m:f>
            <m:fPr>
              <m:ctrlPr>
                <w:rPr>
                  <w:rFonts w:ascii="Cambria Math" w:hAnsi="Cambria Math" w:cs="Cambria Math"/>
                  <w:i/>
                  <w:iCs/>
                  <w:lang w:bidi="en-US"/>
                </w:rPr>
              </m:ctrlPr>
            </m:fPr>
            <m:num>
              <m:r>
                <m:rPr>
                  <m:sty m:val="p"/>
                </m:rPr>
                <w:rPr>
                  <w:rFonts w:ascii="Cambria Math" w:hAnsi="Cambria Math"/>
                </w:rPr>
                <m:t xml:space="preserve"> 3.8416 × 0.042 (0.958)</m:t>
              </m:r>
              <m:ctrlPr>
                <w:rPr>
                  <w:rFonts w:ascii="Cambria Math" w:hAnsi="Cambria Math" w:cs="Cambria Math" w:hint="cs"/>
                  <w:i/>
                  <w:iCs/>
                  <w:cs/>
                  <w:lang w:bidi="en-US"/>
                </w:rPr>
              </m:ctrlPr>
            </m:num>
            <m:den>
              <m:r>
                <w:rPr>
                  <w:rFonts w:ascii="Cambria Math" w:hAnsi="Cambria Math" w:cs="Cambria Math"/>
                  <w:lang w:bidi="en-US"/>
                </w:rPr>
                <m:t>0.0025</m:t>
              </m:r>
              <m:ctrlPr>
                <w:rPr>
                  <w:rFonts w:ascii="Cambria Math" w:hAnsi="Cambria Math"/>
                  <w:i/>
                  <w:iCs/>
                </w:rPr>
              </m:ctrlPr>
            </m:den>
          </m:f>
          <m:r>
            <m:rPr>
              <m:sty m:val="p"/>
            </m:rPr>
            <w:rPr>
              <w:rFonts w:ascii="Cambria Math" w:hAnsi="Cambria Math" w:cs="Cambria Math"/>
              <w:lang w:bidi="en-US"/>
            </w:rPr>
            <w:br/>
          </m:r>
        </m:oMath>
        <m:oMath>
          <m:r>
            <m:rPr>
              <m:sty m:val="b"/>
            </m:rPr>
            <w:rPr>
              <w:rFonts w:ascii="Cambria Math" w:hAnsi="Cambria Math" w:cs="Cambria Math"/>
              <w:lang w:bidi="en-US"/>
            </w:rPr>
            <m:t>N</m:t>
          </m:r>
          <m:r>
            <m:rPr>
              <m:brk/>
            </m:rPr>
            <w:rPr>
              <w:rFonts w:ascii="Cambria Math" w:hAnsi="Cambria Math"/>
            </w:rPr>
            <m:t>=</m:t>
          </m:r>
          <m:f>
            <m:fPr>
              <m:ctrlPr>
                <w:rPr>
                  <w:rFonts w:ascii="Cambria Math" w:hAnsi="Cambria Math" w:cs="Cambria Math"/>
                  <w:i/>
                  <w:iCs/>
                  <w:lang w:bidi="en-US"/>
                </w:rPr>
              </m:ctrlPr>
            </m:fPr>
            <m:num>
              <m:r>
                <m:rPr>
                  <m:sty m:val="p"/>
                </m:rPr>
                <w:rPr>
                  <w:rFonts w:ascii="Cambria Math" w:hAnsi="Cambria Math"/>
                </w:rPr>
                <m:t xml:space="preserve"> 0.1546</m:t>
              </m:r>
              <m:ctrlPr>
                <w:rPr>
                  <w:rFonts w:ascii="Cambria Math" w:hAnsi="Cambria Math" w:cs="Cambria Math" w:hint="cs"/>
                  <w:i/>
                  <w:iCs/>
                  <w:cs/>
                  <w:lang w:bidi="en-US"/>
                </w:rPr>
              </m:ctrlPr>
            </m:num>
            <m:den>
              <m:r>
                <w:rPr>
                  <w:rFonts w:ascii="Cambria Math" w:hAnsi="Cambria Math" w:cs="Cambria Math"/>
                  <w:lang w:bidi="en-US"/>
                </w:rPr>
                <m:t>0.0025</m:t>
              </m:r>
              <m:ctrlPr>
                <w:rPr>
                  <w:rFonts w:ascii="Cambria Math" w:hAnsi="Cambria Math"/>
                  <w:i/>
                  <w:iCs/>
                </w:rPr>
              </m:ctrlPr>
            </m:den>
          </m:f>
        </m:oMath>
      </m:oMathPara>
    </w:p>
    <w:p w14:paraId="4FDE9B30" w14:textId="6E4DA73E" w:rsidR="00460A8A" w:rsidRDefault="00460A8A">
      <w:pPr>
        <w:spacing w:after="0" w:line="360" w:lineRule="auto"/>
        <w:jc w:val="both"/>
        <w:rPr>
          <w:rFonts w:ascii="Times New Roman" w:hAnsi="Times New Roman"/>
        </w:rPr>
      </w:pPr>
    </w:p>
    <w:p w14:paraId="65F45A15" w14:textId="05D7C8AA" w:rsidR="005F6FAC" w:rsidRPr="00022831" w:rsidRDefault="005F6FAC" w:rsidP="005F6FAC">
      <w:pPr>
        <w:tabs>
          <w:tab w:val="left" w:pos="4050"/>
        </w:tabs>
        <w:spacing w:after="0" w:line="360" w:lineRule="auto"/>
        <w:jc w:val="both"/>
        <w:rPr>
          <w:rFonts w:ascii="Times New Roman" w:hAnsi="Times New Roman"/>
        </w:rPr>
      </w:pPr>
      <m:oMathPara>
        <m:oMathParaPr>
          <m:jc m:val="left"/>
        </m:oMathParaPr>
        <m:oMath>
          <m:r>
            <m:rPr>
              <m:sty m:val="b"/>
            </m:rPr>
            <w:rPr>
              <w:rFonts w:ascii="Cambria Math" w:hAnsi="Cambria Math" w:cs="Cambria Math"/>
              <w:lang w:bidi="en-US"/>
            </w:rPr>
            <m:t>N</m:t>
          </m:r>
          <m:r>
            <m:rPr>
              <m:brk/>
            </m:rPr>
            <w:rPr>
              <w:rFonts w:ascii="Cambria Math" w:hAnsi="Cambria Math"/>
            </w:rPr>
            <m:t>=</m:t>
          </m:r>
          <m:r>
            <w:rPr>
              <w:rFonts w:ascii="Cambria Math" w:hAnsi="Cambria Math" w:cs="Cambria Math"/>
              <w:lang w:bidi="en-US"/>
            </w:rPr>
            <m:t>61</m:t>
          </m:r>
        </m:oMath>
      </m:oMathPara>
    </w:p>
    <w:p w14:paraId="209F4BCB" w14:textId="77777777" w:rsidR="00460A8A" w:rsidRDefault="00957453">
      <w:pPr>
        <w:spacing w:after="0" w:line="360" w:lineRule="auto"/>
        <w:jc w:val="both"/>
        <w:rPr>
          <w:rFonts w:ascii="Times New Roman" w:hAnsi="Times New Roman"/>
        </w:rPr>
      </w:pPr>
      <w:r>
        <w:rPr>
          <w:rFonts w:ascii="Times New Roman" w:hAnsi="Times New Roman"/>
        </w:rPr>
        <w:t xml:space="preserve">The calculation sample size is </w:t>
      </w:r>
      <w:r w:rsidRPr="005F6FAC">
        <w:rPr>
          <w:rFonts w:ascii="Times New Roman" w:hAnsi="Times New Roman"/>
          <w:b/>
          <w:bCs/>
        </w:rPr>
        <w:t>61</w:t>
      </w:r>
      <w:r>
        <w:rPr>
          <w:rFonts w:ascii="Times New Roman" w:hAnsi="Times New Roman"/>
        </w:rPr>
        <w:t>.</w:t>
      </w:r>
    </w:p>
    <w:p w14:paraId="1F2DB4F7" w14:textId="77777777" w:rsidR="007E7423" w:rsidRDefault="007E7423">
      <w:pPr>
        <w:spacing w:after="0" w:line="360" w:lineRule="auto"/>
        <w:jc w:val="both"/>
        <w:rPr>
          <w:rFonts w:ascii="Times New Roman" w:hAnsi="Times New Roman"/>
          <w:b/>
          <w:bCs/>
        </w:rPr>
      </w:pPr>
    </w:p>
    <w:p w14:paraId="63A41FF3" w14:textId="77777777" w:rsidR="007E7423" w:rsidRDefault="007E7423">
      <w:pPr>
        <w:spacing w:after="0" w:line="360" w:lineRule="auto"/>
        <w:jc w:val="both"/>
        <w:rPr>
          <w:rFonts w:ascii="Times New Roman" w:hAnsi="Times New Roman"/>
          <w:b/>
          <w:bCs/>
        </w:rPr>
      </w:pPr>
    </w:p>
    <w:p w14:paraId="1A2B5E39" w14:textId="3784259F" w:rsidR="00460A8A" w:rsidRDefault="00957453">
      <w:pPr>
        <w:spacing w:after="0" w:line="360" w:lineRule="auto"/>
        <w:jc w:val="both"/>
        <w:rPr>
          <w:rFonts w:ascii="Times New Roman" w:hAnsi="Times New Roman"/>
          <w:b/>
          <w:bCs/>
        </w:rPr>
      </w:pPr>
      <w:r>
        <w:rPr>
          <w:rFonts w:ascii="Times New Roman" w:hAnsi="Times New Roman"/>
          <w:b/>
          <w:bCs/>
        </w:rPr>
        <w:lastRenderedPageBreak/>
        <w:t>Inclusion and Exclusion Criteria:</w:t>
      </w:r>
    </w:p>
    <w:p w14:paraId="0CCA8262" w14:textId="77777777" w:rsidR="00460A8A" w:rsidRDefault="00957453">
      <w:pPr>
        <w:spacing w:after="0" w:line="360" w:lineRule="auto"/>
        <w:jc w:val="both"/>
        <w:rPr>
          <w:rFonts w:ascii="Times New Roman" w:hAnsi="Times New Roman"/>
          <w:b/>
          <w:bCs/>
        </w:rPr>
      </w:pPr>
      <w:r>
        <w:rPr>
          <w:rFonts w:ascii="Times New Roman" w:hAnsi="Times New Roman"/>
          <w:b/>
          <w:bCs/>
        </w:rPr>
        <w:t>Inclusion Criteria</w:t>
      </w:r>
    </w:p>
    <w:p w14:paraId="4FF89CA1" w14:textId="6C867219" w:rsidR="00460A8A" w:rsidRDefault="00957453">
      <w:pPr>
        <w:spacing w:after="0" w:line="360" w:lineRule="auto"/>
        <w:jc w:val="both"/>
        <w:rPr>
          <w:rFonts w:ascii="Times New Roman" w:hAnsi="Times New Roman"/>
        </w:rPr>
      </w:pPr>
      <w:r>
        <w:rPr>
          <w:rFonts w:ascii="Times New Roman" w:hAnsi="Times New Roman"/>
        </w:rPr>
        <w:t>Women aged 20 years and above with confirmed HIV-positive status in the laboratory were included. All participants had to be undergoing HIV care at the U</w:t>
      </w:r>
      <w:r w:rsidR="005F6FAC">
        <w:rPr>
          <w:rFonts w:ascii="Times New Roman" w:hAnsi="Times New Roman"/>
        </w:rPr>
        <w:t xml:space="preserve">niversity of </w:t>
      </w:r>
      <w:r>
        <w:rPr>
          <w:rFonts w:ascii="Times New Roman" w:hAnsi="Times New Roman"/>
        </w:rPr>
        <w:t>A</w:t>
      </w:r>
      <w:r w:rsidR="005F6FAC">
        <w:rPr>
          <w:rFonts w:ascii="Times New Roman" w:hAnsi="Times New Roman"/>
        </w:rPr>
        <w:t>buja Teaching Hospital Gwagwalada, Abuja Nigeria</w:t>
      </w:r>
      <w:r>
        <w:rPr>
          <w:rFonts w:ascii="Times New Roman" w:hAnsi="Times New Roman"/>
        </w:rPr>
        <w:t xml:space="preserve"> and give an informed consent to participate in the study.</w:t>
      </w:r>
    </w:p>
    <w:p w14:paraId="0F9D9AB7" w14:textId="77777777" w:rsidR="00460A8A" w:rsidRDefault="00957453">
      <w:pPr>
        <w:spacing w:after="0" w:line="360" w:lineRule="auto"/>
        <w:jc w:val="both"/>
        <w:rPr>
          <w:rFonts w:ascii="Times New Roman" w:hAnsi="Times New Roman"/>
          <w:b/>
          <w:bCs/>
        </w:rPr>
      </w:pPr>
      <w:r>
        <w:rPr>
          <w:rFonts w:ascii="Times New Roman" w:hAnsi="Times New Roman"/>
          <w:b/>
          <w:bCs/>
        </w:rPr>
        <w:t>Exclusion Criteria</w:t>
      </w:r>
    </w:p>
    <w:p w14:paraId="2C452A3C" w14:textId="77777777" w:rsidR="00460A8A" w:rsidRDefault="00957453">
      <w:pPr>
        <w:spacing w:after="0" w:line="360" w:lineRule="auto"/>
        <w:jc w:val="both"/>
        <w:rPr>
          <w:rFonts w:ascii="Times New Roman" w:hAnsi="Times New Roman"/>
        </w:rPr>
      </w:pPr>
      <w:r>
        <w:rPr>
          <w:rFonts w:ascii="Times New Roman" w:hAnsi="Times New Roman"/>
        </w:rPr>
        <w:t>Women with previous total hysterectomy and those pregnant were not included. Individuals who have a documented history of cervical cancer or lesions before they were diagnosed with HIV as well as individuals who menstruated during the time they were giving their samples were also excluded.</w:t>
      </w:r>
    </w:p>
    <w:p w14:paraId="74720BC5" w14:textId="77777777" w:rsidR="00460A8A" w:rsidRDefault="00460A8A">
      <w:pPr>
        <w:spacing w:after="0" w:line="360" w:lineRule="auto"/>
        <w:jc w:val="both"/>
        <w:rPr>
          <w:rFonts w:ascii="Times New Roman" w:hAnsi="Times New Roman"/>
          <w:b/>
          <w:sz w:val="24"/>
          <w:szCs w:val="24"/>
        </w:rPr>
      </w:pPr>
    </w:p>
    <w:p w14:paraId="23A4FE25" w14:textId="77777777" w:rsidR="00460A8A" w:rsidRDefault="00957453">
      <w:pPr>
        <w:spacing w:after="0" w:line="36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Clinical Examination and Visual Inspection</w:t>
      </w:r>
    </w:p>
    <w:p w14:paraId="0BB69867" w14:textId="1C91F5BC" w:rsidR="00460A8A" w:rsidRDefault="00957453">
      <w:pPr>
        <w:spacing w:after="0" w:line="360" w:lineRule="auto"/>
        <w:jc w:val="both"/>
        <w:rPr>
          <w:rFonts w:ascii="Times New Roman" w:hAnsi="Times New Roman"/>
          <w:sz w:val="24"/>
          <w:szCs w:val="24"/>
        </w:rPr>
      </w:pPr>
      <w:r>
        <w:rPr>
          <w:rFonts w:ascii="Times New Roman" w:hAnsi="Times New Roman"/>
          <w:sz w:val="24"/>
          <w:szCs w:val="24"/>
        </w:rPr>
        <w:t>Participants underwent standardized clinical examinations following WHO infection prevention guidelines (WHO, 20</w:t>
      </w:r>
      <w:r w:rsidR="00AE34AA">
        <w:rPr>
          <w:rFonts w:ascii="Times New Roman" w:hAnsi="Times New Roman"/>
          <w:sz w:val="24"/>
          <w:szCs w:val="24"/>
        </w:rPr>
        <w:t>21</w:t>
      </w:r>
      <w:r>
        <w:rPr>
          <w:rFonts w:ascii="Times New Roman" w:hAnsi="Times New Roman"/>
          <w:sz w:val="24"/>
          <w:szCs w:val="24"/>
        </w:rPr>
        <w:t>). Visual Inspection with Acetic Acid (VIA) was performed by applying 3% acetic acid to the cervix and observing for acetowhite changes after 1–2 minutes. Visual Inspection with Lugol’s Iodine (VILI) followed, identifying non-staining areas as potential lesions (WHO, 2020).</w:t>
      </w:r>
    </w:p>
    <w:p w14:paraId="77015B6A" w14:textId="1FCEE8BB" w:rsidR="00460A8A" w:rsidRDefault="00957453">
      <w:pPr>
        <w:spacing w:after="0" w:line="360" w:lineRule="auto"/>
        <w:jc w:val="both"/>
        <w:rPr>
          <w:rFonts w:ascii="Times New Roman" w:hAnsi="Times New Roman"/>
          <w:sz w:val="24"/>
          <w:szCs w:val="24"/>
        </w:rPr>
      </w:pPr>
      <w:r>
        <w:rPr>
          <w:rFonts w:ascii="Times New Roman Bold" w:hAnsi="Times New Roman Bold" w:cs="Times New Roman Bold"/>
          <w:b/>
          <w:bCs/>
          <w:sz w:val="24"/>
          <w:szCs w:val="24"/>
        </w:rPr>
        <w:t>Cervical Cytology Collection and Processing</w:t>
      </w:r>
      <w:r>
        <w:rPr>
          <w:rFonts w:ascii="Times New Roman" w:hAnsi="Times New Roman"/>
          <w:sz w:val="24"/>
          <w:szCs w:val="24"/>
        </w:rPr>
        <w:br/>
        <w:t xml:space="preserve">Cervical samples were collected using the liquid-based cytology (LBC) technique with a cyto-brush rotated 3–5 times at the squamo-columnar junction. Samples were preserved in ThinPrep® PreservCyt® Solution and processed at the UATH Histopathology Department. Processing included centrifugation, </w:t>
      </w:r>
      <w:r w:rsidR="005F6FAC">
        <w:rPr>
          <w:rFonts w:ascii="Times New Roman" w:hAnsi="Times New Roman"/>
          <w:sz w:val="24"/>
          <w:szCs w:val="24"/>
        </w:rPr>
        <w:t>vortexing</w:t>
      </w:r>
      <w:r>
        <w:rPr>
          <w:rFonts w:ascii="Times New Roman" w:hAnsi="Times New Roman"/>
          <w:sz w:val="24"/>
          <w:szCs w:val="24"/>
        </w:rPr>
        <w:t>, and preparation of monolayer smears, which were stained using the Papanicolaou method. Slides were reported by cytopathologists using the 2014 Bethesda System (Nayar and Wilbur, 2015).</w:t>
      </w:r>
    </w:p>
    <w:p w14:paraId="0A1CF3F6" w14:textId="77777777" w:rsidR="00460A8A" w:rsidRDefault="00957453">
      <w:pPr>
        <w:spacing w:after="0" w:line="360" w:lineRule="auto"/>
        <w:jc w:val="both"/>
        <w:rPr>
          <w:rFonts w:ascii="Times New Roman" w:hAnsi="Times New Roman"/>
          <w:sz w:val="24"/>
          <w:szCs w:val="24"/>
        </w:rPr>
      </w:pPr>
      <w:r>
        <w:rPr>
          <w:rFonts w:ascii="Times New Roman Bold" w:hAnsi="Times New Roman Bold" w:cs="Times New Roman Bold"/>
          <w:b/>
          <w:bCs/>
          <w:sz w:val="24"/>
          <w:szCs w:val="24"/>
        </w:rPr>
        <w:t>Medical Record Review</w:t>
      </w:r>
      <w:r>
        <w:rPr>
          <w:rFonts w:ascii="Times New Roman" w:hAnsi="Times New Roman"/>
          <w:sz w:val="24"/>
          <w:szCs w:val="24"/>
        </w:rPr>
        <w:br/>
        <w:t>Clinical data, including CD4+ T-lymphocyte counts, viral load, ART history, and HIV-related clinical history, were extracted from participants’ most recent hospital records.</w:t>
      </w:r>
    </w:p>
    <w:p w14:paraId="13C7E0FD" w14:textId="5E490BDC" w:rsidR="00460A8A" w:rsidRDefault="00957453">
      <w:pPr>
        <w:spacing w:after="0" w:line="360" w:lineRule="auto"/>
        <w:jc w:val="both"/>
        <w:rPr>
          <w:rFonts w:ascii="Times New Roman" w:hAnsi="Times New Roman"/>
          <w:sz w:val="24"/>
          <w:szCs w:val="24"/>
        </w:rPr>
      </w:pPr>
      <w:r>
        <w:rPr>
          <w:rFonts w:ascii="Times New Roman" w:hAnsi="Times New Roman"/>
          <w:sz w:val="24"/>
          <w:szCs w:val="24"/>
        </w:rPr>
        <w:t>Quality Assurance:</w:t>
      </w:r>
      <w:r>
        <w:rPr>
          <w:rFonts w:ascii="Times New Roman" w:hAnsi="Times New Roman"/>
          <w:sz w:val="24"/>
          <w:szCs w:val="24"/>
        </w:rPr>
        <w:br/>
        <w:t>Data collection tools were pre-tested and validated (Bolarinwa, 2015). The research team received training on study protocols (Franzen et al., 2017). SOPs guided laboratory and clinical procedures (WHO, 2020). Laboratory quality control included slide reviews by two independent cytopathologists and adherence to ISO 15189 standards (ISO, 2022). Data integrity was ensured through double data entry, routine cleaning, and random audits (</w:t>
      </w:r>
      <w:r w:rsidR="00181A15">
        <w:rPr>
          <w:rFonts w:ascii="Times New Roman" w:hAnsi="Times New Roman"/>
          <w:sz w:val="24"/>
          <w:szCs w:val="24"/>
        </w:rPr>
        <w:t>Olubodun et al.</w:t>
      </w:r>
      <w:r>
        <w:rPr>
          <w:rFonts w:ascii="Times New Roman" w:hAnsi="Times New Roman"/>
          <w:sz w:val="24"/>
          <w:szCs w:val="24"/>
        </w:rPr>
        <w:t>, 201</w:t>
      </w:r>
      <w:r w:rsidR="00181A15">
        <w:rPr>
          <w:rFonts w:ascii="Times New Roman" w:hAnsi="Times New Roman"/>
          <w:sz w:val="24"/>
          <w:szCs w:val="24"/>
        </w:rPr>
        <w:t>9</w:t>
      </w:r>
      <w:r>
        <w:rPr>
          <w:rFonts w:ascii="Times New Roman" w:hAnsi="Times New Roman"/>
          <w:sz w:val="24"/>
          <w:szCs w:val="24"/>
        </w:rPr>
        <w:t>).</w:t>
      </w:r>
    </w:p>
    <w:p w14:paraId="760EFB5C" w14:textId="0AA8B030" w:rsidR="00460A8A" w:rsidRDefault="00957453">
      <w:pPr>
        <w:spacing w:after="0" w:line="360" w:lineRule="auto"/>
        <w:jc w:val="both"/>
        <w:rPr>
          <w:rFonts w:ascii="Times New Roman" w:hAnsi="Times New Roman"/>
          <w:sz w:val="24"/>
          <w:szCs w:val="24"/>
        </w:rPr>
      </w:pPr>
      <w:r>
        <w:rPr>
          <w:rFonts w:ascii="Times New Roman Bold" w:hAnsi="Times New Roman Bold" w:cs="Times New Roman Bold"/>
          <w:b/>
          <w:bCs/>
          <w:sz w:val="24"/>
          <w:szCs w:val="24"/>
        </w:rPr>
        <w:lastRenderedPageBreak/>
        <w:t>Data</w:t>
      </w:r>
      <w:r w:rsidR="007E7423">
        <w:rPr>
          <w:rFonts w:ascii="Times New Roman Bold" w:hAnsi="Times New Roman Bold" w:cs="Times New Roman Bold"/>
          <w:b/>
          <w:bCs/>
          <w:sz w:val="24"/>
          <w:szCs w:val="24"/>
        </w:rPr>
        <w:t xml:space="preserve"> </w:t>
      </w:r>
      <w:r>
        <w:rPr>
          <w:rFonts w:ascii="Times New Roman Bold" w:hAnsi="Times New Roman Bold" w:cs="Times New Roman Bold"/>
          <w:b/>
          <w:bCs/>
          <w:sz w:val="24"/>
          <w:szCs w:val="24"/>
        </w:rPr>
        <w:t>Analysis</w:t>
      </w:r>
      <w:r>
        <w:rPr>
          <w:rFonts w:ascii="Times New Roman" w:hAnsi="Times New Roman"/>
          <w:sz w:val="24"/>
          <w:szCs w:val="24"/>
        </w:rPr>
        <w:br/>
        <w:t>Data were analyzed using SPSS version 23. Descriptive statistics were used to summarize categorical variables (frequencies, percentages) and continuous variables (means, standard deviations) (Field, 2013). Chi-square tests were applied to examine associations between categorical variables, while ordinal logistic regression was performed to assess the relationship between lesion severity and immunological parameters such as CD4+ count and viral load. Statistical significance was set at p&lt;0.05.</w:t>
      </w:r>
    </w:p>
    <w:p w14:paraId="37CDF421" w14:textId="77777777" w:rsidR="00460A8A" w:rsidRDefault="00460A8A">
      <w:pPr>
        <w:spacing w:after="0" w:line="360" w:lineRule="auto"/>
        <w:jc w:val="both"/>
        <w:rPr>
          <w:rFonts w:ascii="Times New Roman" w:hAnsi="Times New Roman"/>
          <w:sz w:val="24"/>
          <w:szCs w:val="24"/>
        </w:rPr>
      </w:pPr>
    </w:p>
    <w:p w14:paraId="731B6BA1" w14:textId="77777777" w:rsidR="00460A8A" w:rsidRDefault="00460A8A">
      <w:pPr>
        <w:spacing w:after="0" w:line="360" w:lineRule="auto"/>
        <w:jc w:val="both"/>
        <w:rPr>
          <w:rFonts w:ascii="Times New Roman" w:hAnsi="Times New Roman"/>
          <w:sz w:val="24"/>
          <w:szCs w:val="24"/>
        </w:rPr>
      </w:pPr>
    </w:p>
    <w:p w14:paraId="7DFCF0ED" w14:textId="77777777" w:rsidR="00460A8A" w:rsidRDefault="00957453">
      <w:pPr>
        <w:spacing w:after="0" w:line="360" w:lineRule="auto"/>
        <w:jc w:val="both"/>
        <w:rPr>
          <w:rFonts w:ascii="Times New Roman" w:hAnsi="Times New Roman"/>
          <w:b/>
          <w:sz w:val="24"/>
          <w:szCs w:val="24"/>
        </w:rPr>
      </w:pPr>
      <w:r>
        <w:rPr>
          <w:rFonts w:ascii="Times New Roman" w:hAnsi="Times New Roman"/>
          <w:sz w:val="24"/>
          <w:szCs w:val="24"/>
        </w:rPr>
        <w:t xml:space="preserve"> </w:t>
      </w:r>
    </w:p>
    <w:p w14:paraId="6BB3B499" w14:textId="77777777" w:rsidR="00460A8A" w:rsidRDefault="00957453">
      <w:pPr>
        <w:spacing w:after="0" w:line="360" w:lineRule="auto"/>
        <w:jc w:val="both"/>
        <w:rPr>
          <w:rFonts w:ascii="Times New Roman" w:hAnsi="Times New Roman"/>
          <w:b/>
          <w:sz w:val="24"/>
          <w:szCs w:val="24"/>
        </w:rPr>
      </w:pPr>
      <w:r>
        <w:rPr>
          <w:rFonts w:ascii="Times New Roman" w:hAnsi="Times New Roman"/>
          <w:b/>
          <w:sz w:val="24"/>
          <w:szCs w:val="24"/>
        </w:rPr>
        <w:t>3. RESULTS</w:t>
      </w:r>
    </w:p>
    <w:p w14:paraId="68243F33" w14:textId="4A630625" w:rsidR="00460A8A" w:rsidRDefault="00957453">
      <w:pPr>
        <w:spacing w:after="0" w:line="240" w:lineRule="auto"/>
        <w:jc w:val="both"/>
        <w:rPr>
          <w:rFonts w:ascii="Times New Roman" w:hAnsi="Times New Roman"/>
          <w:bCs/>
          <w:sz w:val="24"/>
          <w:szCs w:val="24"/>
        </w:rPr>
      </w:pPr>
      <w:r w:rsidRPr="007F19D8">
        <w:rPr>
          <w:rFonts w:ascii="Times New Roman" w:hAnsi="Times New Roman"/>
          <w:b/>
          <w:sz w:val="24"/>
          <w:szCs w:val="24"/>
        </w:rPr>
        <w:t>Table 1</w:t>
      </w:r>
      <w:r>
        <w:rPr>
          <w:rFonts w:ascii="Times New Roman" w:hAnsi="Times New Roman"/>
          <w:bCs/>
          <w:sz w:val="24"/>
          <w:szCs w:val="24"/>
        </w:rPr>
        <w:t>: Percentage distribution of cases and the various types of cervical lesions among HIV-positive women attending U</w:t>
      </w:r>
      <w:r w:rsidR="007F19D8">
        <w:rPr>
          <w:rFonts w:ascii="Times New Roman" w:hAnsi="Times New Roman"/>
          <w:bCs/>
          <w:sz w:val="24"/>
          <w:szCs w:val="24"/>
        </w:rPr>
        <w:t xml:space="preserve">niversity of </w:t>
      </w:r>
      <w:r>
        <w:rPr>
          <w:rFonts w:ascii="Times New Roman" w:hAnsi="Times New Roman"/>
          <w:bCs/>
          <w:sz w:val="24"/>
          <w:szCs w:val="24"/>
        </w:rPr>
        <w:t>A</w:t>
      </w:r>
      <w:r w:rsidR="007F19D8">
        <w:rPr>
          <w:rFonts w:ascii="Times New Roman" w:hAnsi="Times New Roman"/>
          <w:bCs/>
          <w:sz w:val="24"/>
          <w:szCs w:val="24"/>
        </w:rPr>
        <w:t xml:space="preserve">buja </w:t>
      </w:r>
      <w:r>
        <w:rPr>
          <w:rFonts w:ascii="Times New Roman" w:hAnsi="Times New Roman"/>
          <w:bCs/>
          <w:sz w:val="24"/>
          <w:szCs w:val="24"/>
        </w:rPr>
        <w:t>T</w:t>
      </w:r>
      <w:r w:rsidR="007F19D8">
        <w:rPr>
          <w:rFonts w:ascii="Times New Roman" w:hAnsi="Times New Roman"/>
          <w:bCs/>
          <w:sz w:val="24"/>
          <w:szCs w:val="24"/>
        </w:rPr>
        <w:t xml:space="preserve">eaching </w:t>
      </w:r>
      <w:r>
        <w:rPr>
          <w:rFonts w:ascii="Times New Roman" w:hAnsi="Times New Roman"/>
          <w:bCs/>
          <w:sz w:val="24"/>
          <w:szCs w:val="24"/>
        </w:rPr>
        <w:t>H</w:t>
      </w:r>
      <w:r w:rsidR="007F19D8">
        <w:rPr>
          <w:rFonts w:ascii="Times New Roman" w:hAnsi="Times New Roman"/>
          <w:bCs/>
          <w:sz w:val="24"/>
          <w:szCs w:val="24"/>
        </w:rPr>
        <w:t>ospital, Gwagwalada Abuja, Nigeria.</w:t>
      </w:r>
    </w:p>
    <w:tbl>
      <w:tblPr>
        <w:tblStyle w:val="ListTable6Colorfu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70"/>
        <w:gridCol w:w="1620"/>
        <w:gridCol w:w="1260"/>
        <w:gridCol w:w="720"/>
      </w:tblGrid>
      <w:tr w:rsidR="00460A8A" w14:paraId="0F8B717B" w14:textId="77777777" w:rsidTr="00460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left w:val="nil"/>
              <w:bottom w:val="single" w:sz="4" w:space="0" w:color="auto"/>
              <w:right w:val="nil"/>
            </w:tcBorders>
            <w:shd w:val="clear" w:color="auto" w:fill="FFFFFF"/>
          </w:tcPr>
          <w:p w14:paraId="087D73AE" w14:textId="77777777" w:rsidR="00460A8A" w:rsidRDefault="00957453">
            <w:pPr>
              <w:pStyle w:val="NoSpacing"/>
              <w:rPr>
                <w:rFonts w:ascii="Times New Roman" w:hAnsi="Times New Roman"/>
                <w:b w:val="0"/>
                <w:bCs w:val="0"/>
              </w:rPr>
            </w:pPr>
            <w:r>
              <w:rPr>
                <w:rFonts w:ascii="Times New Roman" w:hAnsi="Times New Roman"/>
              </w:rPr>
              <w:t>Cases</w:t>
            </w:r>
          </w:p>
        </w:tc>
        <w:tc>
          <w:tcPr>
            <w:tcW w:w="1620" w:type="dxa"/>
            <w:tcBorders>
              <w:left w:val="nil"/>
              <w:bottom w:val="single" w:sz="4" w:space="0" w:color="auto"/>
              <w:right w:val="nil"/>
            </w:tcBorders>
            <w:shd w:val="clear" w:color="auto" w:fill="FFFFFF"/>
          </w:tcPr>
          <w:p w14:paraId="4FCB9421" w14:textId="77777777" w:rsidR="00460A8A" w:rsidRDefault="00957453">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Type of Cervical Lesion</w:t>
            </w:r>
          </w:p>
        </w:tc>
        <w:tc>
          <w:tcPr>
            <w:tcW w:w="1260" w:type="dxa"/>
            <w:tcBorders>
              <w:left w:val="nil"/>
              <w:bottom w:val="single" w:sz="4" w:space="0" w:color="auto"/>
              <w:right w:val="nil"/>
            </w:tcBorders>
            <w:shd w:val="clear" w:color="auto" w:fill="FFFFFF"/>
          </w:tcPr>
          <w:p w14:paraId="4FFE9F7D" w14:textId="77777777" w:rsidR="00460A8A" w:rsidRDefault="00957453">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Frequency</w:t>
            </w:r>
          </w:p>
        </w:tc>
        <w:tc>
          <w:tcPr>
            <w:tcW w:w="720" w:type="dxa"/>
            <w:tcBorders>
              <w:left w:val="nil"/>
              <w:bottom w:val="single" w:sz="4" w:space="0" w:color="auto"/>
              <w:right w:val="nil"/>
            </w:tcBorders>
            <w:shd w:val="clear" w:color="auto" w:fill="FFFFFF"/>
          </w:tcPr>
          <w:p w14:paraId="76394EA8" w14:textId="77777777" w:rsidR="00460A8A" w:rsidRDefault="00957453">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w:t>
            </w:r>
          </w:p>
        </w:tc>
      </w:tr>
      <w:tr w:rsidR="00460A8A" w14:paraId="07CF1566" w14:textId="77777777" w:rsidTr="00460A8A">
        <w:tc>
          <w:tcPr>
            <w:cnfStyle w:val="001000000000" w:firstRow="0" w:lastRow="0" w:firstColumn="1" w:lastColumn="0" w:oddVBand="0" w:evenVBand="0" w:oddHBand="0" w:evenHBand="0" w:firstRowFirstColumn="0" w:firstRowLastColumn="0" w:lastRowFirstColumn="0" w:lastRowLastColumn="0"/>
            <w:tcW w:w="1170" w:type="dxa"/>
            <w:tcBorders>
              <w:left w:val="nil"/>
              <w:bottom w:val="nil"/>
              <w:right w:val="nil"/>
            </w:tcBorders>
            <w:shd w:val="clear" w:color="auto" w:fill="FFFFFF"/>
          </w:tcPr>
          <w:p w14:paraId="738D2544" w14:textId="77777777" w:rsidR="00460A8A" w:rsidRDefault="00957453">
            <w:pPr>
              <w:pStyle w:val="NoSpacing"/>
              <w:rPr>
                <w:rFonts w:ascii="Times New Roman" w:hAnsi="Times New Roman"/>
                <w:b w:val="0"/>
                <w:bCs w:val="0"/>
              </w:rPr>
            </w:pPr>
            <w:r>
              <w:rPr>
                <w:rFonts w:ascii="Times New Roman" w:hAnsi="Times New Roman"/>
                <w:b w:val="0"/>
              </w:rPr>
              <w:t>Negative</w:t>
            </w:r>
          </w:p>
        </w:tc>
        <w:tc>
          <w:tcPr>
            <w:tcW w:w="1620" w:type="dxa"/>
            <w:tcBorders>
              <w:left w:val="nil"/>
              <w:bottom w:val="nil"/>
              <w:right w:val="nil"/>
            </w:tcBorders>
            <w:shd w:val="clear" w:color="auto" w:fill="FFFFFF"/>
          </w:tcPr>
          <w:p w14:paraId="08DB9AA4"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Nil</w:t>
            </w:r>
          </w:p>
        </w:tc>
        <w:tc>
          <w:tcPr>
            <w:tcW w:w="1260" w:type="dxa"/>
            <w:tcBorders>
              <w:left w:val="nil"/>
              <w:bottom w:val="nil"/>
              <w:right w:val="nil"/>
            </w:tcBorders>
            <w:shd w:val="clear" w:color="auto" w:fill="FFFFFF"/>
          </w:tcPr>
          <w:p w14:paraId="6BC83FA5"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30</w:t>
            </w:r>
          </w:p>
        </w:tc>
        <w:tc>
          <w:tcPr>
            <w:tcW w:w="720" w:type="dxa"/>
            <w:tcBorders>
              <w:left w:val="nil"/>
              <w:bottom w:val="nil"/>
              <w:right w:val="nil"/>
            </w:tcBorders>
            <w:shd w:val="clear" w:color="auto" w:fill="FFFFFF"/>
          </w:tcPr>
          <w:p w14:paraId="7C3E9460"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100</w:t>
            </w:r>
          </w:p>
        </w:tc>
      </w:tr>
      <w:tr w:rsidR="00460A8A" w14:paraId="24C8FBF9" w14:textId="77777777" w:rsidTr="00460A8A">
        <w:tc>
          <w:tcPr>
            <w:cnfStyle w:val="001000000000" w:firstRow="0" w:lastRow="0" w:firstColumn="1" w:lastColumn="0" w:oddVBand="0" w:evenVBand="0" w:oddHBand="0" w:evenHBand="0" w:firstRowFirstColumn="0" w:firstRowLastColumn="0" w:lastRowFirstColumn="0" w:lastRowLastColumn="0"/>
            <w:tcW w:w="1170" w:type="dxa"/>
            <w:tcBorders>
              <w:top w:val="nil"/>
              <w:left w:val="nil"/>
              <w:bottom w:val="nil"/>
              <w:right w:val="nil"/>
            </w:tcBorders>
            <w:shd w:val="clear" w:color="auto" w:fill="FFFFFF"/>
          </w:tcPr>
          <w:p w14:paraId="2E749A89" w14:textId="77777777" w:rsidR="00460A8A" w:rsidRDefault="00957453">
            <w:pPr>
              <w:pStyle w:val="NoSpacing"/>
              <w:rPr>
                <w:rFonts w:ascii="Times New Roman" w:hAnsi="Times New Roman"/>
                <w:b w:val="0"/>
                <w:bCs w:val="0"/>
              </w:rPr>
            </w:pPr>
            <w:r>
              <w:rPr>
                <w:rFonts w:ascii="Times New Roman" w:hAnsi="Times New Roman"/>
                <w:b w:val="0"/>
              </w:rPr>
              <w:t>Total</w:t>
            </w:r>
          </w:p>
        </w:tc>
        <w:tc>
          <w:tcPr>
            <w:tcW w:w="1620" w:type="dxa"/>
            <w:tcBorders>
              <w:top w:val="nil"/>
              <w:left w:val="nil"/>
              <w:bottom w:val="nil"/>
              <w:right w:val="nil"/>
            </w:tcBorders>
            <w:shd w:val="clear" w:color="auto" w:fill="FFFFFF"/>
          </w:tcPr>
          <w:p w14:paraId="4A594140" w14:textId="77777777" w:rsidR="00460A8A" w:rsidRDefault="00460A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260" w:type="dxa"/>
            <w:tcBorders>
              <w:top w:val="nil"/>
              <w:left w:val="nil"/>
              <w:bottom w:val="nil"/>
              <w:right w:val="nil"/>
            </w:tcBorders>
            <w:shd w:val="clear" w:color="auto" w:fill="FFFFFF"/>
          </w:tcPr>
          <w:p w14:paraId="5D291907"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30</w:t>
            </w:r>
          </w:p>
        </w:tc>
        <w:tc>
          <w:tcPr>
            <w:tcW w:w="720" w:type="dxa"/>
            <w:tcBorders>
              <w:top w:val="nil"/>
              <w:left w:val="nil"/>
              <w:bottom w:val="nil"/>
              <w:right w:val="nil"/>
            </w:tcBorders>
            <w:shd w:val="clear" w:color="auto" w:fill="FFFFFF"/>
          </w:tcPr>
          <w:p w14:paraId="0CB20726"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100</w:t>
            </w:r>
          </w:p>
        </w:tc>
      </w:tr>
      <w:tr w:rsidR="00460A8A" w14:paraId="33180D24" w14:textId="77777777" w:rsidTr="00460A8A">
        <w:tc>
          <w:tcPr>
            <w:cnfStyle w:val="001000000000" w:firstRow="0" w:lastRow="0" w:firstColumn="1" w:lastColumn="0" w:oddVBand="0" w:evenVBand="0" w:oddHBand="0" w:evenHBand="0" w:firstRowFirstColumn="0" w:firstRowLastColumn="0" w:lastRowFirstColumn="0" w:lastRowLastColumn="0"/>
            <w:tcW w:w="1170" w:type="dxa"/>
            <w:tcBorders>
              <w:left w:val="nil"/>
              <w:bottom w:val="nil"/>
              <w:right w:val="nil"/>
            </w:tcBorders>
            <w:shd w:val="clear" w:color="auto" w:fill="FFFFFF"/>
          </w:tcPr>
          <w:p w14:paraId="4D7737A7" w14:textId="77777777" w:rsidR="00460A8A" w:rsidRDefault="00957453">
            <w:pPr>
              <w:pStyle w:val="NoSpacing"/>
              <w:rPr>
                <w:rFonts w:ascii="Times New Roman" w:hAnsi="Times New Roman"/>
                <w:b w:val="0"/>
                <w:bCs w:val="0"/>
              </w:rPr>
            </w:pPr>
            <w:r>
              <w:rPr>
                <w:rFonts w:ascii="Times New Roman" w:hAnsi="Times New Roman"/>
                <w:b w:val="0"/>
              </w:rPr>
              <w:t>Positive</w:t>
            </w:r>
          </w:p>
        </w:tc>
        <w:tc>
          <w:tcPr>
            <w:tcW w:w="1620" w:type="dxa"/>
            <w:tcBorders>
              <w:left w:val="nil"/>
              <w:bottom w:val="nil"/>
              <w:right w:val="nil"/>
            </w:tcBorders>
            <w:shd w:val="clear" w:color="auto" w:fill="FFFFFF"/>
          </w:tcPr>
          <w:p w14:paraId="719EE459"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Inflammation</w:t>
            </w:r>
          </w:p>
        </w:tc>
        <w:tc>
          <w:tcPr>
            <w:tcW w:w="1260" w:type="dxa"/>
            <w:tcBorders>
              <w:left w:val="nil"/>
              <w:bottom w:val="nil"/>
              <w:right w:val="nil"/>
            </w:tcBorders>
            <w:shd w:val="clear" w:color="auto" w:fill="FFFFFF"/>
          </w:tcPr>
          <w:p w14:paraId="77AB0CA3"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w:t>
            </w:r>
          </w:p>
        </w:tc>
        <w:tc>
          <w:tcPr>
            <w:tcW w:w="720" w:type="dxa"/>
            <w:tcBorders>
              <w:left w:val="nil"/>
              <w:bottom w:val="nil"/>
              <w:right w:val="nil"/>
            </w:tcBorders>
            <w:shd w:val="clear" w:color="auto" w:fill="FFFFFF"/>
          </w:tcPr>
          <w:p w14:paraId="7810AF0A"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19.4</w:t>
            </w:r>
          </w:p>
        </w:tc>
      </w:tr>
      <w:tr w:rsidR="00460A8A" w14:paraId="0433879B" w14:textId="77777777" w:rsidTr="00460A8A">
        <w:tc>
          <w:tcPr>
            <w:cnfStyle w:val="001000000000" w:firstRow="0" w:lastRow="0" w:firstColumn="1" w:lastColumn="0" w:oddVBand="0" w:evenVBand="0" w:oddHBand="0" w:evenHBand="0" w:firstRowFirstColumn="0" w:firstRowLastColumn="0" w:lastRowFirstColumn="0" w:lastRowLastColumn="0"/>
            <w:tcW w:w="1170" w:type="dxa"/>
            <w:tcBorders>
              <w:top w:val="nil"/>
              <w:left w:val="nil"/>
              <w:bottom w:val="nil"/>
              <w:right w:val="nil"/>
            </w:tcBorders>
            <w:shd w:val="clear" w:color="auto" w:fill="FFFFFF"/>
          </w:tcPr>
          <w:p w14:paraId="3CBCF751" w14:textId="77777777" w:rsidR="00460A8A" w:rsidRDefault="00460A8A">
            <w:pPr>
              <w:pStyle w:val="NoSpacing"/>
              <w:rPr>
                <w:rFonts w:ascii="Times New Roman" w:hAnsi="Times New Roman"/>
                <w:b w:val="0"/>
                <w:bCs w:val="0"/>
              </w:rPr>
            </w:pPr>
          </w:p>
        </w:tc>
        <w:tc>
          <w:tcPr>
            <w:tcW w:w="1620" w:type="dxa"/>
            <w:tcBorders>
              <w:top w:val="nil"/>
              <w:left w:val="nil"/>
              <w:bottom w:val="nil"/>
              <w:right w:val="nil"/>
            </w:tcBorders>
            <w:shd w:val="clear" w:color="auto" w:fill="FFFFFF"/>
          </w:tcPr>
          <w:p w14:paraId="3868C514"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ASCUS</w:t>
            </w:r>
          </w:p>
        </w:tc>
        <w:tc>
          <w:tcPr>
            <w:tcW w:w="1260" w:type="dxa"/>
            <w:tcBorders>
              <w:top w:val="nil"/>
              <w:left w:val="nil"/>
              <w:bottom w:val="nil"/>
              <w:right w:val="nil"/>
            </w:tcBorders>
            <w:shd w:val="clear" w:color="auto" w:fill="FFFFFF"/>
          </w:tcPr>
          <w:p w14:paraId="265D6443"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w:t>
            </w:r>
          </w:p>
        </w:tc>
        <w:tc>
          <w:tcPr>
            <w:tcW w:w="720" w:type="dxa"/>
            <w:tcBorders>
              <w:top w:val="nil"/>
              <w:left w:val="nil"/>
              <w:bottom w:val="nil"/>
              <w:right w:val="nil"/>
            </w:tcBorders>
            <w:shd w:val="clear" w:color="auto" w:fill="FFFFFF"/>
          </w:tcPr>
          <w:p w14:paraId="67DC2991"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12.9</w:t>
            </w:r>
          </w:p>
        </w:tc>
      </w:tr>
      <w:tr w:rsidR="00460A8A" w14:paraId="5511869E" w14:textId="77777777" w:rsidTr="00460A8A">
        <w:tc>
          <w:tcPr>
            <w:cnfStyle w:val="001000000000" w:firstRow="0" w:lastRow="0" w:firstColumn="1" w:lastColumn="0" w:oddVBand="0" w:evenVBand="0" w:oddHBand="0" w:evenHBand="0" w:firstRowFirstColumn="0" w:firstRowLastColumn="0" w:lastRowFirstColumn="0" w:lastRowLastColumn="0"/>
            <w:tcW w:w="1170" w:type="dxa"/>
            <w:tcBorders>
              <w:top w:val="nil"/>
              <w:left w:val="nil"/>
              <w:bottom w:val="nil"/>
              <w:right w:val="nil"/>
            </w:tcBorders>
            <w:shd w:val="clear" w:color="auto" w:fill="FFFFFF"/>
          </w:tcPr>
          <w:p w14:paraId="47E5F650" w14:textId="77777777" w:rsidR="00460A8A" w:rsidRDefault="00460A8A">
            <w:pPr>
              <w:pStyle w:val="NoSpacing"/>
              <w:rPr>
                <w:rFonts w:ascii="Times New Roman" w:hAnsi="Times New Roman"/>
                <w:b w:val="0"/>
                <w:bCs w:val="0"/>
              </w:rPr>
            </w:pPr>
          </w:p>
        </w:tc>
        <w:tc>
          <w:tcPr>
            <w:tcW w:w="1620" w:type="dxa"/>
            <w:tcBorders>
              <w:top w:val="nil"/>
              <w:left w:val="nil"/>
              <w:bottom w:val="nil"/>
              <w:right w:val="nil"/>
            </w:tcBorders>
            <w:shd w:val="clear" w:color="auto" w:fill="FFFFFF"/>
          </w:tcPr>
          <w:p w14:paraId="5C272CF5"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LSIL</w:t>
            </w:r>
          </w:p>
        </w:tc>
        <w:tc>
          <w:tcPr>
            <w:tcW w:w="1260" w:type="dxa"/>
            <w:tcBorders>
              <w:top w:val="nil"/>
              <w:left w:val="nil"/>
              <w:bottom w:val="nil"/>
              <w:right w:val="nil"/>
            </w:tcBorders>
            <w:shd w:val="clear" w:color="auto" w:fill="FFFFFF"/>
          </w:tcPr>
          <w:p w14:paraId="65F4A14C"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19</w:t>
            </w:r>
          </w:p>
        </w:tc>
        <w:tc>
          <w:tcPr>
            <w:tcW w:w="720" w:type="dxa"/>
            <w:tcBorders>
              <w:top w:val="nil"/>
              <w:left w:val="nil"/>
              <w:bottom w:val="nil"/>
              <w:right w:val="nil"/>
            </w:tcBorders>
            <w:shd w:val="clear" w:color="auto" w:fill="FFFFFF"/>
          </w:tcPr>
          <w:p w14:paraId="74DCC8D5"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61.3</w:t>
            </w:r>
          </w:p>
        </w:tc>
      </w:tr>
      <w:tr w:rsidR="00460A8A" w14:paraId="4B6F79DF" w14:textId="77777777" w:rsidTr="00460A8A">
        <w:tc>
          <w:tcPr>
            <w:cnfStyle w:val="001000000000" w:firstRow="0" w:lastRow="0" w:firstColumn="1" w:lastColumn="0" w:oddVBand="0" w:evenVBand="0" w:oddHBand="0" w:evenHBand="0" w:firstRowFirstColumn="0" w:firstRowLastColumn="0" w:lastRowFirstColumn="0" w:lastRowLastColumn="0"/>
            <w:tcW w:w="1170" w:type="dxa"/>
            <w:tcBorders>
              <w:top w:val="nil"/>
              <w:left w:val="nil"/>
              <w:bottom w:val="nil"/>
              <w:right w:val="nil"/>
            </w:tcBorders>
            <w:shd w:val="clear" w:color="auto" w:fill="FFFFFF"/>
          </w:tcPr>
          <w:p w14:paraId="1C664354" w14:textId="77777777" w:rsidR="00460A8A" w:rsidRDefault="00460A8A">
            <w:pPr>
              <w:pStyle w:val="NoSpacing"/>
              <w:rPr>
                <w:rFonts w:ascii="Times New Roman" w:hAnsi="Times New Roman"/>
                <w:b w:val="0"/>
                <w:bCs w:val="0"/>
              </w:rPr>
            </w:pPr>
          </w:p>
        </w:tc>
        <w:tc>
          <w:tcPr>
            <w:tcW w:w="1620" w:type="dxa"/>
            <w:tcBorders>
              <w:top w:val="nil"/>
              <w:left w:val="nil"/>
              <w:bottom w:val="nil"/>
              <w:right w:val="nil"/>
            </w:tcBorders>
            <w:shd w:val="clear" w:color="auto" w:fill="FFFFFF"/>
          </w:tcPr>
          <w:p w14:paraId="1A319E85"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HSIL</w:t>
            </w:r>
          </w:p>
        </w:tc>
        <w:tc>
          <w:tcPr>
            <w:tcW w:w="1260" w:type="dxa"/>
            <w:tcBorders>
              <w:top w:val="nil"/>
              <w:left w:val="nil"/>
              <w:bottom w:val="nil"/>
              <w:right w:val="nil"/>
            </w:tcBorders>
            <w:shd w:val="clear" w:color="auto" w:fill="FFFFFF"/>
          </w:tcPr>
          <w:p w14:paraId="7C9B2636"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tcW w:w="720" w:type="dxa"/>
            <w:tcBorders>
              <w:top w:val="nil"/>
              <w:left w:val="nil"/>
              <w:bottom w:val="nil"/>
              <w:right w:val="nil"/>
            </w:tcBorders>
            <w:shd w:val="clear" w:color="auto" w:fill="FFFFFF"/>
          </w:tcPr>
          <w:p w14:paraId="6715D3E9"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6.5</w:t>
            </w:r>
          </w:p>
        </w:tc>
      </w:tr>
      <w:tr w:rsidR="00460A8A" w14:paraId="5D6BB4D6" w14:textId="77777777" w:rsidTr="00460A8A">
        <w:trPr>
          <w:trHeight w:val="108"/>
        </w:trPr>
        <w:tc>
          <w:tcPr>
            <w:cnfStyle w:val="001000000000" w:firstRow="0" w:lastRow="0" w:firstColumn="1" w:lastColumn="0" w:oddVBand="0" w:evenVBand="0" w:oddHBand="0" w:evenHBand="0" w:firstRowFirstColumn="0" w:firstRowLastColumn="0" w:lastRowFirstColumn="0" w:lastRowLastColumn="0"/>
            <w:tcW w:w="1170" w:type="dxa"/>
            <w:tcBorders>
              <w:top w:val="nil"/>
              <w:left w:val="nil"/>
              <w:right w:val="nil"/>
            </w:tcBorders>
            <w:shd w:val="clear" w:color="auto" w:fill="FFFFFF"/>
          </w:tcPr>
          <w:p w14:paraId="0EA32CE4" w14:textId="77777777" w:rsidR="00460A8A" w:rsidRDefault="00957453">
            <w:pPr>
              <w:pStyle w:val="NoSpacing"/>
              <w:rPr>
                <w:rFonts w:ascii="Times New Roman" w:hAnsi="Times New Roman"/>
                <w:b w:val="0"/>
                <w:bCs w:val="0"/>
              </w:rPr>
            </w:pPr>
            <w:r>
              <w:rPr>
                <w:rFonts w:ascii="Times New Roman" w:hAnsi="Times New Roman"/>
                <w:b w:val="0"/>
              </w:rPr>
              <w:t>Total</w:t>
            </w:r>
          </w:p>
        </w:tc>
        <w:tc>
          <w:tcPr>
            <w:tcW w:w="1620" w:type="dxa"/>
            <w:tcBorders>
              <w:top w:val="nil"/>
              <w:left w:val="nil"/>
              <w:right w:val="nil"/>
            </w:tcBorders>
            <w:shd w:val="clear" w:color="auto" w:fill="FFFFFF"/>
          </w:tcPr>
          <w:p w14:paraId="24FDE83E" w14:textId="77777777" w:rsidR="00460A8A" w:rsidRDefault="00460A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260" w:type="dxa"/>
            <w:tcBorders>
              <w:top w:val="nil"/>
              <w:left w:val="nil"/>
              <w:right w:val="nil"/>
            </w:tcBorders>
            <w:shd w:val="clear" w:color="auto" w:fill="FFFFFF"/>
          </w:tcPr>
          <w:p w14:paraId="3BC35BF4"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31</w:t>
            </w:r>
          </w:p>
        </w:tc>
        <w:tc>
          <w:tcPr>
            <w:tcW w:w="720" w:type="dxa"/>
            <w:tcBorders>
              <w:top w:val="nil"/>
              <w:left w:val="nil"/>
              <w:right w:val="nil"/>
            </w:tcBorders>
            <w:shd w:val="clear" w:color="auto" w:fill="FFFFFF"/>
          </w:tcPr>
          <w:p w14:paraId="50AB79C7"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100.0</w:t>
            </w:r>
          </w:p>
        </w:tc>
      </w:tr>
    </w:tbl>
    <w:p w14:paraId="08056504" w14:textId="77777777" w:rsidR="00460A8A" w:rsidRDefault="00957453">
      <w:pPr>
        <w:pStyle w:val="NoSpacing"/>
        <w:rPr>
          <w:rFonts w:ascii="Times New Roman" w:hAnsi="Times New Roman"/>
          <w:sz w:val="20"/>
          <w:szCs w:val="20"/>
        </w:rPr>
      </w:pPr>
      <w:r>
        <w:rPr>
          <w:rFonts w:ascii="Times New Roman" w:hAnsi="Times New Roman"/>
          <w:sz w:val="20"/>
          <w:szCs w:val="20"/>
        </w:rPr>
        <w:t>Out of 61 HIV-positive women, 30 (49.2%) had normal cervical cytology while 31 (50.8%) had various abnormalities. LSIL accounted for the majority (61.3%) of lesions, followed by inflammatory changes (19.4%), atypical squamous cells of undetermined significance (ASCUS, 12.9%), and high-grade squamous intraepithelial lesion (HGSIL, 6.5%).</w:t>
      </w:r>
    </w:p>
    <w:p w14:paraId="5200F3D0" w14:textId="77777777" w:rsidR="00460A8A" w:rsidRDefault="00460A8A">
      <w:pPr>
        <w:spacing w:after="0" w:line="360" w:lineRule="auto"/>
        <w:jc w:val="both"/>
        <w:rPr>
          <w:rFonts w:ascii="Times New Roman" w:hAnsi="Times New Roman"/>
          <w:b/>
          <w:sz w:val="24"/>
          <w:szCs w:val="24"/>
        </w:rPr>
      </w:pPr>
    </w:p>
    <w:p w14:paraId="09965698" w14:textId="77777777" w:rsidR="00460A8A" w:rsidRDefault="00957453">
      <w:pPr>
        <w:spacing w:after="160" w:line="259" w:lineRule="auto"/>
        <w:rPr>
          <w:rFonts w:ascii="Times New Roman" w:hAnsi="Times New Roman"/>
          <w:sz w:val="24"/>
          <w:szCs w:val="24"/>
        </w:rPr>
      </w:pPr>
      <w:r>
        <w:rPr>
          <w:rFonts w:ascii="Times New Roman" w:hAnsi="Times New Roman"/>
          <w:sz w:val="24"/>
          <w:szCs w:val="24"/>
        </w:rPr>
        <w:br w:type="page"/>
      </w:r>
    </w:p>
    <w:p w14:paraId="6784CB80" w14:textId="1AAA8840" w:rsidR="00460A8A" w:rsidRDefault="00957453">
      <w:pPr>
        <w:spacing w:after="0" w:line="240" w:lineRule="auto"/>
        <w:jc w:val="both"/>
        <w:rPr>
          <w:rFonts w:ascii="Times New Roman" w:hAnsi="Times New Roman"/>
          <w:sz w:val="24"/>
          <w:szCs w:val="24"/>
        </w:rPr>
      </w:pPr>
      <w:r w:rsidRPr="007F19D8">
        <w:rPr>
          <w:rFonts w:ascii="Times New Roman" w:hAnsi="Times New Roman"/>
          <w:b/>
          <w:bCs/>
          <w:sz w:val="24"/>
          <w:szCs w:val="24"/>
        </w:rPr>
        <w:lastRenderedPageBreak/>
        <w:t>Table 2:</w:t>
      </w:r>
      <w:r>
        <w:rPr>
          <w:rFonts w:ascii="Times New Roman" w:hAnsi="Times New Roman"/>
          <w:sz w:val="24"/>
          <w:szCs w:val="24"/>
        </w:rPr>
        <w:t xml:space="preserve"> Socio-demographic, reproductive, and clinical factors associated with the development of cervical lesions in HIV-positive women at </w:t>
      </w:r>
      <w:r w:rsidR="007F19D8">
        <w:rPr>
          <w:rFonts w:ascii="Times New Roman" w:hAnsi="Times New Roman"/>
          <w:bCs/>
          <w:sz w:val="24"/>
          <w:szCs w:val="24"/>
        </w:rPr>
        <w:t>University of Abuja Teaching Hospital, Gwagwalada Abuja, Nigeria.</w:t>
      </w:r>
    </w:p>
    <w:tbl>
      <w:tblPr>
        <w:tblStyle w:val="LightShading1"/>
        <w:tblpPr w:leftFromText="180" w:rightFromText="180" w:vertAnchor="page" w:horzAnchor="margin" w:tblpY="2506"/>
        <w:tblW w:w="8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29"/>
        <w:gridCol w:w="2947"/>
        <w:gridCol w:w="1127"/>
        <w:gridCol w:w="1169"/>
      </w:tblGrid>
      <w:tr w:rsidR="00460A8A" w14:paraId="05F2824B" w14:textId="77777777" w:rsidTr="007F1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4" w:space="0" w:color="auto"/>
              <w:bottom w:val="single" w:sz="4" w:space="0" w:color="auto"/>
            </w:tcBorders>
            <w:shd w:val="clear" w:color="auto" w:fill="FFFFFF"/>
          </w:tcPr>
          <w:p w14:paraId="7F3CCD2F" w14:textId="77777777" w:rsidR="00460A8A" w:rsidRDefault="00957453" w:rsidP="007F19D8">
            <w:pPr>
              <w:pStyle w:val="NoSpacing"/>
              <w:rPr>
                <w:rFonts w:ascii="Times New Roman" w:hAnsi="Times New Roman"/>
                <w:b w:val="0"/>
                <w:bCs w:val="0"/>
                <w:sz w:val="20"/>
                <w:szCs w:val="20"/>
              </w:rPr>
            </w:pPr>
            <w:r>
              <w:rPr>
                <w:rFonts w:ascii="Times New Roman" w:hAnsi="Times New Roman"/>
                <w:sz w:val="20"/>
                <w:szCs w:val="20"/>
              </w:rPr>
              <w:t>Factors Associated with the Development of Cervical Legions</w:t>
            </w:r>
          </w:p>
        </w:tc>
        <w:tc>
          <w:tcPr>
            <w:tcW w:w="2947" w:type="dxa"/>
            <w:tcBorders>
              <w:top w:val="single" w:sz="4" w:space="0" w:color="auto"/>
              <w:bottom w:val="single" w:sz="4" w:space="0" w:color="auto"/>
            </w:tcBorders>
            <w:shd w:val="clear" w:color="auto" w:fill="FFFFFF"/>
          </w:tcPr>
          <w:p w14:paraId="5A9889F8" w14:textId="77777777" w:rsidR="00460A8A" w:rsidRDefault="00957453" w:rsidP="007F19D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Pr>
                <w:rFonts w:ascii="Times New Roman" w:hAnsi="Times New Roman"/>
                <w:sz w:val="20"/>
                <w:szCs w:val="20"/>
              </w:rPr>
              <w:t xml:space="preserve">Socio-Demographic, Reproductive and Clinical Factors </w:t>
            </w:r>
          </w:p>
        </w:tc>
        <w:tc>
          <w:tcPr>
            <w:tcW w:w="1127" w:type="dxa"/>
            <w:tcBorders>
              <w:top w:val="single" w:sz="4" w:space="0" w:color="auto"/>
              <w:bottom w:val="single" w:sz="4" w:space="0" w:color="auto"/>
            </w:tcBorders>
            <w:shd w:val="clear" w:color="auto" w:fill="FFFFFF"/>
          </w:tcPr>
          <w:p w14:paraId="28F1DFB6" w14:textId="77777777" w:rsidR="00460A8A" w:rsidRDefault="00957453" w:rsidP="007F19D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Pr>
                <w:rFonts w:ascii="Times New Roman" w:hAnsi="Times New Roman"/>
                <w:sz w:val="20"/>
                <w:szCs w:val="20"/>
              </w:rPr>
              <w:t>Frequency</w:t>
            </w:r>
          </w:p>
        </w:tc>
        <w:tc>
          <w:tcPr>
            <w:tcW w:w="1169" w:type="dxa"/>
            <w:tcBorders>
              <w:top w:val="single" w:sz="4" w:space="0" w:color="auto"/>
              <w:bottom w:val="single" w:sz="4" w:space="0" w:color="auto"/>
            </w:tcBorders>
            <w:shd w:val="clear" w:color="auto" w:fill="FFFFFF"/>
          </w:tcPr>
          <w:p w14:paraId="6220232E" w14:textId="77777777" w:rsidR="00460A8A" w:rsidRDefault="00957453" w:rsidP="007F19D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Pr>
                <w:rFonts w:ascii="Times New Roman" w:hAnsi="Times New Roman"/>
                <w:sz w:val="20"/>
                <w:szCs w:val="20"/>
              </w:rPr>
              <w:t>Percentage</w:t>
            </w:r>
          </w:p>
        </w:tc>
      </w:tr>
      <w:tr w:rsidR="00460A8A" w14:paraId="33E4C2A3"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left w:val="nil"/>
              <w:bottom w:val="nil"/>
              <w:right w:val="nil"/>
            </w:tcBorders>
            <w:shd w:val="clear" w:color="auto" w:fill="FFFFFF"/>
          </w:tcPr>
          <w:p w14:paraId="437D1DE9" w14:textId="77777777" w:rsidR="00460A8A" w:rsidRDefault="00957453" w:rsidP="007F19D8">
            <w:pPr>
              <w:pStyle w:val="NoSpacing"/>
              <w:rPr>
                <w:rFonts w:ascii="Times New Roman" w:hAnsi="Times New Roman"/>
                <w:b w:val="0"/>
                <w:bCs w:val="0"/>
                <w:sz w:val="20"/>
                <w:szCs w:val="20"/>
              </w:rPr>
            </w:pPr>
            <w:r>
              <w:rPr>
                <w:rFonts w:ascii="Times New Roman" w:hAnsi="Times New Roman"/>
                <w:sz w:val="20"/>
                <w:szCs w:val="20"/>
              </w:rPr>
              <w:t>Socio-Demographic</w:t>
            </w:r>
          </w:p>
        </w:tc>
        <w:tc>
          <w:tcPr>
            <w:tcW w:w="2947" w:type="dxa"/>
            <w:tcBorders>
              <w:bottom w:val="nil"/>
              <w:right w:val="nil"/>
            </w:tcBorders>
            <w:shd w:val="clear" w:color="auto" w:fill="FFFFFF"/>
          </w:tcPr>
          <w:p w14:paraId="31F142FF"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Age</w:t>
            </w:r>
          </w:p>
        </w:tc>
        <w:tc>
          <w:tcPr>
            <w:tcW w:w="1127" w:type="dxa"/>
            <w:tcBorders>
              <w:bottom w:val="nil"/>
              <w:right w:val="nil"/>
            </w:tcBorders>
            <w:shd w:val="clear" w:color="auto" w:fill="FFFFFF"/>
          </w:tcPr>
          <w:p w14:paraId="0FA3F1D4"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39</w:t>
            </w:r>
          </w:p>
        </w:tc>
        <w:tc>
          <w:tcPr>
            <w:tcW w:w="1169" w:type="dxa"/>
            <w:tcBorders>
              <w:bottom w:val="nil"/>
              <w:right w:val="nil"/>
            </w:tcBorders>
            <w:shd w:val="clear" w:color="auto" w:fill="FFFFFF"/>
          </w:tcPr>
          <w:p w14:paraId="1F81068B"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63.9</w:t>
            </w:r>
          </w:p>
        </w:tc>
      </w:tr>
      <w:tr w:rsidR="00460A8A" w14:paraId="117B73B7"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nil"/>
              <w:right w:val="nil"/>
            </w:tcBorders>
            <w:shd w:val="clear" w:color="auto" w:fill="FFFFFF"/>
          </w:tcPr>
          <w:p w14:paraId="6A0BAD45" w14:textId="77777777" w:rsidR="00460A8A" w:rsidRDefault="00460A8A" w:rsidP="007F19D8">
            <w:pPr>
              <w:pStyle w:val="NoSpacing"/>
              <w:rPr>
                <w:rFonts w:ascii="Times New Roman" w:hAnsi="Times New Roman"/>
                <w:b w:val="0"/>
                <w:bCs w:val="0"/>
                <w:sz w:val="20"/>
                <w:szCs w:val="20"/>
              </w:rPr>
            </w:pPr>
          </w:p>
        </w:tc>
        <w:tc>
          <w:tcPr>
            <w:tcW w:w="2947" w:type="dxa"/>
            <w:tcBorders>
              <w:top w:val="nil"/>
              <w:left w:val="nil"/>
              <w:bottom w:val="nil"/>
              <w:right w:val="nil"/>
            </w:tcBorders>
            <w:shd w:val="clear" w:color="auto" w:fill="FFFFFF"/>
          </w:tcPr>
          <w:p w14:paraId="5D0329E6"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Marital Status</w:t>
            </w:r>
          </w:p>
        </w:tc>
        <w:tc>
          <w:tcPr>
            <w:tcW w:w="1127" w:type="dxa"/>
            <w:tcBorders>
              <w:top w:val="nil"/>
              <w:left w:val="nil"/>
              <w:bottom w:val="nil"/>
              <w:right w:val="nil"/>
            </w:tcBorders>
            <w:shd w:val="clear" w:color="auto" w:fill="FFFFFF"/>
          </w:tcPr>
          <w:p w14:paraId="5D6B43BB"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w:t>
            </w:r>
          </w:p>
        </w:tc>
        <w:tc>
          <w:tcPr>
            <w:tcW w:w="1169" w:type="dxa"/>
            <w:tcBorders>
              <w:top w:val="nil"/>
              <w:left w:val="nil"/>
              <w:bottom w:val="nil"/>
              <w:right w:val="nil"/>
            </w:tcBorders>
            <w:shd w:val="clear" w:color="auto" w:fill="FFFFFF"/>
          </w:tcPr>
          <w:p w14:paraId="77123B57"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8.2</w:t>
            </w:r>
          </w:p>
        </w:tc>
      </w:tr>
      <w:tr w:rsidR="00460A8A" w14:paraId="308BE260"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nil"/>
              <w:right w:val="nil"/>
            </w:tcBorders>
            <w:shd w:val="clear" w:color="auto" w:fill="FFFFFF"/>
          </w:tcPr>
          <w:p w14:paraId="4812F7BD" w14:textId="77777777" w:rsidR="00460A8A" w:rsidRDefault="00460A8A" w:rsidP="007F19D8">
            <w:pPr>
              <w:pStyle w:val="NoSpacing"/>
              <w:rPr>
                <w:rFonts w:ascii="Times New Roman" w:hAnsi="Times New Roman"/>
                <w:b w:val="0"/>
                <w:bCs w:val="0"/>
                <w:sz w:val="20"/>
                <w:szCs w:val="20"/>
              </w:rPr>
            </w:pPr>
          </w:p>
        </w:tc>
        <w:tc>
          <w:tcPr>
            <w:tcW w:w="2947" w:type="dxa"/>
            <w:tcBorders>
              <w:top w:val="nil"/>
              <w:bottom w:val="nil"/>
              <w:right w:val="nil"/>
            </w:tcBorders>
            <w:shd w:val="clear" w:color="auto" w:fill="FFFFFF"/>
          </w:tcPr>
          <w:p w14:paraId="1AB6F9B6"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Educational Level</w:t>
            </w:r>
          </w:p>
        </w:tc>
        <w:tc>
          <w:tcPr>
            <w:tcW w:w="1127" w:type="dxa"/>
            <w:tcBorders>
              <w:top w:val="nil"/>
              <w:bottom w:val="nil"/>
              <w:right w:val="nil"/>
            </w:tcBorders>
            <w:shd w:val="clear" w:color="auto" w:fill="FFFFFF"/>
          </w:tcPr>
          <w:p w14:paraId="78966BBE"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15</w:t>
            </w:r>
          </w:p>
        </w:tc>
        <w:tc>
          <w:tcPr>
            <w:tcW w:w="1169" w:type="dxa"/>
            <w:tcBorders>
              <w:top w:val="nil"/>
              <w:bottom w:val="nil"/>
              <w:right w:val="nil"/>
            </w:tcBorders>
            <w:shd w:val="clear" w:color="auto" w:fill="FFFFFF"/>
          </w:tcPr>
          <w:p w14:paraId="3DB053CE"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24.6</w:t>
            </w:r>
          </w:p>
        </w:tc>
      </w:tr>
      <w:tr w:rsidR="00460A8A" w14:paraId="2BCF28F5"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nil"/>
              <w:right w:val="nil"/>
            </w:tcBorders>
            <w:shd w:val="clear" w:color="auto" w:fill="FFFFFF"/>
          </w:tcPr>
          <w:p w14:paraId="01783CDE" w14:textId="77777777" w:rsidR="00460A8A" w:rsidRDefault="00460A8A" w:rsidP="007F19D8">
            <w:pPr>
              <w:pStyle w:val="NoSpacing"/>
              <w:rPr>
                <w:rFonts w:ascii="Times New Roman" w:hAnsi="Times New Roman"/>
                <w:b w:val="0"/>
                <w:bCs w:val="0"/>
                <w:sz w:val="20"/>
                <w:szCs w:val="20"/>
              </w:rPr>
            </w:pPr>
          </w:p>
        </w:tc>
        <w:tc>
          <w:tcPr>
            <w:tcW w:w="2947" w:type="dxa"/>
            <w:tcBorders>
              <w:top w:val="nil"/>
              <w:left w:val="nil"/>
              <w:bottom w:val="nil"/>
              <w:right w:val="nil"/>
            </w:tcBorders>
            <w:shd w:val="clear" w:color="auto" w:fill="FFFFFF"/>
          </w:tcPr>
          <w:p w14:paraId="7CC3C8C4"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Occupation</w:t>
            </w:r>
          </w:p>
        </w:tc>
        <w:tc>
          <w:tcPr>
            <w:tcW w:w="1127" w:type="dxa"/>
            <w:tcBorders>
              <w:top w:val="nil"/>
              <w:left w:val="nil"/>
              <w:bottom w:val="nil"/>
              <w:right w:val="nil"/>
            </w:tcBorders>
            <w:shd w:val="clear" w:color="auto" w:fill="FFFFFF"/>
          </w:tcPr>
          <w:p w14:paraId="7DFA0947"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1169" w:type="dxa"/>
            <w:tcBorders>
              <w:top w:val="nil"/>
              <w:left w:val="nil"/>
              <w:bottom w:val="nil"/>
              <w:right w:val="nil"/>
            </w:tcBorders>
            <w:shd w:val="clear" w:color="auto" w:fill="FFFFFF"/>
          </w:tcPr>
          <w:p w14:paraId="7C42DAC1"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3.3</w:t>
            </w:r>
          </w:p>
        </w:tc>
      </w:tr>
      <w:tr w:rsidR="00460A8A" w14:paraId="61C67613"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single" w:sz="4" w:space="0" w:color="auto"/>
              <w:right w:val="nil"/>
            </w:tcBorders>
            <w:shd w:val="clear" w:color="auto" w:fill="FFFFFF"/>
          </w:tcPr>
          <w:p w14:paraId="456308CF" w14:textId="77777777" w:rsidR="00460A8A" w:rsidRDefault="00460A8A" w:rsidP="007F19D8">
            <w:pPr>
              <w:pStyle w:val="NoSpacing"/>
              <w:rPr>
                <w:rFonts w:ascii="Times New Roman" w:hAnsi="Times New Roman"/>
                <w:b w:val="0"/>
                <w:bCs w:val="0"/>
                <w:sz w:val="20"/>
                <w:szCs w:val="20"/>
              </w:rPr>
            </w:pPr>
          </w:p>
        </w:tc>
        <w:tc>
          <w:tcPr>
            <w:tcW w:w="2947" w:type="dxa"/>
            <w:tcBorders>
              <w:top w:val="nil"/>
              <w:bottom w:val="single" w:sz="4" w:space="0" w:color="auto"/>
              <w:right w:val="nil"/>
            </w:tcBorders>
            <w:shd w:val="clear" w:color="auto" w:fill="FFFFFF"/>
          </w:tcPr>
          <w:p w14:paraId="0355C3D2"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Total</w:t>
            </w:r>
          </w:p>
        </w:tc>
        <w:tc>
          <w:tcPr>
            <w:tcW w:w="1127" w:type="dxa"/>
            <w:tcBorders>
              <w:top w:val="nil"/>
              <w:bottom w:val="single" w:sz="4" w:space="0" w:color="auto"/>
              <w:right w:val="nil"/>
            </w:tcBorders>
            <w:shd w:val="clear" w:color="auto" w:fill="FFFFFF"/>
          </w:tcPr>
          <w:p w14:paraId="0C4601DF"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61</w:t>
            </w:r>
          </w:p>
        </w:tc>
        <w:tc>
          <w:tcPr>
            <w:tcW w:w="1169" w:type="dxa"/>
            <w:tcBorders>
              <w:top w:val="nil"/>
              <w:bottom w:val="single" w:sz="4" w:space="0" w:color="auto"/>
              <w:right w:val="nil"/>
            </w:tcBorders>
            <w:shd w:val="clear" w:color="auto" w:fill="FFFFFF"/>
          </w:tcPr>
          <w:p w14:paraId="74C26C6D"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100.0</w:t>
            </w:r>
          </w:p>
        </w:tc>
      </w:tr>
      <w:tr w:rsidR="00460A8A" w14:paraId="3E6D9FC7"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left w:val="nil"/>
              <w:bottom w:val="nil"/>
              <w:right w:val="nil"/>
            </w:tcBorders>
            <w:shd w:val="clear" w:color="auto" w:fill="FFFFFF"/>
          </w:tcPr>
          <w:p w14:paraId="15ACA713" w14:textId="77777777" w:rsidR="00460A8A" w:rsidRDefault="00957453" w:rsidP="007F19D8">
            <w:pPr>
              <w:pStyle w:val="NoSpacing"/>
              <w:rPr>
                <w:rFonts w:ascii="Times New Roman" w:hAnsi="Times New Roman"/>
                <w:b w:val="0"/>
                <w:bCs w:val="0"/>
                <w:sz w:val="20"/>
                <w:szCs w:val="20"/>
              </w:rPr>
            </w:pPr>
            <w:r>
              <w:rPr>
                <w:rFonts w:ascii="Times New Roman" w:hAnsi="Times New Roman"/>
                <w:sz w:val="20"/>
                <w:szCs w:val="20"/>
              </w:rPr>
              <w:t>Reproductive</w:t>
            </w:r>
          </w:p>
        </w:tc>
        <w:tc>
          <w:tcPr>
            <w:tcW w:w="2947" w:type="dxa"/>
            <w:tcBorders>
              <w:left w:val="nil"/>
              <w:bottom w:val="nil"/>
              <w:right w:val="nil"/>
            </w:tcBorders>
            <w:shd w:val="clear" w:color="auto" w:fill="FFFFFF"/>
          </w:tcPr>
          <w:p w14:paraId="1B923429"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Age at first sexual intercourse</w:t>
            </w:r>
          </w:p>
        </w:tc>
        <w:tc>
          <w:tcPr>
            <w:tcW w:w="1127" w:type="dxa"/>
            <w:tcBorders>
              <w:left w:val="nil"/>
              <w:bottom w:val="nil"/>
              <w:right w:val="nil"/>
            </w:tcBorders>
            <w:shd w:val="clear" w:color="auto" w:fill="FFFFFF"/>
          </w:tcPr>
          <w:p w14:paraId="52E7BB78"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29</w:t>
            </w:r>
          </w:p>
        </w:tc>
        <w:tc>
          <w:tcPr>
            <w:tcW w:w="1169" w:type="dxa"/>
            <w:tcBorders>
              <w:left w:val="nil"/>
              <w:bottom w:val="nil"/>
              <w:right w:val="nil"/>
            </w:tcBorders>
            <w:shd w:val="clear" w:color="auto" w:fill="FFFFFF"/>
          </w:tcPr>
          <w:p w14:paraId="1F0FDBBD"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47.5</w:t>
            </w:r>
          </w:p>
        </w:tc>
      </w:tr>
      <w:tr w:rsidR="00460A8A" w14:paraId="0BD7D720"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nil"/>
              <w:right w:val="nil"/>
            </w:tcBorders>
            <w:shd w:val="clear" w:color="auto" w:fill="FFFFFF"/>
          </w:tcPr>
          <w:p w14:paraId="0E975F07" w14:textId="77777777" w:rsidR="00460A8A" w:rsidRDefault="00460A8A" w:rsidP="007F19D8">
            <w:pPr>
              <w:pStyle w:val="NoSpacing"/>
              <w:rPr>
                <w:rFonts w:ascii="Times New Roman" w:hAnsi="Times New Roman"/>
                <w:b w:val="0"/>
                <w:bCs w:val="0"/>
                <w:sz w:val="20"/>
                <w:szCs w:val="20"/>
              </w:rPr>
            </w:pPr>
          </w:p>
        </w:tc>
        <w:tc>
          <w:tcPr>
            <w:tcW w:w="2947" w:type="dxa"/>
            <w:tcBorders>
              <w:top w:val="nil"/>
              <w:bottom w:val="nil"/>
              <w:right w:val="nil"/>
            </w:tcBorders>
            <w:shd w:val="clear" w:color="auto" w:fill="FFFFFF"/>
          </w:tcPr>
          <w:p w14:paraId="602538D4"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Number of sexual partners in lifetime</w:t>
            </w:r>
          </w:p>
        </w:tc>
        <w:tc>
          <w:tcPr>
            <w:tcW w:w="1127" w:type="dxa"/>
            <w:tcBorders>
              <w:top w:val="nil"/>
              <w:bottom w:val="nil"/>
              <w:right w:val="nil"/>
            </w:tcBorders>
            <w:shd w:val="clear" w:color="auto" w:fill="FFFFFF"/>
          </w:tcPr>
          <w:p w14:paraId="0F01FA14"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19</w:t>
            </w:r>
          </w:p>
        </w:tc>
        <w:tc>
          <w:tcPr>
            <w:tcW w:w="1169" w:type="dxa"/>
            <w:tcBorders>
              <w:top w:val="nil"/>
              <w:bottom w:val="nil"/>
              <w:right w:val="nil"/>
            </w:tcBorders>
            <w:shd w:val="clear" w:color="auto" w:fill="FFFFFF"/>
          </w:tcPr>
          <w:p w14:paraId="59E39BAB"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31.1</w:t>
            </w:r>
          </w:p>
        </w:tc>
      </w:tr>
      <w:tr w:rsidR="00460A8A" w14:paraId="28F5E1D9"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nil"/>
              <w:right w:val="nil"/>
            </w:tcBorders>
            <w:shd w:val="clear" w:color="auto" w:fill="FFFFFF"/>
          </w:tcPr>
          <w:p w14:paraId="72649E98" w14:textId="77777777" w:rsidR="00460A8A" w:rsidRDefault="00460A8A" w:rsidP="007F19D8">
            <w:pPr>
              <w:pStyle w:val="NoSpacing"/>
              <w:rPr>
                <w:rFonts w:ascii="Times New Roman" w:hAnsi="Times New Roman"/>
                <w:b w:val="0"/>
                <w:bCs w:val="0"/>
                <w:sz w:val="20"/>
                <w:szCs w:val="20"/>
              </w:rPr>
            </w:pPr>
          </w:p>
        </w:tc>
        <w:tc>
          <w:tcPr>
            <w:tcW w:w="2947" w:type="dxa"/>
            <w:tcBorders>
              <w:top w:val="nil"/>
              <w:left w:val="nil"/>
              <w:bottom w:val="nil"/>
              <w:right w:val="nil"/>
            </w:tcBorders>
            <w:shd w:val="clear" w:color="auto" w:fill="FFFFFF"/>
          </w:tcPr>
          <w:p w14:paraId="1925215C"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Number of pregnancies</w:t>
            </w:r>
          </w:p>
        </w:tc>
        <w:tc>
          <w:tcPr>
            <w:tcW w:w="1127" w:type="dxa"/>
            <w:tcBorders>
              <w:top w:val="nil"/>
              <w:left w:val="nil"/>
              <w:bottom w:val="nil"/>
              <w:right w:val="nil"/>
            </w:tcBorders>
            <w:shd w:val="clear" w:color="auto" w:fill="FFFFFF"/>
          </w:tcPr>
          <w:p w14:paraId="407D8EE1"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tc>
        <w:tc>
          <w:tcPr>
            <w:tcW w:w="1169" w:type="dxa"/>
            <w:tcBorders>
              <w:top w:val="nil"/>
              <w:left w:val="nil"/>
              <w:bottom w:val="nil"/>
              <w:right w:val="nil"/>
            </w:tcBorders>
            <w:shd w:val="clear" w:color="auto" w:fill="FFFFFF"/>
          </w:tcPr>
          <w:p w14:paraId="2BDF1A04"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9.8</w:t>
            </w:r>
          </w:p>
        </w:tc>
      </w:tr>
      <w:tr w:rsidR="00460A8A" w14:paraId="2D44B3A2"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nil"/>
              <w:right w:val="nil"/>
            </w:tcBorders>
            <w:shd w:val="clear" w:color="auto" w:fill="FFFFFF"/>
          </w:tcPr>
          <w:p w14:paraId="7BE605DD" w14:textId="77777777" w:rsidR="00460A8A" w:rsidRDefault="00460A8A" w:rsidP="007F19D8">
            <w:pPr>
              <w:pStyle w:val="NoSpacing"/>
              <w:rPr>
                <w:rFonts w:ascii="Times New Roman" w:hAnsi="Times New Roman"/>
                <w:b w:val="0"/>
                <w:bCs w:val="0"/>
                <w:sz w:val="20"/>
                <w:szCs w:val="20"/>
              </w:rPr>
            </w:pPr>
          </w:p>
        </w:tc>
        <w:tc>
          <w:tcPr>
            <w:tcW w:w="2947" w:type="dxa"/>
            <w:tcBorders>
              <w:top w:val="nil"/>
              <w:bottom w:val="nil"/>
              <w:right w:val="nil"/>
            </w:tcBorders>
            <w:shd w:val="clear" w:color="auto" w:fill="FFFFFF"/>
          </w:tcPr>
          <w:p w14:paraId="427BECCA"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Number of live births</w:t>
            </w:r>
          </w:p>
        </w:tc>
        <w:tc>
          <w:tcPr>
            <w:tcW w:w="1127" w:type="dxa"/>
            <w:tcBorders>
              <w:top w:val="nil"/>
              <w:bottom w:val="nil"/>
              <w:right w:val="nil"/>
            </w:tcBorders>
            <w:shd w:val="clear" w:color="auto" w:fill="FFFFFF"/>
          </w:tcPr>
          <w:p w14:paraId="2737E4D1"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1169" w:type="dxa"/>
            <w:tcBorders>
              <w:top w:val="nil"/>
              <w:bottom w:val="nil"/>
              <w:right w:val="nil"/>
            </w:tcBorders>
            <w:shd w:val="clear" w:color="auto" w:fill="FFFFFF"/>
          </w:tcPr>
          <w:p w14:paraId="2651DAD4"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3.3</w:t>
            </w:r>
          </w:p>
        </w:tc>
      </w:tr>
      <w:tr w:rsidR="00460A8A" w14:paraId="1382363E"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nil"/>
              <w:right w:val="nil"/>
            </w:tcBorders>
            <w:shd w:val="clear" w:color="auto" w:fill="FFFFFF"/>
          </w:tcPr>
          <w:p w14:paraId="3FAC25AB" w14:textId="77777777" w:rsidR="00460A8A" w:rsidRDefault="00460A8A" w:rsidP="007F19D8">
            <w:pPr>
              <w:pStyle w:val="NoSpacing"/>
              <w:rPr>
                <w:rFonts w:ascii="Times New Roman" w:hAnsi="Times New Roman"/>
                <w:b w:val="0"/>
                <w:bCs w:val="0"/>
                <w:sz w:val="20"/>
                <w:szCs w:val="20"/>
              </w:rPr>
            </w:pPr>
          </w:p>
        </w:tc>
        <w:tc>
          <w:tcPr>
            <w:tcW w:w="2947" w:type="dxa"/>
            <w:tcBorders>
              <w:top w:val="nil"/>
              <w:left w:val="nil"/>
              <w:bottom w:val="nil"/>
              <w:right w:val="nil"/>
            </w:tcBorders>
            <w:shd w:val="clear" w:color="auto" w:fill="FFFFFF"/>
          </w:tcPr>
          <w:p w14:paraId="4A2DE677"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Number of those who took contraceptives</w:t>
            </w:r>
          </w:p>
        </w:tc>
        <w:tc>
          <w:tcPr>
            <w:tcW w:w="1127" w:type="dxa"/>
            <w:tcBorders>
              <w:top w:val="nil"/>
              <w:left w:val="nil"/>
              <w:bottom w:val="nil"/>
              <w:right w:val="nil"/>
            </w:tcBorders>
            <w:shd w:val="clear" w:color="auto" w:fill="FFFFFF"/>
          </w:tcPr>
          <w:p w14:paraId="5DEF38CC"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w:t>
            </w:r>
          </w:p>
        </w:tc>
        <w:tc>
          <w:tcPr>
            <w:tcW w:w="1169" w:type="dxa"/>
            <w:tcBorders>
              <w:top w:val="nil"/>
              <w:left w:val="nil"/>
              <w:bottom w:val="nil"/>
              <w:right w:val="nil"/>
            </w:tcBorders>
            <w:shd w:val="clear" w:color="auto" w:fill="FFFFFF"/>
          </w:tcPr>
          <w:p w14:paraId="3D62D495"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8.2</w:t>
            </w:r>
          </w:p>
        </w:tc>
      </w:tr>
      <w:tr w:rsidR="00460A8A" w14:paraId="16EE1D37"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single" w:sz="4" w:space="0" w:color="auto"/>
              <w:right w:val="nil"/>
            </w:tcBorders>
            <w:shd w:val="clear" w:color="auto" w:fill="FFFFFF"/>
          </w:tcPr>
          <w:p w14:paraId="0567A166" w14:textId="77777777" w:rsidR="00460A8A" w:rsidRDefault="00460A8A" w:rsidP="007F19D8">
            <w:pPr>
              <w:pStyle w:val="NoSpacing"/>
              <w:rPr>
                <w:rFonts w:ascii="Times New Roman" w:hAnsi="Times New Roman"/>
                <w:b w:val="0"/>
                <w:bCs w:val="0"/>
                <w:sz w:val="20"/>
                <w:szCs w:val="20"/>
              </w:rPr>
            </w:pPr>
          </w:p>
        </w:tc>
        <w:tc>
          <w:tcPr>
            <w:tcW w:w="2947" w:type="dxa"/>
            <w:tcBorders>
              <w:top w:val="nil"/>
              <w:bottom w:val="single" w:sz="4" w:space="0" w:color="auto"/>
              <w:right w:val="nil"/>
            </w:tcBorders>
            <w:shd w:val="clear" w:color="auto" w:fill="FFFFFF"/>
          </w:tcPr>
          <w:p w14:paraId="73A7745C"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Total</w:t>
            </w:r>
          </w:p>
        </w:tc>
        <w:tc>
          <w:tcPr>
            <w:tcW w:w="1127" w:type="dxa"/>
            <w:tcBorders>
              <w:top w:val="nil"/>
              <w:bottom w:val="single" w:sz="4" w:space="0" w:color="auto"/>
              <w:right w:val="nil"/>
            </w:tcBorders>
            <w:shd w:val="clear" w:color="auto" w:fill="FFFFFF"/>
          </w:tcPr>
          <w:p w14:paraId="7A27D100"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61</w:t>
            </w:r>
          </w:p>
        </w:tc>
        <w:tc>
          <w:tcPr>
            <w:tcW w:w="1169" w:type="dxa"/>
            <w:tcBorders>
              <w:top w:val="nil"/>
              <w:bottom w:val="single" w:sz="4" w:space="0" w:color="auto"/>
              <w:right w:val="nil"/>
            </w:tcBorders>
            <w:shd w:val="clear" w:color="auto" w:fill="FFFFFF"/>
          </w:tcPr>
          <w:p w14:paraId="6489D646"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100.0</w:t>
            </w:r>
          </w:p>
        </w:tc>
      </w:tr>
      <w:tr w:rsidR="00460A8A" w14:paraId="63A7C5C8"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left w:val="nil"/>
              <w:bottom w:val="nil"/>
              <w:right w:val="nil"/>
            </w:tcBorders>
            <w:shd w:val="clear" w:color="auto" w:fill="FFFFFF"/>
          </w:tcPr>
          <w:p w14:paraId="47E37C08" w14:textId="77777777" w:rsidR="00460A8A" w:rsidRDefault="00957453" w:rsidP="007F19D8">
            <w:pPr>
              <w:pStyle w:val="NoSpacing"/>
              <w:rPr>
                <w:rFonts w:ascii="Times New Roman" w:hAnsi="Times New Roman"/>
                <w:b w:val="0"/>
                <w:bCs w:val="0"/>
                <w:sz w:val="20"/>
                <w:szCs w:val="20"/>
              </w:rPr>
            </w:pPr>
            <w:r>
              <w:rPr>
                <w:rFonts w:ascii="Times New Roman" w:hAnsi="Times New Roman"/>
                <w:sz w:val="20"/>
                <w:szCs w:val="20"/>
              </w:rPr>
              <w:t>Clinical Factors</w:t>
            </w:r>
          </w:p>
        </w:tc>
        <w:tc>
          <w:tcPr>
            <w:tcW w:w="2947" w:type="dxa"/>
            <w:tcBorders>
              <w:left w:val="nil"/>
              <w:bottom w:val="nil"/>
              <w:right w:val="nil"/>
            </w:tcBorders>
            <w:shd w:val="clear" w:color="auto" w:fill="FFFFFF"/>
          </w:tcPr>
          <w:p w14:paraId="7D1A0975"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CD4+ Count</w:t>
            </w:r>
          </w:p>
        </w:tc>
        <w:tc>
          <w:tcPr>
            <w:tcW w:w="1127" w:type="dxa"/>
            <w:tcBorders>
              <w:left w:val="nil"/>
              <w:bottom w:val="nil"/>
              <w:right w:val="nil"/>
            </w:tcBorders>
            <w:shd w:val="clear" w:color="auto" w:fill="FFFFFF"/>
          </w:tcPr>
          <w:p w14:paraId="6AE9C370"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32</w:t>
            </w:r>
          </w:p>
        </w:tc>
        <w:tc>
          <w:tcPr>
            <w:tcW w:w="1169" w:type="dxa"/>
            <w:tcBorders>
              <w:left w:val="nil"/>
              <w:bottom w:val="nil"/>
              <w:right w:val="nil"/>
            </w:tcBorders>
            <w:shd w:val="clear" w:color="auto" w:fill="FFFFFF"/>
          </w:tcPr>
          <w:p w14:paraId="24FB9C4C"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52.5</w:t>
            </w:r>
          </w:p>
        </w:tc>
      </w:tr>
      <w:tr w:rsidR="00460A8A" w14:paraId="30452101"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nil"/>
              <w:right w:val="nil"/>
            </w:tcBorders>
            <w:shd w:val="clear" w:color="auto" w:fill="FFFFFF"/>
          </w:tcPr>
          <w:p w14:paraId="365B7002" w14:textId="77777777" w:rsidR="00460A8A" w:rsidRDefault="00460A8A" w:rsidP="007F19D8">
            <w:pPr>
              <w:pStyle w:val="NoSpacing"/>
              <w:rPr>
                <w:rFonts w:ascii="Times New Roman" w:hAnsi="Times New Roman"/>
                <w:b w:val="0"/>
                <w:bCs w:val="0"/>
                <w:sz w:val="20"/>
                <w:szCs w:val="20"/>
              </w:rPr>
            </w:pPr>
          </w:p>
        </w:tc>
        <w:tc>
          <w:tcPr>
            <w:tcW w:w="2947" w:type="dxa"/>
            <w:tcBorders>
              <w:top w:val="nil"/>
              <w:bottom w:val="nil"/>
              <w:right w:val="nil"/>
            </w:tcBorders>
            <w:shd w:val="clear" w:color="auto" w:fill="FFFFFF"/>
          </w:tcPr>
          <w:p w14:paraId="6CE4DB35"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Viral Load</w:t>
            </w:r>
          </w:p>
        </w:tc>
        <w:tc>
          <w:tcPr>
            <w:tcW w:w="1127" w:type="dxa"/>
            <w:tcBorders>
              <w:top w:val="nil"/>
              <w:bottom w:val="nil"/>
              <w:right w:val="nil"/>
            </w:tcBorders>
            <w:shd w:val="clear" w:color="auto" w:fill="FFFFFF"/>
          </w:tcPr>
          <w:p w14:paraId="22BA8255"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19</w:t>
            </w:r>
          </w:p>
        </w:tc>
        <w:tc>
          <w:tcPr>
            <w:tcW w:w="1169" w:type="dxa"/>
            <w:tcBorders>
              <w:top w:val="nil"/>
              <w:bottom w:val="nil"/>
              <w:right w:val="nil"/>
            </w:tcBorders>
            <w:shd w:val="clear" w:color="auto" w:fill="FFFFFF"/>
          </w:tcPr>
          <w:p w14:paraId="6826B6F1"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31.1</w:t>
            </w:r>
          </w:p>
        </w:tc>
      </w:tr>
      <w:tr w:rsidR="00460A8A" w14:paraId="0CEB94F5"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bottom w:val="nil"/>
              <w:right w:val="nil"/>
            </w:tcBorders>
            <w:shd w:val="clear" w:color="auto" w:fill="FFFFFF"/>
          </w:tcPr>
          <w:p w14:paraId="670FFAF4" w14:textId="77777777" w:rsidR="00460A8A" w:rsidRDefault="00460A8A" w:rsidP="007F19D8">
            <w:pPr>
              <w:pStyle w:val="NoSpacing"/>
              <w:rPr>
                <w:rFonts w:ascii="Times New Roman" w:hAnsi="Times New Roman"/>
                <w:b w:val="0"/>
                <w:bCs w:val="0"/>
                <w:sz w:val="20"/>
                <w:szCs w:val="20"/>
              </w:rPr>
            </w:pPr>
          </w:p>
        </w:tc>
        <w:tc>
          <w:tcPr>
            <w:tcW w:w="2947" w:type="dxa"/>
            <w:tcBorders>
              <w:top w:val="nil"/>
              <w:left w:val="nil"/>
              <w:bottom w:val="nil"/>
              <w:right w:val="nil"/>
            </w:tcBorders>
            <w:shd w:val="clear" w:color="auto" w:fill="FFFFFF"/>
          </w:tcPr>
          <w:p w14:paraId="6B1B4971"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ART</w:t>
            </w:r>
          </w:p>
        </w:tc>
        <w:tc>
          <w:tcPr>
            <w:tcW w:w="1127" w:type="dxa"/>
            <w:tcBorders>
              <w:top w:val="nil"/>
              <w:left w:val="nil"/>
              <w:bottom w:val="nil"/>
              <w:right w:val="nil"/>
            </w:tcBorders>
            <w:shd w:val="clear" w:color="auto" w:fill="FFFFFF"/>
          </w:tcPr>
          <w:p w14:paraId="10DD55FC"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w:t>
            </w:r>
          </w:p>
        </w:tc>
        <w:tc>
          <w:tcPr>
            <w:tcW w:w="1169" w:type="dxa"/>
            <w:tcBorders>
              <w:top w:val="nil"/>
              <w:left w:val="nil"/>
              <w:bottom w:val="nil"/>
              <w:right w:val="nil"/>
            </w:tcBorders>
            <w:shd w:val="clear" w:color="auto" w:fill="FFFFFF"/>
          </w:tcPr>
          <w:p w14:paraId="1638679C"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16.4</w:t>
            </w:r>
          </w:p>
        </w:tc>
      </w:tr>
      <w:tr w:rsidR="00460A8A" w14:paraId="22D2A0F6" w14:textId="77777777" w:rsidTr="007F19D8">
        <w:tc>
          <w:tcPr>
            <w:cnfStyle w:val="001000000000" w:firstRow="0" w:lastRow="0" w:firstColumn="1" w:lastColumn="0" w:oddVBand="0" w:evenVBand="0" w:oddHBand="0" w:evenHBand="0" w:firstRowFirstColumn="0" w:firstRowLastColumn="0" w:lastRowFirstColumn="0" w:lastRowLastColumn="0"/>
            <w:tcW w:w="2929" w:type="dxa"/>
            <w:tcBorders>
              <w:top w:val="nil"/>
              <w:left w:val="nil"/>
              <w:right w:val="nil"/>
            </w:tcBorders>
            <w:shd w:val="clear" w:color="auto" w:fill="FFFFFF"/>
          </w:tcPr>
          <w:p w14:paraId="44BE20D8" w14:textId="77777777" w:rsidR="00460A8A" w:rsidRDefault="00460A8A" w:rsidP="007F19D8">
            <w:pPr>
              <w:pStyle w:val="NoSpacing"/>
              <w:rPr>
                <w:rFonts w:ascii="Times New Roman" w:hAnsi="Times New Roman"/>
                <w:b w:val="0"/>
                <w:bCs w:val="0"/>
                <w:sz w:val="20"/>
                <w:szCs w:val="20"/>
              </w:rPr>
            </w:pPr>
          </w:p>
        </w:tc>
        <w:tc>
          <w:tcPr>
            <w:tcW w:w="2947" w:type="dxa"/>
            <w:tcBorders>
              <w:top w:val="nil"/>
              <w:right w:val="nil"/>
            </w:tcBorders>
            <w:shd w:val="clear" w:color="auto" w:fill="FFFFFF"/>
          </w:tcPr>
          <w:p w14:paraId="4CFECDE4" w14:textId="77777777" w:rsidR="00460A8A" w:rsidRDefault="00957453"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Total</w:t>
            </w:r>
          </w:p>
        </w:tc>
        <w:tc>
          <w:tcPr>
            <w:tcW w:w="1127" w:type="dxa"/>
            <w:tcBorders>
              <w:top w:val="nil"/>
              <w:right w:val="nil"/>
            </w:tcBorders>
            <w:shd w:val="clear" w:color="auto" w:fill="FFFFFF"/>
          </w:tcPr>
          <w:p w14:paraId="662D9258" w14:textId="77777777" w:rsidR="00460A8A" w:rsidRDefault="00460A8A"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169" w:type="dxa"/>
            <w:tcBorders>
              <w:top w:val="nil"/>
              <w:right w:val="nil"/>
            </w:tcBorders>
            <w:shd w:val="clear" w:color="auto" w:fill="FFFFFF"/>
          </w:tcPr>
          <w:p w14:paraId="7D543718" w14:textId="77777777" w:rsidR="00460A8A" w:rsidRDefault="00460A8A" w:rsidP="007F19D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0575BFFB" w14:textId="77777777" w:rsidR="00460A8A" w:rsidRDefault="00460A8A">
      <w:pPr>
        <w:pStyle w:val="NoSpacing"/>
        <w:rPr>
          <w:rFonts w:ascii="Times New Roman" w:hAnsi="Times New Roman"/>
          <w:sz w:val="20"/>
          <w:szCs w:val="20"/>
        </w:rPr>
      </w:pPr>
    </w:p>
    <w:p w14:paraId="1152C605" w14:textId="77777777" w:rsidR="00460A8A" w:rsidRDefault="00957453">
      <w:pPr>
        <w:pStyle w:val="NoSpacing"/>
        <w:rPr>
          <w:rFonts w:ascii="Times New Roman" w:hAnsi="Times New Roman"/>
          <w:sz w:val="20"/>
          <w:szCs w:val="20"/>
        </w:rPr>
      </w:pPr>
      <w:r>
        <w:rPr>
          <w:rFonts w:ascii="Times New Roman" w:hAnsi="Times New Roman"/>
          <w:sz w:val="20"/>
          <w:szCs w:val="20"/>
        </w:rPr>
        <w:t xml:space="preserve">Sociodemographic and reproductive factors such as age, marital status, number of pregnancies, age at first sexual intercourse, number of sexual partners, and HPV infection status were found to be associated with lesion presence. </w:t>
      </w:r>
    </w:p>
    <w:p w14:paraId="2F836C62" w14:textId="77777777" w:rsidR="00460A8A" w:rsidRDefault="00460A8A">
      <w:pPr>
        <w:spacing w:after="0" w:line="360" w:lineRule="auto"/>
        <w:jc w:val="both"/>
        <w:rPr>
          <w:rFonts w:ascii="Times New Roman" w:hAnsi="Times New Roman"/>
          <w:b/>
          <w:sz w:val="24"/>
          <w:szCs w:val="24"/>
        </w:rPr>
      </w:pPr>
    </w:p>
    <w:p w14:paraId="5FE1B8C7" w14:textId="77777777" w:rsidR="00460A8A" w:rsidRDefault="00460A8A">
      <w:pPr>
        <w:spacing w:after="0" w:line="240" w:lineRule="auto"/>
        <w:jc w:val="both"/>
        <w:rPr>
          <w:rFonts w:ascii="Times New Roman" w:hAnsi="Times New Roman"/>
          <w:b/>
          <w:i/>
          <w:sz w:val="24"/>
          <w:szCs w:val="24"/>
        </w:rPr>
      </w:pPr>
    </w:p>
    <w:p w14:paraId="717A8793" w14:textId="77777777" w:rsidR="00460A8A" w:rsidRDefault="00957453">
      <w:pPr>
        <w:spacing w:after="160" w:line="259" w:lineRule="auto"/>
        <w:rPr>
          <w:rFonts w:ascii="Times New Roman" w:hAnsi="Times New Roman"/>
          <w:sz w:val="24"/>
          <w:szCs w:val="24"/>
        </w:rPr>
      </w:pPr>
      <w:r>
        <w:rPr>
          <w:rFonts w:ascii="Times New Roman" w:hAnsi="Times New Roman"/>
          <w:sz w:val="24"/>
          <w:szCs w:val="24"/>
        </w:rPr>
        <w:br w:type="page"/>
      </w:r>
    </w:p>
    <w:p w14:paraId="04B01814" w14:textId="77777777" w:rsidR="00460A8A" w:rsidRDefault="00957453">
      <w:pPr>
        <w:spacing w:after="0" w:line="240" w:lineRule="auto"/>
        <w:jc w:val="both"/>
        <w:rPr>
          <w:rFonts w:ascii="Times New Roman" w:hAnsi="Times New Roman"/>
          <w:sz w:val="24"/>
          <w:szCs w:val="24"/>
        </w:rPr>
      </w:pPr>
      <w:r w:rsidRPr="007F19D8">
        <w:rPr>
          <w:rFonts w:ascii="Times New Roman" w:hAnsi="Times New Roman"/>
          <w:b/>
          <w:bCs/>
          <w:sz w:val="24"/>
          <w:szCs w:val="24"/>
        </w:rPr>
        <w:lastRenderedPageBreak/>
        <w:t>Table 3</w:t>
      </w:r>
      <w:r>
        <w:rPr>
          <w:rFonts w:ascii="Times New Roman" w:hAnsi="Times New Roman"/>
          <w:sz w:val="24"/>
          <w:szCs w:val="24"/>
        </w:rPr>
        <w:t xml:space="preserve">: Ordinal Logistic Regression Analysis of the Correlation between Immunological Parameters (CD4+ Count and Viral Load) and the Severity of Cervical Lesions in HIV-Positive Women </w:t>
      </w:r>
    </w:p>
    <w:tbl>
      <w:tblPr>
        <w:tblStyle w:val="ListTable6Colorfu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55"/>
        <w:gridCol w:w="1545"/>
        <w:gridCol w:w="1475"/>
        <w:gridCol w:w="1318"/>
        <w:gridCol w:w="961"/>
        <w:gridCol w:w="2463"/>
      </w:tblGrid>
      <w:tr w:rsidR="00460A8A" w14:paraId="7E2D350F" w14:textId="77777777" w:rsidTr="00460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gridSpan w:val="2"/>
            <w:tcBorders>
              <w:left w:val="nil"/>
              <w:bottom w:val="single" w:sz="4" w:space="0" w:color="auto"/>
              <w:right w:val="nil"/>
            </w:tcBorders>
            <w:shd w:val="clear" w:color="auto" w:fill="FFFFFF"/>
          </w:tcPr>
          <w:p w14:paraId="72986C89" w14:textId="77777777" w:rsidR="00460A8A" w:rsidRDefault="00957453">
            <w:pPr>
              <w:pStyle w:val="NoSpacing"/>
              <w:rPr>
                <w:rFonts w:ascii="Times New Roman" w:hAnsi="Times New Roman"/>
                <w:b w:val="0"/>
                <w:bCs w:val="0"/>
              </w:rPr>
            </w:pPr>
            <w:r>
              <w:rPr>
                <w:rFonts w:ascii="Times New Roman" w:hAnsi="Times New Roman"/>
              </w:rPr>
              <w:t xml:space="preserve">Predictor </w:t>
            </w:r>
          </w:p>
        </w:tc>
        <w:tc>
          <w:tcPr>
            <w:tcW w:w="1475" w:type="dxa"/>
            <w:tcBorders>
              <w:left w:val="nil"/>
              <w:bottom w:val="single" w:sz="4" w:space="0" w:color="auto"/>
              <w:right w:val="nil"/>
            </w:tcBorders>
            <w:shd w:val="clear" w:color="auto" w:fill="FFFFFF"/>
          </w:tcPr>
          <w:p w14:paraId="5C88C997" w14:textId="77777777" w:rsidR="00460A8A" w:rsidRDefault="00957453">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Estimate (B)</w:t>
            </w:r>
          </w:p>
        </w:tc>
        <w:tc>
          <w:tcPr>
            <w:tcW w:w="1318" w:type="dxa"/>
            <w:tcBorders>
              <w:left w:val="nil"/>
              <w:bottom w:val="single" w:sz="4" w:space="0" w:color="auto"/>
              <w:right w:val="nil"/>
            </w:tcBorders>
            <w:shd w:val="clear" w:color="auto" w:fill="FFFFFF"/>
          </w:tcPr>
          <w:p w14:paraId="06AA8F95" w14:textId="77777777" w:rsidR="00460A8A" w:rsidRDefault="00957453">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Std. Error</w:t>
            </w:r>
          </w:p>
        </w:tc>
        <w:tc>
          <w:tcPr>
            <w:tcW w:w="961" w:type="dxa"/>
            <w:tcBorders>
              <w:left w:val="nil"/>
              <w:bottom w:val="single" w:sz="4" w:space="0" w:color="auto"/>
              <w:right w:val="nil"/>
            </w:tcBorders>
            <w:shd w:val="clear" w:color="auto" w:fill="FFFFFF"/>
          </w:tcPr>
          <w:p w14:paraId="585305EB" w14:textId="77777777" w:rsidR="00460A8A" w:rsidRDefault="00957453">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Ward</w:t>
            </w:r>
          </w:p>
        </w:tc>
        <w:tc>
          <w:tcPr>
            <w:tcW w:w="2463" w:type="dxa"/>
            <w:tcBorders>
              <w:left w:val="nil"/>
              <w:bottom w:val="single" w:sz="4" w:space="0" w:color="auto"/>
              <w:right w:val="nil"/>
            </w:tcBorders>
            <w:shd w:val="clear" w:color="auto" w:fill="FFFFFF"/>
          </w:tcPr>
          <w:p w14:paraId="0416EA75" w14:textId="77777777" w:rsidR="00460A8A" w:rsidRDefault="00957453">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Decision</w:t>
            </w:r>
          </w:p>
        </w:tc>
      </w:tr>
      <w:tr w:rsidR="00460A8A" w14:paraId="2CACE2D1" w14:textId="77777777" w:rsidTr="00460A8A">
        <w:tc>
          <w:tcPr>
            <w:cnfStyle w:val="001000000000" w:firstRow="0" w:lastRow="0" w:firstColumn="1" w:lastColumn="0" w:oddVBand="0" w:evenVBand="0" w:oddHBand="0" w:evenHBand="0" w:firstRowFirstColumn="0" w:firstRowLastColumn="0" w:lastRowFirstColumn="0" w:lastRowLastColumn="0"/>
            <w:tcW w:w="1255" w:type="dxa"/>
            <w:tcBorders>
              <w:left w:val="nil"/>
              <w:bottom w:val="nil"/>
              <w:right w:val="nil"/>
            </w:tcBorders>
            <w:shd w:val="clear" w:color="auto" w:fill="FFFFFF"/>
          </w:tcPr>
          <w:p w14:paraId="2759873F" w14:textId="77777777" w:rsidR="00460A8A" w:rsidRDefault="00957453">
            <w:pPr>
              <w:pStyle w:val="NoSpacing"/>
              <w:rPr>
                <w:rFonts w:ascii="Times New Roman" w:hAnsi="Times New Roman"/>
                <w:b w:val="0"/>
                <w:bCs w:val="0"/>
              </w:rPr>
            </w:pPr>
            <w:r>
              <w:rPr>
                <w:rFonts w:ascii="Times New Roman" w:hAnsi="Times New Roman"/>
              </w:rPr>
              <w:t>Threshold</w:t>
            </w:r>
          </w:p>
        </w:tc>
        <w:tc>
          <w:tcPr>
            <w:tcW w:w="1545" w:type="dxa"/>
            <w:tcBorders>
              <w:left w:val="nil"/>
              <w:bottom w:val="nil"/>
              <w:right w:val="nil"/>
            </w:tcBorders>
            <w:shd w:val="clear" w:color="auto" w:fill="FFFFFF"/>
          </w:tcPr>
          <w:p w14:paraId="30A64D09"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[Severity = 1] </w:t>
            </w:r>
          </w:p>
        </w:tc>
        <w:tc>
          <w:tcPr>
            <w:tcW w:w="1475" w:type="dxa"/>
            <w:tcBorders>
              <w:left w:val="nil"/>
              <w:bottom w:val="nil"/>
              <w:right w:val="nil"/>
            </w:tcBorders>
            <w:shd w:val="clear" w:color="auto" w:fill="FFFFFF"/>
          </w:tcPr>
          <w:p w14:paraId="76E6213E"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-31.237</w:t>
            </w:r>
          </w:p>
        </w:tc>
        <w:tc>
          <w:tcPr>
            <w:tcW w:w="1318" w:type="dxa"/>
            <w:tcBorders>
              <w:left w:val="nil"/>
              <w:bottom w:val="nil"/>
              <w:right w:val="nil"/>
            </w:tcBorders>
            <w:shd w:val="clear" w:color="auto" w:fill="FFFFFF"/>
          </w:tcPr>
          <w:p w14:paraId="75963298"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2285.096</w:t>
            </w:r>
          </w:p>
        </w:tc>
        <w:tc>
          <w:tcPr>
            <w:tcW w:w="961" w:type="dxa"/>
            <w:tcBorders>
              <w:left w:val="nil"/>
              <w:bottom w:val="nil"/>
              <w:right w:val="nil"/>
            </w:tcBorders>
            <w:shd w:val="clear" w:color="auto" w:fill="FFFFFF"/>
          </w:tcPr>
          <w:p w14:paraId="1E1FE0CA"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.000</w:t>
            </w:r>
          </w:p>
        </w:tc>
        <w:tc>
          <w:tcPr>
            <w:tcW w:w="2463" w:type="dxa"/>
            <w:tcBorders>
              <w:left w:val="nil"/>
              <w:bottom w:val="nil"/>
              <w:right w:val="nil"/>
            </w:tcBorders>
            <w:shd w:val="clear" w:color="auto" w:fill="FFFFFF"/>
          </w:tcPr>
          <w:p w14:paraId="47FF6AB1" w14:textId="77777777" w:rsidR="00460A8A" w:rsidRDefault="00460A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60A8A" w14:paraId="41436D56" w14:textId="77777777" w:rsidTr="00460A8A">
        <w:tc>
          <w:tcPr>
            <w:cnfStyle w:val="001000000000" w:firstRow="0" w:lastRow="0" w:firstColumn="1" w:lastColumn="0" w:oddVBand="0" w:evenVBand="0" w:oddHBand="0" w:evenHBand="0" w:firstRowFirstColumn="0" w:firstRowLastColumn="0" w:lastRowFirstColumn="0" w:lastRowLastColumn="0"/>
            <w:tcW w:w="1255" w:type="dxa"/>
            <w:tcBorders>
              <w:top w:val="nil"/>
              <w:left w:val="nil"/>
              <w:bottom w:val="nil"/>
              <w:right w:val="nil"/>
            </w:tcBorders>
            <w:shd w:val="clear" w:color="auto" w:fill="FFFFFF"/>
          </w:tcPr>
          <w:p w14:paraId="7F862F95" w14:textId="77777777" w:rsidR="00460A8A" w:rsidRDefault="00460A8A">
            <w:pPr>
              <w:pStyle w:val="NoSpacing"/>
              <w:rPr>
                <w:rFonts w:ascii="Times New Roman" w:hAnsi="Times New Roman"/>
                <w:b w:val="0"/>
                <w:bCs w:val="0"/>
              </w:rPr>
            </w:pPr>
          </w:p>
        </w:tc>
        <w:tc>
          <w:tcPr>
            <w:tcW w:w="1545" w:type="dxa"/>
            <w:tcBorders>
              <w:top w:val="nil"/>
              <w:left w:val="nil"/>
              <w:bottom w:val="nil"/>
              <w:right w:val="nil"/>
            </w:tcBorders>
            <w:shd w:val="clear" w:color="auto" w:fill="FFFFFF"/>
          </w:tcPr>
          <w:p w14:paraId="59DC6827"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[Severity =2]</w:t>
            </w:r>
          </w:p>
        </w:tc>
        <w:tc>
          <w:tcPr>
            <w:tcW w:w="1475" w:type="dxa"/>
            <w:tcBorders>
              <w:top w:val="nil"/>
              <w:left w:val="nil"/>
              <w:bottom w:val="nil"/>
              <w:right w:val="nil"/>
            </w:tcBorders>
            <w:shd w:val="clear" w:color="auto" w:fill="FFFFFF"/>
          </w:tcPr>
          <w:p w14:paraId="77949846"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-29.010</w:t>
            </w:r>
          </w:p>
        </w:tc>
        <w:tc>
          <w:tcPr>
            <w:tcW w:w="1318" w:type="dxa"/>
            <w:tcBorders>
              <w:top w:val="nil"/>
              <w:left w:val="nil"/>
              <w:bottom w:val="nil"/>
              <w:right w:val="nil"/>
            </w:tcBorders>
            <w:shd w:val="clear" w:color="auto" w:fill="FFFFFF"/>
          </w:tcPr>
          <w:p w14:paraId="1AA2BC27"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2285.096</w:t>
            </w:r>
          </w:p>
        </w:tc>
        <w:tc>
          <w:tcPr>
            <w:tcW w:w="961" w:type="dxa"/>
            <w:tcBorders>
              <w:top w:val="nil"/>
              <w:left w:val="nil"/>
              <w:bottom w:val="nil"/>
              <w:right w:val="nil"/>
            </w:tcBorders>
            <w:shd w:val="clear" w:color="auto" w:fill="FFFFFF"/>
          </w:tcPr>
          <w:p w14:paraId="7018EE6B"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.000</w:t>
            </w:r>
          </w:p>
        </w:tc>
        <w:tc>
          <w:tcPr>
            <w:tcW w:w="2463" w:type="dxa"/>
            <w:tcBorders>
              <w:top w:val="nil"/>
              <w:left w:val="nil"/>
              <w:bottom w:val="nil"/>
              <w:right w:val="nil"/>
            </w:tcBorders>
            <w:shd w:val="clear" w:color="auto" w:fill="FFFFFF"/>
          </w:tcPr>
          <w:p w14:paraId="077F7F4D" w14:textId="77777777" w:rsidR="00460A8A" w:rsidRDefault="00460A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60A8A" w14:paraId="1242C29E" w14:textId="77777777" w:rsidTr="00460A8A">
        <w:tc>
          <w:tcPr>
            <w:cnfStyle w:val="001000000000" w:firstRow="0" w:lastRow="0" w:firstColumn="1" w:lastColumn="0" w:oddVBand="0" w:evenVBand="0" w:oddHBand="0" w:evenHBand="0" w:firstRowFirstColumn="0" w:firstRowLastColumn="0" w:lastRowFirstColumn="0" w:lastRowLastColumn="0"/>
            <w:tcW w:w="1255" w:type="dxa"/>
            <w:tcBorders>
              <w:top w:val="nil"/>
              <w:left w:val="nil"/>
              <w:bottom w:val="single" w:sz="4" w:space="0" w:color="auto"/>
              <w:right w:val="nil"/>
            </w:tcBorders>
            <w:shd w:val="clear" w:color="auto" w:fill="FFFFFF"/>
          </w:tcPr>
          <w:p w14:paraId="52C65734" w14:textId="77777777" w:rsidR="00460A8A" w:rsidRDefault="00460A8A">
            <w:pPr>
              <w:pStyle w:val="NoSpacing"/>
              <w:rPr>
                <w:rFonts w:ascii="Times New Roman" w:hAnsi="Times New Roman"/>
                <w:b w:val="0"/>
                <w:bCs w:val="0"/>
              </w:rPr>
            </w:pPr>
          </w:p>
        </w:tc>
        <w:tc>
          <w:tcPr>
            <w:tcW w:w="1545" w:type="dxa"/>
            <w:tcBorders>
              <w:top w:val="nil"/>
              <w:left w:val="nil"/>
              <w:bottom w:val="single" w:sz="4" w:space="0" w:color="auto"/>
              <w:right w:val="nil"/>
            </w:tcBorders>
            <w:shd w:val="clear" w:color="auto" w:fill="FFFFFF"/>
          </w:tcPr>
          <w:p w14:paraId="1E0C535D"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[Severity =3/]</w:t>
            </w:r>
          </w:p>
        </w:tc>
        <w:tc>
          <w:tcPr>
            <w:tcW w:w="1475" w:type="dxa"/>
            <w:tcBorders>
              <w:top w:val="nil"/>
              <w:left w:val="nil"/>
              <w:bottom w:val="single" w:sz="4" w:space="0" w:color="auto"/>
              <w:right w:val="nil"/>
            </w:tcBorders>
            <w:shd w:val="clear" w:color="auto" w:fill="FFFFFF"/>
          </w:tcPr>
          <w:p w14:paraId="59E6D8B9"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3.395</w:t>
            </w:r>
          </w:p>
        </w:tc>
        <w:tc>
          <w:tcPr>
            <w:tcW w:w="1318" w:type="dxa"/>
            <w:tcBorders>
              <w:top w:val="nil"/>
              <w:left w:val="nil"/>
              <w:bottom w:val="single" w:sz="4" w:space="0" w:color="auto"/>
              <w:right w:val="nil"/>
            </w:tcBorders>
            <w:shd w:val="clear" w:color="auto" w:fill="FFFFFF"/>
          </w:tcPr>
          <w:p w14:paraId="0815050E"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2284.261</w:t>
            </w:r>
          </w:p>
        </w:tc>
        <w:tc>
          <w:tcPr>
            <w:tcW w:w="961" w:type="dxa"/>
            <w:tcBorders>
              <w:top w:val="nil"/>
              <w:left w:val="nil"/>
              <w:bottom w:val="single" w:sz="4" w:space="0" w:color="auto"/>
              <w:right w:val="nil"/>
            </w:tcBorders>
            <w:shd w:val="clear" w:color="auto" w:fill="FFFFFF"/>
          </w:tcPr>
          <w:p w14:paraId="296FA761"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.000</w:t>
            </w:r>
          </w:p>
        </w:tc>
        <w:tc>
          <w:tcPr>
            <w:tcW w:w="2463" w:type="dxa"/>
            <w:tcBorders>
              <w:top w:val="nil"/>
              <w:left w:val="nil"/>
              <w:bottom w:val="single" w:sz="4" w:space="0" w:color="auto"/>
              <w:right w:val="nil"/>
            </w:tcBorders>
            <w:shd w:val="clear" w:color="auto" w:fill="FFFFFF"/>
          </w:tcPr>
          <w:p w14:paraId="3B74FE0B" w14:textId="77777777" w:rsidR="00460A8A" w:rsidRDefault="00460A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460A8A" w14:paraId="09D84637" w14:textId="77777777" w:rsidTr="00460A8A">
        <w:tc>
          <w:tcPr>
            <w:cnfStyle w:val="001000000000" w:firstRow="0" w:lastRow="0" w:firstColumn="1" w:lastColumn="0" w:oddVBand="0" w:evenVBand="0" w:oddHBand="0" w:evenHBand="0" w:firstRowFirstColumn="0" w:firstRowLastColumn="0" w:lastRowFirstColumn="0" w:lastRowLastColumn="0"/>
            <w:tcW w:w="1255" w:type="dxa"/>
            <w:tcBorders>
              <w:left w:val="nil"/>
              <w:bottom w:val="nil"/>
              <w:right w:val="nil"/>
            </w:tcBorders>
            <w:shd w:val="clear" w:color="auto" w:fill="FFFFFF"/>
          </w:tcPr>
          <w:p w14:paraId="2630D9FA" w14:textId="77777777" w:rsidR="00460A8A" w:rsidRDefault="00957453">
            <w:pPr>
              <w:pStyle w:val="NoSpacing"/>
              <w:rPr>
                <w:rFonts w:ascii="Times New Roman" w:hAnsi="Times New Roman"/>
                <w:b w:val="0"/>
                <w:bCs w:val="0"/>
              </w:rPr>
            </w:pPr>
            <w:r>
              <w:rPr>
                <w:rFonts w:ascii="Times New Roman" w:hAnsi="Times New Roman"/>
              </w:rPr>
              <w:t>Location</w:t>
            </w:r>
          </w:p>
        </w:tc>
        <w:tc>
          <w:tcPr>
            <w:tcW w:w="1545" w:type="dxa"/>
            <w:tcBorders>
              <w:left w:val="nil"/>
              <w:bottom w:val="nil"/>
              <w:right w:val="nil"/>
            </w:tcBorders>
            <w:shd w:val="clear" w:color="auto" w:fill="FFFFFF"/>
          </w:tcPr>
          <w:p w14:paraId="3B271699"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CD4+ Count</w:t>
            </w:r>
          </w:p>
        </w:tc>
        <w:tc>
          <w:tcPr>
            <w:tcW w:w="1475" w:type="dxa"/>
            <w:tcBorders>
              <w:left w:val="nil"/>
              <w:bottom w:val="nil"/>
              <w:right w:val="nil"/>
            </w:tcBorders>
            <w:shd w:val="clear" w:color="auto" w:fill="FFFFFF"/>
          </w:tcPr>
          <w:p w14:paraId="659AD00F"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2.715</w:t>
            </w:r>
          </w:p>
        </w:tc>
        <w:tc>
          <w:tcPr>
            <w:tcW w:w="1318" w:type="dxa"/>
            <w:tcBorders>
              <w:left w:val="nil"/>
              <w:bottom w:val="nil"/>
              <w:right w:val="nil"/>
            </w:tcBorders>
            <w:shd w:val="clear" w:color="auto" w:fill="FFFFFF"/>
          </w:tcPr>
          <w:p w14:paraId="7F2CBF8A"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2.479</w:t>
            </w:r>
          </w:p>
        </w:tc>
        <w:tc>
          <w:tcPr>
            <w:tcW w:w="961" w:type="dxa"/>
            <w:tcBorders>
              <w:left w:val="nil"/>
              <w:bottom w:val="nil"/>
              <w:right w:val="nil"/>
            </w:tcBorders>
            <w:shd w:val="clear" w:color="auto" w:fill="FFFFFF"/>
          </w:tcPr>
          <w:p w14:paraId="72BD0724"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1.199</w:t>
            </w:r>
          </w:p>
        </w:tc>
        <w:tc>
          <w:tcPr>
            <w:tcW w:w="2463" w:type="dxa"/>
            <w:tcBorders>
              <w:left w:val="nil"/>
              <w:bottom w:val="nil"/>
              <w:right w:val="nil"/>
            </w:tcBorders>
            <w:shd w:val="clear" w:color="auto" w:fill="FFFFFF"/>
          </w:tcPr>
          <w:p w14:paraId="58C7F393" w14:textId="35BB847A" w:rsidR="00460A8A" w:rsidRDefault="00D8009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Very Strong Positive Association</w:t>
            </w:r>
          </w:p>
        </w:tc>
      </w:tr>
      <w:tr w:rsidR="00460A8A" w14:paraId="329A8D8D" w14:textId="77777777" w:rsidTr="00460A8A">
        <w:tc>
          <w:tcPr>
            <w:cnfStyle w:val="001000000000" w:firstRow="0" w:lastRow="0" w:firstColumn="1" w:lastColumn="0" w:oddVBand="0" w:evenVBand="0" w:oddHBand="0" w:evenHBand="0" w:firstRowFirstColumn="0" w:firstRowLastColumn="0" w:lastRowFirstColumn="0" w:lastRowLastColumn="0"/>
            <w:tcW w:w="1255" w:type="dxa"/>
            <w:tcBorders>
              <w:top w:val="nil"/>
              <w:left w:val="nil"/>
              <w:right w:val="nil"/>
            </w:tcBorders>
            <w:shd w:val="clear" w:color="auto" w:fill="FFFFFF"/>
          </w:tcPr>
          <w:p w14:paraId="490A7077" w14:textId="77777777" w:rsidR="00460A8A" w:rsidRDefault="00460A8A">
            <w:pPr>
              <w:pStyle w:val="NoSpacing"/>
              <w:rPr>
                <w:rFonts w:ascii="Times New Roman" w:hAnsi="Times New Roman"/>
                <w:b w:val="0"/>
                <w:bCs w:val="0"/>
              </w:rPr>
            </w:pPr>
          </w:p>
        </w:tc>
        <w:tc>
          <w:tcPr>
            <w:tcW w:w="1545" w:type="dxa"/>
            <w:tcBorders>
              <w:top w:val="nil"/>
              <w:left w:val="nil"/>
              <w:right w:val="nil"/>
            </w:tcBorders>
            <w:shd w:val="clear" w:color="auto" w:fill="FFFFFF"/>
          </w:tcPr>
          <w:p w14:paraId="30895FD2"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Viral Load</w:t>
            </w:r>
          </w:p>
        </w:tc>
        <w:tc>
          <w:tcPr>
            <w:tcW w:w="1475" w:type="dxa"/>
            <w:tcBorders>
              <w:top w:val="nil"/>
              <w:left w:val="nil"/>
              <w:right w:val="nil"/>
            </w:tcBorders>
            <w:shd w:val="clear" w:color="auto" w:fill="FFFFFF"/>
          </w:tcPr>
          <w:p w14:paraId="212DC5EB"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.001</w:t>
            </w:r>
          </w:p>
        </w:tc>
        <w:tc>
          <w:tcPr>
            <w:tcW w:w="1318" w:type="dxa"/>
            <w:tcBorders>
              <w:top w:val="nil"/>
              <w:left w:val="nil"/>
              <w:right w:val="nil"/>
            </w:tcBorders>
            <w:shd w:val="clear" w:color="auto" w:fill="FFFFFF"/>
          </w:tcPr>
          <w:p w14:paraId="740E9EE9"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.005</w:t>
            </w:r>
          </w:p>
        </w:tc>
        <w:tc>
          <w:tcPr>
            <w:tcW w:w="961" w:type="dxa"/>
            <w:tcBorders>
              <w:top w:val="nil"/>
              <w:left w:val="nil"/>
              <w:right w:val="nil"/>
            </w:tcBorders>
            <w:shd w:val="clear" w:color="auto" w:fill="FFFFFF"/>
          </w:tcPr>
          <w:p w14:paraId="6FF348FA"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.035</w:t>
            </w:r>
          </w:p>
        </w:tc>
        <w:tc>
          <w:tcPr>
            <w:tcW w:w="2463" w:type="dxa"/>
            <w:tcBorders>
              <w:top w:val="nil"/>
              <w:left w:val="nil"/>
              <w:right w:val="nil"/>
            </w:tcBorders>
            <w:shd w:val="clear" w:color="auto" w:fill="FFFFFF"/>
          </w:tcPr>
          <w:p w14:paraId="6343943B"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Weak Positive Association</w:t>
            </w:r>
          </w:p>
        </w:tc>
      </w:tr>
    </w:tbl>
    <w:p w14:paraId="6E352633" w14:textId="77777777" w:rsidR="00460A8A" w:rsidRDefault="00957453">
      <w:pPr>
        <w:pStyle w:val="NoSpacing"/>
        <w:rPr>
          <w:rFonts w:ascii="Times New Roman" w:hAnsi="Times New Roman"/>
          <w:sz w:val="20"/>
          <w:szCs w:val="20"/>
        </w:rPr>
      </w:pPr>
      <w:r>
        <w:rPr>
          <w:rFonts w:ascii="Times New Roman" w:hAnsi="Times New Roman"/>
          <w:sz w:val="20"/>
          <w:szCs w:val="20"/>
        </w:rPr>
        <w:t>Ordinal logistic regression revealed a strong positive association between CD4+ count and lesion severity (B = 2.715), indicating higher CD4+ count was associated with less severe lesions. Viral load showed a weak positive association (B = 0.001), but the overall correlation was not statistically significant (p &gt; .05).</w:t>
      </w:r>
    </w:p>
    <w:p w14:paraId="0807536A" w14:textId="77777777" w:rsidR="00460A8A" w:rsidRDefault="00460A8A">
      <w:pPr>
        <w:spacing w:line="360" w:lineRule="auto"/>
        <w:jc w:val="both"/>
        <w:rPr>
          <w:rFonts w:ascii="Times New Roman" w:hAnsi="Times New Roman"/>
          <w:sz w:val="24"/>
          <w:szCs w:val="24"/>
        </w:rPr>
      </w:pPr>
    </w:p>
    <w:p w14:paraId="1C17B7BE" w14:textId="77777777" w:rsidR="00460A8A" w:rsidRDefault="00957453">
      <w:pPr>
        <w:spacing w:after="0" w:line="240" w:lineRule="auto"/>
        <w:jc w:val="both"/>
        <w:rPr>
          <w:rFonts w:ascii="Times New Roman" w:hAnsi="Times New Roman"/>
          <w:sz w:val="24"/>
          <w:szCs w:val="24"/>
        </w:rPr>
      </w:pPr>
      <w:r w:rsidRPr="007F19D8">
        <w:rPr>
          <w:rFonts w:ascii="Times New Roman" w:hAnsi="Times New Roman"/>
          <w:b/>
          <w:bCs/>
          <w:sz w:val="24"/>
          <w:szCs w:val="24"/>
        </w:rPr>
        <w:t>Table 4</w:t>
      </w:r>
      <w:r>
        <w:rPr>
          <w:rFonts w:ascii="Times New Roman" w:hAnsi="Times New Roman"/>
          <w:sz w:val="24"/>
          <w:szCs w:val="24"/>
        </w:rPr>
        <w:t>: Analysis on how Antiretroviral Therapy (Duration and Regimen) Influence the Occurrence and Progression of Cervical Lesions in HIV-Positive Women</w:t>
      </w:r>
    </w:p>
    <w:tbl>
      <w:tblPr>
        <w:tblStyle w:val="ListTable6Colorful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50"/>
        <w:gridCol w:w="3240"/>
        <w:gridCol w:w="1525"/>
        <w:gridCol w:w="1530"/>
      </w:tblGrid>
      <w:tr w:rsidR="00460A8A" w14:paraId="7170AED9" w14:textId="77777777" w:rsidTr="00460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left w:val="nil"/>
              <w:bottom w:val="single" w:sz="4" w:space="0" w:color="auto"/>
              <w:right w:val="nil"/>
            </w:tcBorders>
            <w:shd w:val="clear" w:color="auto" w:fill="FFFFFF"/>
          </w:tcPr>
          <w:p w14:paraId="54F0AA45" w14:textId="77777777" w:rsidR="00460A8A" w:rsidRDefault="00957453">
            <w:pPr>
              <w:pStyle w:val="NoSpacing"/>
              <w:rPr>
                <w:rFonts w:ascii="Times New Roman" w:hAnsi="Times New Roman"/>
                <w:b w:val="0"/>
                <w:bCs w:val="0"/>
              </w:rPr>
            </w:pPr>
            <w:r>
              <w:rPr>
                <w:rFonts w:ascii="Times New Roman" w:hAnsi="Times New Roman"/>
              </w:rPr>
              <w:t>Influence of Antiretroviral Therapy</w:t>
            </w:r>
          </w:p>
        </w:tc>
        <w:tc>
          <w:tcPr>
            <w:tcW w:w="3240" w:type="dxa"/>
            <w:tcBorders>
              <w:left w:val="nil"/>
              <w:bottom w:val="single" w:sz="4" w:space="0" w:color="auto"/>
              <w:right w:val="nil"/>
            </w:tcBorders>
            <w:shd w:val="clear" w:color="auto" w:fill="FFFFFF"/>
          </w:tcPr>
          <w:p w14:paraId="2FC10663" w14:textId="77777777" w:rsidR="00460A8A" w:rsidRDefault="00957453">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Levels of Occurrence and Progression</w:t>
            </w:r>
          </w:p>
        </w:tc>
        <w:tc>
          <w:tcPr>
            <w:tcW w:w="1525" w:type="dxa"/>
            <w:tcBorders>
              <w:left w:val="nil"/>
              <w:bottom w:val="single" w:sz="4" w:space="0" w:color="auto"/>
              <w:right w:val="nil"/>
            </w:tcBorders>
            <w:shd w:val="clear" w:color="auto" w:fill="FFFFFF"/>
          </w:tcPr>
          <w:p w14:paraId="1B1EDE55" w14:textId="77777777" w:rsidR="00460A8A" w:rsidRDefault="00957453">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Frequency</w:t>
            </w:r>
          </w:p>
        </w:tc>
        <w:tc>
          <w:tcPr>
            <w:tcW w:w="1530" w:type="dxa"/>
            <w:tcBorders>
              <w:left w:val="nil"/>
              <w:bottom w:val="single" w:sz="4" w:space="0" w:color="auto"/>
              <w:right w:val="nil"/>
            </w:tcBorders>
            <w:shd w:val="clear" w:color="auto" w:fill="FFFFFF"/>
          </w:tcPr>
          <w:p w14:paraId="0A44189B" w14:textId="77777777" w:rsidR="00460A8A" w:rsidRDefault="00957453">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Percentage</w:t>
            </w:r>
          </w:p>
        </w:tc>
      </w:tr>
      <w:tr w:rsidR="00460A8A" w14:paraId="0FA4FBF9" w14:textId="77777777" w:rsidTr="00460A8A">
        <w:tc>
          <w:tcPr>
            <w:cnfStyle w:val="001000000000" w:firstRow="0" w:lastRow="0" w:firstColumn="1" w:lastColumn="0" w:oddVBand="0" w:evenVBand="0" w:oddHBand="0" w:evenHBand="0" w:firstRowFirstColumn="0" w:firstRowLastColumn="0" w:lastRowFirstColumn="0" w:lastRowLastColumn="0"/>
            <w:tcW w:w="3150" w:type="dxa"/>
            <w:tcBorders>
              <w:left w:val="nil"/>
              <w:bottom w:val="nil"/>
              <w:right w:val="nil"/>
            </w:tcBorders>
            <w:shd w:val="clear" w:color="auto" w:fill="FFFFFF"/>
          </w:tcPr>
          <w:p w14:paraId="0AF0B20C" w14:textId="77777777" w:rsidR="00460A8A" w:rsidRDefault="00957453">
            <w:pPr>
              <w:pStyle w:val="NoSpacing"/>
              <w:rPr>
                <w:rFonts w:ascii="Times New Roman" w:hAnsi="Times New Roman"/>
                <w:b w:val="0"/>
                <w:bCs w:val="0"/>
              </w:rPr>
            </w:pPr>
            <w:r>
              <w:rPr>
                <w:rFonts w:ascii="Times New Roman" w:hAnsi="Times New Roman"/>
              </w:rPr>
              <w:t>Occurrence</w:t>
            </w:r>
          </w:p>
        </w:tc>
        <w:tc>
          <w:tcPr>
            <w:tcW w:w="3240" w:type="dxa"/>
            <w:tcBorders>
              <w:left w:val="nil"/>
              <w:bottom w:val="nil"/>
              <w:right w:val="nil"/>
            </w:tcBorders>
            <w:shd w:val="clear" w:color="auto" w:fill="FFFFFF"/>
          </w:tcPr>
          <w:p w14:paraId="4EEB2989"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Immune Restoration</w:t>
            </w:r>
          </w:p>
        </w:tc>
        <w:tc>
          <w:tcPr>
            <w:tcW w:w="1525" w:type="dxa"/>
            <w:tcBorders>
              <w:left w:val="nil"/>
              <w:bottom w:val="nil"/>
              <w:right w:val="nil"/>
            </w:tcBorders>
            <w:shd w:val="clear" w:color="auto" w:fill="FFFFFF"/>
          </w:tcPr>
          <w:p w14:paraId="2EA548EF"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36</w:t>
            </w:r>
          </w:p>
        </w:tc>
        <w:tc>
          <w:tcPr>
            <w:tcW w:w="1530" w:type="dxa"/>
            <w:tcBorders>
              <w:left w:val="nil"/>
              <w:bottom w:val="nil"/>
              <w:right w:val="nil"/>
            </w:tcBorders>
            <w:shd w:val="clear" w:color="auto" w:fill="FFFFFF"/>
          </w:tcPr>
          <w:p w14:paraId="15EBBC56"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59.0</w:t>
            </w:r>
          </w:p>
        </w:tc>
      </w:tr>
      <w:tr w:rsidR="00460A8A" w14:paraId="0F2F0CD2" w14:textId="77777777" w:rsidTr="00460A8A">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nil"/>
              <w:right w:val="nil"/>
            </w:tcBorders>
            <w:shd w:val="clear" w:color="auto" w:fill="FFFFFF"/>
          </w:tcPr>
          <w:p w14:paraId="476332EF" w14:textId="77777777" w:rsidR="00460A8A" w:rsidRDefault="00460A8A">
            <w:pPr>
              <w:pStyle w:val="NoSpacing"/>
              <w:rPr>
                <w:rFonts w:ascii="Times New Roman" w:hAnsi="Times New Roman"/>
                <w:b w:val="0"/>
                <w:bCs w:val="0"/>
              </w:rPr>
            </w:pPr>
          </w:p>
        </w:tc>
        <w:tc>
          <w:tcPr>
            <w:tcW w:w="3240" w:type="dxa"/>
            <w:tcBorders>
              <w:top w:val="nil"/>
              <w:left w:val="nil"/>
              <w:bottom w:val="nil"/>
              <w:right w:val="nil"/>
            </w:tcBorders>
            <w:shd w:val="clear" w:color="auto" w:fill="FFFFFF"/>
          </w:tcPr>
          <w:p w14:paraId="43A5CC7F"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Reduced Risk of New Lesions</w:t>
            </w:r>
          </w:p>
        </w:tc>
        <w:tc>
          <w:tcPr>
            <w:tcW w:w="1525" w:type="dxa"/>
            <w:tcBorders>
              <w:top w:val="nil"/>
              <w:left w:val="nil"/>
              <w:bottom w:val="nil"/>
              <w:right w:val="nil"/>
            </w:tcBorders>
            <w:shd w:val="clear" w:color="auto" w:fill="FFFFFF"/>
          </w:tcPr>
          <w:p w14:paraId="4AA2FD87"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w:t>
            </w:r>
          </w:p>
        </w:tc>
        <w:tc>
          <w:tcPr>
            <w:tcW w:w="1530" w:type="dxa"/>
            <w:tcBorders>
              <w:top w:val="nil"/>
              <w:left w:val="nil"/>
              <w:bottom w:val="nil"/>
              <w:right w:val="nil"/>
            </w:tcBorders>
            <w:shd w:val="clear" w:color="auto" w:fill="FFFFFF"/>
          </w:tcPr>
          <w:p w14:paraId="69E4F244"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33.3</w:t>
            </w:r>
          </w:p>
        </w:tc>
      </w:tr>
      <w:tr w:rsidR="00460A8A" w14:paraId="0A511B61" w14:textId="77777777" w:rsidTr="00460A8A">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nil"/>
              <w:right w:val="nil"/>
            </w:tcBorders>
            <w:shd w:val="clear" w:color="auto" w:fill="FFFFFF"/>
          </w:tcPr>
          <w:p w14:paraId="1B0BA045" w14:textId="77777777" w:rsidR="00460A8A" w:rsidRDefault="00460A8A">
            <w:pPr>
              <w:pStyle w:val="NoSpacing"/>
              <w:rPr>
                <w:rFonts w:ascii="Times New Roman" w:hAnsi="Times New Roman"/>
                <w:b w:val="0"/>
                <w:bCs w:val="0"/>
              </w:rPr>
            </w:pPr>
          </w:p>
        </w:tc>
        <w:tc>
          <w:tcPr>
            <w:tcW w:w="3240" w:type="dxa"/>
            <w:tcBorders>
              <w:top w:val="nil"/>
              <w:left w:val="nil"/>
              <w:bottom w:val="nil"/>
              <w:right w:val="nil"/>
            </w:tcBorders>
            <w:shd w:val="clear" w:color="auto" w:fill="FFFFFF"/>
          </w:tcPr>
          <w:p w14:paraId="28103196"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Early Initiation of ART</w:t>
            </w:r>
          </w:p>
        </w:tc>
        <w:tc>
          <w:tcPr>
            <w:tcW w:w="1525" w:type="dxa"/>
            <w:tcBorders>
              <w:top w:val="nil"/>
              <w:left w:val="nil"/>
              <w:bottom w:val="nil"/>
              <w:right w:val="nil"/>
            </w:tcBorders>
            <w:shd w:val="clear" w:color="auto" w:fill="FFFFFF"/>
          </w:tcPr>
          <w:p w14:paraId="104B1C04"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w:t>
            </w:r>
          </w:p>
        </w:tc>
        <w:tc>
          <w:tcPr>
            <w:tcW w:w="1530" w:type="dxa"/>
            <w:tcBorders>
              <w:top w:val="nil"/>
              <w:left w:val="nil"/>
              <w:bottom w:val="nil"/>
              <w:right w:val="nil"/>
            </w:tcBorders>
            <w:shd w:val="clear" w:color="auto" w:fill="FFFFFF"/>
          </w:tcPr>
          <w:p w14:paraId="2C7E74BC"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8.3</w:t>
            </w:r>
          </w:p>
        </w:tc>
      </w:tr>
      <w:tr w:rsidR="00460A8A" w14:paraId="558A2ED6" w14:textId="77777777" w:rsidTr="00460A8A">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single" w:sz="4" w:space="0" w:color="auto"/>
              <w:right w:val="nil"/>
            </w:tcBorders>
            <w:shd w:val="clear" w:color="auto" w:fill="FFFFFF"/>
          </w:tcPr>
          <w:p w14:paraId="64940BDD" w14:textId="77777777" w:rsidR="00460A8A" w:rsidRDefault="00460A8A">
            <w:pPr>
              <w:pStyle w:val="NoSpacing"/>
              <w:rPr>
                <w:rFonts w:ascii="Times New Roman" w:hAnsi="Times New Roman"/>
                <w:b w:val="0"/>
                <w:bCs w:val="0"/>
              </w:rPr>
            </w:pPr>
          </w:p>
        </w:tc>
        <w:tc>
          <w:tcPr>
            <w:tcW w:w="3240" w:type="dxa"/>
            <w:tcBorders>
              <w:top w:val="nil"/>
              <w:left w:val="nil"/>
              <w:bottom w:val="single" w:sz="4" w:space="0" w:color="auto"/>
              <w:right w:val="nil"/>
            </w:tcBorders>
            <w:shd w:val="clear" w:color="auto" w:fill="FFFFFF"/>
          </w:tcPr>
          <w:p w14:paraId="1E97FCE5"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Total</w:t>
            </w:r>
          </w:p>
        </w:tc>
        <w:tc>
          <w:tcPr>
            <w:tcW w:w="1525" w:type="dxa"/>
            <w:tcBorders>
              <w:top w:val="nil"/>
              <w:left w:val="nil"/>
              <w:bottom w:val="single" w:sz="4" w:space="0" w:color="auto"/>
              <w:right w:val="nil"/>
            </w:tcBorders>
            <w:shd w:val="clear" w:color="auto" w:fill="FFFFFF"/>
            <w:vAlign w:val="center"/>
          </w:tcPr>
          <w:p w14:paraId="47CDAE57"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61</w:t>
            </w:r>
          </w:p>
        </w:tc>
        <w:tc>
          <w:tcPr>
            <w:tcW w:w="1530" w:type="dxa"/>
            <w:tcBorders>
              <w:top w:val="nil"/>
              <w:left w:val="nil"/>
              <w:bottom w:val="single" w:sz="4" w:space="0" w:color="auto"/>
              <w:right w:val="nil"/>
            </w:tcBorders>
            <w:shd w:val="clear" w:color="auto" w:fill="FFFFFF"/>
            <w:vAlign w:val="center"/>
          </w:tcPr>
          <w:p w14:paraId="38A60E95"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100.0</w:t>
            </w:r>
          </w:p>
        </w:tc>
      </w:tr>
      <w:tr w:rsidR="00460A8A" w14:paraId="02314DFC" w14:textId="77777777" w:rsidTr="00460A8A">
        <w:tc>
          <w:tcPr>
            <w:cnfStyle w:val="001000000000" w:firstRow="0" w:lastRow="0" w:firstColumn="1" w:lastColumn="0" w:oddVBand="0" w:evenVBand="0" w:oddHBand="0" w:evenHBand="0" w:firstRowFirstColumn="0" w:firstRowLastColumn="0" w:lastRowFirstColumn="0" w:lastRowLastColumn="0"/>
            <w:tcW w:w="3150" w:type="dxa"/>
            <w:tcBorders>
              <w:left w:val="nil"/>
              <w:bottom w:val="nil"/>
              <w:right w:val="nil"/>
            </w:tcBorders>
            <w:shd w:val="clear" w:color="auto" w:fill="FFFFFF"/>
          </w:tcPr>
          <w:p w14:paraId="3133B73D" w14:textId="77777777" w:rsidR="00460A8A" w:rsidRDefault="00957453">
            <w:pPr>
              <w:pStyle w:val="NoSpacing"/>
              <w:rPr>
                <w:rFonts w:ascii="Times New Roman" w:hAnsi="Times New Roman"/>
                <w:b w:val="0"/>
                <w:bCs w:val="0"/>
              </w:rPr>
            </w:pPr>
            <w:r>
              <w:rPr>
                <w:rFonts w:ascii="Times New Roman" w:hAnsi="Times New Roman"/>
              </w:rPr>
              <w:t>Progression</w:t>
            </w:r>
          </w:p>
        </w:tc>
        <w:tc>
          <w:tcPr>
            <w:tcW w:w="3240" w:type="dxa"/>
            <w:tcBorders>
              <w:left w:val="nil"/>
              <w:bottom w:val="nil"/>
              <w:right w:val="nil"/>
            </w:tcBorders>
            <w:shd w:val="clear" w:color="auto" w:fill="FFFFFF"/>
          </w:tcPr>
          <w:p w14:paraId="28095D6D"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Slow</w:t>
            </w:r>
          </w:p>
        </w:tc>
        <w:tc>
          <w:tcPr>
            <w:tcW w:w="1525" w:type="dxa"/>
            <w:tcBorders>
              <w:left w:val="nil"/>
              <w:bottom w:val="nil"/>
              <w:right w:val="nil"/>
            </w:tcBorders>
            <w:shd w:val="clear" w:color="auto" w:fill="FFFFFF"/>
          </w:tcPr>
          <w:p w14:paraId="0A51F644"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32</w:t>
            </w:r>
          </w:p>
        </w:tc>
        <w:tc>
          <w:tcPr>
            <w:tcW w:w="1530" w:type="dxa"/>
            <w:tcBorders>
              <w:left w:val="nil"/>
              <w:bottom w:val="nil"/>
              <w:right w:val="nil"/>
            </w:tcBorders>
            <w:shd w:val="clear" w:color="auto" w:fill="FFFFFF"/>
          </w:tcPr>
          <w:p w14:paraId="0561561D"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52.4</w:t>
            </w:r>
          </w:p>
        </w:tc>
      </w:tr>
      <w:tr w:rsidR="00460A8A" w14:paraId="63FE8441" w14:textId="77777777" w:rsidTr="00460A8A">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nil"/>
              <w:right w:val="nil"/>
            </w:tcBorders>
            <w:shd w:val="clear" w:color="auto" w:fill="FFFFFF"/>
          </w:tcPr>
          <w:p w14:paraId="38897FE8" w14:textId="77777777" w:rsidR="00460A8A" w:rsidRDefault="00460A8A">
            <w:pPr>
              <w:pStyle w:val="NoSpacing"/>
              <w:rPr>
                <w:rFonts w:ascii="Times New Roman" w:hAnsi="Times New Roman"/>
                <w:b w:val="0"/>
                <w:bCs w:val="0"/>
              </w:rPr>
            </w:pPr>
          </w:p>
        </w:tc>
        <w:tc>
          <w:tcPr>
            <w:tcW w:w="3240" w:type="dxa"/>
            <w:tcBorders>
              <w:top w:val="nil"/>
              <w:left w:val="nil"/>
              <w:bottom w:val="nil"/>
              <w:right w:val="nil"/>
            </w:tcBorders>
            <w:shd w:val="clear" w:color="auto" w:fill="FFFFFF"/>
          </w:tcPr>
          <w:p w14:paraId="0DFCCC71"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Still Progressing</w:t>
            </w:r>
          </w:p>
        </w:tc>
        <w:tc>
          <w:tcPr>
            <w:tcW w:w="1525" w:type="dxa"/>
            <w:tcBorders>
              <w:top w:val="nil"/>
              <w:left w:val="nil"/>
              <w:bottom w:val="nil"/>
              <w:right w:val="nil"/>
            </w:tcBorders>
            <w:shd w:val="clear" w:color="auto" w:fill="FFFFFF"/>
          </w:tcPr>
          <w:p w14:paraId="363BB769"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tcW w:w="1530" w:type="dxa"/>
            <w:tcBorders>
              <w:top w:val="nil"/>
              <w:left w:val="nil"/>
              <w:bottom w:val="nil"/>
              <w:right w:val="nil"/>
            </w:tcBorders>
            <w:shd w:val="clear" w:color="auto" w:fill="FFFFFF"/>
          </w:tcPr>
          <w:p w14:paraId="2BF7FF01"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3.3</w:t>
            </w:r>
          </w:p>
        </w:tc>
      </w:tr>
      <w:tr w:rsidR="00460A8A" w14:paraId="44514BC9" w14:textId="77777777" w:rsidTr="00460A8A">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nil"/>
              <w:right w:val="nil"/>
            </w:tcBorders>
            <w:shd w:val="clear" w:color="auto" w:fill="FFFFFF"/>
          </w:tcPr>
          <w:p w14:paraId="3624A8FA" w14:textId="77777777" w:rsidR="00460A8A" w:rsidRDefault="00460A8A">
            <w:pPr>
              <w:pStyle w:val="NoSpacing"/>
              <w:rPr>
                <w:rFonts w:ascii="Times New Roman" w:hAnsi="Times New Roman"/>
                <w:b w:val="0"/>
                <w:bCs w:val="0"/>
              </w:rPr>
            </w:pPr>
          </w:p>
        </w:tc>
        <w:tc>
          <w:tcPr>
            <w:tcW w:w="3240" w:type="dxa"/>
            <w:tcBorders>
              <w:top w:val="nil"/>
              <w:left w:val="nil"/>
              <w:bottom w:val="nil"/>
              <w:right w:val="nil"/>
            </w:tcBorders>
            <w:shd w:val="clear" w:color="auto" w:fill="FFFFFF"/>
          </w:tcPr>
          <w:p w14:paraId="37733FDC"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Regression of Lesions</w:t>
            </w:r>
          </w:p>
        </w:tc>
        <w:tc>
          <w:tcPr>
            <w:tcW w:w="1525" w:type="dxa"/>
            <w:tcBorders>
              <w:top w:val="nil"/>
              <w:left w:val="nil"/>
              <w:bottom w:val="nil"/>
              <w:right w:val="nil"/>
            </w:tcBorders>
            <w:shd w:val="clear" w:color="auto" w:fill="FFFFFF"/>
          </w:tcPr>
          <w:p w14:paraId="5B65A7DF"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27</w:t>
            </w:r>
          </w:p>
        </w:tc>
        <w:tc>
          <w:tcPr>
            <w:tcW w:w="1530" w:type="dxa"/>
            <w:tcBorders>
              <w:top w:val="nil"/>
              <w:left w:val="nil"/>
              <w:bottom w:val="nil"/>
              <w:right w:val="nil"/>
            </w:tcBorders>
            <w:shd w:val="clear" w:color="auto" w:fill="FFFFFF"/>
          </w:tcPr>
          <w:p w14:paraId="65E604C1"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44.3</w:t>
            </w:r>
          </w:p>
        </w:tc>
      </w:tr>
      <w:tr w:rsidR="00460A8A" w14:paraId="58514963" w14:textId="77777777" w:rsidTr="00460A8A">
        <w:tc>
          <w:tcPr>
            <w:cnfStyle w:val="001000000000" w:firstRow="0" w:lastRow="0" w:firstColumn="1" w:lastColumn="0" w:oddVBand="0" w:evenVBand="0" w:oddHBand="0" w:evenHBand="0" w:firstRowFirstColumn="0" w:firstRowLastColumn="0" w:lastRowFirstColumn="0" w:lastRowLastColumn="0"/>
            <w:tcW w:w="3150" w:type="dxa"/>
            <w:tcBorders>
              <w:top w:val="nil"/>
              <w:left w:val="nil"/>
              <w:right w:val="nil"/>
            </w:tcBorders>
            <w:shd w:val="clear" w:color="auto" w:fill="FFFFFF"/>
          </w:tcPr>
          <w:p w14:paraId="7DD53888" w14:textId="77777777" w:rsidR="00460A8A" w:rsidRDefault="00460A8A">
            <w:pPr>
              <w:pStyle w:val="NoSpacing"/>
              <w:rPr>
                <w:rFonts w:ascii="Times New Roman" w:hAnsi="Times New Roman"/>
                <w:b w:val="0"/>
                <w:bCs w:val="0"/>
              </w:rPr>
            </w:pPr>
          </w:p>
        </w:tc>
        <w:tc>
          <w:tcPr>
            <w:tcW w:w="3240" w:type="dxa"/>
            <w:tcBorders>
              <w:top w:val="nil"/>
              <w:left w:val="nil"/>
              <w:right w:val="nil"/>
            </w:tcBorders>
            <w:shd w:val="clear" w:color="auto" w:fill="FFFFFF"/>
          </w:tcPr>
          <w:p w14:paraId="77E6A36D"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Total</w:t>
            </w:r>
          </w:p>
        </w:tc>
        <w:tc>
          <w:tcPr>
            <w:tcW w:w="1525" w:type="dxa"/>
            <w:tcBorders>
              <w:top w:val="nil"/>
              <w:left w:val="nil"/>
              <w:right w:val="nil"/>
            </w:tcBorders>
            <w:shd w:val="clear" w:color="auto" w:fill="FFFFFF"/>
          </w:tcPr>
          <w:p w14:paraId="66188DB2"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61</w:t>
            </w:r>
          </w:p>
        </w:tc>
        <w:tc>
          <w:tcPr>
            <w:tcW w:w="1530" w:type="dxa"/>
            <w:tcBorders>
              <w:top w:val="nil"/>
              <w:left w:val="nil"/>
              <w:right w:val="nil"/>
            </w:tcBorders>
            <w:shd w:val="clear" w:color="auto" w:fill="FFFFFF"/>
          </w:tcPr>
          <w:p w14:paraId="5700E4AB" w14:textId="77777777" w:rsidR="00460A8A" w:rsidRDefault="00957453">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100.0</w:t>
            </w:r>
          </w:p>
        </w:tc>
      </w:tr>
    </w:tbl>
    <w:p w14:paraId="41794FEE" w14:textId="77777777" w:rsidR="00460A8A" w:rsidRDefault="00957453">
      <w:pPr>
        <w:pStyle w:val="NoSpacing"/>
        <w:rPr>
          <w:rFonts w:ascii="Times New Roman" w:hAnsi="Times New Roman"/>
          <w:sz w:val="20"/>
          <w:szCs w:val="20"/>
        </w:rPr>
      </w:pPr>
      <w:r>
        <w:rPr>
          <w:rFonts w:ascii="Times New Roman" w:hAnsi="Times New Roman"/>
          <w:sz w:val="20"/>
          <w:szCs w:val="20"/>
        </w:rPr>
        <w:t>Among participants, 59.0% showed immune restoration, while 33.3% had reduced risk of new lesions and 8.3% initiated ART early. Regarding progression, 52.4% experienced slow lesion progression, 44.3% showed regression, and only 3.3% still showed lesion progression. Pearson correlation revealed no significant association between ART duration and lesion occurrence (r = -0.256, p = .164).</w:t>
      </w:r>
    </w:p>
    <w:p w14:paraId="65FC25B1" w14:textId="77777777" w:rsidR="00460A8A" w:rsidRDefault="00957453">
      <w:pPr>
        <w:spacing w:after="160" w:line="259" w:lineRule="auto"/>
        <w:rPr>
          <w:rFonts w:ascii="Times New Roman" w:hAnsi="Times New Roman"/>
          <w:sz w:val="24"/>
          <w:szCs w:val="24"/>
        </w:rPr>
      </w:pPr>
      <w:r>
        <w:rPr>
          <w:rFonts w:ascii="Times New Roman" w:hAnsi="Times New Roman"/>
          <w:sz w:val="24"/>
          <w:szCs w:val="24"/>
        </w:rPr>
        <w:br w:type="page"/>
      </w:r>
    </w:p>
    <w:p w14:paraId="153ED50A" w14:textId="77777777" w:rsidR="00460A8A" w:rsidRDefault="00957453">
      <w:pPr>
        <w:pStyle w:val="NoSpacing"/>
        <w:rPr>
          <w:rFonts w:ascii="Times New Roman" w:hAnsi="Times New Roman"/>
          <w:b/>
          <w:bCs/>
          <w:color w:val="000000"/>
          <w:lang w:eastAsia="en-US"/>
        </w:rPr>
      </w:pPr>
      <w:r>
        <w:rPr>
          <w:rFonts w:ascii="Times New Roman" w:hAnsi="Times New Roman"/>
          <w:b/>
          <w:bCs/>
          <w:color w:val="000000"/>
          <w:lang w:eastAsia="en-US"/>
        </w:rPr>
        <w:lastRenderedPageBreak/>
        <w:t>FINDINGS:</w:t>
      </w:r>
    </w:p>
    <w:p w14:paraId="267F9D07" w14:textId="77777777" w:rsidR="00460A8A" w:rsidRDefault="00460A8A">
      <w:pPr>
        <w:pStyle w:val="NoSpacing"/>
        <w:rPr>
          <w:rFonts w:ascii="Times New Roman" w:hAnsi="Times New Roman"/>
          <w:lang w:eastAsia="en-US"/>
        </w:rPr>
      </w:pPr>
    </w:p>
    <w:p w14:paraId="08B7D875" w14:textId="77777777" w:rsidR="00460A8A" w:rsidRDefault="00957453">
      <w:pPr>
        <w:pStyle w:val="NoSpacing"/>
        <w:rPr>
          <w:rFonts w:ascii="Times New Roman" w:hAnsi="Times New Roman"/>
        </w:rPr>
      </w:pPr>
      <w:r>
        <w:rPr>
          <w:rFonts w:ascii="Times New Roman" w:hAnsi="Times New Roman"/>
          <w:noProof/>
          <w:lang w:eastAsia="en-US"/>
        </w:rPr>
        <w:drawing>
          <wp:inline distT="0" distB="0" distL="0" distR="0" wp14:anchorId="528ECC03" wp14:editId="4B358002">
            <wp:extent cx="2194560" cy="1273175"/>
            <wp:effectExtent l="0" t="0" r="0" b="0"/>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srcRect/>
                    <a:stretch/>
                  </pic:blipFill>
                  <pic:spPr>
                    <a:xfrm flipH="1">
                      <a:off x="0" y="0"/>
                      <a:ext cx="2194560" cy="1273175"/>
                    </a:xfrm>
                    <a:prstGeom prst="rect">
                      <a:avLst/>
                    </a:prstGeom>
                    <a:ln>
                      <a:noFill/>
                    </a:ln>
                  </pic:spPr>
                </pic:pic>
              </a:graphicData>
            </a:graphic>
          </wp:inline>
        </w:drawing>
      </w:r>
    </w:p>
    <w:p w14:paraId="0FF7BBDA" w14:textId="77777777" w:rsidR="00460A8A" w:rsidRDefault="00957453">
      <w:pPr>
        <w:pStyle w:val="NoSpacing"/>
        <w:rPr>
          <w:rFonts w:ascii="Times New Roman" w:hAnsi="Times New Roman"/>
        </w:rPr>
      </w:pPr>
      <w:r>
        <w:rPr>
          <w:rFonts w:ascii="Times New Roman" w:hAnsi="Times New Roman"/>
        </w:rPr>
        <w:t>Plate 1, X400, Pap stain:</w:t>
      </w:r>
      <w:r>
        <w:rPr>
          <w:rFonts w:ascii="Times New Roman" w:hAnsi="Times New Roman"/>
          <w:b/>
        </w:rPr>
        <w:t xml:space="preserve"> </w:t>
      </w:r>
      <w:r>
        <w:rPr>
          <w:rFonts w:ascii="Times New Roman" w:hAnsi="Times New Roman"/>
        </w:rPr>
        <w:t>Smear from healthy adult females showing normal cells PAP X400</w:t>
      </w:r>
    </w:p>
    <w:p w14:paraId="2DEE4847" w14:textId="77777777" w:rsidR="00460A8A" w:rsidRDefault="00460A8A">
      <w:pPr>
        <w:pStyle w:val="NoSpacing"/>
        <w:rPr>
          <w:rFonts w:ascii="Times New Roman" w:hAnsi="Times New Roman"/>
        </w:rPr>
      </w:pPr>
    </w:p>
    <w:p w14:paraId="29579A78" w14:textId="77777777" w:rsidR="00460A8A" w:rsidRDefault="00957453">
      <w:pPr>
        <w:spacing w:after="0" w:line="360" w:lineRule="auto"/>
        <w:jc w:val="both"/>
        <w:rPr>
          <w:rFonts w:ascii="Times New Roman" w:hAnsi="Times New Roman"/>
          <w:sz w:val="24"/>
          <w:szCs w:val="24"/>
        </w:rPr>
      </w:pPr>
      <w:r>
        <w:rPr>
          <w:rFonts w:ascii="Times New Roman" w:hAnsi="Times New Roman"/>
          <w:b/>
          <w:noProof/>
          <w:sz w:val="24"/>
          <w:szCs w:val="24"/>
          <w:lang w:eastAsia="en-US"/>
        </w:rPr>
        <w:drawing>
          <wp:inline distT="0" distB="0" distL="0" distR="0" wp14:anchorId="5E7C9C4D" wp14:editId="6D850C10">
            <wp:extent cx="2194560" cy="1371600"/>
            <wp:effectExtent l="0" t="0" r="0" b="0"/>
            <wp:docPr id="102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0" cstate="print"/>
                    <a:srcRect/>
                    <a:stretch/>
                  </pic:blipFill>
                  <pic:spPr>
                    <a:xfrm>
                      <a:off x="0" y="0"/>
                      <a:ext cx="2194560" cy="1371600"/>
                    </a:xfrm>
                    <a:prstGeom prst="rect">
                      <a:avLst/>
                    </a:prstGeom>
                    <a:ln>
                      <a:noFill/>
                    </a:ln>
                  </pic:spPr>
                </pic:pic>
              </a:graphicData>
            </a:graphic>
          </wp:inline>
        </w:drawing>
      </w:r>
    </w:p>
    <w:p w14:paraId="20CDBCCC" w14:textId="77777777" w:rsidR="00460A8A" w:rsidRDefault="00957453">
      <w:pPr>
        <w:pStyle w:val="NoSpacing"/>
        <w:rPr>
          <w:rFonts w:ascii="Times New Roman" w:hAnsi="Times New Roman"/>
          <w:bCs/>
          <w:sz w:val="24"/>
          <w:szCs w:val="24"/>
        </w:rPr>
      </w:pPr>
      <w:r>
        <w:rPr>
          <w:rFonts w:ascii="Times New Roman" w:hAnsi="Times New Roman"/>
        </w:rPr>
        <w:t>Plate 2, X400, Pap stain:</w:t>
      </w:r>
      <w:r>
        <w:rPr>
          <w:rFonts w:ascii="Times New Roman" w:hAnsi="Times New Roman"/>
          <w:b/>
        </w:rPr>
        <w:t xml:space="preserve"> </w:t>
      </w:r>
      <w:r>
        <w:rPr>
          <w:rFonts w:ascii="Times New Roman" w:hAnsi="Times New Roman"/>
        </w:rPr>
        <w:t xml:space="preserve">The smear shows sheets of ectocervical cells and clusters of endocervical cells with normal cytological details and within a background of dense lymphocytic infiltrate. </w:t>
      </w:r>
      <w:r>
        <w:rPr>
          <w:rFonts w:ascii="Times New Roman" w:hAnsi="Times New Roman"/>
          <w:bCs/>
          <w:sz w:val="24"/>
          <w:szCs w:val="24"/>
        </w:rPr>
        <w:t>Chronic cervicitis. Negative for intraepithelial lesion or malignancy</w:t>
      </w:r>
    </w:p>
    <w:p w14:paraId="0FD0915D" w14:textId="77777777" w:rsidR="00460A8A" w:rsidRDefault="00460A8A">
      <w:pPr>
        <w:spacing w:after="0" w:line="360" w:lineRule="auto"/>
        <w:jc w:val="both"/>
        <w:rPr>
          <w:rFonts w:ascii="Times New Roman" w:hAnsi="Times New Roman"/>
          <w:bCs/>
          <w:sz w:val="24"/>
          <w:szCs w:val="24"/>
        </w:rPr>
      </w:pPr>
    </w:p>
    <w:p w14:paraId="4F65598D" w14:textId="77777777" w:rsidR="00460A8A" w:rsidRDefault="00957453">
      <w:pPr>
        <w:spacing w:after="0" w:line="360" w:lineRule="auto"/>
        <w:jc w:val="both"/>
        <w:rPr>
          <w:rFonts w:ascii="Times New Roman" w:hAnsi="Times New Roman"/>
          <w:b/>
          <w:sz w:val="24"/>
          <w:szCs w:val="24"/>
        </w:rPr>
      </w:pPr>
      <w:r>
        <w:rPr>
          <w:rFonts w:ascii="Times New Roman" w:hAnsi="Times New Roman"/>
          <w:b/>
          <w:noProof/>
          <w:sz w:val="24"/>
          <w:szCs w:val="24"/>
          <w:lang w:eastAsia="en-US"/>
        </w:rPr>
        <w:drawing>
          <wp:inline distT="0" distB="0" distL="0" distR="0" wp14:anchorId="242CB6B4" wp14:editId="6269D8A7">
            <wp:extent cx="2120900" cy="1522730"/>
            <wp:effectExtent l="0" t="0" r="0" b="635"/>
            <wp:docPr id="102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1" cstate="print"/>
                    <a:srcRect/>
                    <a:stretch/>
                  </pic:blipFill>
                  <pic:spPr>
                    <a:xfrm>
                      <a:off x="0" y="0"/>
                      <a:ext cx="2120900" cy="1522730"/>
                    </a:xfrm>
                    <a:prstGeom prst="rect">
                      <a:avLst/>
                    </a:prstGeom>
                    <a:ln>
                      <a:noFill/>
                    </a:ln>
                  </pic:spPr>
                </pic:pic>
              </a:graphicData>
            </a:graphic>
          </wp:inline>
        </w:drawing>
      </w:r>
    </w:p>
    <w:p w14:paraId="7E295BF9" w14:textId="77777777" w:rsidR="00460A8A" w:rsidRDefault="00957453">
      <w:pPr>
        <w:pStyle w:val="NoSpacing"/>
        <w:rPr>
          <w:rFonts w:ascii="Times New Roman" w:hAnsi="Times New Roman"/>
          <w:b/>
        </w:rPr>
      </w:pPr>
      <w:r>
        <w:rPr>
          <w:rFonts w:ascii="Times New Roman" w:hAnsi="Times New Roman"/>
        </w:rPr>
        <w:t>Plate 3, X400, Pap stain:</w:t>
      </w:r>
      <w:r>
        <w:rPr>
          <w:rFonts w:ascii="Times New Roman" w:hAnsi="Times New Roman"/>
          <w:b/>
        </w:rPr>
        <w:t xml:space="preserve"> </w:t>
      </w:r>
      <w:r>
        <w:rPr>
          <w:rFonts w:ascii="Times New Roman" w:hAnsi="Times New Roman"/>
        </w:rPr>
        <w:t>Cervical smear shows very few parabasal and intermediate squamous cells that appear lightly abnormal on a clean background.</w:t>
      </w:r>
      <w:r>
        <w:rPr>
          <w:rFonts w:ascii="Times New Roman" w:hAnsi="Times New Roman"/>
          <w:b/>
        </w:rPr>
        <w:t xml:space="preserve">  </w:t>
      </w:r>
      <w:r>
        <w:rPr>
          <w:rFonts w:ascii="Times New Roman" w:hAnsi="Times New Roman"/>
        </w:rPr>
        <w:t>Atypical squamous cells of undetermined significance.</w:t>
      </w:r>
    </w:p>
    <w:p w14:paraId="13BA52ED" w14:textId="77777777" w:rsidR="00460A8A" w:rsidRDefault="00460A8A">
      <w:pPr>
        <w:spacing w:after="0" w:line="360" w:lineRule="auto"/>
        <w:jc w:val="both"/>
        <w:rPr>
          <w:rFonts w:ascii="Times New Roman" w:hAnsi="Times New Roman"/>
          <w:b/>
          <w:sz w:val="24"/>
          <w:szCs w:val="24"/>
        </w:rPr>
      </w:pPr>
    </w:p>
    <w:p w14:paraId="6E0BFE20" w14:textId="77777777" w:rsidR="00460A8A" w:rsidRDefault="00957453">
      <w:pPr>
        <w:pStyle w:val="NoSpacing"/>
        <w:rPr>
          <w:rFonts w:ascii="Times New Roman" w:hAnsi="Times New Roman"/>
        </w:rPr>
      </w:pPr>
      <w:r>
        <w:rPr>
          <w:rFonts w:ascii="Times New Roman" w:hAnsi="Times New Roman"/>
          <w:noProof/>
          <w:lang w:eastAsia="en-US"/>
        </w:rPr>
        <w:drawing>
          <wp:inline distT="0" distB="0" distL="0" distR="0" wp14:anchorId="11A96087" wp14:editId="29E8D710">
            <wp:extent cx="2273300" cy="1633855"/>
            <wp:effectExtent l="0" t="0" r="0" b="3810"/>
            <wp:docPr id="1029"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2" cstate="print"/>
                    <a:srcRect/>
                    <a:stretch/>
                  </pic:blipFill>
                  <pic:spPr>
                    <a:xfrm>
                      <a:off x="0" y="0"/>
                      <a:ext cx="2273300" cy="1633855"/>
                    </a:xfrm>
                    <a:prstGeom prst="rect">
                      <a:avLst/>
                    </a:prstGeom>
                    <a:ln>
                      <a:noFill/>
                    </a:ln>
                  </pic:spPr>
                </pic:pic>
              </a:graphicData>
            </a:graphic>
          </wp:inline>
        </w:drawing>
      </w:r>
    </w:p>
    <w:p w14:paraId="5D20FC06" w14:textId="77777777" w:rsidR="00460A8A" w:rsidRDefault="00957453">
      <w:pPr>
        <w:pStyle w:val="NoSpacing"/>
        <w:rPr>
          <w:rFonts w:ascii="Times New Roman" w:hAnsi="Times New Roman"/>
        </w:rPr>
      </w:pPr>
      <w:r>
        <w:rPr>
          <w:rFonts w:ascii="Times New Roman" w:hAnsi="Times New Roman"/>
        </w:rPr>
        <w:t xml:space="preserve">Plate 4, X400, Pap stain: </w:t>
      </w:r>
      <w:r>
        <w:rPr>
          <w:rFonts w:ascii="Times New Roman" w:hAnsi="Times New Roman"/>
          <w:bCs/>
        </w:rPr>
        <w:t xml:space="preserve">Cervical smear is adequate and shows single and clusters of superficial, intermediate and parabasal squamous epithelial cells on a clean background. </w:t>
      </w:r>
      <w:r>
        <w:rPr>
          <w:rFonts w:ascii="Times New Roman" w:hAnsi="Times New Roman"/>
        </w:rPr>
        <w:t xml:space="preserve">Low grade squamous intraepithelial lesion. </w:t>
      </w:r>
    </w:p>
    <w:p w14:paraId="55714952" w14:textId="77777777" w:rsidR="00460A8A" w:rsidRDefault="00460A8A">
      <w:pPr>
        <w:spacing w:after="0" w:line="360" w:lineRule="auto"/>
        <w:jc w:val="both"/>
        <w:rPr>
          <w:rFonts w:ascii="Times New Roman" w:hAnsi="Times New Roman"/>
          <w:b/>
          <w:sz w:val="24"/>
          <w:szCs w:val="24"/>
        </w:rPr>
      </w:pPr>
    </w:p>
    <w:p w14:paraId="7616B224" w14:textId="77777777" w:rsidR="00460A8A" w:rsidRDefault="00957453">
      <w:pPr>
        <w:pStyle w:val="NoSpacing"/>
        <w:rPr>
          <w:rFonts w:ascii="Times New Roman" w:hAnsi="Times New Roman"/>
        </w:rPr>
      </w:pPr>
      <w:r>
        <w:rPr>
          <w:rFonts w:ascii="Times New Roman" w:hAnsi="Times New Roman"/>
          <w:noProof/>
          <w:lang w:eastAsia="en-US"/>
        </w:rPr>
        <w:lastRenderedPageBreak/>
        <w:drawing>
          <wp:inline distT="0" distB="0" distL="0" distR="0" wp14:anchorId="648F473E" wp14:editId="67AD0BD5">
            <wp:extent cx="2222500" cy="1397000"/>
            <wp:effectExtent l="0" t="0" r="6350" b="0"/>
            <wp:docPr id="1030"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2"/>
                    <pic:cNvPicPr/>
                  </pic:nvPicPr>
                  <pic:blipFill>
                    <a:blip r:embed="rId13" cstate="print"/>
                    <a:srcRect/>
                    <a:stretch/>
                  </pic:blipFill>
                  <pic:spPr>
                    <a:xfrm>
                      <a:off x="0" y="0"/>
                      <a:ext cx="2222500" cy="1397000"/>
                    </a:xfrm>
                    <a:prstGeom prst="rect">
                      <a:avLst/>
                    </a:prstGeom>
                    <a:ln>
                      <a:noFill/>
                    </a:ln>
                  </pic:spPr>
                </pic:pic>
              </a:graphicData>
            </a:graphic>
          </wp:inline>
        </w:drawing>
      </w:r>
    </w:p>
    <w:p w14:paraId="5FBD09BC" w14:textId="77777777" w:rsidR="00460A8A" w:rsidRDefault="00957453">
      <w:pPr>
        <w:pStyle w:val="NoSpacing"/>
        <w:rPr>
          <w:rFonts w:ascii="Times New Roman" w:hAnsi="Times New Roman"/>
        </w:rPr>
      </w:pPr>
      <w:r>
        <w:rPr>
          <w:rFonts w:ascii="Times New Roman" w:hAnsi="Times New Roman"/>
        </w:rPr>
        <w:t xml:space="preserve">Plate 5, X100, Pap stain: </w:t>
      </w:r>
      <w:r>
        <w:rPr>
          <w:rFonts w:ascii="Times New Roman" w:hAnsi="Times New Roman"/>
          <w:bCs/>
        </w:rPr>
        <w:t xml:space="preserve">Cervical smear is cellular showing clusters of superficial, intermediate and parabasal squamous cells on a moderate background of neutrophilic inflammation.  </w:t>
      </w:r>
      <w:r>
        <w:rPr>
          <w:rFonts w:ascii="Times New Roman" w:hAnsi="Times New Roman"/>
        </w:rPr>
        <w:t xml:space="preserve">High grade squamous intraepithelial lesion </w:t>
      </w:r>
    </w:p>
    <w:p w14:paraId="722B5878" w14:textId="77777777" w:rsidR="00460A8A" w:rsidRDefault="00460A8A">
      <w:pPr>
        <w:spacing w:after="0" w:line="360" w:lineRule="auto"/>
        <w:jc w:val="both"/>
        <w:rPr>
          <w:rFonts w:ascii="Times New Roman" w:hAnsi="Times New Roman"/>
          <w:b/>
          <w:sz w:val="24"/>
          <w:szCs w:val="24"/>
        </w:rPr>
      </w:pPr>
    </w:p>
    <w:p w14:paraId="03EDF85F" w14:textId="77777777" w:rsidR="00460A8A" w:rsidRDefault="00460A8A">
      <w:pPr>
        <w:spacing w:after="0" w:line="360" w:lineRule="auto"/>
        <w:jc w:val="both"/>
        <w:rPr>
          <w:rFonts w:ascii="Times New Roman" w:hAnsi="Times New Roman"/>
          <w:b/>
          <w:sz w:val="24"/>
          <w:szCs w:val="24"/>
        </w:rPr>
      </w:pPr>
    </w:p>
    <w:p w14:paraId="5B5E02E4" w14:textId="77777777" w:rsidR="00460A8A" w:rsidRDefault="00957453">
      <w:pPr>
        <w:pStyle w:val="NoSpacing"/>
        <w:rPr>
          <w:rFonts w:ascii="Times New Roman" w:hAnsi="Times New Roman"/>
        </w:rPr>
      </w:pPr>
      <w:r>
        <w:rPr>
          <w:rFonts w:ascii="Times New Roman" w:hAnsi="Times New Roman"/>
          <w:noProof/>
          <w:lang w:eastAsia="en-US"/>
        </w:rPr>
        <w:drawing>
          <wp:inline distT="0" distB="0" distL="0" distR="0" wp14:anchorId="74ABE34F" wp14:editId="013C5459">
            <wp:extent cx="2139950" cy="1513205"/>
            <wp:effectExtent l="0" t="0" r="0" b="0"/>
            <wp:docPr id="10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pic:cNvPicPr/>
                  </pic:nvPicPr>
                  <pic:blipFill>
                    <a:blip r:embed="rId14" cstate="print"/>
                    <a:srcRect/>
                    <a:stretch/>
                  </pic:blipFill>
                  <pic:spPr>
                    <a:xfrm>
                      <a:off x="0" y="0"/>
                      <a:ext cx="2139950" cy="1513205"/>
                    </a:xfrm>
                    <a:prstGeom prst="rect">
                      <a:avLst/>
                    </a:prstGeom>
                    <a:ln>
                      <a:noFill/>
                    </a:ln>
                  </pic:spPr>
                </pic:pic>
              </a:graphicData>
            </a:graphic>
          </wp:inline>
        </w:drawing>
      </w:r>
    </w:p>
    <w:p w14:paraId="40A1CF60" w14:textId="77777777" w:rsidR="00460A8A" w:rsidRDefault="00957453">
      <w:pPr>
        <w:pStyle w:val="NoSpacing"/>
        <w:rPr>
          <w:rFonts w:ascii="Times New Roman" w:hAnsi="Times New Roman"/>
        </w:rPr>
      </w:pPr>
      <w:r>
        <w:rPr>
          <w:rFonts w:ascii="Times New Roman" w:hAnsi="Times New Roman"/>
        </w:rPr>
        <w:t xml:space="preserve">Plate 6, X100, Pap stain: </w:t>
      </w:r>
      <w:r>
        <w:rPr>
          <w:rFonts w:ascii="Times New Roman" w:hAnsi="Times New Roman"/>
          <w:bCs/>
        </w:rPr>
        <w:t xml:space="preserve">Smear is cellular and adequate showing superficial, intermediate, squamous epithelial cells. There is heavy presence of inflammatory cells in the background. Few clumps of endocervical cells are seen (black arrow). Features are in keeping with inflammatory smear. </w:t>
      </w:r>
    </w:p>
    <w:p w14:paraId="1A9D7AF5" w14:textId="77777777" w:rsidR="00460A8A" w:rsidRDefault="00460A8A">
      <w:pPr>
        <w:spacing w:after="0" w:line="360" w:lineRule="auto"/>
        <w:jc w:val="both"/>
        <w:rPr>
          <w:rFonts w:ascii="Times New Roman" w:hAnsi="Times New Roman"/>
          <w:b/>
          <w:sz w:val="24"/>
          <w:szCs w:val="24"/>
        </w:rPr>
      </w:pPr>
    </w:p>
    <w:p w14:paraId="2682BDC1" w14:textId="77777777" w:rsidR="00460A8A" w:rsidRDefault="00460A8A">
      <w:pPr>
        <w:spacing w:after="0" w:line="360" w:lineRule="auto"/>
        <w:jc w:val="both"/>
        <w:rPr>
          <w:rFonts w:ascii="Times New Roman" w:hAnsi="Times New Roman"/>
          <w:b/>
          <w:sz w:val="24"/>
          <w:szCs w:val="24"/>
        </w:rPr>
      </w:pPr>
    </w:p>
    <w:p w14:paraId="00B66A29" w14:textId="77777777" w:rsidR="00460A8A" w:rsidRDefault="00957453">
      <w:pPr>
        <w:spacing w:after="0" w:line="360" w:lineRule="auto"/>
        <w:jc w:val="both"/>
        <w:rPr>
          <w:rFonts w:ascii="Times New Roman" w:hAnsi="Times New Roman"/>
          <w:b/>
          <w:sz w:val="24"/>
          <w:szCs w:val="24"/>
        </w:rPr>
      </w:pPr>
      <w:r>
        <w:rPr>
          <w:rFonts w:ascii="Times New Roman" w:hAnsi="Times New Roman"/>
          <w:b/>
          <w:sz w:val="24"/>
          <w:szCs w:val="24"/>
        </w:rPr>
        <w:t>4. DISCUSSION</w:t>
      </w:r>
    </w:p>
    <w:p w14:paraId="10593A60" w14:textId="0AA6DB93" w:rsidR="00891B48" w:rsidRDefault="00891B48" w:rsidP="00891B48">
      <w:pPr>
        <w:spacing w:line="360" w:lineRule="auto"/>
        <w:ind w:left="60" w:right="60"/>
        <w:jc w:val="both"/>
        <w:rPr>
          <w:rFonts w:ascii="Times New Roman" w:hAnsi="Times New Roman"/>
          <w:sz w:val="24"/>
          <w:szCs w:val="24"/>
        </w:rPr>
      </w:pPr>
      <w:r>
        <w:rPr>
          <w:rFonts w:ascii="Times New Roman" w:hAnsi="Times New Roman"/>
          <w:sz w:val="24"/>
          <w:szCs w:val="24"/>
        </w:rPr>
        <w:t xml:space="preserve">The study on characterization of cervical lesions among HIV-infected women attending the University of Abuja Teaching Hospital, Gwagwalada, Abuja showed is no significant difference between the prevalence of various types of cervical lesions in HIV-positive women and the CD4+ count levels, but an earlier finding by </w:t>
      </w:r>
      <w:r w:rsidR="002E0BC1">
        <w:rPr>
          <w:rFonts w:ascii="Times New Roman" w:hAnsi="Times New Roman"/>
          <w:sz w:val="24"/>
          <w:szCs w:val="24"/>
        </w:rPr>
        <w:t>Olubodun</w:t>
      </w:r>
      <w:r>
        <w:rPr>
          <w:rFonts w:ascii="Times New Roman" w:hAnsi="Times New Roman"/>
          <w:sz w:val="24"/>
          <w:szCs w:val="24"/>
        </w:rPr>
        <w:t xml:space="preserve"> et al., (201</w:t>
      </w:r>
      <w:r w:rsidR="002E0BC1">
        <w:rPr>
          <w:rFonts w:ascii="Times New Roman" w:hAnsi="Times New Roman"/>
          <w:sz w:val="24"/>
          <w:szCs w:val="24"/>
        </w:rPr>
        <w:t>9</w:t>
      </w:r>
      <w:r>
        <w:rPr>
          <w:rFonts w:ascii="Times New Roman" w:hAnsi="Times New Roman"/>
          <w:sz w:val="24"/>
          <w:szCs w:val="24"/>
        </w:rPr>
        <w:t xml:space="preserve">) that investigated 710 HIV-positive women reported a 24.3% prevalence of cervical lesions, with 9.2% categorized as HSIL. They observed a strong association between HPV infection with types 16, 18, and 45 and the development of high-grade lesions, with immunosuppression acting as a significant cofactor. Our second finding revealed that the duration of antiretroviral therapy has no significant association with the occurrence of cervical lesions among HIV-positive women. This study agrees with that of </w:t>
      </w:r>
      <w:r w:rsidR="00802433">
        <w:rPr>
          <w:rFonts w:ascii="Times New Roman" w:hAnsi="Times New Roman"/>
          <w:sz w:val="24"/>
          <w:szCs w:val="24"/>
        </w:rPr>
        <w:t>Kelly et al.</w:t>
      </w:r>
      <w:r>
        <w:rPr>
          <w:rFonts w:ascii="Times New Roman" w:hAnsi="Times New Roman"/>
          <w:sz w:val="24"/>
          <w:szCs w:val="24"/>
        </w:rPr>
        <w:t xml:space="preserve">, (2018) who examined 253 HIV-positive women in Makurdi, Nigeria and found a 30.8% prevalence of cervical lesions. They noted further that women with CD4+ counts below 200 cells/mm³ had nearly three times higher risk of developing high-grade lesions compared to those with counts above 500 cells/mm³. Additionally, they identified longer duration of HIV infection </w:t>
      </w:r>
      <w:r>
        <w:rPr>
          <w:rFonts w:ascii="Times New Roman" w:hAnsi="Times New Roman"/>
          <w:sz w:val="24"/>
          <w:szCs w:val="24"/>
        </w:rPr>
        <w:lastRenderedPageBreak/>
        <w:t xml:space="preserve">above 5 years as an independent risk factor that is not associated with the rate of cervical lesions. The socio-demographic factors have no significant association with the progression of cervical lesions among HIV-positive women.  This finding is similar to a cross-sectional study by Jolly et al., (2017) on a bivariate analysis where they showed no significant association between socio-demographic variables and the presence of cervical lesions detectable through VIA among HIV-positive women. However, the number of lifetime sexual partners and HIV status were significantly associated with cervical lesions. HIV viral load has no significant association with the severity of cervical lesions among HIV-positive women. This finding is in line with that of </w:t>
      </w:r>
      <w:r w:rsidR="002E0BC1">
        <w:rPr>
          <w:rStyle w:val="Strong"/>
          <w:rFonts w:ascii="Times New Roman" w:hAnsi="Times New Roman"/>
          <w:sz w:val="24"/>
          <w:szCs w:val="24"/>
        </w:rPr>
        <w:t>Medei</w:t>
      </w:r>
      <w:r w:rsidR="001D2DA3">
        <w:rPr>
          <w:rStyle w:val="Strong"/>
          <w:rFonts w:ascii="Times New Roman" w:hAnsi="Times New Roman"/>
          <w:sz w:val="24"/>
          <w:szCs w:val="24"/>
        </w:rPr>
        <w:t>r</w:t>
      </w:r>
      <w:r w:rsidR="002E0BC1">
        <w:rPr>
          <w:rStyle w:val="Strong"/>
          <w:rFonts w:ascii="Times New Roman" w:hAnsi="Times New Roman"/>
          <w:sz w:val="24"/>
          <w:szCs w:val="24"/>
        </w:rPr>
        <w:t>os</w:t>
      </w:r>
      <w:r>
        <w:rPr>
          <w:rStyle w:val="Strong"/>
          <w:rFonts w:ascii="Times New Roman" w:hAnsi="Times New Roman"/>
          <w:sz w:val="24"/>
          <w:szCs w:val="24"/>
        </w:rPr>
        <w:t xml:space="preserve"> et al., (20</w:t>
      </w:r>
      <w:r w:rsidR="002E0BC1">
        <w:rPr>
          <w:rStyle w:val="Strong"/>
          <w:rFonts w:ascii="Times New Roman" w:hAnsi="Times New Roman"/>
          <w:sz w:val="24"/>
          <w:szCs w:val="24"/>
        </w:rPr>
        <w:t>22</w:t>
      </w:r>
      <w:r>
        <w:rPr>
          <w:rStyle w:val="Strong"/>
          <w:rFonts w:ascii="Times New Roman" w:hAnsi="Times New Roman"/>
          <w:sz w:val="24"/>
          <w:szCs w:val="24"/>
        </w:rPr>
        <w:t>) whose</w:t>
      </w:r>
      <w:r>
        <w:rPr>
          <w:rFonts w:ascii="Times New Roman" w:hAnsi="Times New Roman"/>
          <w:sz w:val="24"/>
          <w:szCs w:val="24"/>
        </w:rPr>
        <w:t xml:space="preserve"> study examined 108 HIV-infected women and found that while higher HIV viral loads were observed in women with squamous intraepithelial lesions compared to those without, the difference was not statistically significant. </w:t>
      </w:r>
    </w:p>
    <w:p w14:paraId="19D20749" w14:textId="77777777" w:rsidR="00460A8A" w:rsidRDefault="00460A8A">
      <w:pPr>
        <w:spacing w:after="0" w:line="360" w:lineRule="auto"/>
        <w:jc w:val="both"/>
        <w:rPr>
          <w:rFonts w:ascii="Times New Roman" w:hAnsi="Times New Roman"/>
          <w:bCs/>
          <w:sz w:val="24"/>
          <w:szCs w:val="24"/>
        </w:rPr>
      </w:pPr>
    </w:p>
    <w:p w14:paraId="296E44F3" w14:textId="77777777" w:rsidR="00460A8A" w:rsidRDefault="00957453">
      <w:pPr>
        <w:spacing w:after="0" w:line="360" w:lineRule="auto"/>
        <w:jc w:val="both"/>
        <w:rPr>
          <w:rFonts w:ascii="Times New Roman" w:hAnsi="Times New Roman"/>
          <w:b/>
          <w:sz w:val="24"/>
          <w:szCs w:val="24"/>
        </w:rPr>
      </w:pPr>
      <w:r>
        <w:rPr>
          <w:rFonts w:ascii="Times New Roman" w:hAnsi="Times New Roman"/>
          <w:b/>
          <w:sz w:val="24"/>
          <w:szCs w:val="24"/>
        </w:rPr>
        <w:t>5. CONCLUSION</w:t>
      </w:r>
    </w:p>
    <w:p w14:paraId="0657F86C" w14:textId="6E8A751A" w:rsidR="00460A8A" w:rsidRDefault="00957453">
      <w:pPr>
        <w:spacing w:line="360" w:lineRule="auto"/>
        <w:jc w:val="both"/>
        <w:rPr>
          <w:rFonts w:ascii="Times New Roman" w:hAnsi="Times New Roman"/>
          <w:sz w:val="24"/>
          <w:szCs w:val="24"/>
        </w:rPr>
      </w:pPr>
      <w:r>
        <w:rPr>
          <w:rFonts w:ascii="Times New Roman" w:hAnsi="Times New Roman"/>
          <w:sz w:val="24"/>
          <w:szCs w:val="24"/>
        </w:rPr>
        <w:t>The findings of this study establish that HIV-positive women at UATH experience a substantially elevated prevalence of cervical abnormalities compared to the general population, emphasizing their vulnerability to HPV-related cervical disease. Immunological status, particularly CD4+ count, significantly influences the type and potentially the severity of cervical lesions that develop. While antiretroviral therapy demonstrates promise in reducing lesion occurrence and promoting regression through immune restoration, its protective effect may depend on duration, timing of initiation, and immune reconstitution dynamics. The relationships between viral suppression, immune recovery, and cervical pathology appear complex and potentially non-linear. These findings underscore the critical importance of integrating regular cervical cancer screening into routine HIV care, with consideration of immunological parameters for risk stratification and screening prioritization</w:t>
      </w:r>
      <w:r w:rsidR="00C86716">
        <w:rPr>
          <w:rFonts w:ascii="Times New Roman" w:hAnsi="Times New Roman"/>
          <w:sz w:val="24"/>
          <w:szCs w:val="24"/>
        </w:rPr>
        <w:t>.</w:t>
      </w:r>
    </w:p>
    <w:p w14:paraId="50BB49F3" w14:textId="3C10D182" w:rsidR="00C86716" w:rsidRDefault="00C86716">
      <w:pPr>
        <w:spacing w:line="360" w:lineRule="auto"/>
        <w:jc w:val="both"/>
        <w:rPr>
          <w:rFonts w:ascii="Times New Roman" w:hAnsi="Times New Roman"/>
          <w:sz w:val="24"/>
          <w:szCs w:val="24"/>
        </w:rPr>
      </w:pPr>
    </w:p>
    <w:p w14:paraId="5FEE11A4" w14:textId="77777777" w:rsidR="00C86716" w:rsidRPr="00C86716" w:rsidRDefault="00C86716" w:rsidP="00C86716">
      <w:pPr>
        <w:spacing w:line="360" w:lineRule="auto"/>
        <w:jc w:val="both"/>
        <w:rPr>
          <w:rFonts w:ascii="Times New Roman" w:hAnsi="Times New Roman"/>
          <w:b/>
          <w:sz w:val="24"/>
          <w:szCs w:val="24"/>
        </w:rPr>
      </w:pPr>
      <w:r w:rsidRPr="00C86716">
        <w:rPr>
          <w:rFonts w:ascii="Times New Roman" w:hAnsi="Times New Roman"/>
          <w:b/>
          <w:sz w:val="24"/>
          <w:szCs w:val="24"/>
        </w:rPr>
        <w:t>Ethical Approval and Informed Consent</w:t>
      </w:r>
    </w:p>
    <w:p w14:paraId="6C424715" w14:textId="4B27A5CE" w:rsidR="00C86716" w:rsidRDefault="00C86716" w:rsidP="00C86716">
      <w:pPr>
        <w:spacing w:line="360" w:lineRule="auto"/>
        <w:jc w:val="both"/>
        <w:rPr>
          <w:rFonts w:ascii="Times New Roman" w:hAnsi="Times New Roman"/>
          <w:sz w:val="24"/>
          <w:szCs w:val="24"/>
        </w:rPr>
      </w:pPr>
      <w:r w:rsidRPr="00C86716">
        <w:rPr>
          <w:rFonts w:ascii="Times New Roman" w:hAnsi="Times New Roman"/>
          <w:sz w:val="24"/>
          <w:szCs w:val="24"/>
        </w:rPr>
        <w:t xml:space="preserve">Ethical approval was obtained from the University of Abuja Teaching Hospital Research Ethics Committee with approval number: UATH/HREC/PR/2025/03/318). All participants provided written informed </w:t>
      </w:r>
      <w:bookmarkStart w:id="0" w:name="_GoBack"/>
      <w:r w:rsidRPr="00C86716">
        <w:rPr>
          <w:rFonts w:ascii="Times New Roman" w:hAnsi="Times New Roman"/>
          <w:sz w:val="24"/>
          <w:szCs w:val="24"/>
        </w:rPr>
        <w:t>consent</w:t>
      </w:r>
      <w:bookmarkEnd w:id="0"/>
      <w:r w:rsidRPr="00C86716">
        <w:rPr>
          <w:rFonts w:ascii="Times New Roman" w:hAnsi="Times New Roman"/>
          <w:sz w:val="24"/>
          <w:szCs w:val="24"/>
        </w:rPr>
        <w:t xml:space="preserve"> after receiving detailed information about the study objectives, procedures, potential risks, and benefits. Participants were assured of </w:t>
      </w:r>
      <w:r w:rsidRPr="00C86716">
        <w:rPr>
          <w:rFonts w:ascii="Times New Roman" w:hAnsi="Times New Roman"/>
          <w:sz w:val="24"/>
          <w:szCs w:val="24"/>
        </w:rPr>
        <w:lastRenderedPageBreak/>
        <w:t>confidentiality and their right to withdraw from the study at any time without affecting their clinical care.</w:t>
      </w:r>
    </w:p>
    <w:p w14:paraId="5E4F035C" w14:textId="77777777" w:rsidR="00E9385A" w:rsidRDefault="00E9385A" w:rsidP="00E9385A">
      <w:pPr>
        <w:rPr>
          <w:rFonts w:asciiTheme="minorHAnsi" w:hAnsiTheme="minorHAnsi"/>
          <w:lang w:eastAsia="en-US"/>
        </w:rPr>
      </w:pPr>
      <w:r>
        <w:t>Disclaimer (Artificial intelligence)</w:t>
      </w:r>
    </w:p>
    <w:p w14:paraId="1840BFF6" w14:textId="77777777" w:rsidR="00E9385A" w:rsidRDefault="00E9385A" w:rsidP="00E9385A">
      <w:r>
        <w:t xml:space="preserve">Option 1: </w:t>
      </w:r>
    </w:p>
    <w:p w14:paraId="0710FB31" w14:textId="77777777" w:rsidR="00E9385A" w:rsidRDefault="00E9385A" w:rsidP="00E9385A">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31812A78" w14:textId="77777777" w:rsidR="00E9385A" w:rsidRDefault="00E9385A" w:rsidP="00E9385A">
      <w:r>
        <w:t xml:space="preserve">Option 2: </w:t>
      </w:r>
    </w:p>
    <w:p w14:paraId="434702C1" w14:textId="77777777" w:rsidR="00E9385A" w:rsidRDefault="00E9385A" w:rsidP="00E9385A">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4172B1" w14:textId="77777777" w:rsidR="00E9385A" w:rsidRDefault="00E9385A" w:rsidP="00E9385A">
      <w:r>
        <w:t>Details of the AI usage are given below:</w:t>
      </w:r>
    </w:p>
    <w:p w14:paraId="67D9BC33" w14:textId="77777777" w:rsidR="00E9385A" w:rsidRDefault="00E9385A" w:rsidP="00E9385A">
      <w:r>
        <w:t>1.</w:t>
      </w:r>
    </w:p>
    <w:p w14:paraId="2715F0CE" w14:textId="77777777" w:rsidR="00E9385A" w:rsidRDefault="00E9385A" w:rsidP="00E9385A">
      <w:r>
        <w:t>2.</w:t>
      </w:r>
    </w:p>
    <w:p w14:paraId="0FC3E77B" w14:textId="77777777" w:rsidR="00E9385A" w:rsidRDefault="00E9385A" w:rsidP="00E9385A">
      <w:r>
        <w:t>3.</w:t>
      </w:r>
    </w:p>
    <w:p w14:paraId="69940896" w14:textId="77777777" w:rsidR="00E9385A" w:rsidRDefault="00E9385A" w:rsidP="00E9385A"/>
    <w:p w14:paraId="309029FE" w14:textId="77777777" w:rsidR="00460A8A" w:rsidRDefault="00460A8A">
      <w:pPr>
        <w:spacing w:after="0" w:line="360" w:lineRule="auto"/>
        <w:jc w:val="both"/>
        <w:rPr>
          <w:rFonts w:ascii="Times New Roman" w:hAnsi="Times New Roman"/>
          <w:b/>
          <w:sz w:val="24"/>
          <w:szCs w:val="24"/>
        </w:rPr>
      </w:pPr>
    </w:p>
    <w:p w14:paraId="25A7C513" w14:textId="77777777" w:rsidR="00460A8A" w:rsidRDefault="00957453">
      <w:pPr>
        <w:spacing w:after="0" w:line="360" w:lineRule="auto"/>
        <w:rPr>
          <w:rFonts w:ascii="Times New Roman" w:hAnsi="Times New Roman"/>
          <w:b/>
          <w:sz w:val="24"/>
          <w:szCs w:val="24"/>
        </w:rPr>
      </w:pPr>
      <w:r>
        <w:rPr>
          <w:rFonts w:ascii="Times New Roman" w:hAnsi="Times New Roman"/>
          <w:b/>
          <w:sz w:val="24"/>
          <w:szCs w:val="24"/>
        </w:rPr>
        <w:t>References</w:t>
      </w:r>
    </w:p>
    <w:p w14:paraId="1B694CEA" w14:textId="014E5E46" w:rsidR="00C07840" w:rsidRDefault="00C07840">
      <w:pPr>
        <w:pStyle w:val="NoSpacing"/>
        <w:ind w:left="720" w:hanging="720"/>
        <w:rPr>
          <w:rFonts w:ascii="Times New Roman" w:hAnsi="Times New Roman"/>
          <w:sz w:val="24"/>
          <w:szCs w:val="24"/>
        </w:rPr>
      </w:pPr>
      <w:r>
        <w:rPr>
          <w:rFonts w:ascii="Times New Roman" w:hAnsi="Times New Roman"/>
          <w:sz w:val="24"/>
          <w:szCs w:val="24"/>
        </w:rPr>
        <w:t>Abah, R. C. (2014). The Demographic implications of the HIV Prevalence Trend in Nigeria. Journal of Public Health in Africa, 5(1), Article 277</w:t>
      </w:r>
    </w:p>
    <w:p w14:paraId="30402E8A" w14:textId="78DB9829" w:rsidR="00460A8A" w:rsidRDefault="00957453">
      <w:pPr>
        <w:pStyle w:val="NoSpacing"/>
        <w:ind w:left="720" w:hanging="720"/>
        <w:rPr>
          <w:rFonts w:ascii="Times New Roman" w:hAnsi="Times New Roman"/>
          <w:sz w:val="24"/>
          <w:szCs w:val="24"/>
        </w:rPr>
      </w:pPr>
      <w:r>
        <w:rPr>
          <w:rFonts w:ascii="Times New Roman" w:hAnsi="Times New Roman"/>
          <w:sz w:val="24"/>
          <w:szCs w:val="24"/>
        </w:rPr>
        <w:t xml:space="preserve">Abraham, A. G., Strickler, H. D., Jing, Y., Gange, S. J., Sterling, T. R., Silverberg, M., ... and D'Souza, G. (2013). Invasive cervical cancer risk among HIV-infected women: A North American multicenter collaboration prospective study. Journal of Acquired Immune Deficiency Syndromes, </w:t>
      </w:r>
      <w:r>
        <w:rPr>
          <w:rFonts w:ascii="Times New Roman" w:hAnsi="Times New Roman"/>
          <w:bCs/>
          <w:sz w:val="24"/>
          <w:szCs w:val="24"/>
        </w:rPr>
        <w:t>62</w:t>
      </w:r>
      <w:r>
        <w:rPr>
          <w:rFonts w:ascii="Times New Roman" w:hAnsi="Times New Roman"/>
          <w:sz w:val="24"/>
          <w:szCs w:val="24"/>
        </w:rPr>
        <w:t>(4), 405-413.</w:t>
      </w:r>
    </w:p>
    <w:p w14:paraId="2946264C" w14:textId="7E235C4A" w:rsidR="00460A8A" w:rsidRDefault="00460A8A">
      <w:pPr>
        <w:pStyle w:val="NoSpacing"/>
        <w:ind w:left="720" w:hanging="720"/>
        <w:rPr>
          <w:rFonts w:ascii="Times New Roman" w:hAnsi="Times New Roman"/>
          <w:sz w:val="24"/>
          <w:szCs w:val="24"/>
        </w:rPr>
      </w:pPr>
    </w:p>
    <w:p w14:paraId="0337F400" w14:textId="77777777" w:rsidR="00460A8A" w:rsidRDefault="00957453">
      <w:pPr>
        <w:pStyle w:val="NoSpacing"/>
        <w:ind w:left="720" w:hanging="720"/>
        <w:rPr>
          <w:rFonts w:ascii="Times New Roman" w:hAnsi="Times New Roman"/>
          <w:sz w:val="24"/>
          <w:szCs w:val="24"/>
        </w:rPr>
      </w:pPr>
      <w:r>
        <w:rPr>
          <w:rFonts w:ascii="Times New Roman" w:hAnsi="Times New Roman"/>
          <w:sz w:val="24"/>
          <w:szCs w:val="24"/>
        </w:rPr>
        <w:t xml:space="preserve">Abiodun, O. A., </w:t>
      </w:r>
      <w:proofErr w:type="spellStart"/>
      <w:r>
        <w:rPr>
          <w:rFonts w:ascii="Times New Roman" w:hAnsi="Times New Roman"/>
          <w:sz w:val="24"/>
          <w:szCs w:val="24"/>
        </w:rPr>
        <w:t>Fatungase</w:t>
      </w:r>
      <w:proofErr w:type="spellEnd"/>
      <w:r>
        <w:rPr>
          <w:rFonts w:ascii="Times New Roman" w:hAnsi="Times New Roman"/>
          <w:sz w:val="24"/>
          <w:szCs w:val="24"/>
        </w:rPr>
        <w:t>, O. K., and Olu-Abiodun, O. O. (2013). An assessment of women's awareness and knowledge about cervical cancer and screening and the barriers to cervical screening in Ogun State, Nigeria. IOSR Journal of Dental and Medical Sciences, 10(3), 52–58. DOI: 10.9790/0853</w:t>
      </w:r>
      <w:r>
        <w:rPr>
          <w:rFonts w:ascii="Times New Roman" w:hAnsi="Times New Roman"/>
          <w:sz w:val="24"/>
          <w:szCs w:val="24"/>
        </w:rPr>
        <w:noBreakHyphen/>
        <w:t>1035258.</w:t>
      </w:r>
    </w:p>
    <w:p w14:paraId="149854EE" w14:textId="77777777" w:rsidR="00460A8A" w:rsidRDefault="00957453">
      <w:pPr>
        <w:pStyle w:val="NoSpacing"/>
        <w:ind w:left="720" w:hanging="720"/>
        <w:rPr>
          <w:rFonts w:ascii="Times New Roman" w:hAnsi="Times New Roman"/>
          <w:sz w:val="24"/>
          <w:szCs w:val="24"/>
        </w:rPr>
      </w:pPr>
      <w:r>
        <w:rPr>
          <w:rFonts w:ascii="Times New Roman" w:hAnsi="Times New Roman"/>
          <w:sz w:val="24"/>
          <w:szCs w:val="24"/>
        </w:rPr>
        <w:t xml:space="preserve">Adler, D. H., Wallace, M., Bennie, T., </w:t>
      </w:r>
      <w:proofErr w:type="spellStart"/>
      <w:r>
        <w:rPr>
          <w:rFonts w:ascii="Times New Roman" w:hAnsi="Times New Roman"/>
          <w:sz w:val="24"/>
          <w:szCs w:val="24"/>
        </w:rPr>
        <w:t>Mrubata</w:t>
      </w:r>
      <w:proofErr w:type="spellEnd"/>
      <w:r>
        <w:rPr>
          <w:rFonts w:ascii="Times New Roman" w:hAnsi="Times New Roman"/>
          <w:sz w:val="24"/>
          <w:szCs w:val="24"/>
        </w:rPr>
        <w:t>, M., Abar, B., Meiring, T. L., Williamson, A. L., and Bekker, L. G. (2020). High risk human papillomavirus persistence among HIV-infected young women in South Africa. International Journal of Infectious Diseases, 87, 40-46.</w:t>
      </w:r>
    </w:p>
    <w:p w14:paraId="32FEF965" w14:textId="77777777" w:rsidR="00460A8A" w:rsidRDefault="00957453">
      <w:pPr>
        <w:pStyle w:val="NoSpacing"/>
        <w:ind w:left="720" w:hanging="720"/>
        <w:rPr>
          <w:rFonts w:ascii="Times New Roman" w:hAnsi="Times New Roman"/>
          <w:sz w:val="24"/>
          <w:szCs w:val="24"/>
        </w:rPr>
      </w:pPr>
      <w:bookmarkStart w:id="1" w:name="_Hlk204448656"/>
      <w:r>
        <w:rPr>
          <w:rFonts w:ascii="Times New Roman" w:hAnsi="Times New Roman"/>
          <w:sz w:val="24"/>
          <w:szCs w:val="24"/>
        </w:rPr>
        <w:t>Chigbu, C. O., and Aniebue, U. U. (2017). Why southeastern Nigerian women who are aware of cervical cancer screening do not go for cervical cancer screening. International Journal of Gynecological Cancer, 27(4), 918–924.</w:t>
      </w:r>
    </w:p>
    <w:bookmarkEnd w:id="1"/>
    <w:p w14:paraId="7AB25461" w14:textId="77777777" w:rsidR="00460A8A" w:rsidRDefault="00957453">
      <w:pPr>
        <w:pStyle w:val="NoSpacing"/>
        <w:ind w:left="720" w:hanging="720"/>
        <w:rPr>
          <w:rFonts w:ascii="Times New Roman" w:hAnsi="Times New Roman"/>
          <w:sz w:val="24"/>
          <w:szCs w:val="24"/>
        </w:rPr>
      </w:pPr>
      <w:r>
        <w:rPr>
          <w:rFonts w:ascii="Times New Roman" w:hAnsi="Times New Roman"/>
          <w:sz w:val="24"/>
          <w:szCs w:val="24"/>
        </w:rPr>
        <w:lastRenderedPageBreak/>
        <w:t xml:space="preserve">Denny, L., Adewole, I., </w:t>
      </w:r>
      <w:proofErr w:type="spellStart"/>
      <w:r>
        <w:rPr>
          <w:rFonts w:ascii="Times New Roman" w:hAnsi="Times New Roman"/>
          <w:sz w:val="24"/>
          <w:szCs w:val="24"/>
        </w:rPr>
        <w:t>Anorlu</w:t>
      </w:r>
      <w:proofErr w:type="spellEnd"/>
      <w:r>
        <w:rPr>
          <w:rFonts w:ascii="Times New Roman" w:hAnsi="Times New Roman"/>
          <w:sz w:val="24"/>
          <w:szCs w:val="24"/>
        </w:rPr>
        <w:t xml:space="preserve">, R., Dreyer, G., Moodley, M., Smith, T., Snyman, L., Wiredu, E., </w:t>
      </w:r>
      <w:proofErr w:type="spellStart"/>
      <w:r>
        <w:rPr>
          <w:rFonts w:ascii="Times New Roman" w:hAnsi="Times New Roman"/>
          <w:sz w:val="24"/>
          <w:szCs w:val="24"/>
        </w:rPr>
        <w:t>Molijn</w:t>
      </w:r>
      <w:proofErr w:type="spellEnd"/>
      <w:r>
        <w:rPr>
          <w:rFonts w:ascii="Times New Roman" w:hAnsi="Times New Roman"/>
          <w:sz w:val="24"/>
          <w:szCs w:val="24"/>
        </w:rPr>
        <w:t>, A., Quint, W., Ramakrishnan, G., and Schmidt, J. (2017). Human papillomavirus prevalence and type distribution in invasive cervical cancer in sub-Saharan Africa. International Journal of Cancer, 134(6), 1389-1398.</w:t>
      </w:r>
    </w:p>
    <w:p w14:paraId="265C1263" w14:textId="77777777" w:rsidR="00460A8A" w:rsidRDefault="00957453">
      <w:pPr>
        <w:pStyle w:val="NoSpacing"/>
        <w:ind w:left="720" w:hanging="720"/>
        <w:rPr>
          <w:rFonts w:ascii="Times New Roman" w:hAnsi="Times New Roman"/>
          <w:sz w:val="24"/>
          <w:szCs w:val="24"/>
        </w:rPr>
      </w:pPr>
      <w:r>
        <w:rPr>
          <w:rFonts w:ascii="Times New Roman" w:hAnsi="Times New Roman"/>
          <w:sz w:val="24"/>
          <w:szCs w:val="24"/>
        </w:rPr>
        <w:t xml:space="preserve">Denslow, S. A., </w:t>
      </w:r>
      <w:proofErr w:type="spellStart"/>
      <w:r>
        <w:rPr>
          <w:rFonts w:ascii="Times New Roman" w:hAnsi="Times New Roman"/>
          <w:sz w:val="24"/>
          <w:szCs w:val="24"/>
        </w:rPr>
        <w:t>Rositch</w:t>
      </w:r>
      <w:proofErr w:type="spellEnd"/>
      <w:r>
        <w:rPr>
          <w:rFonts w:ascii="Times New Roman" w:hAnsi="Times New Roman"/>
          <w:sz w:val="24"/>
          <w:szCs w:val="24"/>
        </w:rPr>
        <w:t xml:space="preserve">, A. F., Firnhaber, C., Ting, J., and Smith, J. S. (2014). Incidence and progression of cervical lesions in women with HIV: A systematic global review. International Journal of STD and AIDS, </w:t>
      </w:r>
      <w:r>
        <w:rPr>
          <w:rFonts w:ascii="Times New Roman" w:hAnsi="Times New Roman"/>
          <w:bCs/>
          <w:sz w:val="24"/>
          <w:szCs w:val="24"/>
        </w:rPr>
        <w:t>25</w:t>
      </w:r>
      <w:r>
        <w:rPr>
          <w:rFonts w:ascii="Times New Roman" w:hAnsi="Times New Roman"/>
          <w:sz w:val="24"/>
          <w:szCs w:val="24"/>
        </w:rPr>
        <w:t>(3), 163-177.</w:t>
      </w:r>
    </w:p>
    <w:p w14:paraId="1480B441" w14:textId="51621F09" w:rsidR="00460A8A" w:rsidRDefault="00957453" w:rsidP="0025028F">
      <w:pPr>
        <w:pStyle w:val="NoSpacing"/>
        <w:ind w:left="720" w:hanging="720"/>
        <w:rPr>
          <w:rFonts w:ascii="Times New Roman" w:hAnsi="Times New Roman"/>
          <w:sz w:val="24"/>
          <w:szCs w:val="24"/>
        </w:rPr>
      </w:pPr>
      <w:r>
        <w:rPr>
          <w:rFonts w:ascii="Times New Roman" w:hAnsi="Times New Roman"/>
          <w:sz w:val="24"/>
          <w:szCs w:val="24"/>
        </w:rPr>
        <w:t xml:space="preserve">Ezechi, O. C., Petterson, K. O., </w:t>
      </w:r>
      <w:proofErr w:type="spellStart"/>
      <w:r>
        <w:rPr>
          <w:rFonts w:ascii="Times New Roman" w:hAnsi="Times New Roman"/>
          <w:sz w:val="24"/>
          <w:szCs w:val="24"/>
        </w:rPr>
        <w:t>Gabajabiamila</w:t>
      </w:r>
      <w:proofErr w:type="spellEnd"/>
      <w:r>
        <w:rPr>
          <w:rFonts w:ascii="Times New Roman" w:hAnsi="Times New Roman"/>
          <w:sz w:val="24"/>
          <w:szCs w:val="24"/>
        </w:rPr>
        <w:t xml:space="preserve">, T. A., </w:t>
      </w:r>
      <w:proofErr w:type="spellStart"/>
      <w:r>
        <w:rPr>
          <w:rFonts w:ascii="Times New Roman" w:hAnsi="Times New Roman"/>
          <w:sz w:val="24"/>
          <w:szCs w:val="24"/>
        </w:rPr>
        <w:t>Idigbe</w:t>
      </w:r>
      <w:proofErr w:type="spellEnd"/>
      <w:r>
        <w:rPr>
          <w:rFonts w:ascii="Times New Roman" w:hAnsi="Times New Roman"/>
          <w:sz w:val="24"/>
          <w:szCs w:val="24"/>
        </w:rPr>
        <w:t xml:space="preserve">, I. E., </w:t>
      </w:r>
      <w:proofErr w:type="spellStart"/>
      <w:r>
        <w:rPr>
          <w:rFonts w:ascii="Times New Roman" w:hAnsi="Times New Roman"/>
          <w:sz w:val="24"/>
          <w:szCs w:val="24"/>
        </w:rPr>
        <w:t>Kuyoro</w:t>
      </w:r>
      <w:proofErr w:type="spellEnd"/>
      <w:r>
        <w:rPr>
          <w:rFonts w:ascii="Times New Roman" w:hAnsi="Times New Roman"/>
          <w:sz w:val="24"/>
          <w:szCs w:val="24"/>
        </w:rPr>
        <w:t xml:space="preserve">, O., </w:t>
      </w:r>
      <w:proofErr w:type="spellStart"/>
      <w:r>
        <w:rPr>
          <w:rFonts w:ascii="Times New Roman" w:hAnsi="Times New Roman"/>
          <w:sz w:val="24"/>
          <w:szCs w:val="24"/>
        </w:rPr>
        <w:t>Ujah</w:t>
      </w:r>
      <w:proofErr w:type="spellEnd"/>
      <w:r>
        <w:rPr>
          <w:rFonts w:ascii="Times New Roman" w:hAnsi="Times New Roman"/>
          <w:sz w:val="24"/>
          <w:szCs w:val="24"/>
        </w:rPr>
        <w:t>, I. A. O., and Ostergren, P. O. (2021). Predictors of abnormal cervical cytology among HIV-positive women in Lagos, Nigeria. International Journal of Gynecology and Obstetrics, 126(3), 231-234</w:t>
      </w:r>
    </w:p>
    <w:p w14:paraId="288FDE15" w14:textId="77777777" w:rsidR="00460A8A" w:rsidRDefault="00957453">
      <w:pPr>
        <w:pStyle w:val="NoSpacing"/>
        <w:ind w:left="720" w:hanging="720"/>
        <w:rPr>
          <w:rFonts w:ascii="Times New Roman" w:hAnsi="Times New Roman"/>
          <w:sz w:val="24"/>
          <w:szCs w:val="24"/>
        </w:rPr>
      </w:pPr>
      <w:proofErr w:type="spellStart"/>
      <w:r>
        <w:rPr>
          <w:rFonts w:ascii="Times New Roman" w:hAnsi="Times New Roman"/>
          <w:sz w:val="24"/>
          <w:szCs w:val="24"/>
        </w:rPr>
        <w:t>Ferlay</w:t>
      </w:r>
      <w:proofErr w:type="spellEnd"/>
      <w:r>
        <w:rPr>
          <w:rFonts w:ascii="Times New Roman" w:hAnsi="Times New Roman"/>
          <w:sz w:val="24"/>
          <w:szCs w:val="24"/>
        </w:rPr>
        <w:t xml:space="preserve">, J., </w:t>
      </w:r>
      <w:proofErr w:type="spellStart"/>
      <w:r>
        <w:rPr>
          <w:rFonts w:ascii="Times New Roman" w:hAnsi="Times New Roman"/>
          <w:sz w:val="24"/>
          <w:szCs w:val="24"/>
        </w:rPr>
        <w:t>Soerjomataram</w:t>
      </w:r>
      <w:proofErr w:type="spellEnd"/>
      <w:r>
        <w:rPr>
          <w:rFonts w:ascii="Times New Roman" w:hAnsi="Times New Roman"/>
          <w:sz w:val="24"/>
          <w:szCs w:val="24"/>
        </w:rPr>
        <w:t xml:space="preserve">, I., Dikshit, R., Eser, S., Mathers, C., Rebelo, M. and Bray, F. (2015). Cancer incidence and mortality worldwide: Sources, methods and major patterns in GLOBOCAN 2012. International Journal of Cancer, </w:t>
      </w:r>
      <w:r>
        <w:rPr>
          <w:rFonts w:ascii="Times New Roman" w:hAnsi="Times New Roman"/>
          <w:bCs/>
          <w:sz w:val="24"/>
          <w:szCs w:val="24"/>
        </w:rPr>
        <w:t>136</w:t>
      </w:r>
      <w:r>
        <w:rPr>
          <w:rFonts w:ascii="Times New Roman" w:hAnsi="Times New Roman"/>
          <w:sz w:val="24"/>
          <w:szCs w:val="24"/>
        </w:rPr>
        <w:t>(5), E359-E386.</w:t>
      </w:r>
    </w:p>
    <w:p w14:paraId="32479582" w14:textId="77777777" w:rsidR="00460A8A" w:rsidRDefault="00957453">
      <w:pPr>
        <w:pStyle w:val="NoSpacing"/>
        <w:ind w:left="720" w:hanging="720"/>
        <w:rPr>
          <w:rFonts w:ascii="Times New Roman" w:hAnsi="Times New Roman"/>
          <w:sz w:val="24"/>
          <w:szCs w:val="24"/>
        </w:rPr>
      </w:pPr>
      <w:r>
        <w:rPr>
          <w:rFonts w:ascii="Times New Roman" w:hAnsi="Times New Roman"/>
          <w:sz w:val="24"/>
          <w:szCs w:val="24"/>
        </w:rPr>
        <w:t>Field, A. (2013). Discovering Statistics Using IBM SPSS Statistics (4th ed.). Sage Publication ISBN: ISBN 978-1446249185.</w:t>
      </w:r>
      <w:r>
        <w:rPr>
          <w:rFonts w:ascii="Times New Roman" w:hAnsi="Times New Roman"/>
          <w:sz w:val="24"/>
          <w:szCs w:val="24"/>
        </w:rPr>
        <w:br/>
        <w:t>Publisher link: </w:t>
      </w:r>
      <w:hyperlink r:id="rId15" w:history="1">
        <w:r>
          <w:rPr>
            <w:rStyle w:val="Hyperlink"/>
            <w:rFonts w:ascii="Times New Roman" w:hAnsi="Times New Roman"/>
            <w:sz w:val="24"/>
            <w:szCs w:val="24"/>
          </w:rPr>
          <w:t>https://us.sagepub.com/en-us/nam/discovering-statistics-using-ibm-spss-statistics/book236067</w:t>
        </w:r>
      </w:hyperlink>
    </w:p>
    <w:p w14:paraId="7F3F79CF" w14:textId="27223334" w:rsidR="00460A8A" w:rsidRDefault="00957453">
      <w:pPr>
        <w:pStyle w:val="NoSpacing"/>
        <w:ind w:left="720" w:hanging="720"/>
        <w:rPr>
          <w:rFonts w:ascii="Times New Roman" w:hAnsi="Times New Roman"/>
          <w:sz w:val="24"/>
          <w:szCs w:val="24"/>
        </w:rPr>
      </w:pPr>
      <w:r>
        <w:rPr>
          <w:rFonts w:ascii="Times New Roman" w:hAnsi="Times New Roman"/>
          <w:sz w:val="24"/>
          <w:szCs w:val="24"/>
        </w:rPr>
        <w:t xml:space="preserve">Jaquet, A., Horo, A., </w:t>
      </w:r>
      <w:proofErr w:type="spellStart"/>
      <w:r>
        <w:rPr>
          <w:rFonts w:ascii="Times New Roman" w:hAnsi="Times New Roman"/>
          <w:sz w:val="24"/>
          <w:szCs w:val="24"/>
        </w:rPr>
        <w:t>Ekouevi</w:t>
      </w:r>
      <w:proofErr w:type="spellEnd"/>
      <w:r>
        <w:rPr>
          <w:rFonts w:ascii="Times New Roman" w:hAnsi="Times New Roman"/>
          <w:sz w:val="24"/>
          <w:szCs w:val="24"/>
        </w:rPr>
        <w:t>, D. K., Toure, B., Coffie, P. A., Effi, B., Messou, E., Minga, A., Moh, R., Kone, M., Dabis, F., and</w:t>
      </w:r>
      <w:r w:rsidR="00E53FDC">
        <w:rPr>
          <w:rFonts w:ascii="Times New Roman" w:hAnsi="Times New Roman"/>
          <w:sz w:val="24"/>
          <w:szCs w:val="24"/>
        </w:rPr>
        <w:t xml:space="preserve"> </w:t>
      </w:r>
      <w:proofErr w:type="spellStart"/>
      <w:r>
        <w:rPr>
          <w:rFonts w:ascii="Times New Roman" w:hAnsi="Times New Roman"/>
          <w:sz w:val="24"/>
          <w:szCs w:val="24"/>
        </w:rPr>
        <w:t>Sasco</w:t>
      </w:r>
      <w:proofErr w:type="spellEnd"/>
      <w:r>
        <w:rPr>
          <w:rFonts w:ascii="Times New Roman" w:hAnsi="Times New Roman"/>
          <w:sz w:val="24"/>
          <w:szCs w:val="24"/>
        </w:rPr>
        <w:t>, A. J. (2019). Cervical human papillomavirus and HIV infection in women of child-bearing age in Abidjan, Côte d'Ivoire. British Journal of Cancer, 107(3), 556- 563.</w:t>
      </w:r>
    </w:p>
    <w:p w14:paraId="4130F562" w14:textId="4BFC9950" w:rsidR="00460A8A" w:rsidRDefault="00957453">
      <w:pPr>
        <w:pStyle w:val="NoSpacing"/>
        <w:ind w:left="720" w:hanging="720"/>
        <w:rPr>
          <w:rFonts w:ascii="Times New Roman" w:hAnsi="Times New Roman"/>
          <w:sz w:val="24"/>
          <w:szCs w:val="24"/>
        </w:rPr>
      </w:pPr>
      <w:proofErr w:type="spellStart"/>
      <w:r>
        <w:rPr>
          <w:rFonts w:ascii="Times New Roman" w:hAnsi="Times New Roman"/>
          <w:sz w:val="24"/>
          <w:szCs w:val="24"/>
        </w:rPr>
        <w:t>Jedy-Agba</w:t>
      </w:r>
      <w:proofErr w:type="spellEnd"/>
      <w:r>
        <w:rPr>
          <w:rFonts w:ascii="Times New Roman" w:hAnsi="Times New Roman"/>
          <w:sz w:val="24"/>
          <w:szCs w:val="24"/>
        </w:rPr>
        <w:t xml:space="preserve">, E., Curado, M. P., Ogunbiyi, O., Oga, E., </w:t>
      </w:r>
      <w:proofErr w:type="spellStart"/>
      <w:r>
        <w:rPr>
          <w:rFonts w:ascii="Times New Roman" w:hAnsi="Times New Roman"/>
          <w:sz w:val="24"/>
          <w:szCs w:val="24"/>
        </w:rPr>
        <w:t>Fabowale</w:t>
      </w:r>
      <w:proofErr w:type="spellEnd"/>
      <w:r>
        <w:rPr>
          <w:rFonts w:ascii="Times New Roman" w:hAnsi="Times New Roman"/>
          <w:sz w:val="24"/>
          <w:szCs w:val="24"/>
        </w:rPr>
        <w:t xml:space="preserve">, T., </w:t>
      </w:r>
      <w:proofErr w:type="spellStart"/>
      <w:r>
        <w:rPr>
          <w:rFonts w:ascii="Times New Roman" w:hAnsi="Times New Roman"/>
          <w:sz w:val="24"/>
          <w:szCs w:val="24"/>
        </w:rPr>
        <w:t>Igbinoba</w:t>
      </w:r>
      <w:proofErr w:type="spellEnd"/>
      <w:r>
        <w:rPr>
          <w:rFonts w:ascii="Times New Roman" w:hAnsi="Times New Roman"/>
          <w:sz w:val="24"/>
          <w:szCs w:val="24"/>
        </w:rPr>
        <w:t xml:space="preserve">, F., ... and </w:t>
      </w:r>
      <w:proofErr w:type="spellStart"/>
      <w:r>
        <w:rPr>
          <w:rFonts w:ascii="Times New Roman" w:hAnsi="Times New Roman"/>
          <w:sz w:val="24"/>
          <w:szCs w:val="24"/>
        </w:rPr>
        <w:t>Adebamowo</w:t>
      </w:r>
      <w:proofErr w:type="spellEnd"/>
      <w:r>
        <w:rPr>
          <w:rFonts w:ascii="Times New Roman" w:hAnsi="Times New Roman"/>
          <w:sz w:val="24"/>
          <w:szCs w:val="24"/>
        </w:rPr>
        <w:t>, C. A. (201</w:t>
      </w:r>
      <w:r w:rsidR="00B732FC">
        <w:rPr>
          <w:rFonts w:ascii="Times New Roman" w:hAnsi="Times New Roman"/>
          <w:sz w:val="24"/>
          <w:szCs w:val="24"/>
        </w:rPr>
        <w:t>6</w:t>
      </w:r>
      <w:r>
        <w:rPr>
          <w:rFonts w:ascii="Times New Roman" w:hAnsi="Times New Roman"/>
          <w:sz w:val="24"/>
          <w:szCs w:val="24"/>
        </w:rPr>
        <w:t xml:space="preserve">). Cancer incidence in Nigeria: A report from population-based cancer registries. Cancer Epidemiology, </w:t>
      </w:r>
      <w:r>
        <w:rPr>
          <w:rFonts w:ascii="Times New Roman" w:hAnsi="Times New Roman"/>
          <w:bCs/>
          <w:sz w:val="24"/>
          <w:szCs w:val="24"/>
        </w:rPr>
        <w:t>36</w:t>
      </w:r>
      <w:r>
        <w:rPr>
          <w:rFonts w:ascii="Times New Roman" w:hAnsi="Times New Roman"/>
          <w:sz w:val="24"/>
          <w:szCs w:val="24"/>
        </w:rPr>
        <w:t>(5), e271-e278.</w:t>
      </w:r>
    </w:p>
    <w:p w14:paraId="0E427BC2" w14:textId="77777777" w:rsidR="00460A8A" w:rsidRDefault="00957453">
      <w:pPr>
        <w:pStyle w:val="NoSpacing"/>
        <w:ind w:left="720" w:hanging="720"/>
        <w:rPr>
          <w:rFonts w:ascii="Times New Roman" w:hAnsi="Times New Roman"/>
          <w:sz w:val="24"/>
          <w:szCs w:val="24"/>
        </w:rPr>
      </w:pPr>
      <w:r>
        <w:rPr>
          <w:rFonts w:ascii="Times New Roman" w:hAnsi="Times New Roman"/>
          <w:sz w:val="24"/>
          <w:szCs w:val="24"/>
        </w:rPr>
        <w:t xml:space="preserve">Kelly, H., </w:t>
      </w:r>
      <w:proofErr w:type="spellStart"/>
      <w:r>
        <w:rPr>
          <w:rFonts w:ascii="Times New Roman" w:hAnsi="Times New Roman"/>
          <w:sz w:val="24"/>
          <w:szCs w:val="24"/>
        </w:rPr>
        <w:t>Mayaud</w:t>
      </w:r>
      <w:proofErr w:type="spellEnd"/>
      <w:r>
        <w:rPr>
          <w:rFonts w:ascii="Times New Roman" w:hAnsi="Times New Roman"/>
          <w:sz w:val="24"/>
          <w:szCs w:val="24"/>
        </w:rPr>
        <w:t xml:space="preserve">, P., </w:t>
      </w:r>
      <w:proofErr w:type="spellStart"/>
      <w:r>
        <w:rPr>
          <w:rFonts w:ascii="Times New Roman" w:hAnsi="Times New Roman"/>
          <w:sz w:val="24"/>
          <w:szCs w:val="24"/>
        </w:rPr>
        <w:t>Segondy</w:t>
      </w:r>
      <w:proofErr w:type="spellEnd"/>
      <w:r>
        <w:rPr>
          <w:rFonts w:ascii="Times New Roman" w:hAnsi="Times New Roman"/>
          <w:sz w:val="24"/>
          <w:szCs w:val="24"/>
        </w:rPr>
        <w:t>, M., Pant Pai, N., and Peeling, R. W. (2018). A systematic review and meta-analysis of studies evaluating the performance of point-of-care tests for human papillomavirus screening. Sexually Transmitted Infections, 93(S4), S36-S45.</w:t>
      </w:r>
    </w:p>
    <w:p w14:paraId="27927C13" w14:textId="67D6EFE8" w:rsidR="00460A8A" w:rsidRDefault="00957453">
      <w:pPr>
        <w:pStyle w:val="NoSpacing"/>
        <w:ind w:left="720" w:hanging="720"/>
        <w:rPr>
          <w:rFonts w:ascii="Times New Roman" w:hAnsi="Times New Roman"/>
          <w:sz w:val="24"/>
          <w:szCs w:val="24"/>
        </w:rPr>
      </w:pPr>
      <w:r>
        <w:rPr>
          <w:rFonts w:ascii="Times New Roman" w:hAnsi="Times New Roman"/>
          <w:sz w:val="24"/>
          <w:szCs w:val="24"/>
        </w:rPr>
        <w:t xml:space="preserve">Konopnicki, D., Gilles, C., Barlow, P., De Marchin, J., Feoli, F., Delforge, M., </w:t>
      </w:r>
      <w:proofErr w:type="spellStart"/>
      <w:r>
        <w:rPr>
          <w:rFonts w:ascii="Times New Roman" w:hAnsi="Times New Roman"/>
          <w:sz w:val="24"/>
          <w:szCs w:val="24"/>
        </w:rPr>
        <w:t>Clumeck</w:t>
      </w:r>
      <w:proofErr w:type="spellEnd"/>
      <w:r>
        <w:rPr>
          <w:rFonts w:ascii="Times New Roman" w:hAnsi="Times New Roman"/>
          <w:sz w:val="24"/>
          <w:szCs w:val="24"/>
        </w:rPr>
        <w:t>, N., and De Wit, S. (2016). High-risk human papillomavirus infection in HIV-positive African women living in Europe. Journal of the International AIDS Society, 16(1), 18023.</w:t>
      </w:r>
    </w:p>
    <w:p w14:paraId="5DA31EE0" w14:textId="77777777" w:rsidR="00460A8A" w:rsidRDefault="00957453">
      <w:pPr>
        <w:pStyle w:val="NoSpacing"/>
        <w:ind w:left="720" w:hanging="720"/>
        <w:rPr>
          <w:rFonts w:ascii="Times New Roman" w:hAnsi="Times New Roman"/>
          <w:sz w:val="24"/>
          <w:szCs w:val="24"/>
        </w:rPr>
      </w:pPr>
      <w:r>
        <w:rPr>
          <w:rFonts w:ascii="Times New Roman" w:hAnsi="Times New Roman"/>
          <w:sz w:val="24"/>
          <w:szCs w:val="24"/>
        </w:rPr>
        <w:t>Medeiros, L. R., et al. (2022). Parity and the risk of cervical intraepithelial neoplasia: Systematic review and meta-analysis. International Journal of Gynecology and Obstetrics, 156(1), 10–17.</w:t>
      </w:r>
    </w:p>
    <w:p w14:paraId="05F88105" w14:textId="60001A23" w:rsidR="00A50255" w:rsidRDefault="00957453" w:rsidP="00A50255">
      <w:pPr>
        <w:pStyle w:val="NoSpacing"/>
        <w:ind w:left="720" w:hanging="720"/>
        <w:rPr>
          <w:rFonts w:ascii="Times New Roman" w:hAnsi="Times New Roman"/>
          <w:sz w:val="24"/>
          <w:szCs w:val="24"/>
        </w:rPr>
      </w:pPr>
      <w:r>
        <w:rPr>
          <w:rFonts w:ascii="Times New Roman" w:hAnsi="Times New Roman"/>
          <w:sz w:val="24"/>
          <w:szCs w:val="24"/>
        </w:rPr>
        <w:t xml:space="preserve">Menon, S., </w:t>
      </w:r>
      <w:proofErr w:type="spellStart"/>
      <w:r>
        <w:rPr>
          <w:rFonts w:ascii="Times New Roman" w:hAnsi="Times New Roman"/>
          <w:sz w:val="24"/>
          <w:szCs w:val="24"/>
        </w:rPr>
        <w:t>Mabeya</w:t>
      </w:r>
      <w:proofErr w:type="spellEnd"/>
      <w:r>
        <w:rPr>
          <w:rFonts w:ascii="Times New Roman" w:hAnsi="Times New Roman"/>
          <w:sz w:val="24"/>
          <w:szCs w:val="24"/>
        </w:rPr>
        <w:t xml:space="preserve">, H., </w:t>
      </w:r>
      <w:proofErr w:type="spellStart"/>
      <w:r>
        <w:rPr>
          <w:rFonts w:ascii="Times New Roman" w:hAnsi="Times New Roman"/>
          <w:sz w:val="24"/>
          <w:szCs w:val="24"/>
        </w:rPr>
        <w:t>Luchters</w:t>
      </w:r>
      <w:proofErr w:type="spellEnd"/>
      <w:r>
        <w:rPr>
          <w:rFonts w:ascii="Times New Roman" w:hAnsi="Times New Roman"/>
          <w:sz w:val="24"/>
          <w:szCs w:val="24"/>
        </w:rPr>
        <w:t xml:space="preserve">, S., Forland, F., Callens, S., and Vanden Broeck, D. (2018). Epidemiology of HPV genotypes among HIV positive women in Kenya: a systematic review and meta-analysis. </w:t>
      </w:r>
      <w:proofErr w:type="spellStart"/>
      <w:r>
        <w:rPr>
          <w:rFonts w:ascii="Times New Roman" w:hAnsi="Times New Roman"/>
          <w:sz w:val="24"/>
          <w:szCs w:val="24"/>
        </w:rPr>
        <w:t>PLoS</w:t>
      </w:r>
      <w:proofErr w:type="spellEnd"/>
      <w:r>
        <w:rPr>
          <w:rFonts w:ascii="Times New Roman" w:hAnsi="Times New Roman"/>
          <w:sz w:val="24"/>
          <w:szCs w:val="24"/>
        </w:rPr>
        <w:t xml:space="preserve"> One, 11(10), e0163965.</w:t>
      </w:r>
    </w:p>
    <w:p w14:paraId="21DA4AA2" w14:textId="5794E3EB" w:rsidR="00AE34AA" w:rsidRDefault="00AE34AA">
      <w:pPr>
        <w:pStyle w:val="NoSpacing"/>
        <w:ind w:left="720" w:hanging="720"/>
        <w:rPr>
          <w:rFonts w:ascii="Times New Roman" w:hAnsi="Times New Roman"/>
          <w:sz w:val="24"/>
          <w:szCs w:val="24"/>
        </w:rPr>
      </w:pPr>
      <w:r>
        <w:rPr>
          <w:rFonts w:ascii="Times New Roman" w:hAnsi="Times New Roman"/>
          <w:sz w:val="24"/>
          <w:szCs w:val="24"/>
        </w:rPr>
        <w:t>Okoye, J. O., Aniebue, P. N., &amp; Aguwa, E. N. (2022). Knowledge and risk perception of cervical cancer among women in Enugu, Southeast Nigeria. BMC Public Health, 22(1), 1105.</w:t>
      </w:r>
    </w:p>
    <w:p w14:paraId="29C2500B" w14:textId="77777777" w:rsidR="00460A8A" w:rsidRDefault="00957453">
      <w:pPr>
        <w:pStyle w:val="NoSpacing"/>
        <w:ind w:left="720" w:hanging="720"/>
        <w:rPr>
          <w:rFonts w:ascii="Times New Roman" w:hAnsi="Times New Roman"/>
          <w:sz w:val="24"/>
          <w:szCs w:val="24"/>
        </w:rPr>
      </w:pPr>
      <w:r>
        <w:rPr>
          <w:rFonts w:ascii="Times New Roman" w:hAnsi="Times New Roman"/>
          <w:sz w:val="24"/>
          <w:szCs w:val="24"/>
        </w:rPr>
        <w:t xml:space="preserve">Okunade, K. S., Nwogu, C. M., Oluwole, A. A., </w:t>
      </w:r>
      <w:proofErr w:type="spellStart"/>
      <w:r>
        <w:rPr>
          <w:rFonts w:ascii="Times New Roman" w:hAnsi="Times New Roman"/>
          <w:sz w:val="24"/>
          <w:szCs w:val="24"/>
        </w:rPr>
        <w:t>andAnorlu</w:t>
      </w:r>
      <w:proofErr w:type="spellEnd"/>
      <w:r>
        <w:rPr>
          <w:rFonts w:ascii="Times New Roman" w:hAnsi="Times New Roman"/>
          <w:sz w:val="24"/>
          <w:szCs w:val="24"/>
        </w:rPr>
        <w:t>, R. I. (2017). Prevalence and risk factors for genital high-risk human papillomavirus infection among women attending the outpatient clinics of a university teaching hospital in Lagos, Nigeria. The Pan African Medical Journal, 28, 227</w:t>
      </w:r>
    </w:p>
    <w:p w14:paraId="64B90AA9" w14:textId="5DC9EC37" w:rsidR="00181A15" w:rsidRDefault="00181A15">
      <w:pPr>
        <w:pStyle w:val="NoSpacing"/>
        <w:ind w:left="720" w:hanging="720"/>
        <w:rPr>
          <w:rFonts w:ascii="Times New Roman" w:hAnsi="Times New Roman"/>
          <w:sz w:val="24"/>
          <w:szCs w:val="24"/>
        </w:rPr>
      </w:pPr>
      <w:bookmarkStart w:id="2" w:name="_Hlk204448195"/>
      <w:r>
        <w:rPr>
          <w:rFonts w:ascii="Times New Roman" w:hAnsi="Times New Roman"/>
          <w:sz w:val="24"/>
          <w:szCs w:val="24"/>
        </w:rPr>
        <w:t xml:space="preserve">Olubodun. T., </w:t>
      </w:r>
      <w:proofErr w:type="spellStart"/>
      <w:r>
        <w:rPr>
          <w:rFonts w:ascii="Times New Roman" w:hAnsi="Times New Roman"/>
          <w:sz w:val="24"/>
          <w:szCs w:val="24"/>
        </w:rPr>
        <w:t>Odukoya</w:t>
      </w:r>
      <w:proofErr w:type="spellEnd"/>
      <w:r>
        <w:rPr>
          <w:rFonts w:ascii="Times New Roman" w:hAnsi="Times New Roman"/>
          <w:sz w:val="24"/>
          <w:szCs w:val="24"/>
        </w:rPr>
        <w:t>, O. O., &amp; Balogun, M. R. (2019). Knowledge, attitude and practice of cervical cancer prevention among women residing in the urban slum in Lagos, South-West Nigeria. Pan Africa Medical Journal, 32, Article 130.</w:t>
      </w:r>
    </w:p>
    <w:bookmarkEnd w:id="2"/>
    <w:p w14:paraId="2E560131" w14:textId="24E69009" w:rsidR="00A50255" w:rsidRPr="00A50255" w:rsidRDefault="00A50255" w:rsidP="00A50255">
      <w:pPr>
        <w:spacing w:after="0" w:line="240" w:lineRule="auto"/>
        <w:ind w:left="720" w:hanging="720"/>
        <w:rPr>
          <w:rFonts w:ascii="Times New Roman" w:hAnsi="Times New Roman"/>
          <w:sz w:val="24"/>
          <w:szCs w:val="24"/>
        </w:rPr>
      </w:pPr>
      <w:r w:rsidRPr="00A50255">
        <w:rPr>
          <w:rFonts w:ascii="Times New Roman" w:hAnsi="Times New Roman"/>
          <w:sz w:val="24"/>
          <w:szCs w:val="24"/>
        </w:rPr>
        <w:lastRenderedPageBreak/>
        <w:t>Omole-</w:t>
      </w:r>
      <w:proofErr w:type="spellStart"/>
      <w:r w:rsidRPr="00A50255">
        <w:rPr>
          <w:rFonts w:ascii="Times New Roman" w:hAnsi="Times New Roman"/>
          <w:sz w:val="24"/>
          <w:szCs w:val="24"/>
        </w:rPr>
        <w:t>Ohonsi</w:t>
      </w:r>
      <w:proofErr w:type="spellEnd"/>
      <w:r w:rsidRPr="00A50255">
        <w:rPr>
          <w:rFonts w:ascii="Times New Roman" w:hAnsi="Times New Roman"/>
          <w:sz w:val="24"/>
          <w:szCs w:val="24"/>
        </w:rPr>
        <w:t>, A., &amp; Attah, R. A. (2010). Risk factors for cervical cancer among women in</w:t>
      </w:r>
      <w:r>
        <w:rPr>
          <w:rFonts w:ascii="Times New Roman" w:hAnsi="Times New Roman"/>
          <w:sz w:val="24"/>
          <w:szCs w:val="24"/>
        </w:rPr>
        <w:t xml:space="preserve"> </w:t>
      </w:r>
      <w:r w:rsidRPr="00A50255">
        <w:rPr>
          <w:rFonts w:ascii="Times New Roman" w:hAnsi="Times New Roman"/>
          <w:sz w:val="24"/>
          <w:szCs w:val="24"/>
        </w:rPr>
        <w:t>Kano, Northern Nigeria. Nigerian Medical Journal, 51(2), 78-82.</w:t>
      </w:r>
      <w:r>
        <w:rPr>
          <w:rFonts w:ascii="Times New Roman" w:hAnsi="Times New Roman"/>
          <w:sz w:val="24"/>
          <w:szCs w:val="24"/>
        </w:rPr>
        <w:t xml:space="preserve"> </w:t>
      </w:r>
      <w:hyperlink r:id="rId16" w:history="1">
        <w:r w:rsidRPr="00AB2DB3">
          <w:rPr>
            <w:rStyle w:val="Hyperlink"/>
            <w:rFonts w:ascii="Times New Roman" w:hAnsi="Times New Roman"/>
            <w:sz w:val="24"/>
            <w:szCs w:val="24"/>
            <w:shd w:val="clear" w:color="auto" w:fill="FFFFFF"/>
          </w:rPr>
          <w:t>https://doi.org/10.61386/imj.v6i1.101</w:t>
        </w:r>
      </w:hyperlink>
    </w:p>
    <w:p w14:paraId="00BBA6A8" w14:textId="6F857B22" w:rsidR="00460A8A" w:rsidRDefault="00957453">
      <w:pPr>
        <w:pStyle w:val="NoSpacing"/>
        <w:ind w:left="720" w:hanging="720"/>
        <w:rPr>
          <w:rStyle w:val="NoSpacingChar"/>
          <w:rFonts w:ascii="Times New Roman" w:hAnsi="Times New Roman"/>
        </w:rPr>
      </w:pPr>
      <w:proofErr w:type="spellStart"/>
      <w:r>
        <w:rPr>
          <w:rFonts w:ascii="Times New Roman" w:hAnsi="Times New Roman"/>
        </w:rPr>
        <w:t>Ovuakporaye</w:t>
      </w:r>
      <w:proofErr w:type="spellEnd"/>
      <w:r>
        <w:rPr>
          <w:rFonts w:ascii="Times New Roman" w:hAnsi="Times New Roman"/>
        </w:rPr>
        <w:t>, S</w:t>
      </w:r>
      <w:r w:rsidR="00487AF7">
        <w:rPr>
          <w:rFonts w:ascii="Times New Roman" w:hAnsi="Times New Roman"/>
        </w:rPr>
        <w:t xml:space="preserve">. </w:t>
      </w:r>
      <w:r>
        <w:rPr>
          <w:rFonts w:ascii="Times New Roman" w:hAnsi="Times New Roman"/>
        </w:rPr>
        <w:t xml:space="preserve">I, </w:t>
      </w:r>
      <w:proofErr w:type="spellStart"/>
      <w:r>
        <w:rPr>
          <w:rFonts w:ascii="Times New Roman" w:hAnsi="Times New Roman"/>
        </w:rPr>
        <w:t>Enaohwo</w:t>
      </w:r>
      <w:proofErr w:type="spellEnd"/>
      <w:r>
        <w:rPr>
          <w:rFonts w:ascii="Times New Roman" w:hAnsi="Times New Roman"/>
        </w:rPr>
        <w:t xml:space="preserve">, M.T., </w:t>
      </w:r>
      <w:proofErr w:type="spellStart"/>
      <w:r>
        <w:rPr>
          <w:rFonts w:ascii="Times New Roman" w:hAnsi="Times New Roman"/>
        </w:rPr>
        <w:t>Mordi</w:t>
      </w:r>
      <w:proofErr w:type="spellEnd"/>
      <w:r>
        <w:rPr>
          <w:rFonts w:ascii="Times New Roman" w:hAnsi="Times New Roman"/>
        </w:rPr>
        <w:t xml:space="preserve">, J.C., </w:t>
      </w:r>
      <w:proofErr w:type="spellStart"/>
      <w:r>
        <w:rPr>
          <w:rFonts w:ascii="Times New Roman" w:hAnsi="Times New Roman"/>
        </w:rPr>
        <w:t>Naiho</w:t>
      </w:r>
      <w:proofErr w:type="spellEnd"/>
      <w:r>
        <w:rPr>
          <w:rFonts w:ascii="Times New Roman" w:hAnsi="Times New Roman"/>
        </w:rPr>
        <w:t xml:space="preserve"> A.O. (2020). Serum electrolytes and renal histology of Wistar rats treated with seed extract of Citrullus </w:t>
      </w:r>
      <w:proofErr w:type="spellStart"/>
      <w:r>
        <w:rPr>
          <w:rFonts w:ascii="Times New Roman" w:hAnsi="Times New Roman"/>
        </w:rPr>
        <w:t>lanatus</w:t>
      </w:r>
      <w:proofErr w:type="spellEnd"/>
      <w:r>
        <w:rPr>
          <w:rFonts w:ascii="Times New Roman" w:hAnsi="Times New Roman"/>
        </w:rPr>
        <w:t xml:space="preserve">. Journal of Pharmacy and Bioresources. 17 (1) 66-74. </w:t>
      </w:r>
      <w:hyperlink r:id="rId17" w:history="1">
        <w:r>
          <w:rPr>
            <w:rStyle w:val="NoSpacingChar"/>
            <w:rFonts w:ascii="Times New Roman" w:hAnsi="Times New Roman"/>
          </w:rPr>
          <w:t>https://doi.org/10.4314/jpb.v17i1.11</w:t>
        </w:r>
      </w:hyperlink>
    </w:p>
    <w:p w14:paraId="39F530AE" w14:textId="77777777" w:rsidR="00460A8A" w:rsidRDefault="00957453">
      <w:pPr>
        <w:pStyle w:val="NoSpacing"/>
        <w:ind w:left="720" w:hanging="720"/>
        <w:rPr>
          <w:rFonts w:ascii="Times New Roman" w:hAnsi="Times New Roman"/>
        </w:rPr>
      </w:pPr>
      <w:r>
        <w:rPr>
          <w:rFonts w:ascii="Times New Roman" w:hAnsi="Times New Roman"/>
        </w:rPr>
        <w:t xml:space="preserve">Palefsky, J. M., Minkoff, H., Kalish, L. A., Levine, A., Sacks, H. S., Garcia, P., ... and </w:t>
      </w:r>
      <w:proofErr w:type="spellStart"/>
      <w:r>
        <w:rPr>
          <w:rFonts w:ascii="Times New Roman" w:hAnsi="Times New Roman"/>
        </w:rPr>
        <w:t>Miotti</w:t>
      </w:r>
      <w:proofErr w:type="spellEnd"/>
      <w:r>
        <w:rPr>
          <w:rFonts w:ascii="Times New Roman" w:hAnsi="Times New Roman"/>
        </w:rPr>
        <w:t xml:space="preserve">, P. (1999). Cervicovaginal human papillomavirus infection in human immunodeficiency virus-1 (HIV)-positive and high-risk HIV-negative women. </w:t>
      </w:r>
      <w:r>
        <w:rPr>
          <w:rFonts w:ascii="Times New Roman Italic" w:hAnsi="Times New Roman Italic" w:cs="Times New Roman Italic"/>
          <w:i/>
          <w:iCs/>
        </w:rPr>
        <w:t>JNCI: Journal of the National Cancer Institute,</w:t>
      </w:r>
      <w:r>
        <w:rPr>
          <w:rFonts w:ascii="Times New Roman" w:hAnsi="Times New Roman"/>
        </w:rPr>
        <w:t xml:space="preserve"> </w:t>
      </w:r>
      <w:r>
        <w:rPr>
          <w:rFonts w:ascii="Times New Roman" w:hAnsi="Times New Roman"/>
          <w:bCs/>
        </w:rPr>
        <w:t>91</w:t>
      </w:r>
      <w:r>
        <w:rPr>
          <w:rFonts w:ascii="Times New Roman" w:hAnsi="Times New Roman"/>
        </w:rPr>
        <w:t>(3), 226-236.</w:t>
      </w:r>
    </w:p>
    <w:p w14:paraId="0E595F27" w14:textId="77777777" w:rsidR="00460A8A" w:rsidRDefault="00957453">
      <w:pPr>
        <w:pStyle w:val="NoSpacing"/>
        <w:ind w:left="720" w:hanging="720"/>
        <w:rPr>
          <w:rFonts w:ascii="Times New Roman" w:hAnsi="Times New Roman"/>
        </w:rPr>
      </w:pPr>
      <w:r>
        <w:rPr>
          <w:rFonts w:ascii="Times New Roman" w:hAnsi="Times New Roman"/>
        </w:rPr>
        <w:t xml:space="preserve">World Health Organization (WHO). (2020). WHO manual for organizing a national external quality assessment </w:t>
      </w:r>
      <w:proofErr w:type="spellStart"/>
      <w:r>
        <w:rPr>
          <w:rFonts w:ascii="Times New Roman" w:hAnsi="Times New Roman"/>
        </w:rPr>
        <w:t>programme</w:t>
      </w:r>
      <w:proofErr w:type="spellEnd"/>
      <w:r>
        <w:rPr>
          <w:rFonts w:ascii="Times New Roman" w:hAnsi="Times New Roman"/>
        </w:rPr>
        <w:t xml:space="preserve"> for health laboratories and other testing sites. WHO.</w:t>
      </w:r>
    </w:p>
    <w:p w14:paraId="52CF963B" w14:textId="77777777" w:rsidR="00460A8A" w:rsidRDefault="00957453">
      <w:pPr>
        <w:pStyle w:val="NoSpacing"/>
        <w:ind w:left="720" w:hanging="720"/>
        <w:rPr>
          <w:rFonts w:ascii="Times New Roman" w:hAnsi="Times New Roman"/>
        </w:rPr>
      </w:pPr>
      <w:r>
        <w:rPr>
          <w:rFonts w:ascii="Times New Roman" w:hAnsi="Times New Roman"/>
        </w:rPr>
        <w:t>World Health Organization (WHO). (2021). WHO guideline for screening and treatment of cervical precancer lesions for cervical cancer prevention (2nd ed.). WHO.</w:t>
      </w:r>
    </w:p>
    <w:p w14:paraId="00C343CF" w14:textId="77777777" w:rsidR="00460A8A" w:rsidRDefault="00460A8A">
      <w:pPr>
        <w:pStyle w:val="NoSpacing"/>
        <w:ind w:left="720" w:hanging="720"/>
        <w:rPr>
          <w:rFonts w:ascii="Times New Roman" w:hAnsi="Times New Roman"/>
        </w:rPr>
      </w:pPr>
    </w:p>
    <w:sectPr w:rsidR="00460A8A">
      <w:headerReference w:type="even" r:id="rId18"/>
      <w:headerReference w:type="default" r:id="rId19"/>
      <w:footerReference w:type="even" r:id="rId20"/>
      <w:footerReference w:type="default" r:id="rId21"/>
      <w:headerReference w:type="first" r:id="rId22"/>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C6E58" w14:textId="77777777" w:rsidR="00DD4213" w:rsidRDefault="00DD4213">
      <w:pPr>
        <w:spacing w:after="0" w:line="240" w:lineRule="auto"/>
      </w:pPr>
      <w:r>
        <w:separator/>
      </w:r>
    </w:p>
  </w:endnote>
  <w:endnote w:type="continuationSeparator" w:id="0">
    <w:p w14:paraId="1D3A2214" w14:textId="77777777" w:rsidR="00DD4213" w:rsidRDefault="00DD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Italic"/>
    <w:panose1 w:val="02020503050405090304"/>
    <w:charset w:val="00"/>
    <w:family w:val="auto"/>
    <w:pitch w:val="default"/>
    <w:sig w:usb0="E0000AFF" w:usb1="00007843"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640A" w14:textId="77777777" w:rsidR="00460A8A" w:rsidRDefault="0046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3A86" w14:textId="77777777" w:rsidR="00460A8A" w:rsidRDefault="0046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BF363" w14:textId="77777777" w:rsidR="00DD4213" w:rsidRDefault="00DD4213">
      <w:pPr>
        <w:spacing w:after="0" w:line="240" w:lineRule="auto"/>
      </w:pPr>
      <w:r>
        <w:separator/>
      </w:r>
    </w:p>
  </w:footnote>
  <w:footnote w:type="continuationSeparator" w:id="0">
    <w:p w14:paraId="7B1F828D" w14:textId="77777777" w:rsidR="00DD4213" w:rsidRDefault="00DD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8DED" w14:textId="77777777" w:rsidR="00460A8A" w:rsidRDefault="00DD4213">
    <w:pPr>
      <w:pStyle w:val="Header"/>
    </w:pPr>
    <w:r>
      <w:pict w14:anchorId="5DE9A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7" o:spid="_x0000_s2051" type="#_x0000_t136" style="position:absolute;margin-left:0;margin-top:0;width:535.8pt;height:100.45pt;rotation:-45;z-index:-251658752;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37B1" w14:textId="77777777" w:rsidR="00460A8A" w:rsidRDefault="00DD4213">
    <w:pPr>
      <w:pStyle w:val="Header"/>
    </w:pPr>
    <w:r>
      <w:pict w14:anchorId="088A4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0" type="#_x0000_t136" style="position:absolute;margin-left:0;margin-top:0;width:535.8pt;height:100.45pt;rotation:-45;z-index:-251657728;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035A" w14:textId="77777777" w:rsidR="00460A8A" w:rsidRDefault="00DD4213">
    <w:pPr>
      <w:pStyle w:val="Header"/>
    </w:pPr>
    <w:r>
      <w:pict w14:anchorId="64406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49" type="#_x0000_t136" style="position:absolute;margin-left:0;margin-top:0;width:535.8pt;height:100.45pt;rotation:-45;z-index:-251659776;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99668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0A8A"/>
    <w:rsid w:val="0000398E"/>
    <w:rsid w:val="00015171"/>
    <w:rsid w:val="00022831"/>
    <w:rsid w:val="00023C8B"/>
    <w:rsid w:val="0003775F"/>
    <w:rsid w:val="000C1836"/>
    <w:rsid w:val="000E49A2"/>
    <w:rsid w:val="00181A15"/>
    <w:rsid w:val="001830E3"/>
    <w:rsid w:val="001C4D5D"/>
    <w:rsid w:val="001D2DA3"/>
    <w:rsid w:val="0025028F"/>
    <w:rsid w:val="002E0BC1"/>
    <w:rsid w:val="00342748"/>
    <w:rsid w:val="00397A4C"/>
    <w:rsid w:val="00460A8A"/>
    <w:rsid w:val="00465E57"/>
    <w:rsid w:val="00487AF7"/>
    <w:rsid w:val="004B67B3"/>
    <w:rsid w:val="00542A7E"/>
    <w:rsid w:val="00597FE5"/>
    <w:rsid w:val="005F6FAC"/>
    <w:rsid w:val="00655CFE"/>
    <w:rsid w:val="007232BB"/>
    <w:rsid w:val="007B3C66"/>
    <w:rsid w:val="007E7423"/>
    <w:rsid w:val="007F19D8"/>
    <w:rsid w:val="00802433"/>
    <w:rsid w:val="0086757C"/>
    <w:rsid w:val="008825E9"/>
    <w:rsid w:val="00891B48"/>
    <w:rsid w:val="00913BB6"/>
    <w:rsid w:val="00957453"/>
    <w:rsid w:val="00A50255"/>
    <w:rsid w:val="00AE34AA"/>
    <w:rsid w:val="00B06389"/>
    <w:rsid w:val="00B41F8E"/>
    <w:rsid w:val="00B574B5"/>
    <w:rsid w:val="00B732FC"/>
    <w:rsid w:val="00C03101"/>
    <w:rsid w:val="00C07840"/>
    <w:rsid w:val="00C1438B"/>
    <w:rsid w:val="00C77216"/>
    <w:rsid w:val="00C86716"/>
    <w:rsid w:val="00D66A65"/>
    <w:rsid w:val="00D8009D"/>
    <w:rsid w:val="00DD4213"/>
    <w:rsid w:val="00E30551"/>
    <w:rsid w:val="00E53FDC"/>
    <w:rsid w:val="00E9385A"/>
    <w:rsid w:val="00F3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35F954"/>
  <w15:docId w15:val="{53D0EAA7-6427-41CB-A787-A6D02BCF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hAnsi="Calibri"/>
      <w:sz w:val="22"/>
      <w:szCs w:val="22"/>
      <w:lang w:eastAsia="zh-CN"/>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cs="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pPr>
      <w:spacing w:line="240" w:lineRule="auto"/>
    </w:pPr>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563C1"/>
      <w:u w:val="single"/>
    </w:rPr>
  </w:style>
  <w:style w:type="paragraph" w:styleId="NormalWeb">
    <w:name w:val="Normal (Web)"/>
    <w:uiPriority w:val="99"/>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customStyle="1" w:styleId="ListTable6Colorful1">
    <w:name w:val="List Table 6 Colorful1"/>
    <w:basedOn w:val="TableNormal"/>
    <w:uiPriority w:val="51"/>
    <w:qFormat/>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
    <w:name w:val="Light Shading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uiPriority w:val="1"/>
    <w:qFormat/>
    <w:rPr>
      <w:rFonts w:ascii="Calibri" w:hAnsi="Calibri"/>
      <w:sz w:val="22"/>
      <w:szCs w:val="22"/>
      <w:lang w:eastAsia="zh-CN"/>
      <w14:ligatures w14:val="standardContextual"/>
    </w:rPr>
  </w:style>
  <w:style w:type="character" w:customStyle="1" w:styleId="NoSpacingChar">
    <w:name w:val="No Spacing Char"/>
    <w:link w:val="NoSpacing"/>
    <w:uiPriority w:val="1"/>
    <w:qFormat/>
    <w:rPr>
      <w:rFonts w:ascii="Calibri" w:eastAsia="SimSun" w:hAnsi="Calibri" w:cs="Times New Roman"/>
      <w:kern w:val="0"/>
      <w:lang w:eastAsia="zh-CN"/>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HeaderChar">
    <w:name w:val="Header Char"/>
    <w:basedOn w:val="DefaultParagraphFont"/>
    <w:link w:val="Header"/>
    <w:uiPriority w:val="99"/>
    <w:qFormat/>
    <w:rPr>
      <w:rFonts w:eastAsia="SimSun" w:cs="Times New Roman"/>
      <w:kern w:val="0"/>
      <w:lang w:eastAsia="zh-CN"/>
    </w:rPr>
  </w:style>
  <w:style w:type="character" w:customStyle="1" w:styleId="FooterChar">
    <w:name w:val="Footer Char"/>
    <w:basedOn w:val="DefaultParagraphFont"/>
    <w:link w:val="Footer"/>
    <w:uiPriority w:val="99"/>
    <w:qFormat/>
    <w:rPr>
      <w:rFonts w:eastAsia="SimSun" w:cs="Times New Roman"/>
      <w:kern w:val="0"/>
      <w:lang w:eastAsia="zh-CN"/>
    </w:rPr>
  </w:style>
  <w:style w:type="character" w:customStyle="1" w:styleId="CommentTextChar">
    <w:name w:val="Comment Text Char"/>
    <w:basedOn w:val="DefaultParagraphFont"/>
    <w:link w:val="CommentText"/>
    <w:uiPriority w:val="99"/>
    <w:rPr>
      <w:rFonts w:eastAsia="SimSun" w:cs="Times New Roman"/>
      <w:kern w:val="0"/>
      <w:sz w:val="20"/>
      <w:szCs w:val="20"/>
      <w:lang w:eastAsia="zh-CN"/>
    </w:rPr>
  </w:style>
  <w:style w:type="character" w:customStyle="1" w:styleId="CommentSubjectChar">
    <w:name w:val="Comment Subject Char"/>
    <w:basedOn w:val="CommentTextChar"/>
    <w:link w:val="CommentSubject"/>
    <w:uiPriority w:val="99"/>
    <w:qFormat/>
    <w:rPr>
      <w:rFonts w:eastAsia="SimSun" w:cs="Times New Roman"/>
      <w:b/>
      <w:bCs/>
      <w:kern w:val="0"/>
      <w:sz w:val="20"/>
      <w:szCs w:val="20"/>
      <w:lang w:eastAsia="zh-CN"/>
    </w:rPr>
  </w:style>
  <w:style w:type="character" w:styleId="PlaceholderText">
    <w:name w:val="Placeholder Text"/>
    <w:basedOn w:val="DefaultParagraphFont"/>
    <w:uiPriority w:val="99"/>
    <w:semiHidden/>
    <w:rsid w:val="007F19D8"/>
    <w:rPr>
      <w:color w:val="666666"/>
    </w:rPr>
  </w:style>
  <w:style w:type="character" w:styleId="UnresolvedMention">
    <w:name w:val="Unresolved Mention"/>
    <w:basedOn w:val="DefaultParagraphFont"/>
    <w:uiPriority w:val="99"/>
    <w:semiHidden/>
    <w:unhideWhenUsed/>
    <w:rsid w:val="00A50255"/>
    <w:rPr>
      <w:color w:val="605E5C"/>
      <w:shd w:val="clear" w:color="auto" w:fill="E1DFDD"/>
    </w:rPr>
  </w:style>
  <w:style w:type="paragraph" w:styleId="BalloonText">
    <w:name w:val="Balloon Text"/>
    <w:basedOn w:val="Normal"/>
    <w:link w:val="BalloonTextChar"/>
    <w:uiPriority w:val="99"/>
    <w:semiHidden/>
    <w:unhideWhenUsed/>
    <w:rsid w:val="00D66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A65"/>
    <w:rPr>
      <w:rFonts w:ascii="Segoe UI" w:hAnsi="Segoe UI" w:cs="Segoe UI"/>
      <w:sz w:val="18"/>
      <w:szCs w:val="18"/>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0559">
      <w:bodyDiv w:val="1"/>
      <w:marLeft w:val="0"/>
      <w:marRight w:val="0"/>
      <w:marTop w:val="0"/>
      <w:marBottom w:val="0"/>
      <w:divBdr>
        <w:top w:val="none" w:sz="0" w:space="0" w:color="auto"/>
        <w:left w:val="none" w:sz="0" w:space="0" w:color="auto"/>
        <w:bottom w:val="none" w:sz="0" w:space="0" w:color="auto"/>
        <w:right w:val="none" w:sz="0" w:space="0" w:color="auto"/>
      </w:divBdr>
    </w:div>
    <w:div w:id="1672492280">
      <w:bodyDiv w:val="1"/>
      <w:marLeft w:val="0"/>
      <w:marRight w:val="0"/>
      <w:marTop w:val="0"/>
      <w:marBottom w:val="0"/>
      <w:divBdr>
        <w:top w:val="none" w:sz="0" w:space="0" w:color="auto"/>
        <w:left w:val="none" w:sz="0" w:space="0" w:color="auto"/>
        <w:bottom w:val="none" w:sz="0" w:space="0" w:color="auto"/>
        <w:right w:val="none" w:sz="0" w:space="0" w:color="auto"/>
      </w:divBdr>
    </w:div>
    <w:div w:id="1733117041">
      <w:bodyDiv w:val="1"/>
      <w:marLeft w:val="0"/>
      <w:marRight w:val="0"/>
      <w:marTop w:val="0"/>
      <w:marBottom w:val="0"/>
      <w:divBdr>
        <w:top w:val="none" w:sz="0" w:space="0" w:color="auto"/>
        <w:left w:val="none" w:sz="0" w:space="0" w:color="auto"/>
        <w:bottom w:val="none" w:sz="0" w:space="0" w:color="auto"/>
        <w:right w:val="none" w:sz="0" w:space="0" w:color="auto"/>
      </w:divBdr>
    </w:div>
    <w:div w:id="20872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oi.org/10.4314/jpb.v17i1.11" TargetMode="External"/><Relationship Id="rId2" Type="http://schemas.openxmlformats.org/officeDocument/2006/relationships/customXml" Target="../customXml/item2.xml"/><Relationship Id="rId16" Type="http://schemas.openxmlformats.org/officeDocument/2006/relationships/hyperlink" Target="https://doi.org/10.61386/imj.v6i1.1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s.sagepub.com/en-us/nam/discovering-statistics-using-ibm-spss-statistics/book236067"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362EC-D1C9-4907-AC17-E60900199BE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STREAM 11 PRO G2</dc:creator>
  <cp:keywords/>
  <dc:description/>
  <cp:lastModifiedBy>SDI 1158</cp:lastModifiedBy>
  <cp:revision>5</cp:revision>
  <dcterms:created xsi:type="dcterms:W3CDTF">2025-07-26T15:01:00Z</dcterms:created>
  <dcterms:modified xsi:type="dcterms:W3CDTF">2025-08-05T11:02:00Z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28a6c1934156413ea8cc2f6126f7e8fe</vt:lpwstr>
  </property>
  <property fmtid="{D5CDD505-2E9C-101B-9397-08002B2CF9AE}" pid="3" name="GrammarlyDocumentId">
    <vt:lpwstr>027a5b4d-b4e6-4492-a28a-be20f164eabb</vt:lpwstr>
  </property>
  <property fmtid="{D5CDD505-2E9C-101B-9397-08002B2CF9AE}" pid="4" name="KSOProductBuildVer">
    <vt:lpwstr>1033-6.15.0.8733</vt:lpwstr>
  </property>
</Properties>
</file>