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0B518" w14:textId="77777777" w:rsidR="006D3AE9" w:rsidRDefault="006D3AE9">
      <w:pPr>
        <w:pStyle w:val="Title"/>
        <w:spacing w:after="0"/>
        <w:jc w:val="both"/>
        <w:rPr>
          <w:rFonts w:ascii="Arial" w:hAnsi="Arial" w:cs="Arial"/>
        </w:rPr>
      </w:pPr>
    </w:p>
    <w:p w14:paraId="29804385" w14:textId="77777777" w:rsidR="006D3AE9" w:rsidRDefault="007940B7">
      <w:pPr>
        <w:pStyle w:val="Author"/>
        <w:rPr>
          <w:rFonts w:ascii="Arial" w:hAnsi="Arial" w:cs="Arial"/>
          <w:bCs/>
          <w:i/>
          <w:iCs/>
          <w:kern w:val="28"/>
          <w:sz w:val="18"/>
          <w:szCs w:val="18"/>
          <w:u w:val="single"/>
        </w:rPr>
      </w:pPr>
      <w:r>
        <w:rPr>
          <w:rFonts w:ascii="Arial" w:hAnsi="Arial" w:cs="Arial"/>
          <w:bCs/>
          <w:i/>
          <w:iCs/>
          <w:kern w:val="28"/>
          <w:sz w:val="18"/>
          <w:szCs w:val="18"/>
          <w:u w:val="single"/>
        </w:rPr>
        <w:t xml:space="preserve">Case report </w:t>
      </w:r>
    </w:p>
    <w:p w14:paraId="38AB0B13" w14:textId="15159865" w:rsidR="006D3AE9" w:rsidRDefault="007940B7">
      <w:pPr>
        <w:pStyle w:val="Author"/>
        <w:spacing w:line="240" w:lineRule="auto"/>
        <w:rPr>
          <w:rFonts w:ascii="Arial" w:hAnsi="Arial" w:cs="Arial"/>
          <w:bCs/>
          <w:iCs/>
          <w:kern w:val="28"/>
          <w:sz w:val="36"/>
        </w:rPr>
      </w:pPr>
      <w:r>
        <w:rPr>
          <w:rFonts w:ascii="Arial" w:hAnsi="Arial" w:cs="Arial"/>
          <w:bCs/>
          <w:iCs/>
          <w:kern w:val="28"/>
          <w:sz w:val="36"/>
        </w:rPr>
        <w:t>Kikuchi-Fujimoto Disease Secondary to Systemic Lupus Erythematosus</w:t>
      </w:r>
      <w:r w:rsidR="008F428C">
        <w:rPr>
          <w:rFonts w:ascii="Arial" w:hAnsi="Arial" w:cs="Arial"/>
          <w:bCs/>
          <w:iCs/>
          <w:kern w:val="28"/>
          <w:sz w:val="36"/>
        </w:rPr>
        <w:t>:</w:t>
      </w:r>
      <w:r>
        <w:rPr>
          <w:rFonts w:ascii="Arial" w:hAnsi="Arial" w:cs="Arial"/>
          <w:bCs/>
          <w:iCs/>
          <w:kern w:val="28"/>
          <w:sz w:val="36"/>
        </w:rPr>
        <w:t xml:space="preserve"> A case report</w:t>
      </w:r>
    </w:p>
    <w:p w14:paraId="14D4B5DE" w14:textId="77777777" w:rsidR="006D3AE9" w:rsidRDefault="006D3AE9">
      <w:pPr>
        <w:pStyle w:val="Affiliation"/>
        <w:spacing w:after="0" w:line="240" w:lineRule="auto"/>
        <w:jc w:val="both"/>
        <w:rPr>
          <w:rFonts w:ascii="Arial" w:hAnsi="Arial" w:cs="Arial"/>
        </w:rPr>
      </w:pPr>
    </w:p>
    <w:p w14:paraId="3F51B095" w14:textId="77777777" w:rsidR="006D3AE9" w:rsidRDefault="006D3AE9">
      <w:pPr>
        <w:pStyle w:val="Affiliation"/>
        <w:spacing w:after="0" w:line="240" w:lineRule="auto"/>
        <w:jc w:val="both"/>
        <w:rPr>
          <w:rFonts w:ascii="Arial" w:hAnsi="Arial" w:cs="Arial"/>
        </w:rPr>
      </w:pPr>
    </w:p>
    <w:p w14:paraId="3BF0210A" w14:textId="77777777" w:rsidR="006D3AE9" w:rsidRDefault="006D3AE9">
      <w:pPr>
        <w:pStyle w:val="Affiliation"/>
        <w:spacing w:after="0" w:line="240" w:lineRule="auto"/>
        <w:jc w:val="both"/>
        <w:rPr>
          <w:rFonts w:ascii="Arial" w:hAnsi="Arial" w:cs="Arial"/>
        </w:rPr>
      </w:pPr>
    </w:p>
    <w:p w14:paraId="06305F78" w14:textId="77777777" w:rsidR="006D3AE9" w:rsidRDefault="006D3AE9">
      <w:pPr>
        <w:pStyle w:val="Affiliation"/>
        <w:spacing w:after="0" w:line="240" w:lineRule="auto"/>
        <w:jc w:val="both"/>
        <w:rPr>
          <w:rFonts w:ascii="Arial" w:hAnsi="Arial" w:cs="Arial"/>
        </w:rPr>
      </w:pPr>
    </w:p>
    <w:p w14:paraId="08CB221D" w14:textId="77777777" w:rsidR="006D3AE9" w:rsidRDefault="006D3AE9">
      <w:pPr>
        <w:pStyle w:val="Affiliation"/>
        <w:spacing w:after="0" w:line="240" w:lineRule="auto"/>
        <w:jc w:val="both"/>
        <w:rPr>
          <w:rFonts w:ascii="Arial" w:hAnsi="Arial" w:cs="Arial"/>
        </w:rPr>
      </w:pPr>
    </w:p>
    <w:p w14:paraId="73E869C1" w14:textId="77777777" w:rsidR="006D3AE9" w:rsidRDefault="006D3AE9">
      <w:pPr>
        <w:pStyle w:val="Affiliation"/>
        <w:spacing w:after="0" w:line="240" w:lineRule="auto"/>
        <w:jc w:val="both"/>
        <w:rPr>
          <w:rFonts w:ascii="Arial" w:hAnsi="Arial" w:cs="Arial"/>
        </w:rPr>
      </w:pPr>
    </w:p>
    <w:p w14:paraId="362E0C4C" w14:textId="77777777" w:rsidR="006D3AE9" w:rsidRDefault="007940B7">
      <w:pPr>
        <w:pStyle w:val="Copyright"/>
        <w:spacing w:after="0" w:line="240" w:lineRule="auto"/>
        <w:jc w:val="both"/>
        <w:rPr>
          <w:rFonts w:ascii="Arial" w:hAnsi="Arial" w:cs="Arial"/>
        </w:rPr>
        <w:sectPr w:rsidR="006D3AE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43C6575" wp14:editId="0C0CF9B9">
                <wp:extent cx="5303520" cy="635"/>
                <wp:effectExtent l="13335" t="14605" r="17145" b="13970"/>
                <wp:docPr id="5129360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AC1FB0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1F9A8AC4" w14:textId="77777777" w:rsidR="006D3AE9" w:rsidRDefault="007940B7">
      <w:pPr>
        <w:pStyle w:val="AbstHead"/>
        <w:spacing w:after="0"/>
        <w:jc w:val="both"/>
        <w:rPr>
          <w:rFonts w:ascii="Arial" w:hAnsi="Arial" w:cs="Arial"/>
        </w:rPr>
      </w:pPr>
      <w:r>
        <w:rPr>
          <w:rFonts w:ascii="Arial" w:hAnsi="Arial" w:cs="Arial"/>
        </w:rPr>
        <w:t>ABSTRACT</w:t>
      </w:r>
    </w:p>
    <w:p w14:paraId="06CA3BCD" w14:textId="77777777" w:rsidR="006D3AE9" w:rsidRDefault="006D3AE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6D3AE9" w14:paraId="136FAB1B" w14:textId="77777777">
        <w:tc>
          <w:tcPr>
            <w:tcW w:w="9576" w:type="dxa"/>
            <w:shd w:val="clear" w:color="auto" w:fill="F2F2F2"/>
          </w:tcPr>
          <w:p w14:paraId="1764DC9A" w14:textId="6F10A1A9" w:rsidR="006D3AE9" w:rsidRDefault="007940B7">
            <w:pPr>
              <w:pStyle w:val="Body"/>
              <w:spacing w:after="0"/>
              <w:rPr>
                <w:rFonts w:ascii="Arial" w:eastAsia="Calibri" w:hAnsi="Arial" w:cs="Arial"/>
                <w:szCs w:val="22"/>
              </w:rPr>
            </w:pPr>
            <w:r>
              <w:rPr>
                <w:b/>
                <w:bCs/>
              </w:rPr>
              <w:t>Aims:</w:t>
            </w:r>
            <w:r>
              <w:t xml:space="preserve"> To describe a rare case of Kikuchi-Fujimoto disease (KFD) secondary to systemic lupus erythematosus (SLE), emphasizing diagnostic challenges, therapeutic approach, and a review of relevant literature.                                                                  .</w:t>
            </w:r>
            <w:r>
              <w:br/>
            </w:r>
            <w:r>
              <w:rPr>
                <w:b/>
                <w:bCs/>
              </w:rPr>
              <w:t>Study Design:</w:t>
            </w:r>
            <w:r>
              <w:t xml:space="preserve"> Case report.                                                                              .</w:t>
            </w:r>
            <w:r>
              <w:br/>
            </w:r>
            <w:r>
              <w:rPr>
                <w:b/>
                <w:bCs/>
              </w:rPr>
              <w:t>Place and Duration of Study:</w:t>
            </w:r>
            <w:r>
              <w:t xml:space="preserve"> Department of Medicine, ABVIMS &amp; Dr. RML hospital, </w:t>
            </w:r>
            <w:r w:rsidR="00C209F8">
              <w:t>over a period of two months in 2024</w:t>
            </w:r>
            <w:r>
              <w:t>.                                                                 .</w:t>
            </w:r>
            <w:r>
              <w:br/>
            </w:r>
            <w:r>
              <w:rPr>
                <w:b/>
                <w:bCs/>
              </w:rPr>
              <w:t>Methodology:</w:t>
            </w:r>
            <w:r>
              <w:t xml:space="preserve"> We present an 18-year-old female with a 4-month history of photosensitive malar rash, intermittent fevers, generalized lymphadenopathy, weight loss, and hair thinning. Extensive investigations revealed anemia, transaminitis, hypocomplementemia, and strongly positive ANA (SSA+). PET-CT revealed hypermetabolic lymphadenopathy. Lymph node biopsy showed histiocytic necrotizing lymphadenitis consistent with KFD. The patient fulfilled ACR/EULAR criteria for SLE. She was treated with hydroxychloroquine, corticosteroids and mycophenolate mofetil.                                                                                        .      </w:t>
            </w:r>
            <w:r>
              <w:br/>
            </w:r>
            <w:r>
              <w:rPr>
                <w:b/>
                <w:bCs/>
              </w:rPr>
              <w:t>Results:</w:t>
            </w:r>
            <w:r>
              <w:t xml:space="preserve"> Diagnosis of KFD secondary to SLE was established. The patient responded well to immunosuppressive therapy and remains asymptomatic on follow-up.               .</w:t>
            </w:r>
            <w:r>
              <w:br/>
            </w:r>
            <w:r>
              <w:rPr>
                <w:b/>
                <w:bCs/>
              </w:rPr>
              <w:t>Conclusion:</w:t>
            </w:r>
            <w:r>
              <w:t xml:space="preserve"> This case highlights the importance of considering KFD-SLE overlap in young females presenting with prolonged fever and lymphadenopathy. Early biopsy and serological work-up are crucial for differentiating from infectious and malignant etiologies.</w:t>
            </w:r>
            <w:r>
              <w:br/>
              <w:t>Keywords: Kikuchi-Fujimoto disease, systemic lupus erythematosus, lymphadenopathy, histiocytic necrotizing lymphadenitis, case report.</w:t>
            </w:r>
          </w:p>
        </w:tc>
      </w:tr>
    </w:tbl>
    <w:p w14:paraId="3E03F643" w14:textId="77777777" w:rsidR="006D3AE9" w:rsidRDefault="006D3AE9">
      <w:pPr>
        <w:pStyle w:val="Body"/>
        <w:spacing w:after="0"/>
        <w:rPr>
          <w:rFonts w:ascii="Arial" w:hAnsi="Arial" w:cs="Arial"/>
          <w:i/>
        </w:rPr>
      </w:pPr>
    </w:p>
    <w:p w14:paraId="390B3ECF" w14:textId="77777777" w:rsidR="006D3AE9" w:rsidRDefault="007940B7">
      <w:pPr>
        <w:pStyle w:val="Body"/>
        <w:spacing w:after="0"/>
        <w:rPr>
          <w:rFonts w:ascii="Arial" w:hAnsi="Arial" w:cs="Arial"/>
          <w:i/>
        </w:rPr>
      </w:pPr>
      <w:r>
        <w:rPr>
          <w:rFonts w:ascii="Arial" w:hAnsi="Arial" w:cs="Arial"/>
          <w:i/>
        </w:rPr>
        <w:t xml:space="preserve">Keywords: </w:t>
      </w:r>
      <w:r>
        <w:rPr>
          <w:rFonts w:asciiTheme="minorBidi" w:hAnsiTheme="minorBidi" w:cstheme="minorBidi"/>
          <w:i/>
          <w:iCs/>
        </w:rPr>
        <w:t>Kikuchi-Fujimoto disease, systemic lupus erythematosus, lymphadenopathy, histiocytic necrotizing lymphadenitis.</w:t>
      </w:r>
    </w:p>
    <w:p w14:paraId="7F755633" w14:textId="77777777" w:rsidR="006D3AE9" w:rsidRDefault="006D3AE9">
      <w:pPr>
        <w:pStyle w:val="Body"/>
        <w:spacing w:after="0"/>
        <w:rPr>
          <w:rFonts w:ascii="Arial" w:hAnsi="Arial" w:cs="Arial"/>
          <w:i/>
          <w:sz w:val="18"/>
        </w:rPr>
      </w:pPr>
    </w:p>
    <w:p w14:paraId="5378DBE9" w14:textId="77777777" w:rsidR="006D3AE9" w:rsidRDefault="006D3AE9">
      <w:pPr>
        <w:pStyle w:val="Body"/>
        <w:spacing w:after="0"/>
        <w:rPr>
          <w:rFonts w:ascii="Arial" w:hAnsi="Arial" w:cs="Arial"/>
          <w:i/>
          <w:sz w:val="18"/>
        </w:rPr>
      </w:pPr>
    </w:p>
    <w:p w14:paraId="5E995D5F" w14:textId="77777777" w:rsidR="006D3AE9" w:rsidRDefault="006D3AE9">
      <w:pPr>
        <w:pStyle w:val="Body"/>
        <w:spacing w:after="0"/>
        <w:rPr>
          <w:rFonts w:ascii="Arial" w:hAnsi="Arial" w:cs="Arial"/>
          <w:i/>
          <w:sz w:val="18"/>
        </w:rPr>
      </w:pPr>
    </w:p>
    <w:p w14:paraId="3C9FFCA6" w14:textId="77777777" w:rsidR="006D3AE9" w:rsidRDefault="006D3AE9">
      <w:pPr>
        <w:pStyle w:val="Body"/>
        <w:spacing w:after="0"/>
        <w:rPr>
          <w:rFonts w:ascii="Arial" w:hAnsi="Arial" w:cs="Arial"/>
          <w:i/>
          <w:sz w:val="18"/>
        </w:rPr>
      </w:pPr>
    </w:p>
    <w:p w14:paraId="60AC3ECD" w14:textId="77777777" w:rsidR="006D3AE9" w:rsidRDefault="006D3AE9">
      <w:pPr>
        <w:pStyle w:val="Body"/>
        <w:spacing w:after="0"/>
        <w:rPr>
          <w:rFonts w:ascii="Arial" w:hAnsi="Arial" w:cs="Arial"/>
          <w:i/>
          <w:sz w:val="18"/>
        </w:rPr>
      </w:pPr>
    </w:p>
    <w:p w14:paraId="4AF217C9" w14:textId="77777777" w:rsidR="006D3AE9" w:rsidRDefault="006D3AE9">
      <w:pPr>
        <w:pStyle w:val="Body"/>
        <w:spacing w:after="0"/>
        <w:rPr>
          <w:rFonts w:ascii="Arial" w:hAnsi="Arial" w:cs="Arial"/>
          <w:i/>
          <w:sz w:val="18"/>
        </w:rPr>
      </w:pPr>
    </w:p>
    <w:p w14:paraId="448767A4" w14:textId="77777777" w:rsidR="006D3AE9" w:rsidRDefault="006D3AE9">
      <w:pPr>
        <w:pStyle w:val="Body"/>
        <w:spacing w:after="0"/>
        <w:rPr>
          <w:rFonts w:ascii="Arial" w:hAnsi="Arial" w:cs="Arial"/>
          <w:i/>
          <w:sz w:val="18"/>
        </w:rPr>
      </w:pPr>
    </w:p>
    <w:p w14:paraId="199FCE74" w14:textId="77777777" w:rsidR="006D3AE9" w:rsidRDefault="006D3AE9">
      <w:pPr>
        <w:pStyle w:val="Body"/>
        <w:spacing w:after="0"/>
        <w:rPr>
          <w:rFonts w:ascii="Arial" w:hAnsi="Arial" w:cs="Arial"/>
          <w:i/>
          <w:sz w:val="18"/>
        </w:rPr>
      </w:pPr>
    </w:p>
    <w:p w14:paraId="22C003BF" w14:textId="77777777" w:rsidR="006D3AE9" w:rsidRDefault="006D3AE9">
      <w:pPr>
        <w:pStyle w:val="Body"/>
        <w:spacing w:after="0"/>
        <w:rPr>
          <w:rFonts w:ascii="Arial" w:hAnsi="Arial" w:cs="Arial"/>
          <w:i/>
          <w:sz w:val="18"/>
        </w:rPr>
      </w:pPr>
    </w:p>
    <w:p w14:paraId="3B5C746E" w14:textId="77777777" w:rsidR="006D3AE9" w:rsidRDefault="006D3AE9">
      <w:pPr>
        <w:pStyle w:val="Body"/>
        <w:spacing w:after="0"/>
        <w:rPr>
          <w:rFonts w:ascii="Arial" w:hAnsi="Arial" w:cs="Arial"/>
          <w:i/>
          <w:sz w:val="18"/>
        </w:rPr>
      </w:pPr>
    </w:p>
    <w:p w14:paraId="64EB62B8" w14:textId="77777777" w:rsidR="006D3AE9" w:rsidRDefault="006D3AE9">
      <w:pPr>
        <w:pStyle w:val="Body"/>
        <w:spacing w:after="0"/>
        <w:rPr>
          <w:rFonts w:ascii="Arial" w:hAnsi="Arial" w:cs="Arial"/>
          <w:i/>
          <w:sz w:val="18"/>
        </w:rPr>
      </w:pPr>
    </w:p>
    <w:p w14:paraId="353726FA" w14:textId="77777777" w:rsidR="006D3AE9" w:rsidRDefault="006D3AE9">
      <w:pPr>
        <w:pStyle w:val="Body"/>
        <w:spacing w:after="0"/>
        <w:rPr>
          <w:rFonts w:ascii="Arial" w:hAnsi="Arial" w:cs="Arial"/>
          <w:i/>
          <w:sz w:val="18"/>
        </w:rPr>
      </w:pPr>
    </w:p>
    <w:p w14:paraId="1FDF2182" w14:textId="77777777" w:rsidR="006D3AE9" w:rsidRDefault="006D3AE9">
      <w:pPr>
        <w:pStyle w:val="Body"/>
        <w:spacing w:after="0"/>
        <w:rPr>
          <w:rFonts w:ascii="Arial" w:hAnsi="Arial" w:cs="Arial"/>
          <w:i/>
          <w:sz w:val="18"/>
        </w:rPr>
      </w:pPr>
    </w:p>
    <w:p w14:paraId="4E154627" w14:textId="77777777" w:rsidR="006D3AE9" w:rsidRDefault="006D3AE9">
      <w:pPr>
        <w:pStyle w:val="Body"/>
        <w:spacing w:after="0"/>
        <w:rPr>
          <w:rFonts w:ascii="Arial" w:hAnsi="Arial" w:cs="Arial"/>
          <w:i/>
          <w:sz w:val="18"/>
        </w:rPr>
      </w:pPr>
    </w:p>
    <w:p w14:paraId="21311C6A" w14:textId="77777777" w:rsidR="006D3AE9" w:rsidRDefault="006D3AE9">
      <w:pPr>
        <w:pStyle w:val="Body"/>
        <w:spacing w:after="0"/>
        <w:rPr>
          <w:rFonts w:ascii="Arial" w:hAnsi="Arial" w:cs="Arial"/>
          <w:i/>
        </w:rPr>
      </w:pPr>
    </w:p>
    <w:p w14:paraId="741BC49A" w14:textId="77777777" w:rsidR="006D3AE9" w:rsidRDefault="007940B7">
      <w:pPr>
        <w:pStyle w:val="AbstHead"/>
        <w:spacing w:after="0"/>
        <w:jc w:val="both"/>
        <w:rPr>
          <w:rFonts w:ascii="Arial" w:hAnsi="Arial" w:cs="Arial"/>
        </w:rPr>
      </w:pPr>
      <w:r>
        <w:rPr>
          <w:rFonts w:ascii="Arial" w:hAnsi="Arial" w:cs="Arial"/>
        </w:rPr>
        <w:lastRenderedPageBreak/>
        <w:t xml:space="preserve">1. INTRODUCTION </w:t>
      </w:r>
    </w:p>
    <w:p w14:paraId="68524DB1" w14:textId="77777777" w:rsidR="006D3AE9" w:rsidRDefault="006D3AE9">
      <w:pPr>
        <w:pStyle w:val="AbstHead"/>
        <w:spacing w:after="0"/>
        <w:jc w:val="both"/>
        <w:rPr>
          <w:rFonts w:ascii="Arial" w:hAnsi="Arial" w:cs="Arial"/>
        </w:rPr>
      </w:pPr>
    </w:p>
    <w:p w14:paraId="387B61FB" w14:textId="149B4C44" w:rsidR="006D3AE9" w:rsidRDefault="007940B7">
      <w:pPr>
        <w:pStyle w:val="Body"/>
        <w:spacing w:after="0"/>
        <w:rPr>
          <w:rFonts w:ascii="Arial" w:hAnsi="Arial" w:cs="Arial"/>
        </w:rPr>
      </w:pPr>
      <w:r>
        <w:rPr>
          <w:rFonts w:ascii="Arial" w:hAnsi="Arial" w:cs="Arial"/>
        </w:rPr>
        <w:t>Kikuchi-Fujimoto disease (KFD), or histiocytic necrotizing lymphadenitis, is a rare, self-limiting lymphadenopathy first reported in Japan by Kikuchi and Fujimoto independently in 1972.</w:t>
      </w:r>
      <w:r w:rsidR="0061612B">
        <w:rPr>
          <w:rFonts w:ascii="Arial" w:hAnsi="Arial" w:cs="Arial"/>
          <w:vertAlign w:val="superscript"/>
        </w:rPr>
        <w:t>1</w:t>
      </w:r>
      <w:r>
        <w:rPr>
          <w:rFonts w:ascii="Arial" w:hAnsi="Arial" w:cs="Arial"/>
        </w:rPr>
        <w:t xml:space="preserve"> It is predominantly seen in young women and has a higher prevalence in Asian populations, though cases are now recognized worldwide. KFD typically manifests as tender cervical lymphadenopathy, fever, night sweats, fatigue, and weight loss.</w:t>
      </w:r>
      <w:r w:rsidR="0061612B">
        <w:rPr>
          <w:rFonts w:ascii="Arial" w:hAnsi="Arial" w:cs="Arial"/>
          <w:vertAlign w:val="superscript"/>
        </w:rPr>
        <w:t>1</w:t>
      </w:r>
      <w:r>
        <w:rPr>
          <w:rFonts w:ascii="Arial" w:hAnsi="Arial" w:cs="Arial"/>
        </w:rPr>
        <w:t xml:space="preserve"> The pathogenesis remains uncertain, but hypotheses include autoimmune dysregulation and hyperimmune responses to viral infections such as Epstein-Barr virus, human herpesvirus, and parvovirus B19.</w:t>
      </w:r>
      <w:r w:rsidR="0061612B">
        <w:rPr>
          <w:rFonts w:ascii="Arial" w:hAnsi="Arial" w:cs="Arial"/>
          <w:vertAlign w:val="superscript"/>
        </w:rPr>
        <w:t>1</w:t>
      </w:r>
      <w:r>
        <w:rPr>
          <w:rFonts w:ascii="Arial" w:hAnsi="Arial" w:cs="Arial"/>
        </w:rPr>
        <w:br/>
      </w:r>
      <w:r>
        <w:rPr>
          <w:rFonts w:ascii="Arial" w:hAnsi="Arial" w:cs="Arial"/>
        </w:rPr>
        <w:br/>
        <w:t>Histogically, KFD is characterized by paracortical necrosis, karyorrhectic debris, crescentic histiocytes, and plasmacytoid dendritic cells, with an absence of neutrophils and plasma cells—features that help differentiate it from other lymphadenitides.</w:t>
      </w:r>
      <w:r w:rsidR="0061612B">
        <w:rPr>
          <w:rFonts w:ascii="Arial" w:hAnsi="Arial" w:cs="Arial"/>
          <w:vertAlign w:val="superscript"/>
        </w:rPr>
        <w:t>1</w:t>
      </w:r>
      <w:r>
        <w:rPr>
          <w:rFonts w:ascii="Arial" w:hAnsi="Arial" w:cs="Arial"/>
        </w:rPr>
        <w:br/>
      </w:r>
      <w:r>
        <w:rPr>
          <w:rFonts w:ascii="Arial" w:hAnsi="Arial" w:cs="Arial"/>
        </w:rPr>
        <w:br/>
        <w:t>Systemic lupus erythematosus (SLE) is a multisystem autoimmune disease with diverse manifestations including skin rashes, arthritis, renal involvement, and hematologic abnormalities.</w:t>
      </w:r>
      <w:r w:rsidR="0061612B">
        <w:rPr>
          <w:rFonts w:ascii="Arial" w:hAnsi="Arial" w:cs="Arial"/>
          <w:vertAlign w:val="superscript"/>
        </w:rPr>
        <w:t>2</w:t>
      </w:r>
      <w:r>
        <w:rPr>
          <w:rFonts w:ascii="Arial" w:hAnsi="Arial" w:cs="Arial"/>
        </w:rPr>
        <w:t xml:space="preserve"> Lymphadenopathy is observed in about 25–60% of SLE patients, and lupus lymphadenitis can closely resemble KFD histologically</w:t>
      </w:r>
      <w:r w:rsidR="0061612B">
        <w:rPr>
          <w:rFonts w:ascii="Arial" w:hAnsi="Arial" w:cs="Arial"/>
          <w:vertAlign w:val="superscript"/>
        </w:rPr>
        <w:t>3</w:t>
      </w:r>
      <w:r>
        <w:rPr>
          <w:rFonts w:ascii="Arial" w:hAnsi="Arial" w:cs="Arial"/>
        </w:rPr>
        <w:t xml:space="preserve">. The overlap of KFD and SLE, though rare, is increasingly recognized, raising diagnostic challenges. </w:t>
      </w:r>
      <w:proofErr w:type="spellStart"/>
      <w:r>
        <w:rPr>
          <w:rFonts w:ascii="Arial" w:hAnsi="Arial" w:cs="Arial"/>
        </w:rPr>
        <w:t>Bahmad</w:t>
      </w:r>
      <w:proofErr w:type="spellEnd"/>
      <w:r>
        <w:rPr>
          <w:rFonts w:ascii="Arial" w:hAnsi="Arial" w:cs="Arial"/>
        </w:rPr>
        <w:t xml:space="preserve"> et al. (2024)</w:t>
      </w:r>
      <w:r w:rsidR="0061612B">
        <w:rPr>
          <w:rFonts w:ascii="Arial" w:hAnsi="Arial" w:cs="Arial"/>
          <w:vertAlign w:val="superscript"/>
        </w:rPr>
        <w:t>4</w:t>
      </w:r>
      <w:r>
        <w:rPr>
          <w:rFonts w:ascii="Arial" w:hAnsi="Arial" w:cs="Arial"/>
        </w:rPr>
        <w:t xml:space="preserve"> and Wibowo et al. (2024)</w:t>
      </w:r>
      <w:r w:rsidR="0061612B">
        <w:rPr>
          <w:rFonts w:ascii="Arial" w:hAnsi="Arial" w:cs="Arial"/>
          <w:vertAlign w:val="superscript"/>
        </w:rPr>
        <w:t>5</w:t>
      </w:r>
      <w:r>
        <w:rPr>
          <w:rFonts w:ascii="Arial" w:hAnsi="Arial" w:cs="Arial"/>
        </w:rPr>
        <w:t xml:space="preserve"> described cases where KFD preceded or coincided with SLE, suggesting a potential immunopathological link.</w:t>
      </w:r>
      <w:r>
        <w:rPr>
          <w:rFonts w:ascii="Arial" w:hAnsi="Arial" w:cs="Arial"/>
        </w:rPr>
        <w:br/>
      </w:r>
      <w:r>
        <w:rPr>
          <w:rFonts w:ascii="Arial" w:hAnsi="Arial" w:cs="Arial"/>
        </w:rPr>
        <w:br/>
        <w:t>Here, we present a case of KFD secondary to SLE in a young female, highlighting the diagnostic approach, therapeutic implications, and a review of similar cases in literature.</w:t>
      </w:r>
      <w:r>
        <w:rPr>
          <w:rFonts w:ascii="Arial" w:hAnsi="Arial" w:cs="Arial"/>
        </w:rPr>
        <w:br/>
      </w:r>
    </w:p>
    <w:p w14:paraId="706ABC7D" w14:textId="77777777" w:rsidR="006D3AE9" w:rsidRDefault="007940B7">
      <w:pPr>
        <w:pStyle w:val="AbstHead"/>
        <w:spacing w:after="0"/>
        <w:jc w:val="both"/>
        <w:rPr>
          <w:rFonts w:cs="Arial"/>
        </w:rPr>
      </w:pPr>
      <w:r>
        <w:rPr>
          <w:rFonts w:ascii="Arial" w:hAnsi="Arial" w:cs="Arial"/>
        </w:rPr>
        <w:t xml:space="preserve">2. </w:t>
      </w:r>
      <w:r>
        <w:rPr>
          <w:rFonts w:cs="Arial"/>
        </w:rPr>
        <w:t>Case Presentation</w:t>
      </w:r>
    </w:p>
    <w:p w14:paraId="49CDED3D" w14:textId="77777777" w:rsidR="006D3AE9" w:rsidRDefault="006D3AE9">
      <w:pPr>
        <w:pStyle w:val="AbstHead"/>
        <w:spacing w:after="0"/>
        <w:jc w:val="both"/>
        <w:rPr>
          <w:rFonts w:ascii="Arial" w:hAnsi="Arial" w:cs="Arial"/>
        </w:rPr>
      </w:pPr>
    </w:p>
    <w:p w14:paraId="7C13114D" w14:textId="3B6E809C" w:rsidR="006D3AE9" w:rsidRDefault="007940B7">
      <w:pPr>
        <w:pStyle w:val="Body"/>
        <w:spacing w:after="0"/>
        <w:rPr>
          <w:rFonts w:ascii="Arial" w:hAnsi="Arial" w:cs="Arial"/>
        </w:rPr>
      </w:pPr>
      <w:r>
        <w:rPr>
          <w:rFonts w:ascii="Arial" w:hAnsi="Arial" w:cs="Arial"/>
        </w:rPr>
        <w:t>An 18-year-old female presented with a 4-month history of photosensitive malar rash and a 3-month history of intermittent fevers, fatigue, diffuse hair loss, and 5 kg unintentional weight loss.</w:t>
      </w:r>
      <w:r w:rsidR="00C209F8">
        <w:rPr>
          <w:rFonts w:ascii="Arial" w:hAnsi="Arial" w:cs="Arial"/>
        </w:rPr>
        <w:t xml:space="preserve"> She developed small swellings in her hands which were not painful and soft to touch.</w:t>
      </w:r>
      <w:r>
        <w:rPr>
          <w:rFonts w:ascii="Arial" w:hAnsi="Arial" w:cs="Arial"/>
        </w:rPr>
        <w:t xml:space="preserve"> There was no history of oral ulcers, joint pain, Raynaud’s phenomenon, or sicca symptoms. Past medical history was unremarkable.</w:t>
      </w:r>
      <w:r>
        <w:rPr>
          <w:rFonts w:ascii="Arial" w:hAnsi="Arial" w:cs="Arial"/>
        </w:rPr>
        <w:br/>
      </w:r>
      <w:r>
        <w:rPr>
          <w:rFonts w:ascii="Arial" w:hAnsi="Arial" w:cs="Arial"/>
        </w:rPr>
        <w:br/>
        <w:t>On examination, she was febrile (101°F) and tachycardic (120 bpm). A violaceous malar rash involving both cheeks and the nasal bridge sparing the nasolabial folds was noted. Subcutaneous nodules were present in the extensor aspect of both her fingers.</w:t>
      </w:r>
      <w:r w:rsidR="00C209F8">
        <w:rPr>
          <w:rFonts w:ascii="Arial" w:hAnsi="Arial" w:cs="Arial"/>
        </w:rPr>
        <w:t xml:space="preserve"> These nodules were non tender, mobile with no attachment to the underlying tissue</w:t>
      </w:r>
      <w:r w:rsidR="00E236F6">
        <w:rPr>
          <w:rFonts w:ascii="Arial" w:hAnsi="Arial" w:cs="Arial"/>
        </w:rPr>
        <w:t>.</w:t>
      </w:r>
    </w:p>
    <w:p w14:paraId="028BB681" w14:textId="77777777" w:rsidR="006D3AE9" w:rsidRDefault="006D3AE9">
      <w:pPr>
        <w:pStyle w:val="Body"/>
        <w:spacing w:after="0"/>
        <w:rPr>
          <w:rFonts w:ascii="Arial" w:hAnsi="Arial" w:cs="Arial"/>
        </w:rPr>
      </w:pPr>
    </w:p>
    <w:p w14:paraId="44E52C55" w14:textId="77777777" w:rsidR="006D3AE9" w:rsidRDefault="007940B7">
      <w:pPr>
        <w:pStyle w:val="Body"/>
        <w:spacing w:after="0"/>
        <w:rPr>
          <w:rFonts w:ascii="Arial" w:hAnsi="Arial" w:cs="Arial"/>
        </w:rPr>
      </w:pPr>
      <w:r>
        <w:rPr>
          <w:rFonts w:ascii="Arial" w:hAnsi="Arial" w:cs="Arial"/>
          <w:noProof/>
        </w:rPr>
        <w:drawing>
          <wp:inline distT="0" distB="0" distL="0" distR="0" wp14:anchorId="68D4D4DE" wp14:editId="47F73E5C">
            <wp:extent cx="5190229" cy="2655736"/>
            <wp:effectExtent l="0" t="0" r="0" b="0"/>
            <wp:docPr id="19633656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r="11951" b="70892"/>
                    <a:stretch>
                      <a:fillRect/>
                    </a:stretch>
                  </pic:blipFill>
                  <pic:spPr bwMode="auto">
                    <a:xfrm>
                      <a:off x="0" y="0"/>
                      <a:ext cx="5257549" cy="2690182"/>
                    </a:xfrm>
                    <a:prstGeom prst="rect">
                      <a:avLst/>
                    </a:prstGeom>
                    <a:noFill/>
                    <a:ln>
                      <a:noFill/>
                    </a:ln>
                  </pic:spPr>
                </pic:pic>
              </a:graphicData>
            </a:graphic>
          </wp:inline>
        </w:drawing>
      </w:r>
    </w:p>
    <w:p w14:paraId="26E29EEF" w14:textId="77777777" w:rsidR="006D3AE9" w:rsidRDefault="007940B7">
      <w:pPr>
        <w:pStyle w:val="Body"/>
        <w:spacing w:after="0"/>
        <w:jc w:val="center"/>
        <w:rPr>
          <w:rFonts w:ascii="Arial" w:hAnsi="Arial" w:cs="Arial"/>
          <w:b/>
          <w:bCs/>
        </w:rPr>
      </w:pPr>
      <w:r>
        <w:rPr>
          <w:rFonts w:ascii="Arial" w:hAnsi="Arial" w:cs="Arial"/>
          <w:b/>
          <w:bCs/>
        </w:rPr>
        <w:lastRenderedPageBreak/>
        <w:t>Figure 1: Subcutaneous nodules</w:t>
      </w:r>
    </w:p>
    <w:p w14:paraId="5EF81070" w14:textId="77777777" w:rsidR="006D3AE9" w:rsidRDefault="007940B7">
      <w:pPr>
        <w:pStyle w:val="Body"/>
        <w:spacing w:after="0"/>
        <w:rPr>
          <w:rFonts w:ascii="Arial" w:hAnsi="Arial" w:cs="Arial"/>
        </w:rPr>
      </w:pPr>
      <w:r>
        <w:rPr>
          <w:rFonts w:ascii="Arial" w:hAnsi="Arial" w:cs="Arial"/>
        </w:rPr>
        <w:t>Generalized lymphadenopathy was noted (largest node 1.5 cm, firm, mobile). No hepatosplenomegaly or synovitis was detected.</w:t>
      </w:r>
    </w:p>
    <w:p w14:paraId="6D9B7BD1" w14:textId="77777777" w:rsidR="006D3AE9" w:rsidRDefault="006D3AE9">
      <w:pPr>
        <w:pStyle w:val="Body"/>
        <w:spacing w:after="0"/>
        <w:rPr>
          <w:rFonts w:ascii="Arial" w:hAnsi="Arial" w:cs="Arial"/>
        </w:rPr>
      </w:pPr>
    </w:p>
    <w:p w14:paraId="00E9E6AF" w14:textId="77777777" w:rsidR="006D3AE9" w:rsidRDefault="007940B7">
      <w:pPr>
        <w:pStyle w:val="Body"/>
        <w:spacing w:after="0"/>
        <w:jc w:val="center"/>
        <w:rPr>
          <w:rFonts w:ascii="Arial" w:hAnsi="Arial" w:cs="Arial"/>
          <w:b/>
          <w:bCs/>
        </w:rPr>
      </w:pPr>
      <w:r>
        <w:rPr>
          <w:rFonts w:ascii="Arial" w:hAnsi="Arial" w:cs="Arial"/>
          <w:b/>
          <w:bCs/>
        </w:rPr>
        <w:t>Table 1: Laboratory Investigations of the Patient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728"/>
        <w:gridCol w:w="2728"/>
      </w:tblGrid>
      <w:tr w:rsidR="006D3AE9" w14:paraId="36FC64FA" w14:textId="77777777">
        <w:tc>
          <w:tcPr>
            <w:tcW w:w="2880" w:type="dxa"/>
            <w:tcBorders>
              <w:top w:val="single" w:sz="4" w:space="0" w:color="auto"/>
              <w:left w:val="single" w:sz="4" w:space="0" w:color="auto"/>
              <w:bottom w:val="single" w:sz="4" w:space="0" w:color="auto"/>
              <w:right w:val="single" w:sz="4" w:space="0" w:color="auto"/>
            </w:tcBorders>
            <w:hideMark/>
          </w:tcPr>
          <w:p w14:paraId="28436E77" w14:textId="77777777" w:rsidR="006D3AE9" w:rsidRDefault="007940B7">
            <w:pPr>
              <w:pStyle w:val="Body"/>
              <w:spacing w:after="0"/>
              <w:rPr>
                <w:rFonts w:ascii="Arial" w:hAnsi="Arial" w:cs="Arial"/>
                <w:b/>
                <w:bCs/>
              </w:rPr>
            </w:pPr>
            <w:r>
              <w:rPr>
                <w:rFonts w:ascii="Arial" w:hAnsi="Arial" w:cs="Arial"/>
                <w:b/>
                <w:bCs/>
              </w:rPr>
              <w:t>Parameter</w:t>
            </w:r>
          </w:p>
        </w:tc>
        <w:tc>
          <w:tcPr>
            <w:tcW w:w="2880" w:type="dxa"/>
            <w:tcBorders>
              <w:top w:val="single" w:sz="4" w:space="0" w:color="auto"/>
              <w:left w:val="single" w:sz="4" w:space="0" w:color="auto"/>
              <w:bottom w:val="single" w:sz="4" w:space="0" w:color="auto"/>
              <w:right w:val="single" w:sz="4" w:space="0" w:color="auto"/>
            </w:tcBorders>
            <w:hideMark/>
          </w:tcPr>
          <w:p w14:paraId="3DF1891F" w14:textId="77777777" w:rsidR="006D3AE9" w:rsidRDefault="007940B7">
            <w:pPr>
              <w:pStyle w:val="Body"/>
              <w:spacing w:after="0"/>
              <w:rPr>
                <w:rFonts w:ascii="Arial" w:hAnsi="Arial" w:cs="Arial"/>
                <w:b/>
                <w:bCs/>
              </w:rPr>
            </w:pPr>
            <w:r>
              <w:rPr>
                <w:rFonts w:ascii="Arial" w:hAnsi="Arial" w:cs="Arial"/>
                <w:b/>
                <w:bCs/>
              </w:rPr>
              <w:t>Result</w:t>
            </w:r>
          </w:p>
        </w:tc>
        <w:tc>
          <w:tcPr>
            <w:tcW w:w="2880" w:type="dxa"/>
            <w:tcBorders>
              <w:top w:val="single" w:sz="4" w:space="0" w:color="auto"/>
              <w:left w:val="single" w:sz="4" w:space="0" w:color="auto"/>
              <w:bottom w:val="single" w:sz="4" w:space="0" w:color="auto"/>
              <w:right w:val="single" w:sz="4" w:space="0" w:color="auto"/>
            </w:tcBorders>
            <w:hideMark/>
          </w:tcPr>
          <w:p w14:paraId="762650F3" w14:textId="77777777" w:rsidR="006D3AE9" w:rsidRDefault="007940B7">
            <w:pPr>
              <w:pStyle w:val="Body"/>
              <w:spacing w:after="0"/>
              <w:rPr>
                <w:rFonts w:ascii="Arial" w:hAnsi="Arial" w:cs="Arial"/>
                <w:b/>
                <w:bCs/>
              </w:rPr>
            </w:pPr>
            <w:r>
              <w:rPr>
                <w:rFonts w:ascii="Arial" w:hAnsi="Arial" w:cs="Arial"/>
                <w:b/>
                <w:bCs/>
              </w:rPr>
              <w:t>Reference Range</w:t>
            </w:r>
          </w:p>
        </w:tc>
      </w:tr>
      <w:tr w:rsidR="006D3AE9" w14:paraId="404A5737" w14:textId="77777777">
        <w:tc>
          <w:tcPr>
            <w:tcW w:w="2880" w:type="dxa"/>
            <w:tcBorders>
              <w:top w:val="single" w:sz="4" w:space="0" w:color="auto"/>
              <w:left w:val="single" w:sz="4" w:space="0" w:color="auto"/>
              <w:bottom w:val="single" w:sz="4" w:space="0" w:color="auto"/>
              <w:right w:val="single" w:sz="4" w:space="0" w:color="auto"/>
            </w:tcBorders>
            <w:hideMark/>
          </w:tcPr>
          <w:p w14:paraId="0BBA977A" w14:textId="77777777" w:rsidR="006D3AE9" w:rsidRDefault="007940B7">
            <w:pPr>
              <w:pStyle w:val="Body"/>
              <w:spacing w:after="0"/>
              <w:rPr>
                <w:rFonts w:ascii="Arial" w:hAnsi="Arial" w:cs="Arial"/>
                <w:b/>
                <w:bCs/>
              </w:rPr>
            </w:pPr>
            <w:r>
              <w:rPr>
                <w:rFonts w:ascii="Arial" w:hAnsi="Arial" w:cs="Arial"/>
                <w:b/>
                <w:bCs/>
              </w:rPr>
              <w:t>Hemoglobin</w:t>
            </w:r>
          </w:p>
        </w:tc>
        <w:tc>
          <w:tcPr>
            <w:tcW w:w="2880" w:type="dxa"/>
            <w:tcBorders>
              <w:top w:val="single" w:sz="4" w:space="0" w:color="auto"/>
              <w:left w:val="single" w:sz="4" w:space="0" w:color="auto"/>
              <w:bottom w:val="single" w:sz="4" w:space="0" w:color="auto"/>
              <w:right w:val="single" w:sz="4" w:space="0" w:color="auto"/>
            </w:tcBorders>
            <w:hideMark/>
          </w:tcPr>
          <w:p w14:paraId="1051CFD5" w14:textId="77777777" w:rsidR="006D3AE9" w:rsidRDefault="007940B7">
            <w:pPr>
              <w:pStyle w:val="Body"/>
              <w:spacing w:after="0"/>
              <w:rPr>
                <w:rFonts w:ascii="Arial" w:hAnsi="Arial" w:cs="Arial"/>
                <w:b/>
                <w:bCs/>
              </w:rPr>
            </w:pPr>
            <w:r>
              <w:rPr>
                <w:rFonts w:ascii="Arial" w:hAnsi="Arial" w:cs="Arial"/>
                <w:b/>
                <w:bCs/>
              </w:rPr>
              <w:t>7.4 g/dL</w:t>
            </w:r>
          </w:p>
        </w:tc>
        <w:tc>
          <w:tcPr>
            <w:tcW w:w="2880" w:type="dxa"/>
            <w:tcBorders>
              <w:top w:val="single" w:sz="4" w:space="0" w:color="auto"/>
              <w:left w:val="single" w:sz="4" w:space="0" w:color="auto"/>
              <w:bottom w:val="single" w:sz="4" w:space="0" w:color="auto"/>
              <w:right w:val="single" w:sz="4" w:space="0" w:color="auto"/>
            </w:tcBorders>
            <w:hideMark/>
          </w:tcPr>
          <w:p w14:paraId="2D9ECDCF" w14:textId="77777777" w:rsidR="006D3AE9" w:rsidRDefault="007940B7">
            <w:pPr>
              <w:pStyle w:val="Body"/>
              <w:spacing w:after="0"/>
              <w:rPr>
                <w:rFonts w:ascii="Arial" w:hAnsi="Arial" w:cs="Arial"/>
              </w:rPr>
            </w:pPr>
            <w:r>
              <w:rPr>
                <w:rFonts w:ascii="Arial" w:hAnsi="Arial" w:cs="Arial"/>
              </w:rPr>
              <w:t>12–16 g/dL</w:t>
            </w:r>
          </w:p>
        </w:tc>
      </w:tr>
      <w:tr w:rsidR="006D3AE9" w14:paraId="33CEB38C" w14:textId="77777777">
        <w:tc>
          <w:tcPr>
            <w:tcW w:w="2880" w:type="dxa"/>
            <w:tcBorders>
              <w:top w:val="single" w:sz="4" w:space="0" w:color="auto"/>
              <w:left w:val="single" w:sz="4" w:space="0" w:color="auto"/>
              <w:bottom w:val="single" w:sz="4" w:space="0" w:color="auto"/>
              <w:right w:val="single" w:sz="4" w:space="0" w:color="auto"/>
            </w:tcBorders>
            <w:hideMark/>
          </w:tcPr>
          <w:p w14:paraId="7F00AAB9" w14:textId="77777777" w:rsidR="006D3AE9" w:rsidRDefault="007940B7">
            <w:pPr>
              <w:pStyle w:val="Body"/>
              <w:spacing w:after="0"/>
              <w:rPr>
                <w:rFonts w:ascii="Arial" w:hAnsi="Arial" w:cs="Arial"/>
                <w:b/>
                <w:bCs/>
              </w:rPr>
            </w:pPr>
            <w:r>
              <w:rPr>
                <w:rFonts w:ascii="Arial" w:hAnsi="Arial" w:cs="Arial"/>
                <w:b/>
                <w:bCs/>
              </w:rPr>
              <w:t>Total leukocyte count</w:t>
            </w:r>
          </w:p>
        </w:tc>
        <w:tc>
          <w:tcPr>
            <w:tcW w:w="2880" w:type="dxa"/>
            <w:tcBorders>
              <w:top w:val="single" w:sz="4" w:space="0" w:color="auto"/>
              <w:left w:val="single" w:sz="4" w:space="0" w:color="auto"/>
              <w:bottom w:val="single" w:sz="4" w:space="0" w:color="auto"/>
              <w:right w:val="single" w:sz="4" w:space="0" w:color="auto"/>
            </w:tcBorders>
            <w:hideMark/>
          </w:tcPr>
          <w:p w14:paraId="57A281ED" w14:textId="77777777" w:rsidR="006D3AE9" w:rsidRDefault="007940B7">
            <w:pPr>
              <w:pStyle w:val="Body"/>
              <w:spacing w:after="0"/>
              <w:rPr>
                <w:rFonts w:ascii="Arial" w:hAnsi="Arial" w:cs="Arial"/>
              </w:rPr>
            </w:pPr>
            <w:r>
              <w:rPr>
                <w:rFonts w:ascii="Arial" w:hAnsi="Arial" w:cs="Arial"/>
              </w:rPr>
              <w:t>6300/µL</w:t>
            </w:r>
          </w:p>
        </w:tc>
        <w:tc>
          <w:tcPr>
            <w:tcW w:w="2880" w:type="dxa"/>
            <w:tcBorders>
              <w:top w:val="single" w:sz="4" w:space="0" w:color="auto"/>
              <w:left w:val="single" w:sz="4" w:space="0" w:color="auto"/>
              <w:bottom w:val="single" w:sz="4" w:space="0" w:color="auto"/>
              <w:right w:val="single" w:sz="4" w:space="0" w:color="auto"/>
            </w:tcBorders>
            <w:hideMark/>
          </w:tcPr>
          <w:p w14:paraId="105F51B8" w14:textId="77777777" w:rsidR="006D3AE9" w:rsidRDefault="007940B7">
            <w:pPr>
              <w:pStyle w:val="Body"/>
              <w:spacing w:after="0"/>
              <w:rPr>
                <w:rFonts w:ascii="Arial" w:hAnsi="Arial" w:cs="Arial"/>
              </w:rPr>
            </w:pPr>
            <w:r>
              <w:rPr>
                <w:rFonts w:ascii="Arial" w:hAnsi="Arial" w:cs="Arial"/>
              </w:rPr>
              <w:t>4000–11000/µL</w:t>
            </w:r>
          </w:p>
        </w:tc>
      </w:tr>
      <w:tr w:rsidR="006D3AE9" w14:paraId="6D5D38BF" w14:textId="77777777">
        <w:tc>
          <w:tcPr>
            <w:tcW w:w="2880" w:type="dxa"/>
            <w:tcBorders>
              <w:top w:val="single" w:sz="4" w:space="0" w:color="auto"/>
              <w:left w:val="single" w:sz="4" w:space="0" w:color="auto"/>
              <w:bottom w:val="single" w:sz="4" w:space="0" w:color="auto"/>
              <w:right w:val="single" w:sz="4" w:space="0" w:color="auto"/>
            </w:tcBorders>
            <w:hideMark/>
          </w:tcPr>
          <w:p w14:paraId="1BCAC213" w14:textId="77777777" w:rsidR="006D3AE9" w:rsidRDefault="007940B7">
            <w:pPr>
              <w:pStyle w:val="Body"/>
              <w:spacing w:after="0"/>
              <w:rPr>
                <w:rFonts w:ascii="Arial" w:hAnsi="Arial" w:cs="Arial"/>
                <w:b/>
                <w:bCs/>
              </w:rPr>
            </w:pPr>
            <w:r>
              <w:rPr>
                <w:rFonts w:ascii="Arial" w:hAnsi="Arial" w:cs="Arial"/>
                <w:b/>
                <w:bCs/>
              </w:rPr>
              <w:t>Platelet count</w:t>
            </w:r>
          </w:p>
        </w:tc>
        <w:tc>
          <w:tcPr>
            <w:tcW w:w="2880" w:type="dxa"/>
            <w:tcBorders>
              <w:top w:val="single" w:sz="4" w:space="0" w:color="auto"/>
              <w:left w:val="single" w:sz="4" w:space="0" w:color="auto"/>
              <w:bottom w:val="single" w:sz="4" w:space="0" w:color="auto"/>
              <w:right w:val="single" w:sz="4" w:space="0" w:color="auto"/>
            </w:tcBorders>
            <w:hideMark/>
          </w:tcPr>
          <w:p w14:paraId="4C841FEE" w14:textId="77777777" w:rsidR="006D3AE9" w:rsidRDefault="007940B7">
            <w:pPr>
              <w:pStyle w:val="Body"/>
              <w:spacing w:after="0"/>
              <w:rPr>
                <w:rFonts w:ascii="Arial" w:hAnsi="Arial" w:cs="Arial"/>
              </w:rPr>
            </w:pPr>
            <w:r>
              <w:rPr>
                <w:rFonts w:ascii="Arial" w:hAnsi="Arial" w:cs="Arial"/>
              </w:rPr>
              <w:t>210,000/µL</w:t>
            </w:r>
          </w:p>
        </w:tc>
        <w:tc>
          <w:tcPr>
            <w:tcW w:w="2880" w:type="dxa"/>
            <w:tcBorders>
              <w:top w:val="single" w:sz="4" w:space="0" w:color="auto"/>
              <w:left w:val="single" w:sz="4" w:space="0" w:color="auto"/>
              <w:bottom w:val="single" w:sz="4" w:space="0" w:color="auto"/>
              <w:right w:val="single" w:sz="4" w:space="0" w:color="auto"/>
            </w:tcBorders>
            <w:hideMark/>
          </w:tcPr>
          <w:p w14:paraId="03C9BCD0" w14:textId="77777777" w:rsidR="006D3AE9" w:rsidRDefault="007940B7">
            <w:pPr>
              <w:pStyle w:val="Body"/>
              <w:spacing w:after="0"/>
              <w:rPr>
                <w:rFonts w:ascii="Arial" w:hAnsi="Arial" w:cs="Arial"/>
              </w:rPr>
            </w:pPr>
            <w:r>
              <w:rPr>
                <w:rFonts w:ascii="Arial" w:hAnsi="Arial" w:cs="Arial"/>
              </w:rPr>
              <w:t>150,000–450,000/µL</w:t>
            </w:r>
          </w:p>
        </w:tc>
      </w:tr>
      <w:tr w:rsidR="006D3AE9" w14:paraId="6735D647" w14:textId="77777777">
        <w:tc>
          <w:tcPr>
            <w:tcW w:w="2880" w:type="dxa"/>
            <w:tcBorders>
              <w:top w:val="single" w:sz="4" w:space="0" w:color="auto"/>
              <w:left w:val="single" w:sz="4" w:space="0" w:color="auto"/>
              <w:bottom w:val="single" w:sz="4" w:space="0" w:color="auto"/>
              <w:right w:val="single" w:sz="4" w:space="0" w:color="auto"/>
            </w:tcBorders>
            <w:hideMark/>
          </w:tcPr>
          <w:p w14:paraId="2C56F8A4" w14:textId="77777777" w:rsidR="006D3AE9" w:rsidRDefault="007940B7">
            <w:pPr>
              <w:pStyle w:val="Body"/>
              <w:spacing w:after="0"/>
              <w:rPr>
                <w:rFonts w:ascii="Arial" w:hAnsi="Arial" w:cs="Arial"/>
                <w:b/>
                <w:bCs/>
              </w:rPr>
            </w:pPr>
            <w:r>
              <w:rPr>
                <w:rFonts w:ascii="Arial" w:hAnsi="Arial" w:cs="Arial"/>
                <w:b/>
                <w:bCs/>
              </w:rPr>
              <w:t>ESR</w:t>
            </w:r>
          </w:p>
        </w:tc>
        <w:tc>
          <w:tcPr>
            <w:tcW w:w="2880" w:type="dxa"/>
            <w:tcBorders>
              <w:top w:val="single" w:sz="4" w:space="0" w:color="auto"/>
              <w:left w:val="single" w:sz="4" w:space="0" w:color="auto"/>
              <w:bottom w:val="single" w:sz="4" w:space="0" w:color="auto"/>
              <w:right w:val="single" w:sz="4" w:space="0" w:color="auto"/>
            </w:tcBorders>
            <w:hideMark/>
          </w:tcPr>
          <w:p w14:paraId="1F8D6BCB" w14:textId="77777777" w:rsidR="006D3AE9" w:rsidRDefault="007940B7">
            <w:pPr>
              <w:pStyle w:val="Body"/>
              <w:spacing w:after="0"/>
              <w:rPr>
                <w:rFonts w:ascii="Arial" w:hAnsi="Arial" w:cs="Arial"/>
                <w:b/>
                <w:bCs/>
              </w:rPr>
            </w:pPr>
            <w:r>
              <w:rPr>
                <w:rFonts w:ascii="Arial" w:hAnsi="Arial" w:cs="Arial"/>
                <w:b/>
                <w:bCs/>
              </w:rPr>
              <w:t>46 mm/</w:t>
            </w:r>
            <w:proofErr w:type="spellStart"/>
            <w:r>
              <w:rPr>
                <w:rFonts w:ascii="Arial" w:hAnsi="Arial" w:cs="Arial"/>
                <w:b/>
                <w:bCs/>
              </w:rPr>
              <w:t>hr</w:t>
            </w:r>
            <w:proofErr w:type="spellEnd"/>
          </w:p>
        </w:tc>
        <w:tc>
          <w:tcPr>
            <w:tcW w:w="2880" w:type="dxa"/>
            <w:tcBorders>
              <w:top w:val="single" w:sz="4" w:space="0" w:color="auto"/>
              <w:left w:val="single" w:sz="4" w:space="0" w:color="auto"/>
              <w:bottom w:val="single" w:sz="4" w:space="0" w:color="auto"/>
              <w:right w:val="single" w:sz="4" w:space="0" w:color="auto"/>
            </w:tcBorders>
            <w:hideMark/>
          </w:tcPr>
          <w:p w14:paraId="0F6D17C7" w14:textId="77777777" w:rsidR="006D3AE9" w:rsidRDefault="007940B7">
            <w:pPr>
              <w:pStyle w:val="Body"/>
              <w:spacing w:after="0"/>
              <w:rPr>
                <w:rFonts w:ascii="Arial" w:hAnsi="Arial" w:cs="Arial"/>
              </w:rPr>
            </w:pPr>
            <w:r>
              <w:rPr>
                <w:rFonts w:ascii="Arial" w:hAnsi="Arial" w:cs="Arial"/>
              </w:rPr>
              <w:t>&lt;20 mm/</w:t>
            </w:r>
            <w:proofErr w:type="spellStart"/>
            <w:r>
              <w:rPr>
                <w:rFonts w:ascii="Arial" w:hAnsi="Arial" w:cs="Arial"/>
              </w:rPr>
              <w:t>hr</w:t>
            </w:r>
            <w:proofErr w:type="spellEnd"/>
          </w:p>
        </w:tc>
      </w:tr>
      <w:tr w:rsidR="006D3AE9" w14:paraId="63EA4ADE" w14:textId="77777777">
        <w:tc>
          <w:tcPr>
            <w:tcW w:w="2880" w:type="dxa"/>
            <w:tcBorders>
              <w:top w:val="single" w:sz="4" w:space="0" w:color="auto"/>
              <w:left w:val="single" w:sz="4" w:space="0" w:color="auto"/>
              <w:bottom w:val="single" w:sz="4" w:space="0" w:color="auto"/>
              <w:right w:val="single" w:sz="4" w:space="0" w:color="auto"/>
            </w:tcBorders>
            <w:hideMark/>
          </w:tcPr>
          <w:p w14:paraId="176A4959" w14:textId="77777777" w:rsidR="006D3AE9" w:rsidRDefault="007940B7">
            <w:pPr>
              <w:pStyle w:val="Body"/>
              <w:spacing w:after="0"/>
              <w:rPr>
                <w:rFonts w:ascii="Arial" w:hAnsi="Arial" w:cs="Arial"/>
                <w:b/>
                <w:bCs/>
              </w:rPr>
            </w:pPr>
            <w:r>
              <w:rPr>
                <w:rFonts w:ascii="Arial" w:hAnsi="Arial" w:cs="Arial"/>
                <w:b/>
                <w:bCs/>
              </w:rPr>
              <w:t>CRP</w:t>
            </w:r>
          </w:p>
        </w:tc>
        <w:tc>
          <w:tcPr>
            <w:tcW w:w="2880" w:type="dxa"/>
            <w:tcBorders>
              <w:top w:val="single" w:sz="4" w:space="0" w:color="auto"/>
              <w:left w:val="single" w:sz="4" w:space="0" w:color="auto"/>
              <w:bottom w:val="single" w:sz="4" w:space="0" w:color="auto"/>
              <w:right w:val="single" w:sz="4" w:space="0" w:color="auto"/>
            </w:tcBorders>
            <w:hideMark/>
          </w:tcPr>
          <w:p w14:paraId="638C8FDB" w14:textId="77777777" w:rsidR="006D3AE9" w:rsidRDefault="007940B7">
            <w:pPr>
              <w:pStyle w:val="Body"/>
              <w:spacing w:after="0"/>
              <w:rPr>
                <w:rFonts w:ascii="Arial" w:hAnsi="Arial" w:cs="Arial"/>
                <w:b/>
                <w:bCs/>
              </w:rPr>
            </w:pPr>
            <w:r>
              <w:rPr>
                <w:rFonts w:ascii="Arial" w:hAnsi="Arial" w:cs="Arial"/>
                <w:b/>
                <w:bCs/>
              </w:rPr>
              <w:t>12 mg/L</w:t>
            </w:r>
          </w:p>
        </w:tc>
        <w:tc>
          <w:tcPr>
            <w:tcW w:w="2880" w:type="dxa"/>
            <w:tcBorders>
              <w:top w:val="single" w:sz="4" w:space="0" w:color="auto"/>
              <w:left w:val="single" w:sz="4" w:space="0" w:color="auto"/>
              <w:bottom w:val="single" w:sz="4" w:space="0" w:color="auto"/>
              <w:right w:val="single" w:sz="4" w:space="0" w:color="auto"/>
            </w:tcBorders>
            <w:hideMark/>
          </w:tcPr>
          <w:p w14:paraId="2277AB10" w14:textId="77777777" w:rsidR="006D3AE9" w:rsidRDefault="007940B7">
            <w:pPr>
              <w:pStyle w:val="Body"/>
              <w:spacing w:after="0"/>
              <w:rPr>
                <w:rFonts w:ascii="Arial" w:hAnsi="Arial" w:cs="Arial"/>
              </w:rPr>
            </w:pPr>
            <w:r>
              <w:rPr>
                <w:rFonts w:ascii="Arial" w:hAnsi="Arial" w:cs="Arial"/>
              </w:rPr>
              <w:t>&lt;5 mg/L</w:t>
            </w:r>
          </w:p>
        </w:tc>
      </w:tr>
      <w:tr w:rsidR="006D3AE9" w14:paraId="7942AC9F" w14:textId="77777777">
        <w:tc>
          <w:tcPr>
            <w:tcW w:w="2880" w:type="dxa"/>
            <w:tcBorders>
              <w:top w:val="single" w:sz="4" w:space="0" w:color="auto"/>
              <w:left w:val="single" w:sz="4" w:space="0" w:color="auto"/>
              <w:bottom w:val="single" w:sz="4" w:space="0" w:color="auto"/>
              <w:right w:val="single" w:sz="4" w:space="0" w:color="auto"/>
            </w:tcBorders>
            <w:hideMark/>
          </w:tcPr>
          <w:p w14:paraId="2E47207C" w14:textId="77777777" w:rsidR="006D3AE9" w:rsidRDefault="007940B7">
            <w:pPr>
              <w:pStyle w:val="Body"/>
              <w:spacing w:after="0"/>
              <w:rPr>
                <w:rFonts w:ascii="Arial" w:hAnsi="Arial" w:cs="Arial"/>
                <w:b/>
                <w:bCs/>
              </w:rPr>
            </w:pPr>
            <w:r>
              <w:rPr>
                <w:rFonts w:ascii="Arial" w:hAnsi="Arial" w:cs="Arial"/>
                <w:b/>
                <w:bCs/>
              </w:rPr>
              <w:t>AST</w:t>
            </w:r>
          </w:p>
        </w:tc>
        <w:tc>
          <w:tcPr>
            <w:tcW w:w="2880" w:type="dxa"/>
            <w:tcBorders>
              <w:top w:val="single" w:sz="4" w:space="0" w:color="auto"/>
              <w:left w:val="single" w:sz="4" w:space="0" w:color="auto"/>
              <w:bottom w:val="single" w:sz="4" w:space="0" w:color="auto"/>
              <w:right w:val="single" w:sz="4" w:space="0" w:color="auto"/>
            </w:tcBorders>
            <w:hideMark/>
          </w:tcPr>
          <w:p w14:paraId="79B5F5DB" w14:textId="77777777" w:rsidR="006D3AE9" w:rsidRDefault="007940B7">
            <w:pPr>
              <w:pStyle w:val="Body"/>
              <w:spacing w:after="0"/>
              <w:rPr>
                <w:rFonts w:ascii="Arial" w:hAnsi="Arial" w:cs="Arial"/>
              </w:rPr>
            </w:pPr>
            <w:r>
              <w:rPr>
                <w:rFonts w:ascii="Arial" w:hAnsi="Arial" w:cs="Arial"/>
              </w:rPr>
              <w:t>168 U/L</w:t>
            </w:r>
          </w:p>
        </w:tc>
        <w:tc>
          <w:tcPr>
            <w:tcW w:w="2880" w:type="dxa"/>
            <w:tcBorders>
              <w:top w:val="single" w:sz="4" w:space="0" w:color="auto"/>
              <w:left w:val="single" w:sz="4" w:space="0" w:color="auto"/>
              <w:bottom w:val="single" w:sz="4" w:space="0" w:color="auto"/>
              <w:right w:val="single" w:sz="4" w:space="0" w:color="auto"/>
            </w:tcBorders>
            <w:hideMark/>
          </w:tcPr>
          <w:p w14:paraId="54A5D755" w14:textId="77777777" w:rsidR="006D3AE9" w:rsidRDefault="007940B7">
            <w:pPr>
              <w:pStyle w:val="Body"/>
              <w:spacing w:after="0"/>
              <w:rPr>
                <w:rFonts w:ascii="Arial" w:hAnsi="Arial" w:cs="Arial"/>
              </w:rPr>
            </w:pPr>
            <w:r>
              <w:rPr>
                <w:rFonts w:ascii="Arial" w:hAnsi="Arial" w:cs="Arial"/>
              </w:rPr>
              <w:t>10–40 U/L</w:t>
            </w:r>
          </w:p>
        </w:tc>
      </w:tr>
      <w:tr w:rsidR="006D3AE9" w14:paraId="621C0C9B" w14:textId="77777777">
        <w:tc>
          <w:tcPr>
            <w:tcW w:w="2880" w:type="dxa"/>
            <w:tcBorders>
              <w:top w:val="single" w:sz="4" w:space="0" w:color="auto"/>
              <w:left w:val="single" w:sz="4" w:space="0" w:color="auto"/>
              <w:bottom w:val="single" w:sz="4" w:space="0" w:color="auto"/>
              <w:right w:val="single" w:sz="4" w:space="0" w:color="auto"/>
            </w:tcBorders>
            <w:hideMark/>
          </w:tcPr>
          <w:p w14:paraId="0DE53A50" w14:textId="77777777" w:rsidR="006D3AE9" w:rsidRDefault="007940B7">
            <w:pPr>
              <w:pStyle w:val="Body"/>
              <w:spacing w:after="0"/>
              <w:rPr>
                <w:rFonts w:ascii="Arial" w:hAnsi="Arial" w:cs="Arial"/>
                <w:b/>
                <w:bCs/>
              </w:rPr>
            </w:pPr>
            <w:r>
              <w:rPr>
                <w:rFonts w:ascii="Arial" w:hAnsi="Arial" w:cs="Arial"/>
                <w:b/>
                <w:bCs/>
              </w:rPr>
              <w:t>ALT</w:t>
            </w:r>
          </w:p>
        </w:tc>
        <w:tc>
          <w:tcPr>
            <w:tcW w:w="2880" w:type="dxa"/>
            <w:tcBorders>
              <w:top w:val="single" w:sz="4" w:space="0" w:color="auto"/>
              <w:left w:val="single" w:sz="4" w:space="0" w:color="auto"/>
              <w:bottom w:val="single" w:sz="4" w:space="0" w:color="auto"/>
              <w:right w:val="single" w:sz="4" w:space="0" w:color="auto"/>
            </w:tcBorders>
            <w:hideMark/>
          </w:tcPr>
          <w:p w14:paraId="2DFACDEE" w14:textId="77777777" w:rsidR="006D3AE9" w:rsidRDefault="007940B7">
            <w:pPr>
              <w:pStyle w:val="Body"/>
              <w:spacing w:after="0"/>
              <w:rPr>
                <w:rFonts w:ascii="Arial" w:hAnsi="Arial" w:cs="Arial"/>
              </w:rPr>
            </w:pPr>
            <w:r>
              <w:rPr>
                <w:rFonts w:ascii="Arial" w:hAnsi="Arial" w:cs="Arial"/>
              </w:rPr>
              <w:t>127 U/L</w:t>
            </w:r>
          </w:p>
        </w:tc>
        <w:tc>
          <w:tcPr>
            <w:tcW w:w="2880" w:type="dxa"/>
            <w:tcBorders>
              <w:top w:val="single" w:sz="4" w:space="0" w:color="auto"/>
              <w:left w:val="single" w:sz="4" w:space="0" w:color="auto"/>
              <w:bottom w:val="single" w:sz="4" w:space="0" w:color="auto"/>
              <w:right w:val="single" w:sz="4" w:space="0" w:color="auto"/>
            </w:tcBorders>
            <w:hideMark/>
          </w:tcPr>
          <w:p w14:paraId="09BAE627" w14:textId="77777777" w:rsidR="006D3AE9" w:rsidRDefault="007940B7">
            <w:pPr>
              <w:pStyle w:val="Body"/>
              <w:spacing w:after="0"/>
              <w:rPr>
                <w:rFonts w:ascii="Arial" w:hAnsi="Arial" w:cs="Arial"/>
              </w:rPr>
            </w:pPr>
            <w:r>
              <w:rPr>
                <w:rFonts w:ascii="Arial" w:hAnsi="Arial" w:cs="Arial"/>
              </w:rPr>
              <w:t>7–56 U/L</w:t>
            </w:r>
          </w:p>
        </w:tc>
      </w:tr>
      <w:tr w:rsidR="006D3AE9" w14:paraId="05643F34" w14:textId="77777777">
        <w:tc>
          <w:tcPr>
            <w:tcW w:w="2880" w:type="dxa"/>
            <w:tcBorders>
              <w:top w:val="single" w:sz="4" w:space="0" w:color="auto"/>
              <w:left w:val="single" w:sz="4" w:space="0" w:color="auto"/>
              <w:bottom w:val="single" w:sz="4" w:space="0" w:color="auto"/>
              <w:right w:val="single" w:sz="4" w:space="0" w:color="auto"/>
            </w:tcBorders>
            <w:hideMark/>
          </w:tcPr>
          <w:p w14:paraId="691C771D" w14:textId="77777777" w:rsidR="006D3AE9" w:rsidRDefault="007940B7">
            <w:pPr>
              <w:pStyle w:val="Body"/>
              <w:spacing w:after="0"/>
              <w:rPr>
                <w:rFonts w:ascii="Arial" w:hAnsi="Arial" w:cs="Arial"/>
                <w:b/>
                <w:bCs/>
              </w:rPr>
            </w:pPr>
            <w:r>
              <w:rPr>
                <w:rFonts w:ascii="Arial" w:hAnsi="Arial" w:cs="Arial"/>
                <w:b/>
                <w:bCs/>
              </w:rPr>
              <w:t>LDH</w:t>
            </w:r>
          </w:p>
        </w:tc>
        <w:tc>
          <w:tcPr>
            <w:tcW w:w="2880" w:type="dxa"/>
            <w:tcBorders>
              <w:top w:val="single" w:sz="4" w:space="0" w:color="auto"/>
              <w:left w:val="single" w:sz="4" w:space="0" w:color="auto"/>
              <w:bottom w:val="single" w:sz="4" w:space="0" w:color="auto"/>
              <w:right w:val="single" w:sz="4" w:space="0" w:color="auto"/>
            </w:tcBorders>
            <w:hideMark/>
          </w:tcPr>
          <w:p w14:paraId="04128774" w14:textId="77777777" w:rsidR="006D3AE9" w:rsidRDefault="007940B7">
            <w:pPr>
              <w:pStyle w:val="Body"/>
              <w:spacing w:after="0"/>
              <w:rPr>
                <w:rFonts w:ascii="Arial" w:hAnsi="Arial" w:cs="Arial"/>
              </w:rPr>
            </w:pPr>
            <w:r>
              <w:rPr>
                <w:rFonts w:ascii="Arial" w:hAnsi="Arial" w:cs="Arial"/>
              </w:rPr>
              <w:t>503 U/L</w:t>
            </w:r>
          </w:p>
        </w:tc>
        <w:tc>
          <w:tcPr>
            <w:tcW w:w="2880" w:type="dxa"/>
            <w:tcBorders>
              <w:top w:val="single" w:sz="4" w:space="0" w:color="auto"/>
              <w:left w:val="single" w:sz="4" w:space="0" w:color="auto"/>
              <w:bottom w:val="single" w:sz="4" w:space="0" w:color="auto"/>
              <w:right w:val="single" w:sz="4" w:space="0" w:color="auto"/>
            </w:tcBorders>
            <w:hideMark/>
          </w:tcPr>
          <w:p w14:paraId="55E3208A" w14:textId="77777777" w:rsidR="006D3AE9" w:rsidRDefault="007940B7">
            <w:pPr>
              <w:pStyle w:val="Body"/>
              <w:spacing w:after="0"/>
              <w:rPr>
                <w:rFonts w:ascii="Arial" w:hAnsi="Arial" w:cs="Arial"/>
              </w:rPr>
            </w:pPr>
            <w:r>
              <w:rPr>
                <w:rFonts w:ascii="Arial" w:hAnsi="Arial" w:cs="Arial"/>
              </w:rPr>
              <w:t>140–280 U/L</w:t>
            </w:r>
          </w:p>
        </w:tc>
      </w:tr>
      <w:tr w:rsidR="006D3AE9" w14:paraId="2D95CC3E" w14:textId="77777777">
        <w:tc>
          <w:tcPr>
            <w:tcW w:w="2880" w:type="dxa"/>
            <w:tcBorders>
              <w:top w:val="single" w:sz="4" w:space="0" w:color="auto"/>
              <w:left w:val="single" w:sz="4" w:space="0" w:color="auto"/>
              <w:bottom w:val="single" w:sz="4" w:space="0" w:color="auto"/>
              <w:right w:val="single" w:sz="4" w:space="0" w:color="auto"/>
            </w:tcBorders>
            <w:hideMark/>
          </w:tcPr>
          <w:p w14:paraId="71D96509" w14:textId="77777777" w:rsidR="006D3AE9" w:rsidRDefault="007940B7">
            <w:pPr>
              <w:pStyle w:val="Body"/>
              <w:spacing w:after="0"/>
              <w:rPr>
                <w:rFonts w:ascii="Arial" w:hAnsi="Arial" w:cs="Arial"/>
                <w:b/>
                <w:bCs/>
              </w:rPr>
            </w:pPr>
            <w:r>
              <w:rPr>
                <w:rFonts w:ascii="Arial" w:hAnsi="Arial" w:cs="Arial"/>
                <w:b/>
                <w:bCs/>
              </w:rPr>
              <w:t>C3</w:t>
            </w:r>
          </w:p>
        </w:tc>
        <w:tc>
          <w:tcPr>
            <w:tcW w:w="2880" w:type="dxa"/>
            <w:tcBorders>
              <w:top w:val="single" w:sz="4" w:space="0" w:color="auto"/>
              <w:left w:val="single" w:sz="4" w:space="0" w:color="auto"/>
              <w:bottom w:val="single" w:sz="4" w:space="0" w:color="auto"/>
              <w:right w:val="single" w:sz="4" w:space="0" w:color="auto"/>
            </w:tcBorders>
            <w:hideMark/>
          </w:tcPr>
          <w:p w14:paraId="3C05FE7C" w14:textId="77777777" w:rsidR="006D3AE9" w:rsidRDefault="007940B7">
            <w:pPr>
              <w:pStyle w:val="Body"/>
              <w:spacing w:after="0"/>
              <w:rPr>
                <w:rFonts w:ascii="Arial" w:hAnsi="Arial" w:cs="Arial"/>
                <w:b/>
                <w:bCs/>
              </w:rPr>
            </w:pPr>
            <w:r>
              <w:rPr>
                <w:rFonts w:ascii="Arial" w:hAnsi="Arial" w:cs="Arial"/>
                <w:b/>
                <w:bCs/>
              </w:rPr>
              <w:t>64 mg/dL</w:t>
            </w:r>
          </w:p>
        </w:tc>
        <w:tc>
          <w:tcPr>
            <w:tcW w:w="2880" w:type="dxa"/>
            <w:tcBorders>
              <w:top w:val="single" w:sz="4" w:space="0" w:color="auto"/>
              <w:left w:val="single" w:sz="4" w:space="0" w:color="auto"/>
              <w:bottom w:val="single" w:sz="4" w:space="0" w:color="auto"/>
              <w:right w:val="single" w:sz="4" w:space="0" w:color="auto"/>
            </w:tcBorders>
            <w:hideMark/>
          </w:tcPr>
          <w:p w14:paraId="4D00AA65" w14:textId="77777777" w:rsidR="006D3AE9" w:rsidRDefault="007940B7">
            <w:pPr>
              <w:pStyle w:val="Body"/>
              <w:spacing w:after="0"/>
              <w:rPr>
                <w:rFonts w:ascii="Arial" w:hAnsi="Arial" w:cs="Arial"/>
              </w:rPr>
            </w:pPr>
            <w:r>
              <w:rPr>
                <w:rFonts w:ascii="Arial" w:hAnsi="Arial" w:cs="Arial"/>
              </w:rPr>
              <w:t>90–180 mg/dL</w:t>
            </w:r>
          </w:p>
        </w:tc>
      </w:tr>
      <w:tr w:rsidR="006D3AE9" w14:paraId="29378842" w14:textId="77777777">
        <w:tc>
          <w:tcPr>
            <w:tcW w:w="2880" w:type="dxa"/>
            <w:tcBorders>
              <w:top w:val="single" w:sz="4" w:space="0" w:color="auto"/>
              <w:left w:val="single" w:sz="4" w:space="0" w:color="auto"/>
              <w:bottom w:val="single" w:sz="4" w:space="0" w:color="auto"/>
              <w:right w:val="single" w:sz="4" w:space="0" w:color="auto"/>
            </w:tcBorders>
            <w:hideMark/>
          </w:tcPr>
          <w:p w14:paraId="66C94169" w14:textId="77777777" w:rsidR="006D3AE9" w:rsidRDefault="007940B7">
            <w:pPr>
              <w:pStyle w:val="Body"/>
              <w:spacing w:after="0"/>
              <w:rPr>
                <w:rFonts w:ascii="Arial" w:hAnsi="Arial" w:cs="Arial"/>
                <w:b/>
                <w:bCs/>
              </w:rPr>
            </w:pPr>
            <w:r>
              <w:rPr>
                <w:rFonts w:ascii="Arial" w:hAnsi="Arial" w:cs="Arial"/>
                <w:b/>
                <w:bCs/>
              </w:rPr>
              <w:t>C4</w:t>
            </w:r>
          </w:p>
        </w:tc>
        <w:tc>
          <w:tcPr>
            <w:tcW w:w="2880" w:type="dxa"/>
            <w:tcBorders>
              <w:top w:val="single" w:sz="4" w:space="0" w:color="auto"/>
              <w:left w:val="single" w:sz="4" w:space="0" w:color="auto"/>
              <w:bottom w:val="single" w:sz="4" w:space="0" w:color="auto"/>
              <w:right w:val="single" w:sz="4" w:space="0" w:color="auto"/>
            </w:tcBorders>
            <w:hideMark/>
          </w:tcPr>
          <w:p w14:paraId="51DF3FA5" w14:textId="77777777" w:rsidR="006D3AE9" w:rsidRDefault="007940B7">
            <w:pPr>
              <w:pStyle w:val="Body"/>
              <w:spacing w:after="0"/>
              <w:rPr>
                <w:rFonts w:ascii="Arial" w:hAnsi="Arial" w:cs="Arial"/>
                <w:b/>
                <w:bCs/>
              </w:rPr>
            </w:pPr>
            <w:r>
              <w:rPr>
                <w:rFonts w:ascii="Arial" w:hAnsi="Arial" w:cs="Arial"/>
                <w:b/>
                <w:bCs/>
              </w:rPr>
              <w:t>6.9 mg/dL</w:t>
            </w:r>
          </w:p>
        </w:tc>
        <w:tc>
          <w:tcPr>
            <w:tcW w:w="2880" w:type="dxa"/>
            <w:tcBorders>
              <w:top w:val="single" w:sz="4" w:space="0" w:color="auto"/>
              <w:left w:val="single" w:sz="4" w:space="0" w:color="auto"/>
              <w:bottom w:val="single" w:sz="4" w:space="0" w:color="auto"/>
              <w:right w:val="single" w:sz="4" w:space="0" w:color="auto"/>
            </w:tcBorders>
            <w:hideMark/>
          </w:tcPr>
          <w:p w14:paraId="7C99895C" w14:textId="77777777" w:rsidR="006D3AE9" w:rsidRDefault="007940B7">
            <w:pPr>
              <w:pStyle w:val="Body"/>
              <w:spacing w:after="0"/>
              <w:rPr>
                <w:rFonts w:ascii="Arial" w:hAnsi="Arial" w:cs="Arial"/>
              </w:rPr>
            </w:pPr>
            <w:r>
              <w:rPr>
                <w:rFonts w:ascii="Arial" w:hAnsi="Arial" w:cs="Arial"/>
              </w:rPr>
              <w:t>10–40 mg/dL</w:t>
            </w:r>
          </w:p>
        </w:tc>
      </w:tr>
      <w:tr w:rsidR="006D3AE9" w14:paraId="18433D5E" w14:textId="77777777">
        <w:tc>
          <w:tcPr>
            <w:tcW w:w="2880" w:type="dxa"/>
            <w:tcBorders>
              <w:top w:val="single" w:sz="4" w:space="0" w:color="auto"/>
              <w:left w:val="single" w:sz="4" w:space="0" w:color="auto"/>
              <w:bottom w:val="single" w:sz="4" w:space="0" w:color="auto"/>
              <w:right w:val="single" w:sz="4" w:space="0" w:color="auto"/>
            </w:tcBorders>
            <w:hideMark/>
          </w:tcPr>
          <w:p w14:paraId="52730CF0" w14:textId="77777777" w:rsidR="006D3AE9" w:rsidRDefault="007940B7">
            <w:pPr>
              <w:pStyle w:val="Body"/>
              <w:spacing w:after="0"/>
              <w:rPr>
                <w:rFonts w:ascii="Arial" w:hAnsi="Arial" w:cs="Arial"/>
                <w:b/>
                <w:bCs/>
              </w:rPr>
            </w:pPr>
            <w:r>
              <w:rPr>
                <w:rFonts w:ascii="Arial" w:hAnsi="Arial" w:cs="Arial"/>
                <w:b/>
                <w:bCs/>
              </w:rPr>
              <w:t>ANA</w:t>
            </w:r>
          </w:p>
        </w:tc>
        <w:tc>
          <w:tcPr>
            <w:tcW w:w="2880" w:type="dxa"/>
            <w:tcBorders>
              <w:top w:val="single" w:sz="4" w:space="0" w:color="auto"/>
              <w:left w:val="single" w:sz="4" w:space="0" w:color="auto"/>
              <w:bottom w:val="single" w:sz="4" w:space="0" w:color="auto"/>
              <w:right w:val="single" w:sz="4" w:space="0" w:color="auto"/>
            </w:tcBorders>
            <w:hideMark/>
          </w:tcPr>
          <w:p w14:paraId="22C43F89" w14:textId="77777777" w:rsidR="006D3AE9" w:rsidRDefault="007940B7">
            <w:pPr>
              <w:pStyle w:val="Body"/>
              <w:spacing w:after="0"/>
              <w:rPr>
                <w:rFonts w:ascii="Arial" w:hAnsi="Arial" w:cs="Arial"/>
                <w:b/>
                <w:bCs/>
              </w:rPr>
            </w:pPr>
            <w:r>
              <w:rPr>
                <w:rFonts w:ascii="Arial" w:hAnsi="Arial" w:cs="Arial"/>
                <w:b/>
                <w:bCs/>
              </w:rPr>
              <w:t>3+ speckled</w:t>
            </w:r>
          </w:p>
        </w:tc>
        <w:tc>
          <w:tcPr>
            <w:tcW w:w="2880" w:type="dxa"/>
            <w:tcBorders>
              <w:top w:val="single" w:sz="4" w:space="0" w:color="auto"/>
              <w:left w:val="single" w:sz="4" w:space="0" w:color="auto"/>
              <w:bottom w:val="single" w:sz="4" w:space="0" w:color="auto"/>
              <w:right w:val="single" w:sz="4" w:space="0" w:color="auto"/>
            </w:tcBorders>
            <w:hideMark/>
          </w:tcPr>
          <w:p w14:paraId="5DC63745" w14:textId="77777777" w:rsidR="006D3AE9" w:rsidRDefault="007940B7">
            <w:pPr>
              <w:pStyle w:val="Body"/>
              <w:spacing w:after="0"/>
              <w:rPr>
                <w:rFonts w:ascii="Arial" w:hAnsi="Arial" w:cs="Arial"/>
              </w:rPr>
            </w:pPr>
            <w:r>
              <w:rPr>
                <w:rFonts w:ascii="Arial" w:hAnsi="Arial" w:cs="Arial"/>
              </w:rPr>
              <w:t>Negative</w:t>
            </w:r>
          </w:p>
        </w:tc>
      </w:tr>
      <w:tr w:rsidR="006D3AE9" w14:paraId="2F398415" w14:textId="77777777">
        <w:tc>
          <w:tcPr>
            <w:tcW w:w="2880" w:type="dxa"/>
            <w:tcBorders>
              <w:top w:val="single" w:sz="4" w:space="0" w:color="auto"/>
              <w:left w:val="single" w:sz="4" w:space="0" w:color="auto"/>
              <w:bottom w:val="single" w:sz="4" w:space="0" w:color="auto"/>
              <w:right w:val="single" w:sz="4" w:space="0" w:color="auto"/>
            </w:tcBorders>
            <w:hideMark/>
          </w:tcPr>
          <w:p w14:paraId="6695F6D1" w14:textId="77777777" w:rsidR="006D3AE9" w:rsidRDefault="007940B7">
            <w:pPr>
              <w:pStyle w:val="Body"/>
              <w:spacing w:after="0"/>
              <w:rPr>
                <w:rFonts w:ascii="Arial" w:hAnsi="Arial" w:cs="Arial"/>
                <w:b/>
                <w:bCs/>
              </w:rPr>
            </w:pPr>
            <w:r>
              <w:rPr>
                <w:rFonts w:ascii="Arial" w:hAnsi="Arial" w:cs="Arial"/>
                <w:b/>
                <w:bCs/>
              </w:rPr>
              <w:t>Anti-SSA</w:t>
            </w:r>
          </w:p>
        </w:tc>
        <w:tc>
          <w:tcPr>
            <w:tcW w:w="2880" w:type="dxa"/>
            <w:tcBorders>
              <w:top w:val="single" w:sz="4" w:space="0" w:color="auto"/>
              <w:left w:val="single" w:sz="4" w:space="0" w:color="auto"/>
              <w:bottom w:val="single" w:sz="4" w:space="0" w:color="auto"/>
              <w:right w:val="single" w:sz="4" w:space="0" w:color="auto"/>
            </w:tcBorders>
            <w:hideMark/>
          </w:tcPr>
          <w:p w14:paraId="222AAE8F" w14:textId="77777777" w:rsidR="006D3AE9" w:rsidRDefault="007940B7">
            <w:pPr>
              <w:pStyle w:val="Body"/>
              <w:spacing w:after="0"/>
              <w:rPr>
                <w:rFonts w:ascii="Arial" w:hAnsi="Arial" w:cs="Arial"/>
                <w:b/>
                <w:bCs/>
              </w:rPr>
            </w:pPr>
            <w:r>
              <w:rPr>
                <w:rFonts w:ascii="Arial" w:hAnsi="Arial" w:cs="Arial"/>
                <w:b/>
                <w:bCs/>
              </w:rPr>
              <w:t>Positive</w:t>
            </w:r>
          </w:p>
        </w:tc>
        <w:tc>
          <w:tcPr>
            <w:tcW w:w="2880" w:type="dxa"/>
            <w:tcBorders>
              <w:top w:val="single" w:sz="4" w:space="0" w:color="auto"/>
              <w:left w:val="single" w:sz="4" w:space="0" w:color="auto"/>
              <w:bottom w:val="single" w:sz="4" w:space="0" w:color="auto"/>
              <w:right w:val="single" w:sz="4" w:space="0" w:color="auto"/>
            </w:tcBorders>
            <w:hideMark/>
          </w:tcPr>
          <w:p w14:paraId="5A775660" w14:textId="77777777" w:rsidR="006D3AE9" w:rsidRDefault="007940B7">
            <w:pPr>
              <w:pStyle w:val="Body"/>
              <w:spacing w:after="0"/>
              <w:rPr>
                <w:rFonts w:ascii="Arial" w:hAnsi="Arial" w:cs="Arial"/>
              </w:rPr>
            </w:pPr>
            <w:r>
              <w:rPr>
                <w:rFonts w:ascii="Arial" w:hAnsi="Arial" w:cs="Arial"/>
              </w:rPr>
              <w:t>Negative</w:t>
            </w:r>
          </w:p>
        </w:tc>
      </w:tr>
      <w:tr w:rsidR="006D3AE9" w14:paraId="658A4839" w14:textId="77777777">
        <w:tc>
          <w:tcPr>
            <w:tcW w:w="2880" w:type="dxa"/>
            <w:tcBorders>
              <w:top w:val="single" w:sz="4" w:space="0" w:color="auto"/>
              <w:left w:val="single" w:sz="4" w:space="0" w:color="auto"/>
              <w:bottom w:val="single" w:sz="4" w:space="0" w:color="auto"/>
              <w:right w:val="single" w:sz="4" w:space="0" w:color="auto"/>
            </w:tcBorders>
            <w:hideMark/>
          </w:tcPr>
          <w:p w14:paraId="4C8CDFFC" w14:textId="77777777" w:rsidR="006D3AE9" w:rsidRDefault="007940B7">
            <w:pPr>
              <w:pStyle w:val="Body"/>
              <w:spacing w:after="0"/>
              <w:rPr>
                <w:rFonts w:ascii="Arial" w:hAnsi="Arial" w:cs="Arial"/>
                <w:b/>
                <w:bCs/>
              </w:rPr>
            </w:pPr>
            <w:r>
              <w:rPr>
                <w:rFonts w:ascii="Arial" w:hAnsi="Arial" w:cs="Arial"/>
                <w:b/>
                <w:bCs/>
              </w:rPr>
              <w:t>Serum Ferritin</w:t>
            </w:r>
          </w:p>
        </w:tc>
        <w:tc>
          <w:tcPr>
            <w:tcW w:w="2880" w:type="dxa"/>
            <w:tcBorders>
              <w:top w:val="single" w:sz="4" w:space="0" w:color="auto"/>
              <w:left w:val="single" w:sz="4" w:space="0" w:color="auto"/>
              <w:bottom w:val="single" w:sz="4" w:space="0" w:color="auto"/>
              <w:right w:val="single" w:sz="4" w:space="0" w:color="auto"/>
            </w:tcBorders>
            <w:hideMark/>
          </w:tcPr>
          <w:p w14:paraId="5379B5E4" w14:textId="77777777" w:rsidR="006D3AE9" w:rsidRDefault="007940B7">
            <w:pPr>
              <w:pStyle w:val="Body"/>
              <w:spacing w:after="0"/>
              <w:rPr>
                <w:rFonts w:ascii="Arial" w:hAnsi="Arial" w:cs="Arial"/>
                <w:b/>
                <w:bCs/>
              </w:rPr>
            </w:pPr>
            <w:r>
              <w:rPr>
                <w:rFonts w:ascii="Arial" w:hAnsi="Arial" w:cs="Arial"/>
                <w:b/>
                <w:bCs/>
              </w:rPr>
              <w:t>6948 ng/mL</w:t>
            </w:r>
          </w:p>
        </w:tc>
        <w:tc>
          <w:tcPr>
            <w:tcW w:w="2880" w:type="dxa"/>
            <w:tcBorders>
              <w:top w:val="single" w:sz="4" w:space="0" w:color="auto"/>
              <w:left w:val="single" w:sz="4" w:space="0" w:color="auto"/>
              <w:bottom w:val="single" w:sz="4" w:space="0" w:color="auto"/>
              <w:right w:val="single" w:sz="4" w:space="0" w:color="auto"/>
            </w:tcBorders>
            <w:hideMark/>
          </w:tcPr>
          <w:p w14:paraId="7F43C284" w14:textId="77777777" w:rsidR="006D3AE9" w:rsidRDefault="007940B7">
            <w:pPr>
              <w:pStyle w:val="Body"/>
              <w:spacing w:after="0"/>
              <w:rPr>
                <w:rFonts w:ascii="Arial" w:hAnsi="Arial" w:cs="Arial"/>
              </w:rPr>
            </w:pPr>
            <w:r>
              <w:rPr>
                <w:rFonts w:ascii="Arial" w:hAnsi="Arial" w:cs="Arial"/>
              </w:rPr>
              <w:t>20–200 ng/mL</w:t>
            </w:r>
          </w:p>
        </w:tc>
      </w:tr>
    </w:tbl>
    <w:p w14:paraId="05019FBB" w14:textId="77777777" w:rsidR="006D3AE9" w:rsidRDefault="007940B7">
      <w:pPr>
        <w:pStyle w:val="Body"/>
        <w:spacing w:after="0"/>
        <w:rPr>
          <w:rFonts w:ascii="Arial" w:hAnsi="Arial" w:cs="Arial"/>
        </w:rPr>
      </w:pPr>
      <w:r>
        <w:rPr>
          <w:rFonts w:ascii="Arial" w:hAnsi="Arial" w:cs="Arial"/>
        </w:rPr>
        <w:br/>
        <w:t xml:space="preserve">PET-CT revealed hypermetabolic lymphadenopathy in cervical, axillary, and inguinal regions </w:t>
      </w:r>
    </w:p>
    <w:p w14:paraId="2A59876D" w14:textId="77777777" w:rsidR="006D3AE9" w:rsidRDefault="007940B7">
      <w:pPr>
        <w:pStyle w:val="Body"/>
        <w:spacing w:after="0"/>
        <w:jc w:val="center"/>
        <w:rPr>
          <w:rFonts w:ascii="Arial" w:hAnsi="Arial" w:cs="Arial"/>
        </w:rPr>
      </w:pPr>
      <w:r>
        <w:rPr>
          <w:rFonts w:ascii="Arial" w:hAnsi="Arial" w:cs="Arial"/>
          <w:noProof/>
        </w:rPr>
        <w:drawing>
          <wp:inline distT="0" distB="0" distL="0" distR="0" wp14:anchorId="732036F8" wp14:editId="35E9C959">
            <wp:extent cx="5212080" cy="3355340"/>
            <wp:effectExtent l="0" t="0" r="0" b="0"/>
            <wp:docPr id="1797962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r="24187" b="74239"/>
                    <a:stretch>
                      <a:fillRect/>
                    </a:stretch>
                  </pic:blipFill>
                  <pic:spPr bwMode="auto">
                    <a:xfrm>
                      <a:off x="0" y="0"/>
                      <a:ext cx="5212080" cy="3355340"/>
                    </a:xfrm>
                    <a:prstGeom prst="rect">
                      <a:avLst/>
                    </a:prstGeom>
                    <a:noFill/>
                    <a:ln>
                      <a:noFill/>
                    </a:ln>
                  </pic:spPr>
                </pic:pic>
              </a:graphicData>
            </a:graphic>
          </wp:inline>
        </w:drawing>
      </w:r>
      <w:r>
        <w:rPr>
          <w:rFonts w:ascii="Arial" w:hAnsi="Arial" w:cs="Arial"/>
        </w:rPr>
        <w:br/>
      </w:r>
      <w:r>
        <w:rPr>
          <w:rFonts w:ascii="Arial" w:hAnsi="Arial" w:cs="Arial"/>
          <w:b/>
          <w:bCs/>
        </w:rPr>
        <w:t>Figure 2: PET-CT showing lymphadenopathy</w:t>
      </w:r>
    </w:p>
    <w:p w14:paraId="47AD26CE" w14:textId="77777777" w:rsidR="006D3AE9" w:rsidRDefault="007940B7">
      <w:pPr>
        <w:pStyle w:val="Body"/>
        <w:spacing w:after="0"/>
        <w:rPr>
          <w:rFonts w:ascii="Arial" w:hAnsi="Arial" w:cs="Arial"/>
        </w:rPr>
      </w:pPr>
      <w:r>
        <w:rPr>
          <w:rFonts w:ascii="Arial" w:hAnsi="Arial" w:cs="Arial"/>
        </w:rPr>
        <w:br/>
        <w:t xml:space="preserve">Cervical lymph node biopsy showed partial effacement with necrosis, karyorrhectic debris, crescentic histiocytes, and plasmacytoid dendritic cells. Immunohistochemistry was CD68+ and CD123+, supporting KFD. </w:t>
      </w:r>
    </w:p>
    <w:p w14:paraId="58B68E3E" w14:textId="77777777" w:rsidR="006D3AE9" w:rsidRDefault="007940B7">
      <w:pPr>
        <w:pStyle w:val="Body"/>
        <w:spacing w:after="0"/>
        <w:rPr>
          <w:rFonts w:ascii="Arial" w:hAnsi="Arial" w:cs="Arial"/>
        </w:rPr>
      </w:pPr>
      <w:r>
        <w:rPr>
          <w:rFonts w:ascii="Arial" w:hAnsi="Arial" w:cs="Arial"/>
          <w:noProof/>
        </w:rPr>
        <w:lastRenderedPageBreak/>
        <w:drawing>
          <wp:inline distT="0" distB="0" distL="0" distR="0" wp14:anchorId="64DE1B8B" wp14:editId="37D396E3">
            <wp:extent cx="5212080" cy="2121535"/>
            <wp:effectExtent l="0" t="0" r="0" b="0"/>
            <wp:docPr id="1401131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t="638" b="82657"/>
                    <a:stretch>
                      <a:fillRect/>
                    </a:stretch>
                  </pic:blipFill>
                  <pic:spPr bwMode="auto">
                    <a:xfrm>
                      <a:off x="0" y="0"/>
                      <a:ext cx="5212080" cy="2121535"/>
                    </a:xfrm>
                    <a:prstGeom prst="rect">
                      <a:avLst/>
                    </a:prstGeom>
                    <a:noFill/>
                    <a:ln>
                      <a:noFill/>
                    </a:ln>
                  </pic:spPr>
                </pic:pic>
              </a:graphicData>
            </a:graphic>
          </wp:inline>
        </w:drawing>
      </w:r>
    </w:p>
    <w:p w14:paraId="6E7BBF74" w14:textId="77777777" w:rsidR="006D3AE9" w:rsidRDefault="007940B7">
      <w:pPr>
        <w:pStyle w:val="Body"/>
        <w:spacing w:after="0"/>
        <w:jc w:val="center"/>
        <w:rPr>
          <w:rFonts w:ascii="Arial" w:hAnsi="Arial" w:cs="Arial"/>
          <w:b/>
          <w:bCs/>
        </w:rPr>
      </w:pPr>
      <w:r>
        <w:rPr>
          <w:rFonts w:ascii="Arial" w:hAnsi="Arial" w:cs="Arial"/>
          <w:b/>
          <w:bCs/>
        </w:rPr>
        <w:t>Figure 3: LN biopsy H&amp;E</w:t>
      </w:r>
    </w:p>
    <w:p w14:paraId="1C6CCAAA" w14:textId="77777777" w:rsidR="006D3AE9" w:rsidRDefault="006D3AE9">
      <w:pPr>
        <w:pStyle w:val="Body"/>
        <w:spacing w:after="0"/>
        <w:jc w:val="center"/>
        <w:rPr>
          <w:rFonts w:ascii="Arial" w:hAnsi="Arial" w:cs="Arial"/>
          <w:b/>
          <w:bCs/>
        </w:rPr>
      </w:pPr>
    </w:p>
    <w:p w14:paraId="14A7A99C" w14:textId="77777777" w:rsidR="006D3AE9" w:rsidRDefault="007940B7">
      <w:pPr>
        <w:pStyle w:val="Body"/>
        <w:spacing w:after="0"/>
        <w:jc w:val="center"/>
        <w:rPr>
          <w:rFonts w:ascii="Arial" w:hAnsi="Arial" w:cs="Arial"/>
        </w:rPr>
      </w:pPr>
      <w:r>
        <w:rPr>
          <w:rFonts w:ascii="Arial" w:hAnsi="Arial" w:cs="Arial"/>
          <w:noProof/>
        </w:rPr>
        <w:drawing>
          <wp:inline distT="0" distB="0" distL="0" distR="0" wp14:anchorId="4B5051D0" wp14:editId="635F801D">
            <wp:extent cx="5212080" cy="1858010"/>
            <wp:effectExtent l="0" t="0" r="0" b="0"/>
            <wp:docPr id="1629734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r="2325" b="77283"/>
                    <a:stretch>
                      <a:fillRect/>
                    </a:stretch>
                  </pic:blipFill>
                  <pic:spPr bwMode="auto">
                    <a:xfrm>
                      <a:off x="0" y="0"/>
                      <a:ext cx="5212080" cy="1858010"/>
                    </a:xfrm>
                    <a:prstGeom prst="rect">
                      <a:avLst/>
                    </a:prstGeom>
                    <a:noFill/>
                    <a:ln>
                      <a:noFill/>
                    </a:ln>
                  </pic:spPr>
                </pic:pic>
              </a:graphicData>
            </a:graphic>
          </wp:inline>
        </w:drawing>
      </w:r>
      <w:r>
        <w:rPr>
          <w:rFonts w:ascii="Arial" w:hAnsi="Arial" w:cs="Arial"/>
        </w:rPr>
        <w:br/>
      </w:r>
      <w:r>
        <w:rPr>
          <w:rFonts w:ascii="Arial" w:hAnsi="Arial" w:cs="Arial"/>
          <w:b/>
          <w:bCs/>
        </w:rPr>
        <w:t>Figure 4: IHC staining CD68/CD123</w:t>
      </w:r>
      <w:r>
        <w:rPr>
          <w:rFonts w:ascii="Arial" w:hAnsi="Arial" w:cs="Arial"/>
          <w:b/>
          <w:bCs/>
        </w:rPr>
        <w:br/>
      </w:r>
    </w:p>
    <w:p w14:paraId="7F2294F1" w14:textId="51AD83CE" w:rsidR="006D3AE9" w:rsidRDefault="007940B7">
      <w:pPr>
        <w:pStyle w:val="Body"/>
        <w:spacing w:after="0"/>
        <w:rPr>
          <w:rFonts w:ascii="Arial" w:hAnsi="Arial" w:cs="Arial"/>
        </w:rPr>
      </w:pPr>
      <w:r>
        <w:rPr>
          <w:rFonts w:ascii="Arial" w:hAnsi="Arial" w:cs="Arial"/>
        </w:rPr>
        <w:t>The patient fulfilled ACR/EULAR 2019 criteria for SLE (score: 12). She was treated with hydroxychloroquine 200 mg daily and oral prednisolone 40 mg daily, tapered over eight weeks. She was later started on oral Mycophenolate mofetil 500mg twice a day. Marked improvement was observed within two weeks. At three-month follow-up, she remained asymptomatic</w:t>
      </w:r>
      <w:r w:rsidR="00E236F6">
        <w:rPr>
          <w:rFonts w:ascii="Arial" w:hAnsi="Arial" w:cs="Arial"/>
        </w:rPr>
        <w:t xml:space="preserve"> and the nodules (Probably lupus panniculitis- biopsy not done) had disappeared</w:t>
      </w:r>
      <w:r>
        <w:rPr>
          <w:rFonts w:ascii="Arial" w:hAnsi="Arial" w:cs="Arial"/>
        </w:rPr>
        <w:t>.</w:t>
      </w:r>
    </w:p>
    <w:p w14:paraId="6CB8E87F" w14:textId="77777777" w:rsidR="006D3AE9" w:rsidRDefault="006D3AE9">
      <w:pPr>
        <w:pStyle w:val="Body"/>
        <w:spacing w:after="0"/>
        <w:rPr>
          <w:rFonts w:ascii="Arial" w:hAnsi="Arial" w:cs="Arial"/>
        </w:rPr>
      </w:pPr>
    </w:p>
    <w:p w14:paraId="0CBC2F39" w14:textId="77777777" w:rsidR="006D3AE9" w:rsidRDefault="007940B7">
      <w:pPr>
        <w:pStyle w:val="Head1"/>
        <w:spacing w:after="0"/>
        <w:jc w:val="both"/>
        <w:rPr>
          <w:rFonts w:ascii="Arial" w:hAnsi="Arial" w:cs="Arial"/>
        </w:rPr>
      </w:pPr>
      <w:r>
        <w:rPr>
          <w:rFonts w:ascii="Arial" w:hAnsi="Arial" w:cs="Arial"/>
        </w:rPr>
        <w:t>3. discussion</w:t>
      </w:r>
    </w:p>
    <w:p w14:paraId="2A6C6484" w14:textId="77777777" w:rsidR="006D3AE9" w:rsidRDefault="006D3AE9">
      <w:pPr>
        <w:pStyle w:val="Head1"/>
        <w:spacing w:after="0"/>
        <w:jc w:val="both"/>
        <w:rPr>
          <w:rFonts w:ascii="Arial" w:hAnsi="Arial" w:cs="Arial"/>
        </w:rPr>
      </w:pPr>
    </w:p>
    <w:p w14:paraId="1B58E862" w14:textId="7741F3C2" w:rsidR="006D3AE9" w:rsidRPr="00EA4216" w:rsidRDefault="007940B7">
      <w:pPr>
        <w:pStyle w:val="Body"/>
        <w:spacing w:after="0"/>
        <w:rPr>
          <w:rFonts w:ascii="Arial" w:hAnsi="Arial" w:cs="Arial"/>
          <w:vertAlign w:val="superscript"/>
        </w:rPr>
      </w:pPr>
      <w:r>
        <w:rPr>
          <w:rFonts w:ascii="Arial" w:hAnsi="Arial" w:cs="Arial"/>
        </w:rPr>
        <w:t>Kikuchi-Fujimoto disease (KFD) is a rare, self-limiting lymphadenitis first described in 1972</w:t>
      </w:r>
      <w:r w:rsidR="00EA4216">
        <w:rPr>
          <w:rFonts w:ascii="Arial" w:hAnsi="Arial" w:cs="Arial"/>
        </w:rPr>
        <w:t>.</w:t>
      </w:r>
      <w:r w:rsidR="00EA4216">
        <w:rPr>
          <w:rFonts w:ascii="Arial" w:hAnsi="Arial" w:cs="Arial"/>
          <w:vertAlign w:val="superscript"/>
        </w:rPr>
        <w:t>1</w:t>
      </w:r>
      <w:r>
        <w:rPr>
          <w:rFonts w:ascii="Arial" w:hAnsi="Arial" w:cs="Arial"/>
        </w:rPr>
        <w:t xml:space="preserve"> It predominantly affects young women under 40 years and is more prevalent in Asian populations.</w:t>
      </w:r>
      <w:r w:rsidR="00EA4216">
        <w:rPr>
          <w:rFonts w:ascii="Arial" w:hAnsi="Arial" w:cs="Arial"/>
          <w:vertAlign w:val="superscript"/>
        </w:rPr>
        <w:t>1</w:t>
      </w:r>
      <w:r>
        <w:rPr>
          <w:rFonts w:ascii="Arial" w:hAnsi="Arial" w:cs="Arial"/>
        </w:rPr>
        <w:t xml:space="preserve"> The etiology remains speculative but is hypothesized to involve an aberrant T-cell mediated immune response, possibly triggered by infectious agents such as Epstein-Barr virus, parvovirus B19, or other herpesviruses. However, no single causative agent has been consistently implicated.</w:t>
      </w:r>
      <w:r w:rsidR="00EA4216">
        <w:rPr>
          <w:rFonts w:ascii="Arial" w:hAnsi="Arial" w:cs="Arial"/>
          <w:vertAlign w:val="superscript"/>
        </w:rPr>
        <w:t>1</w:t>
      </w:r>
      <w:r>
        <w:rPr>
          <w:rFonts w:ascii="Arial" w:hAnsi="Arial" w:cs="Arial"/>
        </w:rPr>
        <w:t xml:space="preserve"> The association of KFD with autoimmune diseases, particularly systemic lupus erythematosus (SLE), suggests a potential shared immunopathological mechanism.</w:t>
      </w:r>
      <w:r w:rsidR="00EA4216">
        <w:rPr>
          <w:rFonts w:ascii="Arial" w:hAnsi="Arial" w:cs="Arial"/>
          <w:vertAlign w:val="superscript"/>
        </w:rPr>
        <w:t>3</w:t>
      </w:r>
    </w:p>
    <w:p w14:paraId="3CD7B591" w14:textId="77777777" w:rsidR="006D3AE9" w:rsidRDefault="006D3AE9">
      <w:pPr>
        <w:pStyle w:val="Body"/>
        <w:spacing w:after="0"/>
        <w:rPr>
          <w:rFonts w:ascii="Arial" w:hAnsi="Arial" w:cs="Arial"/>
        </w:rPr>
      </w:pPr>
    </w:p>
    <w:p w14:paraId="3A5D5DD5" w14:textId="3F90A117" w:rsidR="006D3AE9" w:rsidRPr="00EA4216" w:rsidRDefault="007940B7">
      <w:pPr>
        <w:pStyle w:val="Body"/>
        <w:spacing w:after="0"/>
        <w:rPr>
          <w:rFonts w:ascii="Arial" w:hAnsi="Arial" w:cs="Arial"/>
          <w:vertAlign w:val="superscript"/>
        </w:rPr>
      </w:pPr>
      <w:proofErr w:type="spellStart"/>
      <w:r>
        <w:rPr>
          <w:rFonts w:ascii="Arial" w:hAnsi="Arial" w:cs="Arial"/>
        </w:rPr>
        <w:t>Histopathologically</w:t>
      </w:r>
      <w:proofErr w:type="spellEnd"/>
      <w:r>
        <w:rPr>
          <w:rFonts w:ascii="Arial" w:hAnsi="Arial" w:cs="Arial"/>
        </w:rPr>
        <w:t>, KFD is characterized by patchy areas of necrosis with abundant karyorrhectic debris, crescent-shaped histiocytes, and plasmacytoid dendritic cells. Notably, there is an absence of neutrophilic infiltration and plasma cells, which helps to differentiate KFD from suppurative bacterial lymphadenitis and lupus lymphadenitis. In contrast, SLE lymphadenitis often shows hematoxylin bodies, fibrinoid necrosis, and abundant plasma cells. In our patient, the biopsy findings of necrotizing lymphadenitis with CD68+ histiocytes and CD123+ plasmacytoid dendritic cells, combined with the absence of neutrophils and plasma cells, favored a diagnosis of KFD.</w:t>
      </w:r>
      <w:r w:rsidR="00EA4216">
        <w:rPr>
          <w:rFonts w:ascii="Arial" w:hAnsi="Arial" w:cs="Arial"/>
          <w:vertAlign w:val="superscript"/>
        </w:rPr>
        <w:t>1-18</w:t>
      </w:r>
    </w:p>
    <w:p w14:paraId="2AE58C45" w14:textId="6273B9D1" w:rsidR="006D3AE9" w:rsidRDefault="007940B7">
      <w:pPr>
        <w:pStyle w:val="Body"/>
        <w:spacing w:after="0"/>
        <w:rPr>
          <w:rFonts w:ascii="Arial" w:hAnsi="Arial" w:cs="Arial"/>
        </w:rPr>
      </w:pPr>
      <w:r>
        <w:rPr>
          <w:rFonts w:ascii="Arial" w:hAnsi="Arial" w:cs="Arial"/>
        </w:rPr>
        <w:lastRenderedPageBreak/>
        <w:t xml:space="preserve">The overlap between KFD and SLE has been increasingly recognized in the literature. In some cases, KFD precedes SLE by several months to years, while in others, it coincides or follows SLE diagnosis. </w:t>
      </w:r>
      <w:proofErr w:type="spellStart"/>
      <w:r>
        <w:rPr>
          <w:rFonts w:ascii="Arial" w:hAnsi="Arial" w:cs="Arial"/>
        </w:rPr>
        <w:t>Bahmad</w:t>
      </w:r>
      <w:proofErr w:type="spellEnd"/>
      <w:r>
        <w:rPr>
          <w:rFonts w:ascii="Arial" w:hAnsi="Arial" w:cs="Arial"/>
        </w:rPr>
        <w:t xml:space="preserve"> et al. (2024)</w:t>
      </w:r>
      <w:r w:rsidR="00EA4216">
        <w:rPr>
          <w:rFonts w:ascii="Arial" w:hAnsi="Arial" w:cs="Arial"/>
          <w:vertAlign w:val="superscript"/>
        </w:rPr>
        <w:t>4</w:t>
      </w:r>
      <w:r>
        <w:rPr>
          <w:rFonts w:ascii="Arial" w:hAnsi="Arial" w:cs="Arial"/>
        </w:rPr>
        <w:t xml:space="preserve"> reported a cohort of KFD patients in which one developed SLE within a year, suggesting KFD may be a harbinger of autoimmune pathology. Wibowo et al. (2024)</w:t>
      </w:r>
      <w:r w:rsidR="00EA4216">
        <w:rPr>
          <w:rFonts w:ascii="Arial" w:hAnsi="Arial" w:cs="Arial"/>
          <w:vertAlign w:val="superscript"/>
        </w:rPr>
        <w:t>5</w:t>
      </w:r>
      <w:r>
        <w:rPr>
          <w:rFonts w:ascii="Arial" w:hAnsi="Arial" w:cs="Arial"/>
        </w:rPr>
        <w:t xml:space="preserve"> described a case of KFD preceding an overlap syndrome of SLE and Sjögren’s syndrome. These findings highlight the need for vigilant follow-up of patients diagnosed with KFD, particularly if serological markers for autoimmunity are present.</w:t>
      </w:r>
    </w:p>
    <w:p w14:paraId="43430F61" w14:textId="77777777" w:rsidR="006D3AE9" w:rsidRDefault="006D3AE9">
      <w:pPr>
        <w:pStyle w:val="Body"/>
        <w:spacing w:after="0"/>
        <w:rPr>
          <w:rFonts w:ascii="Arial" w:hAnsi="Arial" w:cs="Arial"/>
        </w:rPr>
      </w:pPr>
    </w:p>
    <w:p w14:paraId="7EB1CDAF" w14:textId="77777777" w:rsidR="006D3AE9" w:rsidRDefault="007940B7">
      <w:pPr>
        <w:pStyle w:val="Body"/>
        <w:spacing w:after="0"/>
        <w:rPr>
          <w:rFonts w:ascii="Arial" w:hAnsi="Arial" w:cs="Arial"/>
          <w:b/>
          <w:bCs/>
        </w:rPr>
      </w:pPr>
      <w:r>
        <w:rPr>
          <w:rFonts w:ascii="Arial" w:hAnsi="Arial" w:cs="Arial"/>
          <w:b/>
          <w:bCs/>
        </w:rPr>
        <w:t>Differential diagnoses for prolonged febrile lymphadenopathy include:</w:t>
      </w:r>
    </w:p>
    <w:p w14:paraId="062C9D6D" w14:textId="77777777" w:rsidR="006D3AE9" w:rsidRDefault="007940B7">
      <w:pPr>
        <w:pStyle w:val="Body"/>
        <w:spacing w:after="0"/>
        <w:rPr>
          <w:rFonts w:ascii="Arial" w:hAnsi="Arial" w:cs="Arial"/>
        </w:rPr>
      </w:pPr>
      <w:r>
        <w:rPr>
          <w:rFonts w:ascii="Arial" w:hAnsi="Arial" w:cs="Arial"/>
        </w:rPr>
        <w:t xml:space="preserve">• </w:t>
      </w:r>
      <w:r>
        <w:rPr>
          <w:rFonts w:ascii="Arial" w:hAnsi="Arial" w:cs="Arial"/>
          <w:b/>
          <w:bCs/>
        </w:rPr>
        <w:t>Tuberculous lymphadenitis:</w:t>
      </w:r>
      <w:r>
        <w:rPr>
          <w:rFonts w:ascii="Arial" w:hAnsi="Arial" w:cs="Arial"/>
        </w:rPr>
        <w:t xml:space="preserve"> Characterized by caseating granulomas and AFB positivity on staining, both absent in this case.</w:t>
      </w:r>
    </w:p>
    <w:p w14:paraId="78A012F8" w14:textId="77777777" w:rsidR="006D3AE9" w:rsidRDefault="007940B7">
      <w:pPr>
        <w:pStyle w:val="Body"/>
        <w:spacing w:after="0"/>
        <w:rPr>
          <w:rFonts w:ascii="Arial" w:hAnsi="Arial" w:cs="Arial"/>
        </w:rPr>
      </w:pPr>
      <w:r>
        <w:rPr>
          <w:rFonts w:ascii="Arial" w:hAnsi="Arial" w:cs="Arial"/>
        </w:rPr>
        <w:t xml:space="preserve">• </w:t>
      </w:r>
      <w:r>
        <w:rPr>
          <w:rFonts w:ascii="Arial" w:hAnsi="Arial" w:cs="Arial"/>
          <w:b/>
          <w:bCs/>
        </w:rPr>
        <w:t>Lymphoma:</w:t>
      </w:r>
      <w:r>
        <w:rPr>
          <w:rFonts w:ascii="Arial" w:hAnsi="Arial" w:cs="Arial"/>
        </w:rPr>
        <w:t xml:space="preserve"> Excluded by the absence of atypical lymphoid cells and a preserved nodal architecture.</w:t>
      </w:r>
    </w:p>
    <w:p w14:paraId="3004B306" w14:textId="77777777" w:rsidR="006D3AE9" w:rsidRDefault="007940B7">
      <w:pPr>
        <w:pStyle w:val="Body"/>
        <w:spacing w:after="0"/>
        <w:rPr>
          <w:rFonts w:ascii="Arial" w:hAnsi="Arial" w:cs="Arial"/>
        </w:rPr>
      </w:pPr>
      <w:r>
        <w:rPr>
          <w:rFonts w:ascii="Arial" w:hAnsi="Arial" w:cs="Arial"/>
        </w:rPr>
        <w:t xml:space="preserve">• </w:t>
      </w:r>
      <w:r>
        <w:rPr>
          <w:rFonts w:ascii="Arial" w:hAnsi="Arial" w:cs="Arial"/>
          <w:b/>
          <w:bCs/>
        </w:rPr>
        <w:t xml:space="preserve">Hemophagocytic </w:t>
      </w:r>
      <w:proofErr w:type="spellStart"/>
      <w:r>
        <w:rPr>
          <w:rFonts w:ascii="Arial" w:hAnsi="Arial" w:cs="Arial"/>
          <w:b/>
          <w:bCs/>
        </w:rPr>
        <w:t>lymphohistiocytosis</w:t>
      </w:r>
      <w:proofErr w:type="spellEnd"/>
      <w:r>
        <w:rPr>
          <w:rFonts w:ascii="Arial" w:hAnsi="Arial" w:cs="Arial"/>
          <w:b/>
          <w:bCs/>
        </w:rPr>
        <w:t xml:space="preserve"> (HLH):</w:t>
      </w:r>
      <w:r>
        <w:rPr>
          <w:rFonts w:ascii="Arial" w:hAnsi="Arial" w:cs="Arial"/>
        </w:rPr>
        <w:t xml:space="preserve"> Considered due to elevated serum ferritin but ruled out due to the lack of </w:t>
      </w:r>
      <w:proofErr w:type="spellStart"/>
      <w:r>
        <w:rPr>
          <w:rFonts w:ascii="Arial" w:hAnsi="Arial" w:cs="Arial"/>
        </w:rPr>
        <w:t>cytopenias</w:t>
      </w:r>
      <w:proofErr w:type="spellEnd"/>
      <w:r>
        <w:rPr>
          <w:rFonts w:ascii="Arial" w:hAnsi="Arial" w:cs="Arial"/>
        </w:rPr>
        <w:t>, splenomegaly, and other HLH criteria.</w:t>
      </w:r>
    </w:p>
    <w:p w14:paraId="3F54BBA1" w14:textId="2B564E86" w:rsidR="006D3AE9" w:rsidRPr="00EA4216" w:rsidRDefault="007940B7">
      <w:pPr>
        <w:pStyle w:val="Body"/>
        <w:spacing w:after="0"/>
        <w:rPr>
          <w:rFonts w:ascii="Arial" w:hAnsi="Arial" w:cs="Arial"/>
          <w:vertAlign w:val="superscript"/>
        </w:rPr>
      </w:pPr>
      <w:r>
        <w:rPr>
          <w:rFonts w:ascii="Arial" w:hAnsi="Arial" w:cs="Arial"/>
        </w:rPr>
        <w:t xml:space="preserve">• </w:t>
      </w:r>
      <w:r>
        <w:rPr>
          <w:rFonts w:ascii="Arial" w:hAnsi="Arial" w:cs="Arial"/>
          <w:b/>
          <w:bCs/>
        </w:rPr>
        <w:t>Rosai-Dorfman disease:</w:t>
      </w:r>
      <w:r>
        <w:rPr>
          <w:rFonts w:ascii="Arial" w:hAnsi="Arial" w:cs="Arial"/>
        </w:rPr>
        <w:t xml:space="preserve"> Typically shows S100-positive histiocytes with emperipolesis, which were absent here.</w:t>
      </w:r>
      <w:r w:rsidR="00EA4216">
        <w:rPr>
          <w:rFonts w:ascii="Arial" w:hAnsi="Arial" w:cs="Arial"/>
          <w:vertAlign w:val="superscript"/>
        </w:rPr>
        <w:t>21</w:t>
      </w:r>
    </w:p>
    <w:p w14:paraId="30AEF026" w14:textId="77777777" w:rsidR="006D3AE9" w:rsidRDefault="006D3AE9">
      <w:pPr>
        <w:pStyle w:val="Body"/>
        <w:spacing w:after="0"/>
        <w:rPr>
          <w:rFonts w:ascii="Arial" w:hAnsi="Arial" w:cs="Arial"/>
        </w:rPr>
      </w:pPr>
    </w:p>
    <w:p w14:paraId="423FA16B" w14:textId="0212EAF7" w:rsidR="006D3AE9" w:rsidRPr="00EA4216" w:rsidRDefault="007940B7">
      <w:pPr>
        <w:pStyle w:val="Body"/>
        <w:spacing w:after="0"/>
        <w:rPr>
          <w:rFonts w:ascii="Arial" w:hAnsi="Arial" w:cs="Arial"/>
          <w:vertAlign w:val="superscript"/>
        </w:rPr>
      </w:pPr>
      <w:r>
        <w:rPr>
          <w:rFonts w:ascii="Arial" w:hAnsi="Arial" w:cs="Arial"/>
        </w:rPr>
        <w:t>Management of KFD is generally supportive, with antipyretics and non-steroidal anti-inflammatory drugs sufficing for most cases. However, in patients with significant symptoms or when KFD overlaps with SLE, immunosuppressive therapy becomes necessary. Corticosteroids remain the mainstay of treatment, with hydroxychloroquine added in cases with cutaneous or systemic SLE manifestations. Our patient responded well to prednisolone and hydroxychloroquine, achieving complete resolution of symptoms within two weeks and no recurrence at three-month follow-up.</w:t>
      </w:r>
      <w:r w:rsidR="00EA4216">
        <w:rPr>
          <w:rFonts w:ascii="Arial" w:hAnsi="Arial" w:cs="Arial"/>
          <w:vertAlign w:val="superscript"/>
        </w:rPr>
        <w:t>1-18</w:t>
      </w:r>
    </w:p>
    <w:p w14:paraId="1E2067E1" w14:textId="77777777" w:rsidR="006D3AE9" w:rsidRDefault="006D3AE9">
      <w:pPr>
        <w:pStyle w:val="Body"/>
        <w:spacing w:after="0"/>
        <w:rPr>
          <w:rFonts w:ascii="Arial" w:hAnsi="Arial" w:cs="Arial"/>
        </w:rPr>
      </w:pPr>
    </w:p>
    <w:p w14:paraId="5C3DECB1" w14:textId="77777777" w:rsidR="006D3AE9" w:rsidRDefault="007940B7">
      <w:pPr>
        <w:pStyle w:val="Body"/>
        <w:spacing w:after="0"/>
        <w:rPr>
          <w:rFonts w:ascii="Arial" w:hAnsi="Arial" w:cs="Arial"/>
        </w:rPr>
      </w:pPr>
      <w:r>
        <w:rPr>
          <w:rFonts w:ascii="Arial" w:hAnsi="Arial" w:cs="Arial"/>
        </w:rPr>
        <w:t>Table 2 summarizes similar cases of KFD associated with SLE from the literature. The majority of these patients were young women, presenting with fever and lymphadenopathy, and responded favorably to corticosteroids and hydroxychloroquine.</w:t>
      </w:r>
    </w:p>
    <w:p w14:paraId="4EAE26DB" w14:textId="77777777" w:rsidR="006D3AE9" w:rsidRDefault="006D3AE9">
      <w:pPr>
        <w:pStyle w:val="Body"/>
        <w:spacing w:after="0"/>
        <w:rPr>
          <w:rFonts w:ascii="Arial" w:hAnsi="Arial" w:cs="Arial"/>
        </w:rPr>
      </w:pPr>
    </w:p>
    <w:p w14:paraId="0A157043" w14:textId="77777777" w:rsidR="006D3AE9" w:rsidRDefault="007940B7">
      <w:pPr>
        <w:pStyle w:val="Body"/>
        <w:spacing w:after="0"/>
        <w:jc w:val="center"/>
        <w:rPr>
          <w:rFonts w:ascii="Arial" w:hAnsi="Arial" w:cs="Arial"/>
          <w:b/>
          <w:bCs/>
        </w:rPr>
      </w:pPr>
      <w:r>
        <w:rPr>
          <w:rFonts w:ascii="Arial" w:hAnsi="Arial" w:cs="Arial"/>
          <w:b/>
          <w:bCs/>
        </w:rPr>
        <w:t>Table 2: Summary of Reported Cases of KFD Associated with SLE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176"/>
        <w:gridCol w:w="1918"/>
        <w:gridCol w:w="1696"/>
        <w:gridCol w:w="2006"/>
      </w:tblGrid>
      <w:tr w:rsidR="006D3AE9" w14:paraId="4FF58091" w14:textId="77777777">
        <w:tc>
          <w:tcPr>
            <w:tcW w:w="1526" w:type="dxa"/>
            <w:hideMark/>
          </w:tcPr>
          <w:p w14:paraId="73805F80" w14:textId="77777777" w:rsidR="006D3AE9" w:rsidRDefault="007940B7">
            <w:pPr>
              <w:pStyle w:val="Body"/>
              <w:spacing w:after="0"/>
              <w:rPr>
                <w:rFonts w:ascii="Arial" w:hAnsi="Arial" w:cs="Arial"/>
                <w:b/>
                <w:bCs/>
              </w:rPr>
            </w:pPr>
            <w:r>
              <w:rPr>
                <w:rFonts w:ascii="Arial" w:hAnsi="Arial" w:cs="Arial"/>
                <w:b/>
                <w:bCs/>
              </w:rPr>
              <w:t>Author (Year)</w:t>
            </w:r>
          </w:p>
        </w:tc>
        <w:tc>
          <w:tcPr>
            <w:tcW w:w="1270" w:type="dxa"/>
            <w:hideMark/>
          </w:tcPr>
          <w:p w14:paraId="1EDCB54D" w14:textId="77777777" w:rsidR="006D3AE9" w:rsidRDefault="007940B7">
            <w:pPr>
              <w:pStyle w:val="Body"/>
              <w:spacing w:after="0"/>
              <w:rPr>
                <w:rFonts w:ascii="Arial" w:hAnsi="Arial" w:cs="Arial"/>
                <w:b/>
                <w:bCs/>
              </w:rPr>
            </w:pPr>
            <w:r>
              <w:rPr>
                <w:rFonts w:ascii="Arial" w:hAnsi="Arial" w:cs="Arial"/>
                <w:b/>
                <w:bCs/>
              </w:rPr>
              <w:t>Patient Details</w:t>
            </w:r>
          </w:p>
        </w:tc>
        <w:tc>
          <w:tcPr>
            <w:tcW w:w="1918" w:type="dxa"/>
            <w:hideMark/>
          </w:tcPr>
          <w:p w14:paraId="142411EF" w14:textId="77777777" w:rsidR="006D3AE9" w:rsidRDefault="007940B7">
            <w:pPr>
              <w:pStyle w:val="Body"/>
              <w:spacing w:after="0"/>
              <w:rPr>
                <w:rFonts w:ascii="Arial" w:hAnsi="Arial" w:cs="Arial"/>
                <w:b/>
                <w:bCs/>
              </w:rPr>
            </w:pPr>
            <w:r>
              <w:rPr>
                <w:rFonts w:ascii="Arial" w:hAnsi="Arial" w:cs="Arial"/>
                <w:b/>
                <w:bCs/>
              </w:rPr>
              <w:t>Presentation</w:t>
            </w:r>
          </w:p>
        </w:tc>
        <w:tc>
          <w:tcPr>
            <w:tcW w:w="1704" w:type="dxa"/>
            <w:hideMark/>
          </w:tcPr>
          <w:p w14:paraId="46D0B1D3" w14:textId="77777777" w:rsidR="006D3AE9" w:rsidRDefault="007940B7">
            <w:pPr>
              <w:pStyle w:val="Body"/>
              <w:spacing w:after="0"/>
              <w:rPr>
                <w:rFonts w:ascii="Arial" w:hAnsi="Arial" w:cs="Arial"/>
                <w:b/>
                <w:bCs/>
              </w:rPr>
            </w:pPr>
            <w:r>
              <w:rPr>
                <w:rFonts w:ascii="Arial" w:hAnsi="Arial" w:cs="Arial"/>
                <w:b/>
                <w:bCs/>
              </w:rPr>
              <w:t>Histopathology</w:t>
            </w:r>
          </w:p>
        </w:tc>
        <w:tc>
          <w:tcPr>
            <w:tcW w:w="2006" w:type="dxa"/>
            <w:hideMark/>
          </w:tcPr>
          <w:p w14:paraId="4F42C7BD" w14:textId="77777777" w:rsidR="006D3AE9" w:rsidRDefault="007940B7">
            <w:pPr>
              <w:pStyle w:val="Body"/>
              <w:spacing w:after="0"/>
              <w:rPr>
                <w:rFonts w:ascii="Arial" w:hAnsi="Arial" w:cs="Arial"/>
                <w:b/>
                <w:bCs/>
              </w:rPr>
            </w:pPr>
            <w:r>
              <w:rPr>
                <w:rFonts w:ascii="Arial" w:hAnsi="Arial" w:cs="Arial"/>
                <w:b/>
                <w:bCs/>
              </w:rPr>
              <w:t>Outcome</w:t>
            </w:r>
          </w:p>
        </w:tc>
      </w:tr>
      <w:tr w:rsidR="006D3AE9" w14:paraId="2E328683" w14:textId="77777777">
        <w:tc>
          <w:tcPr>
            <w:tcW w:w="1526" w:type="dxa"/>
            <w:hideMark/>
          </w:tcPr>
          <w:p w14:paraId="18520B87" w14:textId="2ACCA5CD" w:rsidR="006D3AE9" w:rsidRPr="00EA4216" w:rsidRDefault="007940B7">
            <w:pPr>
              <w:pStyle w:val="Body"/>
              <w:spacing w:after="0"/>
              <w:rPr>
                <w:rFonts w:ascii="Arial" w:hAnsi="Arial" w:cs="Arial"/>
                <w:vertAlign w:val="superscript"/>
              </w:rPr>
            </w:pPr>
            <w:proofErr w:type="spellStart"/>
            <w:r>
              <w:rPr>
                <w:rFonts w:ascii="Arial" w:hAnsi="Arial" w:cs="Arial"/>
              </w:rPr>
              <w:t>Bahmad</w:t>
            </w:r>
            <w:proofErr w:type="spellEnd"/>
            <w:r>
              <w:rPr>
                <w:rFonts w:ascii="Arial" w:hAnsi="Arial" w:cs="Arial"/>
              </w:rPr>
              <w:t xml:space="preserve"> et al. (2024)</w:t>
            </w:r>
            <w:r w:rsidR="00EA4216">
              <w:rPr>
                <w:rFonts w:ascii="Arial" w:hAnsi="Arial" w:cs="Arial"/>
                <w:vertAlign w:val="superscript"/>
              </w:rPr>
              <w:t>4</w:t>
            </w:r>
          </w:p>
        </w:tc>
        <w:tc>
          <w:tcPr>
            <w:tcW w:w="1270" w:type="dxa"/>
            <w:hideMark/>
          </w:tcPr>
          <w:p w14:paraId="1E90ED25" w14:textId="77777777" w:rsidR="006D3AE9" w:rsidRDefault="007940B7">
            <w:pPr>
              <w:pStyle w:val="Body"/>
              <w:spacing w:after="0"/>
              <w:rPr>
                <w:rFonts w:ascii="Arial" w:hAnsi="Arial" w:cs="Arial"/>
              </w:rPr>
            </w:pPr>
            <w:r>
              <w:rPr>
                <w:rFonts w:ascii="Arial" w:hAnsi="Arial" w:cs="Arial"/>
              </w:rPr>
              <w:t>25F</w:t>
            </w:r>
          </w:p>
        </w:tc>
        <w:tc>
          <w:tcPr>
            <w:tcW w:w="1918" w:type="dxa"/>
            <w:hideMark/>
          </w:tcPr>
          <w:p w14:paraId="38E679A3" w14:textId="77777777" w:rsidR="006D3AE9" w:rsidRDefault="007940B7">
            <w:pPr>
              <w:pStyle w:val="Body"/>
              <w:spacing w:after="0"/>
              <w:rPr>
                <w:rFonts w:ascii="Arial" w:hAnsi="Arial" w:cs="Arial"/>
              </w:rPr>
            </w:pPr>
            <w:r>
              <w:rPr>
                <w:rFonts w:ascii="Arial" w:hAnsi="Arial" w:cs="Arial"/>
              </w:rPr>
              <w:t>Fever, lymphadenopathy, rash</w:t>
            </w:r>
          </w:p>
        </w:tc>
        <w:tc>
          <w:tcPr>
            <w:tcW w:w="1704" w:type="dxa"/>
            <w:hideMark/>
          </w:tcPr>
          <w:p w14:paraId="7CD529D8" w14:textId="77777777" w:rsidR="006D3AE9" w:rsidRDefault="007940B7">
            <w:pPr>
              <w:pStyle w:val="Body"/>
              <w:spacing w:after="0"/>
              <w:rPr>
                <w:rFonts w:ascii="Arial" w:hAnsi="Arial" w:cs="Arial"/>
              </w:rPr>
            </w:pPr>
            <w:r>
              <w:rPr>
                <w:rFonts w:ascii="Arial" w:hAnsi="Arial" w:cs="Arial"/>
              </w:rPr>
              <w:t>Necrotizing lymphadenitis</w:t>
            </w:r>
          </w:p>
        </w:tc>
        <w:tc>
          <w:tcPr>
            <w:tcW w:w="2006" w:type="dxa"/>
            <w:hideMark/>
          </w:tcPr>
          <w:p w14:paraId="18B33630" w14:textId="77777777" w:rsidR="006D3AE9" w:rsidRDefault="007940B7">
            <w:pPr>
              <w:pStyle w:val="Body"/>
              <w:spacing w:after="0"/>
              <w:rPr>
                <w:rFonts w:ascii="Arial" w:hAnsi="Arial" w:cs="Arial"/>
              </w:rPr>
            </w:pPr>
            <w:r>
              <w:rPr>
                <w:rFonts w:ascii="Arial" w:hAnsi="Arial" w:cs="Arial"/>
              </w:rPr>
              <w:t>Improved with steroids</w:t>
            </w:r>
          </w:p>
        </w:tc>
      </w:tr>
      <w:tr w:rsidR="006D3AE9" w14:paraId="4895F883" w14:textId="77777777">
        <w:tc>
          <w:tcPr>
            <w:tcW w:w="1526" w:type="dxa"/>
            <w:hideMark/>
          </w:tcPr>
          <w:p w14:paraId="635F1678" w14:textId="0801796D" w:rsidR="006D3AE9" w:rsidRPr="00EA4216" w:rsidRDefault="007940B7">
            <w:pPr>
              <w:pStyle w:val="Body"/>
              <w:spacing w:after="0"/>
              <w:rPr>
                <w:rFonts w:ascii="Arial" w:hAnsi="Arial" w:cs="Arial"/>
                <w:vertAlign w:val="superscript"/>
              </w:rPr>
            </w:pPr>
            <w:r>
              <w:rPr>
                <w:rFonts w:ascii="Arial" w:hAnsi="Arial" w:cs="Arial"/>
              </w:rPr>
              <w:t>Wibowo et al. (2024)</w:t>
            </w:r>
            <w:r w:rsidR="00EA4216">
              <w:rPr>
                <w:rFonts w:ascii="Arial" w:hAnsi="Arial" w:cs="Arial"/>
                <w:vertAlign w:val="superscript"/>
              </w:rPr>
              <w:t>5</w:t>
            </w:r>
          </w:p>
        </w:tc>
        <w:tc>
          <w:tcPr>
            <w:tcW w:w="1270" w:type="dxa"/>
            <w:hideMark/>
          </w:tcPr>
          <w:p w14:paraId="51EDF35A" w14:textId="77777777" w:rsidR="006D3AE9" w:rsidRDefault="007940B7">
            <w:pPr>
              <w:pStyle w:val="Body"/>
              <w:spacing w:after="0"/>
              <w:rPr>
                <w:rFonts w:ascii="Arial" w:hAnsi="Arial" w:cs="Arial"/>
              </w:rPr>
            </w:pPr>
            <w:r>
              <w:rPr>
                <w:rFonts w:ascii="Arial" w:hAnsi="Arial" w:cs="Arial"/>
              </w:rPr>
              <w:t>30F</w:t>
            </w:r>
          </w:p>
        </w:tc>
        <w:tc>
          <w:tcPr>
            <w:tcW w:w="1918" w:type="dxa"/>
            <w:hideMark/>
          </w:tcPr>
          <w:p w14:paraId="309DA3E8" w14:textId="77777777" w:rsidR="006D3AE9" w:rsidRDefault="007940B7">
            <w:pPr>
              <w:pStyle w:val="Body"/>
              <w:spacing w:after="0"/>
              <w:rPr>
                <w:rFonts w:ascii="Arial" w:hAnsi="Arial" w:cs="Arial"/>
              </w:rPr>
            </w:pPr>
            <w:r>
              <w:rPr>
                <w:rFonts w:ascii="Arial" w:hAnsi="Arial" w:cs="Arial"/>
              </w:rPr>
              <w:t>Cervical lymphadenopathy, arthritis</w:t>
            </w:r>
          </w:p>
        </w:tc>
        <w:tc>
          <w:tcPr>
            <w:tcW w:w="1704" w:type="dxa"/>
            <w:hideMark/>
          </w:tcPr>
          <w:p w14:paraId="2AA5B773" w14:textId="77777777" w:rsidR="006D3AE9" w:rsidRDefault="007940B7">
            <w:pPr>
              <w:pStyle w:val="Body"/>
              <w:spacing w:after="0"/>
              <w:rPr>
                <w:rFonts w:ascii="Arial" w:hAnsi="Arial" w:cs="Arial"/>
              </w:rPr>
            </w:pPr>
            <w:r>
              <w:rPr>
                <w:rFonts w:ascii="Arial" w:hAnsi="Arial" w:cs="Arial"/>
              </w:rPr>
              <w:t>Histiocytic infiltration</w:t>
            </w:r>
          </w:p>
        </w:tc>
        <w:tc>
          <w:tcPr>
            <w:tcW w:w="2006" w:type="dxa"/>
            <w:hideMark/>
          </w:tcPr>
          <w:p w14:paraId="327B8B26" w14:textId="77777777" w:rsidR="006D3AE9" w:rsidRDefault="007940B7">
            <w:pPr>
              <w:pStyle w:val="Body"/>
              <w:spacing w:after="0"/>
              <w:rPr>
                <w:rFonts w:ascii="Arial" w:hAnsi="Arial" w:cs="Arial"/>
              </w:rPr>
            </w:pPr>
            <w:r>
              <w:rPr>
                <w:rFonts w:ascii="Arial" w:hAnsi="Arial" w:cs="Arial"/>
              </w:rPr>
              <w:t>Overlap syndrome; treated with immunosuppression</w:t>
            </w:r>
          </w:p>
        </w:tc>
      </w:tr>
      <w:tr w:rsidR="006D3AE9" w14:paraId="553B7CFB" w14:textId="77777777">
        <w:tc>
          <w:tcPr>
            <w:tcW w:w="1526" w:type="dxa"/>
            <w:hideMark/>
          </w:tcPr>
          <w:p w14:paraId="3C6B8CE9" w14:textId="6CCA956A" w:rsidR="006D3AE9" w:rsidRPr="00EA4216" w:rsidRDefault="007940B7">
            <w:pPr>
              <w:pStyle w:val="Body"/>
              <w:spacing w:after="0"/>
              <w:rPr>
                <w:rFonts w:ascii="Arial" w:hAnsi="Arial" w:cs="Arial"/>
                <w:vertAlign w:val="superscript"/>
              </w:rPr>
            </w:pPr>
            <w:r>
              <w:rPr>
                <w:rFonts w:ascii="Arial" w:hAnsi="Arial" w:cs="Arial"/>
              </w:rPr>
              <w:t>Santana et al. (2005)</w:t>
            </w:r>
            <w:r w:rsidR="00EA4216">
              <w:rPr>
                <w:rFonts w:ascii="Arial" w:hAnsi="Arial" w:cs="Arial"/>
                <w:vertAlign w:val="superscript"/>
              </w:rPr>
              <w:t>10</w:t>
            </w:r>
          </w:p>
        </w:tc>
        <w:tc>
          <w:tcPr>
            <w:tcW w:w="1270" w:type="dxa"/>
            <w:hideMark/>
          </w:tcPr>
          <w:p w14:paraId="05099FE3" w14:textId="77777777" w:rsidR="006D3AE9" w:rsidRDefault="007940B7">
            <w:pPr>
              <w:pStyle w:val="Body"/>
              <w:spacing w:after="0"/>
              <w:rPr>
                <w:rFonts w:ascii="Arial" w:hAnsi="Arial" w:cs="Arial"/>
              </w:rPr>
            </w:pPr>
            <w:r>
              <w:rPr>
                <w:rFonts w:ascii="Arial" w:hAnsi="Arial" w:cs="Arial"/>
              </w:rPr>
              <w:t>28F</w:t>
            </w:r>
          </w:p>
        </w:tc>
        <w:tc>
          <w:tcPr>
            <w:tcW w:w="1918" w:type="dxa"/>
            <w:hideMark/>
          </w:tcPr>
          <w:p w14:paraId="5D4787C0" w14:textId="77777777" w:rsidR="006D3AE9" w:rsidRDefault="007940B7">
            <w:pPr>
              <w:pStyle w:val="Body"/>
              <w:spacing w:after="0"/>
              <w:rPr>
                <w:rFonts w:ascii="Arial" w:hAnsi="Arial" w:cs="Arial"/>
              </w:rPr>
            </w:pPr>
            <w:r>
              <w:rPr>
                <w:rFonts w:ascii="Arial" w:hAnsi="Arial" w:cs="Arial"/>
              </w:rPr>
              <w:t>Fever, photosensitive rash</w:t>
            </w:r>
          </w:p>
        </w:tc>
        <w:tc>
          <w:tcPr>
            <w:tcW w:w="1704" w:type="dxa"/>
            <w:hideMark/>
          </w:tcPr>
          <w:p w14:paraId="1C2FCB1C" w14:textId="77777777" w:rsidR="006D3AE9" w:rsidRDefault="007940B7">
            <w:pPr>
              <w:pStyle w:val="Body"/>
              <w:spacing w:after="0"/>
              <w:rPr>
                <w:rFonts w:ascii="Arial" w:hAnsi="Arial" w:cs="Arial"/>
              </w:rPr>
            </w:pPr>
            <w:r>
              <w:rPr>
                <w:rFonts w:ascii="Arial" w:hAnsi="Arial" w:cs="Arial"/>
              </w:rPr>
              <w:t>Necrotizing lymphadenitis</w:t>
            </w:r>
          </w:p>
        </w:tc>
        <w:tc>
          <w:tcPr>
            <w:tcW w:w="2006" w:type="dxa"/>
            <w:hideMark/>
          </w:tcPr>
          <w:p w14:paraId="708FBC66" w14:textId="77777777" w:rsidR="006D3AE9" w:rsidRDefault="007940B7">
            <w:pPr>
              <w:pStyle w:val="Body"/>
              <w:spacing w:after="0"/>
              <w:rPr>
                <w:rFonts w:ascii="Arial" w:hAnsi="Arial" w:cs="Arial"/>
              </w:rPr>
            </w:pPr>
            <w:r>
              <w:rPr>
                <w:rFonts w:ascii="Arial" w:hAnsi="Arial" w:cs="Arial"/>
              </w:rPr>
              <w:t>Resolved with HCQ and steroids</w:t>
            </w:r>
          </w:p>
        </w:tc>
      </w:tr>
      <w:tr w:rsidR="006D3AE9" w14:paraId="0D574C8E" w14:textId="77777777">
        <w:tc>
          <w:tcPr>
            <w:tcW w:w="1526" w:type="dxa"/>
            <w:hideMark/>
          </w:tcPr>
          <w:p w14:paraId="6636809F" w14:textId="60FAD4A0" w:rsidR="006D3AE9" w:rsidRPr="00EA4216" w:rsidRDefault="007940B7">
            <w:pPr>
              <w:pStyle w:val="Body"/>
              <w:spacing w:after="0"/>
              <w:rPr>
                <w:rFonts w:ascii="Arial" w:hAnsi="Arial" w:cs="Arial"/>
                <w:vertAlign w:val="superscript"/>
              </w:rPr>
            </w:pPr>
            <w:r>
              <w:rPr>
                <w:rFonts w:ascii="Arial" w:hAnsi="Arial" w:cs="Arial"/>
              </w:rPr>
              <w:t>Kwon et al. (1999)</w:t>
            </w:r>
            <w:r w:rsidR="00EA4216">
              <w:rPr>
                <w:rFonts w:ascii="Arial" w:hAnsi="Arial" w:cs="Arial"/>
                <w:vertAlign w:val="superscript"/>
              </w:rPr>
              <w:t>11</w:t>
            </w:r>
          </w:p>
        </w:tc>
        <w:tc>
          <w:tcPr>
            <w:tcW w:w="1270" w:type="dxa"/>
            <w:hideMark/>
          </w:tcPr>
          <w:p w14:paraId="53F152FD" w14:textId="77777777" w:rsidR="006D3AE9" w:rsidRDefault="007940B7">
            <w:pPr>
              <w:pStyle w:val="Body"/>
              <w:spacing w:after="0"/>
              <w:rPr>
                <w:rFonts w:ascii="Arial" w:hAnsi="Arial" w:cs="Arial"/>
              </w:rPr>
            </w:pPr>
            <w:r>
              <w:rPr>
                <w:rFonts w:ascii="Arial" w:hAnsi="Arial" w:cs="Arial"/>
              </w:rPr>
              <w:t>35F</w:t>
            </w:r>
          </w:p>
        </w:tc>
        <w:tc>
          <w:tcPr>
            <w:tcW w:w="1918" w:type="dxa"/>
            <w:hideMark/>
          </w:tcPr>
          <w:p w14:paraId="6C099E15" w14:textId="77777777" w:rsidR="006D3AE9" w:rsidRDefault="007940B7">
            <w:pPr>
              <w:pStyle w:val="Body"/>
              <w:spacing w:after="0"/>
              <w:rPr>
                <w:rFonts w:ascii="Arial" w:hAnsi="Arial" w:cs="Arial"/>
              </w:rPr>
            </w:pPr>
            <w:r>
              <w:rPr>
                <w:rFonts w:ascii="Arial" w:hAnsi="Arial" w:cs="Arial"/>
              </w:rPr>
              <w:t>Lymphadenopathy, malar rash</w:t>
            </w:r>
          </w:p>
        </w:tc>
        <w:tc>
          <w:tcPr>
            <w:tcW w:w="1704" w:type="dxa"/>
            <w:hideMark/>
          </w:tcPr>
          <w:p w14:paraId="4802743B" w14:textId="77777777" w:rsidR="006D3AE9" w:rsidRDefault="007940B7">
            <w:pPr>
              <w:pStyle w:val="Body"/>
              <w:spacing w:after="0"/>
              <w:rPr>
                <w:rFonts w:ascii="Arial" w:hAnsi="Arial" w:cs="Arial"/>
              </w:rPr>
            </w:pPr>
            <w:r>
              <w:rPr>
                <w:rFonts w:ascii="Arial" w:hAnsi="Arial" w:cs="Arial"/>
              </w:rPr>
              <w:t>Histiocytic necrosis</w:t>
            </w:r>
          </w:p>
        </w:tc>
        <w:tc>
          <w:tcPr>
            <w:tcW w:w="2006" w:type="dxa"/>
            <w:hideMark/>
          </w:tcPr>
          <w:p w14:paraId="2131C4CA" w14:textId="77777777" w:rsidR="006D3AE9" w:rsidRDefault="007940B7">
            <w:pPr>
              <w:pStyle w:val="Body"/>
              <w:spacing w:after="0"/>
              <w:rPr>
                <w:rFonts w:ascii="Arial" w:hAnsi="Arial" w:cs="Arial"/>
              </w:rPr>
            </w:pPr>
            <w:r>
              <w:rPr>
                <w:rFonts w:ascii="Arial" w:hAnsi="Arial" w:cs="Arial"/>
              </w:rPr>
              <w:t>Good response to steroids</w:t>
            </w:r>
          </w:p>
        </w:tc>
      </w:tr>
      <w:tr w:rsidR="006D3AE9" w14:paraId="4B646ACE" w14:textId="77777777">
        <w:tc>
          <w:tcPr>
            <w:tcW w:w="1526" w:type="dxa"/>
            <w:hideMark/>
          </w:tcPr>
          <w:p w14:paraId="6920AEE3" w14:textId="716F6CD6" w:rsidR="006D3AE9" w:rsidRPr="00EA4216" w:rsidRDefault="007940B7">
            <w:pPr>
              <w:pStyle w:val="Body"/>
              <w:spacing w:after="0"/>
              <w:rPr>
                <w:rFonts w:ascii="Arial" w:hAnsi="Arial" w:cs="Arial"/>
                <w:vertAlign w:val="superscript"/>
              </w:rPr>
            </w:pPr>
            <w:r>
              <w:rPr>
                <w:rFonts w:ascii="Arial" w:hAnsi="Arial" w:cs="Arial"/>
              </w:rPr>
              <w:t>Shrestha et al. (2018)</w:t>
            </w:r>
            <w:r w:rsidR="00EA4216">
              <w:rPr>
                <w:rFonts w:ascii="Arial" w:hAnsi="Arial" w:cs="Arial"/>
                <w:vertAlign w:val="superscript"/>
              </w:rPr>
              <w:t>14</w:t>
            </w:r>
          </w:p>
        </w:tc>
        <w:tc>
          <w:tcPr>
            <w:tcW w:w="1270" w:type="dxa"/>
            <w:hideMark/>
          </w:tcPr>
          <w:p w14:paraId="25E2295C" w14:textId="77777777" w:rsidR="006D3AE9" w:rsidRDefault="007940B7">
            <w:pPr>
              <w:pStyle w:val="Body"/>
              <w:spacing w:after="0"/>
              <w:rPr>
                <w:rFonts w:ascii="Arial" w:hAnsi="Arial" w:cs="Arial"/>
              </w:rPr>
            </w:pPr>
            <w:r>
              <w:rPr>
                <w:rFonts w:ascii="Arial" w:hAnsi="Arial" w:cs="Arial"/>
              </w:rPr>
              <w:t>22F</w:t>
            </w:r>
          </w:p>
        </w:tc>
        <w:tc>
          <w:tcPr>
            <w:tcW w:w="1918" w:type="dxa"/>
            <w:hideMark/>
          </w:tcPr>
          <w:p w14:paraId="705981AA" w14:textId="77777777" w:rsidR="006D3AE9" w:rsidRDefault="007940B7">
            <w:pPr>
              <w:pStyle w:val="Body"/>
              <w:spacing w:after="0"/>
              <w:rPr>
                <w:rFonts w:ascii="Arial" w:hAnsi="Arial" w:cs="Arial"/>
              </w:rPr>
            </w:pPr>
            <w:r>
              <w:rPr>
                <w:rFonts w:ascii="Arial" w:hAnsi="Arial" w:cs="Arial"/>
              </w:rPr>
              <w:t>Fever, arthralgia, lymphadenopathy</w:t>
            </w:r>
          </w:p>
        </w:tc>
        <w:tc>
          <w:tcPr>
            <w:tcW w:w="1704" w:type="dxa"/>
            <w:hideMark/>
          </w:tcPr>
          <w:p w14:paraId="34D04F65" w14:textId="77777777" w:rsidR="006D3AE9" w:rsidRDefault="007940B7">
            <w:pPr>
              <w:pStyle w:val="Body"/>
              <w:spacing w:after="0"/>
              <w:rPr>
                <w:rFonts w:ascii="Arial" w:hAnsi="Arial" w:cs="Arial"/>
              </w:rPr>
            </w:pPr>
            <w:r>
              <w:rPr>
                <w:rFonts w:ascii="Arial" w:hAnsi="Arial" w:cs="Arial"/>
              </w:rPr>
              <w:t>Karyorrhectic debris</w:t>
            </w:r>
          </w:p>
        </w:tc>
        <w:tc>
          <w:tcPr>
            <w:tcW w:w="2006" w:type="dxa"/>
            <w:hideMark/>
          </w:tcPr>
          <w:p w14:paraId="36829A40" w14:textId="77777777" w:rsidR="006D3AE9" w:rsidRDefault="007940B7">
            <w:pPr>
              <w:pStyle w:val="Body"/>
              <w:spacing w:after="0"/>
              <w:rPr>
                <w:rFonts w:ascii="Arial" w:hAnsi="Arial" w:cs="Arial"/>
              </w:rPr>
            </w:pPr>
            <w:r>
              <w:rPr>
                <w:rFonts w:ascii="Arial" w:hAnsi="Arial" w:cs="Arial"/>
              </w:rPr>
              <w:t>Recovered with HCQ, no relapse</w:t>
            </w:r>
          </w:p>
        </w:tc>
      </w:tr>
    </w:tbl>
    <w:p w14:paraId="66624DB4" w14:textId="77777777" w:rsidR="006D3AE9" w:rsidRDefault="006D3AE9">
      <w:pPr>
        <w:pStyle w:val="Body"/>
        <w:spacing w:after="0"/>
        <w:rPr>
          <w:rFonts w:ascii="Arial" w:hAnsi="Arial" w:cs="Arial"/>
        </w:rPr>
      </w:pPr>
    </w:p>
    <w:p w14:paraId="644BEFAB" w14:textId="454139EB" w:rsidR="006D3AE9" w:rsidRPr="00EA4216" w:rsidRDefault="007940B7">
      <w:pPr>
        <w:pStyle w:val="Body"/>
        <w:spacing w:after="0"/>
        <w:rPr>
          <w:rFonts w:ascii="Arial" w:hAnsi="Arial" w:cs="Arial"/>
          <w:vertAlign w:val="superscript"/>
        </w:rPr>
      </w:pPr>
      <w:r>
        <w:rPr>
          <w:rFonts w:ascii="Arial" w:hAnsi="Arial" w:cs="Arial"/>
        </w:rPr>
        <w:t>The clinical significance of this overlap lies in the need for differentiation and appropriate management. While KFD is self-limiting, SLE requires long-term immunosuppressive therapy to prevent disease progression and organ damage. Furthermore, patients diagnosed with KFD should be monitored periodically for the emergence of autoimmune features, given the documented progression to SLE in a subset of cases.</w:t>
      </w:r>
      <w:r w:rsidR="00EA4216">
        <w:rPr>
          <w:rFonts w:ascii="Arial" w:hAnsi="Arial" w:cs="Arial"/>
          <w:vertAlign w:val="superscript"/>
        </w:rPr>
        <w:t>14-20</w:t>
      </w:r>
    </w:p>
    <w:p w14:paraId="503667EF" w14:textId="77777777" w:rsidR="006D3AE9" w:rsidRDefault="006D3AE9">
      <w:pPr>
        <w:pStyle w:val="Body"/>
        <w:spacing w:after="0"/>
        <w:rPr>
          <w:rFonts w:ascii="Arial" w:hAnsi="Arial" w:cs="Arial"/>
        </w:rPr>
      </w:pPr>
    </w:p>
    <w:p w14:paraId="523E1C7B" w14:textId="77777777" w:rsidR="006D3AE9" w:rsidRDefault="007940B7">
      <w:pPr>
        <w:pStyle w:val="Body"/>
        <w:spacing w:after="0"/>
        <w:rPr>
          <w:rFonts w:ascii="Arial" w:hAnsi="Arial" w:cs="Arial"/>
        </w:rPr>
      </w:pPr>
      <w:r>
        <w:rPr>
          <w:rFonts w:ascii="Arial" w:hAnsi="Arial" w:cs="Arial"/>
        </w:rPr>
        <w:t>This case underscores the importance of excisional lymph node biopsy in prolonged febrile lymphadenopathy and highlights the diagnostic challenge posed by overlapping histopathological features in KFD and SLE.</w:t>
      </w:r>
    </w:p>
    <w:p w14:paraId="33D780A9" w14:textId="77777777" w:rsidR="006D3AE9" w:rsidRDefault="006D3AE9">
      <w:pPr>
        <w:pStyle w:val="Body"/>
        <w:spacing w:after="0"/>
        <w:rPr>
          <w:rFonts w:ascii="Arial" w:hAnsi="Arial" w:cs="Arial"/>
        </w:rPr>
      </w:pPr>
    </w:p>
    <w:p w14:paraId="6D6FB566" w14:textId="77777777" w:rsidR="006D3AE9" w:rsidRDefault="006D3AE9">
      <w:pPr>
        <w:pStyle w:val="Body"/>
        <w:spacing w:after="0"/>
        <w:rPr>
          <w:rFonts w:ascii="Arial" w:hAnsi="Arial" w:cs="Arial"/>
        </w:rPr>
      </w:pPr>
    </w:p>
    <w:p w14:paraId="718EFA5F" w14:textId="77777777" w:rsidR="006D3AE9" w:rsidRDefault="007940B7">
      <w:pPr>
        <w:pStyle w:val="ConcHead"/>
        <w:spacing w:after="0"/>
        <w:jc w:val="both"/>
        <w:rPr>
          <w:rFonts w:ascii="Arial" w:hAnsi="Arial" w:cs="Arial"/>
        </w:rPr>
      </w:pPr>
      <w:r>
        <w:rPr>
          <w:rFonts w:ascii="Arial" w:hAnsi="Arial" w:cs="Arial"/>
        </w:rPr>
        <w:t>4. Conclusion</w:t>
      </w:r>
    </w:p>
    <w:p w14:paraId="1527F325" w14:textId="77777777" w:rsidR="006D3AE9" w:rsidRDefault="006D3AE9">
      <w:pPr>
        <w:pStyle w:val="ConcHead"/>
        <w:spacing w:after="0"/>
        <w:jc w:val="both"/>
        <w:rPr>
          <w:rFonts w:ascii="Arial" w:hAnsi="Arial" w:cs="Arial"/>
        </w:rPr>
      </w:pPr>
    </w:p>
    <w:p w14:paraId="38A783D2" w14:textId="77777777" w:rsidR="006D3AE9" w:rsidRDefault="007940B7">
      <w:pPr>
        <w:pStyle w:val="Body"/>
        <w:spacing w:after="0"/>
        <w:rPr>
          <w:rFonts w:ascii="Arial" w:hAnsi="Arial" w:cs="Arial"/>
        </w:rPr>
      </w:pPr>
      <w:r>
        <w:rPr>
          <w:rFonts w:ascii="Arial" w:hAnsi="Arial" w:cs="Arial"/>
        </w:rPr>
        <w:t>This case highlights the diagnostic complexity of Kikuchi-Fujimoto disease (KFD) when it overlaps with systemic lupus erythematosus (SLE), particularly in young females presenting with prolonged febrile lymphadenopathy. Histopathology remains the cornerstone for diagnosis, allowing differentiation from other causes such as lymphoma, tuberculosis, and lupus lymphadenitis. Recognition of this overlap is critical, as KFD alone is self-limiting, while SLE necessitates prompt immunosuppressive therapy to prevent morbidity. Vigilant follow-up is essential since KFD may precede or signal the onset of systemic autoimmune disease. Early diagnosis and targeted treatment can result in excellent clinical outcomes.</w:t>
      </w:r>
    </w:p>
    <w:p w14:paraId="0D78DDAB" w14:textId="77777777" w:rsidR="006D3AE9" w:rsidRDefault="006D3AE9">
      <w:pPr>
        <w:pStyle w:val="ReferHead"/>
        <w:spacing w:after="0"/>
        <w:jc w:val="both"/>
        <w:rPr>
          <w:rFonts w:ascii="Arial" w:hAnsi="Arial" w:cs="Arial"/>
          <w:bCs/>
        </w:rPr>
      </w:pPr>
    </w:p>
    <w:p w14:paraId="5145DD55" w14:textId="77777777" w:rsidR="007042A6" w:rsidRPr="007042A6" w:rsidRDefault="007042A6" w:rsidP="007042A6">
      <w:pPr>
        <w:spacing w:after="200" w:line="276" w:lineRule="auto"/>
        <w:rPr>
          <w:rFonts w:asciiTheme="minorHAnsi" w:eastAsiaTheme="minorHAnsi" w:hAnsiTheme="minorHAnsi" w:cstheme="minorBidi"/>
          <w:b/>
          <w:sz w:val="28"/>
          <w:szCs w:val="22"/>
        </w:rPr>
      </w:pPr>
      <w:bookmarkStart w:id="0" w:name="_Hlk194405813"/>
      <w:r w:rsidRPr="007042A6">
        <w:rPr>
          <w:rFonts w:asciiTheme="minorHAnsi" w:eastAsiaTheme="minorHAnsi" w:hAnsiTheme="minorHAnsi" w:cstheme="minorBidi"/>
          <w:b/>
          <w:sz w:val="28"/>
          <w:szCs w:val="22"/>
        </w:rPr>
        <w:t>Ethical Approval:</w:t>
      </w:r>
    </w:p>
    <w:p w14:paraId="0048DA54" w14:textId="77777777" w:rsidR="007042A6" w:rsidRPr="007042A6" w:rsidRDefault="007042A6" w:rsidP="007042A6">
      <w:pPr>
        <w:spacing w:after="200" w:line="276" w:lineRule="auto"/>
        <w:rPr>
          <w:rFonts w:asciiTheme="minorHAnsi" w:eastAsiaTheme="minorEastAsia" w:hAnsiTheme="minorHAnsi" w:cstheme="minorBidi"/>
          <w:sz w:val="22"/>
          <w:szCs w:val="22"/>
        </w:rPr>
      </w:pPr>
      <w:r w:rsidRPr="007042A6">
        <w:rPr>
          <w:rFonts w:asciiTheme="minorHAnsi" w:eastAsiaTheme="minorEastAsia" w:hAnsiTheme="minorHAnsi" w:cstheme="minorBidi"/>
          <w:sz w:val="22"/>
          <w:szCs w:val="22"/>
        </w:rPr>
        <w:t>As per international standards or university standards written ethical approval has been collected and preserved by the author(s).</w:t>
      </w:r>
    </w:p>
    <w:p w14:paraId="7C0FC4E0" w14:textId="77777777" w:rsidR="007042A6" w:rsidRPr="007042A6" w:rsidRDefault="007042A6" w:rsidP="007042A6">
      <w:pPr>
        <w:spacing w:after="200" w:line="276" w:lineRule="auto"/>
        <w:rPr>
          <w:rFonts w:asciiTheme="minorHAnsi" w:eastAsiaTheme="minorHAnsi" w:hAnsiTheme="minorHAnsi" w:cstheme="minorBidi"/>
          <w:b/>
          <w:sz w:val="28"/>
          <w:szCs w:val="22"/>
        </w:rPr>
      </w:pPr>
      <w:bookmarkStart w:id="1" w:name="_Hlk178610575"/>
      <w:bookmarkEnd w:id="0"/>
      <w:r w:rsidRPr="007042A6">
        <w:rPr>
          <w:rFonts w:asciiTheme="minorHAnsi" w:eastAsiaTheme="minorHAnsi" w:hAnsiTheme="minorHAnsi" w:cstheme="minorBidi"/>
          <w:b/>
          <w:sz w:val="28"/>
          <w:szCs w:val="22"/>
          <w:highlight w:val="yellow"/>
        </w:rPr>
        <w:t>Consent</w:t>
      </w:r>
      <w:r w:rsidRPr="007042A6">
        <w:rPr>
          <w:rFonts w:asciiTheme="minorHAnsi" w:eastAsiaTheme="minorHAnsi" w:hAnsiTheme="minorHAnsi" w:cstheme="minorBidi"/>
          <w:b/>
          <w:sz w:val="28"/>
          <w:szCs w:val="22"/>
        </w:rPr>
        <w:t xml:space="preserve"> </w:t>
      </w:r>
    </w:p>
    <w:p w14:paraId="0400CAD4" w14:textId="77777777" w:rsidR="007042A6" w:rsidRPr="007042A6" w:rsidRDefault="007042A6" w:rsidP="007042A6">
      <w:pPr>
        <w:spacing w:after="200" w:line="276" w:lineRule="auto"/>
        <w:rPr>
          <w:rFonts w:asciiTheme="minorHAnsi" w:eastAsiaTheme="minorHAnsi" w:hAnsiTheme="minorHAnsi" w:cstheme="minorBidi"/>
          <w:sz w:val="22"/>
          <w:szCs w:val="22"/>
        </w:rPr>
      </w:pPr>
      <w:r w:rsidRPr="007042A6">
        <w:rPr>
          <w:rFonts w:asciiTheme="minorHAnsi" w:eastAsiaTheme="minorHAnsi" w:hAnsiTheme="minorHAnsi" w:cstheme="minorBidi"/>
          <w:sz w:val="22"/>
          <w:szCs w:val="22"/>
        </w:rPr>
        <w:t>As per international standards or university standards, patient(s) written consent has been collected and preserved by the author</w:t>
      </w:r>
      <w:r w:rsidRPr="007042A6">
        <w:rPr>
          <w:rFonts w:asciiTheme="minorHAnsi" w:eastAsiaTheme="minorHAnsi" w:hAnsiTheme="minorHAnsi" w:cstheme="minorBidi"/>
          <w:sz w:val="22"/>
          <w:szCs w:val="22"/>
          <w:highlight w:val="yellow"/>
        </w:rPr>
        <w:t>(s).</w:t>
      </w:r>
    </w:p>
    <w:bookmarkEnd w:id="1"/>
    <w:p w14:paraId="74BA8ED6" w14:textId="77777777" w:rsidR="007042A6" w:rsidRDefault="007042A6">
      <w:pPr>
        <w:pStyle w:val="ReferHead"/>
        <w:spacing w:after="0"/>
        <w:jc w:val="both"/>
        <w:rPr>
          <w:rFonts w:ascii="Arial" w:hAnsi="Arial" w:cs="Arial"/>
          <w:bCs/>
        </w:rPr>
      </w:pPr>
    </w:p>
    <w:p w14:paraId="70DC9C72" w14:textId="77777777" w:rsidR="006D3AE9" w:rsidRDefault="006D3AE9">
      <w:pPr>
        <w:pStyle w:val="ReferHead"/>
        <w:spacing w:after="0"/>
        <w:jc w:val="both"/>
        <w:rPr>
          <w:rFonts w:ascii="Arial" w:hAnsi="Arial" w:cs="Arial"/>
          <w:b w:val="0"/>
          <w:caps w:val="0"/>
          <w:sz w:val="20"/>
        </w:rPr>
      </w:pPr>
    </w:p>
    <w:p w14:paraId="5A6AAB83" w14:textId="77777777" w:rsidR="006D3AE9" w:rsidRDefault="007940B7">
      <w:pPr>
        <w:pStyle w:val="DefAcrHead"/>
        <w:spacing w:after="0"/>
        <w:jc w:val="both"/>
        <w:rPr>
          <w:rFonts w:ascii="Arial" w:hAnsi="Arial" w:cs="Arial"/>
        </w:rPr>
      </w:pPr>
      <w:r>
        <w:rPr>
          <w:rFonts w:ascii="Arial" w:hAnsi="Arial" w:cs="Arial"/>
        </w:rPr>
        <w:t>Definitions, Acronyms, Abbreviations</w:t>
      </w:r>
    </w:p>
    <w:p w14:paraId="4942A239" w14:textId="77777777" w:rsidR="006D3AE9" w:rsidRDefault="007940B7">
      <w:pPr>
        <w:pStyle w:val="Body"/>
        <w:spacing w:after="0"/>
        <w:rPr>
          <w:rFonts w:ascii="Arial" w:hAnsi="Arial" w:cs="Arial"/>
        </w:rPr>
      </w:pPr>
      <w:r>
        <w:rPr>
          <w:rFonts w:ascii="Arial" w:hAnsi="Arial" w:cs="Arial"/>
        </w:rPr>
        <w:t>KFD: Kikuchi Fujimoto Disease</w:t>
      </w:r>
    </w:p>
    <w:p w14:paraId="1C56322F" w14:textId="77777777" w:rsidR="006D3AE9" w:rsidRDefault="007940B7">
      <w:pPr>
        <w:pStyle w:val="Body"/>
        <w:spacing w:after="0"/>
        <w:rPr>
          <w:rFonts w:ascii="Arial" w:hAnsi="Arial" w:cs="Arial"/>
        </w:rPr>
      </w:pPr>
      <w:r>
        <w:rPr>
          <w:rFonts w:ascii="Arial" w:hAnsi="Arial" w:cs="Arial"/>
        </w:rPr>
        <w:t>SLE: Systemic Lupus Erythematosus</w:t>
      </w:r>
    </w:p>
    <w:p w14:paraId="31D007DF" w14:textId="77777777" w:rsidR="006D3AE9" w:rsidRDefault="007940B7">
      <w:pPr>
        <w:pStyle w:val="Body"/>
        <w:spacing w:after="0"/>
        <w:rPr>
          <w:rFonts w:ascii="Arial" w:hAnsi="Arial" w:cs="Arial"/>
        </w:rPr>
      </w:pPr>
      <w:r>
        <w:rPr>
          <w:rFonts w:ascii="Arial" w:hAnsi="Arial" w:cs="Arial"/>
        </w:rPr>
        <w:t>ACR/EULAR: American College of Rheumatology and the European League Against Rheumatism</w:t>
      </w:r>
    </w:p>
    <w:p w14:paraId="14CAC4D7" w14:textId="77777777" w:rsidR="006D3AE9" w:rsidRDefault="007940B7">
      <w:pPr>
        <w:pStyle w:val="Body"/>
        <w:spacing w:after="0"/>
        <w:rPr>
          <w:rFonts w:ascii="Arial" w:hAnsi="Arial" w:cs="Arial"/>
        </w:rPr>
      </w:pPr>
      <w:r>
        <w:rPr>
          <w:rFonts w:ascii="Arial" w:hAnsi="Arial" w:cs="Arial"/>
        </w:rPr>
        <w:t>PET-CT: Positron Emission Tomography- Computed Tomography</w:t>
      </w:r>
    </w:p>
    <w:p w14:paraId="22BBC030" w14:textId="77777777" w:rsidR="00EA4216" w:rsidRDefault="00EA4216">
      <w:pPr>
        <w:pStyle w:val="Body"/>
        <w:spacing w:after="0"/>
        <w:rPr>
          <w:rFonts w:ascii="Arial" w:hAnsi="Arial" w:cs="Arial"/>
        </w:rPr>
      </w:pPr>
    </w:p>
    <w:p w14:paraId="0DF6E54B" w14:textId="0EA13DB6" w:rsidR="008F428C" w:rsidRDefault="008F428C" w:rsidP="00A85CC6">
      <w:pPr>
        <w:pStyle w:val="Body"/>
        <w:spacing w:after="0"/>
        <w:rPr>
          <w:rFonts w:ascii="Arial" w:hAnsi="Arial" w:cs="Arial"/>
          <w:b/>
          <w:bCs/>
        </w:rPr>
      </w:pPr>
      <w:r w:rsidRPr="008F428C">
        <w:rPr>
          <w:rFonts w:ascii="Arial" w:hAnsi="Arial" w:cs="Arial"/>
          <w:b/>
          <w:bCs/>
        </w:rPr>
        <w:t>Disclaimer (Artificial intelligence)</w:t>
      </w:r>
    </w:p>
    <w:p w14:paraId="5637F066" w14:textId="77777777" w:rsidR="008F428C" w:rsidRPr="008F428C" w:rsidRDefault="008F428C" w:rsidP="008F428C">
      <w:pPr>
        <w:spacing w:after="200" w:line="276" w:lineRule="auto"/>
        <w:rPr>
          <w:rFonts w:ascii="Calibri" w:eastAsia="Calibri" w:hAnsi="Calibri"/>
          <w:kern w:val="2"/>
          <w:sz w:val="22"/>
          <w:szCs w:val="22"/>
          <w14:ligatures w14:val="standardContextual"/>
        </w:rPr>
      </w:pPr>
      <w:r w:rsidRPr="008F428C">
        <w:rPr>
          <w:rFonts w:ascii="Calibri" w:eastAsia="Calibri" w:hAnsi="Calibri"/>
          <w:kern w:val="2"/>
          <w:sz w:val="22"/>
          <w:szCs w:val="22"/>
          <w14:ligatures w14:val="standardContextual"/>
        </w:rPr>
        <w:t xml:space="preserve">Author(s) hereby </w:t>
      </w:r>
      <w:proofErr w:type="gramStart"/>
      <w:r w:rsidRPr="008F428C">
        <w:rPr>
          <w:rFonts w:ascii="Calibri" w:eastAsia="Calibri" w:hAnsi="Calibri"/>
          <w:kern w:val="2"/>
          <w:sz w:val="22"/>
          <w:szCs w:val="22"/>
          <w14:ligatures w14:val="standardContextual"/>
        </w:rPr>
        <w:t>declare</w:t>
      </w:r>
      <w:proofErr w:type="gramEnd"/>
      <w:r w:rsidRPr="008F428C">
        <w:rPr>
          <w:rFonts w:ascii="Calibri" w:eastAsia="Calibri" w:hAnsi="Calibri"/>
          <w:kern w:val="2"/>
          <w:sz w:val="22"/>
          <w:szCs w:val="22"/>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0E5524" w14:textId="77777777" w:rsidR="008F428C" w:rsidRPr="008F428C" w:rsidRDefault="008F428C" w:rsidP="008F428C">
      <w:pPr>
        <w:spacing w:after="200" w:line="276" w:lineRule="auto"/>
        <w:rPr>
          <w:rFonts w:ascii="Calibri" w:eastAsia="Calibri" w:hAnsi="Calibri"/>
          <w:kern w:val="2"/>
          <w:sz w:val="22"/>
          <w:szCs w:val="22"/>
          <w14:ligatures w14:val="standardContextual"/>
        </w:rPr>
      </w:pPr>
      <w:r w:rsidRPr="008F428C">
        <w:rPr>
          <w:rFonts w:ascii="Calibri" w:eastAsia="Calibri" w:hAnsi="Calibri"/>
          <w:kern w:val="2"/>
          <w:sz w:val="22"/>
          <w:szCs w:val="22"/>
          <w14:ligatures w14:val="standardContextual"/>
        </w:rPr>
        <w:t>Details of the AI usage are given below:</w:t>
      </w:r>
    </w:p>
    <w:p w14:paraId="19C183BE" w14:textId="77777777" w:rsidR="008F428C" w:rsidRPr="00A85CC6" w:rsidRDefault="008F428C" w:rsidP="00A85CC6">
      <w:pPr>
        <w:pStyle w:val="Body"/>
        <w:spacing w:after="0"/>
        <w:rPr>
          <w:rFonts w:ascii="Arial" w:hAnsi="Arial" w:cs="Arial"/>
          <w:b/>
          <w:bCs/>
        </w:rPr>
      </w:pPr>
    </w:p>
    <w:p w14:paraId="69272D01" w14:textId="240D31B7" w:rsidR="00A85CC6" w:rsidRDefault="00A85CC6" w:rsidP="00A85CC6">
      <w:pPr>
        <w:pStyle w:val="Body"/>
        <w:spacing w:after="0"/>
        <w:rPr>
          <w:rFonts w:ascii="Arial" w:hAnsi="Arial" w:cs="Arial"/>
        </w:rPr>
      </w:pPr>
      <w:r>
        <w:rPr>
          <w:rFonts w:ascii="Arial" w:hAnsi="Arial" w:cs="Arial"/>
        </w:rPr>
        <w:t xml:space="preserve">Authors </w:t>
      </w:r>
      <w:proofErr w:type="spellStart"/>
      <w:r>
        <w:rPr>
          <w:rFonts w:ascii="Arial" w:hAnsi="Arial" w:cs="Arial"/>
        </w:rPr>
        <w:t>hearby</w:t>
      </w:r>
      <w:proofErr w:type="spellEnd"/>
      <w:r>
        <w:rPr>
          <w:rFonts w:ascii="Arial" w:hAnsi="Arial" w:cs="Arial"/>
        </w:rPr>
        <w:t xml:space="preserve"> declare that generative AI has been used to edit this manuscript. It has been used in research of various relevant studies and rephrasing to a grammatically correct sentence.</w:t>
      </w:r>
    </w:p>
    <w:p w14:paraId="340F21E3" w14:textId="088F5462" w:rsidR="00A85CC6" w:rsidRDefault="00A85CC6">
      <w:pPr>
        <w:pStyle w:val="Body"/>
        <w:spacing w:after="0"/>
        <w:rPr>
          <w:rFonts w:ascii="Arial" w:hAnsi="Arial" w:cs="Arial"/>
        </w:rPr>
      </w:pPr>
      <w:r>
        <w:rPr>
          <w:rFonts w:ascii="Arial" w:hAnsi="Arial" w:cs="Arial"/>
        </w:rPr>
        <w:t>The AI used is Scholar GPT (ChatGPT- Open AI), Version 4o. The input prompts given were “Rephrase the following.” and “Find relevant articles regarding KFD, SLE and its overlap”. Other than the use mentioned, regenerative AI wasn’t used for any other purpose.</w:t>
      </w:r>
    </w:p>
    <w:p w14:paraId="41EE22E1" w14:textId="77777777" w:rsidR="00DF2AB1" w:rsidRDefault="00DF2AB1">
      <w:pPr>
        <w:pStyle w:val="Body"/>
        <w:spacing w:after="0"/>
        <w:rPr>
          <w:rFonts w:ascii="Arial" w:hAnsi="Arial" w:cs="Arial"/>
        </w:rPr>
      </w:pPr>
    </w:p>
    <w:p w14:paraId="674573A2" w14:textId="77777777" w:rsidR="006D3AE9" w:rsidRDefault="006D3AE9">
      <w:pPr>
        <w:pStyle w:val="ReferHead"/>
        <w:spacing w:after="0"/>
        <w:jc w:val="both"/>
        <w:rPr>
          <w:rFonts w:ascii="Arial" w:hAnsi="Arial" w:cs="Arial"/>
          <w:b w:val="0"/>
          <w:caps w:val="0"/>
          <w:sz w:val="20"/>
        </w:rPr>
      </w:pPr>
    </w:p>
    <w:p w14:paraId="6E720715" w14:textId="77777777" w:rsidR="006D3AE9" w:rsidRDefault="006D3AE9">
      <w:pPr>
        <w:pStyle w:val="ReferHead"/>
        <w:spacing w:after="0"/>
        <w:jc w:val="both"/>
        <w:rPr>
          <w:rFonts w:ascii="Arial" w:hAnsi="Arial" w:cs="Arial"/>
        </w:rPr>
      </w:pPr>
    </w:p>
    <w:p w14:paraId="2786ACC9" w14:textId="77777777" w:rsidR="006D3AE9" w:rsidRDefault="007940B7">
      <w:pPr>
        <w:pStyle w:val="ReferHead"/>
        <w:spacing w:after="0"/>
        <w:jc w:val="both"/>
        <w:rPr>
          <w:rFonts w:ascii="Arial" w:hAnsi="Arial" w:cs="Arial"/>
        </w:rPr>
      </w:pPr>
      <w:r>
        <w:rPr>
          <w:rFonts w:ascii="Arial" w:hAnsi="Arial" w:cs="Arial"/>
        </w:rPr>
        <w:t>References</w:t>
      </w:r>
    </w:p>
    <w:p w14:paraId="749F741B" w14:textId="77777777" w:rsidR="006D3AE9" w:rsidRDefault="006D3AE9">
      <w:pPr>
        <w:pStyle w:val="ReferHead"/>
        <w:spacing w:after="0"/>
        <w:jc w:val="both"/>
        <w:rPr>
          <w:rFonts w:ascii="Arial" w:hAnsi="Arial" w:cs="Arial"/>
        </w:rPr>
      </w:pPr>
    </w:p>
    <w:p w14:paraId="35414C8A" w14:textId="040470DD" w:rsidR="0039190F" w:rsidRPr="00EA4216" w:rsidRDefault="0039190F" w:rsidP="0039190F">
      <w:pPr>
        <w:pStyle w:val="Body"/>
        <w:numPr>
          <w:ilvl w:val="0"/>
          <w:numId w:val="32"/>
        </w:numPr>
        <w:spacing w:after="0"/>
        <w:rPr>
          <w:rFonts w:cs="Helvetica"/>
        </w:rPr>
      </w:pPr>
      <w:r w:rsidRPr="00EA4216">
        <w:rPr>
          <w:rFonts w:cs="Helvetica"/>
        </w:rPr>
        <w:t xml:space="preserve">Bosch X, </w:t>
      </w:r>
      <w:proofErr w:type="spellStart"/>
      <w:r w:rsidRPr="00EA4216">
        <w:rPr>
          <w:rFonts w:cs="Helvetica"/>
        </w:rPr>
        <w:t>Guilabert</w:t>
      </w:r>
      <w:proofErr w:type="spellEnd"/>
      <w:r w:rsidRPr="00EA4216">
        <w:rPr>
          <w:rFonts w:cs="Helvetica"/>
        </w:rPr>
        <w:t xml:space="preserve"> A. Kikuchi-Fujimoto disease. </w:t>
      </w:r>
      <w:proofErr w:type="spellStart"/>
      <w:r w:rsidRPr="00EA4216">
        <w:rPr>
          <w:rFonts w:cs="Helvetica"/>
        </w:rPr>
        <w:t>Orphanet</w:t>
      </w:r>
      <w:proofErr w:type="spellEnd"/>
      <w:r w:rsidRPr="00EA4216">
        <w:rPr>
          <w:rFonts w:cs="Helvetica"/>
        </w:rPr>
        <w:t xml:space="preserve"> J Rare Dis. </w:t>
      </w:r>
      <w:proofErr w:type="gramStart"/>
      <w:r w:rsidRPr="00EA4216">
        <w:rPr>
          <w:rFonts w:cs="Helvetica"/>
        </w:rPr>
        <w:t>2006;1:18</w:t>
      </w:r>
      <w:proofErr w:type="gramEnd"/>
      <w:r w:rsidRPr="00EA4216">
        <w:rPr>
          <w:rFonts w:cs="Helvetica"/>
        </w:rPr>
        <w:t>. doi:10.1186/1750-1172-1-18</w:t>
      </w:r>
      <w:r w:rsidR="0061612B" w:rsidRPr="00EA4216">
        <w:rPr>
          <w:rFonts w:cs="Helvetica"/>
        </w:rPr>
        <w:t>.</w:t>
      </w:r>
    </w:p>
    <w:p w14:paraId="0DAB24AA" w14:textId="4D425003" w:rsidR="0061612B" w:rsidRPr="00EA4216" w:rsidRDefault="0061612B" w:rsidP="0061612B">
      <w:pPr>
        <w:pStyle w:val="ListParagraph"/>
        <w:numPr>
          <w:ilvl w:val="0"/>
          <w:numId w:val="32"/>
        </w:numPr>
        <w:spacing w:before="100" w:beforeAutospacing="1" w:after="100" w:afterAutospacing="1"/>
        <w:rPr>
          <w:rFonts w:ascii="Helvetica" w:hAnsi="Helvetica" w:cs="Helvetica"/>
          <w:sz w:val="20"/>
          <w:szCs w:val="20"/>
          <w:lang w:val="en-IN" w:eastAsia="en-IN"/>
        </w:rPr>
      </w:pPr>
      <w:r w:rsidRPr="00EA4216">
        <w:rPr>
          <w:rFonts w:ascii="Helvetica" w:hAnsi="Helvetica" w:cs="Helvetica"/>
          <w:sz w:val="20"/>
          <w:szCs w:val="20"/>
          <w:lang w:val="en-IN" w:eastAsia="en-IN"/>
        </w:rPr>
        <w:t xml:space="preserve">Siegel CH, </w:t>
      </w:r>
      <w:proofErr w:type="spellStart"/>
      <w:r w:rsidRPr="00EA4216">
        <w:rPr>
          <w:rFonts w:ascii="Helvetica" w:hAnsi="Helvetica" w:cs="Helvetica"/>
          <w:sz w:val="20"/>
          <w:szCs w:val="20"/>
          <w:lang w:val="en-IN" w:eastAsia="en-IN"/>
        </w:rPr>
        <w:t>Sammaritano</w:t>
      </w:r>
      <w:proofErr w:type="spellEnd"/>
      <w:r w:rsidRPr="00EA4216">
        <w:rPr>
          <w:rFonts w:ascii="Helvetica" w:hAnsi="Helvetica" w:cs="Helvetica"/>
          <w:sz w:val="20"/>
          <w:szCs w:val="20"/>
          <w:lang w:val="en-IN" w:eastAsia="en-IN"/>
        </w:rPr>
        <w:t xml:space="preserve"> LR. Systemic lupus erythematosus: a review. </w:t>
      </w:r>
      <w:r w:rsidRPr="00EA4216">
        <w:rPr>
          <w:rFonts w:ascii="Helvetica" w:hAnsi="Helvetica" w:cs="Helvetica"/>
          <w:i/>
          <w:iCs/>
          <w:sz w:val="20"/>
          <w:szCs w:val="20"/>
          <w:lang w:val="en-IN" w:eastAsia="en-IN"/>
        </w:rPr>
        <w:t>JAMA</w:t>
      </w:r>
      <w:r w:rsidRPr="00EA4216">
        <w:rPr>
          <w:rFonts w:ascii="Helvetica" w:hAnsi="Helvetica" w:cs="Helvetica"/>
          <w:sz w:val="20"/>
          <w:szCs w:val="20"/>
          <w:lang w:val="en-IN" w:eastAsia="en-IN"/>
        </w:rPr>
        <w:t>. 2024;331(17):1480–1491. doi:10.1001/jama.2024.2315.</w:t>
      </w:r>
    </w:p>
    <w:p w14:paraId="1BD95204" w14:textId="5CFC5806" w:rsidR="0061612B" w:rsidRPr="00EA4216" w:rsidRDefault="0061612B" w:rsidP="0061612B">
      <w:pPr>
        <w:pStyle w:val="ListParagraph"/>
        <w:numPr>
          <w:ilvl w:val="0"/>
          <w:numId w:val="32"/>
        </w:numPr>
        <w:spacing w:before="100" w:beforeAutospacing="1" w:after="100" w:afterAutospacing="1"/>
        <w:rPr>
          <w:rFonts w:ascii="Helvetica" w:hAnsi="Helvetica" w:cs="Helvetica"/>
          <w:sz w:val="20"/>
          <w:szCs w:val="20"/>
          <w:lang w:val="en-IN" w:eastAsia="en-IN"/>
        </w:rPr>
      </w:pPr>
      <w:proofErr w:type="spellStart"/>
      <w:r w:rsidRPr="00EA4216">
        <w:rPr>
          <w:rFonts w:ascii="Helvetica" w:hAnsi="Helvetica" w:cs="Helvetica"/>
          <w:sz w:val="20"/>
          <w:szCs w:val="20"/>
          <w:lang w:eastAsia="en-IN"/>
        </w:rPr>
        <w:t>Kitsanou</w:t>
      </w:r>
      <w:proofErr w:type="spellEnd"/>
      <w:r w:rsidRPr="00EA4216">
        <w:rPr>
          <w:rFonts w:ascii="Helvetica" w:hAnsi="Helvetica" w:cs="Helvetica"/>
          <w:sz w:val="20"/>
          <w:szCs w:val="20"/>
          <w:lang w:eastAsia="en-IN"/>
        </w:rPr>
        <w:t xml:space="preserve"> M, </w:t>
      </w:r>
      <w:proofErr w:type="spellStart"/>
      <w:r w:rsidRPr="00EA4216">
        <w:rPr>
          <w:rFonts w:ascii="Helvetica" w:hAnsi="Helvetica" w:cs="Helvetica"/>
          <w:sz w:val="20"/>
          <w:szCs w:val="20"/>
          <w:lang w:eastAsia="en-IN"/>
        </w:rPr>
        <w:t>Andreopoulou</w:t>
      </w:r>
      <w:proofErr w:type="spellEnd"/>
      <w:r w:rsidRPr="00EA4216">
        <w:rPr>
          <w:rFonts w:ascii="Helvetica" w:hAnsi="Helvetica" w:cs="Helvetica"/>
          <w:sz w:val="20"/>
          <w:szCs w:val="20"/>
          <w:lang w:eastAsia="en-IN"/>
        </w:rPr>
        <w:t xml:space="preserve"> E, Bai MK, </w:t>
      </w:r>
      <w:proofErr w:type="spellStart"/>
      <w:r w:rsidRPr="00EA4216">
        <w:rPr>
          <w:rFonts w:ascii="Helvetica" w:hAnsi="Helvetica" w:cs="Helvetica"/>
          <w:sz w:val="20"/>
          <w:szCs w:val="20"/>
          <w:lang w:eastAsia="en-IN"/>
        </w:rPr>
        <w:t>Elisaf</w:t>
      </w:r>
      <w:proofErr w:type="spellEnd"/>
      <w:r w:rsidRPr="00EA4216">
        <w:rPr>
          <w:rFonts w:ascii="Helvetica" w:hAnsi="Helvetica" w:cs="Helvetica"/>
          <w:sz w:val="20"/>
          <w:szCs w:val="20"/>
          <w:lang w:eastAsia="en-IN"/>
        </w:rPr>
        <w:t xml:space="preserve"> M, Drosos AA. Extensive lymphadenopathy as the first clinical manifestation in systemic lupus erythematosus. </w:t>
      </w:r>
      <w:r w:rsidRPr="00EA4216">
        <w:rPr>
          <w:rFonts w:ascii="Helvetica" w:hAnsi="Helvetica" w:cs="Helvetica"/>
          <w:i/>
          <w:iCs/>
          <w:sz w:val="20"/>
          <w:szCs w:val="20"/>
          <w:lang w:eastAsia="en-IN"/>
        </w:rPr>
        <w:t>Lupus</w:t>
      </w:r>
      <w:r w:rsidRPr="00EA4216">
        <w:rPr>
          <w:rFonts w:ascii="Helvetica" w:hAnsi="Helvetica" w:cs="Helvetica"/>
          <w:sz w:val="20"/>
          <w:szCs w:val="20"/>
          <w:lang w:eastAsia="en-IN"/>
        </w:rPr>
        <w:t>. 2000;9(2):140–3. doi:10.1191/096120300678828037.</w:t>
      </w:r>
    </w:p>
    <w:p w14:paraId="04211611" w14:textId="396A85BC" w:rsidR="0039190F" w:rsidRDefault="007940B7" w:rsidP="0039190F">
      <w:pPr>
        <w:pStyle w:val="Body"/>
        <w:numPr>
          <w:ilvl w:val="0"/>
          <w:numId w:val="32"/>
        </w:numPr>
        <w:spacing w:after="0"/>
      </w:pPr>
      <w:proofErr w:type="spellStart"/>
      <w:r>
        <w:t>Bahmad</w:t>
      </w:r>
      <w:proofErr w:type="spellEnd"/>
      <w:r>
        <w:t xml:space="preserve"> HF, Abouzeid H, Nassar J, et al. Kikuchi–Fujimoto Disease: A Case Series and Review of the Literature. Diseases. 2024;12(11):271. DOI:10.3390/diseases12110271</w:t>
      </w:r>
      <w:r w:rsidR="0061612B">
        <w:t>.</w:t>
      </w:r>
    </w:p>
    <w:p w14:paraId="24F15314" w14:textId="24C989D9" w:rsidR="0039190F" w:rsidRDefault="007940B7" w:rsidP="0039190F">
      <w:pPr>
        <w:pStyle w:val="Body"/>
        <w:numPr>
          <w:ilvl w:val="0"/>
          <w:numId w:val="32"/>
        </w:numPr>
        <w:spacing w:after="0"/>
      </w:pPr>
      <w:r>
        <w:t xml:space="preserve">Wibowo SAK, Ariane A, Hidayat R. Kikuchi-Fujimoto Disease Preceding Overlap Syndrome of Sjögren’s Syndrome and Systemic Lupus Erythematosus: Literature Review Based on a Case Report. </w:t>
      </w:r>
      <w:proofErr w:type="spellStart"/>
      <w:r>
        <w:t>Indones</w:t>
      </w:r>
      <w:proofErr w:type="spellEnd"/>
      <w:r>
        <w:t xml:space="preserve"> J </w:t>
      </w:r>
      <w:proofErr w:type="spellStart"/>
      <w:r>
        <w:t>Rheumatol</w:t>
      </w:r>
      <w:proofErr w:type="spellEnd"/>
      <w:r>
        <w:t>. 2024;12(2):210-217.</w:t>
      </w:r>
    </w:p>
    <w:p w14:paraId="56B2A437" w14:textId="77777777" w:rsidR="0039190F" w:rsidRDefault="007940B7" w:rsidP="0039190F">
      <w:pPr>
        <w:pStyle w:val="Body"/>
        <w:numPr>
          <w:ilvl w:val="0"/>
          <w:numId w:val="32"/>
        </w:numPr>
        <w:spacing w:after="0"/>
      </w:pPr>
      <w:proofErr w:type="spellStart"/>
      <w:r>
        <w:t>Kucukardali</w:t>
      </w:r>
      <w:proofErr w:type="spellEnd"/>
      <w:r>
        <w:t xml:space="preserve"> Y, </w:t>
      </w:r>
      <w:proofErr w:type="spellStart"/>
      <w:r>
        <w:t>Solmazgul</w:t>
      </w:r>
      <w:proofErr w:type="spellEnd"/>
      <w:r>
        <w:t xml:space="preserve"> E, Kunter E, et al. Kikuchi-Fujimoto Disease: analysis of 244 cases. Clin Rheumatol. 2007;26(1):50-54.</w:t>
      </w:r>
    </w:p>
    <w:p w14:paraId="2C32195D" w14:textId="77777777" w:rsidR="0039190F" w:rsidRDefault="007940B7" w:rsidP="0039190F">
      <w:pPr>
        <w:pStyle w:val="Body"/>
        <w:numPr>
          <w:ilvl w:val="0"/>
          <w:numId w:val="32"/>
        </w:numPr>
        <w:spacing w:after="0"/>
      </w:pPr>
      <w:r>
        <w:t xml:space="preserve">Bosch X, </w:t>
      </w:r>
      <w:proofErr w:type="spellStart"/>
      <w:r>
        <w:t>Guilabert</w:t>
      </w:r>
      <w:proofErr w:type="spellEnd"/>
      <w:r>
        <w:t xml:space="preserve"> A, Miquel R, et al. Enigmatic Kikuchi-Fujimoto disease: a comprehensive review. Am J Clin </w:t>
      </w:r>
      <w:proofErr w:type="spellStart"/>
      <w:r>
        <w:t>Pathol</w:t>
      </w:r>
      <w:proofErr w:type="spellEnd"/>
      <w:r>
        <w:t>. 2004;122(1):141-152.</w:t>
      </w:r>
    </w:p>
    <w:p w14:paraId="65D6F7E7" w14:textId="77777777" w:rsidR="0039190F" w:rsidRDefault="007940B7" w:rsidP="0039190F">
      <w:pPr>
        <w:pStyle w:val="Body"/>
        <w:numPr>
          <w:ilvl w:val="0"/>
          <w:numId w:val="32"/>
        </w:numPr>
        <w:spacing w:after="0"/>
      </w:pPr>
      <w:r>
        <w:t xml:space="preserve">Dorfman RF, Berry GJ. Kikuchi’s histiocytic necrotizing lymphadenitis: an analysis of 108 cases with emphasis on differential diagnosis. Semin </w:t>
      </w:r>
      <w:proofErr w:type="spellStart"/>
      <w:r>
        <w:t>Diagn</w:t>
      </w:r>
      <w:proofErr w:type="spellEnd"/>
      <w:r>
        <w:t xml:space="preserve"> </w:t>
      </w:r>
      <w:proofErr w:type="spellStart"/>
      <w:r>
        <w:t>Pathol</w:t>
      </w:r>
      <w:proofErr w:type="spellEnd"/>
      <w:r>
        <w:t>. 1988;5(4):329-345.</w:t>
      </w:r>
    </w:p>
    <w:p w14:paraId="6B45E2CF" w14:textId="77777777" w:rsidR="0039190F" w:rsidRDefault="007940B7" w:rsidP="0039190F">
      <w:pPr>
        <w:pStyle w:val="Body"/>
        <w:numPr>
          <w:ilvl w:val="0"/>
          <w:numId w:val="32"/>
        </w:numPr>
        <w:spacing w:after="0"/>
      </w:pPr>
      <w:r>
        <w:t xml:space="preserve">Kuo TT. Kikuchi’s disease (histiocytic necrotizing lymphadenitis): a clinicopathologic study of 79 cases with analysis of histologic subtypes and immunohistology. Am J Surg </w:t>
      </w:r>
      <w:proofErr w:type="spellStart"/>
      <w:r>
        <w:t>Pathol</w:t>
      </w:r>
      <w:proofErr w:type="spellEnd"/>
      <w:r>
        <w:t>. 1995;19(7):798-809.</w:t>
      </w:r>
    </w:p>
    <w:p w14:paraId="7D948C32" w14:textId="77777777" w:rsidR="0039190F" w:rsidRDefault="007940B7" w:rsidP="0039190F">
      <w:pPr>
        <w:pStyle w:val="Body"/>
        <w:numPr>
          <w:ilvl w:val="0"/>
          <w:numId w:val="32"/>
        </w:numPr>
        <w:spacing w:after="0"/>
      </w:pPr>
      <w:r>
        <w:t xml:space="preserve">Santana A, Lessa B, </w:t>
      </w:r>
      <w:proofErr w:type="spellStart"/>
      <w:r>
        <w:t>Galrão</w:t>
      </w:r>
      <w:proofErr w:type="spellEnd"/>
      <w:r>
        <w:t xml:space="preserve"> L, Lima I, Santiago M. Kikuchi-Fujimoto’s disease associated with systemic lupus erythematosus: a case report and review of the literature. Clin Rheumatol. 2005;24(1):60-63.</w:t>
      </w:r>
    </w:p>
    <w:p w14:paraId="2ACCEF93" w14:textId="77777777" w:rsidR="0039190F" w:rsidRDefault="007940B7" w:rsidP="0039190F">
      <w:pPr>
        <w:pStyle w:val="Body"/>
        <w:numPr>
          <w:ilvl w:val="0"/>
          <w:numId w:val="32"/>
        </w:numPr>
        <w:spacing w:after="0"/>
      </w:pPr>
      <w:r>
        <w:t>Kwon SY, Kang MS, Park PW, et al. Two cases of Kikuchi-Fujimoto disease associated with systemic lupus erythematosus. J Korean Med Sci. 1999;14(2):217-220.</w:t>
      </w:r>
    </w:p>
    <w:p w14:paraId="165157C5" w14:textId="77777777" w:rsidR="0039190F" w:rsidRDefault="007940B7" w:rsidP="0039190F">
      <w:pPr>
        <w:pStyle w:val="Body"/>
        <w:numPr>
          <w:ilvl w:val="0"/>
          <w:numId w:val="32"/>
        </w:numPr>
        <w:spacing w:after="0"/>
      </w:pPr>
      <w:r>
        <w:t>Choe JY, Kim SK, Lee H, et al. Kikuchi disease in systemic lupus erythematosus patients: a case-control study and literature review. Lupus. 2016;25(6):653-659.</w:t>
      </w:r>
    </w:p>
    <w:p w14:paraId="454286E7" w14:textId="77777777" w:rsidR="0039190F" w:rsidRDefault="007940B7" w:rsidP="0039190F">
      <w:pPr>
        <w:pStyle w:val="Body"/>
        <w:numPr>
          <w:ilvl w:val="0"/>
          <w:numId w:val="32"/>
        </w:numPr>
        <w:spacing w:after="0"/>
      </w:pPr>
      <w:r>
        <w:t xml:space="preserve">Rosai J, Dorfman RF. Sinus histiocytosis with massive lymphadenopathy: a newly recognized benign clinicopathological entity. Arch </w:t>
      </w:r>
      <w:proofErr w:type="spellStart"/>
      <w:r>
        <w:t>Pathol</w:t>
      </w:r>
      <w:proofErr w:type="spellEnd"/>
      <w:r>
        <w:t>. 1969;87(1):63-70.</w:t>
      </w:r>
    </w:p>
    <w:p w14:paraId="04CB87DC" w14:textId="77777777" w:rsidR="0039190F" w:rsidRDefault="007940B7" w:rsidP="0039190F">
      <w:pPr>
        <w:pStyle w:val="Body"/>
        <w:numPr>
          <w:ilvl w:val="0"/>
          <w:numId w:val="32"/>
        </w:numPr>
        <w:spacing w:after="0"/>
      </w:pPr>
      <w:r>
        <w:t xml:space="preserve">Shrestha S, Anwar S, Singh H, et al. Kikuchi-Fujimoto disease in a patient with systemic lupus erythematosus: a case report. BMC Res Notes. </w:t>
      </w:r>
      <w:proofErr w:type="gramStart"/>
      <w:r>
        <w:t>2018;11:776</w:t>
      </w:r>
      <w:proofErr w:type="gramEnd"/>
      <w:r>
        <w:t>.</w:t>
      </w:r>
    </w:p>
    <w:p w14:paraId="3B0072FF" w14:textId="77777777" w:rsidR="0039190F" w:rsidRDefault="007940B7" w:rsidP="0039190F">
      <w:pPr>
        <w:pStyle w:val="Body"/>
        <w:numPr>
          <w:ilvl w:val="0"/>
          <w:numId w:val="32"/>
        </w:numPr>
        <w:spacing w:after="0"/>
      </w:pPr>
      <w:r>
        <w:t>Kim YJ, Koo DW, Lee SH, et al. Kikuchi disease and systemic lupus erythematosus: a case report and review of the literature. Korean J Intern Med. 2001;16(3):205-208.</w:t>
      </w:r>
    </w:p>
    <w:p w14:paraId="203B0F25" w14:textId="77777777" w:rsidR="0039190F" w:rsidRDefault="007940B7" w:rsidP="0039190F">
      <w:pPr>
        <w:pStyle w:val="Body"/>
        <w:numPr>
          <w:ilvl w:val="0"/>
          <w:numId w:val="32"/>
        </w:numPr>
        <w:spacing w:after="0"/>
      </w:pPr>
      <w:proofErr w:type="spellStart"/>
      <w:r>
        <w:t>Baenas</w:t>
      </w:r>
      <w:proofErr w:type="spellEnd"/>
      <w:r>
        <w:t xml:space="preserve"> DF, Navarro JT, Campo E. Kikuchi-Fujimoto disease: a review. J Hematopathol. 2012;5(1):11-18.</w:t>
      </w:r>
    </w:p>
    <w:p w14:paraId="1BDF5E66" w14:textId="77777777" w:rsidR="0039190F" w:rsidRDefault="007940B7" w:rsidP="0039190F">
      <w:pPr>
        <w:pStyle w:val="Body"/>
        <w:numPr>
          <w:ilvl w:val="0"/>
          <w:numId w:val="32"/>
        </w:numPr>
        <w:spacing w:after="0"/>
      </w:pPr>
      <w:r>
        <w:t xml:space="preserve">Hirakawa M, Okuyama K, Mizutani Y, et al. Kikuchi-Fujimoto disease developing into systemic lupus erythematosus: A case report and literature review. Mod </w:t>
      </w:r>
      <w:proofErr w:type="spellStart"/>
      <w:r>
        <w:t>Rheumatol</w:t>
      </w:r>
      <w:proofErr w:type="spellEnd"/>
      <w:r>
        <w:t xml:space="preserve"> Case Rep. 2021;5(3):401-405.</w:t>
      </w:r>
    </w:p>
    <w:p w14:paraId="4E562E8A" w14:textId="77777777" w:rsidR="0039190F" w:rsidRDefault="007940B7" w:rsidP="0039190F">
      <w:pPr>
        <w:pStyle w:val="Body"/>
        <w:numPr>
          <w:ilvl w:val="0"/>
          <w:numId w:val="32"/>
        </w:numPr>
        <w:spacing w:after="0"/>
      </w:pPr>
      <w:r>
        <w:t xml:space="preserve">Tamiya S, Kuroda N, Miyazaki E, et al. Kikuchi-Fujimoto disease: an immunohistochemical study on apoptotic cell death of T lymphocytes. </w:t>
      </w:r>
      <w:proofErr w:type="spellStart"/>
      <w:r>
        <w:t>Virchows</w:t>
      </w:r>
      <w:proofErr w:type="spellEnd"/>
      <w:r>
        <w:t xml:space="preserve"> Arch. 2001;439(6):660-666.</w:t>
      </w:r>
    </w:p>
    <w:p w14:paraId="77A50DC4" w14:textId="77777777" w:rsidR="0039190F" w:rsidRDefault="007940B7" w:rsidP="0039190F">
      <w:pPr>
        <w:pStyle w:val="Body"/>
        <w:numPr>
          <w:ilvl w:val="0"/>
          <w:numId w:val="32"/>
        </w:numPr>
        <w:spacing w:after="0"/>
      </w:pPr>
      <w:r>
        <w:t xml:space="preserve">Lin HC, Su CY, Huang CC, et al. Kikuchi’s disease: a review and analysis of 61 cases. </w:t>
      </w:r>
      <w:proofErr w:type="spellStart"/>
      <w:r>
        <w:t>Otolaryngol</w:t>
      </w:r>
      <w:proofErr w:type="spellEnd"/>
      <w:r>
        <w:t xml:space="preserve"> Head Neck Surg. 2003;128(5):650-653.</w:t>
      </w:r>
    </w:p>
    <w:p w14:paraId="7280CA74" w14:textId="77777777" w:rsidR="0039190F" w:rsidRDefault="007940B7" w:rsidP="0039190F">
      <w:pPr>
        <w:pStyle w:val="Body"/>
        <w:numPr>
          <w:ilvl w:val="0"/>
          <w:numId w:val="32"/>
        </w:numPr>
        <w:spacing w:after="0"/>
      </w:pPr>
      <w:r>
        <w:t xml:space="preserve">Rezai K, Kuchipudi S, </w:t>
      </w:r>
      <w:proofErr w:type="spellStart"/>
      <w:r>
        <w:t>Chundi</w:t>
      </w:r>
      <w:proofErr w:type="spellEnd"/>
      <w:r>
        <w:t xml:space="preserve"> V, et al. Kikuchi-Fujimoto disease: hydroxychloroquine as a treatment. Clin Infect Dis. 2004;39(12</w:t>
      </w:r>
      <w:proofErr w:type="gramStart"/>
      <w:r>
        <w:t>):e</w:t>
      </w:r>
      <w:proofErr w:type="gramEnd"/>
      <w:r>
        <w:t>124-e126.</w:t>
      </w:r>
    </w:p>
    <w:p w14:paraId="5C440B30" w14:textId="5ED0274E" w:rsidR="006D3AE9" w:rsidRDefault="007940B7" w:rsidP="0039190F">
      <w:pPr>
        <w:pStyle w:val="Body"/>
        <w:numPr>
          <w:ilvl w:val="0"/>
          <w:numId w:val="32"/>
        </w:numPr>
        <w:spacing w:after="0"/>
      </w:pPr>
      <w:r>
        <w:t xml:space="preserve">Dorfman RF. Kikuchi’s disease: a new form of lymphadenitis. Am J Clin </w:t>
      </w:r>
      <w:proofErr w:type="spellStart"/>
      <w:r>
        <w:t>Pathol</w:t>
      </w:r>
      <w:proofErr w:type="spellEnd"/>
      <w:r>
        <w:t>. 1973;59(6):715-722.</w:t>
      </w:r>
    </w:p>
    <w:p w14:paraId="396E0A81" w14:textId="77777777" w:rsidR="006D3AE9" w:rsidRDefault="006D3AE9">
      <w:pPr>
        <w:pStyle w:val="Body"/>
        <w:spacing w:after="0"/>
        <w:jc w:val="left"/>
        <w:rPr>
          <w:rFonts w:ascii="Arial" w:hAnsi="Arial" w:cs="Arial"/>
        </w:rPr>
      </w:pPr>
    </w:p>
    <w:p w14:paraId="4D95B714" w14:textId="77777777" w:rsidR="006D3AE9" w:rsidRDefault="006D3AE9">
      <w:pPr>
        <w:pStyle w:val="Reference"/>
        <w:numPr>
          <w:ilvl w:val="0"/>
          <w:numId w:val="0"/>
        </w:numPr>
        <w:spacing w:line="240" w:lineRule="auto"/>
        <w:rPr>
          <w:rFonts w:ascii="Arial" w:hAnsi="Arial" w:cs="Arial"/>
        </w:rPr>
      </w:pPr>
    </w:p>
    <w:p w14:paraId="039D474C" w14:textId="77777777" w:rsidR="006D3AE9" w:rsidRDefault="006D3AE9">
      <w:pPr>
        <w:pStyle w:val="Body"/>
        <w:spacing w:after="0"/>
        <w:rPr>
          <w:rFonts w:ascii="Arial" w:hAnsi="Arial" w:cs="Arial"/>
        </w:rPr>
      </w:pPr>
    </w:p>
    <w:p w14:paraId="43C4D798" w14:textId="77777777" w:rsidR="006D3AE9" w:rsidRDefault="006D3AE9">
      <w:pPr>
        <w:pStyle w:val="Appendix"/>
        <w:spacing w:after="0"/>
        <w:jc w:val="both"/>
        <w:rPr>
          <w:rFonts w:ascii="Arial" w:hAnsi="Arial" w:cs="Arial"/>
          <w:b w:val="0"/>
        </w:rPr>
        <w:sectPr w:rsidR="006D3AE9">
          <w:headerReference w:type="even" r:id="rId18"/>
          <w:headerReference w:type="default" r:id="rId19"/>
          <w:footerReference w:type="default" r:id="rId20"/>
          <w:headerReference w:type="first" r:id="rId21"/>
          <w:type w:val="continuous"/>
          <w:pgSz w:w="12240" w:h="15840"/>
          <w:pgMar w:top="1440" w:right="2016" w:bottom="1134" w:left="2016" w:header="720" w:footer="1123" w:gutter="0"/>
          <w:cols w:space="720"/>
          <w:docGrid w:linePitch="272"/>
        </w:sectPr>
      </w:pPr>
    </w:p>
    <w:p w14:paraId="718FC9C4" w14:textId="77777777" w:rsidR="006D3AE9" w:rsidRDefault="006D3AE9">
      <w:pPr>
        <w:pStyle w:val="Appendix"/>
        <w:spacing w:after="0"/>
        <w:jc w:val="both"/>
        <w:rPr>
          <w:rFonts w:ascii="Arial" w:hAnsi="Arial" w:cs="Arial"/>
          <w:b w:val="0"/>
        </w:rPr>
      </w:pPr>
    </w:p>
    <w:sectPr w:rsidR="006D3AE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D8D1C" w14:textId="77777777" w:rsidR="00E66629" w:rsidRDefault="00E66629">
      <w:r>
        <w:separator/>
      </w:r>
    </w:p>
  </w:endnote>
  <w:endnote w:type="continuationSeparator" w:id="0">
    <w:p w14:paraId="77851783" w14:textId="77777777" w:rsidR="00E66629" w:rsidRDefault="00E66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E21E" w14:textId="77777777" w:rsidR="006D3AE9" w:rsidRDefault="006D3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5236" w14:textId="77777777" w:rsidR="006D3AE9" w:rsidRDefault="006D3AE9">
    <w:pPr>
      <w:pStyle w:val="Footer"/>
    </w:pPr>
  </w:p>
  <w:p w14:paraId="02D4C38D" w14:textId="77777777" w:rsidR="006D3AE9" w:rsidRDefault="006D3A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8611" w14:textId="77777777" w:rsidR="006D3AE9" w:rsidRDefault="006D3AE9">
    <w:pPr>
      <w:pStyle w:val="Footer"/>
      <w:rPr>
        <w:rFonts w:ascii="Arial" w:hAnsi="Arial" w:cs="Arial"/>
        <w:sz w:val="16"/>
      </w:rPr>
    </w:pPr>
  </w:p>
  <w:p w14:paraId="7F36EFAC" w14:textId="77777777" w:rsidR="006D3AE9" w:rsidRDefault="007940B7">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9958DD8" w14:textId="77777777" w:rsidR="006D3AE9" w:rsidRDefault="006D3AE9">
    <w:pPr>
      <w:pStyle w:val="Footer"/>
      <w:rPr>
        <w:rFonts w:ascii="Arial" w:hAnsi="Arial" w:cs="Arial"/>
        <w:sz w:val="16"/>
      </w:rPr>
    </w:pPr>
  </w:p>
  <w:p w14:paraId="796F9B1D" w14:textId="77777777" w:rsidR="006D3AE9" w:rsidRDefault="007940B7">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5194A" w14:textId="77777777" w:rsidR="006D3AE9" w:rsidRDefault="006D3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C6B46" w14:textId="77777777" w:rsidR="00E66629" w:rsidRDefault="00E66629">
      <w:r>
        <w:separator/>
      </w:r>
    </w:p>
  </w:footnote>
  <w:footnote w:type="continuationSeparator" w:id="0">
    <w:p w14:paraId="7063F788" w14:textId="77777777" w:rsidR="00E66629" w:rsidRDefault="00E66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40619" w14:textId="77777777" w:rsidR="006D3AE9" w:rsidRDefault="00000000">
    <w:pPr>
      <w:pStyle w:val="Header"/>
    </w:pPr>
    <w:r>
      <w:rPr>
        <w:noProof/>
      </w:rPr>
      <w:pict w14:anchorId="523B1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48509" w14:textId="77777777" w:rsidR="006D3AE9" w:rsidRDefault="00000000">
    <w:pPr>
      <w:pStyle w:val="Header"/>
    </w:pPr>
    <w:r>
      <w:rPr>
        <w:noProof/>
      </w:rPr>
      <w:pict w14:anchorId="3FBA2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C8EE" w14:textId="77777777" w:rsidR="006D3AE9" w:rsidRDefault="00000000">
    <w:pPr>
      <w:ind w:left="2160"/>
      <w:jc w:val="center"/>
      <w:rPr>
        <w:rFonts w:ascii="Times New Roman" w:eastAsia="Calibri" w:hAnsi="Times New Roman"/>
        <w:i/>
        <w:sz w:val="18"/>
        <w:szCs w:val="22"/>
      </w:rPr>
    </w:pPr>
    <w:r>
      <w:rPr>
        <w:noProof/>
      </w:rPr>
      <w:pict w14:anchorId="63880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86939C9" w14:textId="77777777" w:rsidR="006D3AE9" w:rsidRDefault="007940B7">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7DAC05D" w14:textId="77777777" w:rsidR="006D3AE9" w:rsidRDefault="007940B7">
    <w:pPr>
      <w:jc w:val="center"/>
      <w:rPr>
        <w:rFonts w:ascii="Times New Roman" w:eastAsia="Calibri" w:hAnsi="Times New Roman"/>
        <w:i/>
        <w:sz w:val="18"/>
        <w:szCs w:val="22"/>
      </w:rPr>
    </w:pPr>
    <w:r>
      <w:rPr>
        <w:rFonts w:ascii="Times New Roman" w:eastAsia="Calibri" w:hAnsi="Times New Roman"/>
        <w:i/>
        <w:sz w:val="18"/>
        <w:szCs w:val="22"/>
      </w:rPr>
      <w:t>.</w:t>
    </w:r>
  </w:p>
  <w:p w14:paraId="1E12A2CD" w14:textId="77777777" w:rsidR="006D3AE9" w:rsidRDefault="007940B7">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BFC656B" w14:textId="77777777" w:rsidR="006D3AE9" w:rsidRDefault="007940B7">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2CCB96A2" w14:textId="77777777" w:rsidR="006D3AE9" w:rsidRDefault="007940B7">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95E99BF" w14:textId="77777777" w:rsidR="006D3AE9" w:rsidRDefault="007940B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85D6" w14:textId="77777777" w:rsidR="006D3AE9" w:rsidRDefault="00000000">
    <w:pPr>
      <w:pStyle w:val="Header"/>
    </w:pPr>
    <w:r>
      <w:rPr>
        <w:noProof/>
      </w:rPr>
      <w:pict w14:anchorId="74420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C330" w14:textId="77777777" w:rsidR="006D3AE9" w:rsidRDefault="00000000">
    <w:pPr>
      <w:pStyle w:val="Header"/>
    </w:pPr>
    <w:r>
      <w:rPr>
        <w:noProof/>
      </w:rPr>
      <w:pict w14:anchorId="23D4BF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04FA7" w14:textId="77777777" w:rsidR="006D3AE9" w:rsidRDefault="00000000">
    <w:pPr>
      <w:pStyle w:val="Header"/>
    </w:pPr>
    <w:r>
      <w:rPr>
        <w:noProof/>
      </w:rPr>
      <w:pict w14:anchorId="33C01E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AE2D62"/>
    <w:multiLevelType w:val="hybridMultilevel"/>
    <w:tmpl w:val="A5BED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7CE6BCF"/>
    <w:multiLevelType w:val="hybridMultilevel"/>
    <w:tmpl w:val="8D56AC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5860586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6562827">
    <w:abstractNumId w:val="17"/>
  </w:num>
  <w:num w:numId="3" w16cid:durableId="1479569477">
    <w:abstractNumId w:val="25"/>
  </w:num>
  <w:num w:numId="4" w16cid:durableId="69160762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43848231">
    <w:abstractNumId w:val="9"/>
  </w:num>
  <w:num w:numId="6" w16cid:durableId="834295656">
    <w:abstractNumId w:val="6"/>
  </w:num>
  <w:num w:numId="7" w16cid:durableId="442922532">
    <w:abstractNumId w:val="1"/>
  </w:num>
  <w:num w:numId="8" w16cid:durableId="1860502924">
    <w:abstractNumId w:val="14"/>
  </w:num>
  <w:num w:numId="9" w16cid:durableId="1477603923">
    <w:abstractNumId w:val="27"/>
  </w:num>
  <w:num w:numId="10" w16cid:durableId="1048602066">
    <w:abstractNumId w:val="2"/>
  </w:num>
  <w:num w:numId="11" w16cid:durableId="482089121">
    <w:abstractNumId w:val="20"/>
  </w:num>
  <w:num w:numId="12" w16cid:durableId="8527478">
    <w:abstractNumId w:val="3"/>
  </w:num>
  <w:num w:numId="13" w16cid:durableId="896478322">
    <w:abstractNumId w:val="19"/>
  </w:num>
  <w:num w:numId="14" w16cid:durableId="1810509088">
    <w:abstractNumId w:val="10"/>
  </w:num>
  <w:num w:numId="15" w16cid:durableId="137843475">
    <w:abstractNumId w:val="23"/>
  </w:num>
  <w:num w:numId="16" w16cid:durableId="460733987">
    <w:abstractNumId w:val="5"/>
  </w:num>
  <w:num w:numId="17" w16cid:durableId="395206775">
    <w:abstractNumId w:val="24"/>
  </w:num>
  <w:num w:numId="18" w16cid:durableId="1214123167">
    <w:abstractNumId w:val="16"/>
  </w:num>
  <w:num w:numId="19" w16cid:durableId="891311981">
    <w:abstractNumId w:val="30"/>
  </w:num>
  <w:num w:numId="20" w16cid:durableId="807093554">
    <w:abstractNumId w:val="13"/>
  </w:num>
  <w:num w:numId="21" w16cid:durableId="1024600439">
    <w:abstractNumId w:val="11"/>
  </w:num>
  <w:num w:numId="22" w16cid:durableId="483788202">
    <w:abstractNumId w:val="15"/>
  </w:num>
  <w:num w:numId="23" w16cid:durableId="1185094934">
    <w:abstractNumId w:val="21"/>
  </w:num>
  <w:num w:numId="24" w16cid:durableId="152844995">
    <w:abstractNumId w:val="28"/>
  </w:num>
  <w:num w:numId="25" w16cid:durableId="1325935428">
    <w:abstractNumId w:val="4"/>
  </w:num>
  <w:num w:numId="26" w16cid:durableId="918254540">
    <w:abstractNumId w:val="18"/>
  </w:num>
  <w:num w:numId="27" w16cid:durableId="304118301">
    <w:abstractNumId w:val="22"/>
  </w:num>
  <w:num w:numId="28" w16cid:durableId="520820561">
    <w:abstractNumId w:val="29"/>
  </w:num>
  <w:num w:numId="29" w16cid:durableId="1705669330">
    <w:abstractNumId w:val="26"/>
  </w:num>
  <w:num w:numId="30" w16cid:durableId="886572888">
    <w:abstractNumId w:val="12"/>
  </w:num>
  <w:num w:numId="31" w16cid:durableId="1809543292">
    <w:abstractNumId w:val="7"/>
  </w:num>
  <w:num w:numId="32" w16cid:durableId="10455219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E9"/>
    <w:rsid w:val="001A1B8F"/>
    <w:rsid w:val="0039190F"/>
    <w:rsid w:val="0061612B"/>
    <w:rsid w:val="006D3AE9"/>
    <w:rsid w:val="007042A6"/>
    <w:rsid w:val="007940B7"/>
    <w:rsid w:val="008F428C"/>
    <w:rsid w:val="00A85CC6"/>
    <w:rsid w:val="00B16C04"/>
    <w:rsid w:val="00BD1E95"/>
    <w:rsid w:val="00C209F8"/>
    <w:rsid w:val="00DF2AB1"/>
    <w:rsid w:val="00E236F6"/>
    <w:rsid w:val="00E66629"/>
    <w:rsid w:val="00EA42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BE81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61612B"/>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61612B"/>
    <w:rPr>
      <w:b/>
      <w:bCs/>
    </w:rPr>
  </w:style>
  <w:style w:type="character" w:customStyle="1" w:styleId="sr-only">
    <w:name w:val="sr-only"/>
    <w:basedOn w:val="DefaultParagraphFont"/>
    <w:rsid w:val="00616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604808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394190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9617031">
      <w:bodyDiv w:val="1"/>
      <w:marLeft w:val="0"/>
      <w:marRight w:val="0"/>
      <w:marTop w:val="0"/>
      <w:marBottom w:val="0"/>
      <w:divBdr>
        <w:top w:val="none" w:sz="0" w:space="0" w:color="auto"/>
        <w:left w:val="none" w:sz="0" w:space="0" w:color="auto"/>
        <w:bottom w:val="none" w:sz="0" w:space="0" w:color="auto"/>
        <w:right w:val="none" w:sz="0" w:space="0" w:color="auto"/>
      </w:divBdr>
    </w:div>
    <w:div w:id="1141457914">
      <w:bodyDiv w:val="1"/>
      <w:marLeft w:val="0"/>
      <w:marRight w:val="0"/>
      <w:marTop w:val="0"/>
      <w:marBottom w:val="0"/>
      <w:divBdr>
        <w:top w:val="none" w:sz="0" w:space="0" w:color="auto"/>
        <w:left w:val="none" w:sz="0" w:space="0" w:color="auto"/>
        <w:bottom w:val="none" w:sz="0" w:space="0" w:color="auto"/>
        <w:right w:val="none" w:sz="0" w:space="0" w:color="auto"/>
      </w:divBdr>
    </w:div>
    <w:div w:id="1150632396">
      <w:bodyDiv w:val="1"/>
      <w:marLeft w:val="0"/>
      <w:marRight w:val="0"/>
      <w:marTop w:val="0"/>
      <w:marBottom w:val="0"/>
      <w:divBdr>
        <w:top w:val="none" w:sz="0" w:space="0" w:color="auto"/>
        <w:left w:val="none" w:sz="0" w:space="0" w:color="auto"/>
        <w:bottom w:val="none" w:sz="0" w:space="0" w:color="auto"/>
        <w:right w:val="none" w:sz="0" w:space="0" w:color="auto"/>
      </w:divBdr>
    </w:div>
    <w:div w:id="16960752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8108347">
      <w:bodyDiv w:val="1"/>
      <w:marLeft w:val="0"/>
      <w:marRight w:val="0"/>
      <w:marTop w:val="0"/>
      <w:marBottom w:val="0"/>
      <w:divBdr>
        <w:top w:val="none" w:sz="0" w:space="0" w:color="auto"/>
        <w:left w:val="none" w:sz="0" w:space="0" w:color="auto"/>
        <w:bottom w:val="none" w:sz="0" w:space="0" w:color="auto"/>
        <w:right w:val="none" w:sz="0" w:space="0" w:color="auto"/>
      </w:divBdr>
      <w:divsChild>
        <w:div w:id="1558971448">
          <w:marLeft w:val="0"/>
          <w:marRight w:val="0"/>
          <w:marTop w:val="0"/>
          <w:marBottom w:val="0"/>
          <w:divBdr>
            <w:top w:val="none" w:sz="0" w:space="0" w:color="auto"/>
            <w:left w:val="none" w:sz="0" w:space="0" w:color="auto"/>
            <w:bottom w:val="none" w:sz="0" w:space="0" w:color="auto"/>
            <w:right w:val="none" w:sz="0" w:space="0" w:color="auto"/>
          </w:divBdr>
          <w:divsChild>
            <w:div w:id="1644694087">
              <w:marLeft w:val="0"/>
              <w:marRight w:val="0"/>
              <w:marTop w:val="0"/>
              <w:marBottom w:val="0"/>
              <w:divBdr>
                <w:top w:val="none" w:sz="0" w:space="0" w:color="auto"/>
                <w:left w:val="none" w:sz="0" w:space="0" w:color="auto"/>
                <w:bottom w:val="none" w:sz="0" w:space="0" w:color="auto"/>
                <w:right w:val="none" w:sz="0" w:space="0" w:color="auto"/>
              </w:divBdr>
              <w:divsChild>
                <w:div w:id="1159880914">
                  <w:marLeft w:val="0"/>
                  <w:marRight w:val="0"/>
                  <w:marTop w:val="0"/>
                  <w:marBottom w:val="0"/>
                  <w:divBdr>
                    <w:top w:val="none" w:sz="0" w:space="0" w:color="auto"/>
                    <w:left w:val="none" w:sz="0" w:space="0" w:color="auto"/>
                    <w:bottom w:val="none" w:sz="0" w:space="0" w:color="auto"/>
                    <w:right w:val="none" w:sz="0" w:space="0" w:color="auto"/>
                  </w:divBdr>
                  <w:divsChild>
                    <w:div w:id="2055040129">
                      <w:marLeft w:val="0"/>
                      <w:marRight w:val="0"/>
                      <w:marTop w:val="0"/>
                      <w:marBottom w:val="0"/>
                      <w:divBdr>
                        <w:top w:val="none" w:sz="0" w:space="0" w:color="auto"/>
                        <w:left w:val="none" w:sz="0" w:space="0" w:color="auto"/>
                        <w:bottom w:val="none" w:sz="0" w:space="0" w:color="auto"/>
                        <w:right w:val="none" w:sz="0" w:space="0" w:color="auto"/>
                      </w:divBdr>
                      <w:divsChild>
                        <w:div w:id="1975524891">
                          <w:marLeft w:val="0"/>
                          <w:marRight w:val="0"/>
                          <w:marTop w:val="0"/>
                          <w:marBottom w:val="0"/>
                          <w:divBdr>
                            <w:top w:val="none" w:sz="0" w:space="0" w:color="auto"/>
                            <w:left w:val="none" w:sz="0" w:space="0" w:color="auto"/>
                            <w:bottom w:val="none" w:sz="0" w:space="0" w:color="auto"/>
                            <w:right w:val="none" w:sz="0" w:space="0" w:color="auto"/>
                          </w:divBdr>
                          <w:divsChild>
                            <w:div w:id="8331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6064">
                  <w:marLeft w:val="0"/>
                  <w:marRight w:val="0"/>
                  <w:marTop w:val="0"/>
                  <w:marBottom w:val="0"/>
                  <w:divBdr>
                    <w:top w:val="none" w:sz="0" w:space="0" w:color="auto"/>
                    <w:left w:val="none" w:sz="0" w:space="0" w:color="auto"/>
                    <w:bottom w:val="none" w:sz="0" w:space="0" w:color="auto"/>
                    <w:right w:val="none" w:sz="0" w:space="0" w:color="auto"/>
                  </w:divBdr>
                  <w:divsChild>
                    <w:div w:id="18120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4593275">
      <w:bodyDiv w:val="1"/>
      <w:marLeft w:val="0"/>
      <w:marRight w:val="0"/>
      <w:marTop w:val="0"/>
      <w:marBottom w:val="0"/>
      <w:divBdr>
        <w:top w:val="none" w:sz="0" w:space="0" w:color="auto"/>
        <w:left w:val="none" w:sz="0" w:space="0" w:color="auto"/>
        <w:bottom w:val="none" w:sz="0" w:space="0" w:color="auto"/>
        <w:right w:val="none" w:sz="0" w:space="0" w:color="auto"/>
      </w:divBdr>
    </w:div>
    <w:div w:id="206602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E80E5-2F21-47C8-BDEC-B79C30E4E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1087</TotalTime>
  <Pages>8</Pages>
  <Words>2392</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15996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13</cp:revision>
  <cp:lastPrinted>1999-07-06T11:00:00Z</cp:lastPrinted>
  <dcterms:created xsi:type="dcterms:W3CDTF">2025-07-27T06:58:00Z</dcterms:created>
  <dcterms:modified xsi:type="dcterms:W3CDTF">2025-08-04T07:58:00Z</dcterms:modified>
</cp:coreProperties>
</file>