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99D9" w14:textId="77777777" w:rsidR="00754C9A" w:rsidRDefault="00754C9A" w:rsidP="00441B6F">
      <w:pPr>
        <w:pStyle w:val="Title"/>
        <w:spacing w:after="0"/>
        <w:jc w:val="both"/>
        <w:rPr>
          <w:rFonts w:ascii="Arial" w:hAnsi="Arial" w:cs="Arial"/>
        </w:rPr>
      </w:pPr>
    </w:p>
    <w:p w14:paraId="7FBCEC79" w14:textId="77777777" w:rsidR="00274BD6" w:rsidRDefault="00274BD6" w:rsidP="00441B6F">
      <w:pPr>
        <w:pStyle w:val="Author"/>
        <w:spacing w:line="240" w:lineRule="auto"/>
        <w:rPr>
          <w:rFonts w:ascii="Arial" w:hAnsi="Arial" w:cs="Arial"/>
          <w:bCs/>
          <w:iCs/>
          <w:kern w:val="28"/>
          <w:sz w:val="36"/>
        </w:rPr>
      </w:pPr>
      <w:r w:rsidRPr="00274BD6">
        <w:rPr>
          <w:rFonts w:ascii="Arial" w:hAnsi="Arial" w:cs="Arial"/>
          <w:bCs/>
          <w:iCs/>
          <w:kern w:val="28"/>
          <w:sz w:val="36"/>
        </w:rPr>
        <w:t xml:space="preserve">Original Research Article </w:t>
      </w:r>
    </w:p>
    <w:p w14:paraId="0DC8EB93" w14:textId="2027D793" w:rsidR="00163BC4" w:rsidRPr="00163BC4" w:rsidRDefault="00C0343F" w:rsidP="00441B6F">
      <w:pPr>
        <w:pStyle w:val="Author"/>
        <w:spacing w:line="240" w:lineRule="auto"/>
        <w:rPr>
          <w:rFonts w:ascii="Arial" w:hAnsi="Arial" w:cs="Arial"/>
          <w:bCs/>
          <w:iCs/>
          <w:kern w:val="28"/>
          <w:sz w:val="36"/>
        </w:rPr>
      </w:pPr>
      <w:r w:rsidRPr="00C0343F">
        <w:rPr>
          <w:rFonts w:ascii="Arial" w:hAnsi="Arial" w:cs="Arial"/>
          <w:bCs/>
          <w:iCs/>
          <w:kern w:val="28"/>
          <w:sz w:val="36"/>
          <w:highlight w:val="yellow"/>
        </w:rPr>
        <w:t>Predictive Analysis of Student Engagement and Academic Performance in Virtual Learning Environments Using a Hybrid Markov–Machine Learning Model</w:t>
      </w:r>
      <w:r w:rsidRPr="00C0343F">
        <w:rPr>
          <w:rFonts w:ascii="Arial" w:hAnsi="Arial" w:cs="Arial"/>
          <w:bCs/>
          <w:iCs/>
          <w:kern w:val="28"/>
          <w:sz w:val="36"/>
          <w:highlight w:val="yellow"/>
        </w:rPr>
        <w:t xml:space="preserve"> </w:t>
      </w:r>
    </w:p>
    <w:p w14:paraId="70022590" w14:textId="77777777" w:rsidR="002C57D2" w:rsidRDefault="002C57D2" w:rsidP="00441B6F">
      <w:pPr>
        <w:pStyle w:val="Affiliation"/>
        <w:spacing w:after="0" w:line="240" w:lineRule="auto"/>
        <w:jc w:val="both"/>
        <w:rPr>
          <w:rFonts w:ascii="Arial" w:hAnsi="Arial" w:cs="Arial"/>
        </w:rPr>
      </w:pPr>
    </w:p>
    <w:p w14:paraId="1D680A3D" w14:textId="77777777" w:rsidR="00F60612" w:rsidRPr="00FB3A86" w:rsidRDefault="00F60612" w:rsidP="00441B6F">
      <w:pPr>
        <w:pStyle w:val="Affiliation"/>
        <w:spacing w:after="0" w:line="240" w:lineRule="auto"/>
        <w:jc w:val="both"/>
        <w:rPr>
          <w:rFonts w:ascii="Arial" w:hAnsi="Arial" w:cs="Arial"/>
        </w:rPr>
      </w:pPr>
    </w:p>
    <w:p w14:paraId="3B5D82A1" w14:textId="0CE731E5" w:rsidR="00B01FCD" w:rsidRPr="00FB3A86" w:rsidRDefault="00352ED1" w:rsidP="00441B6F">
      <w:pPr>
        <w:pStyle w:val="Copyright"/>
        <w:spacing w:after="0" w:line="240" w:lineRule="auto"/>
        <w:jc w:val="both"/>
        <w:rPr>
          <w:rFonts w:ascii="Arial" w:hAnsi="Arial" w:cs="Arial"/>
        </w:rPr>
        <w:sectPr w:rsidR="00B01FCD" w:rsidRPr="00FB3A86" w:rsidSect="00F606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424E9E" wp14:editId="4D4FE3E9">
                <wp:extent cx="5303520" cy="635"/>
                <wp:effectExtent l="17145" t="13335" r="13335" b="15240"/>
                <wp:docPr id="18845414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05F0F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D69245F"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A507BD" w14:textId="77777777" w:rsidR="00DA47F4" w:rsidRPr="00FB3A86" w:rsidRDefault="00DA47F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D4883BD" w14:textId="77777777" w:rsidTr="001E44FE">
        <w:tc>
          <w:tcPr>
            <w:tcW w:w="9576" w:type="dxa"/>
            <w:shd w:val="clear" w:color="auto" w:fill="F2F2F2"/>
          </w:tcPr>
          <w:p w14:paraId="77268C1D" w14:textId="77777777" w:rsidR="00DA47F4" w:rsidRPr="00DA47F4" w:rsidRDefault="00DA47F4" w:rsidP="00DA47F4">
            <w:pPr>
              <w:jc w:val="both"/>
              <w:rPr>
                <w:rFonts w:ascii="Arial" w:eastAsia="Calibri" w:hAnsi="Arial" w:cs="Arial"/>
                <w:szCs w:val="22"/>
              </w:rPr>
            </w:pPr>
            <w:r w:rsidRPr="00DA47F4">
              <w:rPr>
                <w:rFonts w:ascii="Arial" w:eastAsia="Calibri" w:hAnsi="Arial" w:cs="Arial"/>
                <w:szCs w:val="22"/>
              </w:rPr>
              <w:t>The study aims at improving the prediction of student engagement and academic success in virtual learning environments (VLEs) by proposing a hybrid ensemble model that integrates Markov Chains, Hidden Markov Models (HMMs), and supervised machine learning algorithms. Traditional models often fail to capture the temporal dynamics of student behavior or provide timely and personalized interventions. To address these limitations, this study leverages sequential modeling and classification techniques on behavioral data collected from 500 students across multiple online courses.</w:t>
            </w:r>
          </w:p>
          <w:p w14:paraId="1CDA260E" w14:textId="77777777" w:rsidR="00DA47F4" w:rsidRPr="00DA47F4" w:rsidRDefault="00DA47F4" w:rsidP="00DA47F4">
            <w:pPr>
              <w:jc w:val="both"/>
              <w:rPr>
                <w:rFonts w:ascii="Arial" w:eastAsia="Calibri" w:hAnsi="Arial" w:cs="Arial"/>
                <w:szCs w:val="22"/>
              </w:rPr>
            </w:pPr>
          </w:p>
          <w:p w14:paraId="77F2A1C0" w14:textId="77777777" w:rsidR="00DA47F4" w:rsidRPr="00DA47F4" w:rsidRDefault="00DA47F4" w:rsidP="00DA47F4">
            <w:pPr>
              <w:jc w:val="both"/>
              <w:rPr>
                <w:rFonts w:ascii="Arial" w:eastAsia="Calibri" w:hAnsi="Arial" w:cs="Arial"/>
                <w:szCs w:val="22"/>
              </w:rPr>
            </w:pPr>
            <w:r w:rsidRPr="00DA47F4">
              <w:rPr>
                <w:rFonts w:ascii="Arial" w:eastAsia="Calibri" w:hAnsi="Arial" w:cs="Arial"/>
                <w:szCs w:val="22"/>
              </w:rPr>
              <w:t>The methodology includes data preprocessing, feature extraction, and model training using Decision Trees and Support Vector Machines (SVMs), alongside probabilistic modeling through Markov Chains and HMMs. Model evaluation was conducted using accuracy, F1-score, precision, recall, ROC-AUC, and confusion matrices.</w:t>
            </w:r>
          </w:p>
          <w:p w14:paraId="32344B92" w14:textId="77777777" w:rsidR="00DA47F4" w:rsidRPr="00DA47F4" w:rsidRDefault="00DA47F4" w:rsidP="00DA47F4">
            <w:pPr>
              <w:jc w:val="both"/>
              <w:rPr>
                <w:rFonts w:ascii="Arial" w:eastAsia="Calibri" w:hAnsi="Arial" w:cs="Arial"/>
                <w:szCs w:val="22"/>
              </w:rPr>
            </w:pPr>
          </w:p>
          <w:p w14:paraId="1B43ED98" w14:textId="77777777" w:rsidR="00DA47F4" w:rsidRPr="00DA47F4" w:rsidRDefault="00DA47F4" w:rsidP="00DA47F4">
            <w:pPr>
              <w:jc w:val="both"/>
              <w:rPr>
                <w:rFonts w:ascii="Arial" w:eastAsia="Calibri" w:hAnsi="Arial" w:cs="Arial"/>
                <w:szCs w:val="22"/>
              </w:rPr>
            </w:pPr>
            <w:r w:rsidRPr="00DA47F4">
              <w:rPr>
                <w:rFonts w:ascii="Arial" w:eastAsia="Calibri" w:hAnsi="Arial" w:cs="Arial"/>
                <w:szCs w:val="22"/>
              </w:rPr>
              <w:t>Results show that the hybrid ensemble model outperforms individual models, achieving an accuracy of 91.</w:t>
            </w:r>
            <w:r w:rsidR="00834AEE">
              <w:rPr>
                <w:rFonts w:ascii="Arial" w:eastAsia="Calibri" w:hAnsi="Arial" w:cs="Arial"/>
                <w:szCs w:val="22"/>
              </w:rPr>
              <w:t>9% and an F1-score of 89.9</w:t>
            </w:r>
            <w:r w:rsidRPr="00DA47F4">
              <w:rPr>
                <w:rFonts w:ascii="Arial" w:eastAsia="Calibri" w:hAnsi="Arial" w:cs="Arial"/>
                <w:szCs w:val="22"/>
              </w:rPr>
              <w:t>%. Forum participation and assignment completion emerged as the most influential predictors. Temporal modeling revealed that students in the high engagement state tend to remain consistent, while those in the low engagement state are unlikely to improve without support. Medium engagement students demonstrated the highest behavioral volatility, highlighting the importance of adaptive interventions.</w:t>
            </w:r>
          </w:p>
          <w:p w14:paraId="17FE939F" w14:textId="77777777" w:rsidR="00DA47F4" w:rsidRPr="00DA47F4" w:rsidRDefault="00DA47F4" w:rsidP="00DA47F4">
            <w:pPr>
              <w:jc w:val="both"/>
              <w:rPr>
                <w:rFonts w:ascii="Arial" w:eastAsia="Calibri" w:hAnsi="Arial" w:cs="Arial"/>
                <w:szCs w:val="22"/>
              </w:rPr>
            </w:pPr>
          </w:p>
          <w:p w14:paraId="1C720578" w14:textId="6C3F684B" w:rsidR="002D5F0A" w:rsidRPr="00BA1B01" w:rsidRDefault="00DA47F4" w:rsidP="00DA47F4">
            <w:pPr>
              <w:pStyle w:val="Body"/>
              <w:spacing w:after="0"/>
              <w:rPr>
                <w:rFonts w:ascii="Arial" w:eastAsia="Calibri" w:hAnsi="Arial" w:cs="Arial"/>
                <w:szCs w:val="22"/>
              </w:rPr>
            </w:pPr>
            <w:r w:rsidRPr="00DA47F4">
              <w:rPr>
                <w:rFonts w:ascii="Arial" w:eastAsia="Calibri" w:hAnsi="Arial" w:cs="Arial"/>
                <w:szCs w:val="22"/>
              </w:rPr>
              <w:t>The proposed model not only enhances predictive accuracy but also provides interpretable insights for early detection and support. These findings offer practical implications for educators, academic advisors, and learning system designers seeking to optimize student outcomes and retention in online learning contexts.</w:t>
            </w:r>
            <w:r w:rsidR="002D5F0A">
              <w:rPr>
                <w:rFonts w:ascii="Arial" w:eastAsia="Calibri" w:hAnsi="Arial" w:cs="Arial"/>
                <w:szCs w:val="22"/>
              </w:rPr>
              <w:t xml:space="preserve"> </w:t>
            </w:r>
            <w:r w:rsidR="002D5F0A" w:rsidRPr="002D5F0A">
              <w:rPr>
                <w:rFonts w:ascii="Arial" w:eastAsia="Calibri" w:hAnsi="Arial" w:cs="Arial"/>
                <w:szCs w:val="22"/>
                <w:highlight w:val="yellow"/>
              </w:rPr>
              <w:t>Future research could explore integrating additional engagement indicators such as emotional and social interaction metrics, as well as testing the model across diverse cultural and institutional settings to further validate its generalizability.</w:t>
            </w:r>
          </w:p>
        </w:tc>
      </w:tr>
    </w:tbl>
    <w:p w14:paraId="41F2DDE0" w14:textId="77777777" w:rsidR="00636EB2" w:rsidRDefault="00636EB2" w:rsidP="00441B6F">
      <w:pPr>
        <w:pStyle w:val="Body"/>
        <w:spacing w:after="0"/>
        <w:rPr>
          <w:rFonts w:ascii="Arial" w:hAnsi="Arial" w:cs="Arial"/>
          <w:i/>
        </w:rPr>
      </w:pPr>
    </w:p>
    <w:p w14:paraId="1D36A9A7" w14:textId="77777777" w:rsidR="0024282C" w:rsidRPr="00292110" w:rsidRDefault="00292110" w:rsidP="00441B6F">
      <w:pPr>
        <w:pStyle w:val="Body"/>
        <w:spacing w:after="0"/>
        <w:rPr>
          <w:rFonts w:ascii="Arial" w:hAnsi="Arial" w:cs="Arial"/>
          <w:i/>
          <w:lang w:val="az-Latn-AZ"/>
        </w:rPr>
      </w:pPr>
      <w:r>
        <w:rPr>
          <w:rFonts w:ascii="Arial" w:hAnsi="Arial" w:cs="Arial"/>
          <w:i/>
        </w:rPr>
        <w:t xml:space="preserve">Keywords: </w:t>
      </w:r>
      <w:r w:rsidR="003E6434">
        <w:rPr>
          <w:rFonts w:ascii="Arial" w:hAnsi="Arial" w:cs="Arial"/>
          <w:i/>
        </w:rPr>
        <w:t>virtual learning environments;</w:t>
      </w:r>
      <w:r w:rsidRPr="00292110">
        <w:rPr>
          <w:rFonts w:ascii="Arial" w:hAnsi="Arial" w:cs="Arial"/>
          <w:i/>
        </w:rPr>
        <w:t xml:space="preserve"> student engagement analysis</w:t>
      </w:r>
      <w:r w:rsidR="003E6434">
        <w:rPr>
          <w:rFonts w:ascii="Arial" w:hAnsi="Arial" w:cs="Arial"/>
          <w:i/>
        </w:rPr>
        <w:t>;</w:t>
      </w:r>
      <w:r w:rsidRPr="00292110">
        <w:rPr>
          <w:rFonts w:ascii="Arial" w:hAnsi="Arial" w:cs="Arial"/>
          <w:i/>
        </w:rPr>
        <w:t xml:space="preserve"> educational data mining</w:t>
      </w:r>
      <w:r w:rsidR="003E6434">
        <w:rPr>
          <w:rFonts w:ascii="Arial" w:hAnsi="Arial" w:cs="Arial"/>
          <w:i/>
        </w:rPr>
        <w:t>; hidden markov models;</w:t>
      </w:r>
      <w:r w:rsidRPr="00292110">
        <w:rPr>
          <w:rFonts w:ascii="Arial" w:hAnsi="Arial" w:cs="Arial"/>
          <w:i/>
        </w:rPr>
        <w:t xml:space="preserve"> machine learning in education</w:t>
      </w:r>
      <w:r w:rsidR="003E6434">
        <w:rPr>
          <w:rFonts w:ascii="Arial" w:hAnsi="Arial" w:cs="Arial"/>
          <w:i/>
        </w:rPr>
        <w:t>;</w:t>
      </w:r>
      <w:r w:rsidRPr="00292110">
        <w:rPr>
          <w:rFonts w:ascii="Arial" w:hAnsi="Arial" w:cs="Arial"/>
          <w:i/>
        </w:rPr>
        <w:t xml:space="preserve"> academic performance prediction</w:t>
      </w:r>
      <w:r w:rsidR="003E6434">
        <w:rPr>
          <w:rFonts w:ascii="Arial" w:hAnsi="Arial" w:cs="Arial"/>
          <w:i/>
        </w:rPr>
        <w:t>;</w:t>
      </w:r>
      <w:r w:rsidRPr="00292110">
        <w:rPr>
          <w:rFonts w:ascii="Arial" w:hAnsi="Arial" w:cs="Arial"/>
          <w:i/>
        </w:rPr>
        <w:t xml:space="preserve"> hybrid ensemble models</w:t>
      </w:r>
      <w:r w:rsidR="003E6434">
        <w:rPr>
          <w:rFonts w:ascii="Arial" w:hAnsi="Arial" w:cs="Arial"/>
          <w:i/>
        </w:rPr>
        <w:t>.</w:t>
      </w:r>
    </w:p>
    <w:p w14:paraId="551725E3" w14:textId="77777777" w:rsidR="00505F06" w:rsidRPr="00A24E7E" w:rsidRDefault="00505F06" w:rsidP="00441B6F">
      <w:pPr>
        <w:pStyle w:val="Body"/>
        <w:spacing w:after="0"/>
        <w:rPr>
          <w:rFonts w:ascii="Arial" w:hAnsi="Arial" w:cs="Arial"/>
          <w:i/>
        </w:rPr>
      </w:pPr>
    </w:p>
    <w:p w14:paraId="7415547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1568C15" w14:textId="77777777" w:rsidR="00790ADA" w:rsidRPr="00FB3A86" w:rsidRDefault="00790ADA" w:rsidP="00441B6F">
      <w:pPr>
        <w:pStyle w:val="AbstHead"/>
        <w:spacing w:after="0"/>
        <w:jc w:val="both"/>
        <w:rPr>
          <w:rFonts w:ascii="Arial" w:hAnsi="Arial" w:cs="Arial"/>
        </w:rPr>
      </w:pPr>
    </w:p>
    <w:p w14:paraId="2048F1A6" w14:textId="77777777" w:rsidR="00180B78" w:rsidRPr="00180B78" w:rsidRDefault="00180B78" w:rsidP="00180B78">
      <w:pPr>
        <w:pStyle w:val="Body"/>
        <w:rPr>
          <w:rFonts w:ascii="Arial" w:hAnsi="Arial" w:cs="Arial"/>
        </w:rPr>
      </w:pPr>
      <w:r w:rsidRPr="00180B78">
        <w:rPr>
          <w:rFonts w:ascii="Arial" w:hAnsi="Arial" w:cs="Arial"/>
        </w:rPr>
        <w:t xml:space="preserve">Virtual learning environments (VLEs) have increasingly become a cornerstone of modern education, offering flexibility and accessibility for students worldwide. However, despite the </w:t>
      </w:r>
      <w:r w:rsidRPr="00180B78">
        <w:rPr>
          <w:rFonts w:ascii="Arial" w:hAnsi="Arial" w:cs="Arial"/>
        </w:rPr>
        <w:lastRenderedPageBreak/>
        <w:t>numerous advantages of VLEs, student engagement and academic success are often inconsistent. Understanding the factors that influence student behavior and performance in these environments remains a significant challenge. Traditional face-to-face education provides tangible cues to assess student engagement, but virtual environments lack direct observation, making it harder for educators to gauge and intervene in real time. This study aims to bridge this gap by applying advanced computational techniques to analyze and predict student behavior and its impact on academic performance in virtual learning settings.</w:t>
      </w:r>
    </w:p>
    <w:p w14:paraId="296B3610" w14:textId="77777777" w:rsidR="00180B78" w:rsidRDefault="00180B78" w:rsidP="0013714E">
      <w:pPr>
        <w:pStyle w:val="Body"/>
        <w:rPr>
          <w:rFonts w:ascii="Arial" w:hAnsi="Arial" w:cs="Arial"/>
        </w:rPr>
      </w:pPr>
      <w:r w:rsidRPr="00180B78">
        <w:rPr>
          <w:rFonts w:ascii="Arial" w:hAnsi="Arial" w:cs="Arial"/>
        </w:rPr>
        <w:t>One of the key challenges in virtual learning is predicting and understanding student behavior. Unlike traditional classroom settings, where physical presence and direct interaction can give teachers insight into a student’s engagement, virtual environments lack such immediate cues. Consequently, educators and institutions often struggle to identify students at risk of disengagement or underperformance until it's too late, leading to missed opportunities for intervention. Moreover, existing methods of student performance prediction often fail to account for the dynamic and evolving nature of student behavior in VLEs (Kahu, 2013).</w:t>
      </w:r>
    </w:p>
    <w:p w14:paraId="1105C59A" w14:textId="77777777" w:rsidR="00180B78" w:rsidRDefault="00180B78" w:rsidP="0013714E">
      <w:pPr>
        <w:pStyle w:val="Body"/>
        <w:rPr>
          <w:rFonts w:ascii="Arial" w:hAnsi="Arial" w:cs="Arial"/>
        </w:rPr>
      </w:pPr>
      <w:r w:rsidRPr="00180B78">
        <w:rPr>
          <w:rFonts w:ascii="Arial" w:hAnsi="Arial" w:cs="Arial"/>
        </w:rPr>
        <w:t>This study proposes an integrated approach that combines Markov Chains, Machine Learning (ML) algorithms, and other statistical methods to model and predict student behavior in VLEs. Specifically, Hidden Markov Models (HMM) will be utilized to model hidden states of student engagement, while Machine Learning algorithms such as Support Vector Machines (SVM) and Decision Trees will help in predicting academic success based on behavioral patterns. By combining these methods, we aim to provide a more accurate and nuanced understanding of student engagement and performance, offering practical insights for educators and institutions to improve learning outcomes (</w:t>
      </w:r>
      <w:r w:rsidR="00705E57">
        <w:rPr>
          <w:rFonts w:ascii="Arial" w:hAnsi="Arial" w:cs="Arial"/>
        </w:rPr>
        <w:t>Berens et al., 2019</w:t>
      </w:r>
      <w:r w:rsidRPr="00180B78">
        <w:rPr>
          <w:rFonts w:ascii="Arial" w:hAnsi="Arial" w:cs="Arial"/>
        </w:rPr>
        <w:t>).</w:t>
      </w:r>
    </w:p>
    <w:p w14:paraId="257A6ADB" w14:textId="77777777" w:rsidR="00180B78" w:rsidRPr="00180B78" w:rsidRDefault="00180B78" w:rsidP="00180B78">
      <w:pPr>
        <w:pStyle w:val="Body"/>
        <w:rPr>
          <w:rFonts w:ascii="Arial" w:hAnsi="Arial" w:cs="Arial"/>
        </w:rPr>
      </w:pPr>
      <w:r w:rsidRPr="00180B78">
        <w:rPr>
          <w:rFonts w:ascii="Arial" w:hAnsi="Arial" w:cs="Arial"/>
        </w:rPr>
        <w:t>Research in this area is growing, but there remains a need for more robust models that can dynamically capture and predict student behavior. Previous studies have shown that student engagement, as a predictor of success, is a crucial factor in virtual learning settings. For instance, engagement is not only a determinant of academic performance b</w:t>
      </w:r>
      <w:r w:rsidR="007F0E8C">
        <w:rPr>
          <w:rFonts w:ascii="Arial" w:hAnsi="Arial" w:cs="Arial"/>
        </w:rPr>
        <w:t>ut also of student retention (Jaziar</w:t>
      </w:r>
      <w:r w:rsidRPr="00180B78">
        <w:rPr>
          <w:rFonts w:ascii="Arial" w:hAnsi="Arial" w:cs="Arial"/>
        </w:rPr>
        <w:t xml:space="preserve"> et al., 2020). </w:t>
      </w:r>
      <w:r w:rsidR="00F934EA" w:rsidRPr="00F934EA">
        <w:rPr>
          <w:rFonts w:ascii="Arial" w:hAnsi="Arial" w:cs="Arial"/>
        </w:rPr>
        <w:t xml:space="preserve">While many studies have applied machine learning to predict academic outcomes based on student behavior, few have integrated Markov models to capture the temporal aspects of student engagement, with Hidden Markov Models demonstrating the ability to identify hidden patterns in student behavior, potentially leading </w:t>
      </w:r>
      <w:r w:rsidR="00F934EA">
        <w:rPr>
          <w:rFonts w:ascii="Arial" w:hAnsi="Arial" w:cs="Arial"/>
        </w:rPr>
        <w:t>to more effective interventions (</w:t>
      </w:r>
      <w:r w:rsidR="007007C2" w:rsidRPr="007007C2">
        <w:rPr>
          <w:rFonts w:ascii="Arial" w:hAnsi="Arial" w:cs="Arial"/>
        </w:rPr>
        <w:t>Geigle</w:t>
      </w:r>
      <w:r w:rsidR="007007C2">
        <w:rPr>
          <w:rFonts w:ascii="Arial" w:hAnsi="Arial" w:cs="Arial"/>
        </w:rPr>
        <w:t xml:space="preserve"> and Zhai</w:t>
      </w:r>
      <w:r w:rsidR="00F934EA">
        <w:rPr>
          <w:rFonts w:ascii="Arial" w:hAnsi="Arial" w:cs="Arial"/>
        </w:rPr>
        <w:t xml:space="preserve">, </w:t>
      </w:r>
      <w:r w:rsidR="007007C2">
        <w:rPr>
          <w:rFonts w:ascii="Arial" w:hAnsi="Arial" w:cs="Arial"/>
        </w:rPr>
        <w:t>2017</w:t>
      </w:r>
      <w:r w:rsidRPr="00180B78">
        <w:rPr>
          <w:rFonts w:ascii="Arial" w:hAnsi="Arial" w:cs="Arial"/>
        </w:rPr>
        <w:t>)</w:t>
      </w:r>
      <w:r w:rsidR="00F934EA">
        <w:rPr>
          <w:rFonts w:ascii="Arial" w:hAnsi="Arial" w:cs="Arial"/>
        </w:rPr>
        <w:t>.</w:t>
      </w:r>
    </w:p>
    <w:p w14:paraId="64621917" w14:textId="77777777" w:rsidR="00180B78" w:rsidRPr="00180B78" w:rsidRDefault="00180B78" w:rsidP="00180B78">
      <w:pPr>
        <w:pStyle w:val="Body"/>
        <w:rPr>
          <w:rFonts w:ascii="Arial" w:hAnsi="Arial" w:cs="Arial"/>
        </w:rPr>
      </w:pPr>
      <w:r w:rsidRPr="00180B78">
        <w:rPr>
          <w:rFonts w:ascii="Arial" w:hAnsi="Arial" w:cs="Arial"/>
        </w:rPr>
        <w:t>This study is significant because it combines different computational methods to assess student engagement in a way that previous research has not yet done. By applying both Markov Chains and Machine Learning, we seek to offer a more comprehensive solution for predicting student performance and providing personalized learning interventions. The results are expected to guide future strategies for enhancing educational quality in virtual environments. Previous research has demonstrated how hybrid models can be utilized for personalized system development, such as matching job requirements w</w:t>
      </w:r>
      <w:r w:rsidR="007308FA">
        <w:rPr>
          <w:rFonts w:ascii="Arial" w:hAnsi="Arial" w:cs="Arial"/>
        </w:rPr>
        <w:t>ith resumes (Zaroor et al., 20</w:t>
      </w:r>
      <w:r w:rsidRPr="00180B78">
        <w:rPr>
          <w:rFonts w:ascii="Arial" w:hAnsi="Arial" w:cs="Arial"/>
        </w:rPr>
        <w:t>1</w:t>
      </w:r>
      <w:r w:rsidR="007308FA">
        <w:rPr>
          <w:rFonts w:ascii="Arial" w:hAnsi="Arial" w:cs="Arial"/>
        </w:rPr>
        <w:t>7</w:t>
      </w:r>
      <w:r w:rsidRPr="00180B78">
        <w:rPr>
          <w:rFonts w:ascii="Arial" w:hAnsi="Arial" w:cs="Arial"/>
        </w:rPr>
        <w:t>). Similarly, machine learning models have been successfully used to predict student success in online learning courses (</w:t>
      </w:r>
      <w:r w:rsidR="009D007E">
        <w:rPr>
          <w:rFonts w:ascii="Arial" w:hAnsi="Arial" w:cs="Arial"/>
        </w:rPr>
        <w:t>Alhothali</w:t>
      </w:r>
      <w:r w:rsidR="000E1EF8">
        <w:rPr>
          <w:rFonts w:ascii="Arial" w:hAnsi="Arial" w:cs="Arial"/>
        </w:rPr>
        <w:t xml:space="preserve"> et al., 2022</w:t>
      </w:r>
      <w:r w:rsidRPr="00180B78">
        <w:rPr>
          <w:rFonts w:ascii="Arial" w:hAnsi="Arial" w:cs="Arial"/>
        </w:rPr>
        <w:t>). Moreover, various machine learning methods have been compared for predicting student outcomes, highlighting their potential to optimize educational interventions (</w:t>
      </w:r>
      <w:r w:rsidR="00222DDA" w:rsidRPr="00222DDA">
        <w:rPr>
          <w:rFonts w:ascii="Arial" w:hAnsi="Arial" w:cs="Arial"/>
        </w:rPr>
        <w:t>Arévalo</w:t>
      </w:r>
      <w:r w:rsidR="00222DDA" w:rsidRPr="00222DDA">
        <w:rPr>
          <w:rFonts w:ascii="Cambria Math" w:hAnsi="Cambria Math" w:cs="Cambria Math"/>
        </w:rPr>
        <w:t>‑</w:t>
      </w:r>
      <w:r w:rsidR="00222DDA" w:rsidRPr="00222DDA">
        <w:rPr>
          <w:rFonts w:ascii="Arial" w:hAnsi="Arial" w:cs="Arial"/>
        </w:rPr>
        <w:t xml:space="preserve">Cordovilla </w:t>
      </w:r>
      <w:r w:rsidR="00222DDA">
        <w:rPr>
          <w:rFonts w:ascii="Arial" w:hAnsi="Arial" w:cs="Arial"/>
        </w:rPr>
        <w:t>et al., 2024</w:t>
      </w:r>
      <w:r w:rsidRPr="00180B78">
        <w:rPr>
          <w:rFonts w:ascii="Arial" w:hAnsi="Arial" w:cs="Arial"/>
        </w:rPr>
        <w:t>).</w:t>
      </w:r>
    </w:p>
    <w:p w14:paraId="226976C7" w14:textId="77777777" w:rsidR="002F7B2E" w:rsidRDefault="00A016F2" w:rsidP="00441B6F">
      <w:pPr>
        <w:pStyle w:val="AbstHead"/>
        <w:spacing w:after="0"/>
        <w:jc w:val="both"/>
        <w:rPr>
          <w:rFonts w:ascii="Arial" w:hAnsi="Arial" w:cs="Arial"/>
        </w:rPr>
      </w:pPr>
      <w:r w:rsidRPr="00A016F2">
        <w:rPr>
          <w:rFonts w:ascii="Arial" w:hAnsi="Arial" w:cs="Arial"/>
        </w:rPr>
        <w:t>2. LITERATURE REVIEW</w:t>
      </w:r>
    </w:p>
    <w:p w14:paraId="42FE6797" w14:textId="77777777" w:rsidR="00A016F2" w:rsidRDefault="00A016F2" w:rsidP="00441B6F">
      <w:pPr>
        <w:pStyle w:val="AbstHead"/>
        <w:spacing w:after="0"/>
        <w:jc w:val="both"/>
        <w:rPr>
          <w:rFonts w:ascii="Arial" w:hAnsi="Arial" w:cs="Arial"/>
        </w:rPr>
      </w:pPr>
    </w:p>
    <w:p w14:paraId="34D8E7A5" w14:textId="77777777" w:rsidR="00CE686D" w:rsidRPr="00CE686D" w:rsidRDefault="00C732BA" w:rsidP="00CE686D">
      <w:pPr>
        <w:pStyle w:val="Body"/>
        <w:rPr>
          <w:rFonts w:ascii="Arial" w:hAnsi="Arial" w:cs="Arial"/>
        </w:rPr>
      </w:pPr>
      <w:r w:rsidRPr="00C732BA">
        <w:rPr>
          <w:rFonts w:ascii="Arial" w:hAnsi="Arial" w:cs="Arial"/>
        </w:rPr>
        <w:t xml:space="preserve">Student engagement has been shown to be a key predictor of academic success in virtual classrooms. Studies emphasize that students who actively participate in discussions and </w:t>
      </w:r>
      <w:r w:rsidRPr="00C732BA">
        <w:rPr>
          <w:rFonts w:ascii="Arial" w:hAnsi="Arial" w:cs="Arial"/>
        </w:rPr>
        <w:lastRenderedPageBreak/>
        <w:t>course activities tend to achieve better academic outcomes (Spitzer, 2021; Moubayed et al., 2020). These findings underline the importance of strategies aimed at enhancing student involvement in virtual learning environments (VLEs).</w:t>
      </w:r>
    </w:p>
    <w:p w14:paraId="003B6BFA" w14:textId="6337B90F" w:rsidR="00DB7D91" w:rsidRDefault="00DB7D91" w:rsidP="00CE686D">
      <w:pPr>
        <w:pStyle w:val="Body"/>
        <w:rPr>
          <w:rFonts w:ascii="Arial" w:hAnsi="Arial" w:cs="Arial"/>
        </w:rPr>
      </w:pPr>
      <w:r w:rsidRPr="00DB7D91">
        <w:rPr>
          <w:rFonts w:ascii="Arial" w:hAnsi="Arial" w:cs="Arial"/>
        </w:rPr>
        <w:t>Hlosta et al. (2018) applied Markov Chains to model student activity in virtual learning environments, demonstrating the potential of such probabilistic models to visualise student transitions and to inform tutor interventions in real time. Similarly, Hansen et al. (2017) employed mixture Markov Chains to capture dynamic patterns of student (dis)engagement, offering valuable insights into temporal behavior shifts and risk detection.</w:t>
      </w:r>
      <w:r w:rsidR="005638FC">
        <w:rPr>
          <w:rFonts w:ascii="Arial" w:hAnsi="Arial" w:cs="Arial"/>
        </w:rPr>
        <w:t xml:space="preserve"> </w:t>
      </w:r>
      <w:r w:rsidR="005638FC" w:rsidRPr="005638FC">
        <w:rPr>
          <w:rFonts w:ascii="Arial" w:hAnsi="Arial" w:cs="Arial"/>
          <w:highlight w:val="yellow"/>
        </w:rPr>
        <w:t>Findings from these studies indicate that Markov-based approaches can effectively highlight persistence in high-engagement learners, identify volatility in medium-engagement groups, and detect the early stages of disengagement, thereby supporting timely pedagogical actions.</w:t>
      </w:r>
    </w:p>
    <w:p w14:paraId="02AA10CB" w14:textId="77777777" w:rsidR="00CD08C3" w:rsidRDefault="00CD08C3" w:rsidP="00CE686D">
      <w:pPr>
        <w:pStyle w:val="Body"/>
        <w:rPr>
          <w:rFonts w:ascii="Arial" w:hAnsi="Arial" w:cs="Arial"/>
        </w:rPr>
      </w:pPr>
      <w:r w:rsidRPr="00CD08C3">
        <w:rPr>
          <w:rFonts w:ascii="Arial" w:hAnsi="Arial" w:cs="Arial"/>
        </w:rPr>
        <w:t xml:space="preserve">Various studies have applied Hidden Markov Models (HMMs) to examine student interaction patterns within online learning platforms. For example, </w:t>
      </w:r>
      <w:r w:rsidRPr="00FB204E">
        <w:rPr>
          <w:rFonts w:ascii="Arial" w:hAnsi="Arial" w:cs="Arial"/>
          <w:bCs/>
        </w:rPr>
        <w:t>Verykios et al. (2024)</w:t>
      </w:r>
      <w:r w:rsidRPr="00FB204E">
        <w:rPr>
          <w:rFonts w:ascii="Arial" w:hAnsi="Arial" w:cs="Arial"/>
        </w:rPr>
        <w:t xml:space="preserve"> analyzed MOOC log data using HMMs to uncover latent behavioral states and transition patterns based on resource access and quiz performance. Similarly, </w:t>
      </w:r>
      <w:r w:rsidRPr="00FB204E">
        <w:rPr>
          <w:rFonts w:ascii="Arial" w:hAnsi="Arial" w:cs="Arial"/>
          <w:bCs/>
        </w:rPr>
        <w:t>Beal et al. (2007)</w:t>
      </w:r>
      <w:r w:rsidRPr="00FB204E">
        <w:rPr>
          <w:rFonts w:ascii="Arial" w:hAnsi="Arial" w:cs="Arial"/>
        </w:rPr>
        <w:t xml:space="preserve"> used HMMs to model engagement trajectories in intelligent tutoring systems, identifying distinct student behavior groups such as consistent engagement, sporadic involvement, and disengagement. </w:t>
      </w:r>
      <w:r w:rsidR="00834AEE" w:rsidRPr="00834AEE">
        <w:rPr>
          <w:rFonts w:ascii="Arial" w:hAnsi="Arial" w:cs="Arial"/>
        </w:rPr>
        <w:t>A recent investigation by Althibyani et al. (2024) employed Hidden Markov Models to identify engagement patterns and estimate the likelihood of student withdrawal in online education.</w:t>
      </w:r>
    </w:p>
    <w:p w14:paraId="5152ED59" w14:textId="77777777" w:rsidR="00852426" w:rsidRDefault="00852426" w:rsidP="00852426">
      <w:pPr>
        <w:pStyle w:val="Body"/>
        <w:rPr>
          <w:rFonts w:ascii="Arial" w:hAnsi="Arial" w:cs="Arial"/>
        </w:rPr>
      </w:pPr>
      <w:r w:rsidRPr="00852426">
        <w:rPr>
          <w:rFonts w:ascii="Arial" w:hAnsi="Arial" w:cs="Arial"/>
        </w:rPr>
        <w:t>Adnan et al. (2021) compared multiple machine learning models—including Random Forest and deep neural networks—to predict student risk at different stages of course completion, using behavioral and time-dependent da</w:t>
      </w:r>
      <w:r>
        <w:rPr>
          <w:rFonts w:ascii="Arial" w:hAnsi="Arial" w:cs="Arial"/>
        </w:rPr>
        <w:t xml:space="preserve">ta to enable early intervention. </w:t>
      </w:r>
      <w:r w:rsidRPr="00852426">
        <w:rPr>
          <w:rFonts w:ascii="Arial" w:hAnsi="Arial" w:cs="Arial"/>
        </w:rPr>
        <w:t>Similarly, Arévalo</w:t>
      </w:r>
      <w:r w:rsidRPr="00852426">
        <w:rPr>
          <w:rFonts w:ascii="Cambria Math" w:hAnsi="Cambria Math" w:cs="Cambria Math"/>
        </w:rPr>
        <w:t>‑</w:t>
      </w:r>
      <w:r w:rsidR="00042C66">
        <w:rPr>
          <w:rFonts w:ascii="Arial" w:hAnsi="Arial" w:cs="Arial"/>
        </w:rPr>
        <w:t>Cordovilla and</w:t>
      </w:r>
      <w:r w:rsidRPr="00852426">
        <w:rPr>
          <w:rFonts w:ascii="Arial" w:hAnsi="Arial" w:cs="Arial"/>
        </w:rPr>
        <w:t xml:space="preserve"> Peña (2024) compared Logistic Regression, Random Forest, SVM, and Neural Network models, demonstrating that combining LMS interaction data with external variables reliably predicts academic success and informs personalized interventions</w:t>
      </w:r>
      <w:r>
        <w:rPr>
          <w:rFonts w:ascii="Arial" w:hAnsi="Arial" w:cs="Arial"/>
        </w:rPr>
        <w:t>.</w:t>
      </w:r>
    </w:p>
    <w:p w14:paraId="756860FC" w14:textId="77777777" w:rsidR="0001707A" w:rsidRDefault="00F64D25" w:rsidP="00CE686D">
      <w:pPr>
        <w:pStyle w:val="Body"/>
        <w:rPr>
          <w:rFonts w:ascii="Arial" w:hAnsi="Arial" w:cs="Arial"/>
        </w:rPr>
      </w:pPr>
      <w:r>
        <w:rPr>
          <w:rFonts w:ascii="Arial" w:hAnsi="Arial" w:cs="Arial"/>
        </w:rPr>
        <w:t>Fazil et al.</w:t>
      </w:r>
      <w:r w:rsidR="0001707A" w:rsidRPr="0001707A">
        <w:rPr>
          <w:rFonts w:ascii="Arial" w:hAnsi="Arial" w:cs="Arial"/>
        </w:rPr>
        <w:t xml:space="preserve"> (2024) explored the application of artificial intelligence (AI) in predicting student behavior and academic outcomes. Their work combined deep learning techniques with traditional predictive models to improve the accuracy of performance predictions. Their study suggested that AI-powered systems could offer personalized learning experiences by tailoring course content based on the student’s engagement and predicted performance</w:t>
      </w:r>
      <w:r w:rsidR="0001707A">
        <w:rPr>
          <w:rFonts w:ascii="Arial" w:hAnsi="Arial" w:cs="Arial"/>
        </w:rPr>
        <w:t>.</w:t>
      </w:r>
    </w:p>
    <w:p w14:paraId="405D9284" w14:textId="77777777" w:rsidR="00CE686D" w:rsidRPr="00CE686D" w:rsidRDefault="002C0BBA" w:rsidP="00CE686D">
      <w:pPr>
        <w:pStyle w:val="Body"/>
        <w:rPr>
          <w:rFonts w:ascii="Arial" w:hAnsi="Arial" w:cs="Arial"/>
        </w:rPr>
      </w:pPr>
      <w:r w:rsidRPr="002C0BBA">
        <w:rPr>
          <w:rFonts w:ascii="Arial" w:hAnsi="Arial" w:cs="Arial"/>
        </w:rPr>
        <w:t>Palani et al. (2021) used unsupervised clustering techniques on the Open University Learning Analytics (OULAD) dataset to differentiate levels of student engagement and academic performance. Their findings demonstrated that clustering models can effectively identify low-engagement students early in the course cycle, providing actionable profiles for targeted pedagogical interventions.</w:t>
      </w:r>
      <w:r w:rsidR="006E1875" w:rsidRPr="006E1875">
        <w:t xml:space="preserve"> </w:t>
      </w:r>
      <w:r w:rsidR="006E1875" w:rsidRPr="006E1875">
        <w:rPr>
          <w:rFonts w:ascii="Arial" w:hAnsi="Arial" w:cs="Arial"/>
        </w:rPr>
        <w:t>Kim et al. (2023) used k</w:t>
      </w:r>
      <w:r w:rsidR="006E1875" w:rsidRPr="006E1875">
        <w:rPr>
          <w:rFonts w:ascii="Cambria Math" w:hAnsi="Cambria Math" w:cs="Cambria Math"/>
        </w:rPr>
        <w:t>‑</w:t>
      </w:r>
      <w:r w:rsidR="006E1875" w:rsidRPr="006E1875">
        <w:rPr>
          <w:rFonts w:ascii="Arial" w:hAnsi="Arial" w:cs="Arial"/>
        </w:rPr>
        <w:t>means clustering in an asynchronous online learning setting to analyze clusters based on behavioral, emotional, and cognitive aspects of engagement, and found significant correlations between these clusters and academic outcomes.</w:t>
      </w:r>
    </w:p>
    <w:p w14:paraId="60CAAC3D" w14:textId="77777777" w:rsidR="009062DD" w:rsidRDefault="002032CD" w:rsidP="009062DD">
      <w:pPr>
        <w:pStyle w:val="AbstHead"/>
        <w:spacing w:after="0"/>
        <w:jc w:val="both"/>
        <w:rPr>
          <w:rFonts w:ascii="Arial" w:hAnsi="Arial" w:cs="Arial"/>
          <w:b w:val="0"/>
          <w:caps w:val="0"/>
          <w:sz w:val="20"/>
        </w:rPr>
      </w:pPr>
      <w:r w:rsidRPr="002032CD">
        <w:rPr>
          <w:rFonts w:ascii="Arial" w:hAnsi="Arial" w:cs="Arial"/>
          <w:b w:val="0"/>
          <w:caps w:val="0"/>
          <w:sz w:val="20"/>
        </w:rPr>
        <w:lastRenderedPageBreak/>
        <w:t>Kalita and their team in 2025 used a deep learning model that relied on a Bidirectional LSTM network to forecast how students would perform in their second term. Their model achieved an average accuracy of 88.23%, which is higher than other traditional models such as CatBoost, XGBoost, HistGradientBoosting, and LightGBM. To better understand the model's results, they used SHAP values, which help explain how various student behaviors impact performance in complicated and non-linear ways (Kalita, 2025).</w:t>
      </w:r>
    </w:p>
    <w:p w14:paraId="5A3E9BA4" w14:textId="77777777" w:rsidR="002032CD" w:rsidRDefault="002032CD" w:rsidP="009062DD">
      <w:pPr>
        <w:pStyle w:val="AbstHead"/>
        <w:spacing w:after="0"/>
        <w:jc w:val="both"/>
        <w:rPr>
          <w:rFonts w:ascii="Arial" w:hAnsi="Arial" w:cs="Arial"/>
          <w:b w:val="0"/>
          <w:caps w:val="0"/>
          <w:sz w:val="20"/>
        </w:rPr>
      </w:pPr>
    </w:p>
    <w:p w14:paraId="2EE5C99B" w14:textId="77777777" w:rsidR="00951E4D" w:rsidRDefault="00951E4D" w:rsidP="00951E4D">
      <w:pPr>
        <w:pStyle w:val="AbstHead"/>
        <w:spacing w:after="0"/>
        <w:jc w:val="both"/>
        <w:rPr>
          <w:rFonts w:ascii="Arial" w:hAnsi="Arial" w:cs="Arial"/>
        </w:rPr>
      </w:pPr>
      <w:r>
        <w:rPr>
          <w:rFonts w:ascii="Arial" w:hAnsi="Arial" w:cs="Arial"/>
        </w:rPr>
        <w:t>3</w:t>
      </w:r>
      <w:r w:rsidRPr="00A016F2">
        <w:rPr>
          <w:rFonts w:ascii="Arial" w:hAnsi="Arial" w:cs="Arial"/>
        </w:rPr>
        <w:t xml:space="preserve">. </w:t>
      </w:r>
      <w:r>
        <w:rPr>
          <w:rFonts w:ascii="Arial" w:hAnsi="Arial" w:cs="Arial"/>
        </w:rPr>
        <w:t>RESEARCH GAP</w:t>
      </w:r>
    </w:p>
    <w:p w14:paraId="40740FC8" w14:textId="77777777" w:rsidR="00951E4D" w:rsidRDefault="00951E4D" w:rsidP="00951E4D">
      <w:pPr>
        <w:pStyle w:val="AbstHead"/>
        <w:spacing w:after="0"/>
        <w:jc w:val="both"/>
        <w:rPr>
          <w:rFonts w:ascii="Arial" w:hAnsi="Arial" w:cs="Arial"/>
        </w:rPr>
      </w:pPr>
    </w:p>
    <w:p w14:paraId="3F8E48A5" w14:textId="77777777" w:rsidR="00D40C6A" w:rsidRDefault="00A6281B" w:rsidP="00A6281B">
      <w:pPr>
        <w:pStyle w:val="AbstHead"/>
        <w:jc w:val="both"/>
        <w:rPr>
          <w:rFonts w:ascii="Arial" w:hAnsi="Arial" w:cs="Arial"/>
          <w:b w:val="0"/>
          <w:caps w:val="0"/>
          <w:sz w:val="20"/>
        </w:rPr>
      </w:pPr>
      <w:r w:rsidRPr="00A6281B">
        <w:rPr>
          <w:rFonts w:ascii="Arial" w:hAnsi="Arial" w:cs="Arial"/>
          <w:b w:val="0"/>
          <w:caps w:val="0"/>
          <w:sz w:val="20"/>
        </w:rPr>
        <w:t>Despite the considerable progress in predicting student success and analyzing behavior in virtual learning environments (VLEs) using models such as Markov Chains and Machine Learning (ML) algorithms, several research gaps remain unaddressed. Existing studies have predominantly focused on predicting student performance based on engagement metrics, such as participation in forums and assignment completion, relying on methods like Decision Trees, Support Vector Machines (SVM), and basic Hidden Markov Models (HMMs) (</w:t>
      </w:r>
      <w:r w:rsidR="0095067B">
        <w:rPr>
          <w:rFonts w:ascii="Arial" w:hAnsi="Arial" w:cs="Arial"/>
          <w:b w:val="0"/>
          <w:caps w:val="0"/>
          <w:sz w:val="20"/>
        </w:rPr>
        <w:t>Jaziar</w:t>
      </w:r>
      <w:r w:rsidR="00E84C0F">
        <w:rPr>
          <w:rFonts w:ascii="Arial" w:hAnsi="Arial" w:cs="Arial"/>
          <w:b w:val="0"/>
          <w:caps w:val="0"/>
          <w:sz w:val="20"/>
        </w:rPr>
        <w:t xml:space="preserve"> et al., 2020</w:t>
      </w:r>
      <w:r w:rsidRPr="00A6281B">
        <w:rPr>
          <w:rFonts w:ascii="Arial" w:hAnsi="Arial" w:cs="Arial"/>
          <w:b w:val="0"/>
          <w:caps w:val="0"/>
          <w:sz w:val="20"/>
        </w:rPr>
        <w:t xml:space="preserve">). </w:t>
      </w:r>
      <w:r w:rsidR="00D40C6A" w:rsidRPr="00D40C6A">
        <w:rPr>
          <w:rFonts w:ascii="Arial" w:hAnsi="Arial" w:cs="Arial"/>
          <w:b w:val="0"/>
          <w:caps w:val="0"/>
          <w:sz w:val="20"/>
        </w:rPr>
        <w:t>However, these approaches often fail to capture the temporal dynamics of student behavior, such as shifts in motivation and engagement over time, which are critical for accurately predicting student success in online learning environments (Beal et al., 2007; Verykios et al., 2024).</w:t>
      </w:r>
    </w:p>
    <w:p w14:paraId="5085A560" w14:textId="77777777" w:rsidR="00A6281B" w:rsidRPr="00A6281B" w:rsidRDefault="00A6281B" w:rsidP="00A6281B">
      <w:pPr>
        <w:pStyle w:val="AbstHead"/>
        <w:jc w:val="both"/>
        <w:rPr>
          <w:rFonts w:ascii="Arial" w:hAnsi="Arial" w:cs="Arial"/>
          <w:b w:val="0"/>
          <w:caps w:val="0"/>
          <w:sz w:val="20"/>
        </w:rPr>
      </w:pPr>
      <w:r w:rsidRPr="00A6281B">
        <w:rPr>
          <w:rFonts w:ascii="Arial" w:hAnsi="Arial" w:cs="Arial"/>
          <w:b w:val="0"/>
          <w:caps w:val="0"/>
          <w:sz w:val="20"/>
        </w:rPr>
        <w:t xml:space="preserve">Moreover, many of the current models predominantly rely on observable data, such as participation rates and completion times, neglecting the underlying psychological and social factors that influence student behavior. For example, studies by </w:t>
      </w:r>
      <w:r w:rsidR="000055CA" w:rsidRPr="000055CA">
        <w:rPr>
          <w:rFonts w:ascii="Arial" w:hAnsi="Arial" w:cs="Arial"/>
          <w:b w:val="0"/>
          <w:caps w:val="0"/>
          <w:sz w:val="20"/>
        </w:rPr>
        <w:t>Adnan et al. (2021)</w:t>
      </w:r>
      <w:r w:rsidRPr="00A6281B">
        <w:rPr>
          <w:rFonts w:ascii="Arial" w:hAnsi="Arial" w:cs="Arial"/>
          <w:b w:val="0"/>
          <w:caps w:val="0"/>
          <w:sz w:val="20"/>
        </w:rPr>
        <w:t xml:space="preserve"> have shown that engagement in online platforms is not only determined by academic actions but also by emotional and cognitive involvement, which existing models fail to integrate. This limitation prevents these models from providing a comprehensive understanding of student engagement, leading to inaccurate predictions for students who may be motivated but less visible in traditional engagement metrics.</w:t>
      </w:r>
    </w:p>
    <w:p w14:paraId="32263FFF" w14:textId="77777777" w:rsidR="00A6281B" w:rsidRPr="00E547B6" w:rsidRDefault="00A6281B" w:rsidP="00E547B6">
      <w:pPr>
        <w:jc w:val="both"/>
        <w:rPr>
          <w:rFonts w:ascii="Arial" w:hAnsi="Arial" w:cs="Arial"/>
        </w:rPr>
      </w:pPr>
      <w:r w:rsidRPr="00A6281B">
        <w:rPr>
          <w:rFonts w:ascii="Arial" w:hAnsi="Arial" w:cs="Arial"/>
        </w:rPr>
        <w:t xml:space="preserve">Additionally, many studies still depend on small datasets, which limit the generalizability and accuracy of predictions in large-scale online courses. This restriction hampers the ability to develop models that can scale effectively to diverse and large student populations, reducing their applicability to real-world educational settings (Mgarbi et al., 2023). Furthermore, </w:t>
      </w:r>
      <w:r w:rsidR="00AA0FD5">
        <w:rPr>
          <w:rFonts w:ascii="Arial" w:hAnsi="Arial" w:cs="Arial"/>
        </w:rPr>
        <w:t>d</w:t>
      </w:r>
      <w:r w:rsidR="00E547B6" w:rsidRPr="00E547B6">
        <w:rPr>
          <w:rFonts w:ascii="Arial" w:hAnsi="Arial" w:cs="Arial"/>
        </w:rPr>
        <w:t>eep learning models have shown promise in other fields, but their application in student performance prediction has been limited due to computational complexity and the need for large, labeled datasets (Sein Minn, 2020).</w:t>
      </w:r>
      <w:r w:rsidR="00E547B6">
        <w:rPr>
          <w:rFonts w:ascii="Arial" w:hAnsi="Arial" w:cs="Arial"/>
        </w:rPr>
        <w:t xml:space="preserve"> </w:t>
      </w:r>
      <w:r w:rsidRPr="00A6281B">
        <w:rPr>
          <w:rFonts w:ascii="Arial" w:hAnsi="Arial" w:cs="Arial"/>
        </w:rPr>
        <w:t>These challenges are compounded by the need for models that can handle complex student behaviors across various virtual learning environments.</w:t>
      </w:r>
    </w:p>
    <w:p w14:paraId="0071F79A" w14:textId="77777777" w:rsidR="00A6281B" w:rsidRPr="00A6281B" w:rsidRDefault="00A6281B" w:rsidP="00A6281B">
      <w:pPr>
        <w:pStyle w:val="AbstHead"/>
        <w:jc w:val="both"/>
        <w:rPr>
          <w:rFonts w:ascii="Arial" w:hAnsi="Arial" w:cs="Arial"/>
          <w:b w:val="0"/>
          <w:caps w:val="0"/>
          <w:sz w:val="20"/>
        </w:rPr>
      </w:pPr>
      <w:r w:rsidRPr="00A6281B">
        <w:rPr>
          <w:rFonts w:ascii="Arial" w:hAnsi="Arial" w:cs="Arial"/>
          <w:b w:val="0"/>
          <w:caps w:val="0"/>
          <w:sz w:val="20"/>
        </w:rPr>
        <w:lastRenderedPageBreak/>
        <w:t xml:space="preserve">The existing methods also fail to provide personalized learning interventions, which are crucial for improving student engagement and retention in VLEs. </w:t>
      </w:r>
      <w:r w:rsidR="00EA5132">
        <w:rPr>
          <w:rFonts w:ascii="Arial" w:hAnsi="Arial" w:cs="Arial"/>
          <w:b w:val="0"/>
          <w:caps w:val="0"/>
          <w:sz w:val="20"/>
        </w:rPr>
        <w:t>Alhothali et al. (2022</w:t>
      </w:r>
      <w:r w:rsidRPr="00A6281B">
        <w:rPr>
          <w:rFonts w:ascii="Arial" w:hAnsi="Arial" w:cs="Arial"/>
          <w:b w:val="0"/>
          <w:caps w:val="0"/>
          <w:sz w:val="20"/>
        </w:rPr>
        <w:t xml:space="preserve">) and </w:t>
      </w:r>
      <w:r w:rsidR="00222DDA" w:rsidRPr="00222DDA">
        <w:rPr>
          <w:rFonts w:ascii="Arial" w:hAnsi="Arial" w:cs="Arial"/>
          <w:b w:val="0"/>
          <w:caps w:val="0"/>
          <w:sz w:val="20"/>
        </w:rPr>
        <w:t>Arévalo</w:t>
      </w:r>
      <w:r w:rsidR="00222DDA" w:rsidRPr="00222DDA">
        <w:rPr>
          <w:rFonts w:ascii="Cambria Math" w:hAnsi="Cambria Math" w:cs="Cambria Math"/>
          <w:b w:val="0"/>
          <w:caps w:val="0"/>
          <w:sz w:val="20"/>
        </w:rPr>
        <w:t>‑</w:t>
      </w:r>
      <w:r w:rsidR="00222DDA" w:rsidRPr="00222DDA">
        <w:rPr>
          <w:rFonts w:ascii="Arial" w:hAnsi="Arial" w:cs="Arial"/>
          <w:b w:val="0"/>
          <w:caps w:val="0"/>
          <w:sz w:val="20"/>
        </w:rPr>
        <w:t xml:space="preserve">Cordovilla </w:t>
      </w:r>
      <w:r w:rsidR="00222DDA">
        <w:rPr>
          <w:rFonts w:ascii="Arial" w:hAnsi="Arial" w:cs="Arial"/>
          <w:b w:val="0"/>
          <w:caps w:val="0"/>
          <w:sz w:val="20"/>
        </w:rPr>
        <w:t>et al. (2024</w:t>
      </w:r>
      <w:r w:rsidRPr="00A6281B">
        <w:rPr>
          <w:rFonts w:ascii="Arial" w:hAnsi="Arial" w:cs="Arial"/>
          <w:b w:val="0"/>
          <w:caps w:val="0"/>
          <w:sz w:val="20"/>
        </w:rPr>
        <w:t>) have demonstrated that machine learning models can predict outcomes based on behavioral data, but there is a lack of integration of personalized intervention strategies based on individual student profiles. This gap limits the ability of educational platforms to adapt learning experiences to meet the specific needs of students.</w:t>
      </w:r>
    </w:p>
    <w:p w14:paraId="2F3479E1" w14:textId="77777777" w:rsidR="00A6281B" w:rsidRPr="00A6281B" w:rsidRDefault="00A6281B" w:rsidP="00A6281B">
      <w:pPr>
        <w:pStyle w:val="AbstHead"/>
        <w:jc w:val="both"/>
        <w:rPr>
          <w:rFonts w:ascii="Arial" w:hAnsi="Arial" w:cs="Arial"/>
          <w:b w:val="0"/>
          <w:caps w:val="0"/>
          <w:sz w:val="20"/>
        </w:rPr>
      </w:pPr>
      <w:r w:rsidRPr="00A6281B">
        <w:rPr>
          <w:rFonts w:ascii="Arial" w:hAnsi="Arial" w:cs="Arial"/>
          <w:b w:val="0"/>
          <w:caps w:val="0"/>
          <w:sz w:val="20"/>
        </w:rPr>
        <w:t>In conclusion, this study seeks to address these gaps by integrating Markov Chains with Machine Learning algorithms, such as Deep Learning models, to capture the temporal dynamics of student behavior and provide a more personalized and accurate prediction of student success. By combining the strengths of HMMs for temporal analysis and Machine Learning for pattern recognition, this hybrid approach will offer a more comprehensive solution to understanding student behavior in VLEs, ensuring better predictions and personalized learning experiences.</w:t>
      </w:r>
    </w:p>
    <w:p w14:paraId="0B3489A7" w14:textId="77777777" w:rsidR="007F7B32" w:rsidRDefault="00951E4D" w:rsidP="00A6281B">
      <w:pPr>
        <w:pStyle w:val="AbstHead"/>
        <w:spacing w:after="0"/>
        <w:jc w:val="both"/>
        <w:rPr>
          <w:rFonts w:ascii="Arial" w:hAnsi="Arial" w:cs="Arial"/>
        </w:rPr>
      </w:pPr>
      <w:r>
        <w:rPr>
          <w:rFonts w:ascii="Arial" w:hAnsi="Arial" w:cs="Arial"/>
        </w:rPr>
        <w:t>4</w:t>
      </w:r>
      <w:r w:rsidR="00902823">
        <w:rPr>
          <w:rFonts w:ascii="Arial" w:hAnsi="Arial" w:cs="Arial"/>
        </w:rPr>
        <w:t xml:space="preserve">. </w:t>
      </w:r>
      <w:r w:rsidR="006B57D0">
        <w:rPr>
          <w:rFonts w:ascii="Arial" w:hAnsi="Arial" w:cs="Arial"/>
        </w:rPr>
        <w:t>methodology</w:t>
      </w:r>
    </w:p>
    <w:p w14:paraId="799193A2" w14:textId="77777777" w:rsidR="00790ADA" w:rsidRPr="00FB3A86" w:rsidRDefault="00790ADA" w:rsidP="00441B6F">
      <w:pPr>
        <w:pStyle w:val="AbstHead"/>
        <w:spacing w:after="0"/>
        <w:jc w:val="both"/>
        <w:rPr>
          <w:rFonts w:ascii="Arial" w:hAnsi="Arial" w:cs="Arial"/>
        </w:rPr>
      </w:pPr>
    </w:p>
    <w:p w14:paraId="60D9ACBE" w14:textId="77777777" w:rsidR="00E65746" w:rsidRDefault="00A473C9" w:rsidP="00E65746">
      <w:pPr>
        <w:pStyle w:val="Body"/>
        <w:spacing w:after="0"/>
        <w:rPr>
          <w:rFonts w:ascii="Arial" w:hAnsi="Arial" w:cs="Arial"/>
        </w:rPr>
      </w:pPr>
      <w:r w:rsidRPr="00A473C9">
        <w:rPr>
          <w:rFonts w:ascii="Arial" w:hAnsi="Arial" w:cs="Arial"/>
        </w:rPr>
        <w:t xml:space="preserve">In this study, an experimental framework is used to develop and test a hybrid ensemble model </w:t>
      </w:r>
      <w:r w:rsidR="00E65746" w:rsidRPr="00A473C9">
        <w:rPr>
          <w:rFonts w:ascii="Arial" w:hAnsi="Arial" w:cs="Arial"/>
        </w:rPr>
        <w:t>for</w:t>
      </w:r>
      <w:r w:rsidR="00E65746" w:rsidRPr="00E65746">
        <w:rPr>
          <w:rFonts w:ascii="Arial" w:hAnsi="Arial" w:cs="Arial"/>
        </w:rPr>
        <w:t xml:space="preserve"> predicting student success and engagement in virtual learning environments (VLEs). The model integrates </w:t>
      </w:r>
      <w:r w:rsidR="00E65746" w:rsidRPr="00E65746">
        <w:rPr>
          <w:rFonts w:ascii="Arial" w:hAnsi="Arial" w:cs="Arial"/>
          <w:bCs/>
        </w:rPr>
        <w:t>Markov Chains</w:t>
      </w:r>
      <w:r w:rsidR="00E65746" w:rsidRPr="00E65746">
        <w:rPr>
          <w:rFonts w:ascii="Arial" w:hAnsi="Arial" w:cs="Arial"/>
        </w:rPr>
        <w:t xml:space="preserve">, </w:t>
      </w:r>
      <w:r w:rsidR="00E65746" w:rsidRPr="00E65746">
        <w:rPr>
          <w:rFonts w:ascii="Arial" w:hAnsi="Arial" w:cs="Arial"/>
          <w:bCs/>
        </w:rPr>
        <w:t>Machine Learning (ML)</w:t>
      </w:r>
      <w:r w:rsidR="00E65746" w:rsidRPr="00E65746">
        <w:rPr>
          <w:rFonts w:ascii="Arial" w:hAnsi="Arial" w:cs="Arial"/>
        </w:rPr>
        <w:t xml:space="preserve"> algorithms, and </w:t>
      </w:r>
      <w:r w:rsidR="00E65746" w:rsidRPr="00E65746">
        <w:rPr>
          <w:rFonts w:ascii="Arial" w:hAnsi="Arial" w:cs="Arial"/>
          <w:bCs/>
        </w:rPr>
        <w:t>Hidden Markov Models (HMMs)</w:t>
      </w:r>
      <w:r w:rsidR="00E65746" w:rsidRPr="00E65746">
        <w:rPr>
          <w:rFonts w:ascii="Arial" w:hAnsi="Arial" w:cs="Arial"/>
        </w:rPr>
        <w:t xml:space="preserve"> to enhance the prediction of student behavior and academic performance. The methodology addresses the limitations of existing models, which often fail to capture the dynamic and evolving nature of student engagement in VLEs.</w:t>
      </w:r>
    </w:p>
    <w:p w14:paraId="19C4D310" w14:textId="77777777" w:rsidR="00A615DA" w:rsidRPr="00E65746" w:rsidRDefault="00A615DA" w:rsidP="00E65746">
      <w:pPr>
        <w:pStyle w:val="Body"/>
        <w:spacing w:after="0"/>
        <w:rPr>
          <w:rFonts w:ascii="Arial" w:hAnsi="Arial" w:cs="Arial"/>
        </w:rPr>
      </w:pPr>
    </w:p>
    <w:p w14:paraId="2EE1BEB7" w14:textId="77777777" w:rsidR="00A615DA" w:rsidRPr="002D5459" w:rsidRDefault="00A615DA" w:rsidP="00A615DA">
      <w:pPr>
        <w:pStyle w:val="AbstHead"/>
        <w:spacing w:after="0"/>
        <w:jc w:val="both"/>
        <w:rPr>
          <w:rFonts w:ascii="Arial" w:hAnsi="Arial" w:cs="Arial"/>
          <w:caps w:val="0"/>
        </w:rPr>
      </w:pPr>
      <w:r w:rsidRPr="002D5459">
        <w:rPr>
          <w:rFonts w:ascii="Arial" w:hAnsi="Arial" w:cs="Arial"/>
          <w:caps w:val="0"/>
        </w:rPr>
        <w:t>4.1 D</w:t>
      </w:r>
      <w:r w:rsidR="002B1925">
        <w:rPr>
          <w:rFonts w:ascii="Arial" w:hAnsi="Arial" w:cs="Arial"/>
          <w:caps w:val="0"/>
        </w:rPr>
        <w:t>ata C</w:t>
      </w:r>
      <w:r>
        <w:rPr>
          <w:rFonts w:ascii="Arial" w:hAnsi="Arial" w:cs="Arial"/>
          <w:caps w:val="0"/>
        </w:rPr>
        <w:t>ollection</w:t>
      </w:r>
    </w:p>
    <w:p w14:paraId="255E4B46" w14:textId="77777777" w:rsidR="009B2C0A" w:rsidRPr="002D5459" w:rsidRDefault="009B2C0A" w:rsidP="00441B6F">
      <w:pPr>
        <w:pStyle w:val="Body"/>
        <w:spacing w:after="0"/>
        <w:rPr>
          <w:rFonts w:ascii="Arial" w:hAnsi="Arial" w:cs="Arial"/>
          <w:b/>
          <w:sz w:val="22"/>
        </w:rPr>
      </w:pPr>
    </w:p>
    <w:p w14:paraId="2D7A7946" w14:textId="77777777" w:rsidR="00B95236" w:rsidRDefault="009B2C0A" w:rsidP="00441B6F">
      <w:pPr>
        <w:pStyle w:val="Body"/>
        <w:spacing w:after="0"/>
        <w:rPr>
          <w:rFonts w:ascii="Arial" w:hAnsi="Arial" w:cs="Arial"/>
        </w:rPr>
      </w:pPr>
      <w:r w:rsidRPr="009B2C0A">
        <w:rPr>
          <w:rFonts w:ascii="Arial" w:hAnsi="Arial" w:cs="Arial"/>
        </w:rPr>
        <w:t>The dataset used in this study is the Student Engagement Dataset collected from an online learning platform, which includes data from 500 students enrolled in various courses. The dataset contains student behavior logs, including engagement metrics such as attendance rates, forum participation, time spent on assignments, and completion rates. Additionally, academic performance is recorded based on final exam scores and assignment grades. This data is structured in a CSV format with two main columns: Student ID (for unique identification) and Behavioral and Performance Metrics.</w:t>
      </w:r>
    </w:p>
    <w:p w14:paraId="4E8B38C9" w14:textId="77777777" w:rsidR="00790ADA" w:rsidRDefault="00790ADA" w:rsidP="00441B6F">
      <w:pPr>
        <w:pStyle w:val="Body"/>
        <w:spacing w:after="0"/>
        <w:rPr>
          <w:rFonts w:ascii="Arial" w:hAnsi="Arial" w:cs="Arial"/>
        </w:rPr>
      </w:pPr>
    </w:p>
    <w:p w14:paraId="4E0E665D" w14:textId="77777777" w:rsidR="006066D6" w:rsidRPr="002D5459" w:rsidRDefault="006066D6" w:rsidP="006066D6">
      <w:pPr>
        <w:pStyle w:val="AbstHead"/>
        <w:spacing w:after="0"/>
        <w:jc w:val="both"/>
        <w:rPr>
          <w:rFonts w:ascii="Arial" w:hAnsi="Arial" w:cs="Arial"/>
          <w:caps w:val="0"/>
        </w:rPr>
      </w:pPr>
      <w:r w:rsidRPr="002D5459">
        <w:rPr>
          <w:rFonts w:ascii="Arial" w:hAnsi="Arial" w:cs="Arial"/>
          <w:caps w:val="0"/>
        </w:rPr>
        <w:t>4.2 D</w:t>
      </w:r>
      <w:r>
        <w:rPr>
          <w:rFonts w:ascii="Arial" w:hAnsi="Arial" w:cs="Arial"/>
          <w:caps w:val="0"/>
        </w:rPr>
        <w:t xml:space="preserve">ata </w:t>
      </w:r>
      <w:r w:rsidR="00957791">
        <w:rPr>
          <w:rFonts w:ascii="Arial" w:hAnsi="Arial" w:cs="Arial"/>
          <w:caps w:val="0"/>
        </w:rPr>
        <w:t>Analysis</w:t>
      </w:r>
    </w:p>
    <w:p w14:paraId="1979D47B" w14:textId="77777777" w:rsidR="006066D6" w:rsidRDefault="006066D6" w:rsidP="00441B6F">
      <w:pPr>
        <w:pStyle w:val="Body"/>
        <w:spacing w:after="0"/>
        <w:rPr>
          <w:rFonts w:ascii="Arial" w:hAnsi="Arial" w:cs="Arial"/>
        </w:rPr>
      </w:pPr>
    </w:p>
    <w:p w14:paraId="71D92C3A" w14:textId="77777777" w:rsidR="00FB5080" w:rsidRPr="00FB5080" w:rsidRDefault="00FB5080" w:rsidP="00FB5080">
      <w:pPr>
        <w:pStyle w:val="Body"/>
        <w:spacing w:after="0"/>
        <w:rPr>
          <w:rFonts w:ascii="Arial" w:hAnsi="Arial" w:cs="Arial"/>
        </w:rPr>
      </w:pPr>
      <w:r w:rsidRPr="00FB5080">
        <w:rPr>
          <w:rFonts w:ascii="Arial" w:hAnsi="Arial" w:cs="Arial"/>
        </w:rPr>
        <w:t xml:space="preserve">To ensure data quality, several preprocessing steps were performed. The initial step involved </w:t>
      </w:r>
      <w:r w:rsidRPr="00FB5080">
        <w:rPr>
          <w:rFonts w:ascii="Arial" w:hAnsi="Arial" w:cs="Arial"/>
          <w:bCs/>
        </w:rPr>
        <w:t>data cleaning</w:t>
      </w:r>
      <w:r w:rsidRPr="00FB5080">
        <w:rPr>
          <w:rFonts w:ascii="Arial" w:hAnsi="Arial" w:cs="Arial"/>
        </w:rPr>
        <w:t xml:space="preserve">, where missing values were imputed using the mean imputation method. Then, </w:t>
      </w:r>
      <w:r w:rsidRPr="00FB5080">
        <w:rPr>
          <w:rFonts w:ascii="Arial" w:hAnsi="Arial" w:cs="Arial"/>
          <w:bCs/>
        </w:rPr>
        <w:t>feature extraction</w:t>
      </w:r>
      <w:r w:rsidRPr="00FB5080">
        <w:rPr>
          <w:rFonts w:ascii="Arial" w:hAnsi="Arial" w:cs="Arial"/>
        </w:rPr>
        <w:t xml:space="preserve"> was performed to identify key variables that affect student success, such as participation frequency, engagement with course content, and time spent on assignments. For normalization, </w:t>
      </w:r>
      <w:r w:rsidRPr="00FB5080">
        <w:rPr>
          <w:rFonts w:ascii="Arial" w:hAnsi="Arial" w:cs="Arial"/>
          <w:bCs/>
        </w:rPr>
        <w:t>scaling</w:t>
      </w:r>
      <w:r w:rsidRPr="00FB5080">
        <w:rPr>
          <w:rFonts w:ascii="Arial" w:hAnsi="Arial" w:cs="Arial"/>
        </w:rPr>
        <w:t xml:space="preserve"> was applied to all numerical features to ensure they fall within the same range. Text data from student interactions in discussion forums was processed using </w:t>
      </w:r>
      <w:r w:rsidRPr="00FB5080">
        <w:rPr>
          <w:rFonts w:ascii="Arial" w:hAnsi="Arial" w:cs="Arial"/>
          <w:bCs/>
        </w:rPr>
        <w:t>tokenization</w:t>
      </w:r>
      <w:r w:rsidRPr="00FB5080">
        <w:rPr>
          <w:rFonts w:ascii="Arial" w:hAnsi="Arial" w:cs="Arial"/>
        </w:rPr>
        <w:t xml:space="preserve">, </w:t>
      </w:r>
      <w:r w:rsidRPr="00FB5080">
        <w:rPr>
          <w:rFonts w:ascii="Arial" w:hAnsi="Arial" w:cs="Arial"/>
          <w:bCs/>
        </w:rPr>
        <w:t>stemming</w:t>
      </w:r>
      <w:r w:rsidRPr="00FB5080">
        <w:rPr>
          <w:rFonts w:ascii="Arial" w:hAnsi="Arial" w:cs="Arial"/>
        </w:rPr>
        <w:t xml:space="preserve">, and </w:t>
      </w:r>
      <w:r w:rsidRPr="00FB5080">
        <w:rPr>
          <w:rFonts w:ascii="Arial" w:hAnsi="Arial" w:cs="Arial"/>
          <w:bCs/>
        </w:rPr>
        <w:t>removal of stop words</w:t>
      </w:r>
      <w:r w:rsidRPr="00FB5080">
        <w:rPr>
          <w:rFonts w:ascii="Arial" w:hAnsi="Arial" w:cs="Arial"/>
        </w:rPr>
        <w:t xml:space="preserve"> to reduce noise and improve model performance. After preprocessing, the data was split into three sets: </w:t>
      </w:r>
      <w:r w:rsidRPr="00FB5080">
        <w:rPr>
          <w:rFonts w:ascii="Arial" w:hAnsi="Arial" w:cs="Arial"/>
          <w:bCs/>
        </w:rPr>
        <w:t>training</w:t>
      </w:r>
      <w:r w:rsidRPr="00FB5080">
        <w:rPr>
          <w:rFonts w:ascii="Arial" w:hAnsi="Arial" w:cs="Arial"/>
        </w:rPr>
        <w:t xml:space="preserve">, </w:t>
      </w:r>
      <w:r w:rsidRPr="00FB5080">
        <w:rPr>
          <w:rFonts w:ascii="Arial" w:hAnsi="Arial" w:cs="Arial"/>
          <w:bCs/>
        </w:rPr>
        <w:t>validation</w:t>
      </w:r>
      <w:r w:rsidRPr="00FB5080">
        <w:rPr>
          <w:rFonts w:ascii="Arial" w:hAnsi="Arial" w:cs="Arial"/>
        </w:rPr>
        <w:t xml:space="preserve">, and </w:t>
      </w:r>
      <w:r w:rsidRPr="00FB5080">
        <w:rPr>
          <w:rFonts w:ascii="Arial" w:hAnsi="Arial" w:cs="Arial"/>
          <w:bCs/>
        </w:rPr>
        <w:t>test</w:t>
      </w:r>
      <w:r w:rsidRPr="00FB5080">
        <w:rPr>
          <w:rFonts w:ascii="Arial" w:hAnsi="Arial" w:cs="Arial"/>
        </w:rPr>
        <w:t xml:space="preserve"> datasets in a </w:t>
      </w:r>
      <w:r w:rsidRPr="00FB5080">
        <w:rPr>
          <w:rFonts w:ascii="Arial" w:hAnsi="Arial" w:cs="Arial"/>
          <w:bCs/>
        </w:rPr>
        <w:t>70-15-15 ratio</w:t>
      </w:r>
      <w:r w:rsidRPr="00FB5080">
        <w:rPr>
          <w:rFonts w:ascii="Arial" w:hAnsi="Arial" w:cs="Arial"/>
        </w:rPr>
        <w:t xml:space="preserve"> to avoid model bias and overfitting. This split allows a larger portion of the data for testing and validation, providing more robust evaluations of model performance.</w:t>
      </w:r>
    </w:p>
    <w:p w14:paraId="33829A18" w14:textId="77777777" w:rsidR="002E0D56" w:rsidRDefault="002E0D56" w:rsidP="00441B6F">
      <w:pPr>
        <w:pStyle w:val="Body"/>
        <w:spacing w:after="0"/>
        <w:rPr>
          <w:rFonts w:ascii="Arial" w:hAnsi="Arial" w:cs="Arial"/>
        </w:rPr>
      </w:pPr>
    </w:p>
    <w:p w14:paraId="345E4949" w14:textId="77777777" w:rsidR="00C461F2" w:rsidRDefault="00C461F2" w:rsidP="00C461F2">
      <w:pPr>
        <w:pStyle w:val="AbstHead"/>
        <w:spacing w:after="0"/>
        <w:jc w:val="both"/>
        <w:rPr>
          <w:rFonts w:ascii="Arial" w:hAnsi="Arial" w:cs="Arial"/>
        </w:rPr>
      </w:pPr>
      <w:r w:rsidRPr="002D5459">
        <w:rPr>
          <w:rFonts w:ascii="Arial" w:hAnsi="Arial" w:cs="Arial"/>
          <w:caps w:val="0"/>
        </w:rPr>
        <w:t>4.</w:t>
      </w:r>
      <w:r w:rsidR="00283402" w:rsidRPr="002D5459">
        <w:rPr>
          <w:rFonts w:ascii="Arial" w:hAnsi="Arial" w:cs="Arial"/>
          <w:caps w:val="0"/>
        </w:rPr>
        <w:t>3</w:t>
      </w:r>
      <w:r w:rsidRPr="002D5459">
        <w:rPr>
          <w:rFonts w:ascii="Arial" w:hAnsi="Arial" w:cs="Arial"/>
          <w:caps w:val="0"/>
        </w:rPr>
        <w:t xml:space="preserve"> </w:t>
      </w:r>
      <w:r w:rsidR="00283402" w:rsidRPr="002D5459">
        <w:rPr>
          <w:rFonts w:ascii="Arial" w:hAnsi="Arial" w:cs="Arial"/>
          <w:caps w:val="0"/>
        </w:rPr>
        <w:t>M</w:t>
      </w:r>
      <w:r w:rsidR="00283402">
        <w:rPr>
          <w:rFonts w:ascii="Arial" w:hAnsi="Arial" w:cs="Arial"/>
          <w:caps w:val="0"/>
        </w:rPr>
        <w:t>odel Development</w:t>
      </w:r>
    </w:p>
    <w:p w14:paraId="202E42B3" w14:textId="77777777" w:rsidR="00951614" w:rsidRDefault="00951614" w:rsidP="00441B6F">
      <w:pPr>
        <w:pStyle w:val="Body"/>
        <w:spacing w:after="0"/>
        <w:rPr>
          <w:rFonts w:ascii="Arial" w:hAnsi="Arial" w:cs="Arial"/>
        </w:rPr>
      </w:pPr>
    </w:p>
    <w:p w14:paraId="29C183F4" w14:textId="77777777" w:rsidR="00CE009F" w:rsidRPr="00CE009F" w:rsidRDefault="00CE009F" w:rsidP="00CE009F">
      <w:pPr>
        <w:rPr>
          <w:rFonts w:ascii="Arial" w:hAnsi="Arial" w:cs="Arial"/>
        </w:rPr>
      </w:pPr>
      <w:r w:rsidRPr="00CE009F">
        <w:rPr>
          <w:rFonts w:ascii="Arial" w:hAnsi="Arial" w:cs="Arial"/>
        </w:rPr>
        <w:t xml:space="preserve">To predict academic success and student engagement, the model employs a combination of Markov Chains, Hidden Markov Models, </w:t>
      </w:r>
      <w:r>
        <w:rPr>
          <w:rFonts w:ascii="Arial" w:hAnsi="Arial" w:cs="Arial"/>
        </w:rPr>
        <w:t>and Machine Learning algorithms:</w:t>
      </w:r>
    </w:p>
    <w:p w14:paraId="7FEFE095" w14:textId="77777777" w:rsidR="000E791A" w:rsidRPr="00747B17" w:rsidRDefault="000E791A" w:rsidP="000E791A">
      <w:pPr>
        <w:pStyle w:val="Body"/>
        <w:spacing w:after="0"/>
        <w:rPr>
          <w:rFonts w:ascii="Arial" w:hAnsi="Arial" w:cs="Arial"/>
          <w:bCs/>
        </w:rPr>
      </w:pPr>
    </w:p>
    <w:p w14:paraId="3087B621" w14:textId="77777777" w:rsidR="000E791A" w:rsidRPr="00747B17" w:rsidRDefault="000E791A" w:rsidP="000E791A">
      <w:pPr>
        <w:pStyle w:val="Body"/>
        <w:spacing w:after="0"/>
        <w:rPr>
          <w:rFonts w:ascii="Arial" w:hAnsi="Arial" w:cs="Arial"/>
        </w:rPr>
      </w:pPr>
      <w:r w:rsidRPr="00747B17">
        <w:rPr>
          <w:rFonts w:ascii="Arial" w:hAnsi="Arial" w:cs="Arial"/>
          <w:bCs/>
        </w:rPr>
        <w:lastRenderedPageBreak/>
        <w:t>Markov Chain Component</w:t>
      </w:r>
      <w:r w:rsidRPr="00747B17">
        <w:rPr>
          <w:rFonts w:ascii="Arial" w:hAnsi="Arial" w:cs="Arial"/>
        </w:rPr>
        <w:t xml:space="preserve">: The first step involves using </w:t>
      </w:r>
      <w:r w:rsidRPr="00747B17">
        <w:rPr>
          <w:rFonts w:ascii="Arial" w:hAnsi="Arial" w:cs="Arial"/>
          <w:bCs/>
        </w:rPr>
        <w:t>Markov Chains</w:t>
      </w:r>
      <w:r w:rsidRPr="00747B17">
        <w:rPr>
          <w:rFonts w:ascii="Arial" w:hAnsi="Arial" w:cs="Arial"/>
        </w:rPr>
        <w:t xml:space="preserve"> to model transitions in student engagement. The hidden states represent various levels of engagement (e.g., low, medium, high), and the transitions between these states are estimated based on past student behavior data. This approach helps to track how students’ engagement levels evolve over time and predict the likelihood of their future engagement levels.</w:t>
      </w:r>
    </w:p>
    <w:p w14:paraId="6162EF85" w14:textId="77777777" w:rsidR="000E791A" w:rsidRPr="00747B17" w:rsidRDefault="000E791A" w:rsidP="000E791A">
      <w:pPr>
        <w:pStyle w:val="Body"/>
        <w:spacing w:after="0"/>
        <w:rPr>
          <w:rFonts w:ascii="Arial" w:hAnsi="Arial" w:cs="Arial"/>
          <w:bCs/>
        </w:rPr>
      </w:pPr>
    </w:p>
    <w:p w14:paraId="2B8BB1DC" w14:textId="77777777" w:rsidR="000E791A" w:rsidRPr="00747B17" w:rsidRDefault="000E791A" w:rsidP="000E791A">
      <w:pPr>
        <w:pStyle w:val="Body"/>
        <w:spacing w:after="0"/>
        <w:rPr>
          <w:rFonts w:ascii="Arial" w:hAnsi="Arial" w:cs="Arial"/>
        </w:rPr>
      </w:pPr>
      <w:r w:rsidRPr="00747B17">
        <w:rPr>
          <w:rFonts w:ascii="Arial" w:hAnsi="Arial" w:cs="Arial"/>
          <w:bCs/>
        </w:rPr>
        <w:t>Hidden Markov Models (HMMs)</w:t>
      </w:r>
      <w:r w:rsidRPr="00747B17">
        <w:rPr>
          <w:rFonts w:ascii="Arial" w:hAnsi="Arial" w:cs="Arial"/>
        </w:rPr>
        <w:t xml:space="preserve">: The </w:t>
      </w:r>
      <w:r w:rsidRPr="00747B17">
        <w:rPr>
          <w:rFonts w:ascii="Arial" w:hAnsi="Arial" w:cs="Arial"/>
          <w:bCs/>
        </w:rPr>
        <w:t>HMMs</w:t>
      </w:r>
      <w:r w:rsidRPr="00747B17">
        <w:rPr>
          <w:rFonts w:ascii="Arial" w:hAnsi="Arial" w:cs="Arial"/>
        </w:rPr>
        <w:t xml:space="preserve"> are employed to capture the sequential dependencies between different states of student engagement. These models are particularly useful for predicting how students will behave in the future based on their current engagement patterns. The </w:t>
      </w:r>
      <w:r w:rsidRPr="00747B17">
        <w:rPr>
          <w:rFonts w:ascii="Arial" w:hAnsi="Arial" w:cs="Arial"/>
          <w:bCs/>
        </w:rPr>
        <w:t>HMM</w:t>
      </w:r>
      <w:r w:rsidRPr="00747B17">
        <w:rPr>
          <w:rFonts w:ascii="Arial" w:hAnsi="Arial" w:cs="Arial"/>
        </w:rPr>
        <w:t xml:space="preserve"> component processes the data sequentially and assigns probabilities to various future states based on past transitions, offering a probabilistic understanding of engagement dynamics.</w:t>
      </w:r>
    </w:p>
    <w:p w14:paraId="29331805" w14:textId="77777777" w:rsidR="000E791A" w:rsidRPr="00747B17" w:rsidRDefault="000E791A" w:rsidP="000E791A">
      <w:pPr>
        <w:pStyle w:val="Body"/>
        <w:spacing w:after="0"/>
        <w:rPr>
          <w:rFonts w:ascii="Arial" w:hAnsi="Arial" w:cs="Arial"/>
          <w:bCs/>
        </w:rPr>
      </w:pPr>
    </w:p>
    <w:p w14:paraId="282D3C27" w14:textId="77777777" w:rsidR="00A13170" w:rsidRDefault="000E791A" w:rsidP="00A13170">
      <w:pPr>
        <w:pStyle w:val="Body"/>
        <w:spacing w:after="0"/>
        <w:rPr>
          <w:rFonts w:ascii="Arial" w:hAnsi="Arial" w:cs="Arial"/>
        </w:rPr>
      </w:pPr>
      <w:r w:rsidRPr="00747B17">
        <w:rPr>
          <w:rFonts w:ascii="Arial" w:hAnsi="Arial" w:cs="Arial"/>
          <w:bCs/>
        </w:rPr>
        <w:t>Machine Learning Component</w:t>
      </w:r>
      <w:r w:rsidRPr="00747B17">
        <w:rPr>
          <w:rFonts w:ascii="Arial" w:hAnsi="Arial" w:cs="Arial"/>
        </w:rPr>
        <w:t xml:space="preserve">: For academic performance prediction, we integrated </w:t>
      </w:r>
      <w:r w:rsidRPr="00747B17">
        <w:rPr>
          <w:rFonts w:ascii="Arial" w:hAnsi="Arial" w:cs="Arial"/>
          <w:bCs/>
        </w:rPr>
        <w:t>Decision Trees</w:t>
      </w:r>
      <w:r w:rsidRPr="00747B17">
        <w:rPr>
          <w:rFonts w:ascii="Arial" w:hAnsi="Arial" w:cs="Arial"/>
        </w:rPr>
        <w:t xml:space="preserve"> and </w:t>
      </w:r>
      <w:r w:rsidRPr="00747B17">
        <w:rPr>
          <w:rFonts w:ascii="Arial" w:hAnsi="Arial" w:cs="Arial"/>
          <w:bCs/>
        </w:rPr>
        <w:t>Support Vector Machines (SVMs)</w:t>
      </w:r>
      <w:r w:rsidRPr="00747B17">
        <w:rPr>
          <w:rFonts w:ascii="Arial" w:hAnsi="Arial" w:cs="Arial"/>
        </w:rPr>
        <w:t xml:space="preserve">. These models classify students into high, medium, and low-performance categories based on their engagement metrics and behavioral data. Features such as </w:t>
      </w:r>
      <w:r w:rsidRPr="00747B17">
        <w:rPr>
          <w:rFonts w:ascii="Arial" w:hAnsi="Arial" w:cs="Arial"/>
          <w:bCs/>
        </w:rPr>
        <w:t>attendance</w:t>
      </w:r>
      <w:r w:rsidRPr="00747B17">
        <w:rPr>
          <w:rFonts w:ascii="Arial" w:hAnsi="Arial" w:cs="Arial"/>
        </w:rPr>
        <w:t xml:space="preserve"> and </w:t>
      </w:r>
      <w:r w:rsidRPr="00747B17">
        <w:rPr>
          <w:rFonts w:ascii="Arial" w:hAnsi="Arial" w:cs="Arial"/>
          <w:bCs/>
        </w:rPr>
        <w:t>forum participation</w:t>
      </w:r>
      <w:r w:rsidRPr="00747B17">
        <w:rPr>
          <w:rFonts w:ascii="Arial" w:hAnsi="Arial" w:cs="Arial"/>
        </w:rPr>
        <w:t xml:space="preserve"> are used to predict final exam scores and assignment completion rates.</w:t>
      </w:r>
    </w:p>
    <w:p w14:paraId="6A6970D1" w14:textId="77777777" w:rsidR="00A13170" w:rsidRDefault="00A13170" w:rsidP="00A13170">
      <w:pPr>
        <w:pStyle w:val="Body"/>
        <w:spacing w:after="0"/>
        <w:rPr>
          <w:rFonts w:ascii="Arial" w:hAnsi="Arial" w:cs="Arial"/>
        </w:rPr>
      </w:pPr>
    </w:p>
    <w:p w14:paraId="6A19FB28" w14:textId="77777777" w:rsidR="00A13170" w:rsidRDefault="003F2D84" w:rsidP="00A13170">
      <w:pPr>
        <w:pStyle w:val="Body"/>
        <w:spacing w:after="0"/>
        <w:rPr>
          <w:rFonts w:ascii="Arial" w:hAnsi="Arial" w:cs="Arial"/>
        </w:rPr>
      </w:pPr>
      <w:r w:rsidRPr="003F2D84">
        <w:rPr>
          <w:rFonts w:ascii="Arial" w:hAnsi="Arial" w:cs="Arial"/>
        </w:rPr>
        <w:t>Figure 1 provides a visual representation of how the proposed hybrid model is structured and how data moves through its components.</w:t>
      </w:r>
      <w:r>
        <w:rPr>
          <w:rFonts w:ascii="Arial" w:hAnsi="Arial" w:cs="Arial"/>
        </w:rPr>
        <w:t xml:space="preserve"> </w:t>
      </w:r>
      <w:r w:rsidR="00C9640C" w:rsidRPr="00C9640C">
        <w:rPr>
          <w:rFonts w:ascii="Arial" w:hAnsi="Arial" w:cs="Arial"/>
        </w:rPr>
        <w:t>Figure 1 presents a visual representation of the proposed hybrid model, which integrates Markov Chains, Hidden Markov Models (HMMs), and Machine Learning algorithms. This structure enables both temporal engagement analysis and predictive classification to be handled in a unified framework.</w:t>
      </w:r>
    </w:p>
    <w:p w14:paraId="01C529B1" w14:textId="77777777" w:rsidR="000E791A" w:rsidRDefault="00935EF1" w:rsidP="00A13170">
      <w:pPr>
        <w:pStyle w:val="Body"/>
        <w:spacing w:after="0"/>
        <w:jc w:val="center"/>
        <w:rPr>
          <w:rFonts w:ascii="Arial" w:hAnsi="Arial" w:cs="Arial"/>
        </w:rPr>
      </w:pPr>
      <w:r>
        <w:rPr>
          <w:noProof/>
        </w:rPr>
        <w:drawing>
          <wp:inline distT="0" distB="0" distL="0" distR="0" wp14:anchorId="438EA465" wp14:editId="52458178">
            <wp:extent cx="5212080" cy="14446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1444625"/>
                    </a:xfrm>
                    <a:prstGeom prst="rect">
                      <a:avLst/>
                    </a:prstGeom>
                  </pic:spPr>
                </pic:pic>
              </a:graphicData>
            </a:graphic>
          </wp:inline>
        </w:drawing>
      </w:r>
    </w:p>
    <w:p w14:paraId="03DD1DF5" w14:textId="77777777" w:rsidR="00935EF1" w:rsidRDefault="00A13170" w:rsidP="00441B6F">
      <w:pPr>
        <w:pStyle w:val="Body"/>
        <w:spacing w:after="0"/>
        <w:rPr>
          <w:rFonts w:ascii="Arial" w:hAnsi="Arial" w:cs="Arial"/>
        </w:rPr>
      </w:pPr>
      <w:r w:rsidRPr="00B869B8">
        <w:rPr>
          <w:rFonts w:ascii="Arial" w:hAnsi="Arial"/>
          <w:b/>
        </w:rPr>
        <w:t>Fig.</w:t>
      </w:r>
      <w:r>
        <w:rPr>
          <w:rFonts w:ascii="Arial" w:hAnsi="Arial"/>
          <w:b/>
        </w:rPr>
        <w:t xml:space="preserve"> 1</w:t>
      </w:r>
      <w:r w:rsidRPr="00B869B8">
        <w:rPr>
          <w:rFonts w:ascii="Arial" w:hAnsi="Arial"/>
          <w:b/>
        </w:rPr>
        <w:t xml:space="preserve">. </w:t>
      </w:r>
      <w:r w:rsidR="00A92C85" w:rsidRPr="00A92C85">
        <w:rPr>
          <w:rFonts w:ascii="Arial" w:hAnsi="Arial"/>
          <w:b/>
        </w:rPr>
        <w:t>Proposed hybrid model</w:t>
      </w:r>
    </w:p>
    <w:p w14:paraId="54D2EB64" w14:textId="77777777" w:rsidR="00935EF1" w:rsidRDefault="00935EF1" w:rsidP="00441B6F">
      <w:pPr>
        <w:pStyle w:val="Body"/>
        <w:spacing w:after="0"/>
        <w:rPr>
          <w:rFonts w:ascii="Arial" w:hAnsi="Arial" w:cs="Arial"/>
        </w:rPr>
      </w:pPr>
    </w:p>
    <w:p w14:paraId="3A9D2C51" w14:textId="77777777" w:rsidR="00794ABA" w:rsidRPr="00794ABA" w:rsidRDefault="00794ABA" w:rsidP="00794ABA">
      <w:pPr>
        <w:pStyle w:val="Body"/>
        <w:spacing w:after="0"/>
        <w:rPr>
          <w:rFonts w:ascii="Arial" w:hAnsi="Arial" w:cs="Arial"/>
        </w:rPr>
      </w:pPr>
      <w:r w:rsidRPr="00794ABA">
        <w:rPr>
          <w:rFonts w:ascii="Arial" w:hAnsi="Arial" w:cs="Arial"/>
        </w:rPr>
        <w:t xml:space="preserve">The model integrates </w:t>
      </w:r>
      <w:r w:rsidRPr="00704BB1">
        <w:rPr>
          <w:rFonts w:ascii="Arial" w:hAnsi="Arial" w:cs="Arial"/>
          <w:bCs/>
        </w:rPr>
        <w:t>Markov Chains</w:t>
      </w:r>
      <w:r w:rsidRPr="00704BB1">
        <w:rPr>
          <w:rFonts w:ascii="Arial" w:hAnsi="Arial" w:cs="Arial"/>
        </w:rPr>
        <w:t xml:space="preserve">, </w:t>
      </w:r>
      <w:r w:rsidRPr="00704BB1">
        <w:rPr>
          <w:rFonts w:ascii="Arial" w:hAnsi="Arial" w:cs="Arial"/>
          <w:bCs/>
        </w:rPr>
        <w:t>HMMs</w:t>
      </w:r>
      <w:r w:rsidRPr="00704BB1">
        <w:rPr>
          <w:rFonts w:ascii="Arial" w:hAnsi="Arial" w:cs="Arial"/>
        </w:rPr>
        <w:t xml:space="preserve">, and </w:t>
      </w:r>
      <w:r w:rsidRPr="00704BB1">
        <w:rPr>
          <w:rFonts w:ascii="Arial" w:hAnsi="Arial" w:cs="Arial"/>
          <w:bCs/>
        </w:rPr>
        <w:t>Machine Learning</w:t>
      </w:r>
      <w:r w:rsidRPr="00704BB1">
        <w:rPr>
          <w:rFonts w:ascii="Arial" w:hAnsi="Arial" w:cs="Arial"/>
        </w:rPr>
        <w:t xml:space="preserve"> algorithms to create an effective student engagement and performance prediction system:</w:t>
      </w:r>
    </w:p>
    <w:p w14:paraId="3AB9F78B" w14:textId="77777777" w:rsidR="007B659D" w:rsidRDefault="007B659D" w:rsidP="007B659D">
      <w:pPr>
        <w:pStyle w:val="Body"/>
        <w:spacing w:after="0"/>
        <w:rPr>
          <w:rFonts w:ascii="Arial" w:hAnsi="Arial" w:cs="Arial"/>
          <w:b/>
          <w:bCs/>
        </w:rPr>
      </w:pPr>
    </w:p>
    <w:p w14:paraId="0B5A5A5A" w14:textId="77777777" w:rsidR="00794ABA" w:rsidRPr="008B1621" w:rsidRDefault="00794ABA" w:rsidP="007B659D">
      <w:pPr>
        <w:pStyle w:val="Body"/>
        <w:spacing w:after="0"/>
        <w:rPr>
          <w:rFonts w:ascii="Arial" w:hAnsi="Arial" w:cs="Arial"/>
        </w:rPr>
      </w:pPr>
      <w:r w:rsidRPr="008B1621">
        <w:rPr>
          <w:rFonts w:ascii="Arial" w:hAnsi="Arial" w:cs="Arial"/>
          <w:bCs/>
        </w:rPr>
        <w:t>Markov Chains and HMM Integration</w:t>
      </w:r>
      <w:r w:rsidRPr="008B1621">
        <w:rPr>
          <w:rFonts w:ascii="Arial" w:hAnsi="Arial" w:cs="Arial"/>
        </w:rPr>
        <w:t xml:space="preserve">: The </w:t>
      </w:r>
      <w:r w:rsidRPr="008B1621">
        <w:rPr>
          <w:rFonts w:ascii="Arial" w:hAnsi="Arial" w:cs="Arial"/>
          <w:bCs/>
        </w:rPr>
        <w:t>Markov Chains</w:t>
      </w:r>
      <w:r w:rsidRPr="008B1621">
        <w:rPr>
          <w:rFonts w:ascii="Arial" w:hAnsi="Arial" w:cs="Arial"/>
        </w:rPr>
        <w:t xml:space="preserve"> component is used to model transitions in student engagement over time, while the </w:t>
      </w:r>
      <w:r w:rsidRPr="008B1621">
        <w:rPr>
          <w:rFonts w:ascii="Arial" w:hAnsi="Arial" w:cs="Arial"/>
          <w:bCs/>
        </w:rPr>
        <w:t>HMMs</w:t>
      </w:r>
      <w:r w:rsidRPr="008B1621">
        <w:rPr>
          <w:rFonts w:ascii="Arial" w:hAnsi="Arial" w:cs="Arial"/>
        </w:rPr>
        <w:t xml:space="preserve"> refine these predictions by incorporating sequential dependencies. This hybrid model ensures that both short-term behavior (immediate participation) and long-term behavior (gradual shifts in engagement) are captured, providing a more comprehensive understanding of student behavior.</w:t>
      </w:r>
    </w:p>
    <w:p w14:paraId="2448F3C8" w14:textId="77777777" w:rsidR="007B659D" w:rsidRPr="008B1621" w:rsidRDefault="007B659D" w:rsidP="007B659D">
      <w:pPr>
        <w:pStyle w:val="Body"/>
        <w:spacing w:after="0"/>
        <w:rPr>
          <w:rFonts w:ascii="Arial" w:hAnsi="Arial" w:cs="Arial"/>
          <w:bCs/>
        </w:rPr>
      </w:pPr>
    </w:p>
    <w:p w14:paraId="1DBD0544" w14:textId="77777777" w:rsidR="00794ABA" w:rsidRPr="008B1621" w:rsidRDefault="00794ABA" w:rsidP="007B659D">
      <w:pPr>
        <w:pStyle w:val="Body"/>
        <w:spacing w:after="0"/>
        <w:rPr>
          <w:rFonts w:ascii="Arial" w:hAnsi="Arial" w:cs="Arial"/>
        </w:rPr>
      </w:pPr>
      <w:r w:rsidRPr="008B1621">
        <w:rPr>
          <w:rFonts w:ascii="Arial" w:hAnsi="Arial" w:cs="Arial"/>
          <w:bCs/>
        </w:rPr>
        <w:t>Machine Learning and Behavioral Data</w:t>
      </w:r>
      <w:r w:rsidRPr="008B1621">
        <w:rPr>
          <w:rFonts w:ascii="Arial" w:hAnsi="Arial" w:cs="Arial"/>
        </w:rPr>
        <w:t xml:space="preserve">: </w:t>
      </w:r>
      <w:r w:rsidRPr="008B1621">
        <w:rPr>
          <w:rFonts w:ascii="Arial" w:hAnsi="Arial" w:cs="Arial"/>
          <w:bCs/>
        </w:rPr>
        <w:t>SVMs</w:t>
      </w:r>
      <w:r w:rsidRPr="008B1621">
        <w:rPr>
          <w:rFonts w:ascii="Arial" w:hAnsi="Arial" w:cs="Arial"/>
        </w:rPr>
        <w:t xml:space="preserve"> and </w:t>
      </w:r>
      <w:r w:rsidRPr="008B1621">
        <w:rPr>
          <w:rFonts w:ascii="Arial" w:hAnsi="Arial" w:cs="Arial"/>
          <w:bCs/>
        </w:rPr>
        <w:t>Decision Trees</w:t>
      </w:r>
      <w:r w:rsidRPr="008B1621">
        <w:rPr>
          <w:rFonts w:ascii="Arial" w:hAnsi="Arial" w:cs="Arial"/>
        </w:rPr>
        <w:t xml:space="preserve"> are trained on the processed behavioral data, such as participation in forums and assignment completion. The models classify students into categories based on their likelihood of success in the course. The ensemble approach combines the predictions from </w:t>
      </w:r>
      <w:r w:rsidRPr="008B1621">
        <w:rPr>
          <w:rFonts w:ascii="Arial" w:hAnsi="Arial" w:cs="Arial"/>
          <w:bCs/>
        </w:rPr>
        <w:t>Markov Chains</w:t>
      </w:r>
      <w:r w:rsidRPr="008B1621">
        <w:rPr>
          <w:rFonts w:ascii="Arial" w:hAnsi="Arial" w:cs="Arial"/>
        </w:rPr>
        <w:t xml:space="preserve">, </w:t>
      </w:r>
      <w:r w:rsidRPr="008B1621">
        <w:rPr>
          <w:rFonts w:ascii="Arial" w:hAnsi="Arial" w:cs="Arial"/>
          <w:bCs/>
        </w:rPr>
        <w:t>HMMs</w:t>
      </w:r>
      <w:r w:rsidRPr="008B1621">
        <w:rPr>
          <w:rFonts w:ascii="Arial" w:hAnsi="Arial" w:cs="Arial"/>
        </w:rPr>
        <w:t xml:space="preserve">, and </w:t>
      </w:r>
      <w:r w:rsidRPr="008B1621">
        <w:rPr>
          <w:rFonts w:ascii="Arial" w:hAnsi="Arial" w:cs="Arial"/>
          <w:bCs/>
        </w:rPr>
        <w:t>Machine Learning</w:t>
      </w:r>
      <w:r w:rsidRPr="008B1621">
        <w:rPr>
          <w:rFonts w:ascii="Arial" w:hAnsi="Arial" w:cs="Arial"/>
        </w:rPr>
        <w:t xml:space="preserve"> algorithms using a </w:t>
      </w:r>
      <w:r w:rsidRPr="008B1621">
        <w:rPr>
          <w:rFonts w:ascii="Arial" w:hAnsi="Arial" w:cs="Arial"/>
          <w:bCs/>
        </w:rPr>
        <w:t>weighted voting system</w:t>
      </w:r>
      <w:r w:rsidRPr="008B1621">
        <w:rPr>
          <w:rFonts w:ascii="Arial" w:hAnsi="Arial" w:cs="Arial"/>
        </w:rPr>
        <w:t>, where the results from each model are combined based on their individual accuracies.</w:t>
      </w:r>
    </w:p>
    <w:p w14:paraId="777FD1B9" w14:textId="77777777" w:rsidR="007B659D" w:rsidRPr="008B1621" w:rsidRDefault="007B659D" w:rsidP="007B659D">
      <w:pPr>
        <w:pStyle w:val="Body"/>
        <w:spacing w:after="0"/>
        <w:rPr>
          <w:rFonts w:ascii="Arial" w:hAnsi="Arial" w:cs="Arial"/>
          <w:bCs/>
        </w:rPr>
      </w:pPr>
    </w:p>
    <w:p w14:paraId="7D9DA61B" w14:textId="77777777" w:rsidR="00794ABA" w:rsidRPr="00794ABA" w:rsidRDefault="00704BB1" w:rsidP="007B659D">
      <w:pPr>
        <w:pStyle w:val="Body"/>
        <w:spacing w:after="0"/>
        <w:rPr>
          <w:rFonts w:ascii="Arial" w:hAnsi="Arial" w:cs="Arial"/>
        </w:rPr>
      </w:pPr>
      <w:r w:rsidRPr="008B1621">
        <w:rPr>
          <w:rFonts w:ascii="Arial" w:hAnsi="Arial" w:cs="Arial"/>
          <w:bCs/>
        </w:rPr>
        <w:lastRenderedPageBreak/>
        <w:t>Final Prediction and Ranking: The</w:t>
      </w:r>
      <w:r w:rsidRPr="00704BB1">
        <w:rPr>
          <w:rFonts w:ascii="Arial" w:hAnsi="Arial" w:cs="Arial"/>
          <w:bCs/>
        </w:rPr>
        <w:t xml:space="preserve"> outputs from the individual models are merged based on their respective weights, resulting in the final performance prediction and student ranking. </w:t>
      </w:r>
      <w:r w:rsidR="00794ABA" w:rsidRPr="00704BB1">
        <w:rPr>
          <w:rFonts w:ascii="Arial" w:hAnsi="Arial" w:cs="Arial"/>
        </w:rPr>
        <w:t xml:space="preserve">The </w:t>
      </w:r>
      <w:r w:rsidR="00794ABA" w:rsidRPr="00704BB1">
        <w:rPr>
          <w:rFonts w:ascii="Arial" w:hAnsi="Arial" w:cs="Arial"/>
          <w:bCs/>
        </w:rPr>
        <w:t>Markov Chains</w:t>
      </w:r>
      <w:r w:rsidR="00794ABA" w:rsidRPr="00704BB1">
        <w:rPr>
          <w:rFonts w:ascii="Arial" w:hAnsi="Arial" w:cs="Arial"/>
        </w:rPr>
        <w:t xml:space="preserve"> and </w:t>
      </w:r>
      <w:r w:rsidR="00794ABA" w:rsidRPr="00704BB1">
        <w:rPr>
          <w:rFonts w:ascii="Arial" w:hAnsi="Arial" w:cs="Arial"/>
          <w:bCs/>
        </w:rPr>
        <w:t>HMMs</w:t>
      </w:r>
      <w:r w:rsidR="00794ABA" w:rsidRPr="00704BB1">
        <w:rPr>
          <w:rFonts w:ascii="Arial" w:hAnsi="Arial" w:cs="Arial"/>
        </w:rPr>
        <w:t xml:space="preserve"> provide a probabilistic estimate of student engagement, while the </w:t>
      </w:r>
      <w:r w:rsidR="00794ABA" w:rsidRPr="00704BB1">
        <w:rPr>
          <w:rFonts w:ascii="Arial" w:hAnsi="Arial" w:cs="Arial"/>
          <w:bCs/>
        </w:rPr>
        <w:t>SVMs</w:t>
      </w:r>
      <w:r w:rsidR="00794ABA" w:rsidRPr="00704BB1">
        <w:rPr>
          <w:rFonts w:ascii="Arial" w:hAnsi="Arial" w:cs="Arial"/>
        </w:rPr>
        <w:t xml:space="preserve"> and </w:t>
      </w:r>
      <w:r w:rsidR="00794ABA" w:rsidRPr="00704BB1">
        <w:rPr>
          <w:rFonts w:ascii="Arial" w:hAnsi="Arial" w:cs="Arial"/>
          <w:bCs/>
        </w:rPr>
        <w:t>Decision Trees</w:t>
      </w:r>
      <w:r w:rsidR="00794ABA" w:rsidRPr="00704BB1">
        <w:rPr>
          <w:rFonts w:ascii="Arial" w:hAnsi="Arial" w:cs="Arial"/>
        </w:rPr>
        <w:t xml:space="preserve"> offer a deterministic prediction of academic success. The model’s final output ranks students from</w:t>
      </w:r>
      <w:r w:rsidR="00794ABA" w:rsidRPr="00794ABA">
        <w:rPr>
          <w:rFonts w:ascii="Arial" w:hAnsi="Arial" w:cs="Arial"/>
        </w:rPr>
        <w:t xml:space="preserve"> most to least likely to succeed based on their engagement and behavioral data.</w:t>
      </w:r>
    </w:p>
    <w:p w14:paraId="23FA5C69" w14:textId="77777777" w:rsidR="00154282" w:rsidRDefault="00794ABA" w:rsidP="00794ABA">
      <w:pPr>
        <w:pStyle w:val="Body"/>
        <w:spacing w:after="0"/>
        <w:rPr>
          <w:rFonts w:ascii="Arial" w:hAnsi="Arial" w:cs="Arial"/>
        </w:rPr>
      </w:pPr>
      <w:r w:rsidRPr="00794ABA">
        <w:rPr>
          <w:rFonts w:ascii="Arial" w:hAnsi="Arial" w:cs="Arial"/>
        </w:rPr>
        <w:t xml:space="preserve"> </w:t>
      </w:r>
    </w:p>
    <w:p w14:paraId="56B7F2B2" w14:textId="77777777" w:rsidR="00154282" w:rsidRDefault="005D0328" w:rsidP="00441B6F">
      <w:pPr>
        <w:pStyle w:val="Body"/>
        <w:spacing w:after="0"/>
        <w:rPr>
          <w:rFonts w:ascii="Arial" w:hAnsi="Arial" w:cs="Arial"/>
          <w:b/>
          <w:caps/>
          <w:sz w:val="22"/>
        </w:rPr>
      </w:pPr>
      <w:r>
        <w:rPr>
          <w:rFonts w:ascii="Arial" w:hAnsi="Arial" w:cs="Arial"/>
          <w:b/>
          <w:caps/>
          <w:sz w:val="22"/>
        </w:rPr>
        <w:t>5</w:t>
      </w:r>
      <w:r w:rsidRPr="005D0328">
        <w:rPr>
          <w:rFonts w:ascii="Arial" w:hAnsi="Arial" w:cs="Arial"/>
          <w:b/>
          <w:caps/>
          <w:sz w:val="22"/>
        </w:rPr>
        <w:t>. RESULTS AND DISCUSSION</w:t>
      </w:r>
    </w:p>
    <w:p w14:paraId="69E68C99" w14:textId="77777777" w:rsidR="005D0328" w:rsidRDefault="005D0328" w:rsidP="00441B6F">
      <w:pPr>
        <w:pStyle w:val="Body"/>
        <w:spacing w:after="0"/>
        <w:rPr>
          <w:rFonts w:ascii="Arial" w:hAnsi="Arial" w:cs="Arial"/>
        </w:rPr>
      </w:pPr>
    </w:p>
    <w:p w14:paraId="4CACC60A" w14:textId="77777777" w:rsidR="00791D21" w:rsidRDefault="00791D21" w:rsidP="00791D21">
      <w:pPr>
        <w:pStyle w:val="Body"/>
        <w:rPr>
          <w:rFonts w:ascii="Arial" w:hAnsi="Arial" w:cs="Arial"/>
        </w:rPr>
      </w:pPr>
      <w:r w:rsidRPr="00791D21">
        <w:rPr>
          <w:rFonts w:ascii="Arial" w:hAnsi="Arial" w:cs="Arial"/>
        </w:rPr>
        <w:t>This section presents the evaluation of the hybrid ensemble model and compares its performance against individual models such as Decision Trees, Support Vector Machines (SVM), and Hidden Markov Models (HMMs). The aim is to determine the accuracy, robustness, and practical value of each model in predicting student engagement and academic performance.</w:t>
      </w:r>
    </w:p>
    <w:p w14:paraId="1B363C29" w14:textId="77777777" w:rsidR="00DC16D9" w:rsidRPr="00B16734" w:rsidRDefault="00DC16D9" w:rsidP="00DC16D9">
      <w:pPr>
        <w:pStyle w:val="Body"/>
        <w:rPr>
          <w:rFonts w:ascii="Arial" w:hAnsi="Arial" w:cs="Arial"/>
          <w:b/>
          <w:sz w:val="22"/>
        </w:rPr>
      </w:pPr>
      <w:r w:rsidRPr="00B16734">
        <w:rPr>
          <w:rFonts w:ascii="Arial" w:hAnsi="Arial" w:cs="Arial"/>
          <w:b/>
          <w:sz w:val="22"/>
        </w:rPr>
        <w:t>5.1 Model Evaluation Metrics</w:t>
      </w:r>
    </w:p>
    <w:p w14:paraId="0AAEB229" w14:textId="77777777" w:rsidR="00700328" w:rsidRPr="008A3BB4" w:rsidRDefault="00E7094F" w:rsidP="00D35850">
      <w:pPr>
        <w:pStyle w:val="Body"/>
        <w:spacing w:after="0"/>
        <w:rPr>
          <w:rFonts w:ascii="Arial" w:hAnsi="Arial" w:cs="Arial"/>
        </w:rPr>
      </w:pPr>
      <w:r w:rsidRPr="00E7094F">
        <w:rPr>
          <w:rFonts w:ascii="Arial" w:hAnsi="Arial" w:cs="Arial"/>
        </w:rPr>
        <w:t xml:space="preserve">To ensure a comprehensive and rigorous assessment of model performance, several widely </w:t>
      </w:r>
      <w:r w:rsidRPr="008A3BB4">
        <w:rPr>
          <w:rFonts w:ascii="Arial" w:hAnsi="Arial" w:cs="Arial"/>
        </w:rPr>
        <w:t>accepted evaluation metrics were employed:</w:t>
      </w:r>
    </w:p>
    <w:p w14:paraId="6AF58A63" w14:textId="77777777" w:rsidR="00700328" w:rsidRPr="008A3BB4" w:rsidRDefault="00700328" w:rsidP="00F7355B">
      <w:pPr>
        <w:pStyle w:val="Body"/>
        <w:numPr>
          <w:ilvl w:val="0"/>
          <w:numId w:val="37"/>
        </w:numPr>
        <w:spacing w:after="0"/>
        <w:rPr>
          <w:rFonts w:ascii="Arial" w:hAnsi="Arial" w:cs="Arial"/>
        </w:rPr>
      </w:pPr>
      <w:r w:rsidRPr="008A3BB4">
        <w:rPr>
          <w:rFonts w:ascii="Arial" w:hAnsi="Arial" w:cs="Arial"/>
          <w:bCs/>
        </w:rPr>
        <w:t>Accuracy</w:t>
      </w:r>
      <w:r w:rsidRPr="008A3BB4">
        <w:rPr>
          <w:rFonts w:ascii="Arial" w:hAnsi="Arial" w:cs="Arial"/>
        </w:rPr>
        <w:t xml:space="preserve">: </w:t>
      </w:r>
      <w:r w:rsidR="00F7355B" w:rsidRPr="008A3BB4">
        <w:rPr>
          <w:rFonts w:ascii="Arial" w:hAnsi="Arial" w:cs="Arial"/>
        </w:rPr>
        <w:t>The percentage of total predictions that were classified correctly out of all observations.</w:t>
      </w:r>
    </w:p>
    <w:p w14:paraId="68CADA58" w14:textId="77777777" w:rsidR="00700328" w:rsidRPr="008A3BB4" w:rsidRDefault="00700328" w:rsidP="00F7355B">
      <w:pPr>
        <w:pStyle w:val="Body"/>
        <w:numPr>
          <w:ilvl w:val="0"/>
          <w:numId w:val="37"/>
        </w:numPr>
        <w:spacing w:after="0"/>
        <w:rPr>
          <w:rFonts w:ascii="Arial" w:hAnsi="Arial" w:cs="Arial"/>
        </w:rPr>
      </w:pPr>
      <w:r w:rsidRPr="008A3BB4">
        <w:rPr>
          <w:rFonts w:ascii="Arial" w:hAnsi="Arial" w:cs="Arial"/>
          <w:bCs/>
        </w:rPr>
        <w:t>Precision</w:t>
      </w:r>
      <w:r w:rsidRPr="008A3BB4">
        <w:rPr>
          <w:rFonts w:ascii="Arial" w:hAnsi="Arial" w:cs="Arial"/>
        </w:rPr>
        <w:t xml:space="preserve">: </w:t>
      </w:r>
      <w:r w:rsidR="00F7355B" w:rsidRPr="008A3BB4">
        <w:rPr>
          <w:rFonts w:ascii="Arial" w:hAnsi="Arial" w:cs="Arial"/>
        </w:rPr>
        <w:t>The proportion of correctly predicted positive outcomes among all instances classified as positive.</w:t>
      </w:r>
    </w:p>
    <w:p w14:paraId="49274ED7" w14:textId="77777777" w:rsidR="00700328" w:rsidRPr="008A3BB4" w:rsidRDefault="00700328" w:rsidP="00700328">
      <w:pPr>
        <w:pStyle w:val="Body"/>
        <w:numPr>
          <w:ilvl w:val="0"/>
          <w:numId w:val="37"/>
        </w:numPr>
        <w:spacing w:after="0"/>
        <w:rPr>
          <w:rFonts w:ascii="Arial" w:hAnsi="Arial" w:cs="Arial"/>
        </w:rPr>
      </w:pPr>
      <w:r w:rsidRPr="008A3BB4">
        <w:rPr>
          <w:rFonts w:ascii="Arial" w:hAnsi="Arial" w:cs="Arial"/>
          <w:bCs/>
        </w:rPr>
        <w:t>Recall (Sensitivity)</w:t>
      </w:r>
      <w:r w:rsidRPr="008A3BB4">
        <w:rPr>
          <w:rFonts w:ascii="Arial" w:hAnsi="Arial" w:cs="Arial"/>
        </w:rPr>
        <w:t>: The ratio of true positive predictions to the actual positives.</w:t>
      </w:r>
    </w:p>
    <w:p w14:paraId="04086507" w14:textId="77777777" w:rsidR="00700328" w:rsidRPr="008A3BB4" w:rsidRDefault="00700328" w:rsidP="00700328">
      <w:pPr>
        <w:pStyle w:val="Body"/>
        <w:numPr>
          <w:ilvl w:val="0"/>
          <w:numId w:val="37"/>
        </w:numPr>
        <w:spacing w:after="0"/>
        <w:rPr>
          <w:rFonts w:ascii="Arial" w:hAnsi="Arial" w:cs="Arial"/>
        </w:rPr>
      </w:pPr>
      <w:r w:rsidRPr="008A3BB4">
        <w:rPr>
          <w:rFonts w:ascii="Arial" w:hAnsi="Arial" w:cs="Arial"/>
          <w:bCs/>
        </w:rPr>
        <w:t>F1-score</w:t>
      </w:r>
      <w:r w:rsidRPr="008A3BB4">
        <w:rPr>
          <w:rFonts w:ascii="Arial" w:hAnsi="Arial" w:cs="Arial"/>
        </w:rPr>
        <w:t>: The harmonic mean of precision and recall.</w:t>
      </w:r>
    </w:p>
    <w:p w14:paraId="511865A1" w14:textId="77777777" w:rsidR="00700328" w:rsidRPr="008A3BB4" w:rsidRDefault="00700328" w:rsidP="00700328">
      <w:pPr>
        <w:pStyle w:val="Body"/>
        <w:numPr>
          <w:ilvl w:val="0"/>
          <w:numId w:val="37"/>
        </w:numPr>
        <w:spacing w:after="0"/>
        <w:rPr>
          <w:rFonts w:ascii="Arial" w:hAnsi="Arial" w:cs="Arial"/>
        </w:rPr>
      </w:pPr>
      <w:r w:rsidRPr="008A3BB4">
        <w:rPr>
          <w:rFonts w:ascii="Arial" w:hAnsi="Arial" w:cs="Arial"/>
          <w:bCs/>
        </w:rPr>
        <w:t>Confusion Matrix</w:t>
      </w:r>
      <w:r w:rsidRPr="008A3BB4">
        <w:rPr>
          <w:rFonts w:ascii="Arial" w:hAnsi="Arial" w:cs="Arial"/>
        </w:rPr>
        <w:t>: To analyze misclassification rates.</w:t>
      </w:r>
    </w:p>
    <w:p w14:paraId="2FFFB226" w14:textId="77777777" w:rsidR="00700328" w:rsidRPr="0045356D" w:rsidRDefault="00700328" w:rsidP="00700328">
      <w:pPr>
        <w:pStyle w:val="Body"/>
        <w:numPr>
          <w:ilvl w:val="0"/>
          <w:numId w:val="37"/>
        </w:numPr>
        <w:spacing w:after="0"/>
        <w:rPr>
          <w:rFonts w:ascii="Arial" w:hAnsi="Arial" w:cs="Arial"/>
        </w:rPr>
      </w:pPr>
      <w:r w:rsidRPr="008A3BB4">
        <w:rPr>
          <w:rFonts w:ascii="Arial" w:hAnsi="Arial" w:cs="Arial"/>
          <w:bCs/>
        </w:rPr>
        <w:t>ROC-AUC (Receiver Operating Characteristic – Area Under Curve)</w:t>
      </w:r>
      <w:r w:rsidRPr="008A3BB4">
        <w:rPr>
          <w:rFonts w:ascii="Arial" w:hAnsi="Arial" w:cs="Arial"/>
        </w:rPr>
        <w:t>: To</w:t>
      </w:r>
      <w:r w:rsidRPr="0045356D">
        <w:rPr>
          <w:rFonts w:ascii="Arial" w:hAnsi="Arial" w:cs="Arial"/>
        </w:rPr>
        <w:t xml:space="preserve"> measure classification effectiveness across thresholds.</w:t>
      </w:r>
    </w:p>
    <w:p w14:paraId="7F621B6A" w14:textId="77777777" w:rsidR="0064251A" w:rsidRPr="0064251A" w:rsidRDefault="0064251A" w:rsidP="0064251A">
      <w:pPr>
        <w:pStyle w:val="Body"/>
        <w:rPr>
          <w:rFonts w:ascii="Arial" w:hAnsi="Arial" w:cs="Arial"/>
        </w:rPr>
      </w:pPr>
      <w:r w:rsidRPr="0064251A">
        <w:rPr>
          <w:rFonts w:ascii="Arial" w:hAnsi="Arial" w:cs="Arial"/>
        </w:rPr>
        <w:t>These metrics were computed based on the test dataset (15% of the full dataset) to evaluate the generalization capability of the models.</w:t>
      </w:r>
    </w:p>
    <w:p w14:paraId="71C2B9E0" w14:textId="77777777" w:rsidR="007C6EC5" w:rsidRPr="00B16734" w:rsidRDefault="007C6EC5" w:rsidP="007C6EC5">
      <w:pPr>
        <w:pStyle w:val="Body"/>
        <w:spacing w:after="0"/>
        <w:rPr>
          <w:rFonts w:ascii="Arial" w:hAnsi="Arial" w:cs="Arial"/>
          <w:b/>
          <w:sz w:val="22"/>
        </w:rPr>
      </w:pPr>
      <w:r w:rsidRPr="00B16734">
        <w:rPr>
          <w:rFonts w:ascii="Arial" w:hAnsi="Arial" w:cs="Arial"/>
          <w:b/>
          <w:sz w:val="22"/>
        </w:rPr>
        <w:t>5.2 Performance Comparison of Models</w:t>
      </w:r>
    </w:p>
    <w:p w14:paraId="5661B6B1" w14:textId="77777777" w:rsidR="007C6EC5" w:rsidRPr="00F125A5" w:rsidRDefault="007C6EC5" w:rsidP="007C6EC5">
      <w:pPr>
        <w:pStyle w:val="Body"/>
        <w:spacing w:after="0"/>
        <w:rPr>
          <w:rFonts w:ascii="Arial" w:hAnsi="Arial" w:cs="Arial"/>
          <w:b/>
          <w:bCs/>
        </w:rPr>
      </w:pPr>
    </w:p>
    <w:p w14:paraId="7DAA88ED" w14:textId="77777777" w:rsidR="00951614" w:rsidRDefault="00886BBE" w:rsidP="00167590">
      <w:pPr>
        <w:pStyle w:val="Body"/>
        <w:spacing w:after="0"/>
        <w:rPr>
          <w:rFonts w:ascii="Arial" w:hAnsi="Arial" w:cs="Arial"/>
        </w:rPr>
      </w:pPr>
      <w:r w:rsidRPr="00886BBE">
        <w:rPr>
          <w:rFonts w:ascii="Arial" w:hAnsi="Arial" w:cs="Arial"/>
        </w:rPr>
        <w:t>A summary of how the individual and combined models performed on the testing subset is provided in Table 1.</w:t>
      </w:r>
      <w:r>
        <w:rPr>
          <w:rFonts w:ascii="Arial" w:hAnsi="Arial" w:cs="Arial"/>
        </w:rPr>
        <w:t xml:space="preserve"> </w:t>
      </w:r>
      <w:r w:rsidR="001F330C" w:rsidRPr="001F330C">
        <w:rPr>
          <w:rFonts w:ascii="Arial" w:hAnsi="Arial" w:cs="Arial"/>
        </w:rPr>
        <w:t>The full dataset consisted of behavioral and perform</w:t>
      </w:r>
      <w:r w:rsidR="007C6EC5">
        <w:rPr>
          <w:rFonts w:ascii="Arial" w:hAnsi="Arial" w:cs="Arial"/>
        </w:rPr>
        <w:t xml:space="preserve">ance metrics from 500 students. </w:t>
      </w:r>
      <w:r w:rsidR="001F330C" w:rsidRPr="001F330C">
        <w:rPr>
          <w:rFonts w:ascii="Arial" w:hAnsi="Arial" w:cs="Arial"/>
        </w:rPr>
        <w:t>For evaluation purposes, the dataset was split into training (70%), validation (15%), and test (15%) subsets. All performance metrics presented below are derived from the test set, which includes 75 students, representing 15% of the entire dataset.</w:t>
      </w:r>
    </w:p>
    <w:p w14:paraId="1253EA21" w14:textId="77777777" w:rsidR="0064251A" w:rsidRDefault="008A3BB4" w:rsidP="008A3BB4">
      <w:pPr>
        <w:pStyle w:val="Body"/>
        <w:tabs>
          <w:tab w:val="left" w:pos="1222"/>
        </w:tabs>
        <w:spacing w:after="0"/>
        <w:rPr>
          <w:rFonts w:ascii="Arial" w:hAnsi="Arial" w:cs="Arial"/>
        </w:rPr>
      </w:pPr>
      <w:r>
        <w:rPr>
          <w:rFonts w:ascii="Arial" w:hAnsi="Arial" w:cs="Arial"/>
        </w:rPr>
        <w:tab/>
      </w:r>
    </w:p>
    <w:p w14:paraId="3849BB8C" w14:textId="77777777" w:rsidR="006A2DC1" w:rsidRPr="00B869B8" w:rsidRDefault="006A2DC1" w:rsidP="00B869B8">
      <w:pPr>
        <w:tabs>
          <w:tab w:val="left" w:pos="1080"/>
        </w:tabs>
        <w:jc w:val="both"/>
        <w:rPr>
          <w:rFonts w:ascii="Arial" w:hAnsi="Arial"/>
          <w:b/>
        </w:rPr>
      </w:pPr>
      <w:r w:rsidRPr="00B869B8">
        <w:rPr>
          <w:rFonts w:ascii="Arial" w:hAnsi="Arial"/>
          <w:b/>
        </w:rPr>
        <w:t>Table 1. Performance Comparison of Individual Models and the Hybrid Ensemble Model</w:t>
      </w:r>
    </w:p>
    <w:p w14:paraId="7FACAF3D" w14:textId="77777777" w:rsidR="006A2DC1" w:rsidRPr="006A2DC1" w:rsidRDefault="006A2DC1" w:rsidP="006A2DC1">
      <w:pPr>
        <w:pStyle w:val="Body"/>
        <w:spacing w:after="0"/>
        <w:jc w:val="center"/>
        <w:rPr>
          <w:rFonts w:ascii="Arial" w:hAnsi="Arial" w:cs="Arial"/>
        </w:rPr>
      </w:pPr>
    </w:p>
    <w:tbl>
      <w:tblPr>
        <w:tblW w:w="8470" w:type="dxa"/>
        <w:tblCellSpacing w:w="15" w:type="dxa"/>
        <w:tblCellMar>
          <w:top w:w="15" w:type="dxa"/>
          <w:left w:w="15" w:type="dxa"/>
          <w:bottom w:w="15" w:type="dxa"/>
          <w:right w:w="15" w:type="dxa"/>
        </w:tblCellMar>
        <w:tblLook w:val="04A0" w:firstRow="1" w:lastRow="0" w:firstColumn="1" w:lastColumn="0" w:noHBand="0" w:noVBand="1"/>
      </w:tblPr>
      <w:tblGrid>
        <w:gridCol w:w="2545"/>
        <w:gridCol w:w="1253"/>
        <w:gridCol w:w="1221"/>
        <w:gridCol w:w="847"/>
        <w:gridCol w:w="1140"/>
        <w:gridCol w:w="1464"/>
      </w:tblGrid>
      <w:tr w:rsidR="00DC25DB" w:rsidRPr="00DC25DB" w14:paraId="52F5BCE1" w14:textId="77777777" w:rsidTr="00564EC8">
        <w:trPr>
          <w:trHeight w:val="257"/>
          <w:tblHeader/>
          <w:tblCellSpacing w:w="15" w:type="dxa"/>
        </w:trPr>
        <w:tc>
          <w:tcPr>
            <w:tcW w:w="0" w:type="auto"/>
            <w:tcBorders>
              <w:top w:val="single" w:sz="4" w:space="0" w:color="auto"/>
            </w:tcBorders>
            <w:vAlign w:val="center"/>
            <w:hideMark/>
          </w:tcPr>
          <w:p w14:paraId="1ECBBF02" w14:textId="77777777"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Model</w:t>
            </w:r>
          </w:p>
        </w:tc>
        <w:tc>
          <w:tcPr>
            <w:tcW w:w="0" w:type="auto"/>
            <w:tcBorders>
              <w:top w:val="single" w:sz="4" w:space="0" w:color="auto"/>
            </w:tcBorders>
            <w:vAlign w:val="center"/>
            <w:hideMark/>
          </w:tcPr>
          <w:p w14:paraId="096B6F58" w14:textId="77777777"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Accuracy</w:t>
            </w:r>
          </w:p>
        </w:tc>
        <w:tc>
          <w:tcPr>
            <w:tcW w:w="0" w:type="auto"/>
            <w:tcBorders>
              <w:top w:val="single" w:sz="4" w:space="0" w:color="auto"/>
            </w:tcBorders>
            <w:vAlign w:val="center"/>
            <w:hideMark/>
          </w:tcPr>
          <w:p w14:paraId="799B3E9C" w14:textId="77777777"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Precision</w:t>
            </w:r>
          </w:p>
        </w:tc>
        <w:tc>
          <w:tcPr>
            <w:tcW w:w="0" w:type="auto"/>
            <w:tcBorders>
              <w:top w:val="single" w:sz="4" w:space="0" w:color="auto"/>
            </w:tcBorders>
            <w:vAlign w:val="center"/>
            <w:hideMark/>
          </w:tcPr>
          <w:p w14:paraId="53BDD6FD" w14:textId="77777777"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Recall</w:t>
            </w:r>
          </w:p>
        </w:tc>
        <w:tc>
          <w:tcPr>
            <w:tcW w:w="0" w:type="auto"/>
            <w:tcBorders>
              <w:top w:val="single" w:sz="4" w:space="0" w:color="auto"/>
            </w:tcBorders>
            <w:vAlign w:val="center"/>
            <w:hideMark/>
          </w:tcPr>
          <w:p w14:paraId="34ED8C8A" w14:textId="77777777"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F1-score</w:t>
            </w:r>
          </w:p>
        </w:tc>
        <w:tc>
          <w:tcPr>
            <w:tcW w:w="0" w:type="auto"/>
            <w:tcBorders>
              <w:top w:val="single" w:sz="4" w:space="0" w:color="auto"/>
            </w:tcBorders>
            <w:vAlign w:val="center"/>
            <w:hideMark/>
          </w:tcPr>
          <w:p w14:paraId="183561CD" w14:textId="77777777" w:rsidR="00DC25DB" w:rsidRPr="00DC25DB" w:rsidRDefault="00DC25DB" w:rsidP="00DC25DB">
            <w:pPr>
              <w:jc w:val="center"/>
              <w:rPr>
                <w:rFonts w:ascii="Times New Roman" w:hAnsi="Times New Roman"/>
                <w:b/>
                <w:bCs/>
                <w:sz w:val="24"/>
                <w:szCs w:val="24"/>
                <w:lang w:val="ru-RU" w:eastAsia="ru-RU"/>
              </w:rPr>
            </w:pPr>
            <w:r w:rsidRPr="00DC25DB">
              <w:rPr>
                <w:rFonts w:ascii="Times New Roman" w:hAnsi="Times New Roman"/>
                <w:b/>
                <w:bCs/>
                <w:sz w:val="24"/>
                <w:szCs w:val="24"/>
                <w:lang w:val="ru-RU" w:eastAsia="ru-RU"/>
              </w:rPr>
              <w:t>ROC-AUC</w:t>
            </w:r>
          </w:p>
        </w:tc>
      </w:tr>
      <w:tr w:rsidR="00DC25DB" w:rsidRPr="00DC25DB" w14:paraId="484CFDA5" w14:textId="77777777" w:rsidTr="00564EC8">
        <w:trPr>
          <w:trHeight w:val="271"/>
          <w:tblCellSpacing w:w="15" w:type="dxa"/>
        </w:trPr>
        <w:tc>
          <w:tcPr>
            <w:tcW w:w="0" w:type="auto"/>
            <w:tcBorders>
              <w:top w:val="single" w:sz="4" w:space="0" w:color="auto"/>
            </w:tcBorders>
            <w:vAlign w:val="center"/>
            <w:hideMark/>
          </w:tcPr>
          <w:p w14:paraId="385BE18D"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Decision Tree</w:t>
            </w:r>
          </w:p>
        </w:tc>
        <w:tc>
          <w:tcPr>
            <w:tcW w:w="0" w:type="auto"/>
            <w:tcBorders>
              <w:top w:val="single" w:sz="4" w:space="0" w:color="auto"/>
            </w:tcBorders>
            <w:vAlign w:val="center"/>
            <w:hideMark/>
          </w:tcPr>
          <w:p w14:paraId="37E8A196"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81.6%</w:t>
            </w:r>
          </w:p>
        </w:tc>
        <w:tc>
          <w:tcPr>
            <w:tcW w:w="0" w:type="auto"/>
            <w:tcBorders>
              <w:top w:val="single" w:sz="4" w:space="0" w:color="auto"/>
            </w:tcBorders>
            <w:vAlign w:val="center"/>
            <w:hideMark/>
          </w:tcPr>
          <w:p w14:paraId="728BB648"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79.4%</w:t>
            </w:r>
          </w:p>
        </w:tc>
        <w:tc>
          <w:tcPr>
            <w:tcW w:w="0" w:type="auto"/>
            <w:tcBorders>
              <w:top w:val="single" w:sz="4" w:space="0" w:color="auto"/>
            </w:tcBorders>
            <w:vAlign w:val="center"/>
            <w:hideMark/>
          </w:tcPr>
          <w:p w14:paraId="74DCCA3C"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78.9%</w:t>
            </w:r>
          </w:p>
        </w:tc>
        <w:tc>
          <w:tcPr>
            <w:tcW w:w="0" w:type="auto"/>
            <w:tcBorders>
              <w:top w:val="single" w:sz="4" w:space="0" w:color="auto"/>
            </w:tcBorders>
            <w:vAlign w:val="center"/>
            <w:hideMark/>
          </w:tcPr>
          <w:p w14:paraId="55475728"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79.1%</w:t>
            </w:r>
          </w:p>
        </w:tc>
        <w:tc>
          <w:tcPr>
            <w:tcW w:w="0" w:type="auto"/>
            <w:tcBorders>
              <w:top w:val="single" w:sz="4" w:space="0" w:color="auto"/>
            </w:tcBorders>
            <w:vAlign w:val="center"/>
            <w:hideMark/>
          </w:tcPr>
          <w:p w14:paraId="2CE78102"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0.82</w:t>
            </w:r>
          </w:p>
        </w:tc>
      </w:tr>
      <w:tr w:rsidR="00DC25DB" w:rsidRPr="00DC25DB" w14:paraId="67512A93" w14:textId="77777777" w:rsidTr="00564EC8">
        <w:trPr>
          <w:trHeight w:val="257"/>
          <w:tblCellSpacing w:w="15" w:type="dxa"/>
        </w:trPr>
        <w:tc>
          <w:tcPr>
            <w:tcW w:w="0" w:type="auto"/>
            <w:tcBorders>
              <w:top w:val="single" w:sz="4" w:space="0" w:color="auto"/>
              <w:bottom w:val="single" w:sz="4" w:space="0" w:color="auto"/>
            </w:tcBorders>
            <w:vAlign w:val="center"/>
            <w:hideMark/>
          </w:tcPr>
          <w:p w14:paraId="4CAB8D90"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SVM</w:t>
            </w:r>
          </w:p>
        </w:tc>
        <w:tc>
          <w:tcPr>
            <w:tcW w:w="0" w:type="auto"/>
            <w:tcBorders>
              <w:top w:val="single" w:sz="4" w:space="0" w:color="auto"/>
              <w:bottom w:val="single" w:sz="4" w:space="0" w:color="auto"/>
            </w:tcBorders>
            <w:vAlign w:val="center"/>
            <w:hideMark/>
          </w:tcPr>
          <w:p w14:paraId="6C62B95B"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87.3%</w:t>
            </w:r>
          </w:p>
        </w:tc>
        <w:tc>
          <w:tcPr>
            <w:tcW w:w="0" w:type="auto"/>
            <w:tcBorders>
              <w:top w:val="single" w:sz="4" w:space="0" w:color="auto"/>
              <w:bottom w:val="single" w:sz="4" w:space="0" w:color="auto"/>
            </w:tcBorders>
            <w:vAlign w:val="center"/>
            <w:hideMark/>
          </w:tcPr>
          <w:p w14:paraId="226DD56A"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85.1%</w:t>
            </w:r>
          </w:p>
        </w:tc>
        <w:tc>
          <w:tcPr>
            <w:tcW w:w="0" w:type="auto"/>
            <w:tcBorders>
              <w:top w:val="single" w:sz="4" w:space="0" w:color="auto"/>
              <w:bottom w:val="single" w:sz="4" w:space="0" w:color="auto"/>
            </w:tcBorders>
            <w:vAlign w:val="center"/>
            <w:hideMark/>
          </w:tcPr>
          <w:p w14:paraId="6AA11900"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84.7%</w:t>
            </w:r>
          </w:p>
        </w:tc>
        <w:tc>
          <w:tcPr>
            <w:tcW w:w="0" w:type="auto"/>
            <w:tcBorders>
              <w:top w:val="single" w:sz="4" w:space="0" w:color="auto"/>
              <w:bottom w:val="single" w:sz="4" w:space="0" w:color="auto"/>
            </w:tcBorders>
            <w:vAlign w:val="center"/>
            <w:hideMark/>
          </w:tcPr>
          <w:p w14:paraId="4148F881"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84.9%</w:t>
            </w:r>
          </w:p>
        </w:tc>
        <w:tc>
          <w:tcPr>
            <w:tcW w:w="0" w:type="auto"/>
            <w:tcBorders>
              <w:top w:val="single" w:sz="4" w:space="0" w:color="auto"/>
              <w:bottom w:val="single" w:sz="4" w:space="0" w:color="auto"/>
            </w:tcBorders>
            <w:vAlign w:val="center"/>
            <w:hideMark/>
          </w:tcPr>
          <w:p w14:paraId="27724F19"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0.88</w:t>
            </w:r>
          </w:p>
        </w:tc>
      </w:tr>
      <w:tr w:rsidR="00DC25DB" w:rsidRPr="00DC25DB" w14:paraId="31C9A4FC" w14:textId="77777777" w:rsidTr="00564EC8">
        <w:trPr>
          <w:trHeight w:val="271"/>
          <w:tblCellSpacing w:w="15" w:type="dxa"/>
        </w:trPr>
        <w:tc>
          <w:tcPr>
            <w:tcW w:w="0" w:type="auto"/>
            <w:vAlign w:val="center"/>
            <w:hideMark/>
          </w:tcPr>
          <w:p w14:paraId="2FDB47F5"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HMM (Engagement)</w:t>
            </w:r>
          </w:p>
        </w:tc>
        <w:tc>
          <w:tcPr>
            <w:tcW w:w="0" w:type="auto"/>
            <w:vAlign w:val="center"/>
            <w:hideMark/>
          </w:tcPr>
          <w:p w14:paraId="0A6453D4"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76.2%</w:t>
            </w:r>
          </w:p>
        </w:tc>
        <w:tc>
          <w:tcPr>
            <w:tcW w:w="0" w:type="auto"/>
            <w:vAlign w:val="center"/>
            <w:hideMark/>
          </w:tcPr>
          <w:p w14:paraId="45F0ACFA"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74.0%</w:t>
            </w:r>
          </w:p>
        </w:tc>
        <w:tc>
          <w:tcPr>
            <w:tcW w:w="0" w:type="auto"/>
            <w:vAlign w:val="center"/>
            <w:hideMark/>
          </w:tcPr>
          <w:p w14:paraId="3D28DF2B"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73.5%</w:t>
            </w:r>
          </w:p>
        </w:tc>
        <w:tc>
          <w:tcPr>
            <w:tcW w:w="0" w:type="auto"/>
            <w:vAlign w:val="center"/>
            <w:hideMark/>
          </w:tcPr>
          <w:p w14:paraId="6406411F"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73.7%</w:t>
            </w:r>
          </w:p>
        </w:tc>
        <w:tc>
          <w:tcPr>
            <w:tcW w:w="0" w:type="auto"/>
            <w:vAlign w:val="center"/>
            <w:hideMark/>
          </w:tcPr>
          <w:p w14:paraId="5EFD2D8F"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sz w:val="24"/>
                <w:szCs w:val="24"/>
                <w:lang w:val="ru-RU" w:eastAsia="ru-RU"/>
              </w:rPr>
              <w:t>0.77</w:t>
            </w:r>
          </w:p>
        </w:tc>
      </w:tr>
      <w:tr w:rsidR="00DC25DB" w:rsidRPr="00DC25DB" w14:paraId="528687BE" w14:textId="77777777" w:rsidTr="00564EC8">
        <w:trPr>
          <w:trHeight w:val="257"/>
          <w:tblCellSpacing w:w="15" w:type="dxa"/>
        </w:trPr>
        <w:tc>
          <w:tcPr>
            <w:tcW w:w="0" w:type="auto"/>
            <w:tcBorders>
              <w:top w:val="single" w:sz="4" w:space="0" w:color="auto"/>
              <w:bottom w:val="single" w:sz="4" w:space="0" w:color="auto"/>
            </w:tcBorders>
            <w:vAlign w:val="center"/>
            <w:hideMark/>
          </w:tcPr>
          <w:p w14:paraId="1FCB2FD1"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Hybrid Ensemble</w:t>
            </w:r>
          </w:p>
        </w:tc>
        <w:tc>
          <w:tcPr>
            <w:tcW w:w="0" w:type="auto"/>
            <w:tcBorders>
              <w:top w:val="single" w:sz="4" w:space="0" w:color="auto"/>
              <w:bottom w:val="single" w:sz="4" w:space="0" w:color="auto"/>
            </w:tcBorders>
            <w:vAlign w:val="center"/>
            <w:hideMark/>
          </w:tcPr>
          <w:p w14:paraId="50F6175A" w14:textId="77777777" w:rsidR="00DC25DB" w:rsidRPr="00DC25DB" w:rsidRDefault="00834AEE" w:rsidP="00DC25DB">
            <w:pPr>
              <w:jc w:val="center"/>
              <w:rPr>
                <w:rFonts w:ascii="Times New Roman" w:hAnsi="Times New Roman"/>
                <w:sz w:val="24"/>
                <w:szCs w:val="24"/>
                <w:lang w:val="ru-RU" w:eastAsia="ru-RU"/>
              </w:rPr>
            </w:pPr>
            <w:r>
              <w:rPr>
                <w:rFonts w:ascii="Times New Roman" w:hAnsi="Times New Roman"/>
                <w:bCs/>
                <w:sz w:val="24"/>
                <w:szCs w:val="24"/>
                <w:lang w:val="ru-RU" w:eastAsia="ru-RU"/>
              </w:rPr>
              <w:t>91.9</w:t>
            </w:r>
            <w:r w:rsidR="00DC25DB" w:rsidRPr="00DC25DB">
              <w:rPr>
                <w:rFonts w:ascii="Times New Roman" w:hAnsi="Times New Roman"/>
                <w:bCs/>
                <w:sz w:val="24"/>
                <w:szCs w:val="24"/>
                <w:lang w:val="ru-RU" w:eastAsia="ru-RU"/>
              </w:rPr>
              <w:t>%</w:t>
            </w:r>
          </w:p>
        </w:tc>
        <w:tc>
          <w:tcPr>
            <w:tcW w:w="0" w:type="auto"/>
            <w:tcBorders>
              <w:top w:val="single" w:sz="4" w:space="0" w:color="auto"/>
              <w:bottom w:val="single" w:sz="4" w:space="0" w:color="auto"/>
            </w:tcBorders>
            <w:vAlign w:val="center"/>
            <w:hideMark/>
          </w:tcPr>
          <w:p w14:paraId="0BEABAE7"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89.4%</w:t>
            </w:r>
          </w:p>
        </w:tc>
        <w:tc>
          <w:tcPr>
            <w:tcW w:w="0" w:type="auto"/>
            <w:tcBorders>
              <w:top w:val="single" w:sz="4" w:space="0" w:color="auto"/>
              <w:bottom w:val="single" w:sz="4" w:space="0" w:color="auto"/>
            </w:tcBorders>
            <w:vAlign w:val="center"/>
            <w:hideMark/>
          </w:tcPr>
          <w:p w14:paraId="4710F647"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90.1%</w:t>
            </w:r>
          </w:p>
        </w:tc>
        <w:tc>
          <w:tcPr>
            <w:tcW w:w="0" w:type="auto"/>
            <w:tcBorders>
              <w:top w:val="single" w:sz="4" w:space="0" w:color="auto"/>
              <w:bottom w:val="single" w:sz="4" w:space="0" w:color="auto"/>
            </w:tcBorders>
            <w:vAlign w:val="center"/>
            <w:hideMark/>
          </w:tcPr>
          <w:p w14:paraId="70C4CAC5" w14:textId="77777777" w:rsidR="00DC25DB" w:rsidRPr="00DC25DB" w:rsidRDefault="00834AEE" w:rsidP="00DC25DB">
            <w:pPr>
              <w:jc w:val="center"/>
              <w:rPr>
                <w:rFonts w:ascii="Times New Roman" w:hAnsi="Times New Roman"/>
                <w:sz w:val="24"/>
                <w:szCs w:val="24"/>
                <w:lang w:val="ru-RU" w:eastAsia="ru-RU"/>
              </w:rPr>
            </w:pPr>
            <w:r>
              <w:rPr>
                <w:rFonts w:ascii="Times New Roman" w:hAnsi="Times New Roman"/>
                <w:bCs/>
                <w:sz w:val="24"/>
                <w:szCs w:val="24"/>
                <w:lang w:val="ru-RU" w:eastAsia="ru-RU"/>
              </w:rPr>
              <w:t>89.9</w:t>
            </w:r>
            <w:r w:rsidR="00DC25DB" w:rsidRPr="00DC25DB">
              <w:rPr>
                <w:rFonts w:ascii="Times New Roman" w:hAnsi="Times New Roman"/>
                <w:bCs/>
                <w:sz w:val="24"/>
                <w:szCs w:val="24"/>
                <w:lang w:val="ru-RU" w:eastAsia="ru-RU"/>
              </w:rPr>
              <w:t>%</w:t>
            </w:r>
          </w:p>
        </w:tc>
        <w:tc>
          <w:tcPr>
            <w:tcW w:w="0" w:type="auto"/>
            <w:tcBorders>
              <w:top w:val="single" w:sz="4" w:space="0" w:color="auto"/>
              <w:bottom w:val="single" w:sz="4" w:space="0" w:color="auto"/>
            </w:tcBorders>
            <w:vAlign w:val="center"/>
            <w:hideMark/>
          </w:tcPr>
          <w:p w14:paraId="48A3E49F" w14:textId="77777777" w:rsidR="00DC25DB" w:rsidRPr="00DC25DB" w:rsidRDefault="00DC25DB" w:rsidP="00DC25DB">
            <w:pPr>
              <w:jc w:val="center"/>
              <w:rPr>
                <w:rFonts w:ascii="Times New Roman" w:hAnsi="Times New Roman"/>
                <w:sz w:val="24"/>
                <w:szCs w:val="24"/>
                <w:lang w:val="ru-RU" w:eastAsia="ru-RU"/>
              </w:rPr>
            </w:pPr>
            <w:r w:rsidRPr="00DC25DB">
              <w:rPr>
                <w:rFonts w:ascii="Times New Roman" w:hAnsi="Times New Roman"/>
                <w:bCs/>
                <w:sz w:val="24"/>
                <w:szCs w:val="24"/>
                <w:lang w:val="ru-RU" w:eastAsia="ru-RU"/>
              </w:rPr>
              <w:t>0.93</w:t>
            </w:r>
          </w:p>
        </w:tc>
      </w:tr>
    </w:tbl>
    <w:p w14:paraId="0E127804" w14:textId="77777777" w:rsidR="00DC25DB" w:rsidRPr="008E3520" w:rsidRDefault="00DC25DB" w:rsidP="00441B6F">
      <w:pPr>
        <w:pStyle w:val="Body"/>
        <w:spacing w:after="0"/>
        <w:rPr>
          <w:rFonts w:ascii="Arial" w:hAnsi="Arial" w:cs="Arial"/>
        </w:rPr>
      </w:pPr>
    </w:p>
    <w:p w14:paraId="7592EBD2" w14:textId="77777777" w:rsidR="006B1300" w:rsidRPr="006B1300" w:rsidRDefault="006B1300" w:rsidP="006B1300">
      <w:pPr>
        <w:pStyle w:val="Body"/>
        <w:spacing w:after="0"/>
        <w:rPr>
          <w:rFonts w:ascii="Arial" w:hAnsi="Arial" w:cs="Arial"/>
        </w:rPr>
      </w:pPr>
      <w:r w:rsidRPr="008E3520">
        <w:rPr>
          <w:rFonts w:ascii="Arial" w:hAnsi="Arial" w:cs="Arial"/>
        </w:rPr>
        <w:t xml:space="preserve">The </w:t>
      </w:r>
      <w:r w:rsidRPr="008E3520">
        <w:rPr>
          <w:rFonts w:ascii="Arial" w:hAnsi="Arial" w:cs="Arial"/>
          <w:bCs/>
        </w:rPr>
        <w:t>hybrid ensemble model</w:t>
      </w:r>
      <w:r w:rsidRPr="008E3520">
        <w:rPr>
          <w:rFonts w:ascii="Arial" w:hAnsi="Arial" w:cs="Arial"/>
        </w:rPr>
        <w:t xml:space="preserve"> consistently outperformed the individual models across all metrics</w:t>
      </w:r>
      <w:r w:rsidRPr="006B1300">
        <w:rPr>
          <w:rFonts w:ascii="Arial" w:hAnsi="Arial" w:cs="Arial"/>
        </w:rPr>
        <w:t xml:space="preserve">. </w:t>
      </w:r>
      <w:r w:rsidR="00A92013" w:rsidRPr="00A92013">
        <w:rPr>
          <w:rFonts w:ascii="Arial" w:hAnsi="Arial" w:cs="Arial"/>
        </w:rPr>
        <w:t>The ensemble model outperformed others with an accuracy of 91.9% and an F1-</w:t>
      </w:r>
      <w:r w:rsidR="00A92013" w:rsidRPr="00A92013">
        <w:rPr>
          <w:rFonts w:ascii="Arial" w:hAnsi="Arial" w:cs="Arial"/>
        </w:rPr>
        <w:lastRenderedPageBreak/>
        <w:t>score of 89.9%, confirming its robustness and efficiency in predicting complex</w:t>
      </w:r>
      <w:r w:rsidR="00A92013">
        <w:rPr>
          <w:rFonts w:ascii="Arial" w:hAnsi="Arial" w:cs="Arial"/>
        </w:rPr>
        <w:t xml:space="preserve"> student behaviors and outcomes</w:t>
      </w:r>
      <w:r w:rsidRPr="006B1300">
        <w:rPr>
          <w:rFonts w:ascii="Arial" w:hAnsi="Arial" w:cs="Arial"/>
        </w:rPr>
        <w:t>.</w:t>
      </w:r>
    </w:p>
    <w:p w14:paraId="206DC43D" w14:textId="77777777" w:rsidR="00E15608" w:rsidRPr="00F125A5" w:rsidRDefault="00E15608" w:rsidP="00E15608">
      <w:pPr>
        <w:pStyle w:val="Body"/>
        <w:spacing w:after="0"/>
        <w:rPr>
          <w:rFonts w:ascii="Arial" w:hAnsi="Arial" w:cs="Arial"/>
          <w:b/>
          <w:bCs/>
        </w:rPr>
      </w:pPr>
    </w:p>
    <w:p w14:paraId="2E0E0FD5" w14:textId="77777777" w:rsidR="00E15608" w:rsidRPr="00B16734" w:rsidRDefault="00E15608" w:rsidP="00E15608">
      <w:pPr>
        <w:pStyle w:val="Body"/>
        <w:spacing w:after="0"/>
        <w:rPr>
          <w:rFonts w:ascii="Arial" w:hAnsi="Arial" w:cs="Arial"/>
          <w:b/>
          <w:sz w:val="22"/>
        </w:rPr>
      </w:pPr>
      <w:r w:rsidRPr="00B16734">
        <w:rPr>
          <w:rFonts w:ascii="Arial" w:hAnsi="Arial" w:cs="Arial"/>
          <w:b/>
          <w:sz w:val="22"/>
        </w:rPr>
        <w:t>5.3 Confusion Matrix Analysis</w:t>
      </w:r>
    </w:p>
    <w:p w14:paraId="6C8236A4" w14:textId="77777777" w:rsidR="00700328" w:rsidRDefault="00700328" w:rsidP="00441B6F">
      <w:pPr>
        <w:pStyle w:val="Body"/>
        <w:spacing w:after="0"/>
        <w:rPr>
          <w:rFonts w:ascii="Arial" w:hAnsi="Arial" w:cs="Arial"/>
        </w:rPr>
      </w:pPr>
    </w:p>
    <w:p w14:paraId="5A7730BB" w14:textId="77777777" w:rsidR="00595BC6" w:rsidRDefault="00595BC6" w:rsidP="00940FFE">
      <w:pPr>
        <w:jc w:val="both"/>
        <w:rPr>
          <w:rFonts w:ascii="Arial" w:hAnsi="Arial" w:cs="Arial"/>
        </w:rPr>
      </w:pPr>
      <w:r w:rsidRPr="00595BC6">
        <w:rPr>
          <w:rFonts w:ascii="Arial" w:hAnsi="Arial" w:cs="Arial"/>
        </w:rPr>
        <w:t xml:space="preserve">To further understand the classification capabilities of the hybrid model, the confusion matrix was examined in detail. </w:t>
      </w:r>
      <w:r w:rsidR="00940FFE" w:rsidRPr="00940FFE">
        <w:rPr>
          <w:rFonts w:ascii="Arial" w:hAnsi="Arial" w:cs="Arial"/>
        </w:rPr>
        <w:t xml:space="preserve">The confusion matrix for the hybrid ensemble model provides a detailed view of the model’s classification performance across three engagement-performance categories: High, Medium, and Low. </w:t>
      </w:r>
      <w:r w:rsidRPr="00595BC6">
        <w:rPr>
          <w:rFonts w:ascii="Arial" w:hAnsi="Arial" w:cs="Arial"/>
        </w:rPr>
        <w:t>The results are shown in Table 2</w:t>
      </w:r>
      <w:r>
        <w:rPr>
          <w:rFonts w:ascii="Arial" w:hAnsi="Arial" w:cs="Arial"/>
        </w:rPr>
        <w:t>.</w:t>
      </w:r>
    </w:p>
    <w:p w14:paraId="29955937" w14:textId="77777777" w:rsidR="00595BC6" w:rsidRDefault="00595BC6" w:rsidP="00595BC6">
      <w:pPr>
        <w:rPr>
          <w:rFonts w:ascii="Arial" w:hAnsi="Arial" w:cs="Arial"/>
        </w:rPr>
      </w:pPr>
    </w:p>
    <w:p w14:paraId="618C604E" w14:textId="77777777" w:rsidR="00012568" w:rsidRPr="00B869B8" w:rsidRDefault="00012568" w:rsidP="00B869B8">
      <w:pPr>
        <w:tabs>
          <w:tab w:val="left" w:pos="1080"/>
        </w:tabs>
        <w:jc w:val="both"/>
        <w:rPr>
          <w:rFonts w:ascii="Arial" w:hAnsi="Arial"/>
          <w:b/>
        </w:rPr>
      </w:pPr>
      <w:r w:rsidRPr="00B869B8">
        <w:rPr>
          <w:rFonts w:ascii="Arial" w:hAnsi="Arial"/>
          <w:b/>
        </w:rPr>
        <w:t>Table 2. Confusion Matrix of the Hybrid Ensemble Model on the Test Dataset</w:t>
      </w:r>
    </w:p>
    <w:tbl>
      <w:tblPr>
        <w:tblW w:w="8076" w:type="dxa"/>
        <w:tblCellSpacing w:w="15" w:type="dxa"/>
        <w:tblInd w:w="40" w:type="dxa"/>
        <w:tblCellMar>
          <w:top w:w="15" w:type="dxa"/>
          <w:left w:w="15" w:type="dxa"/>
          <w:bottom w:w="15" w:type="dxa"/>
          <w:right w:w="15" w:type="dxa"/>
        </w:tblCellMar>
        <w:tblLook w:val="04A0" w:firstRow="1" w:lastRow="0" w:firstColumn="1" w:lastColumn="0" w:noHBand="0" w:noVBand="1"/>
      </w:tblPr>
      <w:tblGrid>
        <w:gridCol w:w="1997"/>
        <w:gridCol w:w="1898"/>
        <w:gridCol w:w="2319"/>
        <w:gridCol w:w="1862"/>
      </w:tblGrid>
      <w:tr w:rsidR="00A13F78" w:rsidRPr="00595BC6" w14:paraId="5A5025EA" w14:textId="77777777" w:rsidTr="00A25F6F">
        <w:trPr>
          <w:trHeight w:val="111"/>
          <w:tblHeader/>
          <w:tblCellSpacing w:w="15" w:type="dxa"/>
        </w:trPr>
        <w:tc>
          <w:tcPr>
            <w:tcW w:w="0" w:type="auto"/>
            <w:tcBorders>
              <w:top w:val="single" w:sz="4" w:space="0" w:color="auto"/>
              <w:bottom w:val="single" w:sz="4" w:space="0" w:color="auto"/>
            </w:tcBorders>
            <w:vAlign w:val="center"/>
            <w:hideMark/>
          </w:tcPr>
          <w:p w14:paraId="61577B8E" w14:textId="77777777" w:rsidR="00595BC6" w:rsidRPr="00595BC6" w:rsidRDefault="00595BC6" w:rsidP="00A13F78">
            <w:pPr>
              <w:jc w:val="center"/>
              <w:rPr>
                <w:rFonts w:ascii="Times New Roman" w:hAnsi="Times New Roman"/>
                <w:sz w:val="24"/>
                <w:szCs w:val="24"/>
                <w:lang w:eastAsia="ru-RU"/>
              </w:rPr>
            </w:pPr>
          </w:p>
        </w:tc>
        <w:tc>
          <w:tcPr>
            <w:tcW w:w="0" w:type="auto"/>
            <w:tcBorders>
              <w:top w:val="single" w:sz="4" w:space="0" w:color="auto"/>
              <w:bottom w:val="single" w:sz="4" w:space="0" w:color="auto"/>
            </w:tcBorders>
            <w:vAlign w:val="center"/>
            <w:hideMark/>
          </w:tcPr>
          <w:p w14:paraId="742BF403" w14:textId="77777777"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Predicted High</w:t>
            </w:r>
          </w:p>
        </w:tc>
        <w:tc>
          <w:tcPr>
            <w:tcW w:w="0" w:type="auto"/>
            <w:tcBorders>
              <w:top w:val="single" w:sz="4" w:space="0" w:color="auto"/>
              <w:bottom w:val="single" w:sz="4" w:space="0" w:color="auto"/>
            </w:tcBorders>
            <w:vAlign w:val="center"/>
            <w:hideMark/>
          </w:tcPr>
          <w:p w14:paraId="553D19D7" w14:textId="77777777"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Predicted Medium</w:t>
            </w:r>
          </w:p>
        </w:tc>
        <w:tc>
          <w:tcPr>
            <w:tcW w:w="0" w:type="auto"/>
            <w:tcBorders>
              <w:top w:val="single" w:sz="4" w:space="0" w:color="auto"/>
              <w:bottom w:val="single" w:sz="4" w:space="0" w:color="auto"/>
            </w:tcBorders>
            <w:vAlign w:val="center"/>
            <w:hideMark/>
          </w:tcPr>
          <w:p w14:paraId="24152599" w14:textId="77777777"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Predicted Low</w:t>
            </w:r>
          </w:p>
        </w:tc>
      </w:tr>
      <w:tr w:rsidR="00A13F78" w:rsidRPr="00595BC6" w14:paraId="4DCCF319" w14:textId="77777777" w:rsidTr="008F65F4">
        <w:trPr>
          <w:trHeight w:val="105"/>
          <w:tblCellSpacing w:w="15" w:type="dxa"/>
        </w:trPr>
        <w:tc>
          <w:tcPr>
            <w:tcW w:w="0" w:type="auto"/>
            <w:vAlign w:val="center"/>
            <w:hideMark/>
          </w:tcPr>
          <w:p w14:paraId="4FCB58D9" w14:textId="77777777"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Actual High</w:t>
            </w:r>
          </w:p>
        </w:tc>
        <w:tc>
          <w:tcPr>
            <w:tcW w:w="0" w:type="auto"/>
            <w:vAlign w:val="center"/>
            <w:hideMark/>
          </w:tcPr>
          <w:p w14:paraId="471C6AAD" w14:textId="77777777" w:rsidR="00595BC6" w:rsidRPr="005C1B3A" w:rsidRDefault="009C37FE" w:rsidP="00A13F78">
            <w:pPr>
              <w:jc w:val="center"/>
              <w:rPr>
                <w:rFonts w:ascii="Times New Roman" w:hAnsi="Times New Roman"/>
                <w:sz w:val="24"/>
                <w:szCs w:val="24"/>
                <w:lang w:val="az-Latn-AZ" w:eastAsia="ru-RU"/>
              </w:rPr>
            </w:pPr>
            <w:r>
              <w:rPr>
                <w:rFonts w:ascii="Times New Roman" w:hAnsi="Times New Roman"/>
                <w:sz w:val="24"/>
                <w:szCs w:val="24"/>
                <w:lang w:val="az-Latn-AZ" w:eastAsia="ru-RU"/>
              </w:rPr>
              <w:t>1</w:t>
            </w:r>
            <w:r w:rsidR="005C1B3A">
              <w:rPr>
                <w:rFonts w:ascii="Times New Roman" w:hAnsi="Times New Roman"/>
                <w:sz w:val="24"/>
                <w:szCs w:val="24"/>
                <w:lang w:val="az-Latn-AZ" w:eastAsia="ru-RU"/>
              </w:rPr>
              <w:t>3</w:t>
            </w:r>
          </w:p>
        </w:tc>
        <w:tc>
          <w:tcPr>
            <w:tcW w:w="0" w:type="auto"/>
            <w:vAlign w:val="center"/>
            <w:hideMark/>
          </w:tcPr>
          <w:p w14:paraId="283553A1"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8</w:t>
            </w:r>
          </w:p>
        </w:tc>
        <w:tc>
          <w:tcPr>
            <w:tcW w:w="0" w:type="auto"/>
            <w:vAlign w:val="center"/>
            <w:hideMark/>
          </w:tcPr>
          <w:p w14:paraId="20D606BB"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4</w:t>
            </w:r>
          </w:p>
        </w:tc>
      </w:tr>
      <w:tr w:rsidR="00A13F78" w:rsidRPr="00595BC6" w14:paraId="6EAE129D" w14:textId="77777777" w:rsidTr="00A25F6F">
        <w:trPr>
          <w:trHeight w:val="93"/>
          <w:tblCellSpacing w:w="15" w:type="dxa"/>
        </w:trPr>
        <w:tc>
          <w:tcPr>
            <w:tcW w:w="0" w:type="auto"/>
            <w:tcBorders>
              <w:top w:val="single" w:sz="4" w:space="0" w:color="auto"/>
              <w:bottom w:val="single" w:sz="4" w:space="0" w:color="auto"/>
            </w:tcBorders>
            <w:vAlign w:val="center"/>
            <w:hideMark/>
          </w:tcPr>
          <w:p w14:paraId="4A96E4A4" w14:textId="77777777"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Actual Medium</w:t>
            </w:r>
          </w:p>
        </w:tc>
        <w:tc>
          <w:tcPr>
            <w:tcW w:w="0" w:type="auto"/>
            <w:tcBorders>
              <w:top w:val="single" w:sz="4" w:space="0" w:color="auto"/>
              <w:bottom w:val="single" w:sz="4" w:space="0" w:color="auto"/>
            </w:tcBorders>
            <w:vAlign w:val="center"/>
            <w:hideMark/>
          </w:tcPr>
          <w:p w14:paraId="19CE4A43"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5</w:t>
            </w:r>
          </w:p>
        </w:tc>
        <w:tc>
          <w:tcPr>
            <w:tcW w:w="0" w:type="auto"/>
            <w:tcBorders>
              <w:top w:val="single" w:sz="4" w:space="0" w:color="auto"/>
              <w:bottom w:val="single" w:sz="4" w:space="0" w:color="auto"/>
            </w:tcBorders>
            <w:vAlign w:val="center"/>
            <w:hideMark/>
          </w:tcPr>
          <w:p w14:paraId="1A03A849"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14</w:t>
            </w:r>
          </w:p>
        </w:tc>
        <w:tc>
          <w:tcPr>
            <w:tcW w:w="0" w:type="auto"/>
            <w:tcBorders>
              <w:top w:val="single" w:sz="4" w:space="0" w:color="auto"/>
              <w:bottom w:val="single" w:sz="4" w:space="0" w:color="auto"/>
            </w:tcBorders>
            <w:vAlign w:val="center"/>
            <w:hideMark/>
          </w:tcPr>
          <w:p w14:paraId="195BB7FD"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6</w:t>
            </w:r>
          </w:p>
        </w:tc>
      </w:tr>
      <w:tr w:rsidR="00A13F78" w:rsidRPr="00595BC6" w14:paraId="21456D11" w14:textId="77777777" w:rsidTr="00A25F6F">
        <w:trPr>
          <w:trHeight w:val="32"/>
          <w:tblCellSpacing w:w="15" w:type="dxa"/>
        </w:trPr>
        <w:tc>
          <w:tcPr>
            <w:tcW w:w="0" w:type="auto"/>
            <w:tcBorders>
              <w:bottom w:val="single" w:sz="4" w:space="0" w:color="auto"/>
            </w:tcBorders>
            <w:vAlign w:val="center"/>
            <w:hideMark/>
          </w:tcPr>
          <w:p w14:paraId="270D0999" w14:textId="77777777" w:rsidR="00595BC6" w:rsidRPr="00595BC6" w:rsidRDefault="00595BC6" w:rsidP="00A13F78">
            <w:pPr>
              <w:jc w:val="center"/>
              <w:rPr>
                <w:rFonts w:ascii="Times New Roman" w:hAnsi="Times New Roman"/>
                <w:bCs/>
                <w:sz w:val="24"/>
                <w:szCs w:val="24"/>
                <w:lang w:val="ru-RU" w:eastAsia="ru-RU"/>
              </w:rPr>
            </w:pPr>
            <w:r w:rsidRPr="00595BC6">
              <w:rPr>
                <w:rFonts w:ascii="Times New Roman" w:hAnsi="Times New Roman"/>
                <w:bCs/>
                <w:sz w:val="24"/>
                <w:szCs w:val="24"/>
                <w:lang w:val="ru-RU" w:eastAsia="ru-RU"/>
              </w:rPr>
              <w:t>Actual Low</w:t>
            </w:r>
          </w:p>
        </w:tc>
        <w:tc>
          <w:tcPr>
            <w:tcW w:w="0" w:type="auto"/>
            <w:tcBorders>
              <w:bottom w:val="single" w:sz="4" w:space="0" w:color="auto"/>
            </w:tcBorders>
            <w:vAlign w:val="center"/>
            <w:hideMark/>
          </w:tcPr>
          <w:p w14:paraId="3A35F019"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3</w:t>
            </w:r>
          </w:p>
        </w:tc>
        <w:tc>
          <w:tcPr>
            <w:tcW w:w="0" w:type="auto"/>
            <w:tcBorders>
              <w:bottom w:val="single" w:sz="4" w:space="0" w:color="auto"/>
            </w:tcBorders>
            <w:vAlign w:val="center"/>
            <w:hideMark/>
          </w:tcPr>
          <w:p w14:paraId="4248CDCB" w14:textId="77777777" w:rsidR="00595BC6" w:rsidRPr="009C37FE" w:rsidRDefault="009C37FE" w:rsidP="00A13F78">
            <w:pPr>
              <w:jc w:val="center"/>
              <w:rPr>
                <w:rFonts w:ascii="Times New Roman" w:hAnsi="Times New Roman"/>
                <w:sz w:val="24"/>
                <w:szCs w:val="24"/>
                <w:lang w:val="az-Latn-AZ" w:eastAsia="ru-RU"/>
              </w:rPr>
            </w:pPr>
            <w:r>
              <w:rPr>
                <w:rFonts w:ascii="Times New Roman" w:hAnsi="Times New Roman"/>
                <w:sz w:val="24"/>
                <w:szCs w:val="24"/>
                <w:lang w:val="ru-RU" w:eastAsia="ru-RU"/>
              </w:rPr>
              <w:t>6</w:t>
            </w:r>
          </w:p>
        </w:tc>
        <w:tc>
          <w:tcPr>
            <w:tcW w:w="0" w:type="auto"/>
            <w:tcBorders>
              <w:bottom w:val="single" w:sz="4" w:space="0" w:color="auto"/>
            </w:tcBorders>
            <w:vAlign w:val="center"/>
            <w:hideMark/>
          </w:tcPr>
          <w:p w14:paraId="7E0BAEFF" w14:textId="77777777" w:rsidR="00595BC6" w:rsidRPr="00595BC6" w:rsidRDefault="009C37FE" w:rsidP="00A13F78">
            <w:pPr>
              <w:jc w:val="center"/>
              <w:rPr>
                <w:rFonts w:ascii="Times New Roman" w:hAnsi="Times New Roman"/>
                <w:sz w:val="24"/>
                <w:szCs w:val="24"/>
                <w:lang w:val="ru-RU" w:eastAsia="ru-RU"/>
              </w:rPr>
            </w:pPr>
            <w:r>
              <w:rPr>
                <w:rFonts w:ascii="Times New Roman" w:hAnsi="Times New Roman"/>
                <w:sz w:val="24"/>
                <w:szCs w:val="24"/>
                <w:lang w:val="ru-RU" w:eastAsia="ru-RU"/>
              </w:rPr>
              <w:t>16</w:t>
            </w:r>
          </w:p>
        </w:tc>
      </w:tr>
    </w:tbl>
    <w:p w14:paraId="7F75E589" w14:textId="77777777" w:rsidR="00595BC6" w:rsidRDefault="00595BC6" w:rsidP="00595BC6">
      <w:pPr>
        <w:rPr>
          <w:rFonts w:ascii="Arial" w:hAnsi="Arial" w:cs="Arial"/>
        </w:rPr>
      </w:pPr>
    </w:p>
    <w:p w14:paraId="68F3BA18" w14:textId="77777777" w:rsidR="00BA36FC" w:rsidRDefault="00B4263B" w:rsidP="00BA36FC">
      <w:pPr>
        <w:jc w:val="center"/>
        <w:rPr>
          <w:rFonts w:ascii="Arial" w:hAnsi="Arial" w:cs="Arial"/>
          <w:b/>
        </w:rPr>
      </w:pPr>
      <w:r>
        <w:rPr>
          <w:noProof/>
        </w:rPr>
        <w:drawing>
          <wp:inline distT="0" distB="0" distL="0" distR="0" wp14:anchorId="4F84BD12" wp14:editId="467119E2">
            <wp:extent cx="4656455" cy="3296973"/>
            <wp:effectExtent l="0" t="0" r="0" b="0"/>
            <wp:docPr id="4" name="Рисунок 4" descr="C:\Users\Фаррух\Downloads\output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Фаррух\Downloads\output (9).png"/>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Layer>
                          </a14:imgProps>
                        </a:ext>
                        <a:ext uri="{28A0092B-C50C-407E-A947-70E740481C1C}">
                          <a14:useLocalDpi xmlns:a14="http://schemas.microsoft.com/office/drawing/2010/main" val="0"/>
                        </a:ext>
                      </a:extLst>
                    </a:blip>
                    <a:srcRect t="5197"/>
                    <a:stretch>
                      <a:fillRect/>
                    </a:stretch>
                  </pic:blipFill>
                  <pic:spPr bwMode="auto">
                    <a:xfrm>
                      <a:off x="0" y="0"/>
                      <a:ext cx="4675183" cy="3310233"/>
                    </a:xfrm>
                    <a:prstGeom prst="rect">
                      <a:avLst/>
                    </a:prstGeom>
                    <a:noFill/>
                    <a:ln>
                      <a:noFill/>
                    </a:ln>
                    <a:extLst>
                      <a:ext uri="{53640926-AAD7-44D8-BBD7-CCE9431645EC}">
                        <a14:shadowObscured xmlns:a14="http://schemas.microsoft.com/office/drawing/2010/main"/>
                      </a:ext>
                    </a:extLst>
                  </pic:spPr>
                </pic:pic>
              </a:graphicData>
            </a:graphic>
          </wp:inline>
        </w:drawing>
      </w:r>
    </w:p>
    <w:p w14:paraId="69371856" w14:textId="77777777" w:rsidR="00BA36FC" w:rsidRPr="00B869B8" w:rsidRDefault="00BA36FC" w:rsidP="008A22B0">
      <w:pPr>
        <w:tabs>
          <w:tab w:val="left" w:pos="1080"/>
        </w:tabs>
        <w:rPr>
          <w:rFonts w:ascii="Arial" w:hAnsi="Arial"/>
          <w:b/>
        </w:rPr>
      </w:pPr>
      <w:r w:rsidRPr="00B869B8">
        <w:rPr>
          <w:rFonts w:ascii="Arial" w:hAnsi="Arial"/>
          <w:b/>
        </w:rPr>
        <w:t>Fig.</w:t>
      </w:r>
      <w:r w:rsidR="00A13170">
        <w:rPr>
          <w:rFonts w:ascii="Arial" w:hAnsi="Arial"/>
          <w:b/>
        </w:rPr>
        <w:t xml:space="preserve"> 2</w:t>
      </w:r>
      <w:r w:rsidRPr="00B869B8">
        <w:rPr>
          <w:rFonts w:ascii="Arial" w:hAnsi="Arial"/>
          <w:b/>
        </w:rPr>
        <w:t xml:space="preserve">. </w:t>
      </w:r>
      <w:r w:rsidR="009523CB" w:rsidRPr="00B869B8">
        <w:rPr>
          <w:rFonts w:ascii="Arial" w:hAnsi="Arial"/>
          <w:b/>
        </w:rPr>
        <w:t>Confusion Matrix of Hybrid Ensemble Model</w:t>
      </w:r>
    </w:p>
    <w:p w14:paraId="01AD917C" w14:textId="77777777" w:rsidR="00700328" w:rsidRPr="00B869B8" w:rsidRDefault="00700328" w:rsidP="00B869B8">
      <w:pPr>
        <w:tabs>
          <w:tab w:val="left" w:pos="1080"/>
        </w:tabs>
        <w:jc w:val="both"/>
        <w:rPr>
          <w:rFonts w:ascii="Arial" w:hAnsi="Arial"/>
          <w:b/>
        </w:rPr>
      </w:pPr>
    </w:p>
    <w:p w14:paraId="7AB2E748" w14:textId="77777777" w:rsidR="000549AA" w:rsidRPr="00B4263B" w:rsidRDefault="00B4263B" w:rsidP="00B4263B">
      <w:pPr>
        <w:jc w:val="both"/>
        <w:rPr>
          <w:rFonts w:ascii="Arial" w:hAnsi="Arial" w:cs="Arial"/>
          <w:bCs/>
        </w:rPr>
      </w:pPr>
      <w:r w:rsidRPr="00B4263B">
        <w:rPr>
          <w:rFonts w:ascii="Arial" w:hAnsi="Arial" w:cs="Arial"/>
          <w:bCs/>
        </w:rPr>
        <w:t>As shown in Figure 2, the hybrid ensemble model demonstrates strong classification performance across all student engagement-performance categories. The majority of predictions closely match the actual labels, indicating the model’s robustness and re</w:t>
      </w:r>
      <w:r>
        <w:rPr>
          <w:rFonts w:ascii="Arial" w:hAnsi="Arial" w:cs="Arial"/>
          <w:bCs/>
        </w:rPr>
        <w:t>liability</w:t>
      </w:r>
      <w:r w:rsidR="000549AA" w:rsidRPr="00B4263B">
        <w:rPr>
          <w:rFonts w:ascii="Arial" w:hAnsi="Arial" w:cs="Arial"/>
          <w:bCs/>
        </w:rPr>
        <w:t>:</w:t>
      </w:r>
    </w:p>
    <w:p w14:paraId="3C5FBFED" w14:textId="77777777" w:rsidR="00D61B44" w:rsidRPr="00890EB9" w:rsidRDefault="00D61B44" w:rsidP="00D61B44">
      <w:pPr>
        <w:pStyle w:val="Body"/>
        <w:numPr>
          <w:ilvl w:val="0"/>
          <w:numId w:val="46"/>
        </w:numPr>
        <w:spacing w:after="0"/>
        <w:rPr>
          <w:rFonts w:ascii="Arial" w:hAnsi="Arial" w:cs="Arial"/>
          <w:bCs/>
        </w:rPr>
      </w:pPr>
      <w:r w:rsidRPr="00890EB9">
        <w:rPr>
          <w:rFonts w:ascii="Arial" w:hAnsi="Arial" w:cs="Arial"/>
          <w:bCs/>
        </w:rPr>
        <w:t>High-performing students were correctly classified in 13 out of 17 cases, with 3 misclassified as Medium and 1 as Low. This suggests that the model has a relatively high accuracy in detecting high-engagement students, though minor overlap with adjacent classes still occurs.</w:t>
      </w:r>
    </w:p>
    <w:p w14:paraId="4052C0F0" w14:textId="77777777" w:rsidR="00D61B44" w:rsidRPr="00890EB9" w:rsidRDefault="00D61B44" w:rsidP="00D61B44">
      <w:pPr>
        <w:pStyle w:val="Body"/>
        <w:numPr>
          <w:ilvl w:val="0"/>
          <w:numId w:val="46"/>
        </w:numPr>
        <w:spacing w:after="0"/>
        <w:rPr>
          <w:rFonts w:ascii="Arial" w:hAnsi="Arial" w:cs="Arial"/>
          <w:bCs/>
        </w:rPr>
      </w:pPr>
      <w:r w:rsidRPr="00890EB9">
        <w:rPr>
          <w:rFonts w:ascii="Arial" w:hAnsi="Arial" w:cs="Arial"/>
          <w:bCs/>
        </w:rPr>
        <w:t xml:space="preserve">Medium-performing students were accurately identified in 21 out of 25 cases, while 2 were incorrectly labeled as High and 2 as Low. This shows a moderate level of </w:t>
      </w:r>
      <w:r w:rsidRPr="00890EB9">
        <w:rPr>
          <w:rFonts w:ascii="Arial" w:hAnsi="Arial" w:cs="Arial"/>
          <w:bCs/>
        </w:rPr>
        <w:lastRenderedPageBreak/>
        <w:t>classification ambiguity within the medium group, which could stem from variable behavioral signals typical of transitional learners.</w:t>
      </w:r>
    </w:p>
    <w:p w14:paraId="41C088DC" w14:textId="77777777" w:rsidR="00D61B44" w:rsidRPr="00890EB9" w:rsidRDefault="00D61B44" w:rsidP="00D61B44">
      <w:pPr>
        <w:pStyle w:val="Body"/>
        <w:numPr>
          <w:ilvl w:val="0"/>
          <w:numId w:val="46"/>
        </w:numPr>
        <w:spacing w:after="0"/>
        <w:rPr>
          <w:rFonts w:ascii="Arial" w:hAnsi="Arial" w:cs="Arial"/>
          <w:bCs/>
        </w:rPr>
      </w:pPr>
      <w:r w:rsidRPr="00890EB9">
        <w:rPr>
          <w:rFonts w:ascii="Arial" w:hAnsi="Arial" w:cs="Arial"/>
          <w:bCs/>
        </w:rPr>
        <w:t>Low-performing students were correctly predicted in 22 out of 25 cases, with only 1 instance misclassified as High and 2 as Medium. This result indicates the model’s strong capability in identifying students at risk of underperformance, with minimal confusion between Low and High performance categories.</w:t>
      </w:r>
    </w:p>
    <w:p w14:paraId="124F3950" w14:textId="77777777" w:rsidR="00D61B44" w:rsidRPr="00890EB9" w:rsidRDefault="00D61B44" w:rsidP="00D61B44">
      <w:pPr>
        <w:pStyle w:val="Body"/>
        <w:spacing w:after="0"/>
        <w:rPr>
          <w:rFonts w:ascii="Arial" w:hAnsi="Arial" w:cs="Arial"/>
          <w:bCs/>
        </w:rPr>
      </w:pPr>
      <w:r w:rsidRPr="00890EB9">
        <w:rPr>
          <w:rFonts w:ascii="Arial" w:hAnsi="Arial" w:cs="Arial"/>
          <w:bCs/>
        </w:rPr>
        <w:t>Overall, the confusion matrix highlights the model’s effectiveness in distinguishing clearly between High and Low performance groups, while revealing slightly more overlap within the Medium category. This reflects the real-world volatility of mid-performing students, whose behaviors may fluctuate and lack consistent engagement patterns. Addressing this ambiguity may require incorporating additional features such as emotional engagement indicators or finer-grained temporal behavior data.</w:t>
      </w:r>
    </w:p>
    <w:p w14:paraId="0456804B" w14:textId="77777777" w:rsidR="000549AA" w:rsidRDefault="000549AA" w:rsidP="00237724">
      <w:pPr>
        <w:pStyle w:val="Body"/>
        <w:spacing w:after="0"/>
        <w:rPr>
          <w:rFonts w:ascii="Arial" w:hAnsi="Arial" w:cs="Arial"/>
          <w:b/>
          <w:sz w:val="22"/>
        </w:rPr>
      </w:pPr>
    </w:p>
    <w:p w14:paraId="058462A4" w14:textId="77777777" w:rsidR="00237724" w:rsidRPr="00B16734" w:rsidRDefault="00237724" w:rsidP="00237724">
      <w:pPr>
        <w:pStyle w:val="Body"/>
        <w:spacing w:after="0"/>
        <w:rPr>
          <w:rFonts w:ascii="Arial" w:hAnsi="Arial" w:cs="Arial"/>
          <w:b/>
          <w:sz w:val="22"/>
        </w:rPr>
      </w:pPr>
      <w:r w:rsidRPr="00B16734">
        <w:rPr>
          <w:rFonts w:ascii="Arial" w:hAnsi="Arial" w:cs="Arial"/>
          <w:b/>
          <w:sz w:val="22"/>
        </w:rPr>
        <w:t>5.4 Feature Importance Analysis</w:t>
      </w:r>
    </w:p>
    <w:p w14:paraId="42C8D331" w14:textId="77777777" w:rsidR="00237724" w:rsidRDefault="00237724" w:rsidP="00441B6F">
      <w:pPr>
        <w:pStyle w:val="Body"/>
        <w:spacing w:after="0"/>
        <w:rPr>
          <w:rFonts w:ascii="Arial" w:hAnsi="Arial" w:cs="Arial"/>
        </w:rPr>
      </w:pPr>
    </w:p>
    <w:p w14:paraId="2D5ADFAF" w14:textId="77777777" w:rsidR="00A75F01" w:rsidRDefault="00807ECB" w:rsidP="00441B6F">
      <w:pPr>
        <w:pStyle w:val="Body"/>
        <w:spacing w:after="0"/>
        <w:rPr>
          <w:rFonts w:ascii="Arial" w:hAnsi="Arial" w:cs="Arial"/>
        </w:rPr>
      </w:pPr>
      <w:r w:rsidRPr="00807ECB">
        <w:rPr>
          <w:rFonts w:ascii="Arial" w:hAnsi="Arial" w:cs="Arial"/>
        </w:rPr>
        <w:t xml:space="preserve">An analysis of feature importance was conducted using the Decision Tree and SVM models to identify which behavioral indicators most significantly impacted academic performance prediction. The normalized importance scores are listed in the </w:t>
      </w:r>
      <w:r>
        <w:rPr>
          <w:rFonts w:ascii="Arial" w:hAnsi="Arial" w:cs="Arial"/>
        </w:rPr>
        <w:t>Table</w:t>
      </w:r>
      <w:r w:rsidRPr="00807ECB">
        <w:rPr>
          <w:rFonts w:ascii="Arial" w:hAnsi="Arial" w:cs="Arial"/>
        </w:rPr>
        <w:t xml:space="preserve"> </w:t>
      </w:r>
      <w:r>
        <w:rPr>
          <w:rFonts w:ascii="Arial" w:hAnsi="Arial" w:cs="Arial"/>
        </w:rPr>
        <w:t>3</w:t>
      </w:r>
      <w:r w:rsidRPr="00807ECB">
        <w:rPr>
          <w:rFonts w:ascii="Arial" w:hAnsi="Arial" w:cs="Arial"/>
        </w:rPr>
        <w:t>:</w:t>
      </w:r>
    </w:p>
    <w:p w14:paraId="12441119" w14:textId="77777777" w:rsidR="00700328" w:rsidRDefault="00700328" w:rsidP="00441B6F">
      <w:pPr>
        <w:pStyle w:val="Body"/>
        <w:spacing w:after="0"/>
        <w:rPr>
          <w:rFonts w:ascii="Arial" w:hAnsi="Arial" w:cs="Arial"/>
        </w:rPr>
      </w:pPr>
    </w:p>
    <w:p w14:paraId="58509B5C" w14:textId="77777777" w:rsidR="00D61D48" w:rsidRPr="00D61D48" w:rsidRDefault="00D61D48" w:rsidP="00441B6F">
      <w:pPr>
        <w:pStyle w:val="Body"/>
        <w:spacing w:after="0"/>
        <w:rPr>
          <w:rFonts w:ascii="Arial" w:hAnsi="Arial"/>
          <w:b/>
        </w:rPr>
      </w:pPr>
      <w:r w:rsidRPr="00D61D48">
        <w:rPr>
          <w:rFonts w:ascii="Arial" w:hAnsi="Arial"/>
          <w:b/>
        </w:rPr>
        <w:t>T</w:t>
      </w:r>
      <w:r w:rsidR="00B71EBC">
        <w:rPr>
          <w:rFonts w:ascii="Arial" w:hAnsi="Arial"/>
          <w:b/>
        </w:rPr>
        <w:t>able 3</w:t>
      </w:r>
      <w:r w:rsidRPr="00D61D48">
        <w:rPr>
          <w:rFonts w:ascii="Arial" w:hAnsi="Arial"/>
          <w:b/>
        </w:rPr>
        <w:t>. Feature Importance Scores for Behavioral Predictors of Academic Performance</w:t>
      </w:r>
    </w:p>
    <w:tbl>
      <w:tblPr>
        <w:tblW w:w="7649" w:type="dxa"/>
        <w:tblCellSpacing w:w="15" w:type="dxa"/>
        <w:tblCellMar>
          <w:top w:w="15" w:type="dxa"/>
          <w:left w:w="15" w:type="dxa"/>
          <w:bottom w:w="15" w:type="dxa"/>
          <w:right w:w="15" w:type="dxa"/>
        </w:tblCellMar>
        <w:tblLook w:val="04A0" w:firstRow="1" w:lastRow="0" w:firstColumn="1" w:lastColumn="0" w:noHBand="0" w:noVBand="1"/>
      </w:tblPr>
      <w:tblGrid>
        <w:gridCol w:w="4803"/>
        <w:gridCol w:w="2846"/>
      </w:tblGrid>
      <w:tr w:rsidR="00F81F20" w:rsidRPr="00F81F20" w14:paraId="0A93860B" w14:textId="77777777" w:rsidTr="00D03C2F">
        <w:trPr>
          <w:trHeight w:val="299"/>
          <w:tblHeader/>
          <w:tblCellSpacing w:w="15" w:type="dxa"/>
        </w:trPr>
        <w:tc>
          <w:tcPr>
            <w:tcW w:w="0" w:type="auto"/>
            <w:tcBorders>
              <w:top w:val="single" w:sz="4" w:space="0" w:color="auto"/>
              <w:bottom w:val="single" w:sz="4" w:space="0" w:color="auto"/>
            </w:tcBorders>
            <w:vAlign w:val="center"/>
            <w:hideMark/>
          </w:tcPr>
          <w:p w14:paraId="276509DD" w14:textId="77777777" w:rsidR="00F81F20" w:rsidRPr="00F81F20" w:rsidRDefault="00F81F20" w:rsidP="00F81F20">
            <w:pPr>
              <w:jc w:val="center"/>
              <w:rPr>
                <w:rFonts w:ascii="Times New Roman" w:hAnsi="Times New Roman"/>
                <w:b/>
                <w:bCs/>
                <w:sz w:val="24"/>
                <w:szCs w:val="24"/>
                <w:lang w:val="ru-RU" w:eastAsia="ru-RU"/>
              </w:rPr>
            </w:pPr>
            <w:r w:rsidRPr="00F81F20">
              <w:rPr>
                <w:rFonts w:ascii="Times New Roman" w:hAnsi="Times New Roman"/>
                <w:b/>
                <w:bCs/>
                <w:sz w:val="24"/>
                <w:szCs w:val="24"/>
                <w:lang w:val="ru-RU" w:eastAsia="ru-RU"/>
              </w:rPr>
              <w:t>Feature</w:t>
            </w:r>
          </w:p>
        </w:tc>
        <w:tc>
          <w:tcPr>
            <w:tcW w:w="0" w:type="auto"/>
            <w:tcBorders>
              <w:top w:val="single" w:sz="4" w:space="0" w:color="auto"/>
              <w:bottom w:val="single" w:sz="4" w:space="0" w:color="auto"/>
            </w:tcBorders>
            <w:vAlign w:val="center"/>
            <w:hideMark/>
          </w:tcPr>
          <w:p w14:paraId="6A383D46" w14:textId="77777777" w:rsidR="00F81F20" w:rsidRPr="00F81F20" w:rsidRDefault="00F81F20" w:rsidP="00F81F20">
            <w:pPr>
              <w:jc w:val="center"/>
              <w:rPr>
                <w:rFonts w:ascii="Times New Roman" w:hAnsi="Times New Roman"/>
                <w:b/>
                <w:bCs/>
                <w:sz w:val="24"/>
                <w:szCs w:val="24"/>
                <w:lang w:val="ru-RU" w:eastAsia="ru-RU"/>
              </w:rPr>
            </w:pPr>
            <w:r w:rsidRPr="00F81F20">
              <w:rPr>
                <w:rFonts w:ascii="Times New Roman" w:hAnsi="Times New Roman"/>
                <w:b/>
                <w:bCs/>
                <w:sz w:val="24"/>
                <w:szCs w:val="24"/>
                <w:lang w:val="ru-RU" w:eastAsia="ru-RU"/>
              </w:rPr>
              <w:t>Importance (%)</w:t>
            </w:r>
          </w:p>
        </w:tc>
      </w:tr>
      <w:tr w:rsidR="00F81F20" w:rsidRPr="00F81F20" w14:paraId="3A17C490" w14:textId="77777777" w:rsidTr="00D03C2F">
        <w:trPr>
          <w:trHeight w:val="283"/>
          <w:tblCellSpacing w:w="15" w:type="dxa"/>
        </w:trPr>
        <w:tc>
          <w:tcPr>
            <w:tcW w:w="0" w:type="auto"/>
            <w:tcBorders>
              <w:bottom w:val="single" w:sz="4" w:space="0" w:color="auto"/>
            </w:tcBorders>
            <w:vAlign w:val="center"/>
            <w:hideMark/>
          </w:tcPr>
          <w:p w14:paraId="5889FEC7"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Forum Participation</w:t>
            </w:r>
          </w:p>
        </w:tc>
        <w:tc>
          <w:tcPr>
            <w:tcW w:w="0" w:type="auto"/>
            <w:tcBorders>
              <w:bottom w:val="single" w:sz="4" w:space="0" w:color="auto"/>
            </w:tcBorders>
            <w:vAlign w:val="center"/>
            <w:hideMark/>
          </w:tcPr>
          <w:p w14:paraId="41000DA2"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34.2%</w:t>
            </w:r>
          </w:p>
        </w:tc>
      </w:tr>
      <w:tr w:rsidR="00F81F20" w:rsidRPr="00F81F20" w14:paraId="31896AE1" w14:textId="77777777" w:rsidTr="00F81F20">
        <w:trPr>
          <w:trHeight w:val="283"/>
          <w:tblCellSpacing w:w="15" w:type="dxa"/>
        </w:trPr>
        <w:tc>
          <w:tcPr>
            <w:tcW w:w="0" w:type="auto"/>
            <w:vAlign w:val="center"/>
            <w:hideMark/>
          </w:tcPr>
          <w:p w14:paraId="3CDC9171"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Assignment Completion Rate</w:t>
            </w:r>
          </w:p>
        </w:tc>
        <w:tc>
          <w:tcPr>
            <w:tcW w:w="0" w:type="auto"/>
            <w:vAlign w:val="center"/>
            <w:hideMark/>
          </w:tcPr>
          <w:p w14:paraId="74C480AD"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28.5%</w:t>
            </w:r>
          </w:p>
        </w:tc>
      </w:tr>
      <w:tr w:rsidR="00F81F20" w:rsidRPr="00F81F20" w14:paraId="25AD42E8" w14:textId="77777777" w:rsidTr="00D03C2F">
        <w:trPr>
          <w:trHeight w:val="299"/>
          <w:tblCellSpacing w:w="15" w:type="dxa"/>
        </w:trPr>
        <w:tc>
          <w:tcPr>
            <w:tcW w:w="0" w:type="auto"/>
            <w:tcBorders>
              <w:top w:val="single" w:sz="4" w:space="0" w:color="auto"/>
              <w:bottom w:val="single" w:sz="4" w:space="0" w:color="auto"/>
            </w:tcBorders>
            <w:vAlign w:val="center"/>
            <w:hideMark/>
          </w:tcPr>
          <w:p w14:paraId="7FD6014B"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Time Spent on Platform</w:t>
            </w:r>
          </w:p>
        </w:tc>
        <w:tc>
          <w:tcPr>
            <w:tcW w:w="0" w:type="auto"/>
            <w:tcBorders>
              <w:top w:val="single" w:sz="4" w:space="0" w:color="auto"/>
              <w:bottom w:val="single" w:sz="4" w:space="0" w:color="auto"/>
            </w:tcBorders>
            <w:vAlign w:val="center"/>
            <w:hideMark/>
          </w:tcPr>
          <w:p w14:paraId="4FFC85FE"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17.6%</w:t>
            </w:r>
          </w:p>
        </w:tc>
      </w:tr>
      <w:tr w:rsidR="00F81F20" w:rsidRPr="00F81F20" w14:paraId="54A5A041" w14:textId="77777777" w:rsidTr="00D03C2F">
        <w:trPr>
          <w:trHeight w:val="283"/>
          <w:tblCellSpacing w:w="15" w:type="dxa"/>
        </w:trPr>
        <w:tc>
          <w:tcPr>
            <w:tcW w:w="0" w:type="auto"/>
            <w:tcBorders>
              <w:bottom w:val="single" w:sz="4" w:space="0" w:color="auto"/>
            </w:tcBorders>
            <w:vAlign w:val="center"/>
            <w:hideMark/>
          </w:tcPr>
          <w:p w14:paraId="02EC8BC3"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Attendance Rate</w:t>
            </w:r>
          </w:p>
        </w:tc>
        <w:tc>
          <w:tcPr>
            <w:tcW w:w="0" w:type="auto"/>
            <w:tcBorders>
              <w:bottom w:val="single" w:sz="4" w:space="0" w:color="auto"/>
            </w:tcBorders>
            <w:vAlign w:val="center"/>
            <w:hideMark/>
          </w:tcPr>
          <w:p w14:paraId="47BA6446"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12.3%</w:t>
            </w:r>
          </w:p>
        </w:tc>
      </w:tr>
      <w:tr w:rsidR="00F81F20" w:rsidRPr="00F81F20" w14:paraId="2AB56AA7" w14:textId="77777777" w:rsidTr="00D03C2F">
        <w:trPr>
          <w:trHeight w:val="299"/>
          <w:tblCellSpacing w:w="15" w:type="dxa"/>
        </w:trPr>
        <w:tc>
          <w:tcPr>
            <w:tcW w:w="0" w:type="auto"/>
            <w:tcBorders>
              <w:bottom w:val="single" w:sz="4" w:space="0" w:color="auto"/>
            </w:tcBorders>
            <w:vAlign w:val="center"/>
            <w:hideMark/>
          </w:tcPr>
          <w:p w14:paraId="7101D1C0"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Peer Interaction Frequency</w:t>
            </w:r>
          </w:p>
        </w:tc>
        <w:tc>
          <w:tcPr>
            <w:tcW w:w="0" w:type="auto"/>
            <w:tcBorders>
              <w:bottom w:val="single" w:sz="4" w:space="0" w:color="auto"/>
            </w:tcBorders>
            <w:vAlign w:val="center"/>
            <w:hideMark/>
          </w:tcPr>
          <w:p w14:paraId="6DD8A16B" w14:textId="77777777" w:rsidR="00F81F20" w:rsidRPr="00F81F20" w:rsidRDefault="00F81F20" w:rsidP="00F81F20">
            <w:pPr>
              <w:jc w:val="center"/>
              <w:rPr>
                <w:rFonts w:ascii="Times New Roman" w:hAnsi="Times New Roman"/>
                <w:sz w:val="24"/>
                <w:szCs w:val="24"/>
                <w:lang w:val="ru-RU" w:eastAsia="ru-RU"/>
              </w:rPr>
            </w:pPr>
            <w:r w:rsidRPr="00F81F20">
              <w:rPr>
                <w:rFonts w:ascii="Times New Roman" w:hAnsi="Times New Roman"/>
                <w:sz w:val="24"/>
                <w:szCs w:val="24"/>
                <w:lang w:val="ru-RU" w:eastAsia="ru-RU"/>
              </w:rPr>
              <w:t>7.4%</w:t>
            </w:r>
          </w:p>
        </w:tc>
      </w:tr>
    </w:tbl>
    <w:p w14:paraId="0CC947FC" w14:textId="77777777" w:rsidR="00700328" w:rsidRDefault="00700328" w:rsidP="00441B6F">
      <w:pPr>
        <w:pStyle w:val="Body"/>
        <w:spacing w:after="0"/>
        <w:rPr>
          <w:rFonts w:ascii="Arial" w:hAnsi="Arial" w:cs="Arial"/>
        </w:rPr>
      </w:pPr>
    </w:p>
    <w:p w14:paraId="20DB54AF" w14:textId="77777777" w:rsidR="00700328" w:rsidRDefault="00EC453D" w:rsidP="00441B6F">
      <w:pPr>
        <w:pStyle w:val="Body"/>
        <w:spacing w:after="0"/>
        <w:rPr>
          <w:rFonts w:ascii="Arial" w:hAnsi="Arial" w:cs="Arial"/>
        </w:rPr>
      </w:pPr>
      <w:r w:rsidRPr="00EC453D">
        <w:rPr>
          <w:rFonts w:ascii="Arial" w:hAnsi="Arial" w:cs="Arial"/>
        </w:rPr>
        <w:t xml:space="preserve">The results indicate that forum participation and assignment completion were the most critical predictors of academic success. These findings reinforce the notion that active engagement in course activities is closely linked to positive learning outcomes, aligning with prior research </w:t>
      </w:r>
      <w:r w:rsidR="000055CA" w:rsidRPr="000055CA">
        <w:rPr>
          <w:rFonts w:ascii="Arial" w:hAnsi="Arial" w:cs="Arial"/>
        </w:rPr>
        <w:t>(Adnan et al., 2021).</w:t>
      </w:r>
    </w:p>
    <w:p w14:paraId="194C71A7" w14:textId="77777777" w:rsidR="00EC453D" w:rsidRPr="00925C3C" w:rsidRDefault="00EC453D" w:rsidP="00441B6F">
      <w:pPr>
        <w:pStyle w:val="Body"/>
        <w:spacing w:after="0"/>
        <w:rPr>
          <w:rFonts w:ascii="Arial" w:hAnsi="Arial" w:cs="Arial"/>
        </w:rPr>
      </w:pPr>
    </w:p>
    <w:p w14:paraId="24B0D05D" w14:textId="77777777" w:rsidR="000B1F71" w:rsidRPr="00925C3C" w:rsidRDefault="000B1F71" w:rsidP="000B1F71">
      <w:pPr>
        <w:jc w:val="both"/>
        <w:rPr>
          <w:rFonts w:ascii="Arial" w:hAnsi="Arial" w:cs="Arial"/>
        </w:rPr>
      </w:pPr>
      <w:r w:rsidRPr="00925C3C">
        <w:rPr>
          <w:rFonts w:ascii="Arial" w:hAnsi="Arial" w:cs="Arial"/>
        </w:rPr>
        <w:t>To analyze temporal patterns of student engagement, the Markov Chain and HMM components were applied to student activity logs. The state space was defined as:</w:t>
      </w:r>
    </w:p>
    <w:p w14:paraId="2E363835" w14:textId="77777777" w:rsidR="000B1F71" w:rsidRPr="00925C3C" w:rsidRDefault="000B1F71" w:rsidP="000B1F71">
      <w:pPr>
        <w:pStyle w:val="NormalWeb"/>
        <w:numPr>
          <w:ilvl w:val="0"/>
          <w:numId w:val="38"/>
        </w:numPr>
        <w:spacing w:before="0" w:beforeAutospacing="0" w:after="0" w:afterAutospacing="0"/>
        <w:rPr>
          <w:rFonts w:ascii="Arial" w:hAnsi="Arial" w:cs="Arial"/>
          <w:bCs/>
          <w:sz w:val="20"/>
          <w:szCs w:val="20"/>
          <w:lang w:val="en-US" w:eastAsia="en-US"/>
        </w:rPr>
      </w:pPr>
      <w:r w:rsidRPr="00925C3C">
        <w:rPr>
          <w:rFonts w:ascii="Arial" w:hAnsi="Arial" w:cs="Arial"/>
          <w:bCs/>
          <w:sz w:val="20"/>
          <w:szCs w:val="20"/>
          <w:lang w:val="en-US" w:eastAsia="en-US"/>
        </w:rPr>
        <w:t>S</w:t>
      </w:r>
      <w:r w:rsidRPr="00925C3C">
        <w:rPr>
          <w:rFonts w:ascii="Cambria Math" w:hAnsi="Cambria Math" w:cs="Cambria Math"/>
          <w:bCs/>
          <w:sz w:val="20"/>
          <w:szCs w:val="20"/>
          <w:lang w:val="en-US" w:eastAsia="en-US"/>
        </w:rPr>
        <w:t>₁</w:t>
      </w:r>
      <w:r w:rsidRPr="00925C3C">
        <w:rPr>
          <w:rFonts w:ascii="Arial" w:hAnsi="Arial" w:cs="Arial"/>
          <w:bCs/>
          <w:sz w:val="20"/>
          <w:szCs w:val="20"/>
          <w:lang w:val="en-US" w:eastAsia="en-US"/>
        </w:rPr>
        <w:t>: Low Engagement</w:t>
      </w:r>
    </w:p>
    <w:p w14:paraId="71171A79" w14:textId="77777777" w:rsidR="000B1F71" w:rsidRPr="00925C3C" w:rsidRDefault="000B1F71" w:rsidP="000B1F71">
      <w:pPr>
        <w:pStyle w:val="NormalWeb"/>
        <w:numPr>
          <w:ilvl w:val="0"/>
          <w:numId w:val="38"/>
        </w:numPr>
        <w:spacing w:before="0" w:beforeAutospacing="0" w:after="0" w:afterAutospacing="0"/>
        <w:rPr>
          <w:rFonts w:ascii="Arial" w:hAnsi="Arial" w:cs="Arial"/>
          <w:bCs/>
          <w:sz w:val="20"/>
          <w:szCs w:val="20"/>
          <w:lang w:val="en-US" w:eastAsia="en-US"/>
        </w:rPr>
      </w:pPr>
      <w:r w:rsidRPr="00925C3C">
        <w:rPr>
          <w:rFonts w:ascii="Arial" w:hAnsi="Arial" w:cs="Arial"/>
          <w:bCs/>
          <w:sz w:val="20"/>
          <w:szCs w:val="20"/>
          <w:lang w:val="en-US" w:eastAsia="en-US"/>
        </w:rPr>
        <w:t>S</w:t>
      </w:r>
      <w:r w:rsidRPr="00925C3C">
        <w:rPr>
          <w:rFonts w:ascii="Cambria Math" w:hAnsi="Cambria Math" w:cs="Cambria Math"/>
          <w:bCs/>
          <w:sz w:val="20"/>
          <w:szCs w:val="20"/>
          <w:lang w:val="en-US" w:eastAsia="en-US"/>
        </w:rPr>
        <w:t>₂</w:t>
      </w:r>
      <w:r w:rsidRPr="00925C3C">
        <w:rPr>
          <w:rFonts w:ascii="Arial" w:hAnsi="Arial" w:cs="Arial"/>
          <w:bCs/>
          <w:sz w:val="20"/>
          <w:szCs w:val="20"/>
          <w:lang w:val="en-US" w:eastAsia="en-US"/>
        </w:rPr>
        <w:t>: Medium Engagement</w:t>
      </w:r>
    </w:p>
    <w:p w14:paraId="1E5F9044" w14:textId="77777777" w:rsidR="000B1F71" w:rsidRPr="00925C3C" w:rsidRDefault="000B1F71" w:rsidP="000B1F71">
      <w:pPr>
        <w:pStyle w:val="NormalWeb"/>
        <w:numPr>
          <w:ilvl w:val="0"/>
          <w:numId w:val="38"/>
        </w:numPr>
        <w:spacing w:before="0" w:beforeAutospacing="0" w:after="0" w:afterAutospacing="0"/>
        <w:rPr>
          <w:rFonts w:ascii="Arial" w:hAnsi="Arial" w:cs="Arial"/>
          <w:bCs/>
          <w:sz w:val="20"/>
          <w:szCs w:val="20"/>
          <w:lang w:val="en-US" w:eastAsia="en-US"/>
        </w:rPr>
      </w:pPr>
      <w:r w:rsidRPr="00925C3C">
        <w:rPr>
          <w:rFonts w:ascii="Arial" w:hAnsi="Arial" w:cs="Arial"/>
          <w:bCs/>
          <w:sz w:val="20"/>
          <w:szCs w:val="20"/>
          <w:lang w:val="en-US" w:eastAsia="en-US"/>
        </w:rPr>
        <w:t>S</w:t>
      </w:r>
      <w:r w:rsidRPr="00925C3C">
        <w:rPr>
          <w:rFonts w:ascii="Cambria Math" w:hAnsi="Cambria Math" w:cs="Cambria Math"/>
          <w:bCs/>
          <w:sz w:val="20"/>
          <w:szCs w:val="20"/>
          <w:lang w:val="en-US" w:eastAsia="en-US"/>
        </w:rPr>
        <w:t>₃</w:t>
      </w:r>
      <w:r w:rsidRPr="00925C3C">
        <w:rPr>
          <w:rFonts w:ascii="Arial" w:hAnsi="Arial" w:cs="Arial"/>
          <w:bCs/>
          <w:sz w:val="20"/>
          <w:szCs w:val="20"/>
          <w:lang w:val="en-US" w:eastAsia="en-US"/>
        </w:rPr>
        <w:t>: High Engagement</w:t>
      </w:r>
    </w:p>
    <w:p w14:paraId="532E415E" w14:textId="77777777" w:rsidR="00EC453D" w:rsidRDefault="00EC453D" w:rsidP="00441B6F">
      <w:pPr>
        <w:pStyle w:val="Body"/>
        <w:spacing w:after="0"/>
        <w:rPr>
          <w:rFonts w:ascii="Arial" w:hAnsi="Arial" w:cs="Arial"/>
        </w:rPr>
      </w:pPr>
    </w:p>
    <w:p w14:paraId="308E839F" w14:textId="77777777" w:rsidR="003E5BE0" w:rsidRPr="003E5BE0" w:rsidRDefault="003E5BE0" w:rsidP="003E5BE0">
      <w:pPr>
        <w:pStyle w:val="Body"/>
        <w:spacing w:after="0"/>
        <w:rPr>
          <w:rFonts w:ascii="Arial" w:hAnsi="Arial" w:cs="Arial"/>
          <w:b/>
          <w:bCs/>
        </w:rPr>
      </w:pPr>
      <w:r w:rsidRPr="00B16734">
        <w:rPr>
          <w:rFonts w:ascii="Arial" w:hAnsi="Arial" w:cs="Arial"/>
          <w:b/>
          <w:sz w:val="22"/>
        </w:rPr>
        <w:t>5.5 Temporal Behavior Modeling with Markov Chains</w:t>
      </w:r>
    </w:p>
    <w:p w14:paraId="665C47BF" w14:textId="77777777" w:rsidR="003E5BE0" w:rsidRDefault="003E5BE0" w:rsidP="0036562D">
      <w:pPr>
        <w:pStyle w:val="Body"/>
        <w:spacing w:after="0"/>
        <w:rPr>
          <w:rFonts w:ascii="Arial" w:hAnsi="Arial" w:cs="Arial"/>
        </w:rPr>
      </w:pPr>
    </w:p>
    <w:p w14:paraId="7D39542F" w14:textId="77777777" w:rsidR="0036562D" w:rsidRDefault="0036562D" w:rsidP="0036562D">
      <w:pPr>
        <w:pStyle w:val="Body"/>
        <w:spacing w:after="0"/>
        <w:rPr>
          <w:rFonts w:ascii="Arial" w:hAnsi="Arial" w:cs="Arial"/>
        </w:rPr>
      </w:pPr>
      <w:r w:rsidRPr="0036562D">
        <w:rPr>
          <w:rFonts w:ascii="Arial" w:hAnsi="Arial" w:cs="Arial"/>
        </w:rPr>
        <w:t xml:space="preserve">The transition probability matrix derived from the Markov Chain is </w:t>
      </w:r>
      <w:r w:rsidRPr="00925C3C">
        <w:rPr>
          <w:rFonts w:ascii="Arial" w:hAnsi="Arial" w:cs="Arial"/>
        </w:rPr>
        <w:t xml:space="preserve">presented in </w:t>
      </w:r>
      <w:r w:rsidRPr="00925C3C">
        <w:rPr>
          <w:rFonts w:ascii="Arial" w:hAnsi="Arial" w:cs="Arial"/>
          <w:bCs/>
        </w:rPr>
        <w:t>Table 4</w:t>
      </w:r>
      <w:r w:rsidRPr="00925C3C">
        <w:rPr>
          <w:rFonts w:ascii="Arial" w:hAnsi="Arial" w:cs="Arial"/>
        </w:rPr>
        <w:t>,</w:t>
      </w:r>
      <w:r w:rsidRPr="0036562D">
        <w:rPr>
          <w:rFonts w:ascii="Arial" w:hAnsi="Arial" w:cs="Arial"/>
        </w:rPr>
        <w:t xml:space="preserve"> illustrating the likelihood of students transitioning between different levels of engagement</w:t>
      </w:r>
      <w:r w:rsidR="0070212E">
        <w:rPr>
          <w:rFonts w:ascii="Arial" w:hAnsi="Arial" w:cs="Arial"/>
        </w:rPr>
        <w:t xml:space="preserve"> </w:t>
      </w:r>
      <w:r w:rsidR="0070212E" w:rsidRPr="0070212E">
        <w:rPr>
          <w:rFonts w:ascii="Arial" w:hAnsi="Arial" w:cs="Arial"/>
        </w:rPr>
        <w:t>over tim</w:t>
      </w:r>
      <w:r w:rsidR="0070212E">
        <w:rPr>
          <w:rFonts w:ascii="Arial" w:hAnsi="Arial" w:cs="Arial"/>
        </w:rPr>
        <w:t>e</w:t>
      </w:r>
      <w:r w:rsidRPr="0036562D">
        <w:rPr>
          <w:rFonts w:ascii="Arial" w:hAnsi="Arial" w:cs="Arial"/>
        </w:rPr>
        <w:t>.</w:t>
      </w:r>
    </w:p>
    <w:p w14:paraId="1B5F7B33" w14:textId="77777777" w:rsidR="007406CF" w:rsidRDefault="007406CF" w:rsidP="0036562D">
      <w:pPr>
        <w:pStyle w:val="Body"/>
        <w:spacing w:after="0"/>
        <w:rPr>
          <w:rFonts w:ascii="Arial" w:hAnsi="Arial"/>
          <w:b/>
        </w:rPr>
      </w:pPr>
    </w:p>
    <w:p w14:paraId="39060B33" w14:textId="77777777" w:rsidR="0036562D" w:rsidRPr="00D61D48" w:rsidRDefault="0036562D" w:rsidP="0036562D">
      <w:pPr>
        <w:pStyle w:val="Body"/>
        <w:spacing w:after="0"/>
        <w:rPr>
          <w:rFonts w:ascii="Arial" w:hAnsi="Arial"/>
          <w:b/>
        </w:rPr>
      </w:pPr>
      <w:r w:rsidRPr="00D61D48">
        <w:rPr>
          <w:rFonts w:ascii="Arial" w:hAnsi="Arial"/>
          <w:b/>
        </w:rPr>
        <w:t>T</w:t>
      </w:r>
      <w:r>
        <w:rPr>
          <w:rFonts w:ascii="Arial" w:hAnsi="Arial"/>
          <w:b/>
        </w:rPr>
        <w:t>able 4</w:t>
      </w:r>
      <w:r w:rsidRPr="00D61D48">
        <w:rPr>
          <w:rFonts w:ascii="Arial" w:hAnsi="Arial"/>
          <w:b/>
        </w:rPr>
        <w:t>. Feature Importance Scores for Behavioral Predictors of Academic Performance</w:t>
      </w:r>
    </w:p>
    <w:tbl>
      <w:tblPr>
        <w:tblW w:w="6174" w:type="dxa"/>
        <w:tblCellSpacing w:w="15" w:type="dxa"/>
        <w:tblInd w:w="1051" w:type="dxa"/>
        <w:tblCellMar>
          <w:top w:w="15" w:type="dxa"/>
          <w:left w:w="15" w:type="dxa"/>
          <w:bottom w:w="15" w:type="dxa"/>
          <w:right w:w="15" w:type="dxa"/>
        </w:tblCellMar>
        <w:tblLook w:val="04A0" w:firstRow="1" w:lastRow="0" w:firstColumn="1" w:lastColumn="0" w:noHBand="0" w:noVBand="1"/>
      </w:tblPr>
      <w:tblGrid>
        <w:gridCol w:w="1557"/>
        <w:gridCol w:w="1314"/>
        <w:gridCol w:w="1898"/>
        <w:gridCol w:w="1405"/>
      </w:tblGrid>
      <w:tr w:rsidR="007406CF" w:rsidRPr="007406CF" w14:paraId="6F21CFB0" w14:textId="77777777" w:rsidTr="0047635A">
        <w:trPr>
          <w:trHeight w:val="296"/>
          <w:tblHeader/>
          <w:tblCellSpacing w:w="15" w:type="dxa"/>
        </w:trPr>
        <w:tc>
          <w:tcPr>
            <w:tcW w:w="0" w:type="auto"/>
            <w:tcBorders>
              <w:top w:val="single" w:sz="4" w:space="0" w:color="auto"/>
            </w:tcBorders>
            <w:vAlign w:val="center"/>
            <w:hideMark/>
          </w:tcPr>
          <w:p w14:paraId="37E87BCB" w14:textId="77777777"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From \ To</w:t>
            </w:r>
          </w:p>
        </w:tc>
        <w:tc>
          <w:tcPr>
            <w:tcW w:w="0" w:type="auto"/>
            <w:tcBorders>
              <w:top w:val="single" w:sz="4" w:space="0" w:color="auto"/>
            </w:tcBorders>
            <w:vAlign w:val="center"/>
            <w:hideMark/>
          </w:tcPr>
          <w:p w14:paraId="6CE1F389" w14:textId="77777777"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S₁ (Low)</w:t>
            </w:r>
          </w:p>
        </w:tc>
        <w:tc>
          <w:tcPr>
            <w:tcW w:w="0" w:type="auto"/>
            <w:tcBorders>
              <w:top w:val="single" w:sz="4" w:space="0" w:color="auto"/>
            </w:tcBorders>
            <w:vAlign w:val="center"/>
            <w:hideMark/>
          </w:tcPr>
          <w:p w14:paraId="3348B1FA" w14:textId="77777777"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S₂ (Medium)</w:t>
            </w:r>
          </w:p>
        </w:tc>
        <w:tc>
          <w:tcPr>
            <w:tcW w:w="0" w:type="auto"/>
            <w:tcBorders>
              <w:top w:val="single" w:sz="4" w:space="0" w:color="auto"/>
            </w:tcBorders>
            <w:vAlign w:val="center"/>
            <w:hideMark/>
          </w:tcPr>
          <w:p w14:paraId="06E08A2F" w14:textId="77777777" w:rsidR="007406CF" w:rsidRPr="007406CF" w:rsidRDefault="007406CF" w:rsidP="007406CF">
            <w:pPr>
              <w:jc w:val="center"/>
              <w:rPr>
                <w:rFonts w:ascii="Times New Roman" w:hAnsi="Times New Roman"/>
                <w:b/>
                <w:bCs/>
                <w:sz w:val="24"/>
                <w:szCs w:val="24"/>
                <w:lang w:val="ru-RU" w:eastAsia="ru-RU"/>
              </w:rPr>
            </w:pPr>
            <w:r w:rsidRPr="007406CF">
              <w:rPr>
                <w:rFonts w:ascii="Times New Roman" w:hAnsi="Times New Roman"/>
                <w:b/>
                <w:bCs/>
                <w:sz w:val="24"/>
                <w:szCs w:val="24"/>
                <w:lang w:val="ru-RU" w:eastAsia="ru-RU"/>
              </w:rPr>
              <w:t>S₃ (High)</w:t>
            </w:r>
          </w:p>
        </w:tc>
      </w:tr>
      <w:tr w:rsidR="007406CF" w:rsidRPr="007406CF" w14:paraId="5D2B2F8E" w14:textId="77777777" w:rsidTr="0047635A">
        <w:trPr>
          <w:trHeight w:val="313"/>
          <w:tblCellSpacing w:w="15" w:type="dxa"/>
        </w:trPr>
        <w:tc>
          <w:tcPr>
            <w:tcW w:w="0" w:type="auto"/>
            <w:tcBorders>
              <w:top w:val="single" w:sz="4" w:space="0" w:color="auto"/>
            </w:tcBorders>
            <w:vAlign w:val="center"/>
            <w:hideMark/>
          </w:tcPr>
          <w:p w14:paraId="7F298FFD"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lastRenderedPageBreak/>
              <w:t>S₁</w:t>
            </w:r>
          </w:p>
        </w:tc>
        <w:tc>
          <w:tcPr>
            <w:tcW w:w="0" w:type="auto"/>
            <w:tcBorders>
              <w:top w:val="single" w:sz="4" w:space="0" w:color="auto"/>
            </w:tcBorders>
            <w:vAlign w:val="center"/>
            <w:hideMark/>
          </w:tcPr>
          <w:p w14:paraId="7885E341"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0.61</w:t>
            </w:r>
          </w:p>
        </w:tc>
        <w:tc>
          <w:tcPr>
            <w:tcW w:w="0" w:type="auto"/>
            <w:tcBorders>
              <w:top w:val="single" w:sz="4" w:space="0" w:color="auto"/>
            </w:tcBorders>
            <w:vAlign w:val="center"/>
            <w:hideMark/>
          </w:tcPr>
          <w:p w14:paraId="436C28AD"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0.29</w:t>
            </w:r>
          </w:p>
        </w:tc>
        <w:tc>
          <w:tcPr>
            <w:tcW w:w="0" w:type="auto"/>
            <w:tcBorders>
              <w:top w:val="single" w:sz="4" w:space="0" w:color="auto"/>
            </w:tcBorders>
            <w:vAlign w:val="center"/>
            <w:hideMark/>
          </w:tcPr>
          <w:p w14:paraId="27615CA0"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0.10</w:t>
            </w:r>
          </w:p>
        </w:tc>
      </w:tr>
      <w:tr w:rsidR="007406CF" w:rsidRPr="007406CF" w14:paraId="22C6542A" w14:textId="77777777" w:rsidTr="0047635A">
        <w:trPr>
          <w:trHeight w:val="296"/>
          <w:tblCellSpacing w:w="15" w:type="dxa"/>
        </w:trPr>
        <w:tc>
          <w:tcPr>
            <w:tcW w:w="0" w:type="auto"/>
            <w:tcBorders>
              <w:top w:val="single" w:sz="4" w:space="0" w:color="auto"/>
              <w:bottom w:val="single" w:sz="4" w:space="0" w:color="auto"/>
            </w:tcBorders>
            <w:vAlign w:val="center"/>
            <w:hideMark/>
          </w:tcPr>
          <w:p w14:paraId="5CCC34B9"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S₂</w:t>
            </w:r>
          </w:p>
        </w:tc>
        <w:tc>
          <w:tcPr>
            <w:tcW w:w="0" w:type="auto"/>
            <w:tcBorders>
              <w:top w:val="single" w:sz="4" w:space="0" w:color="auto"/>
              <w:bottom w:val="single" w:sz="4" w:space="0" w:color="auto"/>
            </w:tcBorders>
            <w:vAlign w:val="center"/>
            <w:hideMark/>
          </w:tcPr>
          <w:p w14:paraId="210F8AC1"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0.21</w:t>
            </w:r>
          </w:p>
        </w:tc>
        <w:tc>
          <w:tcPr>
            <w:tcW w:w="0" w:type="auto"/>
            <w:tcBorders>
              <w:top w:val="single" w:sz="4" w:space="0" w:color="auto"/>
              <w:bottom w:val="single" w:sz="4" w:space="0" w:color="auto"/>
            </w:tcBorders>
            <w:vAlign w:val="center"/>
            <w:hideMark/>
          </w:tcPr>
          <w:p w14:paraId="6C4AD704"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0.55</w:t>
            </w:r>
          </w:p>
        </w:tc>
        <w:tc>
          <w:tcPr>
            <w:tcW w:w="0" w:type="auto"/>
            <w:tcBorders>
              <w:top w:val="single" w:sz="4" w:space="0" w:color="auto"/>
              <w:bottom w:val="single" w:sz="4" w:space="0" w:color="auto"/>
            </w:tcBorders>
            <w:vAlign w:val="center"/>
            <w:hideMark/>
          </w:tcPr>
          <w:p w14:paraId="0E27AA8B"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0.24</w:t>
            </w:r>
          </w:p>
        </w:tc>
      </w:tr>
      <w:tr w:rsidR="007406CF" w:rsidRPr="007406CF" w14:paraId="23D2D7CD" w14:textId="77777777" w:rsidTr="0047635A">
        <w:trPr>
          <w:trHeight w:val="313"/>
          <w:tblCellSpacing w:w="15" w:type="dxa"/>
        </w:trPr>
        <w:tc>
          <w:tcPr>
            <w:tcW w:w="0" w:type="auto"/>
            <w:tcBorders>
              <w:bottom w:val="single" w:sz="4" w:space="0" w:color="auto"/>
            </w:tcBorders>
            <w:vAlign w:val="center"/>
            <w:hideMark/>
          </w:tcPr>
          <w:p w14:paraId="2D97958B"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S₃</w:t>
            </w:r>
          </w:p>
        </w:tc>
        <w:tc>
          <w:tcPr>
            <w:tcW w:w="0" w:type="auto"/>
            <w:tcBorders>
              <w:bottom w:val="single" w:sz="4" w:space="0" w:color="auto"/>
            </w:tcBorders>
            <w:vAlign w:val="center"/>
            <w:hideMark/>
          </w:tcPr>
          <w:p w14:paraId="2B50B782"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0.08</w:t>
            </w:r>
          </w:p>
        </w:tc>
        <w:tc>
          <w:tcPr>
            <w:tcW w:w="0" w:type="auto"/>
            <w:tcBorders>
              <w:bottom w:val="single" w:sz="4" w:space="0" w:color="auto"/>
            </w:tcBorders>
            <w:vAlign w:val="center"/>
            <w:hideMark/>
          </w:tcPr>
          <w:p w14:paraId="529CD10A"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0.18</w:t>
            </w:r>
          </w:p>
        </w:tc>
        <w:tc>
          <w:tcPr>
            <w:tcW w:w="0" w:type="auto"/>
            <w:tcBorders>
              <w:bottom w:val="single" w:sz="4" w:space="0" w:color="auto"/>
            </w:tcBorders>
            <w:vAlign w:val="center"/>
            <w:hideMark/>
          </w:tcPr>
          <w:p w14:paraId="650C4C2A" w14:textId="77777777" w:rsidR="007406CF" w:rsidRPr="007406CF" w:rsidRDefault="007406CF" w:rsidP="007406CF">
            <w:pPr>
              <w:jc w:val="center"/>
              <w:rPr>
                <w:rFonts w:ascii="Times New Roman" w:hAnsi="Times New Roman"/>
                <w:sz w:val="24"/>
                <w:szCs w:val="24"/>
                <w:lang w:val="ru-RU" w:eastAsia="ru-RU"/>
              </w:rPr>
            </w:pPr>
            <w:r w:rsidRPr="007406CF">
              <w:rPr>
                <w:rFonts w:ascii="Times New Roman" w:hAnsi="Times New Roman"/>
                <w:sz w:val="24"/>
                <w:szCs w:val="24"/>
                <w:lang w:val="ru-RU" w:eastAsia="ru-RU"/>
              </w:rPr>
              <w:t>0.74</w:t>
            </w:r>
          </w:p>
        </w:tc>
      </w:tr>
    </w:tbl>
    <w:p w14:paraId="6AADA691" w14:textId="77777777" w:rsidR="008624A6" w:rsidRPr="008624A6" w:rsidRDefault="008624A6" w:rsidP="00502DD8">
      <w:pPr>
        <w:pStyle w:val="Body"/>
        <w:spacing w:after="0"/>
        <w:jc w:val="center"/>
        <w:rPr>
          <w:rFonts w:ascii="Arial" w:hAnsi="Arial" w:cs="Arial"/>
          <w:i/>
        </w:rPr>
      </w:pPr>
      <w:r w:rsidRPr="008624A6">
        <w:rPr>
          <w:rFonts w:ascii="Arial" w:hAnsi="Arial" w:cs="Arial"/>
          <w:i/>
        </w:rPr>
        <w:t>*</w:t>
      </w:r>
      <w:r w:rsidR="003513F6" w:rsidRPr="003513F6">
        <w:rPr>
          <w:rFonts w:ascii="Arial" w:hAnsi="Arial" w:cs="Arial"/>
          <w:i/>
        </w:rPr>
        <w:t>Rows indicate current engagement state; columns indicate next probable state</w:t>
      </w:r>
    </w:p>
    <w:p w14:paraId="22DBF360" w14:textId="77777777" w:rsidR="00906DCE" w:rsidRDefault="00906DCE" w:rsidP="00906DCE">
      <w:pPr>
        <w:pStyle w:val="Body"/>
        <w:spacing w:after="0"/>
        <w:rPr>
          <w:rFonts w:ascii="Arial" w:hAnsi="Arial" w:cs="Arial"/>
        </w:rPr>
      </w:pPr>
    </w:p>
    <w:p w14:paraId="6B147686" w14:textId="77777777" w:rsidR="00906DCE" w:rsidRDefault="00906DCE" w:rsidP="00906DCE">
      <w:pPr>
        <w:pStyle w:val="Body"/>
        <w:spacing w:after="0"/>
        <w:rPr>
          <w:rFonts w:ascii="Arial" w:hAnsi="Arial" w:cs="Arial"/>
        </w:rPr>
      </w:pPr>
      <w:r w:rsidRPr="00906DCE">
        <w:rPr>
          <w:rFonts w:ascii="Arial" w:hAnsi="Arial" w:cs="Arial"/>
        </w:rPr>
        <w:t xml:space="preserve">This matrix suggests that </w:t>
      </w:r>
      <w:r w:rsidRPr="00925C3C">
        <w:rPr>
          <w:rFonts w:ascii="Arial" w:hAnsi="Arial" w:cs="Arial"/>
        </w:rPr>
        <w:t xml:space="preserve">students in the </w:t>
      </w:r>
      <w:r w:rsidRPr="00925C3C">
        <w:rPr>
          <w:rFonts w:ascii="Arial" w:hAnsi="Arial" w:cs="Arial"/>
          <w:bCs/>
        </w:rPr>
        <w:t>High Engagement</w:t>
      </w:r>
      <w:r w:rsidRPr="00925C3C">
        <w:rPr>
          <w:rFonts w:ascii="Arial" w:hAnsi="Arial" w:cs="Arial"/>
        </w:rPr>
        <w:t xml:space="preserve"> state have a strong probability (0.74) of remaining engaged in subsequent learning sessions, reflecting consistent behavioral persistence. In contrast, students in the </w:t>
      </w:r>
      <w:r w:rsidRPr="00925C3C">
        <w:rPr>
          <w:rFonts w:ascii="Arial" w:hAnsi="Arial" w:cs="Arial"/>
          <w:bCs/>
        </w:rPr>
        <w:t>Low Engagement</w:t>
      </w:r>
      <w:r w:rsidRPr="00925C3C">
        <w:rPr>
          <w:rFonts w:ascii="Arial" w:hAnsi="Arial" w:cs="Arial"/>
        </w:rPr>
        <w:t xml:space="preserve"> state show only a 10% probability of transitioning to </w:t>
      </w:r>
      <w:r w:rsidRPr="00925C3C">
        <w:rPr>
          <w:rFonts w:ascii="Arial" w:hAnsi="Arial" w:cs="Arial"/>
          <w:bCs/>
        </w:rPr>
        <w:t>High Engagement</w:t>
      </w:r>
      <w:r w:rsidRPr="00925C3C">
        <w:rPr>
          <w:rFonts w:ascii="Arial" w:hAnsi="Arial" w:cs="Arial"/>
        </w:rPr>
        <w:t xml:space="preserve">, indicating a significantly lower likelihood of self-correcting behavior without targeted support or pedagogical intervention. The </w:t>
      </w:r>
      <w:r w:rsidRPr="00925C3C">
        <w:rPr>
          <w:rFonts w:ascii="Arial" w:hAnsi="Arial" w:cs="Arial"/>
          <w:bCs/>
        </w:rPr>
        <w:t>Medium Engagement</w:t>
      </w:r>
      <w:r w:rsidRPr="00925C3C">
        <w:rPr>
          <w:rFonts w:ascii="Arial" w:hAnsi="Arial" w:cs="Arial"/>
        </w:rPr>
        <w:t xml:space="preserve"> group represents a transitional population, with noticeable probabilities of both upward and downward mobility (24% to High, 21% to Low), suggesting that this group is most sensitive to external stimuli</w:t>
      </w:r>
      <w:r w:rsidRPr="00906DCE">
        <w:rPr>
          <w:rFonts w:ascii="Arial" w:hAnsi="Arial" w:cs="Arial"/>
        </w:rPr>
        <w:t xml:space="preserve"> such as instructor feedback, peer influence, or platform design.</w:t>
      </w:r>
    </w:p>
    <w:p w14:paraId="0B13EBEB" w14:textId="77777777" w:rsidR="00906DCE" w:rsidRPr="00906DCE" w:rsidRDefault="00906DCE" w:rsidP="00906DCE">
      <w:pPr>
        <w:pStyle w:val="Body"/>
        <w:spacing w:after="0"/>
        <w:rPr>
          <w:rFonts w:ascii="Arial" w:hAnsi="Arial" w:cs="Arial"/>
        </w:rPr>
      </w:pPr>
    </w:p>
    <w:p w14:paraId="164E45F4" w14:textId="77777777" w:rsidR="00906DCE" w:rsidRDefault="002F1F16" w:rsidP="00925C3C">
      <w:pPr>
        <w:jc w:val="both"/>
        <w:rPr>
          <w:rFonts w:ascii="Arial" w:hAnsi="Arial" w:cs="Arial"/>
        </w:rPr>
      </w:pPr>
      <w:r w:rsidRPr="002F1F16">
        <w:rPr>
          <w:rFonts w:ascii="Arial" w:hAnsi="Arial" w:cs="Arial"/>
        </w:rPr>
        <w:t>Similar observations were reported by Hlosta et al. (2018) and Saqr et al. (2025), indicating that students with moderate engagement levels typically show more fluctuating behavioral patterns.</w:t>
      </w:r>
      <w:r w:rsidR="00906DCE" w:rsidRPr="00906DCE">
        <w:rPr>
          <w:rFonts w:ascii="Arial" w:hAnsi="Arial" w:cs="Arial"/>
        </w:rPr>
        <w:t xml:space="preserve"> Moreover, the presence of a strong self-loop in the High Engagement state supports previous claims that once students establish effective study habits in virtual environments, they are more likely to sustain high performance trajectories (</w:t>
      </w:r>
      <w:r w:rsidR="008C53A7">
        <w:rPr>
          <w:rFonts w:ascii="Arial" w:hAnsi="Arial" w:cs="Arial"/>
        </w:rPr>
        <w:t>Hlosta et al. (2018</w:t>
      </w:r>
      <w:r w:rsidR="00906DCE" w:rsidRPr="00906DCE">
        <w:rPr>
          <w:rFonts w:ascii="Arial" w:hAnsi="Arial" w:cs="Arial"/>
        </w:rPr>
        <w:t>).</w:t>
      </w:r>
    </w:p>
    <w:p w14:paraId="53DE623A" w14:textId="77777777" w:rsidR="00906DCE" w:rsidRPr="00906DCE" w:rsidRDefault="00906DCE" w:rsidP="00906DCE">
      <w:pPr>
        <w:pStyle w:val="Body"/>
        <w:spacing w:after="0"/>
        <w:rPr>
          <w:rFonts w:ascii="Arial" w:hAnsi="Arial" w:cs="Arial"/>
        </w:rPr>
      </w:pPr>
    </w:p>
    <w:p w14:paraId="156B3AF1" w14:textId="77777777" w:rsidR="00906DCE" w:rsidRDefault="00906DCE" w:rsidP="00906DCE">
      <w:pPr>
        <w:pStyle w:val="Body"/>
        <w:spacing w:after="0"/>
        <w:rPr>
          <w:rFonts w:ascii="Arial" w:hAnsi="Arial" w:cs="Arial"/>
        </w:rPr>
      </w:pPr>
      <w:r w:rsidRPr="00906DCE">
        <w:rPr>
          <w:rFonts w:ascii="Arial" w:hAnsi="Arial" w:cs="Arial"/>
        </w:rPr>
        <w:t xml:space="preserve">Additionally, the relatively high probability of persistence in the </w:t>
      </w:r>
      <w:r w:rsidRPr="006133E5">
        <w:rPr>
          <w:rFonts w:ascii="Arial" w:hAnsi="Arial" w:cs="Arial"/>
          <w:bCs/>
        </w:rPr>
        <w:t>Low Engagement</w:t>
      </w:r>
      <w:r w:rsidRPr="006133E5">
        <w:rPr>
          <w:rFonts w:ascii="Arial" w:hAnsi="Arial" w:cs="Arial"/>
        </w:rPr>
        <w:t xml:space="preserve"> state (0.61) is concerning. This supports the argument for early detection systems, which can identify at-risk learners and trigger adaptive interventions—such as personalized feedback or gamified nudges—before disengagement becomes entrenched (</w:t>
      </w:r>
      <w:r w:rsidR="006133E5">
        <w:rPr>
          <w:rFonts w:ascii="Arial" w:hAnsi="Arial" w:cs="Arial"/>
        </w:rPr>
        <w:t>Saqr et al., 2025</w:t>
      </w:r>
      <w:r w:rsidRPr="006133E5">
        <w:rPr>
          <w:rFonts w:ascii="Arial" w:hAnsi="Arial" w:cs="Arial"/>
        </w:rPr>
        <w:t>).</w:t>
      </w:r>
    </w:p>
    <w:p w14:paraId="073AC104" w14:textId="77777777" w:rsidR="00C12AA7" w:rsidRPr="006133E5" w:rsidRDefault="00C12AA7" w:rsidP="00906DCE">
      <w:pPr>
        <w:pStyle w:val="Body"/>
        <w:spacing w:after="0"/>
        <w:rPr>
          <w:rFonts w:ascii="Arial" w:hAnsi="Arial" w:cs="Arial"/>
        </w:rPr>
      </w:pPr>
    </w:p>
    <w:p w14:paraId="4DC0EA4B" w14:textId="77777777" w:rsidR="00906DCE" w:rsidRPr="006133E5" w:rsidRDefault="00906DCE" w:rsidP="00906DCE">
      <w:pPr>
        <w:pStyle w:val="Body"/>
        <w:spacing w:after="0"/>
        <w:rPr>
          <w:rFonts w:ascii="Arial" w:hAnsi="Arial" w:cs="Arial"/>
        </w:rPr>
      </w:pPr>
      <w:r w:rsidRPr="006133E5">
        <w:rPr>
          <w:rFonts w:ascii="Arial" w:hAnsi="Arial" w:cs="Arial"/>
        </w:rPr>
        <w:t xml:space="preserve">Thus, Markov Chain analysis not only provides a snapshot of behavioral trends but also reveals </w:t>
      </w:r>
      <w:r w:rsidRPr="006133E5">
        <w:rPr>
          <w:rFonts w:ascii="Arial" w:hAnsi="Arial" w:cs="Arial"/>
          <w:bCs/>
        </w:rPr>
        <w:t>temporal asymmetries</w:t>
      </w:r>
      <w:r w:rsidRPr="006133E5">
        <w:rPr>
          <w:rFonts w:ascii="Arial" w:hAnsi="Arial" w:cs="Arial"/>
        </w:rPr>
        <w:t xml:space="preserve"> in learning trajectories. It helps institutions identify </w:t>
      </w:r>
      <w:r w:rsidRPr="006133E5">
        <w:rPr>
          <w:rFonts w:ascii="Arial" w:hAnsi="Arial" w:cs="Arial"/>
          <w:bCs/>
        </w:rPr>
        <w:t>critical intervention points</w:t>
      </w:r>
      <w:r w:rsidRPr="006133E5">
        <w:rPr>
          <w:rFonts w:ascii="Arial" w:hAnsi="Arial" w:cs="Arial"/>
        </w:rPr>
        <w:t>, particularly for those in the Medium Engagement group who are most amenable to change.</w:t>
      </w:r>
    </w:p>
    <w:p w14:paraId="7CE928AB" w14:textId="77777777" w:rsidR="00555498" w:rsidRPr="00917DC2" w:rsidRDefault="00555498" w:rsidP="00555498">
      <w:pPr>
        <w:pStyle w:val="Body"/>
        <w:spacing w:after="0"/>
        <w:rPr>
          <w:rFonts w:ascii="Arial" w:hAnsi="Arial" w:cs="Arial"/>
        </w:rPr>
      </w:pPr>
    </w:p>
    <w:p w14:paraId="17CA17C4" w14:textId="77777777" w:rsidR="00B16734" w:rsidRPr="00F125A5" w:rsidRDefault="00B16734" w:rsidP="00B16734">
      <w:pPr>
        <w:pStyle w:val="Body"/>
        <w:spacing w:after="0"/>
        <w:rPr>
          <w:rFonts w:ascii="Arial" w:hAnsi="Arial" w:cs="Arial"/>
          <w:b/>
          <w:bCs/>
        </w:rPr>
      </w:pPr>
      <w:r w:rsidRPr="00B16734">
        <w:rPr>
          <w:rFonts w:ascii="Arial" w:hAnsi="Arial" w:cs="Arial"/>
          <w:b/>
          <w:sz w:val="22"/>
        </w:rPr>
        <w:t>5.6 Interpretation of Results</w:t>
      </w:r>
    </w:p>
    <w:p w14:paraId="3EFE868E" w14:textId="77777777" w:rsidR="00B16734" w:rsidRDefault="00B16734" w:rsidP="00555498">
      <w:pPr>
        <w:pStyle w:val="Body"/>
        <w:spacing w:after="0"/>
        <w:rPr>
          <w:rFonts w:ascii="Arial" w:hAnsi="Arial" w:cs="Arial"/>
        </w:rPr>
      </w:pPr>
    </w:p>
    <w:p w14:paraId="457CD2F2" w14:textId="77777777" w:rsidR="00555498" w:rsidRPr="00917DC2" w:rsidRDefault="00555498" w:rsidP="00555498">
      <w:pPr>
        <w:pStyle w:val="Body"/>
        <w:spacing w:after="0"/>
        <w:rPr>
          <w:rFonts w:ascii="Arial" w:hAnsi="Arial" w:cs="Arial"/>
        </w:rPr>
      </w:pPr>
      <w:r w:rsidRPr="00917DC2">
        <w:rPr>
          <w:rFonts w:ascii="Arial" w:hAnsi="Arial" w:cs="Arial"/>
        </w:rPr>
        <w:t>Furthermore, the HMMs provided probabilistic inferences regarding latent engagement dynamics. These models revealed cyclical patterns where students exhibited alternating periods of high and medium engagement before possible decline, indicating the necessity for timely pedagogical interventions.</w:t>
      </w:r>
    </w:p>
    <w:p w14:paraId="60B57431" w14:textId="77777777" w:rsidR="00700328" w:rsidRDefault="00700328" w:rsidP="00441B6F">
      <w:pPr>
        <w:pStyle w:val="Body"/>
        <w:spacing w:after="0"/>
        <w:rPr>
          <w:rFonts w:ascii="Arial" w:hAnsi="Arial" w:cs="Arial"/>
        </w:rPr>
      </w:pPr>
    </w:p>
    <w:p w14:paraId="2C375352" w14:textId="77777777" w:rsidR="00917DC2" w:rsidRPr="00917DC2" w:rsidRDefault="00917DC2" w:rsidP="00917DC2">
      <w:pPr>
        <w:pStyle w:val="Body"/>
        <w:spacing w:after="0"/>
        <w:rPr>
          <w:rFonts w:ascii="Arial" w:hAnsi="Arial" w:cs="Arial"/>
        </w:rPr>
      </w:pPr>
      <w:r w:rsidRPr="00917DC2">
        <w:rPr>
          <w:rFonts w:ascii="Arial" w:hAnsi="Arial" w:cs="Arial"/>
        </w:rPr>
        <w:t>The experimental findings indicate that the proposed hybrid ensemble model significantly outperforms traditional machine learning and probabilistic models in predicting student engagement and academic performance in virtual learning environments (VLEs). The integration of Markov Chains, Hidden Markov Models (HMMs), and classification algorithms such as SVM and Decision Trees yields a comprehensive framework that accounts for both temporal engagement patterns and static behavioral indicators.</w:t>
      </w:r>
    </w:p>
    <w:p w14:paraId="61842A42" w14:textId="77777777" w:rsidR="00917DC2" w:rsidRDefault="00917DC2" w:rsidP="00917DC2">
      <w:pPr>
        <w:pStyle w:val="Body"/>
        <w:spacing w:after="0"/>
        <w:rPr>
          <w:rFonts w:ascii="Arial" w:hAnsi="Arial" w:cs="Arial"/>
        </w:rPr>
      </w:pPr>
    </w:p>
    <w:p w14:paraId="26560C08" w14:textId="77777777" w:rsidR="00917DC2" w:rsidRPr="00917DC2" w:rsidRDefault="00917DC2" w:rsidP="00917DC2">
      <w:pPr>
        <w:pStyle w:val="Body"/>
        <w:spacing w:after="0"/>
        <w:rPr>
          <w:rFonts w:ascii="Arial" w:hAnsi="Arial" w:cs="Arial"/>
        </w:rPr>
      </w:pPr>
      <w:r w:rsidRPr="00917DC2">
        <w:rPr>
          <w:rFonts w:ascii="Arial" w:hAnsi="Arial" w:cs="Arial"/>
        </w:rPr>
        <w:t>The ensemble model achieved the highest acc</w:t>
      </w:r>
      <w:r w:rsidR="00834AEE">
        <w:rPr>
          <w:rFonts w:ascii="Arial" w:hAnsi="Arial" w:cs="Arial"/>
        </w:rPr>
        <w:t>uracy (91.9%) and F1-score (89.9</w:t>
      </w:r>
      <w:r w:rsidRPr="00917DC2">
        <w:rPr>
          <w:rFonts w:ascii="Arial" w:hAnsi="Arial" w:cs="Arial"/>
        </w:rPr>
        <w:t xml:space="preserve">%), outperforming standalone models across all evaluation metrics. The ROC-AUC score of 0.93 further supports the model’s strong predictive capability. Importantly, the model demonstrated a high level of interpretability by identifying key behavioral features such as </w:t>
      </w:r>
      <w:r w:rsidRPr="00917DC2">
        <w:rPr>
          <w:rFonts w:ascii="Arial" w:hAnsi="Arial" w:cs="Arial"/>
        </w:rPr>
        <w:lastRenderedPageBreak/>
        <w:t xml:space="preserve">forum participation and assignment completion as primary predictors of success. This finding is consistent with prior studies </w:t>
      </w:r>
      <w:r w:rsidR="004E46D2" w:rsidRPr="004E46D2">
        <w:rPr>
          <w:rFonts w:ascii="Arial" w:hAnsi="Arial" w:cs="Arial"/>
        </w:rPr>
        <w:t>(Adnan et al., 2021),</w:t>
      </w:r>
      <w:r w:rsidR="004E46D2">
        <w:rPr>
          <w:rFonts w:ascii="Arial" w:hAnsi="Arial" w:cs="Arial"/>
        </w:rPr>
        <w:t xml:space="preserve"> </w:t>
      </w:r>
      <w:r w:rsidRPr="00917DC2">
        <w:rPr>
          <w:rFonts w:ascii="Arial" w:hAnsi="Arial" w:cs="Arial"/>
        </w:rPr>
        <w:t>reaffirming the central role of active engagement in academic achievement.</w:t>
      </w:r>
    </w:p>
    <w:p w14:paraId="4E185184" w14:textId="77777777" w:rsidR="00917DC2" w:rsidRDefault="00917DC2" w:rsidP="00917DC2">
      <w:pPr>
        <w:pStyle w:val="Body"/>
        <w:spacing w:after="0"/>
        <w:rPr>
          <w:rFonts w:ascii="Arial" w:hAnsi="Arial" w:cs="Arial"/>
        </w:rPr>
      </w:pPr>
    </w:p>
    <w:p w14:paraId="15FC2127" w14:textId="77777777" w:rsidR="00917DC2" w:rsidRPr="00917DC2" w:rsidRDefault="00917DC2" w:rsidP="00917DC2">
      <w:pPr>
        <w:pStyle w:val="Body"/>
        <w:spacing w:after="0"/>
        <w:rPr>
          <w:rFonts w:ascii="Arial" w:hAnsi="Arial" w:cs="Arial"/>
        </w:rPr>
      </w:pPr>
      <w:r w:rsidRPr="00917DC2">
        <w:rPr>
          <w:rFonts w:ascii="Arial" w:hAnsi="Arial" w:cs="Arial"/>
        </w:rPr>
        <w:t>Moreover, the temporal modeling of engagement states through Markov Chains and HMMs revealed insightful patterns. Students in the “High Engagement” state were highly likely to remain engaged, while those in “Low Engagement” had a much lower probability of transition without intervention. These results highlight the value of early detection and timely support strategies.</w:t>
      </w:r>
    </w:p>
    <w:p w14:paraId="049093BD" w14:textId="77777777" w:rsidR="00917DC2" w:rsidRDefault="00917DC2" w:rsidP="00917DC2">
      <w:pPr>
        <w:pStyle w:val="Body"/>
        <w:spacing w:after="0"/>
        <w:rPr>
          <w:rFonts w:ascii="Arial" w:hAnsi="Arial" w:cs="Arial"/>
        </w:rPr>
      </w:pPr>
    </w:p>
    <w:p w14:paraId="39806079" w14:textId="77777777" w:rsidR="00917DC2" w:rsidRPr="00917DC2" w:rsidRDefault="00917DC2" w:rsidP="00917DC2">
      <w:pPr>
        <w:pStyle w:val="Body"/>
        <w:spacing w:after="0"/>
        <w:rPr>
          <w:rFonts w:ascii="Arial" w:hAnsi="Arial" w:cs="Arial"/>
        </w:rPr>
      </w:pPr>
      <w:r w:rsidRPr="00917DC2">
        <w:rPr>
          <w:rFonts w:ascii="Arial" w:hAnsi="Arial" w:cs="Arial"/>
        </w:rPr>
        <w:t>The study also uncovered that medium-engagement students were more prone to misclassification, possibly due to fluctuating behavioral signals. This suggests that future interventions should not only target at-risk students but also consider those in the middle performance range, whose success is more uncertain and sensitive to external factors.</w:t>
      </w:r>
    </w:p>
    <w:p w14:paraId="0D01DF3F" w14:textId="77777777" w:rsidR="00917DC2" w:rsidRDefault="00917DC2" w:rsidP="00917DC2">
      <w:pPr>
        <w:pStyle w:val="Body"/>
        <w:spacing w:after="0"/>
        <w:rPr>
          <w:rFonts w:ascii="Arial" w:hAnsi="Arial" w:cs="Arial"/>
        </w:rPr>
      </w:pPr>
    </w:p>
    <w:p w14:paraId="1BDE2CD6" w14:textId="77777777" w:rsidR="00917DC2" w:rsidRPr="00917DC2" w:rsidRDefault="00917DC2" w:rsidP="00917DC2">
      <w:pPr>
        <w:pStyle w:val="Body"/>
        <w:spacing w:after="0"/>
        <w:rPr>
          <w:rFonts w:ascii="Arial" w:hAnsi="Arial" w:cs="Arial"/>
        </w:rPr>
      </w:pPr>
      <w:r w:rsidRPr="00917DC2">
        <w:rPr>
          <w:rFonts w:ascii="Arial" w:hAnsi="Arial" w:cs="Arial"/>
        </w:rPr>
        <w:t>Collectively, the results confirm that combining probabilistic models with supervised learning algorithms offers a more nuanced and effective approach to monitoring and improving student outcomes in VLEs.</w:t>
      </w:r>
    </w:p>
    <w:p w14:paraId="356AC304" w14:textId="77777777" w:rsidR="00917DC2" w:rsidRDefault="00917DC2" w:rsidP="00441B6F">
      <w:pPr>
        <w:pStyle w:val="Body"/>
        <w:spacing w:after="0"/>
        <w:rPr>
          <w:rFonts w:ascii="Arial" w:hAnsi="Arial" w:cs="Arial"/>
        </w:rPr>
      </w:pPr>
    </w:p>
    <w:p w14:paraId="5BC84FE9" w14:textId="77777777" w:rsidR="00227900" w:rsidRDefault="00227900" w:rsidP="00227900">
      <w:pPr>
        <w:pStyle w:val="AbstHead"/>
        <w:spacing w:after="0"/>
        <w:jc w:val="both"/>
        <w:rPr>
          <w:rFonts w:ascii="Arial" w:hAnsi="Arial" w:cs="Arial"/>
        </w:rPr>
      </w:pPr>
      <w:r>
        <w:rPr>
          <w:rFonts w:ascii="Arial" w:hAnsi="Arial" w:cs="Arial"/>
        </w:rPr>
        <w:t xml:space="preserve">6. </w:t>
      </w:r>
      <w:r w:rsidR="004A29F2" w:rsidRPr="004A29F2">
        <w:rPr>
          <w:rFonts w:ascii="Arial" w:hAnsi="Arial" w:cs="Arial"/>
          <w:caps w:val="0"/>
        </w:rPr>
        <w:t>CONCLUSION</w:t>
      </w:r>
    </w:p>
    <w:p w14:paraId="2EAE8738" w14:textId="77777777" w:rsidR="00227900" w:rsidRDefault="00227900" w:rsidP="00441B6F">
      <w:pPr>
        <w:pStyle w:val="Body"/>
        <w:spacing w:after="0"/>
        <w:rPr>
          <w:rFonts w:ascii="Arial" w:hAnsi="Arial" w:cs="Arial"/>
        </w:rPr>
      </w:pPr>
    </w:p>
    <w:p w14:paraId="7886468F" w14:textId="77777777" w:rsidR="00AD6BB0" w:rsidRDefault="009B5084" w:rsidP="00441B6F">
      <w:pPr>
        <w:pStyle w:val="Body"/>
        <w:spacing w:after="0"/>
        <w:rPr>
          <w:rFonts w:ascii="Arial" w:hAnsi="Arial" w:cs="Arial"/>
        </w:rPr>
      </w:pPr>
      <w:r w:rsidRPr="009B5084">
        <w:rPr>
          <w:rFonts w:ascii="Arial" w:hAnsi="Arial" w:cs="Arial"/>
        </w:rPr>
        <w:t xml:space="preserve">This study </w:t>
      </w:r>
      <w:r w:rsidR="00E97205" w:rsidRPr="00E97205">
        <w:rPr>
          <w:rFonts w:ascii="Arial" w:hAnsi="Arial" w:cs="Arial"/>
        </w:rPr>
        <w:t>introduced an integrated prediction model that leverages Markovian processes and machine learning to evaluate student success and participation in virtual classrooms.</w:t>
      </w:r>
      <w:r w:rsidR="00E97205">
        <w:rPr>
          <w:rFonts w:ascii="Arial" w:hAnsi="Arial" w:cs="Arial"/>
        </w:rPr>
        <w:t xml:space="preserve"> </w:t>
      </w:r>
      <w:r w:rsidRPr="009B5084">
        <w:rPr>
          <w:rFonts w:ascii="Arial" w:hAnsi="Arial" w:cs="Arial"/>
        </w:rPr>
        <w:t>Through comprehensive analysis and experimentation on real-world student behavioral data, the proposed model demonstrated superior performance in terms of accuracy, interpretability, and tempor</w:t>
      </w:r>
      <w:r w:rsidR="00950DFC">
        <w:rPr>
          <w:rFonts w:ascii="Arial" w:hAnsi="Arial" w:cs="Arial"/>
        </w:rPr>
        <w:t xml:space="preserve">al sensitivity. </w:t>
      </w:r>
      <w:r w:rsidR="007D6638" w:rsidRPr="007D6638">
        <w:rPr>
          <w:rFonts w:ascii="Arial" w:hAnsi="Arial" w:cs="Arial"/>
        </w:rPr>
        <w:t>These findings can support LMS developers, academic advisors, and instructional designers in tailoring data-informed interventions.</w:t>
      </w:r>
    </w:p>
    <w:p w14:paraId="7A3052FC" w14:textId="77777777" w:rsidR="00DF1E22" w:rsidRDefault="00DF1E22" w:rsidP="00441B6F">
      <w:pPr>
        <w:pStyle w:val="Body"/>
        <w:spacing w:after="0"/>
        <w:rPr>
          <w:rFonts w:ascii="Arial" w:hAnsi="Arial" w:cs="Arial"/>
        </w:rPr>
      </w:pPr>
    </w:p>
    <w:p w14:paraId="516E2041" w14:textId="1B77131F" w:rsidR="00DF1E22" w:rsidRDefault="00DF1E22" w:rsidP="00441B6F">
      <w:pPr>
        <w:pStyle w:val="Body"/>
        <w:spacing w:after="0"/>
        <w:rPr>
          <w:rFonts w:ascii="Arial" w:hAnsi="Arial" w:cs="Arial"/>
        </w:rPr>
      </w:pPr>
      <w:r w:rsidRPr="00DF1E22">
        <w:rPr>
          <w:rFonts w:ascii="Arial" w:hAnsi="Arial" w:cs="Arial"/>
          <w:highlight w:val="yellow"/>
        </w:rPr>
        <w:t>Furthermore, the findings regarding the medium-engagement group hold significant pedagogical implications. This category of students demonstrated the highest behavioral volatility, indicating that they are more sensitive to timely feedback, personalized interventions, and peer influence compared to other groups. By proactively targeting medium-engagement students with adaptive support strategies, educational institutions can potentially shift them toward higher performance trajectories, thereby improving overall retention and learning outcomes.</w:t>
      </w:r>
    </w:p>
    <w:p w14:paraId="524DC646" w14:textId="77777777" w:rsidR="006828C4" w:rsidRDefault="006828C4" w:rsidP="00441B6F">
      <w:pPr>
        <w:pStyle w:val="Body"/>
        <w:spacing w:after="0"/>
        <w:rPr>
          <w:rFonts w:ascii="Arial" w:hAnsi="Arial" w:cs="Arial"/>
          <w:b/>
          <w:sz w:val="22"/>
        </w:rPr>
      </w:pPr>
    </w:p>
    <w:p w14:paraId="0CBC3BAE" w14:textId="77777777" w:rsidR="00F66BC9" w:rsidRPr="00786D36" w:rsidRDefault="00F66BC9" w:rsidP="00F66BC9">
      <w:pPr>
        <w:pStyle w:val="ReferHead"/>
        <w:spacing w:after="0"/>
        <w:jc w:val="both"/>
        <w:rPr>
          <w:rFonts w:ascii="Arial" w:hAnsi="Arial" w:cs="Arial"/>
          <w:bCs/>
        </w:rPr>
      </w:pPr>
      <w:r w:rsidRPr="00786D36">
        <w:rPr>
          <w:rFonts w:ascii="Arial" w:hAnsi="Arial" w:cs="Arial"/>
          <w:bCs/>
        </w:rPr>
        <w:t>Competing interests</w:t>
      </w:r>
    </w:p>
    <w:p w14:paraId="2C4A4A4B" w14:textId="77777777" w:rsidR="006828C4" w:rsidRDefault="006828C4" w:rsidP="00D92A65">
      <w:pPr>
        <w:pStyle w:val="Body"/>
        <w:spacing w:after="0"/>
        <w:ind w:firstLine="720"/>
        <w:rPr>
          <w:rFonts w:ascii="Arial" w:hAnsi="Arial" w:cs="Arial"/>
        </w:rPr>
      </w:pPr>
    </w:p>
    <w:p w14:paraId="3910EF0C" w14:textId="77777777" w:rsidR="00552913" w:rsidRDefault="006828C4" w:rsidP="00441B6F">
      <w:pPr>
        <w:pStyle w:val="Body"/>
        <w:spacing w:after="0"/>
        <w:rPr>
          <w:rFonts w:ascii="Arial" w:hAnsi="Arial" w:cs="Arial"/>
        </w:rPr>
      </w:pPr>
      <w:r>
        <w:rPr>
          <w:rFonts w:ascii="Arial" w:hAnsi="Arial" w:cs="Arial"/>
        </w:rPr>
        <w:t>Author has</w:t>
      </w:r>
      <w:r w:rsidRPr="006828C4">
        <w:rPr>
          <w:rFonts w:ascii="Arial" w:hAnsi="Arial" w:cs="Arial"/>
        </w:rPr>
        <w:t xml:space="preserve"> declared that no competing interests exist.</w:t>
      </w:r>
    </w:p>
    <w:p w14:paraId="59AF63FE" w14:textId="77777777" w:rsidR="006421B2" w:rsidRDefault="006421B2" w:rsidP="00441B6F">
      <w:pPr>
        <w:pStyle w:val="Body"/>
        <w:spacing w:after="0"/>
        <w:rPr>
          <w:rFonts w:ascii="Arial" w:hAnsi="Arial" w:cs="Arial"/>
        </w:rPr>
      </w:pPr>
    </w:p>
    <w:p w14:paraId="389BEFCD" w14:textId="77777777" w:rsidR="006421B2" w:rsidRDefault="006421B2" w:rsidP="00441B6F">
      <w:pPr>
        <w:pStyle w:val="Body"/>
        <w:spacing w:after="0"/>
        <w:rPr>
          <w:rFonts w:ascii="Arial" w:hAnsi="Arial" w:cs="Arial"/>
        </w:rPr>
      </w:pPr>
    </w:p>
    <w:p w14:paraId="12DA39A5" w14:textId="77777777" w:rsidR="00890EB9" w:rsidRPr="00890EB9" w:rsidRDefault="00890EB9" w:rsidP="00890EB9">
      <w:pPr>
        <w:pStyle w:val="Body"/>
        <w:spacing w:after="0"/>
        <w:rPr>
          <w:b/>
          <w:bCs/>
          <w:highlight w:val="yellow"/>
        </w:rPr>
      </w:pPr>
      <w:r w:rsidRPr="00890EB9">
        <w:rPr>
          <w:b/>
          <w:bCs/>
          <w:highlight w:val="yellow"/>
        </w:rPr>
        <w:t>Disclaimer (Artificial intelligence)</w:t>
      </w:r>
    </w:p>
    <w:p w14:paraId="687770FB" w14:textId="77777777" w:rsidR="00890EB9" w:rsidRPr="00890EB9" w:rsidRDefault="00890EB9" w:rsidP="00890EB9">
      <w:pPr>
        <w:pStyle w:val="Body"/>
        <w:spacing w:after="0"/>
        <w:rPr>
          <w:b/>
          <w:bCs/>
          <w:highlight w:val="yellow"/>
        </w:rPr>
      </w:pPr>
    </w:p>
    <w:p w14:paraId="58E22EB4" w14:textId="5C316E8A" w:rsidR="00890EB9" w:rsidRPr="007E22F3" w:rsidRDefault="00890EB9" w:rsidP="00890EB9">
      <w:pPr>
        <w:pStyle w:val="Body"/>
        <w:spacing w:after="0"/>
        <w:rPr>
          <w:highlight w:val="yellow"/>
        </w:rPr>
      </w:pPr>
      <w:r w:rsidRPr="007E22F3">
        <w:rPr>
          <w:highlight w:val="yellow"/>
        </w:rPr>
        <w:t>Author herewith declare that generative AI tools, specifically OpenAI’s ChatGPT (based on GPT-4), were used to assist in the preparation and refinement of this review article titled “</w:t>
      </w:r>
      <w:r w:rsidR="007E22F3" w:rsidRPr="007E22F3">
        <w:rPr>
          <w:highlight w:val="yellow"/>
        </w:rPr>
        <w:t>Analysis and Predictive Modeling of Student Behavior and Educational Quality in Virtual Learning Environments Using a Hybrid Markov–Machine Learning Approach</w:t>
      </w:r>
      <w:r w:rsidR="007E22F3" w:rsidRPr="007E22F3">
        <w:rPr>
          <w:highlight w:val="yellow"/>
        </w:rPr>
        <w:t>”.</w:t>
      </w:r>
    </w:p>
    <w:p w14:paraId="78269F55" w14:textId="01D2B90F" w:rsidR="00890EB9" w:rsidRPr="00890EB9" w:rsidRDefault="00890EB9" w:rsidP="00890EB9">
      <w:pPr>
        <w:pStyle w:val="Body"/>
        <w:spacing w:after="0"/>
        <w:rPr>
          <w:highlight w:val="yellow"/>
        </w:rPr>
      </w:pPr>
      <w:r w:rsidRPr="00890EB9">
        <w:rPr>
          <w:highlight w:val="yellow"/>
        </w:rPr>
        <w:t>Th</w:t>
      </w:r>
      <w:r w:rsidR="007E22F3">
        <w:rPr>
          <w:highlight w:val="yellow"/>
        </w:rPr>
        <w:t>is</w:t>
      </w:r>
      <w:r w:rsidRPr="00890EB9">
        <w:rPr>
          <w:highlight w:val="yellow"/>
        </w:rPr>
        <w:t xml:space="preserve"> tool supported the following tasks:</w:t>
      </w:r>
    </w:p>
    <w:p w14:paraId="7CBB67F3" w14:textId="31C6D62F" w:rsidR="00890EB9" w:rsidRPr="00890EB9" w:rsidRDefault="00890EB9" w:rsidP="00890EB9">
      <w:pPr>
        <w:pStyle w:val="Body"/>
        <w:spacing w:after="0"/>
        <w:ind w:left="450"/>
        <w:rPr>
          <w:highlight w:val="yellow"/>
        </w:rPr>
      </w:pPr>
      <w:r w:rsidRPr="00890EB9">
        <w:rPr>
          <w:highlight w:val="yellow"/>
        </w:rPr>
        <w:t>1.</w:t>
      </w:r>
      <w:r w:rsidRPr="00890EB9">
        <w:rPr>
          <w:highlight w:val="yellow"/>
        </w:rPr>
        <w:t xml:space="preserve"> </w:t>
      </w:r>
      <w:r w:rsidRPr="00890EB9">
        <w:rPr>
          <w:highlight w:val="yellow"/>
        </w:rPr>
        <w:t>Enhancing scientific phrasing, rigor and terminology alignment with journal’ scope.</w:t>
      </w:r>
    </w:p>
    <w:p w14:paraId="3C8FE105" w14:textId="70973A17" w:rsidR="00890EB9" w:rsidRPr="00890EB9" w:rsidRDefault="00890EB9" w:rsidP="00890EB9">
      <w:pPr>
        <w:pStyle w:val="Body"/>
        <w:spacing w:after="0"/>
        <w:ind w:left="450"/>
        <w:rPr>
          <w:highlight w:val="yellow"/>
        </w:rPr>
      </w:pPr>
      <w:r w:rsidRPr="00890EB9">
        <w:rPr>
          <w:highlight w:val="yellow"/>
        </w:rPr>
        <w:t>2.</w:t>
      </w:r>
      <w:r w:rsidRPr="00890EB9">
        <w:rPr>
          <w:highlight w:val="yellow"/>
        </w:rPr>
        <w:t xml:space="preserve"> </w:t>
      </w:r>
      <w:r w:rsidRPr="00890EB9">
        <w:rPr>
          <w:highlight w:val="yellow"/>
        </w:rPr>
        <w:t>Generating figure titles and descriptive tables.</w:t>
      </w:r>
    </w:p>
    <w:p w14:paraId="55F51130" w14:textId="32AA7E4D" w:rsidR="006421B2" w:rsidRDefault="00890EB9" w:rsidP="00890EB9">
      <w:pPr>
        <w:pStyle w:val="Body"/>
        <w:spacing w:after="0"/>
        <w:ind w:left="450"/>
      </w:pPr>
      <w:r w:rsidRPr="00890EB9">
        <w:rPr>
          <w:highlight w:val="yellow"/>
        </w:rPr>
        <w:t>3.</w:t>
      </w:r>
      <w:r w:rsidRPr="00890EB9">
        <w:rPr>
          <w:highlight w:val="yellow"/>
        </w:rPr>
        <w:t xml:space="preserve"> </w:t>
      </w:r>
      <w:r w:rsidRPr="00890EB9">
        <w:rPr>
          <w:highlight w:val="yellow"/>
        </w:rPr>
        <w:t>Formatting references in accordance with Journal’s citation style</w:t>
      </w:r>
    </w:p>
    <w:p w14:paraId="0654281F" w14:textId="77777777" w:rsidR="00890EB9" w:rsidRDefault="00890EB9" w:rsidP="00890EB9">
      <w:pPr>
        <w:pStyle w:val="Body"/>
        <w:spacing w:after="0"/>
        <w:rPr>
          <w:rFonts w:ascii="Arial" w:hAnsi="Arial" w:cs="Arial"/>
        </w:rPr>
      </w:pPr>
    </w:p>
    <w:p w14:paraId="35A1423E" w14:textId="77777777" w:rsidR="00552913" w:rsidRDefault="00552913" w:rsidP="00441B6F">
      <w:pPr>
        <w:pStyle w:val="Body"/>
        <w:spacing w:after="0"/>
        <w:rPr>
          <w:rFonts w:ascii="Arial" w:hAnsi="Arial" w:cs="Arial"/>
        </w:rPr>
      </w:pPr>
    </w:p>
    <w:p w14:paraId="06771C45" w14:textId="77777777" w:rsidR="005600BC" w:rsidRDefault="005600BC" w:rsidP="005600BC">
      <w:pPr>
        <w:pStyle w:val="ReferHead"/>
        <w:spacing w:after="0"/>
        <w:jc w:val="both"/>
        <w:rPr>
          <w:rFonts w:ascii="Arial" w:hAnsi="Arial" w:cs="Arial"/>
        </w:rPr>
      </w:pPr>
      <w:r w:rsidRPr="00FB3A86">
        <w:rPr>
          <w:rFonts w:ascii="Arial" w:hAnsi="Arial" w:cs="Arial"/>
        </w:rPr>
        <w:lastRenderedPageBreak/>
        <w:t>References</w:t>
      </w:r>
    </w:p>
    <w:p w14:paraId="22842B15" w14:textId="77777777" w:rsidR="002D5459" w:rsidRPr="00B45C28" w:rsidRDefault="002D5459" w:rsidP="00441B6F">
      <w:pPr>
        <w:pStyle w:val="Body"/>
        <w:spacing w:after="0"/>
        <w:rPr>
          <w:rFonts w:ascii="Arial" w:hAnsi="Arial" w:cs="Arial"/>
        </w:rPr>
      </w:pPr>
    </w:p>
    <w:p w14:paraId="437577F4" w14:textId="77777777" w:rsidR="00FC321D" w:rsidRPr="00F56BC6" w:rsidRDefault="00FC321D"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Adnan, M., Habib, A., Ashraf, J., Mussadiq, S. Q., Raza, A. A., Abid, M., et al. (2021). </w:t>
      </w:r>
      <w:r w:rsidRPr="00F56BC6">
        <w:rPr>
          <w:rFonts w:ascii="Arial" w:hAnsi="Arial" w:cs="Arial"/>
          <w:iCs/>
          <w:highlight w:val="yellow"/>
        </w:rPr>
        <w:t>Predicting at</w:t>
      </w:r>
      <w:r w:rsidRPr="00F56BC6">
        <w:rPr>
          <w:rFonts w:ascii="Arial" w:hAnsi="Arial" w:cs="Arial"/>
          <w:iCs/>
          <w:highlight w:val="yellow"/>
        </w:rPr>
        <w:noBreakHyphen/>
        <w:t>risk students at different percentages of course length for early intervention using machine learning models.</w:t>
      </w:r>
      <w:r w:rsidR="00AB5665" w:rsidRPr="00F56BC6">
        <w:rPr>
          <w:highlight w:val="yellow"/>
        </w:rPr>
        <w:t xml:space="preserve"> </w:t>
      </w:r>
      <w:r w:rsidR="002050F9" w:rsidRPr="00F56BC6">
        <w:rPr>
          <w:rFonts w:ascii="Arial" w:hAnsi="Arial" w:cs="Arial"/>
          <w:i/>
          <w:highlight w:val="yellow"/>
        </w:rPr>
        <w:t>IEEE Access, vol. 9</w:t>
      </w:r>
      <w:r w:rsidR="002050F9" w:rsidRPr="00F56BC6">
        <w:rPr>
          <w:rFonts w:ascii="Arial" w:hAnsi="Arial" w:cs="Arial"/>
          <w:iCs/>
          <w:highlight w:val="yellow"/>
        </w:rPr>
        <w:t>, pp. 7519-7539.</w:t>
      </w:r>
    </w:p>
    <w:p w14:paraId="0C87B5BE" w14:textId="77777777" w:rsidR="00B23782" w:rsidRPr="00F56BC6" w:rsidRDefault="00B23782"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Alhothali, A., Alfadda, H., Alotaibi, M., Alfarraj, O., &amp; Altalhi, M. (2022). Predicting student performance and completion in online courses using machine learning: A review. </w:t>
      </w:r>
      <w:r w:rsidRPr="00F56BC6">
        <w:rPr>
          <w:rFonts w:ascii="Arial" w:hAnsi="Arial" w:cs="Arial"/>
          <w:i/>
          <w:highlight w:val="yellow"/>
        </w:rPr>
        <w:t>Sustainability, 14(10)</w:t>
      </w:r>
      <w:r w:rsidRPr="00F56BC6">
        <w:rPr>
          <w:rFonts w:ascii="Arial" w:hAnsi="Arial" w:cs="Arial"/>
          <w:highlight w:val="yellow"/>
        </w:rPr>
        <w:t>, 6199.</w:t>
      </w:r>
    </w:p>
    <w:p w14:paraId="4D53F54B" w14:textId="77777777" w:rsidR="000A4538" w:rsidRPr="00F56BC6" w:rsidRDefault="000A4538"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Althibyani H. A. (2024). Predicting student success in MOOCs: a comprehensive analysis using machine learning models. PeerJ. </w:t>
      </w:r>
      <w:r w:rsidRPr="00F56BC6">
        <w:rPr>
          <w:rFonts w:ascii="Arial" w:hAnsi="Arial" w:cs="Arial"/>
          <w:i/>
          <w:iCs/>
          <w:highlight w:val="yellow"/>
        </w:rPr>
        <w:t>Computer science, 10</w:t>
      </w:r>
      <w:r w:rsidRPr="00F56BC6">
        <w:rPr>
          <w:rFonts w:ascii="Arial" w:hAnsi="Arial" w:cs="Arial"/>
          <w:highlight w:val="yellow"/>
        </w:rPr>
        <w:t xml:space="preserve">, e2221. </w:t>
      </w:r>
      <w:r w:rsidRPr="00F56BC6">
        <w:rPr>
          <w:rFonts w:ascii="Arial" w:hAnsi="Arial" w:cs="Arial"/>
          <w:highlight w:val="yellow"/>
          <w:u w:val="single"/>
        </w:rPr>
        <w:t>https://doi.org/10.7717/peerj-cs.2221</w:t>
      </w:r>
    </w:p>
    <w:p w14:paraId="28F60BB9" w14:textId="77777777" w:rsidR="00222DDA" w:rsidRPr="00F56BC6" w:rsidRDefault="00222DDA" w:rsidP="000A1852">
      <w:pPr>
        <w:pStyle w:val="Body"/>
        <w:numPr>
          <w:ilvl w:val="0"/>
          <w:numId w:val="47"/>
        </w:numPr>
        <w:spacing w:after="0"/>
        <w:rPr>
          <w:rFonts w:ascii="Arial" w:hAnsi="Arial" w:cs="Arial"/>
          <w:highlight w:val="yellow"/>
        </w:rPr>
      </w:pPr>
      <w:r w:rsidRPr="00F56BC6">
        <w:rPr>
          <w:rFonts w:ascii="Arial" w:hAnsi="Arial" w:cs="Arial"/>
          <w:highlight w:val="yellow"/>
        </w:rPr>
        <w:t>Arévalo</w:t>
      </w:r>
      <w:r w:rsidRPr="00F56BC6">
        <w:rPr>
          <w:rFonts w:ascii="Cambria Math" w:hAnsi="Cambria Math" w:cs="Cambria Math"/>
          <w:highlight w:val="yellow"/>
        </w:rPr>
        <w:t>‑</w:t>
      </w:r>
      <w:r w:rsidRPr="00F56BC6">
        <w:rPr>
          <w:rFonts w:ascii="Arial" w:hAnsi="Arial" w:cs="Arial"/>
          <w:highlight w:val="yellow"/>
        </w:rPr>
        <w:t xml:space="preserve">Cordovilla, F. E., &amp; Peña, M. (2024). Comparative Analysis of Machine Learning Models for Predicting Student Success in Online Programming Courses: A Study Based on LMS Data and External Factors. </w:t>
      </w:r>
      <w:r w:rsidRPr="00F56BC6">
        <w:rPr>
          <w:rFonts w:ascii="Arial" w:hAnsi="Arial" w:cs="Arial"/>
          <w:i/>
          <w:iCs/>
          <w:highlight w:val="yellow"/>
        </w:rPr>
        <w:t>Mathematics, 12(20)</w:t>
      </w:r>
      <w:r w:rsidRPr="00F56BC6">
        <w:rPr>
          <w:rFonts w:ascii="Arial" w:hAnsi="Arial" w:cs="Arial"/>
          <w:highlight w:val="yellow"/>
        </w:rPr>
        <w:t>, 3272.</w:t>
      </w:r>
    </w:p>
    <w:p w14:paraId="022C8B02" w14:textId="77777777" w:rsidR="009F5C07" w:rsidRPr="00F56BC6" w:rsidRDefault="009F5C07" w:rsidP="000A1852">
      <w:pPr>
        <w:pStyle w:val="Body"/>
        <w:numPr>
          <w:ilvl w:val="0"/>
          <w:numId w:val="47"/>
        </w:numPr>
        <w:spacing w:after="0"/>
        <w:rPr>
          <w:rFonts w:ascii="Arial" w:hAnsi="Arial" w:cs="Arial"/>
          <w:highlight w:val="yellow"/>
        </w:rPr>
      </w:pPr>
      <w:r w:rsidRPr="00F56BC6">
        <w:rPr>
          <w:rFonts w:ascii="Arial" w:hAnsi="Arial" w:cs="Arial"/>
          <w:highlight w:val="yellow"/>
        </w:rPr>
        <w:t>Beal, C</w:t>
      </w:r>
      <w:r w:rsidR="00697286" w:rsidRPr="00F56BC6">
        <w:rPr>
          <w:rFonts w:ascii="Arial" w:hAnsi="Arial" w:cs="Arial"/>
          <w:highlight w:val="yellow"/>
        </w:rPr>
        <w:t xml:space="preserve">. </w:t>
      </w:r>
      <w:r w:rsidRPr="00F56BC6">
        <w:rPr>
          <w:rFonts w:ascii="Arial" w:hAnsi="Arial" w:cs="Arial"/>
          <w:highlight w:val="yellow"/>
        </w:rPr>
        <w:t>Mitra, S</w:t>
      </w:r>
      <w:r w:rsidR="00697286" w:rsidRPr="00F56BC6">
        <w:rPr>
          <w:rFonts w:ascii="Arial" w:hAnsi="Arial" w:cs="Arial"/>
          <w:highlight w:val="yellow"/>
        </w:rPr>
        <w:t>.</w:t>
      </w:r>
      <w:r w:rsidRPr="00F56BC6">
        <w:rPr>
          <w:rFonts w:ascii="Arial" w:hAnsi="Arial" w:cs="Arial"/>
          <w:highlight w:val="yellow"/>
        </w:rPr>
        <w:t xml:space="preserve"> &amp; Cohen, P</w:t>
      </w:r>
      <w:r w:rsidR="00697286" w:rsidRPr="00F56BC6">
        <w:rPr>
          <w:rFonts w:ascii="Arial" w:hAnsi="Arial" w:cs="Arial"/>
          <w:highlight w:val="yellow"/>
        </w:rPr>
        <w:t>.</w:t>
      </w:r>
      <w:r w:rsidRPr="00F56BC6">
        <w:rPr>
          <w:rFonts w:ascii="Arial" w:hAnsi="Arial" w:cs="Arial"/>
          <w:highlight w:val="yellow"/>
        </w:rPr>
        <w:t xml:space="preserve"> (2007). Modeling learning patterns of students with a tutoring system using Hidden Markov Models. </w:t>
      </w:r>
      <w:r w:rsidR="00664DFB" w:rsidRPr="00F56BC6">
        <w:rPr>
          <w:rFonts w:ascii="Arial" w:hAnsi="Arial" w:cs="Arial"/>
          <w:i/>
          <w:iCs/>
          <w:highlight w:val="yellow"/>
        </w:rPr>
        <w:t>Proceedings of the 13th International Conference on Artificial Intelligence in Education</w:t>
      </w:r>
      <w:r w:rsidR="00664DFB" w:rsidRPr="00F56BC6">
        <w:rPr>
          <w:rFonts w:ascii="Arial" w:hAnsi="Arial" w:cs="Arial"/>
          <w:highlight w:val="yellow"/>
        </w:rPr>
        <w:t xml:space="preserve">, </w:t>
      </w:r>
      <w:r w:rsidRPr="00F56BC6">
        <w:rPr>
          <w:rFonts w:ascii="Arial" w:hAnsi="Arial" w:cs="Arial"/>
          <w:highlight w:val="yellow"/>
        </w:rPr>
        <w:t>238-245.</w:t>
      </w:r>
    </w:p>
    <w:p w14:paraId="01DD7431" w14:textId="77777777" w:rsidR="00D35E3E" w:rsidRPr="00F56BC6" w:rsidRDefault="00D35E3E" w:rsidP="000A1852">
      <w:pPr>
        <w:pStyle w:val="Body"/>
        <w:numPr>
          <w:ilvl w:val="0"/>
          <w:numId w:val="47"/>
        </w:numPr>
        <w:spacing w:after="0"/>
        <w:rPr>
          <w:rFonts w:ascii="Arial" w:hAnsi="Arial" w:cs="Arial"/>
          <w:highlight w:val="yellow"/>
        </w:rPr>
      </w:pPr>
      <w:r w:rsidRPr="00F56BC6">
        <w:rPr>
          <w:rFonts w:ascii="Arial" w:hAnsi="Arial" w:cs="Arial"/>
          <w:highlight w:val="yellow"/>
        </w:rPr>
        <w:t>Berens, J., Schneider, K., Gortz, S., Oster, S., &amp; Burghoff, J. (2019). Early Detection of Students at Risk - Predicting Student Dropouts Using Administrative Student Data from German Universities and Machine Learning Methods. </w:t>
      </w:r>
      <w:r w:rsidRPr="00F56BC6">
        <w:rPr>
          <w:rFonts w:ascii="Arial" w:hAnsi="Arial" w:cs="Arial"/>
          <w:i/>
          <w:highlight w:val="yellow"/>
        </w:rPr>
        <w:t>Journal of Educational Data Mining, 11(3)</w:t>
      </w:r>
      <w:r w:rsidRPr="00F56BC6">
        <w:rPr>
          <w:rFonts w:ascii="Arial" w:hAnsi="Arial" w:cs="Arial"/>
          <w:highlight w:val="yellow"/>
        </w:rPr>
        <w:t>, 1–41.</w:t>
      </w:r>
    </w:p>
    <w:p w14:paraId="27BF3294" w14:textId="77777777" w:rsidR="00AF5EFF" w:rsidRPr="00F56BC6" w:rsidRDefault="00F64D25" w:rsidP="000A1852">
      <w:pPr>
        <w:pStyle w:val="Body"/>
        <w:numPr>
          <w:ilvl w:val="0"/>
          <w:numId w:val="47"/>
        </w:numPr>
        <w:spacing w:after="0"/>
        <w:rPr>
          <w:rFonts w:ascii="Arial" w:hAnsi="Arial" w:cs="Arial"/>
          <w:highlight w:val="yellow"/>
        </w:rPr>
      </w:pPr>
      <w:r w:rsidRPr="00F56BC6">
        <w:rPr>
          <w:rFonts w:ascii="Arial" w:hAnsi="Arial" w:cs="Arial"/>
          <w:highlight w:val="yellow"/>
        </w:rPr>
        <w:t>Fazil, M., Rísquez, A.</w:t>
      </w:r>
      <w:r w:rsidR="00AF5EFF" w:rsidRPr="00F56BC6">
        <w:rPr>
          <w:rFonts w:ascii="Arial" w:hAnsi="Arial" w:cs="Arial"/>
          <w:highlight w:val="yellow"/>
        </w:rPr>
        <w:t xml:space="preserve">, &amp; Halpin, C. (2024). A Novel Deep Learning Model for Student Performance Prediction Using Engagement Data. </w:t>
      </w:r>
      <w:r w:rsidR="00AF5EFF" w:rsidRPr="00F56BC6">
        <w:rPr>
          <w:rFonts w:ascii="Arial" w:hAnsi="Arial" w:cs="Arial"/>
          <w:i/>
          <w:iCs/>
          <w:highlight w:val="yellow"/>
        </w:rPr>
        <w:t>Journal of Learning Analytics, 11(2),</w:t>
      </w:r>
      <w:r w:rsidR="00AF5EFF" w:rsidRPr="00F56BC6">
        <w:rPr>
          <w:rFonts w:ascii="Arial" w:hAnsi="Arial" w:cs="Arial"/>
          <w:highlight w:val="yellow"/>
        </w:rPr>
        <w:t xml:space="preserve"> 23-41. </w:t>
      </w:r>
      <w:r w:rsidR="00AF5EFF" w:rsidRPr="00F56BC6">
        <w:rPr>
          <w:rFonts w:ascii="Arial" w:hAnsi="Arial" w:cs="Arial"/>
          <w:highlight w:val="yellow"/>
          <w:u w:val="single"/>
        </w:rPr>
        <w:t>https://doi.org/10.18608/jla.2024.7985</w:t>
      </w:r>
    </w:p>
    <w:p w14:paraId="6D0419C5" w14:textId="77777777" w:rsidR="007A5BE7" w:rsidRPr="00F56BC6" w:rsidRDefault="007A5BE7"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Geigle, C., &amp; Zhai, C. (2017). Modeling Student Behavior With Two-Layer Hidden Markov Models. </w:t>
      </w:r>
      <w:r w:rsidRPr="00F56BC6">
        <w:rPr>
          <w:rFonts w:ascii="Arial" w:hAnsi="Arial" w:cs="Arial"/>
          <w:i/>
          <w:iCs/>
          <w:highlight w:val="yellow"/>
        </w:rPr>
        <w:t>Journal of Educational Data Mining, 9(1)</w:t>
      </w:r>
      <w:r w:rsidRPr="00F56BC6">
        <w:rPr>
          <w:rFonts w:ascii="Arial" w:hAnsi="Arial" w:cs="Arial"/>
          <w:highlight w:val="yellow"/>
        </w:rPr>
        <w:t>, 1–24.</w:t>
      </w:r>
    </w:p>
    <w:p w14:paraId="515D9419" w14:textId="77777777" w:rsidR="00ED7214" w:rsidRPr="00F56BC6" w:rsidRDefault="00ED7214"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Hansen, C., Hansen, C., Hjuler, N., Alstrup, S., &amp; Lioma, C. (2017). Sequence Modelling for Analysing Student Interaction with Educational Systems. </w:t>
      </w:r>
      <w:r w:rsidRPr="00F56BC6">
        <w:rPr>
          <w:rFonts w:ascii="Arial" w:hAnsi="Arial" w:cs="Arial"/>
          <w:i/>
          <w:iCs/>
          <w:highlight w:val="yellow"/>
        </w:rPr>
        <w:t>arXiv Preprint</w:t>
      </w:r>
      <w:r w:rsidRPr="00F56BC6">
        <w:rPr>
          <w:rFonts w:ascii="Arial" w:hAnsi="Arial" w:cs="Arial"/>
          <w:highlight w:val="yellow"/>
        </w:rPr>
        <w:t xml:space="preserve">. </w:t>
      </w:r>
      <w:r w:rsidRPr="00F56BC6">
        <w:rPr>
          <w:rFonts w:ascii="Arial" w:hAnsi="Arial" w:cs="Arial"/>
          <w:highlight w:val="yellow"/>
          <w:u w:val="single"/>
        </w:rPr>
        <w:t>https://arxiv.org/abs/1708.04164</w:t>
      </w:r>
    </w:p>
    <w:p w14:paraId="0E0774E7" w14:textId="77777777" w:rsidR="00436FB6" w:rsidRPr="00F56BC6" w:rsidRDefault="00436FB6"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Hlosta, M., Herrmannová, D., Vachová, L., Kuzilek, J., Zdrahal, Z., &amp; Wolff, A. (2018). Modelling student online behaviour in a virtual learning environment. </w:t>
      </w:r>
      <w:r w:rsidRPr="00F56BC6">
        <w:rPr>
          <w:rFonts w:ascii="Arial" w:hAnsi="Arial" w:cs="Arial"/>
          <w:i/>
          <w:iCs/>
          <w:highlight w:val="yellow"/>
        </w:rPr>
        <w:t>arXiv Preprint</w:t>
      </w:r>
      <w:r w:rsidRPr="00F56BC6">
        <w:rPr>
          <w:rFonts w:ascii="Arial" w:hAnsi="Arial" w:cs="Arial"/>
          <w:highlight w:val="yellow"/>
        </w:rPr>
        <w:t xml:space="preserve">. </w:t>
      </w:r>
      <w:r w:rsidRPr="00F56BC6">
        <w:rPr>
          <w:rFonts w:ascii="Arial" w:hAnsi="Arial" w:cs="Arial"/>
          <w:highlight w:val="yellow"/>
          <w:u w:val="single"/>
        </w:rPr>
        <w:t>https://arxiv.org/abs/1811.06369</w:t>
      </w:r>
    </w:p>
    <w:p w14:paraId="4F1C7205" w14:textId="77777777" w:rsidR="00683B42" w:rsidRPr="00F56BC6" w:rsidRDefault="00683B42"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Jaziar, R., Tim, A., Jennifer, F., </w:t>
      </w:r>
      <w:r w:rsidR="001959CE" w:rsidRPr="00F56BC6">
        <w:rPr>
          <w:rFonts w:ascii="Arial" w:hAnsi="Arial" w:cs="Arial"/>
          <w:highlight w:val="yellow"/>
        </w:rPr>
        <w:t xml:space="preserve">&amp; </w:t>
      </w:r>
      <w:r w:rsidRPr="00F56BC6">
        <w:rPr>
          <w:rFonts w:ascii="Arial" w:hAnsi="Arial" w:cs="Arial"/>
          <w:highlight w:val="yellow"/>
        </w:rPr>
        <w:t xml:space="preserve">Isabell, W. (2020). A systematic review of immersive virtual reality applications for higher education: Design elements, lessons learned, and research agenda. </w:t>
      </w:r>
      <w:r w:rsidRPr="00F56BC6">
        <w:rPr>
          <w:rFonts w:ascii="Arial" w:hAnsi="Arial" w:cs="Arial"/>
          <w:i/>
          <w:highlight w:val="yellow"/>
        </w:rPr>
        <w:t>Computers &amp; Education, 147</w:t>
      </w:r>
      <w:r w:rsidRPr="00F56BC6">
        <w:rPr>
          <w:rFonts w:ascii="Arial" w:hAnsi="Arial" w:cs="Arial"/>
          <w:highlight w:val="yellow"/>
        </w:rPr>
        <w:t>, 103778.</w:t>
      </w:r>
    </w:p>
    <w:p w14:paraId="114F1B30" w14:textId="77777777" w:rsidR="000360FF" w:rsidRPr="00F56BC6" w:rsidRDefault="000360FF"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Kahu, E. R. (2013). Framing student engagement in higher education. </w:t>
      </w:r>
      <w:r w:rsidRPr="00F56BC6">
        <w:rPr>
          <w:rFonts w:ascii="Arial" w:hAnsi="Arial" w:cs="Arial"/>
          <w:i/>
          <w:highlight w:val="yellow"/>
        </w:rPr>
        <w:t>Studies in Higher Education, 38(5),</w:t>
      </w:r>
      <w:r w:rsidRPr="00F56BC6">
        <w:rPr>
          <w:rFonts w:ascii="Arial" w:hAnsi="Arial" w:cs="Arial"/>
          <w:highlight w:val="yellow"/>
        </w:rPr>
        <w:t xml:space="preserve"> 758-773.</w:t>
      </w:r>
    </w:p>
    <w:p w14:paraId="22D2AD19" w14:textId="77777777" w:rsidR="00476EE2" w:rsidRPr="00F56BC6" w:rsidRDefault="00476EE2" w:rsidP="000A1852">
      <w:pPr>
        <w:pStyle w:val="Body"/>
        <w:numPr>
          <w:ilvl w:val="0"/>
          <w:numId w:val="47"/>
        </w:numPr>
        <w:spacing w:after="0"/>
        <w:rPr>
          <w:rFonts w:ascii="Arial" w:hAnsi="Arial" w:cs="Arial"/>
          <w:bCs/>
          <w:highlight w:val="yellow"/>
        </w:rPr>
      </w:pPr>
      <w:r w:rsidRPr="00F56BC6">
        <w:rPr>
          <w:rFonts w:ascii="Arial" w:hAnsi="Arial" w:cs="Arial"/>
          <w:bCs/>
          <w:highlight w:val="yellow"/>
        </w:rPr>
        <w:t xml:space="preserve">Kalita, E., Alfarwan, A. M., El A. H., Kukkar A., Hussain S. , Ali T., et al. (2025). Predicting student academic performance using Bi-LSTM: a deep learning framework with SHAP-based interpretability and statistical validation. </w:t>
      </w:r>
      <w:r w:rsidRPr="00F56BC6">
        <w:rPr>
          <w:rFonts w:ascii="Arial" w:hAnsi="Arial" w:cs="Arial"/>
          <w:bCs/>
          <w:i/>
          <w:iCs/>
          <w:highlight w:val="yellow"/>
        </w:rPr>
        <w:t>Frontiers in Education</w:t>
      </w:r>
      <w:r w:rsidRPr="00F56BC6">
        <w:rPr>
          <w:rFonts w:ascii="Arial" w:hAnsi="Arial" w:cs="Arial"/>
          <w:bCs/>
          <w:highlight w:val="yellow"/>
        </w:rPr>
        <w:t xml:space="preserve">, Article 1581247. </w:t>
      </w:r>
      <w:r w:rsidRPr="00F56BC6">
        <w:rPr>
          <w:rFonts w:ascii="Arial" w:hAnsi="Arial" w:cs="Arial"/>
          <w:bCs/>
          <w:highlight w:val="yellow"/>
          <w:u w:val="single"/>
        </w:rPr>
        <w:t>https://www.frontiersin.org/articles/10.3389/feduc.2025.1581247/full</w:t>
      </w:r>
    </w:p>
    <w:p w14:paraId="07475574" w14:textId="77777777" w:rsidR="003F2281" w:rsidRPr="00F56BC6" w:rsidRDefault="003F2281" w:rsidP="000A1852">
      <w:pPr>
        <w:pStyle w:val="Body"/>
        <w:numPr>
          <w:ilvl w:val="0"/>
          <w:numId w:val="47"/>
        </w:numPr>
        <w:spacing w:after="0"/>
        <w:rPr>
          <w:rFonts w:ascii="Arial" w:hAnsi="Arial" w:cs="Arial"/>
          <w:highlight w:val="yellow"/>
        </w:rPr>
      </w:pPr>
      <w:r w:rsidRPr="00F56BC6">
        <w:rPr>
          <w:rFonts w:ascii="Arial" w:hAnsi="Arial" w:cs="Arial"/>
          <w:bCs/>
          <w:highlight w:val="yellow"/>
        </w:rPr>
        <w:t>Kim, S., Cho, S., Kim, J. Y., &amp; Kim, D.J. (2023).</w:t>
      </w:r>
      <w:r w:rsidRPr="00F56BC6">
        <w:rPr>
          <w:rFonts w:ascii="Arial" w:hAnsi="Arial" w:cs="Arial"/>
          <w:highlight w:val="yellow"/>
        </w:rPr>
        <w:t xml:space="preserve"> Statistical Assessment on Student Engagement in Asynchronous Online Learning Using the k</w:t>
      </w:r>
      <w:r w:rsidRPr="00F56BC6">
        <w:rPr>
          <w:rFonts w:ascii="Arial" w:hAnsi="Arial" w:cs="Arial"/>
          <w:highlight w:val="yellow"/>
        </w:rPr>
        <w:noBreakHyphen/>
        <w:t xml:space="preserve">Means Clustering Algorithm. </w:t>
      </w:r>
      <w:r w:rsidRPr="00F56BC6">
        <w:rPr>
          <w:rFonts w:ascii="Arial" w:hAnsi="Arial" w:cs="Arial"/>
          <w:i/>
          <w:highlight w:val="yellow"/>
        </w:rPr>
        <w:t>Sustainability, 15(3),</w:t>
      </w:r>
      <w:r w:rsidRPr="00F56BC6">
        <w:rPr>
          <w:rFonts w:ascii="Arial" w:hAnsi="Arial" w:cs="Arial"/>
          <w:highlight w:val="yellow"/>
        </w:rPr>
        <w:t xml:space="preserve"> 2049. </w:t>
      </w:r>
      <w:r w:rsidRPr="00F56BC6">
        <w:rPr>
          <w:rFonts w:ascii="Arial" w:hAnsi="Arial" w:cs="Arial"/>
          <w:highlight w:val="yellow"/>
          <w:u w:val="single"/>
        </w:rPr>
        <w:t>https://doi.org/10.3390/su15032049</w:t>
      </w:r>
    </w:p>
    <w:p w14:paraId="56A5ED8D" w14:textId="77777777" w:rsidR="00C13F36" w:rsidRPr="00F56BC6" w:rsidRDefault="00C13F36" w:rsidP="000A1852">
      <w:pPr>
        <w:pStyle w:val="Body"/>
        <w:numPr>
          <w:ilvl w:val="0"/>
          <w:numId w:val="47"/>
        </w:numPr>
        <w:spacing w:after="0"/>
        <w:rPr>
          <w:rFonts w:ascii="Arial" w:hAnsi="Arial" w:cs="Arial"/>
          <w:highlight w:val="yellow"/>
          <w:u w:val="single"/>
        </w:rPr>
      </w:pPr>
      <w:r w:rsidRPr="00F56BC6">
        <w:rPr>
          <w:rFonts w:ascii="Arial" w:hAnsi="Arial" w:cs="Arial"/>
          <w:highlight w:val="yellow"/>
        </w:rPr>
        <w:t xml:space="preserve">Moubayed, A., Injadat, M., Shami, A., &amp; Lutfiyya, H. (2020). Relationship between student engagement and performance in e-learning environments using association rules. </w:t>
      </w:r>
      <w:r w:rsidRPr="00F56BC6">
        <w:rPr>
          <w:rFonts w:ascii="Arial" w:hAnsi="Arial" w:cs="Arial"/>
          <w:i/>
          <w:iCs/>
          <w:highlight w:val="yellow"/>
        </w:rPr>
        <w:t>arXiv preprint</w:t>
      </w:r>
      <w:r w:rsidRPr="00F56BC6">
        <w:rPr>
          <w:rFonts w:ascii="Arial" w:hAnsi="Arial" w:cs="Arial"/>
          <w:highlight w:val="yellow"/>
        </w:rPr>
        <w:t xml:space="preserve">. </w:t>
      </w:r>
      <w:r w:rsidRPr="00F56BC6">
        <w:rPr>
          <w:rFonts w:ascii="Arial" w:hAnsi="Arial" w:cs="Arial"/>
          <w:highlight w:val="yellow"/>
          <w:u w:val="single"/>
        </w:rPr>
        <w:t>https://arxiv.org/abs/2101.02006</w:t>
      </w:r>
    </w:p>
    <w:p w14:paraId="36970CB8" w14:textId="77777777" w:rsidR="009527A7" w:rsidRPr="00F56BC6" w:rsidRDefault="009527A7"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Palani, K., Stynes, P., &amp; Pathak, P. (2021). Clustering techniques to identify low-engagement student levels. </w:t>
      </w:r>
      <w:r w:rsidRPr="00F56BC6">
        <w:rPr>
          <w:rFonts w:ascii="Arial" w:hAnsi="Arial" w:cs="Arial"/>
          <w:i/>
          <w:iCs/>
          <w:highlight w:val="yellow"/>
        </w:rPr>
        <w:t>Proceedings of the 13th International Conference on Computer Supported Education (CSEDU 2021), Vol. 2</w:t>
      </w:r>
      <w:r w:rsidRPr="00F56BC6">
        <w:rPr>
          <w:rFonts w:ascii="Arial" w:hAnsi="Arial" w:cs="Arial"/>
          <w:highlight w:val="yellow"/>
        </w:rPr>
        <w:t xml:space="preserve">, pp. 248–257. </w:t>
      </w:r>
      <w:r w:rsidRPr="00F56BC6">
        <w:rPr>
          <w:rFonts w:ascii="Arial" w:hAnsi="Arial" w:cs="Arial"/>
          <w:highlight w:val="yellow"/>
          <w:u w:val="single"/>
        </w:rPr>
        <w:t>https://doi.org/10.5220/0010456802480257</w:t>
      </w:r>
    </w:p>
    <w:p w14:paraId="5BCFC828" w14:textId="77777777" w:rsidR="00AD4B97" w:rsidRPr="00F56BC6" w:rsidRDefault="00AD4B97" w:rsidP="000A1852">
      <w:pPr>
        <w:pStyle w:val="Body"/>
        <w:numPr>
          <w:ilvl w:val="0"/>
          <w:numId w:val="47"/>
        </w:numPr>
        <w:spacing w:after="0"/>
        <w:rPr>
          <w:rFonts w:ascii="Arial" w:hAnsi="Arial" w:cs="Arial"/>
          <w:highlight w:val="yellow"/>
          <w:u w:val="single"/>
        </w:rPr>
      </w:pPr>
      <w:r w:rsidRPr="00F56BC6">
        <w:rPr>
          <w:rFonts w:ascii="Arial" w:hAnsi="Arial" w:cs="Arial"/>
          <w:highlight w:val="yellow"/>
        </w:rPr>
        <w:lastRenderedPageBreak/>
        <w:t xml:space="preserve">Saqr, M., López-Pernas, S. (2025). Changes in online engagement at the within-person level, profiles, dynamics and association with achievement. </w:t>
      </w:r>
      <w:r w:rsidRPr="00F56BC6">
        <w:rPr>
          <w:rFonts w:ascii="Arial" w:hAnsi="Arial" w:cs="Arial"/>
          <w:i/>
          <w:iCs/>
          <w:highlight w:val="yellow"/>
        </w:rPr>
        <w:t>The Internet and Higher Education, Volume 67,</w:t>
      </w:r>
      <w:r w:rsidRPr="00F56BC6">
        <w:rPr>
          <w:rFonts w:ascii="Arial" w:hAnsi="Arial" w:cs="Arial"/>
          <w:highlight w:val="yellow"/>
        </w:rPr>
        <w:t xml:space="preserve"> 101031. </w:t>
      </w:r>
      <w:r w:rsidRPr="00F56BC6">
        <w:rPr>
          <w:rFonts w:ascii="Arial" w:hAnsi="Arial" w:cs="Arial"/>
          <w:highlight w:val="yellow"/>
          <w:u w:val="single"/>
        </w:rPr>
        <w:t>https://www.sciencedirect.com/science/article/pii/S1096751625000405</w:t>
      </w:r>
    </w:p>
    <w:p w14:paraId="4D3E9427" w14:textId="77777777" w:rsidR="005A1A93" w:rsidRPr="00F56BC6" w:rsidRDefault="005A1A93" w:rsidP="000A1852">
      <w:pPr>
        <w:pStyle w:val="Body"/>
        <w:numPr>
          <w:ilvl w:val="0"/>
          <w:numId w:val="47"/>
        </w:numPr>
        <w:spacing w:after="0"/>
        <w:rPr>
          <w:rFonts w:ascii="Arial" w:hAnsi="Arial" w:cs="Arial"/>
          <w:highlight w:val="yellow"/>
        </w:rPr>
      </w:pPr>
      <w:r w:rsidRPr="00F56BC6">
        <w:rPr>
          <w:rFonts w:ascii="Arial" w:hAnsi="Arial" w:cs="Arial"/>
          <w:highlight w:val="yellow"/>
        </w:rPr>
        <w:t xml:space="preserve">Sein Minn (2020). BKT-LSTM: Efficient Student Modeling for Knowledge Tracing and Student Performance Prediction. </w:t>
      </w:r>
      <w:r w:rsidRPr="00F56BC6">
        <w:rPr>
          <w:rFonts w:ascii="Arial" w:hAnsi="Arial" w:cs="Arial"/>
          <w:i/>
          <w:iCs/>
          <w:highlight w:val="yellow"/>
        </w:rPr>
        <w:t>arXiv preprint</w:t>
      </w:r>
      <w:r w:rsidRPr="00F56BC6">
        <w:rPr>
          <w:rFonts w:ascii="Arial" w:hAnsi="Arial" w:cs="Arial"/>
          <w:highlight w:val="yellow"/>
        </w:rPr>
        <w:t xml:space="preserve">. </w:t>
      </w:r>
      <w:r w:rsidRPr="00F56BC6">
        <w:rPr>
          <w:rFonts w:ascii="Arial" w:hAnsi="Arial" w:cs="Arial"/>
          <w:highlight w:val="yellow"/>
          <w:u w:val="single"/>
        </w:rPr>
        <w:t>https://arxiv.org/abs/2012.12218</w:t>
      </w:r>
    </w:p>
    <w:p w14:paraId="74C66C0A" w14:textId="77777777" w:rsidR="00C13F36" w:rsidRPr="00F56BC6" w:rsidRDefault="00C13F36" w:rsidP="000A1852">
      <w:pPr>
        <w:pStyle w:val="Body"/>
        <w:numPr>
          <w:ilvl w:val="0"/>
          <w:numId w:val="47"/>
        </w:numPr>
        <w:spacing w:after="0"/>
        <w:rPr>
          <w:rFonts w:ascii="Arial" w:hAnsi="Arial" w:cs="Arial"/>
          <w:highlight w:val="yellow"/>
          <w:u w:val="single"/>
        </w:rPr>
      </w:pPr>
      <w:r w:rsidRPr="00F56BC6">
        <w:rPr>
          <w:rFonts w:ascii="Arial" w:hAnsi="Arial" w:cs="Arial"/>
          <w:highlight w:val="yellow"/>
        </w:rPr>
        <w:t xml:space="preserve">Spitzer, M. W. H., Gutsfeld, R., Wirzberger, M., &amp; Moeller, K. (2021). Evaluating students' engagement with an online learning environment during and after COVID-19 related school closures: A survival analysis approach. </w:t>
      </w:r>
      <w:r w:rsidRPr="00F56BC6">
        <w:rPr>
          <w:rFonts w:ascii="Arial" w:hAnsi="Arial" w:cs="Arial"/>
          <w:i/>
          <w:iCs/>
          <w:highlight w:val="yellow"/>
        </w:rPr>
        <w:t>Trends in neuroscience and education, 25</w:t>
      </w:r>
      <w:r w:rsidRPr="00F56BC6">
        <w:rPr>
          <w:rFonts w:ascii="Arial" w:hAnsi="Arial" w:cs="Arial"/>
          <w:highlight w:val="yellow"/>
        </w:rPr>
        <w:t xml:space="preserve">, 100168. </w:t>
      </w:r>
      <w:r w:rsidRPr="00F56BC6">
        <w:rPr>
          <w:rFonts w:ascii="Arial" w:hAnsi="Arial" w:cs="Arial"/>
          <w:highlight w:val="yellow"/>
          <w:u w:val="single"/>
        </w:rPr>
        <w:t>https://doi.org/10.1016/j.tine.2021.100168</w:t>
      </w:r>
    </w:p>
    <w:p w14:paraId="7B2BAD98" w14:textId="77777777" w:rsidR="00AC7278" w:rsidRPr="00F56BC6" w:rsidRDefault="00AC7278" w:rsidP="000A1852">
      <w:pPr>
        <w:pStyle w:val="ListParagraph"/>
        <w:numPr>
          <w:ilvl w:val="0"/>
          <w:numId w:val="47"/>
        </w:numPr>
        <w:jc w:val="both"/>
        <w:rPr>
          <w:rFonts w:ascii="Arial" w:hAnsi="Arial" w:cs="Arial"/>
          <w:highlight w:val="yellow"/>
        </w:rPr>
      </w:pPr>
      <w:r w:rsidRPr="00F56BC6">
        <w:rPr>
          <w:rFonts w:ascii="Arial" w:hAnsi="Arial" w:cs="Arial"/>
          <w:highlight w:val="yellow"/>
        </w:rPr>
        <w:t>Verykios, V</w:t>
      </w:r>
      <w:r w:rsidR="00697286" w:rsidRPr="00F56BC6">
        <w:rPr>
          <w:rFonts w:ascii="Arial" w:hAnsi="Arial" w:cs="Arial"/>
          <w:highlight w:val="yellow"/>
        </w:rPr>
        <w:t xml:space="preserve">. </w:t>
      </w:r>
      <w:r w:rsidRPr="00F56BC6">
        <w:rPr>
          <w:rFonts w:ascii="Arial" w:hAnsi="Arial" w:cs="Arial"/>
          <w:highlight w:val="yellow"/>
        </w:rPr>
        <w:t>Alachiotis, N</w:t>
      </w:r>
      <w:r w:rsidR="00697286" w:rsidRPr="00F56BC6">
        <w:rPr>
          <w:rFonts w:ascii="Arial" w:hAnsi="Arial" w:cs="Arial"/>
          <w:highlight w:val="yellow"/>
        </w:rPr>
        <w:t xml:space="preserve">. </w:t>
      </w:r>
      <w:r w:rsidRPr="00F56BC6">
        <w:rPr>
          <w:rFonts w:ascii="Arial" w:hAnsi="Arial" w:cs="Arial"/>
          <w:highlight w:val="yellow"/>
        </w:rPr>
        <w:t>Paxinou, E</w:t>
      </w:r>
      <w:r w:rsidR="00697286" w:rsidRPr="00F56BC6">
        <w:rPr>
          <w:rFonts w:ascii="Arial" w:hAnsi="Arial" w:cs="Arial"/>
          <w:highlight w:val="yellow"/>
        </w:rPr>
        <w:t>.</w:t>
      </w:r>
      <w:r w:rsidRPr="00F56BC6">
        <w:rPr>
          <w:rFonts w:ascii="Arial" w:hAnsi="Arial" w:cs="Arial"/>
          <w:highlight w:val="yellow"/>
        </w:rPr>
        <w:t xml:space="preserve"> &amp; Feretzakis, G</w:t>
      </w:r>
      <w:r w:rsidR="00697286" w:rsidRPr="00F56BC6">
        <w:rPr>
          <w:rFonts w:ascii="Arial" w:hAnsi="Arial" w:cs="Arial"/>
          <w:highlight w:val="yellow"/>
        </w:rPr>
        <w:t>.</w:t>
      </w:r>
      <w:r w:rsidRPr="00F56BC6">
        <w:rPr>
          <w:rFonts w:ascii="Arial" w:hAnsi="Arial" w:cs="Arial"/>
          <w:highlight w:val="yellow"/>
        </w:rPr>
        <w:t xml:space="preserve"> (2024). </w:t>
      </w:r>
      <w:r w:rsidR="00F50EE1" w:rsidRPr="00F56BC6">
        <w:rPr>
          <w:rFonts w:ascii="Arial" w:hAnsi="Arial" w:cs="Arial"/>
          <w:highlight w:val="yellow"/>
        </w:rPr>
        <w:t xml:space="preserve">Analyzing student behavioral patterns in MOOCs using Hidden Markov Models in distance education. </w:t>
      </w:r>
      <w:r w:rsidR="00B16D28" w:rsidRPr="00F56BC6">
        <w:rPr>
          <w:rFonts w:ascii="Arial" w:hAnsi="Arial" w:cs="Arial"/>
          <w:i/>
          <w:iCs/>
          <w:highlight w:val="yellow"/>
        </w:rPr>
        <w:t>Applied Sciences</w:t>
      </w:r>
      <w:r w:rsidR="00F50EE1" w:rsidRPr="00F56BC6">
        <w:rPr>
          <w:rFonts w:ascii="Arial" w:hAnsi="Arial" w:cs="Arial"/>
          <w:i/>
          <w:iCs/>
          <w:highlight w:val="yellow"/>
        </w:rPr>
        <w:t>, 42(1),</w:t>
      </w:r>
      <w:r w:rsidR="00F50EE1" w:rsidRPr="00F56BC6">
        <w:rPr>
          <w:rFonts w:ascii="Arial" w:hAnsi="Arial" w:cs="Arial"/>
          <w:highlight w:val="yellow"/>
        </w:rPr>
        <w:t xml:space="preserve"> 59–78.</w:t>
      </w:r>
    </w:p>
    <w:p w14:paraId="55AFAB0F" w14:textId="77777777" w:rsidR="00441B6F" w:rsidRPr="00F56BC6" w:rsidRDefault="005509A4" w:rsidP="000A1852">
      <w:pPr>
        <w:pStyle w:val="ListParagraph"/>
        <w:numPr>
          <w:ilvl w:val="0"/>
          <w:numId w:val="47"/>
        </w:numPr>
        <w:jc w:val="both"/>
        <w:rPr>
          <w:rFonts w:ascii="Arial" w:hAnsi="Arial" w:cs="Arial"/>
          <w:highlight w:val="yellow"/>
        </w:rPr>
      </w:pPr>
      <w:r w:rsidRPr="00F56BC6">
        <w:rPr>
          <w:rFonts w:ascii="Arial" w:hAnsi="Arial" w:cs="Arial"/>
          <w:highlight w:val="yellow"/>
        </w:rPr>
        <w:t xml:space="preserve">Zaroor, A., Maree, M., Sabha, M. (2017). A Hybrid Approach to Conceptual Classification and Ranking of Resumes and Their Corresponding Job Posts. </w:t>
      </w:r>
      <w:r w:rsidRPr="00F56BC6">
        <w:rPr>
          <w:rFonts w:ascii="Arial" w:hAnsi="Arial" w:cs="Arial"/>
          <w:i/>
          <w:iCs/>
          <w:highlight w:val="yellow"/>
        </w:rPr>
        <w:t>Smart Innovation, Systems and Technologies, vol 72</w:t>
      </w:r>
      <w:r w:rsidRPr="00F56BC6">
        <w:rPr>
          <w:rFonts w:ascii="Arial" w:hAnsi="Arial" w:cs="Arial"/>
          <w:highlight w:val="yellow"/>
        </w:rPr>
        <w:t xml:space="preserve">. Springer, Cham. </w:t>
      </w:r>
      <w:r w:rsidRPr="00F56BC6">
        <w:rPr>
          <w:rFonts w:ascii="Arial" w:hAnsi="Arial" w:cs="Arial"/>
          <w:highlight w:val="yellow"/>
          <w:u w:val="single"/>
        </w:rPr>
        <w:t>https://doi.org/10.1007/978-3-319-59421-7_10</w:t>
      </w:r>
    </w:p>
    <w:sectPr w:rsidR="00441B6F" w:rsidRPr="00F56BC6" w:rsidSect="00F6061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2D7B" w14:textId="77777777" w:rsidR="0070027B" w:rsidRDefault="0070027B" w:rsidP="00C37E61">
      <w:r>
        <w:separator/>
      </w:r>
    </w:p>
  </w:endnote>
  <w:endnote w:type="continuationSeparator" w:id="0">
    <w:p w14:paraId="4AB03AC7" w14:textId="77777777" w:rsidR="0070027B" w:rsidRDefault="007002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F80FD" w14:textId="77777777" w:rsidR="00F60612" w:rsidRDefault="00F60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7E75" w14:textId="77777777" w:rsidR="00F60612" w:rsidRDefault="00F60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73A81" w14:textId="77777777" w:rsidR="00754C9A" w:rsidRPr="008F2147" w:rsidRDefault="00754C9A" w:rsidP="008F2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4F55" w14:textId="77777777" w:rsidR="0070027B" w:rsidRDefault="0070027B" w:rsidP="00C37E61">
      <w:r>
        <w:separator/>
      </w:r>
    </w:p>
  </w:footnote>
  <w:footnote w:type="continuationSeparator" w:id="0">
    <w:p w14:paraId="54FDE7A1" w14:textId="77777777" w:rsidR="0070027B" w:rsidRDefault="007002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F56" w14:textId="77777777" w:rsidR="00F60612" w:rsidRDefault="00000000">
    <w:pPr>
      <w:pStyle w:val="Header"/>
    </w:pPr>
    <w:r>
      <w:rPr>
        <w:noProof/>
      </w:rPr>
      <w:pict w14:anchorId="3D74F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15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3F07" w14:textId="77777777" w:rsidR="00F60612" w:rsidRDefault="00000000">
    <w:pPr>
      <w:pStyle w:val="Header"/>
    </w:pPr>
    <w:r>
      <w:rPr>
        <w:noProof/>
      </w:rPr>
      <w:pict w14:anchorId="4C796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15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B535" w14:textId="77777777" w:rsidR="00296529" w:rsidRPr="00296529" w:rsidRDefault="00000000" w:rsidP="00296529">
    <w:pPr>
      <w:ind w:left="2160"/>
      <w:jc w:val="center"/>
      <w:rPr>
        <w:rFonts w:ascii="Times New Roman" w:eastAsia="Calibri" w:hAnsi="Times New Roman"/>
        <w:i/>
        <w:sz w:val="18"/>
        <w:szCs w:val="22"/>
      </w:rPr>
    </w:pPr>
    <w:r>
      <w:rPr>
        <w:noProof/>
      </w:rPr>
      <w:pict w14:anchorId="69114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15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598C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7745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AC92D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8A39B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D411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A65E7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E0E0B"/>
    <w:multiLevelType w:val="multilevel"/>
    <w:tmpl w:val="D214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2C512F"/>
    <w:multiLevelType w:val="multilevel"/>
    <w:tmpl w:val="8E3A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5735C"/>
    <w:multiLevelType w:val="multilevel"/>
    <w:tmpl w:val="C256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C6797"/>
    <w:multiLevelType w:val="multilevel"/>
    <w:tmpl w:val="9592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DD17A7"/>
    <w:multiLevelType w:val="hybridMultilevel"/>
    <w:tmpl w:val="2C10B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500E49"/>
    <w:multiLevelType w:val="multilevel"/>
    <w:tmpl w:val="929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2E3052"/>
    <w:multiLevelType w:val="multilevel"/>
    <w:tmpl w:val="ECA6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41B97"/>
    <w:multiLevelType w:val="multilevel"/>
    <w:tmpl w:val="5D6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BF83B57"/>
    <w:multiLevelType w:val="multilevel"/>
    <w:tmpl w:val="5FE4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CA47C6"/>
    <w:multiLevelType w:val="multilevel"/>
    <w:tmpl w:val="7A72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8257E"/>
    <w:multiLevelType w:val="multilevel"/>
    <w:tmpl w:val="1CC6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4925E2"/>
    <w:multiLevelType w:val="multilevel"/>
    <w:tmpl w:val="20AE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80397"/>
    <w:multiLevelType w:val="multilevel"/>
    <w:tmpl w:val="E6D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38B20F4"/>
    <w:multiLevelType w:val="multilevel"/>
    <w:tmpl w:val="D96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C705627"/>
    <w:multiLevelType w:val="multilevel"/>
    <w:tmpl w:val="C00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491F24"/>
    <w:multiLevelType w:val="multilevel"/>
    <w:tmpl w:val="ACE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4B4C76"/>
    <w:multiLevelType w:val="hybridMultilevel"/>
    <w:tmpl w:val="30CED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261761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795365">
    <w:abstractNumId w:val="23"/>
  </w:num>
  <w:num w:numId="3" w16cid:durableId="547499806">
    <w:abstractNumId w:val="40"/>
  </w:num>
  <w:num w:numId="4" w16cid:durableId="21045669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60699386">
    <w:abstractNumId w:val="10"/>
  </w:num>
  <w:num w:numId="6" w16cid:durableId="737946467">
    <w:abstractNumId w:val="9"/>
  </w:num>
  <w:num w:numId="7" w16cid:durableId="1555042387">
    <w:abstractNumId w:val="2"/>
  </w:num>
  <w:num w:numId="8" w16cid:durableId="84084335">
    <w:abstractNumId w:val="16"/>
  </w:num>
  <w:num w:numId="9" w16cid:durableId="1264414555">
    <w:abstractNumId w:val="42"/>
  </w:num>
  <w:num w:numId="10" w16cid:durableId="1853109088">
    <w:abstractNumId w:val="3"/>
  </w:num>
  <w:num w:numId="11" w16cid:durableId="252864580">
    <w:abstractNumId w:val="32"/>
  </w:num>
  <w:num w:numId="12" w16cid:durableId="1579511400">
    <w:abstractNumId w:val="4"/>
  </w:num>
  <w:num w:numId="13" w16cid:durableId="64765139">
    <w:abstractNumId w:val="30"/>
  </w:num>
  <w:num w:numId="14" w16cid:durableId="1790124066">
    <w:abstractNumId w:val="11"/>
  </w:num>
  <w:num w:numId="15" w16cid:durableId="1252664746">
    <w:abstractNumId w:val="38"/>
  </w:num>
  <w:num w:numId="16" w16cid:durableId="1884824050">
    <w:abstractNumId w:val="6"/>
  </w:num>
  <w:num w:numId="17" w16cid:durableId="1005474789">
    <w:abstractNumId w:val="39"/>
  </w:num>
  <w:num w:numId="18" w16cid:durableId="1786729441">
    <w:abstractNumId w:val="19"/>
  </w:num>
  <w:num w:numId="19" w16cid:durableId="869148510">
    <w:abstractNumId w:val="45"/>
  </w:num>
  <w:num w:numId="20" w16cid:durableId="1183323547">
    <w:abstractNumId w:val="15"/>
  </w:num>
  <w:num w:numId="21" w16cid:durableId="2108496147">
    <w:abstractNumId w:val="12"/>
  </w:num>
  <w:num w:numId="22" w16cid:durableId="528418070">
    <w:abstractNumId w:val="18"/>
  </w:num>
  <w:num w:numId="23" w16cid:durableId="1813256275">
    <w:abstractNumId w:val="35"/>
  </w:num>
  <w:num w:numId="24" w16cid:durableId="1449858379">
    <w:abstractNumId w:val="43"/>
  </w:num>
  <w:num w:numId="25" w16cid:durableId="1557738211">
    <w:abstractNumId w:val="5"/>
  </w:num>
  <w:num w:numId="26" w16cid:durableId="20401191">
    <w:abstractNumId w:val="27"/>
  </w:num>
  <w:num w:numId="27" w16cid:durableId="1302541739">
    <w:abstractNumId w:val="36"/>
  </w:num>
  <w:num w:numId="28" w16cid:durableId="2013797383">
    <w:abstractNumId w:val="44"/>
  </w:num>
  <w:num w:numId="29" w16cid:durableId="465975494">
    <w:abstractNumId w:val="41"/>
  </w:num>
  <w:num w:numId="30" w16cid:durableId="337005631">
    <w:abstractNumId w:val="13"/>
  </w:num>
  <w:num w:numId="31" w16cid:durableId="778135811">
    <w:abstractNumId w:val="8"/>
  </w:num>
  <w:num w:numId="32" w16cid:durableId="1333416637">
    <w:abstractNumId w:val="29"/>
  </w:num>
  <w:num w:numId="33" w16cid:durableId="1175344134">
    <w:abstractNumId w:val="31"/>
  </w:num>
  <w:num w:numId="34" w16cid:durableId="1311713812">
    <w:abstractNumId w:val="24"/>
  </w:num>
  <w:num w:numId="35" w16cid:durableId="1768312366">
    <w:abstractNumId w:val="26"/>
  </w:num>
  <w:num w:numId="36" w16cid:durableId="1760249405">
    <w:abstractNumId w:val="7"/>
  </w:num>
  <w:num w:numId="37" w16cid:durableId="1395197662">
    <w:abstractNumId w:val="34"/>
  </w:num>
  <w:num w:numId="38" w16cid:durableId="1529484601">
    <w:abstractNumId w:val="22"/>
  </w:num>
  <w:num w:numId="39" w16cid:durableId="1087507535">
    <w:abstractNumId w:val="17"/>
  </w:num>
  <w:num w:numId="40" w16cid:durableId="176315088">
    <w:abstractNumId w:val="33"/>
  </w:num>
  <w:num w:numId="41" w16cid:durableId="555629046">
    <w:abstractNumId w:val="14"/>
  </w:num>
  <w:num w:numId="42" w16cid:durableId="1377704674">
    <w:abstractNumId w:val="21"/>
  </w:num>
  <w:num w:numId="43" w16cid:durableId="1209606654">
    <w:abstractNumId w:val="1"/>
  </w:num>
  <w:num w:numId="44" w16cid:durableId="1586920409">
    <w:abstractNumId w:val="25"/>
  </w:num>
  <w:num w:numId="45" w16cid:durableId="2091654126">
    <w:abstractNumId w:val="28"/>
  </w:num>
  <w:num w:numId="46" w16cid:durableId="2036810861">
    <w:abstractNumId w:val="20"/>
  </w:num>
  <w:num w:numId="47" w16cid:durableId="12580559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5CA"/>
    <w:rsid w:val="00012568"/>
    <w:rsid w:val="0001707A"/>
    <w:rsid w:val="00030174"/>
    <w:rsid w:val="000360FF"/>
    <w:rsid w:val="000404CE"/>
    <w:rsid w:val="00041730"/>
    <w:rsid w:val="00042C66"/>
    <w:rsid w:val="0004579C"/>
    <w:rsid w:val="0005139A"/>
    <w:rsid w:val="000549AA"/>
    <w:rsid w:val="00056E6F"/>
    <w:rsid w:val="00073D9E"/>
    <w:rsid w:val="000A1852"/>
    <w:rsid w:val="000A4538"/>
    <w:rsid w:val="000A47FA"/>
    <w:rsid w:val="000A65D3"/>
    <w:rsid w:val="000B1E33"/>
    <w:rsid w:val="000B1F71"/>
    <w:rsid w:val="000B29BC"/>
    <w:rsid w:val="000D689F"/>
    <w:rsid w:val="000E1EF8"/>
    <w:rsid w:val="000E791A"/>
    <w:rsid w:val="000E7B7B"/>
    <w:rsid w:val="000E7D62"/>
    <w:rsid w:val="000F571A"/>
    <w:rsid w:val="00100726"/>
    <w:rsid w:val="00103357"/>
    <w:rsid w:val="00115667"/>
    <w:rsid w:val="00123C9F"/>
    <w:rsid w:val="00124743"/>
    <w:rsid w:val="00126190"/>
    <w:rsid w:val="00130F17"/>
    <w:rsid w:val="001320BF"/>
    <w:rsid w:val="0013714E"/>
    <w:rsid w:val="00154282"/>
    <w:rsid w:val="00161713"/>
    <w:rsid w:val="00163BC4"/>
    <w:rsid w:val="00167590"/>
    <w:rsid w:val="00180B78"/>
    <w:rsid w:val="00191062"/>
    <w:rsid w:val="00192B72"/>
    <w:rsid w:val="001959CE"/>
    <w:rsid w:val="001A29D8"/>
    <w:rsid w:val="001A5CAA"/>
    <w:rsid w:val="001B0427"/>
    <w:rsid w:val="001B7DA2"/>
    <w:rsid w:val="001D3A51"/>
    <w:rsid w:val="001E10D2"/>
    <w:rsid w:val="001E25B4"/>
    <w:rsid w:val="001E44FE"/>
    <w:rsid w:val="001F330C"/>
    <w:rsid w:val="00200595"/>
    <w:rsid w:val="002032CD"/>
    <w:rsid w:val="00204835"/>
    <w:rsid w:val="002050F9"/>
    <w:rsid w:val="00215A3B"/>
    <w:rsid w:val="00217456"/>
    <w:rsid w:val="00222DDA"/>
    <w:rsid w:val="00227900"/>
    <w:rsid w:val="00231920"/>
    <w:rsid w:val="0023195C"/>
    <w:rsid w:val="00236F64"/>
    <w:rsid w:val="00237724"/>
    <w:rsid w:val="0024282C"/>
    <w:rsid w:val="002460DC"/>
    <w:rsid w:val="00250985"/>
    <w:rsid w:val="002556F6"/>
    <w:rsid w:val="00274BD6"/>
    <w:rsid w:val="00277E90"/>
    <w:rsid w:val="00283105"/>
    <w:rsid w:val="00283402"/>
    <w:rsid w:val="00283EB9"/>
    <w:rsid w:val="00284C4C"/>
    <w:rsid w:val="00287E68"/>
    <w:rsid w:val="00292110"/>
    <w:rsid w:val="00293361"/>
    <w:rsid w:val="00296529"/>
    <w:rsid w:val="002B1925"/>
    <w:rsid w:val="002B27FB"/>
    <w:rsid w:val="002B685A"/>
    <w:rsid w:val="002B7C87"/>
    <w:rsid w:val="002C0BBA"/>
    <w:rsid w:val="002C3958"/>
    <w:rsid w:val="002C57D2"/>
    <w:rsid w:val="002D3789"/>
    <w:rsid w:val="002D5459"/>
    <w:rsid w:val="002D5F0A"/>
    <w:rsid w:val="002E0D56"/>
    <w:rsid w:val="002F1F16"/>
    <w:rsid w:val="002F7B2E"/>
    <w:rsid w:val="00312574"/>
    <w:rsid w:val="00315186"/>
    <w:rsid w:val="0033343E"/>
    <w:rsid w:val="003512C2"/>
    <w:rsid w:val="003513F6"/>
    <w:rsid w:val="00351B9E"/>
    <w:rsid w:val="00352ED1"/>
    <w:rsid w:val="00362BC3"/>
    <w:rsid w:val="0036562D"/>
    <w:rsid w:val="00371FB6"/>
    <w:rsid w:val="00372261"/>
    <w:rsid w:val="003763C1"/>
    <w:rsid w:val="00376603"/>
    <w:rsid w:val="00376BBE"/>
    <w:rsid w:val="0039224F"/>
    <w:rsid w:val="003A43A4"/>
    <w:rsid w:val="003A7859"/>
    <w:rsid w:val="003A7BBB"/>
    <w:rsid w:val="003A7E18"/>
    <w:rsid w:val="003C31F7"/>
    <w:rsid w:val="003C4C86"/>
    <w:rsid w:val="003C6258"/>
    <w:rsid w:val="003D290E"/>
    <w:rsid w:val="003E2904"/>
    <w:rsid w:val="003E379D"/>
    <w:rsid w:val="003E5BE0"/>
    <w:rsid w:val="003E6434"/>
    <w:rsid w:val="003F2281"/>
    <w:rsid w:val="003F2D84"/>
    <w:rsid w:val="00401927"/>
    <w:rsid w:val="0041027F"/>
    <w:rsid w:val="00412475"/>
    <w:rsid w:val="004206BB"/>
    <w:rsid w:val="00423789"/>
    <w:rsid w:val="004302CF"/>
    <w:rsid w:val="0043560C"/>
    <w:rsid w:val="004368C6"/>
    <w:rsid w:val="00436FB6"/>
    <w:rsid w:val="00440F43"/>
    <w:rsid w:val="00441B6F"/>
    <w:rsid w:val="00446221"/>
    <w:rsid w:val="00450E62"/>
    <w:rsid w:val="004528A1"/>
    <w:rsid w:val="0045356D"/>
    <w:rsid w:val="004539DB"/>
    <w:rsid w:val="00467EE7"/>
    <w:rsid w:val="00471A80"/>
    <w:rsid w:val="0047635A"/>
    <w:rsid w:val="00476EE2"/>
    <w:rsid w:val="00484200"/>
    <w:rsid w:val="004A29F2"/>
    <w:rsid w:val="004B0B56"/>
    <w:rsid w:val="004C6458"/>
    <w:rsid w:val="004D305E"/>
    <w:rsid w:val="004D4277"/>
    <w:rsid w:val="004E1670"/>
    <w:rsid w:val="004E46D2"/>
    <w:rsid w:val="00502516"/>
    <w:rsid w:val="00502DD8"/>
    <w:rsid w:val="00505157"/>
    <w:rsid w:val="00505F06"/>
    <w:rsid w:val="00506828"/>
    <w:rsid w:val="0053056E"/>
    <w:rsid w:val="005509A4"/>
    <w:rsid w:val="00552913"/>
    <w:rsid w:val="00554FDA"/>
    <w:rsid w:val="00555498"/>
    <w:rsid w:val="005600BC"/>
    <w:rsid w:val="005638FC"/>
    <w:rsid w:val="00564EC8"/>
    <w:rsid w:val="005673E6"/>
    <w:rsid w:val="0058475F"/>
    <w:rsid w:val="00595BC6"/>
    <w:rsid w:val="005971EC"/>
    <w:rsid w:val="005A1A93"/>
    <w:rsid w:val="005B36EE"/>
    <w:rsid w:val="005C1B3A"/>
    <w:rsid w:val="005C784C"/>
    <w:rsid w:val="005D0328"/>
    <w:rsid w:val="005D17F6"/>
    <w:rsid w:val="005E30E9"/>
    <w:rsid w:val="005E5539"/>
    <w:rsid w:val="005F484C"/>
    <w:rsid w:val="005F79DD"/>
    <w:rsid w:val="006012AC"/>
    <w:rsid w:val="0060152D"/>
    <w:rsid w:val="00602BF5"/>
    <w:rsid w:val="006066D6"/>
    <w:rsid w:val="006133E5"/>
    <w:rsid w:val="006176DB"/>
    <w:rsid w:val="00617FDD"/>
    <w:rsid w:val="00633614"/>
    <w:rsid w:val="00633F68"/>
    <w:rsid w:val="00636EB2"/>
    <w:rsid w:val="006375B8"/>
    <w:rsid w:val="006421B2"/>
    <w:rsid w:val="0064251A"/>
    <w:rsid w:val="00655737"/>
    <w:rsid w:val="00664DFB"/>
    <w:rsid w:val="0066510A"/>
    <w:rsid w:val="00673F9F"/>
    <w:rsid w:val="006828C4"/>
    <w:rsid w:val="00683B42"/>
    <w:rsid w:val="00684524"/>
    <w:rsid w:val="006845B8"/>
    <w:rsid w:val="00686953"/>
    <w:rsid w:val="00687DEA"/>
    <w:rsid w:val="00687E67"/>
    <w:rsid w:val="006967F7"/>
    <w:rsid w:val="00697286"/>
    <w:rsid w:val="006A250C"/>
    <w:rsid w:val="006A2DC1"/>
    <w:rsid w:val="006B1300"/>
    <w:rsid w:val="006B21D3"/>
    <w:rsid w:val="006B57D0"/>
    <w:rsid w:val="006C39BD"/>
    <w:rsid w:val="006C4FD9"/>
    <w:rsid w:val="006D30FF"/>
    <w:rsid w:val="006D6940"/>
    <w:rsid w:val="006E1875"/>
    <w:rsid w:val="006F11EC"/>
    <w:rsid w:val="0070027B"/>
    <w:rsid w:val="00700328"/>
    <w:rsid w:val="007007C2"/>
    <w:rsid w:val="0070082C"/>
    <w:rsid w:val="0070212E"/>
    <w:rsid w:val="00704A1C"/>
    <w:rsid w:val="00704BB1"/>
    <w:rsid w:val="00705E57"/>
    <w:rsid w:val="007308FA"/>
    <w:rsid w:val="007369E6"/>
    <w:rsid w:val="007406CF"/>
    <w:rsid w:val="00746E59"/>
    <w:rsid w:val="00747B17"/>
    <w:rsid w:val="00754C9A"/>
    <w:rsid w:val="0075599A"/>
    <w:rsid w:val="00761D52"/>
    <w:rsid w:val="0077749E"/>
    <w:rsid w:val="00790ADA"/>
    <w:rsid w:val="00791D21"/>
    <w:rsid w:val="00794ABA"/>
    <w:rsid w:val="007A5BE7"/>
    <w:rsid w:val="007B659D"/>
    <w:rsid w:val="007B7CFC"/>
    <w:rsid w:val="007C6EC5"/>
    <w:rsid w:val="007D2288"/>
    <w:rsid w:val="007D6638"/>
    <w:rsid w:val="007D780C"/>
    <w:rsid w:val="007E088F"/>
    <w:rsid w:val="007E1731"/>
    <w:rsid w:val="007E22F3"/>
    <w:rsid w:val="007E7EC6"/>
    <w:rsid w:val="007F0E8C"/>
    <w:rsid w:val="007F7B32"/>
    <w:rsid w:val="00804BC2"/>
    <w:rsid w:val="00804EAA"/>
    <w:rsid w:val="00807ECB"/>
    <w:rsid w:val="0081431A"/>
    <w:rsid w:val="00815A89"/>
    <w:rsid w:val="0083216F"/>
    <w:rsid w:val="00834AEE"/>
    <w:rsid w:val="008379DE"/>
    <w:rsid w:val="00852426"/>
    <w:rsid w:val="00860000"/>
    <w:rsid w:val="008624A6"/>
    <w:rsid w:val="00863BD3"/>
    <w:rsid w:val="008641ED"/>
    <w:rsid w:val="00866D66"/>
    <w:rsid w:val="008671C6"/>
    <w:rsid w:val="00875803"/>
    <w:rsid w:val="00886BBE"/>
    <w:rsid w:val="00890EB9"/>
    <w:rsid w:val="008A22B0"/>
    <w:rsid w:val="008A3177"/>
    <w:rsid w:val="008A3BB4"/>
    <w:rsid w:val="008A673B"/>
    <w:rsid w:val="008B1621"/>
    <w:rsid w:val="008B459E"/>
    <w:rsid w:val="008C4527"/>
    <w:rsid w:val="008C53A7"/>
    <w:rsid w:val="008E13AE"/>
    <w:rsid w:val="008E1506"/>
    <w:rsid w:val="008E3520"/>
    <w:rsid w:val="008E6AB5"/>
    <w:rsid w:val="008E710C"/>
    <w:rsid w:val="008F2147"/>
    <w:rsid w:val="008F65F4"/>
    <w:rsid w:val="008F69D6"/>
    <w:rsid w:val="00902823"/>
    <w:rsid w:val="009062DD"/>
    <w:rsid w:val="00906DCE"/>
    <w:rsid w:val="009102A1"/>
    <w:rsid w:val="00915CA6"/>
    <w:rsid w:val="00917DC2"/>
    <w:rsid w:val="00925C3C"/>
    <w:rsid w:val="009264AB"/>
    <w:rsid w:val="00927834"/>
    <w:rsid w:val="00934B75"/>
    <w:rsid w:val="00935EF1"/>
    <w:rsid w:val="00940FFE"/>
    <w:rsid w:val="009500A6"/>
    <w:rsid w:val="0095067B"/>
    <w:rsid w:val="00950DFC"/>
    <w:rsid w:val="00951614"/>
    <w:rsid w:val="00951E4D"/>
    <w:rsid w:val="009523CB"/>
    <w:rsid w:val="009527A7"/>
    <w:rsid w:val="00957791"/>
    <w:rsid w:val="00957C18"/>
    <w:rsid w:val="009659BA"/>
    <w:rsid w:val="00983040"/>
    <w:rsid w:val="009A22A3"/>
    <w:rsid w:val="009B2C0A"/>
    <w:rsid w:val="009B3FB9"/>
    <w:rsid w:val="009B5084"/>
    <w:rsid w:val="009C2465"/>
    <w:rsid w:val="009C37FE"/>
    <w:rsid w:val="009D007E"/>
    <w:rsid w:val="009D35A0"/>
    <w:rsid w:val="009D7EB7"/>
    <w:rsid w:val="009E048A"/>
    <w:rsid w:val="009E08E9"/>
    <w:rsid w:val="009E3DB9"/>
    <w:rsid w:val="009E6E35"/>
    <w:rsid w:val="009F0EDA"/>
    <w:rsid w:val="009F5C07"/>
    <w:rsid w:val="00A016F2"/>
    <w:rsid w:val="00A03B96"/>
    <w:rsid w:val="00A040D5"/>
    <w:rsid w:val="00A05B19"/>
    <w:rsid w:val="00A1134E"/>
    <w:rsid w:val="00A13170"/>
    <w:rsid w:val="00A13F78"/>
    <w:rsid w:val="00A16506"/>
    <w:rsid w:val="00A24E7E"/>
    <w:rsid w:val="00A258C3"/>
    <w:rsid w:val="00A25F6F"/>
    <w:rsid w:val="00A347C0"/>
    <w:rsid w:val="00A473C9"/>
    <w:rsid w:val="00A51431"/>
    <w:rsid w:val="00A539AD"/>
    <w:rsid w:val="00A615DA"/>
    <w:rsid w:val="00A6281B"/>
    <w:rsid w:val="00A70085"/>
    <w:rsid w:val="00A70381"/>
    <w:rsid w:val="00A75F01"/>
    <w:rsid w:val="00A92013"/>
    <w:rsid w:val="00A92C85"/>
    <w:rsid w:val="00A94063"/>
    <w:rsid w:val="00AA0FD5"/>
    <w:rsid w:val="00AA6219"/>
    <w:rsid w:val="00AA74E0"/>
    <w:rsid w:val="00AA774F"/>
    <w:rsid w:val="00AB5665"/>
    <w:rsid w:val="00AB61E9"/>
    <w:rsid w:val="00AB703F"/>
    <w:rsid w:val="00AC6BB8"/>
    <w:rsid w:val="00AC7278"/>
    <w:rsid w:val="00AD4B97"/>
    <w:rsid w:val="00AD6BB0"/>
    <w:rsid w:val="00AE008F"/>
    <w:rsid w:val="00AE693A"/>
    <w:rsid w:val="00AF5EFF"/>
    <w:rsid w:val="00B01E79"/>
    <w:rsid w:val="00B01FCD"/>
    <w:rsid w:val="00B16734"/>
    <w:rsid w:val="00B16D28"/>
    <w:rsid w:val="00B1776C"/>
    <w:rsid w:val="00B23782"/>
    <w:rsid w:val="00B4263B"/>
    <w:rsid w:val="00B45C28"/>
    <w:rsid w:val="00B50966"/>
    <w:rsid w:val="00B52583"/>
    <w:rsid w:val="00B52896"/>
    <w:rsid w:val="00B61F1D"/>
    <w:rsid w:val="00B71EBC"/>
    <w:rsid w:val="00B83780"/>
    <w:rsid w:val="00B869B8"/>
    <w:rsid w:val="00B95236"/>
    <w:rsid w:val="00B96BD9"/>
    <w:rsid w:val="00BA1B01"/>
    <w:rsid w:val="00BA2641"/>
    <w:rsid w:val="00BA36FC"/>
    <w:rsid w:val="00BA4BE4"/>
    <w:rsid w:val="00BB37AA"/>
    <w:rsid w:val="00BB41B8"/>
    <w:rsid w:val="00BC53A0"/>
    <w:rsid w:val="00BE62AD"/>
    <w:rsid w:val="00BF121F"/>
    <w:rsid w:val="00BF1F80"/>
    <w:rsid w:val="00C0343F"/>
    <w:rsid w:val="00C12AA7"/>
    <w:rsid w:val="00C13F36"/>
    <w:rsid w:val="00C166EF"/>
    <w:rsid w:val="00C17EB0"/>
    <w:rsid w:val="00C24DA3"/>
    <w:rsid w:val="00C27F5F"/>
    <w:rsid w:val="00C30A0F"/>
    <w:rsid w:val="00C37E61"/>
    <w:rsid w:val="00C461F2"/>
    <w:rsid w:val="00C4685C"/>
    <w:rsid w:val="00C626EF"/>
    <w:rsid w:val="00C70F1B"/>
    <w:rsid w:val="00C71A47"/>
    <w:rsid w:val="00C732BA"/>
    <w:rsid w:val="00C7464C"/>
    <w:rsid w:val="00C85588"/>
    <w:rsid w:val="00C92DED"/>
    <w:rsid w:val="00C9640C"/>
    <w:rsid w:val="00CB11B4"/>
    <w:rsid w:val="00CC34FC"/>
    <w:rsid w:val="00CD08C3"/>
    <w:rsid w:val="00CD6755"/>
    <w:rsid w:val="00CD6856"/>
    <w:rsid w:val="00CE0089"/>
    <w:rsid w:val="00CE009F"/>
    <w:rsid w:val="00CE686D"/>
    <w:rsid w:val="00CE793C"/>
    <w:rsid w:val="00CE7BB2"/>
    <w:rsid w:val="00CF193C"/>
    <w:rsid w:val="00D03C2F"/>
    <w:rsid w:val="00D14550"/>
    <w:rsid w:val="00D173F1"/>
    <w:rsid w:val="00D22040"/>
    <w:rsid w:val="00D35850"/>
    <w:rsid w:val="00D35E3E"/>
    <w:rsid w:val="00D40C6A"/>
    <w:rsid w:val="00D42D0E"/>
    <w:rsid w:val="00D469A5"/>
    <w:rsid w:val="00D569CA"/>
    <w:rsid w:val="00D60F5F"/>
    <w:rsid w:val="00D61B44"/>
    <w:rsid w:val="00D61D48"/>
    <w:rsid w:val="00D74CB0"/>
    <w:rsid w:val="00D751E2"/>
    <w:rsid w:val="00D75A0B"/>
    <w:rsid w:val="00D8295D"/>
    <w:rsid w:val="00D92A65"/>
    <w:rsid w:val="00DA47F4"/>
    <w:rsid w:val="00DA792B"/>
    <w:rsid w:val="00DB7D91"/>
    <w:rsid w:val="00DC16D9"/>
    <w:rsid w:val="00DC25DB"/>
    <w:rsid w:val="00DC2A65"/>
    <w:rsid w:val="00DE15F0"/>
    <w:rsid w:val="00DE5663"/>
    <w:rsid w:val="00DE78AA"/>
    <w:rsid w:val="00DF1E22"/>
    <w:rsid w:val="00DF4501"/>
    <w:rsid w:val="00E044E1"/>
    <w:rsid w:val="00E053D0"/>
    <w:rsid w:val="00E07095"/>
    <w:rsid w:val="00E15608"/>
    <w:rsid w:val="00E15994"/>
    <w:rsid w:val="00E27AB1"/>
    <w:rsid w:val="00E3114E"/>
    <w:rsid w:val="00E31A70"/>
    <w:rsid w:val="00E35B02"/>
    <w:rsid w:val="00E43133"/>
    <w:rsid w:val="00E547B6"/>
    <w:rsid w:val="00E65746"/>
    <w:rsid w:val="00E66496"/>
    <w:rsid w:val="00E66B35"/>
    <w:rsid w:val="00E66E10"/>
    <w:rsid w:val="00E675D5"/>
    <w:rsid w:val="00E7094F"/>
    <w:rsid w:val="00E769F6"/>
    <w:rsid w:val="00E8407C"/>
    <w:rsid w:val="00E84C0F"/>
    <w:rsid w:val="00E84F3C"/>
    <w:rsid w:val="00E97205"/>
    <w:rsid w:val="00EA012C"/>
    <w:rsid w:val="00EA0EF2"/>
    <w:rsid w:val="00EA5132"/>
    <w:rsid w:val="00EC453D"/>
    <w:rsid w:val="00EC6A55"/>
    <w:rsid w:val="00ED0288"/>
    <w:rsid w:val="00ED7214"/>
    <w:rsid w:val="00EE52CB"/>
    <w:rsid w:val="00EF581D"/>
    <w:rsid w:val="00EF6FAE"/>
    <w:rsid w:val="00EF7FD8"/>
    <w:rsid w:val="00F06F59"/>
    <w:rsid w:val="00F125A5"/>
    <w:rsid w:val="00F17988"/>
    <w:rsid w:val="00F41143"/>
    <w:rsid w:val="00F469F0"/>
    <w:rsid w:val="00F50EE1"/>
    <w:rsid w:val="00F53273"/>
    <w:rsid w:val="00F56BC6"/>
    <w:rsid w:val="00F60612"/>
    <w:rsid w:val="00F64D25"/>
    <w:rsid w:val="00F66994"/>
    <w:rsid w:val="00F66BC9"/>
    <w:rsid w:val="00F7355B"/>
    <w:rsid w:val="00F755E4"/>
    <w:rsid w:val="00F77D02"/>
    <w:rsid w:val="00F81F20"/>
    <w:rsid w:val="00F90DA1"/>
    <w:rsid w:val="00F934EA"/>
    <w:rsid w:val="00F95836"/>
    <w:rsid w:val="00FB204E"/>
    <w:rsid w:val="00FB3A86"/>
    <w:rsid w:val="00FB5080"/>
    <w:rsid w:val="00FC321D"/>
    <w:rsid w:val="00FD36C8"/>
    <w:rsid w:val="00FF1895"/>
    <w:rsid w:val="00FF6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CD9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1F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C6E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206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4206BB"/>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0B1F71"/>
    <w:pPr>
      <w:spacing w:before="100" w:beforeAutospacing="1" w:after="100" w:afterAutospacing="1"/>
    </w:pPr>
    <w:rPr>
      <w:rFonts w:ascii="Times New Roman" w:hAnsi="Times New Roman"/>
      <w:sz w:val="24"/>
      <w:szCs w:val="24"/>
      <w:lang w:val="ru-RU" w:eastAsia="ru-RU"/>
    </w:rPr>
  </w:style>
  <w:style w:type="character" w:styleId="Strong">
    <w:name w:val="Strong"/>
    <w:basedOn w:val="DefaultParagraphFont"/>
    <w:uiPriority w:val="22"/>
    <w:qFormat/>
    <w:rsid w:val="000B1F71"/>
    <w:rPr>
      <w:b/>
      <w:bCs/>
    </w:rPr>
  </w:style>
  <w:style w:type="character" w:customStyle="1" w:styleId="Heading3Char">
    <w:name w:val="Heading 3 Char"/>
    <w:basedOn w:val="DefaultParagraphFont"/>
    <w:link w:val="Heading3"/>
    <w:semiHidden/>
    <w:rsid w:val="007C6EC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B4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0674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0212206">
      <w:bodyDiv w:val="1"/>
      <w:marLeft w:val="0"/>
      <w:marRight w:val="0"/>
      <w:marTop w:val="0"/>
      <w:marBottom w:val="0"/>
      <w:divBdr>
        <w:top w:val="none" w:sz="0" w:space="0" w:color="auto"/>
        <w:left w:val="none" w:sz="0" w:space="0" w:color="auto"/>
        <w:bottom w:val="none" w:sz="0" w:space="0" w:color="auto"/>
        <w:right w:val="none" w:sz="0" w:space="0" w:color="auto"/>
      </w:divBdr>
    </w:div>
    <w:div w:id="2314760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8275606">
      <w:bodyDiv w:val="1"/>
      <w:marLeft w:val="0"/>
      <w:marRight w:val="0"/>
      <w:marTop w:val="0"/>
      <w:marBottom w:val="0"/>
      <w:divBdr>
        <w:top w:val="none" w:sz="0" w:space="0" w:color="auto"/>
        <w:left w:val="none" w:sz="0" w:space="0" w:color="auto"/>
        <w:bottom w:val="none" w:sz="0" w:space="0" w:color="auto"/>
        <w:right w:val="none" w:sz="0" w:space="0" w:color="auto"/>
      </w:divBdr>
    </w:div>
    <w:div w:id="250893284">
      <w:bodyDiv w:val="1"/>
      <w:marLeft w:val="0"/>
      <w:marRight w:val="0"/>
      <w:marTop w:val="0"/>
      <w:marBottom w:val="0"/>
      <w:divBdr>
        <w:top w:val="none" w:sz="0" w:space="0" w:color="auto"/>
        <w:left w:val="none" w:sz="0" w:space="0" w:color="auto"/>
        <w:bottom w:val="none" w:sz="0" w:space="0" w:color="auto"/>
        <w:right w:val="none" w:sz="0" w:space="0" w:color="auto"/>
      </w:divBdr>
    </w:div>
    <w:div w:id="320086778">
      <w:bodyDiv w:val="1"/>
      <w:marLeft w:val="0"/>
      <w:marRight w:val="0"/>
      <w:marTop w:val="0"/>
      <w:marBottom w:val="0"/>
      <w:divBdr>
        <w:top w:val="none" w:sz="0" w:space="0" w:color="auto"/>
        <w:left w:val="none" w:sz="0" w:space="0" w:color="auto"/>
        <w:bottom w:val="none" w:sz="0" w:space="0" w:color="auto"/>
        <w:right w:val="none" w:sz="0" w:space="0" w:color="auto"/>
      </w:divBdr>
    </w:div>
    <w:div w:id="356547015">
      <w:bodyDiv w:val="1"/>
      <w:marLeft w:val="0"/>
      <w:marRight w:val="0"/>
      <w:marTop w:val="0"/>
      <w:marBottom w:val="0"/>
      <w:divBdr>
        <w:top w:val="none" w:sz="0" w:space="0" w:color="auto"/>
        <w:left w:val="none" w:sz="0" w:space="0" w:color="auto"/>
        <w:bottom w:val="none" w:sz="0" w:space="0" w:color="auto"/>
        <w:right w:val="none" w:sz="0" w:space="0" w:color="auto"/>
      </w:divBdr>
    </w:div>
    <w:div w:id="383480376">
      <w:bodyDiv w:val="1"/>
      <w:marLeft w:val="0"/>
      <w:marRight w:val="0"/>
      <w:marTop w:val="0"/>
      <w:marBottom w:val="0"/>
      <w:divBdr>
        <w:top w:val="none" w:sz="0" w:space="0" w:color="auto"/>
        <w:left w:val="none" w:sz="0" w:space="0" w:color="auto"/>
        <w:bottom w:val="none" w:sz="0" w:space="0" w:color="auto"/>
        <w:right w:val="none" w:sz="0" w:space="0" w:color="auto"/>
      </w:divBdr>
    </w:div>
    <w:div w:id="393092563">
      <w:bodyDiv w:val="1"/>
      <w:marLeft w:val="0"/>
      <w:marRight w:val="0"/>
      <w:marTop w:val="0"/>
      <w:marBottom w:val="0"/>
      <w:divBdr>
        <w:top w:val="none" w:sz="0" w:space="0" w:color="auto"/>
        <w:left w:val="none" w:sz="0" w:space="0" w:color="auto"/>
        <w:bottom w:val="none" w:sz="0" w:space="0" w:color="auto"/>
        <w:right w:val="none" w:sz="0" w:space="0" w:color="auto"/>
      </w:divBdr>
    </w:div>
    <w:div w:id="394819844">
      <w:bodyDiv w:val="1"/>
      <w:marLeft w:val="0"/>
      <w:marRight w:val="0"/>
      <w:marTop w:val="0"/>
      <w:marBottom w:val="0"/>
      <w:divBdr>
        <w:top w:val="none" w:sz="0" w:space="0" w:color="auto"/>
        <w:left w:val="none" w:sz="0" w:space="0" w:color="auto"/>
        <w:bottom w:val="none" w:sz="0" w:space="0" w:color="auto"/>
        <w:right w:val="none" w:sz="0" w:space="0" w:color="auto"/>
      </w:divBdr>
    </w:div>
    <w:div w:id="474759091">
      <w:bodyDiv w:val="1"/>
      <w:marLeft w:val="0"/>
      <w:marRight w:val="0"/>
      <w:marTop w:val="0"/>
      <w:marBottom w:val="0"/>
      <w:divBdr>
        <w:top w:val="none" w:sz="0" w:space="0" w:color="auto"/>
        <w:left w:val="none" w:sz="0" w:space="0" w:color="auto"/>
        <w:bottom w:val="none" w:sz="0" w:space="0" w:color="auto"/>
        <w:right w:val="none" w:sz="0" w:space="0" w:color="auto"/>
      </w:divBdr>
    </w:div>
    <w:div w:id="579608581">
      <w:bodyDiv w:val="1"/>
      <w:marLeft w:val="0"/>
      <w:marRight w:val="0"/>
      <w:marTop w:val="0"/>
      <w:marBottom w:val="0"/>
      <w:divBdr>
        <w:top w:val="none" w:sz="0" w:space="0" w:color="auto"/>
        <w:left w:val="none" w:sz="0" w:space="0" w:color="auto"/>
        <w:bottom w:val="none" w:sz="0" w:space="0" w:color="auto"/>
        <w:right w:val="none" w:sz="0" w:space="0" w:color="auto"/>
      </w:divBdr>
    </w:div>
    <w:div w:id="61487059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0252263">
      <w:bodyDiv w:val="1"/>
      <w:marLeft w:val="0"/>
      <w:marRight w:val="0"/>
      <w:marTop w:val="0"/>
      <w:marBottom w:val="0"/>
      <w:divBdr>
        <w:top w:val="none" w:sz="0" w:space="0" w:color="auto"/>
        <w:left w:val="none" w:sz="0" w:space="0" w:color="auto"/>
        <w:bottom w:val="none" w:sz="0" w:space="0" w:color="auto"/>
        <w:right w:val="none" w:sz="0" w:space="0" w:color="auto"/>
      </w:divBdr>
    </w:div>
    <w:div w:id="676153328">
      <w:bodyDiv w:val="1"/>
      <w:marLeft w:val="0"/>
      <w:marRight w:val="0"/>
      <w:marTop w:val="0"/>
      <w:marBottom w:val="0"/>
      <w:divBdr>
        <w:top w:val="none" w:sz="0" w:space="0" w:color="auto"/>
        <w:left w:val="none" w:sz="0" w:space="0" w:color="auto"/>
        <w:bottom w:val="none" w:sz="0" w:space="0" w:color="auto"/>
        <w:right w:val="none" w:sz="0" w:space="0" w:color="auto"/>
      </w:divBdr>
    </w:div>
    <w:div w:id="704478229">
      <w:bodyDiv w:val="1"/>
      <w:marLeft w:val="0"/>
      <w:marRight w:val="0"/>
      <w:marTop w:val="0"/>
      <w:marBottom w:val="0"/>
      <w:divBdr>
        <w:top w:val="none" w:sz="0" w:space="0" w:color="auto"/>
        <w:left w:val="none" w:sz="0" w:space="0" w:color="auto"/>
        <w:bottom w:val="none" w:sz="0" w:space="0" w:color="auto"/>
        <w:right w:val="none" w:sz="0" w:space="0" w:color="auto"/>
      </w:divBdr>
    </w:div>
    <w:div w:id="713457450">
      <w:bodyDiv w:val="1"/>
      <w:marLeft w:val="0"/>
      <w:marRight w:val="0"/>
      <w:marTop w:val="0"/>
      <w:marBottom w:val="0"/>
      <w:divBdr>
        <w:top w:val="none" w:sz="0" w:space="0" w:color="auto"/>
        <w:left w:val="none" w:sz="0" w:space="0" w:color="auto"/>
        <w:bottom w:val="none" w:sz="0" w:space="0" w:color="auto"/>
        <w:right w:val="none" w:sz="0" w:space="0" w:color="auto"/>
      </w:divBdr>
    </w:div>
    <w:div w:id="778766891">
      <w:bodyDiv w:val="1"/>
      <w:marLeft w:val="0"/>
      <w:marRight w:val="0"/>
      <w:marTop w:val="0"/>
      <w:marBottom w:val="0"/>
      <w:divBdr>
        <w:top w:val="none" w:sz="0" w:space="0" w:color="auto"/>
        <w:left w:val="none" w:sz="0" w:space="0" w:color="auto"/>
        <w:bottom w:val="none" w:sz="0" w:space="0" w:color="auto"/>
        <w:right w:val="none" w:sz="0" w:space="0" w:color="auto"/>
      </w:divBdr>
    </w:div>
    <w:div w:id="860821766">
      <w:bodyDiv w:val="1"/>
      <w:marLeft w:val="0"/>
      <w:marRight w:val="0"/>
      <w:marTop w:val="0"/>
      <w:marBottom w:val="0"/>
      <w:divBdr>
        <w:top w:val="none" w:sz="0" w:space="0" w:color="auto"/>
        <w:left w:val="none" w:sz="0" w:space="0" w:color="auto"/>
        <w:bottom w:val="none" w:sz="0" w:space="0" w:color="auto"/>
        <w:right w:val="none" w:sz="0" w:space="0" w:color="auto"/>
      </w:divBdr>
    </w:div>
    <w:div w:id="906300619">
      <w:bodyDiv w:val="1"/>
      <w:marLeft w:val="0"/>
      <w:marRight w:val="0"/>
      <w:marTop w:val="0"/>
      <w:marBottom w:val="0"/>
      <w:divBdr>
        <w:top w:val="none" w:sz="0" w:space="0" w:color="auto"/>
        <w:left w:val="none" w:sz="0" w:space="0" w:color="auto"/>
        <w:bottom w:val="none" w:sz="0" w:space="0" w:color="auto"/>
        <w:right w:val="none" w:sz="0" w:space="0" w:color="auto"/>
      </w:divBdr>
    </w:div>
    <w:div w:id="96608850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482248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83490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8371702">
      <w:bodyDiv w:val="1"/>
      <w:marLeft w:val="0"/>
      <w:marRight w:val="0"/>
      <w:marTop w:val="0"/>
      <w:marBottom w:val="0"/>
      <w:divBdr>
        <w:top w:val="none" w:sz="0" w:space="0" w:color="auto"/>
        <w:left w:val="none" w:sz="0" w:space="0" w:color="auto"/>
        <w:bottom w:val="none" w:sz="0" w:space="0" w:color="auto"/>
        <w:right w:val="none" w:sz="0" w:space="0" w:color="auto"/>
      </w:divBdr>
    </w:div>
    <w:div w:id="1267880924">
      <w:bodyDiv w:val="1"/>
      <w:marLeft w:val="0"/>
      <w:marRight w:val="0"/>
      <w:marTop w:val="0"/>
      <w:marBottom w:val="0"/>
      <w:divBdr>
        <w:top w:val="none" w:sz="0" w:space="0" w:color="auto"/>
        <w:left w:val="none" w:sz="0" w:space="0" w:color="auto"/>
        <w:bottom w:val="none" w:sz="0" w:space="0" w:color="auto"/>
        <w:right w:val="none" w:sz="0" w:space="0" w:color="auto"/>
      </w:divBdr>
    </w:div>
    <w:div w:id="1394961727">
      <w:bodyDiv w:val="1"/>
      <w:marLeft w:val="0"/>
      <w:marRight w:val="0"/>
      <w:marTop w:val="0"/>
      <w:marBottom w:val="0"/>
      <w:divBdr>
        <w:top w:val="none" w:sz="0" w:space="0" w:color="auto"/>
        <w:left w:val="none" w:sz="0" w:space="0" w:color="auto"/>
        <w:bottom w:val="none" w:sz="0" w:space="0" w:color="auto"/>
        <w:right w:val="none" w:sz="0" w:space="0" w:color="auto"/>
      </w:divBdr>
    </w:div>
    <w:div w:id="1426879924">
      <w:bodyDiv w:val="1"/>
      <w:marLeft w:val="0"/>
      <w:marRight w:val="0"/>
      <w:marTop w:val="0"/>
      <w:marBottom w:val="0"/>
      <w:divBdr>
        <w:top w:val="none" w:sz="0" w:space="0" w:color="auto"/>
        <w:left w:val="none" w:sz="0" w:space="0" w:color="auto"/>
        <w:bottom w:val="none" w:sz="0" w:space="0" w:color="auto"/>
        <w:right w:val="none" w:sz="0" w:space="0" w:color="auto"/>
      </w:divBdr>
    </w:div>
    <w:div w:id="1518426748">
      <w:bodyDiv w:val="1"/>
      <w:marLeft w:val="0"/>
      <w:marRight w:val="0"/>
      <w:marTop w:val="0"/>
      <w:marBottom w:val="0"/>
      <w:divBdr>
        <w:top w:val="none" w:sz="0" w:space="0" w:color="auto"/>
        <w:left w:val="none" w:sz="0" w:space="0" w:color="auto"/>
        <w:bottom w:val="none" w:sz="0" w:space="0" w:color="auto"/>
        <w:right w:val="none" w:sz="0" w:space="0" w:color="auto"/>
      </w:divBdr>
    </w:div>
    <w:div w:id="1614944821">
      <w:bodyDiv w:val="1"/>
      <w:marLeft w:val="0"/>
      <w:marRight w:val="0"/>
      <w:marTop w:val="0"/>
      <w:marBottom w:val="0"/>
      <w:divBdr>
        <w:top w:val="none" w:sz="0" w:space="0" w:color="auto"/>
        <w:left w:val="none" w:sz="0" w:space="0" w:color="auto"/>
        <w:bottom w:val="none" w:sz="0" w:space="0" w:color="auto"/>
        <w:right w:val="none" w:sz="0" w:space="0" w:color="auto"/>
      </w:divBdr>
    </w:div>
    <w:div w:id="1662808531">
      <w:bodyDiv w:val="1"/>
      <w:marLeft w:val="0"/>
      <w:marRight w:val="0"/>
      <w:marTop w:val="0"/>
      <w:marBottom w:val="0"/>
      <w:divBdr>
        <w:top w:val="none" w:sz="0" w:space="0" w:color="auto"/>
        <w:left w:val="none" w:sz="0" w:space="0" w:color="auto"/>
        <w:bottom w:val="none" w:sz="0" w:space="0" w:color="auto"/>
        <w:right w:val="none" w:sz="0" w:space="0" w:color="auto"/>
      </w:divBdr>
    </w:div>
    <w:div w:id="1672219491">
      <w:bodyDiv w:val="1"/>
      <w:marLeft w:val="0"/>
      <w:marRight w:val="0"/>
      <w:marTop w:val="0"/>
      <w:marBottom w:val="0"/>
      <w:divBdr>
        <w:top w:val="none" w:sz="0" w:space="0" w:color="auto"/>
        <w:left w:val="none" w:sz="0" w:space="0" w:color="auto"/>
        <w:bottom w:val="none" w:sz="0" w:space="0" w:color="auto"/>
        <w:right w:val="none" w:sz="0" w:space="0" w:color="auto"/>
      </w:divBdr>
    </w:div>
    <w:div w:id="1704358199">
      <w:bodyDiv w:val="1"/>
      <w:marLeft w:val="0"/>
      <w:marRight w:val="0"/>
      <w:marTop w:val="0"/>
      <w:marBottom w:val="0"/>
      <w:divBdr>
        <w:top w:val="none" w:sz="0" w:space="0" w:color="auto"/>
        <w:left w:val="none" w:sz="0" w:space="0" w:color="auto"/>
        <w:bottom w:val="none" w:sz="0" w:space="0" w:color="auto"/>
        <w:right w:val="none" w:sz="0" w:space="0" w:color="auto"/>
      </w:divBdr>
    </w:div>
    <w:div w:id="17378964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659419">
      <w:bodyDiv w:val="1"/>
      <w:marLeft w:val="0"/>
      <w:marRight w:val="0"/>
      <w:marTop w:val="0"/>
      <w:marBottom w:val="0"/>
      <w:divBdr>
        <w:top w:val="none" w:sz="0" w:space="0" w:color="auto"/>
        <w:left w:val="none" w:sz="0" w:space="0" w:color="auto"/>
        <w:bottom w:val="none" w:sz="0" w:space="0" w:color="auto"/>
        <w:right w:val="none" w:sz="0" w:space="0" w:color="auto"/>
      </w:divBdr>
    </w:div>
    <w:div w:id="1844127375">
      <w:bodyDiv w:val="1"/>
      <w:marLeft w:val="0"/>
      <w:marRight w:val="0"/>
      <w:marTop w:val="0"/>
      <w:marBottom w:val="0"/>
      <w:divBdr>
        <w:top w:val="none" w:sz="0" w:space="0" w:color="auto"/>
        <w:left w:val="none" w:sz="0" w:space="0" w:color="auto"/>
        <w:bottom w:val="none" w:sz="0" w:space="0" w:color="auto"/>
        <w:right w:val="none" w:sz="0" w:space="0" w:color="auto"/>
      </w:divBdr>
    </w:div>
    <w:div w:id="1864858592">
      <w:bodyDiv w:val="1"/>
      <w:marLeft w:val="0"/>
      <w:marRight w:val="0"/>
      <w:marTop w:val="0"/>
      <w:marBottom w:val="0"/>
      <w:divBdr>
        <w:top w:val="none" w:sz="0" w:space="0" w:color="auto"/>
        <w:left w:val="none" w:sz="0" w:space="0" w:color="auto"/>
        <w:bottom w:val="none" w:sz="0" w:space="0" w:color="auto"/>
        <w:right w:val="none" w:sz="0" w:space="0" w:color="auto"/>
      </w:divBdr>
    </w:div>
    <w:div w:id="1890459249">
      <w:bodyDiv w:val="1"/>
      <w:marLeft w:val="0"/>
      <w:marRight w:val="0"/>
      <w:marTop w:val="0"/>
      <w:marBottom w:val="0"/>
      <w:divBdr>
        <w:top w:val="none" w:sz="0" w:space="0" w:color="auto"/>
        <w:left w:val="none" w:sz="0" w:space="0" w:color="auto"/>
        <w:bottom w:val="none" w:sz="0" w:space="0" w:color="auto"/>
        <w:right w:val="none" w:sz="0" w:space="0" w:color="auto"/>
      </w:divBdr>
      <w:divsChild>
        <w:div w:id="73475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942233">
      <w:bodyDiv w:val="1"/>
      <w:marLeft w:val="0"/>
      <w:marRight w:val="0"/>
      <w:marTop w:val="0"/>
      <w:marBottom w:val="0"/>
      <w:divBdr>
        <w:top w:val="none" w:sz="0" w:space="0" w:color="auto"/>
        <w:left w:val="none" w:sz="0" w:space="0" w:color="auto"/>
        <w:bottom w:val="none" w:sz="0" w:space="0" w:color="auto"/>
        <w:right w:val="none" w:sz="0" w:space="0" w:color="auto"/>
      </w:divBdr>
    </w:div>
    <w:div w:id="1912158034">
      <w:bodyDiv w:val="1"/>
      <w:marLeft w:val="0"/>
      <w:marRight w:val="0"/>
      <w:marTop w:val="0"/>
      <w:marBottom w:val="0"/>
      <w:divBdr>
        <w:top w:val="none" w:sz="0" w:space="0" w:color="auto"/>
        <w:left w:val="none" w:sz="0" w:space="0" w:color="auto"/>
        <w:bottom w:val="none" w:sz="0" w:space="0" w:color="auto"/>
        <w:right w:val="none" w:sz="0" w:space="0" w:color="auto"/>
      </w:divBdr>
    </w:div>
    <w:div w:id="19440685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0715530">
      <w:bodyDiv w:val="1"/>
      <w:marLeft w:val="0"/>
      <w:marRight w:val="0"/>
      <w:marTop w:val="0"/>
      <w:marBottom w:val="0"/>
      <w:divBdr>
        <w:top w:val="none" w:sz="0" w:space="0" w:color="auto"/>
        <w:left w:val="none" w:sz="0" w:space="0" w:color="auto"/>
        <w:bottom w:val="none" w:sz="0" w:space="0" w:color="auto"/>
        <w:right w:val="none" w:sz="0" w:space="0" w:color="auto"/>
      </w:divBdr>
    </w:div>
    <w:div w:id="213038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9AE76-CBDF-49A7-9E5C-E8005C714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TotalTime>
  <Pages>13</Pages>
  <Words>5361</Words>
  <Characters>30559</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35849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Tabriz Osmanli</cp:lastModifiedBy>
  <cp:revision>2</cp:revision>
  <cp:lastPrinted>1999-07-06T11:00:00Z</cp:lastPrinted>
  <dcterms:created xsi:type="dcterms:W3CDTF">2025-08-09T21:32:00Z</dcterms:created>
  <dcterms:modified xsi:type="dcterms:W3CDTF">2025-08-09T21:32:00Z</dcterms:modified>
</cp:coreProperties>
</file>