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39E4" w14:textId="77777777" w:rsidR="00754C9A" w:rsidRDefault="00754C9A" w:rsidP="00441B6F">
      <w:pPr>
        <w:pStyle w:val="Title"/>
        <w:spacing w:after="0"/>
        <w:jc w:val="both"/>
        <w:rPr>
          <w:rFonts w:ascii="Arial" w:hAnsi="Arial" w:cs="Arial"/>
        </w:rPr>
      </w:pPr>
    </w:p>
    <w:p w14:paraId="3CFBD329" w14:textId="659F24F7" w:rsidR="007020DA" w:rsidRPr="000463EA" w:rsidRDefault="007020DA" w:rsidP="000463EA">
      <w:pPr>
        <w:pStyle w:val="Author"/>
        <w:spacing w:line="240" w:lineRule="auto"/>
        <w:rPr>
          <w:rFonts w:ascii="Arial" w:hAnsi="Arial" w:cs="Arial"/>
          <w:bCs/>
          <w:iCs/>
          <w:kern w:val="28"/>
          <w:sz w:val="36"/>
          <w:lang w:val="id-ID"/>
        </w:rPr>
      </w:pPr>
      <w:proofErr w:type="spellStart"/>
      <w:r w:rsidRPr="007020DA">
        <w:rPr>
          <w:rFonts w:ascii="Arial" w:hAnsi="Arial" w:cs="Arial"/>
          <w:bCs/>
          <w:iCs/>
          <w:kern w:val="28"/>
          <w:sz w:val="36"/>
          <w:lang w:val="id-ID"/>
        </w:rPr>
        <w:t>Unveiling</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Success</w:t>
      </w:r>
      <w:proofErr w:type="spellEnd"/>
      <w:r w:rsidRPr="007020DA">
        <w:rPr>
          <w:rFonts w:ascii="Arial" w:hAnsi="Arial" w:cs="Arial"/>
          <w:bCs/>
          <w:iCs/>
          <w:kern w:val="28"/>
          <w:sz w:val="36"/>
          <w:lang w:val="id-ID"/>
        </w:rPr>
        <w:t xml:space="preserve">: A </w:t>
      </w:r>
      <w:proofErr w:type="spellStart"/>
      <w:r w:rsidRPr="007020DA">
        <w:rPr>
          <w:rFonts w:ascii="Arial" w:hAnsi="Arial" w:cs="Arial"/>
          <w:bCs/>
          <w:iCs/>
          <w:kern w:val="28"/>
          <w:sz w:val="36"/>
          <w:lang w:val="id-ID"/>
        </w:rPr>
        <w:t>Case</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Report</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on</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the</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Challenges</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and</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Short</w:t>
      </w:r>
      <w:proofErr w:type="spellEnd"/>
      <w:r w:rsidRPr="007020DA">
        <w:rPr>
          <w:rFonts w:ascii="Arial" w:hAnsi="Arial" w:cs="Arial"/>
          <w:bCs/>
          <w:iCs/>
          <w:kern w:val="28"/>
          <w:sz w:val="36"/>
          <w:lang w:val="id-ID"/>
        </w:rPr>
        <w:t xml:space="preserve">-Term </w:t>
      </w:r>
      <w:r w:rsidR="00467742">
        <w:rPr>
          <w:rFonts w:ascii="Arial" w:hAnsi="Arial" w:cs="Arial"/>
          <w:bCs/>
          <w:iCs/>
          <w:kern w:val="28"/>
          <w:sz w:val="36"/>
        </w:rPr>
        <w:t>Follow-Up</w:t>
      </w:r>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of</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Post-Transcatheter</w:t>
      </w:r>
      <w:proofErr w:type="spellEnd"/>
      <w:r w:rsidRPr="007020DA">
        <w:rPr>
          <w:rFonts w:ascii="Arial" w:hAnsi="Arial" w:cs="Arial"/>
          <w:bCs/>
          <w:iCs/>
          <w:kern w:val="28"/>
          <w:sz w:val="36"/>
          <w:lang w:val="id-ID"/>
        </w:rPr>
        <w:t xml:space="preserve"> </w:t>
      </w:r>
      <w:proofErr w:type="spellStart"/>
      <w:r w:rsidRPr="007020DA">
        <w:rPr>
          <w:rFonts w:ascii="Arial" w:hAnsi="Arial" w:cs="Arial"/>
          <w:bCs/>
          <w:iCs/>
          <w:kern w:val="28"/>
          <w:sz w:val="36"/>
          <w:lang w:val="id-ID"/>
        </w:rPr>
        <w:t>Subaortic</w:t>
      </w:r>
      <w:proofErr w:type="spellEnd"/>
      <w:r w:rsidRPr="007020DA">
        <w:rPr>
          <w:rFonts w:ascii="Arial" w:hAnsi="Arial" w:cs="Arial"/>
          <w:bCs/>
          <w:iCs/>
          <w:kern w:val="28"/>
          <w:sz w:val="36"/>
          <w:lang w:val="id-ID"/>
        </w:rPr>
        <w:t xml:space="preserve"> VSD </w:t>
      </w:r>
      <w:proofErr w:type="spellStart"/>
      <w:r w:rsidRPr="007020DA">
        <w:rPr>
          <w:rFonts w:ascii="Arial" w:hAnsi="Arial" w:cs="Arial"/>
          <w:bCs/>
          <w:iCs/>
          <w:kern w:val="28"/>
          <w:sz w:val="36"/>
          <w:lang w:val="id-ID"/>
        </w:rPr>
        <w:t>Closure</w:t>
      </w:r>
      <w:proofErr w:type="spellEnd"/>
    </w:p>
    <w:p w14:paraId="3FFE37EC" w14:textId="77777777" w:rsidR="00A258C3" w:rsidRPr="00790ADA" w:rsidRDefault="00A258C3" w:rsidP="00441B6F">
      <w:pPr>
        <w:pStyle w:val="Author"/>
        <w:spacing w:line="240" w:lineRule="auto"/>
        <w:jc w:val="both"/>
        <w:rPr>
          <w:rFonts w:ascii="Arial" w:hAnsi="Arial" w:cs="Arial"/>
          <w:sz w:val="36"/>
        </w:rPr>
      </w:pPr>
    </w:p>
    <w:p w14:paraId="7A6C21F2" w14:textId="77777777" w:rsidR="00790ADA" w:rsidRDefault="00790ADA" w:rsidP="00441B6F">
      <w:pPr>
        <w:pStyle w:val="Affiliation"/>
        <w:spacing w:after="0" w:line="240" w:lineRule="auto"/>
        <w:jc w:val="both"/>
        <w:rPr>
          <w:rFonts w:ascii="Arial" w:hAnsi="Arial" w:cs="Arial"/>
        </w:rPr>
      </w:pPr>
    </w:p>
    <w:p w14:paraId="215F27DE" w14:textId="77777777" w:rsidR="002C57D2" w:rsidRPr="00FB3A86" w:rsidRDefault="002C57D2" w:rsidP="00441B6F">
      <w:pPr>
        <w:pStyle w:val="Affiliation"/>
        <w:spacing w:after="0" w:line="240" w:lineRule="auto"/>
        <w:jc w:val="both"/>
        <w:rPr>
          <w:rFonts w:ascii="Arial" w:hAnsi="Arial" w:cs="Arial"/>
        </w:rPr>
      </w:pPr>
    </w:p>
    <w:p w14:paraId="5A89394D" w14:textId="31132187" w:rsidR="00B01FCD" w:rsidRPr="00FB3A86" w:rsidRDefault="00D66251" w:rsidP="00441B6F">
      <w:pPr>
        <w:pStyle w:val="Copyright"/>
        <w:spacing w:after="0" w:line="240" w:lineRule="auto"/>
        <w:jc w:val="both"/>
        <w:rPr>
          <w:rFonts w:ascii="Arial" w:hAnsi="Arial" w:cs="Arial"/>
        </w:rPr>
        <w:sectPr w:rsidR="00B01FCD" w:rsidRPr="00FB3A86" w:rsidSect="00D35A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B2856F2" wp14:editId="459C3CE2">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w:pict>
              <v:shapetype w14:anchorId="5F9F52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5F195500" w14:textId="77777777" w:rsidR="002477E3" w:rsidRDefault="002477E3" w:rsidP="00441B6F">
      <w:pPr>
        <w:pStyle w:val="AbstHead"/>
        <w:spacing w:after="0"/>
        <w:jc w:val="both"/>
        <w:rPr>
          <w:rFonts w:ascii="Arial" w:hAnsi="Arial" w:cs="Arial"/>
        </w:rPr>
      </w:pPr>
    </w:p>
    <w:p w14:paraId="5D682E04" w14:textId="0261056A" w:rsidR="00B01FCD" w:rsidRDefault="00B01FCD" w:rsidP="00441B6F">
      <w:pPr>
        <w:pStyle w:val="AbstHead"/>
        <w:spacing w:after="0"/>
        <w:jc w:val="both"/>
        <w:rPr>
          <w:rFonts w:ascii="Arial" w:hAnsi="Arial" w:cs="Arial"/>
        </w:rPr>
      </w:pPr>
      <w:r w:rsidRPr="00FB3A86">
        <w:rPr>
          <w:rFonts w:ascii="Arial" w:hAnsi="Arial" w:cs="Arial"/>
        </w:rPr>
        <w:t>ABSTRACT</w:t>
      </w:r>
    </w:p>
    <w:p w14:paraId="00BA30A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51CD50D" w14:textId="77777777" w:rsidTr="001E44FE">
        <w:tc>
          <w:tcPr>
            <w:tcW w:w="9576" w:type="dxa"/>
            <w:shd w:val="clear" w:color="auto" w:fill="F2F2F2"/>
          </w:tcPr>
          <w:p w14:paraId="2F099016" w14:textId="77777777" w:rsidR="000463EA" w:rsidRPr="00E85545" w:rsidRDefault="000463EA" w:rsidP="000463EA">
            <w:pPr>
              <w:spacing w:line="360" w:lineRule="auto"/>
              <w:jc w:val="both"/>
            </w:pPr>
            <w:r w:rsidRPr="00E85545">
              <w:rPr>
                <w:b/>
                <w:bCs/>
              </w:rPr>
              <w:t>Background:</w:t>
            </w:r>
            <w:r w:rsidRPr="00E85545">
              <w:t> Due to the increased likelihood of aortic valve prolapse (AVP) and regurgitation, subaortic ventricular septal defects (VSD) are complex and present problems for maintaining aortic valve function. An alternative to surgery is transcatheter closure. However, careful monitoring for problems such as aortic regurgitation during short-term follow-up is essential. </w:t>
            </w:r>
          </w:p>
          <w:p w14:paraId="1CE97708" w14:textId="77777777" w:rsidR="000463EA" w:rsidRPr="00E85545" w:rsidRDefault="000463EA" w:rsidP="000463EA">
            <w:pPr>
              <w:spacing w:line="360" w:lineRule="auto"/>
              <w:jc w:val="both"/>
            </w:pPr>
            <w:r w:rsidRPr="00E85545">
              <w:rPr>
                <w:b/>
                <w:bCs/>
              </w:rPr>
              <w:t>Case report:</w:t>
            </w:r>
            <w:r w:rsidRPr="00E85545">
              <w:t xml:space="preserve"> A 7-year-old girl, initially screened for heart disease, was diagnosed with subaortic VSD at a level III hospital and underwent successful transcatheter closure under general anesthesia. The transcatheter closure procedure was performed with retrograde </w:t>
            </w:r>
            <w:proofErr w:type="spellStart"/>
            <w:r w:rsidRPr="00E85545">
              <w:t>transarterial</w:t>
            </w:r>
            <w:proofErr w:type="spellEnd"/>
            <w:r w:rsidRPr="00E85545">
              <w:t xml:space="preserve"> technique under fluoroscopy and </w:t>
            </w:r>
            <w:proofErr w:type="spellStart"/>
            <w:r w:rsidRPr="00E85545">
              <w:t>transoesophageal</w:t>
            </w:r>
            <w:proofErr w:type="spellEnd"/>
            <w:r w:rsidRPr="00E85545">
              <w:t xml:space="preserve"> echocardiography guidance. No complication was found after the procedure and three months of follow-up. </w:t>
            </w:r>
          </w:p>
          <w:p w14:paraId="43883BFB" w14:textId="0597B9BA" w:rsidR="000463EA" w:rsidRPr="00E85545" w:rsidRDefault="000463EA" w:rsidP="003130D4">
            <w:pPr>
              <w:spacing w:line="360" w:lineRule="auto"/>
              <w:jc w:val="both"/>
            </w:pPr>
            <w:r w:rsidRPr="00E85545">
              <w:rPr>
                <w:b/>
                <w:bCs/>
              </w:rPr>
              <w:t>Discussion:</w:t>
            </w:r>
            <w:r w:rsidRPr="00E85545">
              <w:t> The case of subaortic VSD underscores the importance of prompt closure to prevent complications like aortic regurgitation and valve prolapse. While effective, transcatheter closure requires careful patient selection and</w:t>
            </w:r>
            <w:r w:rsidR="003130D4">
              <w:t xml:space="preserve"> i</w:t>
            </w:r>
            <w:r w:rsidR="003130D4" w:rsidRPr="003130D4">
              <w:t>ntraprocedural assessment included echocardiographic guidance, careful device sizing, and fluoroscopic confirmation of sheath position to minimize risks</w:t>
            </w:r>
            <w:r w:rsidR="003130D4">
              <w:t>.</w:t>
            </w:r>
            <w:r w:rsidRPr="00E85545">
              <w:t xml:space="preserve"> Equally crucial is the post-procedural phase, where careful monitoring, including echocardiography, is vital to evaluate </w:t>
            </w:r>
            <w:proofErr w:type="spellStart"/>
            <w:r w:rsidRPr="00E85545">
              <w:t>occluder</w:t>
            </w:r>
            <w:proofErr w:type="spellEnd"/>
            <w:r w:rsidRPr="00E85545">
              <w:t xml:space="preserve"> position, aortic regurgitation, and residual shunting.</w:t>
            </w:r>
          </w:p>
          <w:p w14:paraId="5C71F05C" w14:textId="77777777" w:rsidR="000463EA" w:rsidRPr="00E85545" w:rsidRDefault="000463EA" w:rsidP="000463EA">
            <w:pPr>
              <w:spacing w:line="360" w:lineRule="auto"/>
              <w:jc w:val="both"/>
            </w:pPr>
            <w:r w:rsidRPr="00E85545">
              <w:rPr>
                <w:b/>
                <w:bCs/>
              </w:rPr>
              <w:t>Conclusion:</w:t>
            </w:r>
            <w:r w:rsidRPr="00E85545">
              <w:t> The retrograde transaortic technique has proven effective and safe for the transcatheter closure of subaortic VSD. The short-term follow-up, conducted 24 hours, two weeks, one month, and three months after the procedure, demonstrated no significant complications or adverse events, further affirming the procedure's safety and effectiveness. </w:t>
            </w:r>
          </w:p>
          <w:p w14:paraId="4FC43472" w14:textId="6CDE810C" w:rsidR="00505F06" w:rsidRPr="00BA1B01" w:rsidRDefault="00505F06" w:rsidP="000463EA">
            <w:pPr>
              <w:pStyle w:val="Body"/>
              <w:spacing w:after="0"/>
              <w:rPr>
                <w:rFonts w:ascii="Arial" w:eastAsia="Calibri" w:hAnsi="Arial" w:cs="Arial"/>
                <w:szCs w:val="22"/>
              </w:rPr>
            </w:pPr>
          </w:p>
        </w:tc>
      </w:tr>
    </w:tbl>
    <w:p w14:paraId="2E26332F" w14:textId="77777777" w:rsidR="00636EB2" w:rsidRDefault="00636EB2" w:rsidP="00441B6F">
      <w:pPr>
        <w:pStyle w:val="Body"/>
        <w:spacing w:after="0"/>
        <w:rPr>
          <w:rFonts w:ascii="Arial" w:hAnsi="Arial" w:cs="Arial"/>
          <w:i/>
        </w:rPr>
      </w:pPr>
    </w:p>
    <w:p w14:paraId="0A86554A" w14:textId="2BDDC8E2" w:rsidR="00A24E7E" w:rsidRDefault="00A24E7E" w:rsidP="00441B6F">
      <w:pPr>
        <w:pStyle w:val="Body"/>
        <w:spacing w:after="0"/>
        <w:rPr>
          <w:rFonts w:ascii="Arial" w:hAnsi="Arial" w:cs="Arial"/>
          <w:i/>
        </w:rPr>
      </w:pPr>
      <w:r>
        <w:rPr>
          <w:rFonts w:ascii="Arial" w:hAnsi="Arial" w:cs="Arial"/>
          <w:i/>
        </w:rPr>
        <w:t>Keywords:</w:t>
      </w:r>
      <w:r w:rsidR="0073190E">
        <w:rPr>
          <w:rFonts w:ascii="Arial" w:hAnsi="Arial" w:cs="Arial"/>
          <w:i/>
        </w:rPr>
        <w:t xml:space="preserve"> </w:t>
      </w:r>
      <w:r w:rsidR="000463EA" w:rsidRPr="00E85545">
        <w:t>subaortic VSD, transcatheter closure, short-term follow-up</w:t>
      </w:r>
    </w:p>
    <w:p w14:paraId="5E82A8BC" w14:textId="77777777" w:rsidR="00790ADA" w:rsidRDefault="00790ADA" w:rsidP="00441B6F">
      <w:pPr>
        <w:pStyle w:val="Body"/>
        <w:spacing w:after="0"/>
        <w:rPr>
          <w:rFonts w:ascii="Arial" w:hAnsi="Arial" w:cs="Arial"/>
          <w:i/>
        </w:rPr>
      </w:pPr>
    </w:p>
    <w:p w14:paraId="14C63ED4" w14:textId="1B4946E5" w:rsidR="007F7B32" w:rsidRPr="00537EF1" w:rsidRDefault="00902823" w:rsidP="00537EF1">
      <w:pPr>
        <w:pStyle w:val="AbstHead"/>
        <w:spacing w:after="0" w:line="360" w:lineRule="auto"/>
        <w:jc w:val="both"/>
        <w:rPr>
          <w:rFonts w:ascii="Arial" w:hAnsi="Arial" w:cs="Arial"/>
          <w:szCs w:val="22"/>
        </w:rPr>
      </w:pPr>
      <w:r w:rsidRPr="00537EF1">
        <w:rPr>
          <w:rFonts w:ascii="Arial" w:hAnsi="Arial" w:cs="Arial"/>
          <w:szCs w:val="22"/>
        </w:rPr>
        <w:lastRenderedPageBreak/>
        <w:t xml:space="preserve">1. </w:t>
      </w:r>
      <w:r w:rsidR="00B01FCD" w:rsidRPr="00537EF1">
        <w:rPr>
          <w:rFonts w:ascii="Arial" w:hAnsi="Arial" w:cs="Arial"/>
          <w:szCs w:val="22"/>
        </w:rPr>
        <w:t>INTRODUCTION</w:t>
      </w:r>
      <w:r w:rsidR="007F7B32" w:rsidRPr="00537EF1">
        <w:rPr>
          <w:rFonts w:ascii="Arial" w:hAnsi="Arial" w:cs="Arial"/>
          <w:szCs w:val="22"/>
        </w:rPr>
        <w:t xml:space="preserve"> </w:t>
      </w:r>
    </w:p>
    <w:p w14:paraId="0C70E165" w14:textId="45C2980B"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Ventricular septal defects (VSD), occurring in 3 to 5 per 1000 live births, pose unique challenges due to their complexities</w:t>
      </w:r>
      <w:r w:rsidRPr="000463EA">
        <w:rPr>
          <w:rFonts w:ascii="Arial" w:hAnsi="Arial" w:cs="Arial"/>
          <w:sz w:val="22"/>
          <w:szCs w:val="22"/>
          <w:vertAlign w:val="superscript"/>
          <w:lang w:val="id-ID"/>
        </w:rPr>
        <w:t>1</w:t>
      </w:r>
      <w:r w:rsidRPr="000463EA">
        <w:rPr>
          <w:rFonts w:ascii="Arial" w:hAnsi="Arial" w:cs="Arial"/>
          <w:sz w:val="22"/>
          <w:szCs w:val="22"/>
          <w:lang w:val="id-ID"/>
        </w:rPr>
        <w:t>. The epidemiology of VSD type was varied, with peri-membranous type acquired in most cases (68.8%). While most defect size was primarily classified as small, defects in subaortic VSDs are mostly more significant, and 10% of the large VSD patients pass away in the first year</w:t>
      </w:r>
      <w:r w:rsidRPr="000463EA">
        <w:rPr>
          <w:rFonts w:ascii="Arial" w:hAnsi="Arial" w:cs="Arial"/>
          <w:sz w:val="22"/>
          <w:szCs w:val="22"/>
          <w:vertAlign w:val="superscript"/>
          <w:lang w:val="id-ID"/>
        </w:rPr>
        <w:t>1,2</w:t>
      </w:r>
      <w:r w:rsidRPr="000463EA">
        <w:rPr>
          <w:rFonts w:ascii="Arial" w:hAnsi="Arial" w:cs="Arial"/>
          <w:sz w:val="22"/>
          <w:szCs w:val="22"/>
          <w:lang w:val="id-ID"/>
        </w:rPr>
        <w:t xml:space="preserve">. </w:t>
      </w:r>
      <w:proofErr w:type="spellStart"/>
      <w:r w:rsidR="00BA4993">
        <w:rPr>
          <w:rFonts w:ascii="Arial" w:hAnsi="Arial" w:cs="Arial"/>
          <w:sz w:val="22"/>
          <w:szCs w:val="22"/>
          <w:lang w:val="id-ID"/>
        </w:rPr>
        <w:t>I</w:t>
      </w:r>
      <w:r w:rsidRPr="000463EA">
        <w:rPr>
          <w:rFonts w:ascii="Arial" w:hAnsi="Arial" w:cs="Arial"/>
          <w:sz w:val="22"/>
          <w:szCs w:val="22"/>
          <w:lang w:val="id-ID"/>
        </w:rPr>
        <w:t>t</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is</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crucial</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to</w:t>
      </w:r>
      <w:proofErr w:type="spellEnd"/>
      <w:r w:rsidRPr="000463EA">
        <w:rPr>
          <w:rFonts w:ascii="Arial" w:hAnsi="Arial" w:cs="Arial"/>
          <w:sz w:val="22"/>
          <w:szCs w:val="22"/>
          <w:lang w:val="id-ID"/>
        </w:rPr>
        <w:t xml:space="preserve"> routinely assess the function of the aortic valve and any associated subaortic membranes that may obstruct blood flow by evaluating specific indicators, such as gradient monitoring for obstruction detection, functional ability testing through exercise, and exercise stress testing for symptoms related to exercise.</w:t>
      </w:r>
    </w:p>
    <w:p w14:paraId="61839809" w14:textId="5200DCAD"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 xml:space="preserve">The main </w:t>
      </w:r>
      <w:proofErr w:type="spellStart"/>
      <w:r w:rsidRPr="000463EA">
        <w:rPr>
          <w:rFonts w:ascii="Arial" w:hAnsi="Arial" w:cs="Arial"/>
          <w:sz w:val="22"/>
          <w:szCs w:val="22"/>
          <w:lang w:val="id-ID"/>
        </w:rPr>
        <w:t>challenge</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is</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maintaining</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or</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recovering</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aortic</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valve</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function</w:t>
      </w:r>
      <w:proofErr w:type="spellEnd"/>
      <w:r w:rsidRPr="000463EA">
        <w:rPr>
          <w:rFonts w:ascii="Arial" w:hAnsi="Arial" w:cs="Arial"/>
          <w:sz w:val="22"/>
          <w:szCs w:val="22"/>
          <w:lang w:val="id-ID"/>
        </w:rPr>
        <w:t xml:space="preserve">; </w:t>
      </w:r>
      <w:proofErr w:type="spellStart"/>
      <w:r w:rsidR="00136C83">
        <w:rPr>
          <w:rFonts w:ascii="Arial" w:hAnsi="Arial" w:cs="Arial"/>
          <w:sz w:val="22"/>
          <w:szCs w:val="22"/>
          <w:lang w:val="id-ID"/>
        </w:rPr>
        <w:t>c</w:t>
      </w:r>
      <w:r w:rsidR="00136C83" w:rsidRPr="00136C83">
        <w:rPr>
          <w:rFonts w:ascii="Arial" w:hAnsi="Arial" w:cs="Arial"/>
          <w:sz w:val="22"/>
          <w:szCs w:val="22"/>
          <w:lang w:val="id-ID"/>
        </w:rPr>
        <w:t>losure</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of</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the</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septal</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defect</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is</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technically</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feasible</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the</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challenge</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lies</w:t>
      </w:r>
      <w:proofErr w:type="spellEnd"/>
      <w:r w:rsidR="00136C83" w:rsidRPr="00136C83">
        <w:rPr>
          <w:rFonts w:ascii="Arial" w:hAnsi="Arial" w:cs="Arial"/>
          <w:sz w:val="22"/>
          <w:szCs w:val="22"/>
          <w:lang w:val="id-ID"/>
        </w:rPr>
        <w:t xml:space="preserve"> in </w:t>
      </w:r>
      <w:proofErr w:type="spellStart"/>
      <w:r w:rsidR="00136C83" w:rsidRPr="00136C83">
        <w:rPr>
          <w:rFonts w:ascii="Arial" w:hAnsi="Arial" w:cs="Arial"/>
          <w:sz w:val="22"/>
          <w:szCs w:val="22"/>
          <w:lang w:val="id-ID"/>
        </w:rPr>
        <w:t>preserving</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aortic</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valve</w:t>
      </w:r>
      <w:proofErr w:type="spellEnd"/>
      <w:r w:rsidR="00136C83" w:rsidRPr="00136C83">
        <w:rPr>
          <w:rFonts w:ascii="Arial" w:hAnsi="Arial" w:cs="Arial"/>
          <w:sz w:val="22"/>
          <w:szCs w:val="22"/>
          <w:lang w:val="id-ID"/>
        </w:rPr>
        <w:t xml:space="preserve"> </w:t>
      </w:r>
      <w:proofErr w:type="spellStart"/>
      <w:r w:rsidR="00136C83" w:rsidRPr="00136C83">
        <w:rPr>
          <w:rFonts w:ascii="Arial" w:hAnsi="Arial" w:cs="Arial"/>
          <w:sz w:val="22"/>
          <w:szCs w:val="22"/>
          <w:lang w:val="id-ID"/>
        </w:rPr>
        <w:t>function</w:t>
      </w:r>
      <w:proofErr w:type="spellEnd"/>
      <w:r w:rsidRPr="000463EA">
        <w:rPr>
          <w:rFonts w:ascii="Arial" w:hAnsi="Arial" w:cs="Arial"/>
          <w:sz w:val="22"/>
          <w:szCs w:val="22"/>
          <w:lang w:val="id-ID"/>
        </w:rPr>
        <w:t>. Transcatheter closure of VSD is a feasible substitute for surgery, per the ESC guideline 2020. However, device closure with subaortic VSD may result in roughly 10.9% of significant problems, such as aortic impingement and AV block, because there is a higher likelihood that aortic regurgitation (AR) may increase.  Therefore, this review summarizes the transcatheter closure of VSD short-term follow-up findings.</w:t>
      </w:r>
      <w:r w:rsidRPr="000463EA">
        <w:rPr>
          <w:rFonts w:ascii="Arial" w:hAnsi="Arial" w:cs="Arial"/>
          <w:sz w:val="22"/>
          <w:szCs w:val="22"/>
          <w:vertAlign w:val="superscript"/>
          <w:lang w:val="id-ID"/>
        </w:rPr>
        <w:t>3</w:t>
      </w:r>
    </w:p>
    <w:p w14:paraId="4C0CD902" w14:textId="77777777" w:rsidR="00790ADA" w:rsidRPr="00537EF1" w:rsidRDefault="00790ADA" w:rsidP="00537EF1">
      <w:pPr>
        <w:pStyle w:val="Body"/>
        <w:spacing w:after="0" w:line="360" w:lineRule="auto"/>
        <w:rPr>
          <w:rFonts w:ascii="Arial" w:hAnsi="Arial" w:cs="Arial"/>
          <w:sz w:val="22"/>
          <w:szCs w:val="22"/>
        </w:rPr>
      </w:pPr>
    </w:p>
    <w:p w14:paraId="0C3A064A" w14:textId="46E62C4B" w:rsidR="00C63E47" w:rsidRPr="00537EF1" w:rsidRDefault="00902823" w:rsidP="00537EF1">
      <w:pPr>
        <w:pStyle w:val="AbstHead"/>
        <w:spacing w:after="0" w:line="360" w:lineRule="auto"/>
        <w:jc w:val="both"/>
        <w:rPr>
          <w:rFonts w:ascii="Arial" w:hAnsi="Arial" w:cs="Arial"/>
          <w:szCs w:val="22"/>
        </w:rPr>
      </w:pPr>
      <w:r w:rsidRPr="00537EF1">
        <w:rPr>
          <w:rFonts w:ascii="Arial" w:hAnsi="Arial" w:cs="Arial"/>
          <w:szCs w:val="22"/>
        </w:rPr>
        <w:t xml:space="preserve">2. </w:t>
      </w:r>
      <w:r w:rsidR="00C63E47" w:rsidRPr="00537EF1">
        <w:rPr>
          <w:rFonts w:ascii="Arial" w:hAnsi="Arial" w:cs="Arial"/>
          <w:szCs w:val="22"/>
        </w:rPr>
        <w:t>presentation of the case</w:t>
      </w:r>
    </w:p>
    <w:p w14:paraId="0D37537A" w14:textId="3C3BEB7B"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 xml:space="preserve">A 7-year-old girl was suspected of having heart disease in October 2022. Murmur was found from a physical examination during a health screening examination at the patient's school. Then, she was referred to a cardiologist at a private level II hospital and then to our level III hospital for further examination. The patient had a history of tonsillitis and underwent surgery at RSSA in December 2022. The patient was diagnosed with a small VSD subaortic 3-4 mm L to R shunt with mild mitral regurgitation (MR VC 0.1 cm, MR volume 31 ml) and </w:t>
      </w:r>
      <w:proofErr w:type="spellStart"/>
      <w:r w:rsidRPr="000463EA">
        <w:rPr>
          <w:rFonts w:ascii="Arial" w:hAnsi="Arial" w:cs="Arial"/>
          <w:sz w:val="22"/>
          <w:szCs w:val="22"/>
          <w:lang w:val="id-ID"/>
        </w:rPr>
        <w:t>presented</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with</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dilated</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right</w:t>
      </w:r>
      <w:proofErr w:type="spellEnd"/>
      <w:r w:rsidRPr="000463EA">
        <w:rPr>
          <w:rFonts w:ascii="Arial" w:hAnsi="Arial" w:cs="Arial"/>
          <w:sz w:val="22"/>
          <w:szCs w:val="22"/>
          <w:lang w:val="id-ID"/>
        </w:rPr>
        <w:t xml:space="preserve"> atrium </w:t>
      </w:r>
      <w:proofErr w:type="spellStart"/>
      <w:r w:rsidRPr="000463EA">
        <w:rPr>
          <w:rFonts w:ascii="Arial" w:hAnsi="Arial" w:cs="Arial"/>
          <w:sz w:val="22"/>
          <w:szCs w:val="22"/>
          <w:lang w:val="id-ID"/>
        </w:rPr>
        <w:t>and</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ventricle</w:t>
      </w:r>
      <w:proofErr w:type="spellEnd"/>
      <w:r w:rsidRPr="000463EA">
        <w:rPr>
          <w:rFonts w:ascii="Arial" w:hAnsi="Arial" w:cs="Arial"/>
          <w:sz w:val="22"/>
          <w:szCs w:val="22"/>
          <w:lang w:val="id-ID"/>
        </w:rPr>
        <w:t xml:space="preserve">. VSD may present in heart failure, infective endocarditis, and PH with Eisenmenger syndrome in long-term complications. Therefore, closure by device is indicated due to its cost-effectiveness and lower complication risk. </w:t>
      </w:r>
      <w:proofErr w:type="spellStart"/>
      <w:r w:rsidR="00CB595C" w:rsidRPr="00CB595C">
        <w:rPr>
          <w:rFonts w:ascii="Arial" w:hAnsi="Arial" w:cs="Arial"/>
          <w:sz w:val="22"/>
          <w:szCs w:val="22"/>
          <w:lang w:val="id-ID"/>
        </w:rPr>
        <w:t>Therefore</w:t>
      </w:r>
      <w:proofErr w:type="spellEnd"/>
      <w:r w:rsidR="00CB595C" w:rsidRPr="00CB595C">
        <w:rPr>
          <w:rFonts w:ascii="Arial" w:hAnsi="Arial" w:cs="Arial"/>
          <w:sz w:val="22"/>
          <w:szCs w:val="22"/>
          <w:lang w:val="id-ID"/>
        </w:rPr>
        <w:t xml:space="preserve">, </w:t>
      </w:r>
      <w:proofErr w:type="spellStart"/>
      <w:r w:rsidR="00CB595C" w:rsidRPr="00CB595C">
        <w:rPr>
          <w:rFonts w:ascii="Arial" w:hAnsi="Arial" w:cs="Arial"/>
          <w:sz w:val="22"/>
          <w:szCs w:val="22"/>
          <w:lang w:val="id-ID"/>
        </w:rPr>
        <w:t>transcatheter</w:t>
      </w:r>
      <w:proofErr w:type="spellEnd"/>
      <w:r w:rsidR="00CB595C" w:rsidRPr="00CB595C">
        <w:rPr>
          <w:rFonts w:ascii="Arial" w:hAnsi="Arial" w:cs="Arial"/>
          <w:sz w:val="22"/>
          <w:szCs w:val="22"/>
          <w:lang w:val="id-ID"/>
        </w:rPr>
        <w:t xml:space="preserve"> VSD </w:t>
      </w:r>
      <w:proofErr w:type="spellStart"/>
      <w:r w:rsidR="00CB595C" w:rsidRPr="00CB595C">
        <w:rPr>
          <w:rFonts w:ascii="Arial" w:hAnsi="Arial" w:cs="Arial"/>
          <w:sz w:val="22"/>
          <w:szCs w:val="22"/>
          <w:lang w:val="id-ID"/>
        </w:rPr>
        <w:t>closure</w:t>
      </w:r>
      <w:proofErr w:type="spellEnd"/>
      <w:r w:rsidR="00CB595C" w:rsidRPr="00CB595C">
        <w:rPr>
          <w:rFonts w:ascii="Arial" w:hAnsi="Arial" w:cs="Arial"/>
          <w:sz w:val="22"/>
          <w:szCs w:val="22"/>
          <w:lang w:val="id-ID"/>
        </w:rPr>
        <w:t xml:space="preserve"> </w:t>
      </w:r>
      <w:proofErr w:type="spellStart"/>
      <w:r w:rsidR="00CB595C" w:rsidRPr="00CB595C">
        <w:rPr>
          <w:rFonts w:ascii="Arial" w:hAnsi="Arial" w:cs="Arial"/>
          <w:sz w:val="22"/>
          <w:szCs w:val="22"/>
          <w:lang w:val="id-ID"/>
        </w:rPr>
        <w:t>was</w:t>
      </w:r>
      <w:proofErr w:type="spellEnd"/>
      <w:r w:rsidR="00CB595C" w:rsidRPr="00CB595C">
        <w:rPr>
          <w:rFonts w:ascii="Arial" w:hAnsi="Arial" w:cs="Arial"/>
          <w:sz w:val="22"/>
          <w:szCs w:val="22"/>
          <w:lang w:val="id-ID"/>
        </w:rPr>
        <w:t xml:space="preserve"> </w:t>
      </w:r>
      <w:proofErr w:type="spellStart"/>
      <w:r w:rsidR="00CB595C" w:rsidRPr="00CB595C">
        <w:rPr>
          <w:rFonts w:ascii="Arial" w:hAnsi="Arial" w:cs="Arial"/>
          <w:sz w:val="22"/>
          <w:szCs w:val="22"/>
          <w:lang w:val="id-ID"/>
        </w:rPr>
        <w:t>performed</w:t>
      </w:r>
      <w:proofErr w:type="spellEnd"/>
      <w:r w:rsidRPr="000463EA">
        <w:rPr>
          <w:rFonts w:ascii="Arial" w:hAnsi="Arial" w:cs="Arial"/>
          <w:sz w:val="22"/>
          <w:szCs w:val="22"/>
          <w:lang w:val="id-ID"/>
        </w:rPr>
        <w:t>. </w:t>
      </w:r>
    </w:p>
    <w:p w14:paraId="1E8A268B" w14:textId="40CD7436" w:rsidR="000463EA" w:rsidRPr="000463EA" w:rsidRDefault="000463EA" w:rsidP="00537EF1">
      <w:pPr>
        <w:pStyle w:val="Body"/>
        <w:spacing w:after="0" w:line="360" w:lineRule="auto"/>
        <w:rPr>
          <w:rFonts w:ascii="Arial" w:hAnsi="Arial" w:cs="Arial"/>
          <w:sz w:val="22"/>
          <w:szCs w:val="22"/>
          <w:lang w:val="id-ID"/>
        </w:rPr>
      </w:pPr>
      <w:r w:rsidRPr="000463EA">
        <w:rPr>
          <w:rFonts w:ascii="Arial" w:hAnsi="Arial" w:cs="Arial"/>
          <w:b/>
          <w:bCs/>
          <w:sz w:val="22"/>
          <w:szCs w:val="22"/>
          <w:lang w:val="id-ID"/>
        </w:rPr>
        <w:t>               </w:t>
      </w:r>
      <w:r w:rsidRPr="000463EA">
        <w:rPr>
          <w:rFonts w:ascii="Arial" w:hAnsi="Arial" w:cs="Arial"/>
          <w:sz w:val="22"/>
          <w:szCs w:val="22"/>
          <w:lang w:val="id-ID"/>
        </w:rPr>
        <w:t xml:space="preserve">Under general anesthesia, TEE and zero contrast-fluoroscopic guiding were used during the procedure. Access was possible through the femoral vein and artery. An intravenous dose of 50 mg/kg cefazolin to prevent infective endocarditis and a 100 U/kg heparin dose were administered before the procedure. TEE was performed to confirm the TTE findings (2-D imaging and color flow in short- and long-axis views) of VSD's size, number of defects, type, and its relationship with the surrounding structures, especially aortic and tricuspid valves and to decide device selection. The location of the VSD and the retrograde approach via the femoral artery—where the VSD is crossed from the left ventricular (LV) side—were identified by the angiography with a Judkins Right (JR) coronary catheter and guidewire 0.035" (Radifocus, Terumo Corporation) combination, then the tip of the JR catheter was placed in the right ventricle (RV). The Terumo guidewire was introduced into the left pulmonary artery (PA) branch following the use of a guide catheter to bridge the ventricle's VSD from left to right, and several attempts were made to advance the delivery sheath from RV to PA but were unsuccessful. Then, a Terumo guidewire 0.035" snared out from the venous end with a hydrophilic guide wire 0.035" (0.89mm), making an arteriovenous loop rail for better support. The delivery sheath was advanced retrogradely over the wire from the artery side. The tip of the delivery sheath was then crossed into the RV apex under a fluoroscopic guide. From that point, the device was conveyed through the delivery sheath under TEE guidance only. The Konar-Multi Function Occluder 10-8 (Lifetech, Shenzhen, China) device is delivered, where the distal RV right ventricular disc was initially deployed, followed by the waist and the LV disc. The device was equal to or up to 2 mm larger than the TEE-measured defect size. This patient's device was chosen because the length of the left retention skirt of the device is 4 mm larger than the waist diameter, and the fitting retention skirt is 3 mm larger, so the device can be successfully implanted without creating aortic regurgitation or rhythm disturbances. TEE was performed again after deployment to verify the device's ultimate location, evaluate any residual shunt, and determine whether aortic insufficiency was present. Procedure success was defined as successful closure of the VSD with the device with appropriate placement without any residual or with mild residual shunt (color Doppler flow jet ranging 1-2 mm width). Oral aspirin (5 mg/kg/d) was prescribed for six months to decrease the risk of thromboembolism. Hemolysis was not found after 24 hours of urine color observation. </w:t>
      </w:r>
      <w:proofErr w:type="spellStart"/>
      <w:r w:rsidRPr="000463EA">
        <w:rPr>
          <w:rFonts w:ascii="Arial" w:hAnsi="Arial" w:cs="Arial"/>
          <w:sz w:val="22"/>
          <w:szCs w:val="22"/>
          <w:lang w:val="id-ID"/>
        </w:rPr>
        <w:t>Before</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being</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discharged</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from</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the</w:t>
      </w:r>
      <w:proofErr w:type="spellEnd"/>
      <w:r w:rsidRPr="000463EA">
        <w:rPr>
          <w:rFonts w:ascii="Arial" w:hAnsi="Arial" w:cs="Arial"/>
          <w:sz w:val="22"/>
          <w:szCs w:val="22"/>
          <w:lang w:val="id-ID"/>
        </w:rPr>
        <w:t xml:space="preserve"> hospital, </w:t>
      </w:r>
      <w:proofErr w:type="spellStart"/>
      <w:r w:rsidR="00596137">
        <w:rPr>
          <w:rFonts w:ascii="Arial" w:hAnsi="Arial" w:cs="Arial"/>
          <w:sz w:val="22"/>
          <w:szCs w:val="22"/>
          <w:lang w:val="id-ID"/>
        </w:rPr>
        <w:t>the</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patient</w:t>
      </w:r>
      <w:proofErr w:type="spellEnd"/>
      <w:r w:rsidRPr="000463EA">
        <w:rPr>
          <w:rFonts w:ascii="Arial" w:hAnsi="Arial" w:cs="Arial"/>
          <w:sz w:val="22"/>
          <w:szCs w:val="22"/>
          <w:lang w:val="id-ID"/>
        </w:rPr>
        <w:t xml:space="preserve"> had a </w:t>
      </w:r>
      <w:proofErr w:type="spellStart"/>
      <w:r w:rsidRPr="000463EA">
        <w:rPr>
          <w:rFonts w:ascii="Arial" w:hAnsi="Arial" w:cs="Arial"/>
          <w:sz w:val="22"/>
          <w:szCs w:val="22"/>
          <w:lang w:val="id-ID"/>
        </w:rPr>
        <w:t>chest</w:t>
      </w:r>
      <w:proofErr w:type="spellEnd"/>
      <w:r w:rsidRPr="000463EA">
        <w:rPr>
          <w:rFonts w:ascii="Arial" w:hAnsi="Arial" w:cs="Arial"/>
          <w:sz w:val="22"/>
          <w:szCs w:val="22"/>
          <w:lang w:val="id-ID"/>
        </w:rPr>
        <w:t xml:space="preserve"> x-</w:t>
      </w:r>
      <w:proofErr w:type="spellStart"/>
      <w:r w:rsidRPr="000463EA">
        <w:rPr>
          <w:rFonts w:ascii="Arial" w:hAnsi="Arial" w:cs="Arial"/>
          <w:sz w:val="22"/>
          <w:szCs w:val="22"/>
          <w:lang w:val="id-ID"/>
        </w:rPr>
        <w:t>ray</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an</w:t>
      </w:r>
      <w:proofErr w:type="spellEnd"/>
      <w:r w:rsidRPr="000463EA">
        <w:rPr>
          <w:rFonts w:ascii="Arial" w:hAnsi="Arial" w:cs="Arial"/>
          <w:sz w:val="22"/>
          <w:szCs w:val="22"/>
          <w:lang w:val="id-ID"/>
        </w:rPr>
        <w:t xml:space="preserve"> ECG, and a TTE. </w:t>
      </w:r>
      <w:r w:rsidR="009F4945">
        <w:rPr>
          <w:rFonts w:ascii="Arial" w:hAnsi="Arial" w:cs="Arial"/>
          <w:sz w:val="22"/>
          <w:szCs w:val="22"/>
          <w:lang w:val="id-ID"/>
        </w:rPr>
        <w:t>The</w:t>
      </w:r>
      <w:r w:rsidR="009F4945" w:rsidRPr="000463EA">
        <w:rPr>
          <w:rFonts w:ascii="Arial" w:hAnsi="Arial" w:cs="Arial"/>
          <w:sz w:val="22"/>
          <w:szCs w:val="22"/>
          <w:lang w:val="id-ID"/>
        </w:rPr>
        <w:t xml:space="preserve"> </w:t>
      </w:r>
      <w:proofErr w:type="spellStart"/>
      <w:r w:rsidR="009F4945" w:rsidRPr="000463EA">
        <w:rPr>
          <w:rFonts w:ascii="Arial" w:hAnsi="Arial" w:cs="Arial"/>
          <w:sz w:val="22"/>
          <w:szCs w:val="22"/>
          <w:lang w:val="id-ID"/>
        </w:rPr>
        <w:t>patient</w:t>
      </w:r>
      <w:proofErr w:type="spellEnd"/>
      <w:r w:rsidR="009F4945" w:rsidRPr="000463EA">
        <w:rPr>
          <w:rFonts w:ascii="Arial" w:hAnsi="Arial" w:cs="Arial"/>
          <w:sz w:val="22"/>
          <w:szCs w:val="22"/>
          <w:lang w:val="id-ID"/>
        </w:rPr>
        <w:t xml:space="preserve"> </w:t>
      </w:r>
      <w:r w:rsidRPr="000463EA">
        <w:rPr>
          <w:rFonts w:ascii="Arial" w:hAnsi="Arial" w:cs="Arial"/>
          <w:sz w:val="22"/>
          <w:szCs w:val="22"/>
          <w:lang w:val="id-ID"/>
        </w:rPr>
        <w:t xml:space="preserve">were </w:t>
      </w:r>
      <w:proofErr w:type="spellStart"/>
      <w:r w:rsidRPr="000463EA">
        <w:rPr>
          <w:rFonts w:ascii="Arial" w:hAnsi="Arial" w:cs="Arial"/>
          <w:sz w:val="22"/>
          <w:szCs w:val="22"/>
          <w:lang w:val="id-ID"/>
        </w:rPr>
        <w:t>also</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followed</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up</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at</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one</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and</w:t>
      </w:r>
      <w:proofErr w:type="spellEnd"/>
      <w:r w:rsidRPr="000463EA">
        <w:rPr>
          <w:rFonts w:ascii="Arial" w:hAnsi="Arial" w:cs="Arial"/>
          <w:sz w:val="22"/>
          <w:szCs w:val="22"/>
          <w:lang w:val="id-ID"/>
        </w:rPr>
        <w:t xml:space="preserve"> three months, six and twelve months following the procedure, and annually after that. Transcatheter VSD closure shows the device in situ with no intra-device residual shunt. Mild tricuspid regurgitation (TR) and MR were presented with low pulmonary hypertension (PH) probability. </w:t>
      </w:r>
    </w:p>
    <w:p w14:paraId="30E1A41C" w14:textId="2931D933" w:rsidR="00790ADA" w:rsidRPr="00537EF1" w:rsidRDefault="00734338" w:rsidP="00537EF1">
      <w:pPr>
        <w:pStyle w:val="Body"/>
        <w:spacing w:after="0" w:line="360" w:lineRule="auto"/>
        <w:rPr>
          <w:rFonts w:ascii="Arial" w:hAnsi="Arial" w:cs="Arial"/>
          <w:sz w:val="22"/>
          <w:szCs w:val="22"/>
        </w:rPr>
      </w:pPr>
      <w:r w:rsidRPr="00537EF1">
        <w:rPr>
          <w:rFonts w:ascii="Arial" w:hAnsi="Arial" w:cs="Arial"/>
          <w:sz w:val="22"/>
          <w:szCs w:val="22"/>
        </w:rPr>
        <w:t xml:space="preserve"> </w:t>
      </w:r>
    </w:p>
    <w:p w14:paraId="6DFC4778" w14:textId="7E14D165" w:rsidR="00474F88" w:rsidRPr="00537EF1" w:rsidRDefault="00000F8F" w:rsidP="00537EF1">
      <w:pPr>
        <w:pStyle w:val="Head1"/>
        <w:spacing w:after="0" w:line="360" w:lineRule="auto"/>
        <w:jc w:val="both"/>
        <w:rPr>
          <w:rFonts w:ascii="Arial" w:hAnsi="Arial" w:cs="Arial"/>
          <w:szCs w:val="22"/>
        </w:rPr>
      </w:pPr>
      <w:r w:rsidRPr="00537EF1">
        <w:rPr>
          <w:rFonts w:ascii="Arial" w:hAnsi="Arial" w:cs="Arial"/>
          <w:szCs w:val="22"/>
        </w:rPr>
        <w:t>3</w:t>
      </w:r>
      <w:r w:rsidR="00902823" w:rsidRPr="00537EF1">
        <w:rPr>
          <w:rFonts w:ascii="Arial" w:hAnsi="Arial" w:cs="Arial"/>
          <w:szCs w:val="22"/>
        </w:rPr>
        <w:t xml:space="preserve">. </w:t>
      </w:r>
      <w:r w:rsidRPr="00537EF1">
        <w:rPr>
          <w:rFonts w:ascii="Arial" w:hAnsi="Arial" w:cs="Arial"/>
          <w:szCs w:val="22"/>
        </w:rPr>
        <w:t>discussion</w:t>
      </w:r>
    </w:p>
    <w:p w14:paraId="1E8052BC" w14:textId="160FE8A7" w:rsidR="000463EA" w:rsidRPr="007633E5"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 xml:space="preserve">Aortic regurgitation and valve prolapse are common outcomes of subaortic VSDs due to the absence of subaortic septal tissues. Close the aortic valve as soon as possible to avoid difficulties before prolapse happens. For some VSD types, percutaneous transcatheter closure is being </w:t>
      </w:r>
      <w:proofErr w:type="spellStart"/>
      <w:r w:rsidRPr="000463EA">
        <w:rPr>
          <w:rFonts w:ascii="Arial" w:hAnsi="Arial" w:cs="Arial"/>
          <w:sz w:val="22"/>
          <w:szCs w:val="22"/>
          <w:lang w:val="id-ID"/>
        </w:rPr>
        <w:t>regarded</w:t>
      </w:r>
      <w:proofErr w:type="spellEnd"/>
      <w:r w:rsidRPr="000463EA">
        <w:rPr>
          <w:rFonts w:ascii="Arial" w:hAnsi="Arial" w:cs="Arial"/>
          <w:sz w:val="22"/>
          <w:szCs w:val="22"/>
          <w:lang w:val="id-ID"/>
        </w:rPr>
        <w:t xml:space="preserve"> as a </w:t>
      </w:r>
      <w:proofErr w:type="spellStart"/>
      <w:r w:rsidRPr="000463EA">
        <w:rPr>
          <w:rFonts w:ascii="Arial" w:hAnsi="Arial" w:cs="Arial"/>
          <w:sz w:val="22"/>
          <w:szCs w:val="22"/>
          <w:lang w:val="id-ID"/>
        </w:rPr>
        <w:t>surgical</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substitute</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more</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and</w:t>
      </w:r>
      <w:proofErr w:type="spellEnd"/>
      <w:r w:rsidRPr="000463EA">
        <w:rPr>
          <w:rFonts w:ascii="Arial" w:hAnsi="Arial" w:cs="Arial"/>
          <w:sz w:val="22"/>
          <w:szCs w:val="22"/>
          <w:lang w:val="id-ID"/>
        </w:rPr>
        <w:t xml:space="preserve"> more.</w:t>
      </w:r>
      <w:r w:rsidRPr="000463EA">
        <w:rPr>
          <w:rFonts w:ascii="Arial" w:hAnsi="Arial" w:cs="Arial"/>
          <w:sz w:val="22"/>
          <w:szCs w:val="22"/>
          <w:vertAlign w:val="superscript"/>
          <w:lang w:val="id-ID"/>
        </w:rPr>
        <w:t>4</w:t>
      </w:r>
      <w:r w:rsidR="007633E5">
        <w:rPr>
          <w:rFonts w:ascii="Arial" w:hAnsi="Arial" w:cs="Arial"/>
          <w:sz w:val="22"/>
          <w:szCs w:val="22"/>
          <w:lang w:val="id-ID"/>
        </w:rPr>
        <w:t xml:space="preserve"> </w:t>
      </w:r>
    </w:p>
    <w:p w14:paraId="3BF2CB91" w14:textId="3A927254"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Before choosing transcatheter closure, younger individuals must have a thorough evaluation, particularly if they may have problems with their aortic valve. ADO closure is safe and theoretically possible for all types of VSDs. To reduce aortic valve impingement, soft devices such as ADO II or ADO II Additional Sizes are used for sub-arterial VSD closure. Because sub-arterial VSD closure is far from the conduction system, the atrioventricular block is usually not a concern, unlike peri membranous VSD closure. For patients older than seven, transcatheter closure with ADO is safe, but ongoing surveillance is required to identify and treat any development of aortic regurgitation.</w:t>
      </w:r>
      <w:r w:rsidRPr="000463EA">
        <w:rPr>
          <w:rFonts w:ascii="Arial" w:hAnsi="Arial" w:cs="Arial"/>
          <w:sz w:val="22"/>
          <w:szCs w:val="22"/>
          <w:vertAlign w:val="superscript"/>
          <w:lang w:val="id-ID"/>
        </w:rPr>
        <w:t>5–7</w:t>
      </w:r>
      <w:r w:rsidR="007633E5">
        <w:rPr>
          <w:rFonts w:ascii="Arial" w:hAnsi="Arial" w:cs="Arial"/>
          <w:sz w:val="22"/>
          <w:szCs w:val="22"/>
          <w:vertAlign w:val="superscript"/>
          <w:lang w:val="id-ID"/>
        </w:rPr>
        <w:t xml:space="preserve"> </w:t>
      </w:r>
      <w:r w:rsidR="007633E5" w:rsidRPr="007633E5">
        <w:rPr>
          <w:rFonts w:ascii="Arial" w:hAnsi="Arial" w:cs="Arial"/>
          <w:sz w:val="22"/>
          <w:szCs w:val="22"/>
        </w:rPr>
        <w:t>In this case, intraprocedural assessment was carried out with continuous transesophageal echocardiography to guide device deployment, monitor aortic valve integrity, and confirm absence of residual shunting before release</w:t>
      </w:r>
      <w:r w:rsidR="007633E5">
        <w:rPr>
          <w:rFonts w:ascii="Arial" w:hAnsi="Arial" w:cs="Arial"/>
          <w:sz w:val="22"/>
          <w:szCs w:val="22"/>
        </w:rPr>
        <w:t>.</w:t>
      </w:r>
    </w:p>
    <w:p w14:paraId="6C784846"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Residual shunt, arrhythmia due to the device, vascular problems, hemolysis, valve malfunction, and device embolization are significant consequences following VSD closure. Children weighing less than 10 kg are more likely to have them. However, with careful patient selection and avoidance of oversizing the defect, the treatment can be made safe and practical with close supervision.</w:t>
      </w:r>
      <w:r w:rsidRPr="000463EA">
        <w:rPr>
          <w:rFonts w:ascii="Arial" w:hAnsi="Arial" w:cs="Arial"/>
          <w:sz w:val="22"/>
          <w:szCs w:val="22"/>
          <w:vertAlign w:val="superscript"/>
          <w:lang w:val="id-ID"/>
        </w:rPr>
        <w:t>8</w:t>
      </w:r>
    </w:p>
    <w:p w14:paraId="5D799406" w14:textId="77777777" w:rsidR="000463EA" w:rsidRPr="000463EA" w:rsidRDefault="000463EA" w:rsidP="00537EF1">
      <w:pPr>
        <w:pStyle w:val="Body"/>
        <w:spacing w:after="0" w:line="360" w:lineRule="auto"/>
        <w:rPr>
          <w:rFonts w:ascii="Arial" w:hAnsi="Arial" w:cs="Arial"/>
          <w:sz w:val="22"/>
          <w:szCs w:val="22"/>
          <w:lang w:val="id-ID"/>
        </w:rPr>
      </w:pPr>
      <w:r w:rsidRPr="000463EA">
        <w:rPr>
          <w:rFonts w:ascii="Arial" w:hAnsi="Arial" w:cs="Arial"/>
          <w:sz w:val="22"/>
          <w:szCs w:val="22"/>
          <w:lang w:val="id-ID"/>
        </w:rPr>
        <w:t>Patients were observed using transthoracic echocardiography, ECG, and clinical examination at four-week, three-month, six-month, and annual intervals. During follow-up, there were no serious adverse events or new problems. Location, size, pressure gradient across the defect, relationship with surrounding structures, distance from the aortic valve, detection of aortic valve cusp prolapse, presence of aneurysmal tissue, and its size and relationship with the septal leaflet of the tricuspid valve were all recorded by echocardiography. In addition to calculating the systemic-to-pulmonary flow ratio, the tricuspid, aortic, mitral, and pulmonary valves were assessed.</w:t>
      </w:r>
      <w:r w:rsidRPr="000463EA">
        <w:rPr>
          <w:rFonts w:ascii="Arial" w:hAnsi="Arial" w:cs="Arial"/>
          <w:sz w:val="22"/>
          <w:szCs w:val="22"/>
          <w:vertAlign w:val="superscript"/>
          <w:lang w:val="id-ID"/>
        </w:rPr>
        <w:t>9,10</w:t>
      </w:r>
    </w:p>
    <w:p w14:paraId="1C3087EB"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A less invasive option for surgery is transcatheter VSD closure, although patient selection is essential to the procedure's success. Although antegrade transvenous technique is used in most surgeries, retrograde arterial placement is becoming more popular, mainly when venous closure is not feasible. This method is now safer and quicker thanks to advancements in smaller delivery systems, which also remove the need for an arteriovenous rail and minimize procedure complexity, fluoroscopy, and overall time.6 A recent study examined procedure and fluoroscopy timeframes in addition to patient outcomes to evaluate the viability of retrograde arterial closure in adults with congenital VSD. But there are still issues, especially when using AV rail as a backup method to boost deployment in young children, which calls for careful anatomical tracing with guide wires during closure.</w:t>
      </w:r>
      <w:r w:rsidRPr="000463EA">
        <w:rPr>
          <w:rFonts w:ascii="Arial" w:hAnsi="Arial" w:cs="Arial"/>
          <w:sz w:val="22"/>
          <w:szCs w:val="22"/>
          <w:vertAlign w:val="superscript"/>
          <w:lang w:val="id-ID"/>
        </w:rPr>
        <w:t>6,9</w:t>
      </w:r>
    </w:p>
    <w:p w14:paraId="0CDAFEC4" w14:textId="77777777"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Successful closure of the VSD device depends on intraoperative VSD profiling during LV angiography and preintervention VSD profiling by TTE. The apical 5-chamber, parasternal, and subcostal long-axis views are the most important for characterizing these VSDs. In this instance, the interventricular septum tip to the fibrous continuity tip was used to measure the VSD size.</w:t>
      </w:r>
      <w:r w:rsidRPr="000463EA">
        <w:rPr>
          <w:rFonts w:ascii="Arial" w:hAnsi="Arial" w:cs="Arial"/>
          <w:sz w:val="22"/>
          <w:szCs w:val="22"/>
          <w:vertAlign w:val="superscript"/>
          <w:lang w:val="id-ID"/>
        </w:rPr>
        <w:t>10</w:t>
      </w:r>
    </w:p>
    <w:p w14:paraId="486C681D" w14:textId="382C48EC" w:rsidR="000463EA" w:rsidRPr="008652CF"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 xml:space="preserve">Vigilant examination for new valve regurgitation is essential for post-procedure monitoring, especially near the aortic valve on the LV side and the tricuspid valve on the RV side. A thorough tricuspid regurgitation (TR) and aortic regurgitation (AR) assessment is necessary. AR, particularly grade I (trace AR), can be caused </w:t>
      </w:r>
      <w:proofErr w:type="spellStart"/>
      <w:r w:rsidRPr="000463EA">
        <w:rPr>
          <w:rFonts w:ascii="Arial" w:hAnsi="Arial" w:cs="Arial"/>
          <w:sz w:val="22"/>
          <w:szCs w:val="22"/>
          <w:lang w:val="id-ID"/>
        </w:rPr>
        <w:t>by</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catheter</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manipulation</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or</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disparities</w:t>
      </w:r>
      <w:proofErr w:type="spellEnd"/>
      <w:r w:rsidRPr="000463EA">
        <w:rPr>
          <w:rFonts w:ascii="Arial" w:hAnsi="Arial" w:cs="Arial"/>
          <w:sz w:val="22"/>
          <w:szCs w:val="22"/>
          <w:lang w:val="id-ID"/>
        </w:rPr>
        <w:t xml:space="preserve"> in </w:t>
      </w:r>
      <w:proofErr w:type="spellStart"/>
      <w:r w:rsidRPr="000463EA">
        <w:rPr>
          <w:rFonts w:ascii="Arial" w:hAnsi="Arial" w:cs="Arial"/>
          <w:sz w:val="22"/>
          <w:szCs w:val="22"/>
          <w:lang w:val="id-ID"/>
        </w:rPr>
        <w:t>evaluation</w:t>
      </w:r>
      <w:proofErr w:type="spellEnd"/>
      <w:r w:rsidRPr="000463EA">
        <w:rPr>
          <w:rFonts w:ascii="Arial" w:hAnsi="Arial" w:cs="Arial"/>
          <w:sz w:val="22"/>
          <w:szCs w:val="22"/>
          <w:lang w:val="id-ID"/>
        </w:rPr>
        <w:t xml:space="preserve"> </w:t>
      </w:r>
      <w:proofErr w:type="spellStart"/>
      <w:r w:rsidRPr="000463EA">
        <w:rPr>
          <w:rFonts w:ascii="Arial" w:hAnsi="Arial" w:cs="Arial"/>
          <w:sz w:val="22"/>
          <w:szCs w:val="22"/>
          <w:lang w:val="id-ID"/>
        </w:rPr>
        <w:t>across</w:t>
      </w:r>
      <w:proofErr w:type="spellEnd"/>
      <w:r w:rsidRPr="000463EA">
        <w:rPr>
          <w:rFonts w:ascii="Arial" w:hAnsi="Arial" w:cs="Arial"/>
          <w:sz w:val="22"/>
          <w:szCs w:val="22"/>
          <w:lang w:val="id-ID"/>
        </w:rPr>
        <w:t xml:space="preserve"> observers.</w:t>
      </w:r>
      <w:r w:rsidRPr="000463EA">
        <w:rPr>
          <w:rFonts w:ascii="Arial" w:hAnsi="Arial" w:cs="Arial"/>
          <w:sz w:val="22"/>
          <w:szCs w:val="22"/>
          <w:vertAlign w:val="superscript"/>
          <w:lang w:val="id-ID"/>
        </w:rPr>
        <w:t>11</w:t>
      </w:r>
      <w:r w:rsidR="008652CF">
        <w:rPr>
          <w:rFonts w:ascii="Arial" w:hAnsi="Arial" w:cs="Arial"/>
          <w:sz w:val="22"/>
          <w:szCs w:val="22"/>
          <w:vertAlign w:val="superscript"/>
          <w:lang w:val="id-ID"/>
        </w:rPr>
        <w:t xml:space="preserve"> </w:t>
      </w:r>
      <w:proofErr w:type="spellStart"/>
      <w:r w:rsidR="008652CF" w:rsidRPr="008652CF">
        <w:rPr>
          <w:rFonts w:ascii="Arial" w:hAnsi="Arial" w:cs="Arial"/>
          <w:sz w:val="22"/>
          <w:szCs w:val="22"/>
          <w:lang w:val="id-ID"/>
        </w:rPr>
        <w:t>Although</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transcatheter</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closure</w:t>
      </w:r>
      <w:proofErr w:type="spellEnd"/>
      <w:r w:rsidR="008652CF" w:rsidRPr="008652CF">
        <w:rPr>
          <w:rFonts w:ascii="Arial" w:hAnsi="Arial" w:cs="Arial"/>
          <w:sz w:val="22"/>
          <w:szCs w:val="22"/>
          <w:lang w:val="id-ID"/>
        </w:rPr>
        <w:t xml:space="preserve"> has </w:t>
      </w:r>
      <w:proofErr w:type="spellStart"/>
      <w:r w:rsidR="008652CF" w:rsidRPr="008652CF">
        <w:rPr>
          <w:rFonts w:ascii="Arial" w:hAnsi="Arial" w:cs="Arial"/>
          <w:sz w:val="22"/>
          <w:szCs w:val="22"/>
          <w:lang w:val="id-ID"/>
        </w:rPr>
        <w:t>shown</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encouraging</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results</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adverse</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events</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and</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occasional</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device</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failure</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remain</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concerns</w:t>
      </w:r>
      <w:proofErr w:type="spellEnd"/>
      <w:r w:rsidR="008652CF" w:rsidRPr="008652CF">
        <w:rPr>
          <w:rFonts w:ascii="Arial" w:hAnsi="Arial" w:cs="Arial"/>
          <w:sz w:val="22"/>
          <w:szCs w:val="22"/>
          <w:lang w:val="id-ID"/>
        </w:rPr>
        <w:t xml:space="preserve">. In </w:t>
      </w:r>
      <w:proofErr w:type="spellStart"/>
      <w:r w:rsidR="008652CF" w:rsidRPr="008652CF">
        <w:rPr>
          <w:rFonts w:ascii="Arial" w:hAnsi="Arial" w:cs="Arial"/>
          <w:sz w:val="22"/>
          <w:szCs w:val="22"/>
          <w:lang w:val="id-ID"/>
        </w:rPr>
        <w:t>such</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cases</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surgical</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closure</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remains</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the</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definitive</w:t>
      </w:r>
      <w:proofErr w:type="spellEnd"/>
      <w:r w:rsidR="008652CF" w:rsidRPr="008652CF">
        <w:rPr>
          <w:rFonts w:ascii="Arial" w:hAnsi="Arial" w:cs="Arial"/>
          <w:sz w:val="22"/>
          <w:szCs w:val="22"/>
          <w:lang w:val="id-ID"/>
        </w:rPr>
        <w:t xml:space="preserve"> </w:t>
      </w:r>
      <w:proofErr w:type="spellStart"/>
      <w:r w:rsidR="008652CF" w:rsidRPr="008652CF">
        <w:rPr>
          <w:rFonts w:ascii="Arial" w:hAnsi="Arial" w:cs="Arial"/>
          <w:sz w:val="22"/>
          <w:szCs w:val="22"/>
          <w:lang w:val="id-ID"/>
        </w:rPr>
        <w:t>alternative</w:t>
      </w:r>
      <w:proofErr w:type="spellEnd"/>
      <w:r w:rsidR="008652CF" w:rsidRPr="008652CF">
        <w:rPr>
          <w:rFonts w:ascii="Arial" w:hAnsi="Arial" w:cs="Arial"/>
          <w:sz w:val="22"/>
          <w:szCs w:val="22"/>
          <w:lang w:val="id-ID"/>
        </w:rPr>
        <w:t>.</w:t>
      </w:r>
    </w:p>
    <w:p w14:paraId="1A64173B" w14:textId="77777777" w:rsidR="00BE0C35" w:rsidRPr="00537EF1" w:rsidRDefault="00BE0C35" w:rsidP="00537EF1">
      <w:pPr>
        <w:pStyle w:val="Body"/>
        <w:spacing w:after="0" w:line="360" w:lineRule="auto"/>
        <w:rPr>
          <w:rFonts w:ascii="Arial" w:hAnsi="Arial" w:cs="Arial"/>
          <w:sz w:val="22"/>
          <w:szCs w:val="22"/>
        </w:rPr>
      </w:pPr>
    </w:p>
    <w:p w14:paraId="39F9135C" w14:textId="77777777" w:rsidR="00B01FCD" w:rsidRPr="00537EF1" w:rsidRDefault="00000F8F" w:rsidP="00537EF1">
      <w:pPr>
        <w:pStyle w:val="ConcHead"/>
        <w:spacing w:after="0" w:line="360" w:lineRule="auto"/>
        <w:jc w:val="both"/>
        <w:rPr>
          <w:rFonts w:ascii="Arial" w:hAnsi="Arial" w:cs="Arial"/>
          <w:szCs w:val="22"/>
        </w:rPr>
      </w:pPr>
      <w:r w:rsidRPr="00537EF1">
        <w:rPr>
          <w:rFonts w:ascii="Arial" w:hAnsi="Arial" w:cs="Arial"/>
          <w:szCs w:val="22"/>
        </w:rPr>
        <w:t xml:space="preserve">4. </w:t>
      </w:r>
      <w:r w:rsidR="00B01FCD" w:rsidRPr="00537EF1">
        <w:rPr>
          <w:rFonts w:ascii="Arial" w:hAnsi="Arial" w:cs="Arial"/>
          <w:szCs w:val="22"/>
        </w:rPr>
        <w:t>Conclusion</w:t>
      </w:r>
    </w:p>
    <w:p w14:paraId="7748D189" w14:textId="36867835" w:rsidR="000463EA" w:rsidRPr="000463EA" w:rsidRDefault="000463EA" w:rsidP="00537EF1">
      <w:pPr>
        <w:pStyle w:val="Body"/>
        <w:spacing w:after="0" w:line="360" w:lineRule="auto"/>
        <w:ind w:firstLine="720"/>
        <w:rPr>
          <w:rFonts w:ascii="Arial" w:hAnsi="Arial" w:cs="Arial"/>
          <w:sz w:val="22"/>
          <w:szCs w:val="22"/>
          <w:lang w:val="id-ID"/>
        </w:rPr>
      </w:pPr>
      <w:r w:rsidRPr="000463EA">
        <w:rPr>
          <w:rFonts w:ascii="Arial" w:hAnsi="Arial" w:cs="Arial"/>
          <w:sz w:val="22"/>
          <w:szCs w:val="22"/>
          <w:lang w:val="id-ID"/>
        </w:rPr>
        <w:t xml:space="preserve">To guarantee that transcatheter subaortic VSD closure is safe, close observation of echocardiography and clinical state following the procedure is necessary. The top priorities must be ascertaining the residual shunting, detecting AR, and evaluating occluder location. </w:t>
      </w:r>
      <w:proofErr w:type="spellStart"/>
      <w:r w:rsidR="00B860B5" w:rsidRPr="00B860B5">
        <w:rPr>
          <w:rFonts w:ascii="Arial" w:hAnsi="Arial" w:cs="Arial"/>
          <w:sz w:val="22"/>
          <w:szCs w:val="22"/>
          <w:lang w:val="id-ID"/>
        </w:rPr>
        <w:t>Further</w:t>
      </w:r>
      <w:proofErr w:type="spellEnd"/>
      <w:r w:rsidR="00B860B5" w:rsidRPr="00B860B5">
        <w:rPr>
          <w:rFonts w:ascii="Arial" w:hAnsi="Arial" w:cs="Arial"/>
          <w:sz w:val="22"/>
          <w:szCs w:val="22"/>
          <w:lang w:val="id-ID"/>
        </w:rPr>
        <w:t xml:space="preserve"> </w:t>
      </w:r>
      <w:proofErr w:type="spellStart"/>
      <w:r w:rsidR="00B860B5" w:rsidRPr="00B860B5">
        <w:rPr>
          <w:rFonts w:ascii="Arial" w:hAnsi="Arial" w:cs="Arial"/>
          <w:sz w:val="22"/>
          <w:szCs w:val="22"/>
          <w:lang w:val="id-ID"/>
        </w:rPr>
        <w:t>studies</w:t>
      </w:r>
      <w:proofErr w:type="spellEnd"/>
      <w:r w:rsidR="00B860B5" w:rsidRPr="00B860B5">
        <w:rPr>
          <w:rFonts w:ascii="Arial" w:hAnsi="Arial" w:cs="Arial"/>
          <w:sz w:val="22"/>
          <w:szCs w:val="22"/>
          <w:lang w:val="id-ID"/>
        </w:rPr>
        <w:t xml:space="preserve"> are </w:t>
      </w:r>
      <w:proofErr w:type="spellStart"/>
      <w:r w:rsidR="00B860B5" w:rsidRPr="00B860B5">
        <w:rPr>
          <w:rFonts w:ascii="Arial" w:hAnsi="Arial" w:cs="Arial"/>
          <w:sz w:val="22"/>
          <w:szCs w:val="22"/>
          <w:lang w:val="id-ID"/>
        </w:rPr>
        <w:t>needed</w:t>
      </w:r>
      <w:proofErr w:type="spellEnd"/>
      <w:r w:rsidR="00B860B5" w:rsidRPr="00B860B5">
        <w:rPr>
          <w:rFonts w:ascii="Arial" w:hAnsi="Arial" w:cs="Arial"/>
          <w:sz w:val="22"/>
          <w:szCs w:val="22"/>
          <w:lang w:val="id-ID"/>
        </w:rPr>
        <w:t xml:space="preserve"> </w:t>
      </w:r>
      <w:proofErr w:type="spellStart"/>
      <w:r w:rsidR="00B860B5" w:rsidRPr="00B860B5">
        <w:rPr>
          <w:rFonts w:ascii="Arial" w:hAnsi="Arial" w:cs="Arial"/>
          <w:sz w:val="22"/>
          <w:szCs w:val="22"/>
          <w:lang w:val="id-ID"/>
        </w:rPr>
        <w:t>to</w:t>
      </w:r>
      <w:proofErr w:type="spellEnd"/>
      <w:r w:rsidR="00B860B5" w:rsidRPr="00B860B5">
        <w:rPr>
          <w:rFonts w:ascii="Arial" w:hAnsi="Arial" w:cs="Arial"/>
          <w:sz w:val="22"/>
          <w:szCs w:val="22"/>
          <w:lang w:val="id-ID"/>
        </w:rPr>
        <w:t xml:space="preserve"> </w:t>
      </w:r>
      <w:proofErr w:type="spellStart"/>
      <w:r w:rsidR="00B860B5" w:rsidRPr="00B860B5">
        <w:rPr>
          <w:rFonts w:ascii="Arial" w:hAnsi="Arial" w:cs="Arial"/>
          <w:sz w:val="22"/>
          <w:szCs w:val="22"/>
          <w:lang w:val="id-ID"/>
        </w:rPr>
        <w:t>assess</w:t>
      </w:r>
      <w:proofErr w:type="spellEnd"/>
      <w:r w:rsidR="00B860B5" w:rsidRPr="00B860B5">
        <w:rPr>
          <w:rFonts w:ascii="Arial" w:hAnsi="Arial" w:cs="Arial"/>
          <w:sz w:val="22"/>
          <w:szCs w:val="22"/>
          <w:lang w:val="id-ID"/>
        </w:rPr>
        <w:t xml:space="preserve"> </w:t>
      </w:r>
      <w:proofErr w:type="spellStart"/>
      <w:r w:rsidR="00B860B5" w:rsidRPr="00B860B5">
        <w:rPr>
          <w:rFonts w:ascii="Arial" w:hAnsi="Arial" w:cs="Arial"/>
          <w:sz w:val="22"/>
          <w:szCs w:val="22"/>
          <w:lang w:val="id-ID"/>
        </w:rPr>
        <w:t>outcomes</w:t>
      </w:r>
      <w:proofErr w:type="spellEnd"/>
      <w:r w:rsidR="00B860B5" w:rsidRPr="00B860B5">
        <w:rPr>
          <w:rFonts w:ascii="Arial" w:hAnsi="Arial" w:cs="Arial"/>
          <w:sz w:val="22"/>
          <w:szCs w:val="22"/>
          <w:lang w:val="id-ID"/>
        </w:rPr>
        <w:t xml:space="preserve"> in </w:t>
      </w:r>
      <w:proofErr w:type="spellStart"/>
      <w:r w:rsidR="00B860B5" w:rsidRPr="00B860B5">
        <w:rPr>
          <w:rFonts w:ascii="Arial" w:hAnsi="Arial" w:cs="Arial"/>
          <w:sz w:val="22"/>
          <w:szCs w:val="22"/>
          <w:lang w:val="id-ID"/>
        </w:rPr>
        <w:t>underweight</w:t>
      </w:r>
      <w:proofErr w:type="spellEnd"/>
      <w:r w:rsidR="00B860B5" w:rsidRPr="00B860B5">
        <w:rPr>
          <w:rFonts w:ascii="Arial" w:hAnsi="Arial" w:cs="Arial"/>
          <w:sz w:val="22"/>
          <w:szCs w:val="22"/>
          <w:lang w:val="id-ID"/>
        </w:rPr>
        <w:t xml:space="preserve"> </w:t>
      </w:r>
      <w:proofErr w:type="spellStart"/>
      <w:r w:rsidR="00B860B5" w:rsidRPr="00B860B5">
        <w:rPr>
          <w:rFonts w:ascii="Arial" w:hAnsi="Arial" w:cs="Arial"/>
          <w:sz w:val="22"/>
          <w:szCs w:val="22"/>
          <w:lang w:val="id-ID"/>
        </w:rPr>
        <w:t>children</w:t>
      </w:r>
      <w:proofErr w:type="spellEnd"/>
      <w:r w:rsidRPr="000463EA">
        <w:rPr>
          <w:rFonts w:ascii="Arial" w:hAnsi="Arial" w:cs="Arial"/>
          <w:sz w:val="22"/>
          <w:szCs w:val="22"/>
          <w:lang w:val="id-ID"/>
        </w:rPr>
        <w:t>. Due to its ability to minimize radiation exposure and shorten procedure times, direct retrograde transaortic VSD closure without AV loops is recommended.</w:t>
      </w:r>
    </w:p>
    <w:p w14:paraId="1ED1BA12" w14:textId="77777777" w:rsidR="00790ADA" w:rsidRPr="00537EF1" w:rsidRDefault="00790ADA" w:rsidP="00537EF1">
      <w:pPr>
        <w:pStyle w:val="Body"/>
        <w:spacing w:after="0" w:line="360" w:lineRule="auto"/>
        <w:rPr>
          <w:rFonts w:ascii="Arial" w:hAnsi="Arial" w:cs="Arial"/>
          <w:sz w:val="22"/>
          <w:szCs w:val="22"/>
        </w:rPr>
      </w:pPr>
    </w:p>
    <w:p w14:paraId="3534A1F0" w14:textId="77777777" w:rsidR="002B685A" w:rsidRPr="00537EF1" w:rsidRDefault="002B685A" w:rsidP="00537EF1">
      <w:pPr>
        <w:pStyle w:val="ReferHead"/>
        <w:spacing w:after="0" w:line="360" w:lineRule="auto"/>
        <w:jc w:val="both"/>
        <w:rPr>
          <w:rFonts w:ascii="Arial" w:hAnsi="Arial" w:cs="Arial"/>
          <w:bCs/>
          <w:szCs w:val="22"/>
        </w:rPr>
      </w:pPr>
      <w:r w:rsidRPr="00537EF1">
        <w:rPr>
          <w:rFonts w:ascii="Arial" w:hAnsi="Arial" w:cs="Arial"/>
          <w:bCs/>
          <w:szCs w:val="22"/>
        </w:rPr>
        <w:t>Consent (where</w:t>
      </w:r>
      <w:r w:rsidR="007369E6" w:rsidRPr="00537EF1">
        <w:rPr>
          <w:rFonts w:ascii="Arial" w:hAnsi="Arial" w:cs="Arial"/>
          <w:bCs/>
          <w:szCs w:val="22"/>
        </w:rPr>
        <w:t xml:space="preserve"> </w:t>
      </w:r>
      <w:r w:rsidRPr="00537EF1">
        <w:rPr>
          <w:rFonts w:ascii="Arial" w:hAnsi="Arial" w:cs="Arial"/>
          <w:bCs/>
          <w:szCs w:val="22"/>
        </w:rPr>
        <w:t>ever applicable)</w:t>
      </w:r>
    </w:p>
    <w:p w14:paraId="3F354110" w14:textId="77777777" w:rsidR="002B685A" w:rsidRPr="00537EF1" w:rsidRDefault="002B685A" w:rsidP="00537EF1">
      <w:pPr>
        <w:pStyle w:val="ReferHead"/>
        <w:spacing w:after="0" w:line="360" w:lineRule="auto"/>
        <w:jc w:val="both"/>
        <w:rPr>
          <w:rFonts w:ascii="Arial" w:hAnsi="Arial" w:cs="Arial"/>
          <w:bCs/>
          <w:szCs w:val="22"/>
        </w:rPr>
      </w:pPr>
    </w:p>
    <w:p w14:paraId="2B0E73CE" w14:textId="0B0D886E" w:rsidR="001A29D8" w:rsidRPr="00537EF1" w:rsidRDefault="001A29D8" w:rsidP="00537EF1">
      <w:pPr>
        <w:pStyle w:val="ReferHead"/>
        <w:spacing w:after="0" w:line="360" w:lineRule="auto"/>
        <w:jc w:val="both"/>
        <w:rPr>
          <w:rFonts w:ascii="Arial" w:hAnsi="Arial" w:cs="Arial"/>
          <w:b w:val="0"/>
          <w:caps w:val="0"/>
          <w:szCs w:val="22"/>
        </w:rPr>
      </w:pPr>
      <w:r w:rsidRPr="00537EF1">
        <w:rPr>
          <w:rFonts w:ascii="Arial" w:hAnsi="Arial" w:cs="Arial"/>
          <w:b w:val="0"/>
          <w:caps w:val="0"/>
          <w:szCs w:val="22"/>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47D67D9" w14:textId="77777777" w:rsidR="001A29D8" w:rsidRPr="00537EF1" w:rsidRDefault="001A29D8" w:rsidP="00537EF1">
      <w:pPr>
        <w:pStyle w:val="ReferHead"/>
        <w:spacing w:after="0" w:line="360" w:lineRule="auto"/>
        <w:jc w:val="both"/>
        <w:rPr>
          <w:rFonts w:ascii="Arial" w:hAnsi="Arial" w:cs="Arial"/>
          <w:b w:val="0"/>
          <w:caps w:val="0"/>
          <w:szCs w:val="22"/>
        </w:rPr>
      </w:pPr>
    </w:p>
    <w:p w14:paraId="3A05CAA5" w14:textId="77777777" w:rsidR="005C784C" w:rsidRPr="00537EF1" w:rsidRDefault="005C784C" w:rsidP="00537EF1">
      <w:pPr>
        <w:pStyle w:val="ReferHead"/>
        <w:spacing w:after="0" w:line="360" w:lineRule="auto"/>
        <w:jc w:val="both"/>
        <w:rPr>
          <w:rFonts w:ascii="Arial" w:hAnsi="Arial" w:cs="Arial"/>
          <w:b w:val="0"/>
          <w:caps w:val="0"/>
          <w:szCs w:val="22"/>
        </w:rPr>
      </w:pPr>
    </w:p>
    <w:p w14:paraId="0B3BFB7B" w14:textId="6B61B7A2" w:rsidR="005C784C" w:rsidRDefault="005C784C" w:rsidP="00537EF1">
      <w:pPr>
        <w:pStyle w:val="ReferHead"/>
        <w:spacing w:after="0" w:line="360" w:lineRule="auto"/>
        <w:jc w:val="both"/>
        <w:rPr>
          <w:rFonts w:ascii="Arial" w:hAnsi="Arial" w:cs="Arial"/>
          <w:bCs/>
          <w:szCs w:val="22"/>
        </w:rPr>
      </w:pPr>
      <w:r w:rsidRPr="00537EF1">
        <w:rPr>
          <w:rFonts w:ascii="Arial" w:hAnsi="Arial" w:cs="Arial"/>
          <w:bCs/>
          <w:szCs w:val="22"/>
        </w:rPr>
        <w:t>Ethical approval (where</w:t>
      </w:r>
      <w:r w:rsidR="007369E6" w:rsidRPr="00537EF1">
        <w:rPr>
          <w:rFonts w:ascii="Arial" w:hAnsi="Arial" w:cs="Arial"/>
          <w:bCs/>
          <w:szCs w:val="22"/>
        </w:rPr>
        <w:t xml:space="preserve"> </w:t>
      </w:r>
      <w:r w:rsidRPr="00537EF1">
        <w:rPr>
          <w:rFonts w:ascii="Arial" w:hAnsi="Arial" w:cs="Arial"/>
          <w:bCs/>
          <w:szCs w:val="22"/>
        </w:rPr>
        <w:t>ever applicable)</w:t>
      </w:r>
    </w:p>
    <w:p w14:paraId="1ECEBFF5" w14:textId="7CA6E873" w:rsidR="006C3EEB" w:rsidRDefault="006C3EEB" w:rsidP="00537EF1">
      <w:pPr>
        <w:pStyle w:val="ReferHead"/>
        <w:spacing w:after="0" w:line="360" w:lineRule="auto"/>
        <w:jc w:val="both"/>
        <w:rPr>
          <w:rFonts w:ascii="Arial" w:hAnsi="Arial" w:cs="Arial"/>
          <w:bCs/>
          <w:szCs w:val="22"/>
        </w:rPr>
      </w:pPr>
    </w:p>
    <w:p w14:paraId="2A308ACD" w14:textId="23499A3D" w:rsidR="006C3EEB" w:rsidRDefault="006C3EEB" w:rsidP="00537EF1">
      <w:pPr>
        <w:pStyle w:val="ReferHead"/>
        <w:spacing w:after="0" w:line="360" w:lineRule="auto"/>
        <w:jc w:val="both"/>
        <w:rPr>
          <w:rFonts w:ascii="Arial" w:hAnsi="Arial" w:cs="Arial"/>
          <w:bCs/>
          <w:szCs w:val="22"/>
        </w:rPr>
      </w:pPr>
    </w:p>
    <w:p w14:paraId="24CA3DBD" w14:textId="77777777" w:rsidR="006C3EEB" w:rsidRPr="00270720" w:rsidRDefault="006C3EEB" w:rsidP="006C3EEB">
      <w:pPr>
        <w:rPr>
          <w:highlight w:val="yellow"/>
        </w:rPr>
      </w:pPr>
      <w:r w:rsidRPr="00270720">
        <w:rPr>
          <w:highlight w:val="yellow"/>
        </w:rPr>
        <w:t>Disclaimer (Artificial intelligence)</w:t>
      </w:r>
    </w:p>
    <w:p w14:paraId="7DAF3A99" w14:textId="77777777" w:rsidR="006C3EEB" w:rsidRPr="00270720" w:rsidRDefault="006C3EEB" w:rsidP="006C3EEB">
      <w:pPr>
        <w:rPr>
          <w:highlight w:val="yellow"/>
        </w:rPr>
      </w:pPr>
    </w:p>
    <w:p w14:paraId="4667EF9A" w14:textId="77777777" w:rsidR="006C3EEB" w:rsidRPr="00270720" w:rsidRDefault="006C3EEB" w:rsidP="006C3EEB">
      <w:pPr>
        <w:rPr>
          <w:highlight w:val="yellow"/>
        </w:rPr>
      </w:pPr>
      <w:r w:rsidRPr="00270720">
        <w:rPr>
          <w:highlight w:val="yellow"/>
        </w:rPr>
        <w:t xml:space="preserve">Option 1: </w:t>
      </w:r>
    </w:p>
    <w:p w14:paraId="1C5FAFB4" w14:textId="77777777" w:rsidR="006C3EEB" w:rsidRPr="00270720" w:rsidRDefault="006C3EEB" w:rsidP="006C3EEB">
      <w:pPr>
        <w:rPr>
          <w:highlight w:val="yellow"/>
        </w:rPr>
      </w:pPr>
    </w:p>
    <w:p w14:paraId="1DE44E2E" w14:textId="77777777" w:rsidR="006C3EEB" w:rsidRPr="00270720" w:rsidRDefault="006C3EEB" w:rsidP="006C3EEB">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5A98009E" w14:textId="77777777" w:rsidR="006C3EEB" w:rsidRPr="00270720" w:rsidRDefault="006C3EEB" w:rsidP="006C3EEB">
      <w:pPr>
        <w:rPr>
          <w:highlight w:val="yellow"/>
        </w:rPr>
      </w:pPr>
    </w:p>
    <w:p w14:paraId="145C994C" w14:textId="77777777" w:rsidR="006C3EEB" w:rsidRPr="00270720" w:rsidRDefault="006C3EEB" w:rsidP="006C3EEB">
      <w:pPr>
        <w:rPr>
          <w:highlight w:val="yellow"/>
        </w:rPr>
      </w:pPr>
      <w:r w:rsidRPr="00270720">
        <w:rPr>
          <w:highlight w:val="yellow"/>
        </w:rPr>
        <w:t xml:space="preserve">Option 2: </w:t>
      </w:r>
    </w:p>
    <w:p w14:paraId="3F71C1AA" w14:textId="77777777" w:rsidR="006C3EEB" w:rsidRPr="00270720" w:rsidRDefault="006C3EEB" w:rsidP="006C3EEB">
      <w:pPr>
        <w:rPr>
          <w:highlight w:val="yellow"/>
        </w:rPr>
      </w:pPr>
    </w:p>
    <w:p w14:paraId="0A1F746C" w14:textId="77777777" w:rsidR="006C3EEB" w:rsidRPr="00270720" w:rsidRDefault="006C3EEB" w:rsidP="006C3EEB">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C208A8" w14:textId="77777777" w:rsidR="006C3EEB" w:rsidRPr="00270720" w:rsidRDefault="006C3EEB" w:rsidP="006C3EEB">
      <w:pPr>
        <w:rPr>
          <w:highlight w:val="yellow"/>
        </w:rPr>
      </w:pPr>
    </w:p>
    <w:p w14:paraId="75D3026C" w14:textId="77777777" w:rsidR="006C3EEB" w:rsidRPr="00270720" w:rsidRDefault="006C3EEB" w:rsidP="006C3EEB">
      <w:pPr>
        <w:rPr>
          <w:highlight w:val="yellow"/>
        </w:rPr>
      </w:pPr>
      <w:r w:rsidRPr="00270720">
        <w:rPr>
          <w:highlight w:val="yellow"/>
        </w:rPr>
        <w:t>Details of the AI usage are given below:</w:t>
      </w:r>
    </w:p>
    <w:p w14:paraId="3B10F0EE" w14:textId="77777777" w:rsidR="006C3EEB" w:rsidRPr="00270720" w:rsidRDefault="006C3EEB" w:rsidP="006C3EEB">
      <w:pPr>
        <w:rPr>
          <w:highlight w:val="yellow"/>
        </w:rPr>
      </w:pPr>
      <w:r w:rsidRPr="00270720">
        <w:rPr>
          <w:highlight w:val="yellow"/>
        </w:rPr>
        <w:t>1.</w:t>
      </w:r>
    </w:p>
    <w:p w14:paraId="13F7B281" w14:textId="77777777" w:rsidR="006C3EEB" w:rsidRPr="00270720" w:rsidRDefault="006C3EEB" w:rsidP="006C3EEB">
      <w:pPr>
        <w:rPr>
          <w:highlight w:val="yellow"/>
        </w:rPr>
      </w:pPr>
      <w:r w:rsidRPr="00270720">
        <w:rPr>
          <w:highlight w:val="yellow"/>
        </w:rPr>
        <w:t>2.</w:t>
      </w:r>
    </w:p>
    <w:p w14:paraId="2087C2C0" w14:textId="77777777" w:rsidR="006C3EEB" w:rsidRPr="00270720" w:rsidRDefault="006C3EEB" w:rsidP="006C3EEB">
      <w:r w:rsidRPr="00270720">
        <w:rPr>
          <w:highlight w:val="yellow"/>
        </w:rPr>
        <w:t>3.</w:t>
      </w:r>
    </w:p>
    <w:p w14:paraId="59AEDFBD" w14:textId="77777777" w:rsidR="006C3EEB" w:rsidRPr="00537EF1" w:rsidRDefault="006C3EEB" w:rsidP="00537EF1">
      <w:pPr>
        <w:pStyle w:val="ReferHead"/>
        <w:spacing w:after="0" w:line="360" w:lineRule="auto"/>
        <w:jc w:val="both"/>
        <w:rPr>
          <w:rFonts w:ascii="Arial" w:hAnsi="Arial" w:cs="Arial"/>
          <w:bCs/>
          <w:szCs w:val="22"/>
        </w:rPr>
      </w:pPr>
    </w:p>
    <w:p w14:paraId="172B4181" w14:textId="77777777" w:rsidR="005C784C" w:rsidRPr="00537EF1" w:rsidRDefault="005C784C" w:rsidP="00537EF1">
      <w:pPr>
        <w:pStyle w:val="ReferHead"/>
        <w:spacing w:after="0" w:line="360" w:lineRule="auto"/>
        <w:jc w:val="both"/>
        <w:rPr>
          <w:rFonts w:ascii="Arial" w:hAnsi="Arial" w:cs="Arial"/>
          <w:bCs/>
          <w:szCs w:val="22"/>
        </w:rPr>
      </w:pPr>
    </w:p>
    <w:p w14:paraId="68271F21" w14:textId="77777777" w:rsidR="00860000" w:rsidRPr="00537EF1" w:rsidRDefault="00860000" w:rsidP="00537EF1">
      <w:pPr>
        <w:pStyle w:val="ReferHead"/>
        <w:spacing w:after="0" w:line="360" w:lineRule="auto"/>
        <w:jc w:val="both"/>
        <w:rPr>
          <w:rFonts w:ascii="Arial" w:hAnsi="Arial" w:cs="Arial"/>
          <w:szCs w:val="22"/>
        </w:rPr>
      </w:pPr>
    </w:p>
    <w:p w14:paraId="3FE2203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7114CD1" w14:textId="77777777" w:rsidR="005E2960" w:rsidRDefault="005E2960" w:rsidP="00441B6F">
      <w:pPr>
        <w:pStyle w:val="Body"/>
        <w:spacing w:after="0"/>
        <w:rPr>
          <w:rFonts w:ascii="Arial" w:hAnsi="Arial" w:cs="Arial"/>
        </w:rPr>
      </w:pPr>
    </w:p>
    <w:p w14:paraId="2D141BD7" w14:textId="63C0A4B6" w:rsidR="00537EF1" w:rsidRDefault="00537EF1" w:rsidP="007C0E23">
      <w:pPr>
        <w:pStyle w:val="Body"/>
        <w:numPr>
          <w:ilvl w:val="0"/>
          <w:numId w:val="33"/>
        </w:numPr>
        <w:spacing w:after="0" w:line="360" w:lineRule="auto"/>
        <w:ind w:left="284" w:hanging="284"/>
        <w:rPr>
          <w:rFonts w:ascii="Arial" w:hAnsi="Arial" w:cs="Arial"/>
          <w:lang w:val="en-ID"/>
        </w:rPr>
      </w:pPr>
      <w:r w:rsidRPr="00537EF1">
        <w:rPr>
          <w:rFonts w:ascii="Arial" w:hAnsi="Arial" w:cs="Arial"/>
          <w:lang w:val="en-ID"/>
        </w:rPr>
        <w:t xml:space="preserve">Ayad Y, </w:t>
      </w:r>
      <w:proofErr w:type="spellStart"/>
      <w:r w:rsidRPr="00537EF1">
        <w:rPr>
          <w:rFonts w:ascii="Arial" w:hAnsi="Arial" w:cs="Arial"/>
          <w:lang w:val="en-ID"/>
        </w:rPr>
        <w:t>Almamoury</w:t>
      </w:r>
      <w:proofErr w:type="spellEnd"/>
      <w:r w:rsidRPr="00537EF1">
        <w:rPr>
          <w:rFonts w:ascii="Arial" w:hAnsi="Arial" w:cs="Arial"/>
          <w:lang w:val="en-ID"/>
        </w:rPr>
        <w:t xml:space="preserve"> A. Ventricular Septal Defect. </w:t>
      </w:r>
      <w:r w:rsidRPr="00537EF1">
        <w:rPr>
          <w:rFonts w:ascii="Arial" w:hAnsi="Arial" w:cs="Arial"/>
          <w:i/>
          <w:iCs/>
          <w:lang w:val="en-ID"/>
        </w:rPr>
        <w:t>Clinical and Surgical Aspects of Congenital Heart Diseases: Text and Study Guide.</w:t>
      </w:r>
      <w:r w:rsidRPr="00537EF1">
        <w:rPr>
          <w:rFonts w:ascii="Arial" w:hAnsi="Arial" w:cs="Arial"/>
          <w:lang w:val="en-ID"/>
        </w:rPr>
        <w:t xml:space="preserve"> 2024 Apr 14;21–4.</w:t>
      </w:r>
    </w:p>
    <w:p w14:paraId="707BC51D" w14:textId="77777777" w:rsidR="007C0E23" w:rsidRPr="00537EF1" w:rsidRDefault="007C0E23" w:rsidP="007C0E23">
      <w:pPr>
        <w:pStyle w:val="Body"/>
        <w:spacing w:after="0" w:line="360" w:lineRule="auto"/>
        <w:ind w:left="284"/>
        <w:rPr>
          <w:rFonts w:ascii="Arial" w:hAnsi="Arial" w:cs="Arial"/>
          <w:lang w:val="en-ID"/>
        </w:rPr>
      </w:pPr>
    </w:p>
    <w:p w14:paraId="777CE0F1" w14:textId="6F64C5B0" w:rsidR="00537EF1" w:rsidRDefault="00537EF1" w:rsidP="007C0E23">
      <w:pPr>
        <w:pStyle w:val="Body"/>
        <w:numPr>
          <w:ilvl w:val="0"/>
          <w:numId w:val="33"/>
        </w:numPr>
        <w:spacing w:after="0" w:line="360" w:lineRule="auto"/>
        <w:ind w:left="284" w:hanging="284"/>
        <w:rPr>
          <w:rFonts w:ascii="Arial" w:hAnsi="Arial" w:cs="Arial"/>
          <w:lang w:val="en-ID"/>
        </w:rPr>
      </w:pPr>
      <w:proofErr w:type="spellStart"/>
      <w:r w:rsidRPr="00537EF1">
        <w:rPr>
          <w:rFonts w:ascii="Arial" w:hAnsi="Arial" w:cs="Arial"/>
          <w:lang w:val="en-ID"/>
        </w:rPr>
        <w:t>Eldin</w:t>
      </w:r>
      <w:proofErr w:type="spellEnd"/>
      <w:r w:rsidRPr="00537EF1">
        <w:rPr>
          <w:rFonts w:ascii="Arial" w:hAnsi="Arial" w:cs="Arial"/>
          <w:lang w:val="en-ID"/>
        </w:rPr>
        <w:t xml:space="preserve"> DA, </w:t>
      </w:r>
      <w:proofErr w:type="spellStart"/>
      <w:r w:rsidRPr="00537EF1">
        <w:rPr>
          <w:rFonts w:ascii="Arial" w:hAnsi="Arial" w:cs="Arial"/>
          <w:lang w:val="en-ID"/>
        </w:rPr>
        <w:t>Roshdy</w:t>
      </w:r>
      <w:proofErr w:type="spellEnd"/>
      <w:r w:rsidRPr="00537EF1">
        <w:rPr>
          <w:rFonts w:ascii="Arial" w:hAnsi="Arial" w:cs="Arial"/>
          <w:lang w:val="en-ID"/>
        </w:rPr>
        <w:t xml:space="preserve"> AM, </w:t>
      </w:r>
      <w:proofErr w:type="spellStart"/>
      <w:r w:rsidRPr="00537EF1">
        <w:rPr>
          <w:rFonts w:ascii="Arial" w:hAnsi="Arial" w:cs="Arial"/>
          <w:lang w:val="en-ID"/>
        </w:rPr>
        <w:t>Atteya</w:t>
      </w:r>
      <w:proofErr w:type="spellEnd"/>
      <w:r w:rsidRPr="00537EF1">
        <w:rPr>
          <w:rFonts w:ascii="Arial" w:hAnsi="Arial" w:cs="Arial"/>
          <w:lang w:val="en-ID"/>
        </w:rPr>
        <w:t xml:space="preserve"> HM, Magdy H, Elsayed MH. Immediate and short-term outcome post VSD closure using </w:t>
      </w:r>
      <w:proofErr w:type="spellStart"/>
      <w:r w:rsidRPr="00537EF1">
        <w:rPr>
          <w:rFonts w:ascii="Arial" w:hAnsi="Arial" w:cs="Arial"/>
          <w:lang w:val="en-ID"/>
        </w:rPr>
        <w:t>nitocclud</w:t>
      </w:r>
      <w:proofErr w:type="spellEnd"/>
      <w:r w:rsidRPr="00537EF1">
        <w:rPr>
          <w:rFonts w:ascii="Arial" w:hAnsi="Arial" w:cs="Arial"/>
          <w:lang w:val="en-ID"/>
        </w:rPr>
        <w:t xml:space="preserve"> PFM coil: a single </w:t>
      </w:r>
      <w:proofErr w:type="spellStart"/>
      <w:r w:rsidRPr="00537EF1">
        <w:rPr>
          <w:rFonts w:ascii="Arial" w:hAnsi="Arial" w:cs="Arial"/>
          <w:lang w:val="en-ID"/>
        </w:rPr>
        <w:t>center</w:t>
      </w:r>
      <w:proofErr w:type="spellEnd"/>
      <w:r w:rsidRPr="00537EF1">
        <w:rPr>
          <w:rFonts w:ascii="Arial" w:hAnsi="Arial" w:cs="Arial"/>
          <w:lang w:val="en-ID"/>
        </w:rPr>
        <w:t xml:space="preserve"> experience. </w:t>
      </w:r>
      <w:r w:rsidRPr="00537EF1">
        <w:rPr>
          <w:rFonts w:ascii="Arial" w:hAnsi="Arial" w:cs="Arial"/>
          <w:i/>
          <w:iCs/>
          <w:lang w:val="en-ID"/>
        </w:rPr>
        <w:t xml:space="preserve">Prog </w:t>
      </w:r>
      <w:proofErr w:type="spellStart"/>
      <w:r w:rsidRPr="00537EF1">
        <w:rPr>
          <w:rFonts w:ascii="Arial" w:hAnsi="Arial" w:cs="Arial"/>
          <w:i/>
          <w:iCs/>
          <w:lang w:val="en-ID"/>
        </w:rPr>
        <w:t>Pediatr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w:t>
      </w:r>
      <w:r w:rsidRPr="00537EF1">
        <w:rPr>
          <w:rFonts w:ascii="Arial" w:hAnsi="Arial" w:cs="Arial"/>
          <w:lang w:val="en-ID"/>
        </w:rPr>
        <w:t xml:space="preserve"> 2019 Jun 1;53:37–41.</w:t>
      </w:r>
    </w:p>
    <w:p w14:paraId="523D654D" w14:textId="77777777" w:rsidR="00537EF1" w:rsidRPr="00537EF1" w:rsidRDefault="00537EF1" w:rsidP="007C0E23">
      <w:pPr>
        <w:pStyle w:val="Body"/>
        <w:spacing w:after="0" w:line="360" w:lineRule="auto"/>
        <w:ind w:left="284" w:hanging="284"/>
        <w:rPr>
          <w:rFonts w:ascii="Arial" w:hAnsi="Arial" w:cs="Arial"/>
          <w:lang w:val="en-ID"/>
        </w:rPr>
      </w:pPr>
    </w:p>
    <w:p w14:paraId="0CCE7597" w14:textId="18642C7E" w:rsidR="00537EF1" w:rsidRDefault="00537EF1" w:rsidP="007C0E23">
      <w:pPr>
        <w:pStyle w:val="Body"/>
        <w:numPr>
          <w:ilvl w:val="0"/>
          <w:numId w:val="33"/>
        </w:numPr>
        <w:spacing w:after="0" w:line="360" w:lineRule="auto"/>
        <w:ind w:left="284" w:hanging="284"/>
        <w:rPr>
          <w:rFonts w:ascii="Arial" w:hAnsi="Arial" w:cs="Arial"/>
          <w:lang w:val="en-ID"/>
        </w:rPr>
      </w:pPr>
      <w:r w:rsidRPr="00537EF1">
        <w:rPr>
          <w:rFonts w:ascii="Arial" w:hAnsi="Arial" w:cs="Arial"/>
          <w:lang w:val="en-ID"/>
        </w:rPr>
        <w:t xml:space="preserve">Ghosh S, Sridhar A, Solomon N, </w:t>
      </w:r>
      <w:proofErr w:type="spellStart"/>
      <w:r w:rsidRPr="00537EF1">
        <w:rPr>
          <w:rFonts w:ascii="Arial" w:hAnsi="Arial" w:cs="Arial"/>
          <w:lang w:val="en-ID"/>
        </w:rPr>
        <w:t>Sivaprakasham</w:t>
      </w:r>
      <w:proofErr w:type="spellEnd"/>
      <w:r w:rsidRPr="00537EF1">
        <w:rPr>
          <w:rFonts w:ascii="Arial" w:hAnsi="Arial" w:cs="Arial"/>
          <w:lang w:val="en-ID"/>
        </w:rPr>
        <w:t xml:space="preserve"> M. Transcatheter closure of ventricular septal defect in aortic valve prolapse and aortic regurgitation. </w:t>
      </w:r>
      <w:r w:rsidRPr="00537EF1">
        <w:rPr>
          <w:rFonts w:ascii="Arial" w:hAnsi="Arial" w:cs="Arial"/>
          <w:i/>
          <w:iCs/>
          <w:lang w:val="en-ID"/>
        </w:rPr>
        <w:t>Indian Heart J.</w:t>
      </w:r>
      <w:r w:rsidRPr="00537EF1">
        <w:rPr>
          <w:rFonts w:ascii="Arial" w:hAnsi="Arial" w:cs="Arial"/>
          <w:lang w:val="en-ID"/>
        </w:rPr>
        <w:t xml:space="preserve"> 2018 Jul 1;70(4):528.</w:t>
      </w:r>
    </w:p>
    <w:p w14:paraId="560B985E" w14:textId="77777777" w:rsidR="00537EF1" w:rsidRPr="00537EF1" w:rsidRDefault="00537EF1" w:rsidP="007C0E23">
      <w:pPr>
        <w:pStyle w:val="Body"/>
        <w:spacing w:after="0" w:line="360" w:lineRule="auto"/>
        <w:ind w:left="284" w:hanging="284"/>
        <w:rPr>
          <w:rFonts w:ascii="Arial" w:hAnsi="Arial" w:cs="Arial"/>
          <w:lang w:val="en-ID"/>
        </w:rPr>
      </w:pPr>
    </w:p>
    <w:p w14:paraId="6781D508" w14:textId="15E129A4" w:rsidR="00537EF1" w:rsidRDefault="00537EF1" w:rsidP="007C0E23">
      <w:pPr>
        <w:pStyle w:val="Body"/>
        <w:numPr>
          <w:ilvl w:val="0"/>
          <w:numId w:val="33"/>
        </w:numPr>
        <w:spacing w:after="0" w:line="360" w:lineRule="auto"/>
        <w:ind w:left="284" w:hanging="284"/>
        <w:rPr>
          <w:rFonts w:ascii="Arial" w:hAnsi="Arial" w:cs="Arial"/>
          <w:lang w:val="en-ID"/>
        </w:rPr>
      </w:pPr>
      <w:r w:rsidRPr="00537EF1">
        <w:rPr>
          <w:rFonts w:ascii="Arial" w:hAnsi="Arial" w:cs="Arial"/>
          <w:lang w:val="en-ID"/>
        </w:rPr>
        <w:t xml:space="preserve">Hu S, Yang Y, Wu Q, </w:t>
      </w:r>
      <w:proofErr w:type="spellStart"/>
      <w:r w:rsidRPr="00537EF1">
        <w:rPr>
          <w:rFonts w:ascii="Arial" w:hAnsi="Arial" w:cs="Arial"/>
          <w:lang w:val="en-ID"/>
        </w:rPr>
        <w:t>Rwakaryebe</w:t>
      </w:r>
      <w:proofErr w:type="spellEnd"/>
      <w:r w:rsidRPr="00537EF1">
        <w:rPr>
          <w:rFonts w:ascii="Arial" w:hAnsi="Arial" w:cs="Arial"/>
          <w:lang w:val="en-ID"/>
        </w:rPr>
        <w:t xml:space="preserve"> M, Liu Z, Deng Y, et al. Results of two different approaches to closure of subaortic ventricular septal defects in children. </w:t>
      </w:r>
      <w:proofErr w:type="spellStart"/>
      <w:r w:rsidRPr="00537EF1">
        <w:rPr>
          <w:rFonts w:ascii="Arial" w:hAnsi="Arial" w:cs="Arial"/>
          <w:i/>
          <w:iCs/>
          <w:lang w:val="en-ID"/>
        </w:rPr>
        <w:t>Eur</w:t>
      </w:r>
      <w:proofErr w:type="spellEnd"/>
      <w:r w:rsidRPr="00537EF1">
        <w:rPr>
          <w:rFonts w:ascii="Arial" w:hAnsi="Arial" w:cs="Arial"/>
          <w:i/>
          <w:iCs/>
          <w:lang w:val="en-ID"/>
        </w:rPr>
        <w:t xml:space="preserve"> J </w:t>
      </w:r>
      <w:proofErr w:type="spellStart"/>
      <w:r w:rsidRPr="00537EF1">
        <w:rPr>
          <w:rFonts w:ascii="Arial" w:hAnsi="Arial" w:cs="Arial"/>
          <w:i/>
          <w:iCs/>
          <w:lang w:val="en-ID"/>
        </w:rPr>
        <w:t>Cardiothorac</w:t>
      </w:r>
      <w:proofErr w:type="spellEnd"/>
      <w:r w:rsidRPr="00537EF1">
        <w:rPr>
          <w:rFonts w:ascii="Arial" w:hAnsi="Arial" w:cs="Arial"/>
          <w:i/>
          <w:iCs/>
          <w:lang w:val="en-ID"/>
        </w:rPr>
        <w:t xml:space="preserve"> Surg.</w:t>
      </w:r>
      <w:r w:rsidRPr="00537EF1">
        <w:rPr>
          <w:rFonts w:ascii="Arial" w:hAnsi="Arial" w:cs="Arial"/>
          <w:lang w:val="en-ID"/>
        </w:rPr>
        <w:t xml:space="preserve"> 2014 Oct 1;46(4):648–53.</w:t>
      </w:r>
    </w:p>
    <w:p w14:paraId="7A0723BC" w14:textId="77777777" w:rsidR="00537EF1" w:rsidRPr="00537EF1" w:rsidRDefault="00537EF1" w:rsidP="007C0E23">
      <w:pPr>
        <w:pStyle w:val="Body"/>
        <w:spacing w:after="0" w:line="360" w:lineRule="auto"/>
        <w:ind w:left="284" w:hanging="284"/>
        <w:rPr>
          <w:rFonts w:ascii="Arial" w:hAnsi="Arial" w:cs="Arial"/>
          <w:lang w:val="en-ID"/>
        </w:rPr>
      </w:pPr>
    </w:p>
    <w:p w14:paraId="7AD67011" w14:textId="7EF2D51C" w:rsidR="00537EF1" w:rsidRDefault="00537EF1" w:rsidP="007C0E23">
      <w:pPr>
        <w:pStyle w:val="Body"/>
        <w:numPr>
          <w:ilvl w:val="0"/>
          <w:numId w:val="33"/>
        </w:numPr>
        <w:spacing w:after="0" w:line="360" w:lineRule="auto"/>
        <w:ind w:left="284" w:hanging="284"/>
        <w:rPr>
          <w:rFonts w:ascii="Arial" w:hAnsi="Arial" w:cs="Arial"/>
          <w:lang w:val="en-ID"/>
        </w:rPr>
      </w:pPr>
      <w:r w:rsidRPr="00537EF1">
        <w:rPr>
          <w:rFonts w:ascii="Arial" w:hAnsi="Arial" w:cs="Arial"/>
          <w:lang w:val="en-ID"/>
        </w:rPr>
        <w:t xml:space="preserve">Jameel AA, </w:t>
      </w:r>
      <w:proofErr w:type="spellStart"/>
      <w:r w:rsidRPr="00537EF1">
        <w:rPr>
          <w:rFonts w:ascii="Arial" w:hAnsi="Arial" w:cs="Arial"/>
          <w:lang w:val="en-ID"/>
        </w:rPr>
        <w:t>Arfi</w:t>
      </w:r>
      <w:proofErr w:type="spellEnd"/>
      <w:r w:rsidRPr="00537EF1">
        <w:rPr>
          <w:rFonts w:ascii="Arial" w:hAnsi="Arial" w:cs="Arial"/>
          <w:lang w:val="en-ID"/>
        </w:rPr>
        <w:t xml:space="preserve"> AM, </w:t>
      </w:r>
      <w:proofErr w:type="spellStart"/>
      <w:r w:rsidRPr="00537EF1">
        <w:rPr>
          <w:rFonts w:ascii="Arial" w:hAnsi="Arial" w:cs="Arial"/>
          <w:lang w:val="en-ID"/>
        </w:rPr>
        <w:t>Arif</w:t>
      </w:r>
      <w:proofErr w:type="spellEnd"/>
      <w:r w:rsidRPr="00537EF1">
        <w:rPr>
          <w:rFonts w:ascii="Arial" w:hAnsi="Arial" w:cs="Arial"/>
          <w:lang w:val="en-ID"/>
        </w:rPr>
        <w:t xml:space="preserve"> H, Amjad K, Omar GM. Retrograde approach for device closure of muscular ventricular septal defects in children and adolescents, using the </w:t>
      </w:r>
      <w:proofErr w:type="spellStart"/>
      <w:r w:rsidRPr="00537EF1">
        <w:rPr>
          <w:rFonts w:ascii="Arial" w:hAnsi="Arial" w:cs="Arial"/>
          <w:lang w:val="en-ID"/>
        </w:rPr>
        <w:t>Amplatzer</w:t>
      </w:r>
      <w:proofErr w:type="spellEnd"/>
      <w:r w:rsidRPr="00537EF1">
        <w:rPr>
          <w:rFonts w:ascii="Arial" w:hAnsi="Arial" w:cs="Arial"/>
          <w:lang w:val="en-ID"/>
        </w:rPr>
        <w:t xml:space="preserve"> muscular ventricular septal defect </w:t>
      </w:r>
      <w:proofErr w:type="spellStart"/>
      <w:r w:rsidRPr="00537EF1">
        <w:rPr>
          <w:rFonts w:ascii="Arial" w:hAnsi="Arial" w:cs="Arial"/>
          <w:lang w:val="en-ID"/>
        </w:rPr>
        <w:t>occluder</w:t>
      </w:r>
      <w:proofErr w:type="spellEnd"/>
      <w:r w:rsidRPr="00537EF1">
        <w:rPr>
          <w:rFonts w:ascii="Arial" w:hAnsi="Arial" w:cs="Arial"/>
          <w:lang w:val="en-ID"/>
        </w:rPr>
        <w:t xml:space="preserve">. </w:t>
      </w:r>
      <w:proofErr w:type="spellStart"/>
      <w:r w:rsidRPr="00537EF1">
        <w:rPr>
          <w:rFonts w:ascii="Arial" w:hAnsi="Arial" w:cs="Arial"/>
          <w:i/>
          <w:iCs/>
          <w:lang w:val="en-ID"/>
        </w:rPr>
        <w:t>Pediatr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w:t>
      </w:r>
      <w:r w:rsidRPr="00537EF1">
        <w:rPr>
          <w:rFonts w:ascii="Arial" w:hAnsi="Arial" w:cs="Arial"/>
          <w:lang w:val="en-ID"/>
        </w:rPr>
        <w:t xml:space="preserve"> 2006 Dec;27(6):720–8.</w:t>
      </w:r>
    </w:p>
    <w:p w14:paraId="44E69014" w14:textId="77777777" w:rsidR="00537EF1" w:rsidRPr="00537EF1" w:rsidRDefault="00537EF1" w:rsidP="007C0E23">
      <w:pPr>
        <w:pStyle w:val="Body"/>
        <w:spacing w:after="0" w:line="360" w:lineRule="auto"/>
        <w:ind w:left="284" w:hanging="284"/>
        <w:rPr>
          <w:rFonts w:ascii="Arial" w:hAnsi="Arial" w:cs="Arial"/>
          <w:lang w:val="en-ID"/>
        </w:rPr>
      </w:pPr>
    </w:p>
    <w:p w14:paraId="0F96260E" w14:textId="5C322150" w:rsidR="00537EF1" w:rsidRDefault="00537EF1" w:rsidP="007C0E23">
      <w:pPr>
        <w:pStyle w:val="Body"/>
        <w:numPr>
          <w:ilvl w:val="0"/>
          <w:numId w:val="33"/>
        </w:numPr>
        <w:spacing w:after="0" w:line="360" w:lineRule="auto"/>
        <w:ind w:left="284" w:hanging="284"/>
        <w:rPr>
          <w:rFonts w:ascii="Arial" w:hAnsi="Arial" w:cs="Arial"/>
          <w:lang w:val="en-ID"/>
        </w:rPr>
      </w:pPr>
      <w:proofErr w:type="spellStart"/>
      <w:r w:rsidRPr="00537EF1">
        <w:rPr>
          <w:rFonts w:ascii="Arial" w:hAnsi="Arial" w:cs="Arial"/>
          <w:lang w:val="en-ID"/>
        </w:rPr>
        <w:t>Prêtre</w:t>
      </w:r>
      <w:proofErr w:type="spellEnd"/>
      <w:r w:rsidRPr="00537EF1">
        <w:rPr>
          <w:rFonts w:ascii="Arial" w:hAnsi="Arial" w:cs="Arial"/>
          <w:lang w:val="en-ID"/>
        </w:rPr>
        <w:t xml:space="preserve"> R. Subaortic ventricular septal defect closure: is the principle of harmony for a longer function no longer valid? </w:t>
      </w:r>
      <w:proofErr w:type="spellStart"/>
      <w:r w:rsidRPr="00537EF1">
        <w:rPr>
          <w:rFonts w:ascii="Arial" w:hAnsi="Arial" w:cs="Arial"/>
          <w:i/>
          <w:iCs/>
          <w:lang w:val="en-ID"/>
        </w:rPr>
        <w:t>Eur</w:t>
      </w:r>
      <w:proofErr w:type="spellEnd"/>
      <w:r w:rsidRPr="00537EF1">
        <w:rPr>
          <w:rFonts w:ascii="Arial" w:hAnsi="Arial" w:cs="Arial"/>
          <w:i/>
          <w:iCs/>
          <w:lang w:val="en-ID"/>
        </w:rPr>
        <w:t xml:space="preserve"> J </w:t>
      </w:r>
      <w:proofErr w:type="spellStart"/>
      <w:r w:rsidRPr="00537EF1">
        <w:rPr>
          <w:rFonts w:ascii="Arial" w:hAnsi="Arial" w:cs="Arial"/>
          <w:i/>
          <w:iCs/>
          <w:lang w:val="en-ID"/>
        </w:rPr>
        <w:t>Cardiothorac</w:t>
      </w:r>
      <w:proofErr w:type="spellEnd"/>
      <w:r w:rsidRPr="00537EF1">
        <w:rPr>
          <w:rFonts w:ascii="Arial" w:hAnsi="Arial" w:cs="Arial"/>
          <w:i/>
          <w:iCs/>
          <w:lang w:val="en-ID"/>
        </w:rPr>
        <w:t xml:space="preserve"> Surg.</w:t>
      </w:r>
      <w:r w:rsidRPr="00537EF1">
        <w:rPr>
          <w:rFonts w:ascii="Arial" w:hAnsi="Arial" w:cs="Arial"/>
          <w:lang w:val="en-ID"/>
        </w:rPr>
        <w:t xml:space="preserve"> 2014 Oct 1;46(4):654–5.</w:t>
      </w:r>
    </w:p>
    <w:p w14:paraId="0A34CFEF" w14:textId="77777777" w:rsidR="00537EF1" w:rsidRPr="00537EF1" w:rsidRDefault="00537EF1" w:rsidP="007C0E23">
      <w:pPr>
        <w:pStyle w:val="Body"/>
        <w:spacing w:after="0" w:line="360" w:lineRule="auto"/>
        <w:ind w:left="284" w:hanging="284"/>
        <w:rPr>
          <w:rFonts w:ascii="Arial" w:hAnsi="Arial" w:cs="Arial"/>
          <w:lang w:val="en-ID"/>
        </w:rPr>
      </w:pPr>
    </w:p>
    <w:p w14:paraId="0E3E8D87" w14:textId="46DEA1B1" w:rsidR="00537EF1" w:rsidRDefault="00537EF1" w:rsidP="007C0E23">
      <w:pPr>
        <w:pStyle w:val="Body"/>
        <w:numPr>
          <w:ilvl w:val="0"/>
          <w:numId w:val="33"/>
        </w:numPr>
        <w:spacing w:after="0" w:line="360" w:lineRule="auto"/>
        <w:ind w:left="284" w:hanging="284"/>
        <w:rPr>
          <w:rFonts w:ascii="Arial" w:hAnsi="Arial" w:cs="Arial"/>
          <w:lang w:val="en-ID"/>
        </w:rPr>
      </w:pPr>
      <w:proofErr w:type="spellStart"/>
      <w:r w:rsidRPr="00537EF1">
        <w:rPr>
          <w:rFonts w:ascii="Arial" w:hAnsi="Arial" w:cs="Arial"/>
          <w:lang w:val="en-ID"/>
        </w:rPr>
        <w:t>Pyeritz</w:t>
      </w:r>
      <w:proofErr w:type="spellEnd"/>
      <w:r w:rsidRPr="00537EF1">
        <w:rPr>
          <w:rFonts w:ascii="Arial" w:hAnsi="Arial" w:cs="Arial"/>
          <w:lang w:val="en-ID"/>
        </w:rPr>
        <w:t xml:space="preserve"> RE, Korf BR. Preface. </w:t>
      </w:r>
      <w:r w:rsidRPr="00537EF1">
        <w:rPr>
          <w:rFonts w:ascii="Arial" w:hAnsi="Arial" w:cs="Arial"/>
          <w:i/>
          <w:iCs/>
          <w:lang w:val="en-ID"/>
        </w:rPr>
        <w:t xml:space="preserve">Emery and </w:t>
      </w:r>
      <w:proofErr w:type="spellStart"/>
      <w:r w:rsidRPr="00537EF1">
        <w:rPr>
          <w:rFonts w:ascii="Arial" w:hAnsi="Arial" w:cs="Arial"/>
          <w:i/>
          <w:iCs/>
          <w:lang w:val="en-ID"/>
        </w:rPr>
        <w:t>Rimoin’s</w:t>
      </w:r>
      <w:proofErr w:type="spellEnd"/>
      <w:r w:rsidRPr="00537EF1">
        <w:rPr>
          <w:rFonts w:ascii="Arial" w:hAnsi="Arial" w:cs="Arial"/>
          <w:i/>
          <w:iCs/>
          <w:lang w:val="en-ID"/>
        </w:rPr>
        <w:t xml:space="preserve"> Principles and Practice of Medical Genetics.</w:t>
      </w:r>
      <w:r w:rsidRPr="00537EF1">
        <w:rPr>
          <w:rFonts w:ascii="Arial" w:hAnsi="Arial" w:cs="Arial"/>
          <w:lang w:val="en-ID"/>
        </w:rPr>
        <w:t xml:space="preserve"> 2013 Jan 1</w:t>
      </w:r>
    </w:p>
    <w:p w14:paraId="21858C0B" w14:textId="77777777" w:rsidR="00537EF1" w:rsidRPr="00537EF1" w:rsidRDefault="00537EF1" w:rsidP="007C0E23">
      <w:pPr>
        <w:pStyle w:val="Body"/>
        <w:spacing w:after="0" w:line="360" w:lineRule="auto"/>
        <w:ind w:left="284" w:hanging="284"/>
        <w:rPr>
          <w:rFonts w:ascii="Arial" w:hAnsi="Arial" w:cs="Arial"/>
          <w:lang w:val="en-ID"/>
        </w:rPr>
      </w:pPr>
    </w:p>
    <w:p w14:paraId="10C82E7E" w14:textId="65EDEB4D" w:rsidR="00537EF1" w:rsidRDefault="00537EF1" w:rsidP="007C0E23">
      <w:pPr>
        <w:pStyle w:val="Body"/>
        <w:numPr>
          <w:ilvl w:val="0"/>
          <w:numId w:val="33"/>
        </w:numPr>
        <w:spacing w:after="0" w:line="360" w:lineRule="auto"/>
        <w:ind w:left="284" w:hanging="284"/>
        <w:rPr>
          <w:rFonts w:ascii="Arial" w:hAnsi="Arial" w:cs="Arial"/>
          <w:lang w:val="en-ID"/>
        </w:rPr>
      </w:pPr>
      <w:r w:rsidRPr="00537EF1">
        <w:rPr>
          <w:rFonts w:ascii="Arial" w:hAnsi="Arial" w:cs="Arial"/>
          <w:lang w:val="en-ID"/>
        </w:rPr>
        <w:t xml:space="preserve">Saxena A, </w:t>
      </w:r>
      <w:proofErr w:type="spellStart"/>
      <w:r w:rsidRPr="00537EF1">
        <w:rPr>
          <w:rFonts w:ascii="Arial" w:hAnsi="Arial" w:cs="Arial"/>
          <w:lang w:val="en-ID"/>
        </w:rPr>
        <w:t>Relan</w:t>
      </w:r>
      <w:proofErr w:type="spellEnd"/>
      <w:r w:rsidRPr="00537EF1">
        <w:rPr>
          <w:rFonts w:ascii="Arial" w:hAnsi="Arial" w:cs="Arial"/>
          <w:lang w:val="en-ID"/>
        </w:rPr>
        <w:t xml:space="preserve"> J, Agarwal R, </w:t>
      </w:r>
      <w:proofErr w:type="spellStart"/>
      <w:r w:rsidRPr="00537EF1">
        <w:rPr>
          <w:rFonts w:ascii="Arial" w:hAnsi="Arial" w:cs="Arial"/>
          <w:lang w:val="en-ID"/>
        </w:rPr>
        <w:t>Awasthy</w:t>
      </w:r>
      <w:proofErr w:type="spellEnd"/>
      <w:r w:rsidRPr="00537EF1">
        <w:rPr>
          <w:rFonts w:ascii="Arial" w:hAnsi="Arial" w:cs="Arial"/>
          <w:lang w:val="en-ID"/>
        </w:rPr>
        <w:t xml:space="preserve"> N, Azad S, Chakrabarty M, et al. Indian guidelines for indications and timing of intervention for common congenital heart diseases: Revised and updated consensus statement of the Working group on management of congenital heart diseases. </w:t>
      </w:r>
      <w:r w:rsidRPr="00537EF1">
        <w:rPr>
          <w:rFonts w:ascii="Arial" w:hAnsi="Arial" w:cs="Arial"/>
          <w:i/>
          <w:iCs/>
          <w:lang w:val="en-ID"/>
        </w:rPr>
        <w:t xml:space="preserve">Ann </w:t>
      </w:r>
      <w:proofErr w:type="spellStart"/>
      <w:r w:rsidRPr="00537EF1">
        <w:rPr>
          <w:rFonts w:ascii="Arial" w:hAnsi="Arial" w:cs="Arial"/>
          <w:i/>
          <w:iCs/>
          <w:lang w:val="en-ID"/>
        </w:rPr>
        <w:t>Pediatr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w:t>
      </w:r>
      <w:r w:rsidRPr="00537EF1">
        <w:rPr>
          <w:rFonts w:ascii="Arial" w:hAnsi="Arial" w:cs="Arial"/>
          <w:lang w:val="en-ID"/>
        </w:rPr>
        <w:t xml:space="preserve"> 2019 Sep 1;12(3):254–86.</w:t>
      </w:r>
    </w:p>
    <w:p w14:paraId="7368C74E" w14:textId="77777777" w:rsidR="00537EF1" w:rsidRPr="00537EF1" w:rsidRDefault="00537EF1" w:rsidP="007C0E23">
      <w:pPr>
        <w:pStyle w:val="Body"/>
        <w:spacing w:after="0" w:line="360" w:lineRule="auto"/>
        <w:ind w:left="284" w:hanging="284"/>
        <w:rPr>
          <w:rFonts w:ascii="Arial" w:hAnsi="Arial" w:cs="Arial"/>
          <w:lang w:val="en-ID"/>
        </w:rPr>
      </w:pPr>
    </w:p>
    <w:p w14:paraId="6AAC3EF5" w14:textId="15B2EF7A" w:rsidR="00537EF1" w:rsidRDefault="00537EF1" w:rsidP="007C0E23">
      <w:pPr>
        <w:pStyle w:val="Body"/>
        <w:numPr>
          <w:ilvl w:val="0"/>
          <w:numId w:val="33"/>
        </w:numPr>
        <w:spacing w:after="0" w:line="360" w:lineRule="auto"/>
        <w:ind w:left="284" w:hanging="284"/>
        <w:rPr>
          <w:rFonts w:ascii="Arial" w:hAnsi="Arial" w:cs="Arial"/>
          <w:lang w:val="en-ID"/>
        </w:rPr>
      </w:pPr>
      <w:proofErr w:type="spellStart"/>
      <w:r w:rsidRPr="00537EF1">
        <w:rPr>
          <w:rFonts w:ascii="Arial" w:hAnsi="Arial" w:cs="Arial"/>
          <w:lang w:val="en-ID"/>
        </w:rPr>
        <w:t>Shyu</w:t>
      </w:r>
      <w:proofErr w:type="spellEnd"/>
      <w:r w:rsidRPr="00537EF1">
        <w:rPr>
          <w:rFonts w:ascii="Arial" w:hAnsi="Arial" w:cs="Arial"/>
          <w:lang w:val="en-ID"/>
        </w:rPr>
        <w:t xml:space="preserve"> TC, Lin MC, Quek YW, Lin SJ, Saw HP, Jan SL, et al. Initial experience of transcatheter closure of </w:t>
      </w:r>
      <w:proofErr w:type="spellStart"/>
      <w:r w:rsidRPr="00537EF1">
        <w:rPr>
          <w:rFonts w:ascii="Arial" w:hAnsi="Arial" w:cs="Arial"/>
          <w:lang w:val="en-ID"/>
        </w:rPr>
        <w:t>subarterial</w:t>
      </w:r>
      <w:proofErr w:type="spellEnd"/>
      <w:r w:rsidRPr="00537EF1">
        <w:rPr>
          <w:rFonts w:ascii="Arial" w:hAnsi="Arial" w:cs="Arial"/>
          <w:lang w:val="en-ID"/>
        </w:rPr>
        <w:t xml:space="preserve"> VSD with the </w:t>
      </w:r>
      <w:proofErr w:type="spellStart"/>
      <w:r w:rsidRPr="00537EF1">
        <w:rPr>
          <w:rFonts w:ascii="Arial" w:hAnsi="Arial" w:cs="Arial"/>
          <w:lang w:val="en-ID"/>
        </w:rPr>
        <w:t>Amplatzer</w:t>
      </w:r>
      <w:proofErr w:type="spellEnd"/>
      <w:r w:rsidRPr="00537EF1">
        <w:rPr>
          <w:rFonts w:ascii="Arial" w:hAnsi="Arial" w:cs="Arial"/>
          <w:lang w:val="en-ID"/>
        </w:rPr>
        <w:t xml:space="preserve"> duct </w:t>
      </w:r>
      <w:proofErr w:type="spellStart"/>
      <w:r w:rsidRPr="00537EF1">
        <w:rPr>
          <w:rFonts w:ascii="Arial" w:hAnsi="Arial" w:cs="Arial"/>
          <w:lang w:val="en-ID"/>
        </w:rPr>
        <w:t>occluder</w:t>
      </w:r>
      <w:proofErr w:type="spellEnd"/>
      <w:r w:rsidRPr="00537EF1">
        <w:rPr>
          <w:rFonts w:ascii="Arial" w:hAnsi="Arial" w:cs="Arial"/>
          <w:lang w:val="en-ID"/>
        </w:rPr>
        <w:t xml:space="preserve">. </w:t>
      </w:r>
      <w:r w:rsidRPr="00537EF1">
        <w:rPr>
          <w:rFonts w:ascii="Arial" w:hAnsi="Arial" w:cs="Arial"/>
          <w:i/>
          <w:iCs/>
          <w:lang w:val="en-ID"/>
        </w:rPr>
        <w:t>J Chin Med Assoc.</w:t>
      </w:r>
      <w:r w:rsidRPr="00537EF1">
        <w:rPr>
          <w:rFonts w:ascii="Arial" w:hAnsi="Arial" w:cs="Arial"/>
          <w:lang w:val="en-ID"/>
        </w:rPr>
        <w:t xml:space="preserve"> 2017 Aug 1;80(8):487–91.</w:t>
      </w:r>
    </w:p>
    <w:p w14:paraId="0C99E3C8" w14:textId="77777777" w:rsidR="00537EF1" w:rsidRPr="00537EF1" w:rsidRDefault="00537EF1" w:rsidP="007C0E23">
      <w:pPr>
        <w:pStyle w:val="Body"/>
        <w:spacing w:after="0" w:line="360" w:lineRule="auto"/>
        <w:ind w:left="284" w:hanging="284"/>
        <w:rPr>
          <w:rFonts w:ascii="Arial" w:hAnsi="Arial" w:cs="Arial"/>
          <w:lang w:val="en-ID"/>
        </w:rPr>
      </w:pPr>
    </w:p>
    <w:p w14:paraId="6CF83D21" w14:textId="461C831A" w:rsidR="00537EF1" w:rsidRDefault="00537EF1" w:rsidP="007C0E23">
      <w:pPr>
        <w:pStyle w:val="Body"/>
        <w:numPr>
          <w:ilvl w:val="0"/>
          <w:numId w:val="33"/>
        </w:numPr>
        <w:spacing w:after="0" w:line="360" w:lineRule="auto"/>
        <w:ind w:left="284" w:hanging="284"/>
        <w:rPr>
          <w:rFonts w:ascii="Arial" w:hAnsi="Arial" w:cs="Arial"/>
          <w:lang w:val="en-ID"/>
        </w:rPr>
      </w:pPr>
      <w:r w:rsidRPr="00537EF1">
        <w:rPr>
          <w:rFonts w:ascii="Arial" w:hAnsi="Arial" w:cs="Arial"/>
          <w:lang w:val="en-ID"/>
        </w:rPr>
        <w:t xml:space="preserve">Wood KP, Fleming GA, Chamberlain RC. Update on Transcatheter Device Closure of Congenital Septal Defects. </w:t>
      </w:r>
      <w:proofErr w:type="spellStart"/>
      <w:r w:rsidRPr="00537EF1">
        <w:rPr>
          <w:rFonts w:ascii="Arial" w:hAnsi="Arial" w:cs="Arial"/>
          <w:i/>
          <w:iCs/>
          <w:lang w:val="en-ID"/>
        </w:rPr>
        <w:t>Curr</w:t>
      </w:r>
      <w:proofErr w:type="spellEnd"/>
      <w:r w:rsidRPr="00537EF1">
        <w:rPr>
          <w:rFonts w:ascii="Arial" w:hAnsi="Arial" w:cs="Arial"/>
          <w:i/>
          <w:iCs/>
          <w:lang w:val="en-ID"/>
        </w:rPr>
        <w:t xml:space="preserve"> </w:t>
      </w:r>
      <w:proofErr w:type="spellStart"/>
      <w:r w:rsidRPr="00537EF1">
        <w:rPr>
          <w:rFonts w:ascii="Arial" w:hAnsi="Arial" w:cs="Arial"/>
          <w:i/>
          <w:iCs/>
          <w:lang w:val="en-ID"/>
        </w:rPr>
        <w:t>Cardiol</w:t>
      </w:r>
      <w:proofErr w:type="spellEnd"/>
      <w:r w:rsidRPr="00537EF1">
        <w:rPr>
          <w:rFonts w:ascii="Arial" w:hAnsi="Arial" w:cs="Arial"/>
          <w:i/>
          <w:iCs/>
          <w:lang w:val="en-ID"/>
        </w:rPr>
        <w:t xml:space="preserve"> Rep.</w:t>
      </w:r>
      <w:r w:rsidRPr="00537EF1">
        <w:rPr>
          <w:rFonts w:ascii="Arial" w:hAnsi="Arial" w:cs="Arial"/>
          <w:lang w:val="en-ID"/>
        </w:rPr>
        <w:t xml:space="preserve"> 2023 Sep 1;25(9):1083–93.</w:t>
      </w:r>
    </w:p>
    <w:p w14:paraId="4EDE5875" w14:textId="42F45C71" w:rsidR="00537EF1" w:rsidRDefault="00537EF1" w:rsidP="00537EF1">
      <w:pPr>
        <w:pStyle w:val="Body"/>
        <w:spacing w:after="0" w:line="360" w:lineRule="auto"/>
        <w:rPr>
          <w:rFonts w:ascii="Arial" w:hAnsi="Arial" w:cs="Arial"/>
          <w:lang w:val="en-ID"/>
        </w:rPr>
      </w:pPr>
    </w:p>
    <w:p w14:paraId="76EB89ED" w14:textId="45173F09" w:rsidR="00537EF1" w:rsidRDefault="00537EF1" w:rsidP="00537EF1">
      <w:pPr>
        <w:pStyle w:val="Body"/>
        <w:spacing w:after="0" w:line="360" w:lineRule="auto"/>
        <w:rPr>
          <w:rFonts w:ascii="Arial" w:hAnsi="Arial" w:cs="Arial"/>
          <w:lang w:val="en-ID"/>
        </w:rPr>
      </w:pPr>
    </w:p>
    <w:p w14:paraId="27DA1284" w14:textId="7405080C" w:rsidR="00537EF1" w:rsidRDefault="00537EF1" w:rsidP="00537EF1">
      <w:pPr>
        <w:pStyle w:val="Body"/>
        <w:spacing w:after="0" w:line="360" w:lineRule="auto"/>
        <w:rPr>
          <w:rFonts w:ascii="Arial" w:hAnsi="Arial" w:cs="Arial"/>
          <w:lang w:val="en-ID"/>
        </w:rPr>
      </w:pPr>
    </w:p>
    <w:p w14:paraId="697A807D" w14:textId="77777777" w:rsidR="00537EF1" w:rsidRDefault="00537EF1" w:rsidP="00537EF1">
      <w:pPr>
        <w:jc w:val="both"/>
      </w:pPr>
      <w:r w:rsidRPr="007C0E23">
        <w:rPr>
          <w:b/>
          <w:bCs/>
        </w:rPr>
        <w:t>Table 1.</w:t>
      </w:r>
      <w:r>
        <w:t xml:space="preserve"> Baseline and short-term follow-up after the procedure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730"/>
        <w:gridCol w:w="1730"/>
        <w:gridCol w:w="1730"/>
        <w:gridCol w:w="1731"/>
      </w:tblGrid>
      <w:tr w:rsidR="00537EF1" w14:paraId="5D27547A" w14:textId="77777777" w:rsidTr="00B81E7C">
        <w:trPr>
          <w:trHeight w:val="552"/>
        </w:trPr>
        <w:tc>
          <w:tcPr>
            <w:tcW w:w="1730" w:type="dxa"/>
          </w:tcPr>
          <w:p w14:paraId="1BA01DB8" w14:textId="77777777" w:rsidR="00537EF1" w:rsidRDefault="00537EF1" w:rsidP="00B81E7C">
            <w:pPr>
              <w:jc w:val="center"/>
            </w:pPr>
            <w:r>
              <w:t>Parameter</w:t>
            </w:r>
          </w:p>
        </w:tc>
        <w:tc>
          <w:tcPr>
            <w:tcW w:w="1730" w:type="dxa"/>
          </w:tcPr>
          <w:p w14:paraId="68A0E8F1" w14:textId="77777777" w:rsidR="00537EF1" w:rsidRDefault="00537EF1" w:rsidP="00B81E7C">
            <w:pPr>
              <w:jc w:val="center"/>
            </w:pPr>
            <w:r>
              <w:t>Baseline</w:t>
            </w:r>
          </w:p>
        </w:tc>
        <w:tc>
          <w:tcPr>
            <w:tcW w:w="1730" w:type="dxa"/>
          </w:tcPr>
          <w:p w14:paraId="0015623C" w14:textId="77777777" w:rsidR="00537EF1" w:rsidRDefault="00537EF1" w:rsidP="00B81E7C">
            <w:pPr>
              <w:jc w:val="center"/>
            </w:pPr>
            <w:r>
              <w:t>2 weeks follow-up</w:t>
            </w:r>
          </w:p>
        </w:tc>
        <w:tc>
          <w:tcPr>
            <w:tcW w:w="1730" w:type="dxa"/>
          </w:tcPr>
          <w:p w14:paraId="4F6654DD" w14:textId="77777777" w:rsidR="00537EF1" w:rsidRDefault="00537EF1" w:rsidP="00B81E7C">
            <w:pPr>
              <w:jc w:val="center"/>
            </w:pPr>
            <w:r>
              <w:t>1 month follow-up</w:t>
            </w:r>
          </w:p>
        </w:tc>
        <w:tc>
          <w:tcPr>
            <w:tcW w:w="1731" w:type="dxa"/>
          </w:tcPr>
          <w:p w14:paraId="23D27D8D" w14:textId="77777777" w:rsidR="00537EF1" w:rsidRDefault="00537EF1" w:rsidP="00B81E7C">
            <w:pPr>
              <w:jc w:val="center"/>
            </w:pPr>
            <w:r>
              <w:t>3 months follow-up</w:t>
            </w:r>
          </w:p>
        </w:tc>
      </w:tr>
      <w:tr w:rsidR="00537EF1" w14:paraId="016F8D8E" w14:textId="77777777" w:rsidTr="00B81E7C">
        <w:trPr>
          <w:trHeight w:val="552"/>
        </w:trPr>
        <w:tc>
          <w:tcPr>
            <w:tcW w:w="1730" w:type="dxa"/>
          </w:tcPr>
          <w:p w14:paraId="48E0A662" w14:textId="77777777" w:rsidR="00537EF1" w:rsidRDefault="00537EF1" w:rsidP="00B81E7C">
            <w:pPr>
              <w:jc w:val="center"/>
            </w:pPr>
            <w:r>
              <w:t>Body weight (kg)</w:t>
            </w:r>
          </w:p>
        </w:tc>
        <w:tc>
          <w:tcPr>
            <w:tcW w:w="1730" w:type="dxa"/>
          </w:tcPr>
          <w:p w14:paraId="6D5BE42D" w14:textId="77777777" w:rsidR="00537EF1" w:rsidRDefault="00537EF1" w:rsidP="00B81E7C">
            <w:pPr>
              <w:jc w:val="center"/>
            </w:pPr>
            <w:r>
              <w:t>27</w:t>
            </w:r>
          </w:p>
        </w:tc>
        <w:tc>
          <w:tcPr>
            <w:tcW w:w="1730" w:type="dxa"/>
          </w:tcPr>
          <w:p w14:paraId="794D85BC" w14:textId="77777777" w:rsidR="00537EF1" w:rsidRDefault="00537EF1" w:rsidP="00B81E7C">
            <w:pPr>
              <w:jc w:val="center"/>
            </w:pPr>
            <w:r>
              <w:t>27.5</w:t>
            </w:r>
          </w:p>
        </w:tc>
        <w:tc>
          <w:tcPr>
            <w:tcW w:w="1730" w:type="dxa"/>
          </w:tcPr>
          <w:p w14:paraId="2E107303" w14:textId="77777777" w:rsidR="00537EF1" w:rsidRDefault="00537EF1" w:rsidP="00B81E7C">
            <w:pPr>
              <w:jc w:val="center"/>
            </w:pPr>
            <w:r>
              <w:t>28</w:t>
            </w:r>
          </w:p>
        </w:tc>
        <w:tc>
          <w:tcPr>
            <w:tcW w:w="1731" w:type="dxa"/>
          </w:tcPr>
          <w:p w14:paraId="4818FB5A" w14:textId="77777777" w:rsidR="00537EF1" w:rsidRDefault="00537EF1" w:rsidP="00B81E7C">
            <w:pPr>
              <w:jc w:val="center"/>
            </w:pPr>
            <w:r>
              <w:t>28</w:t>
            </w:r>
          </w:p>
        </w:tc>
      </w:tr>
      <w:tr w:rsidR="00537EF1" w14:paraId="24505A58" w14:textId="77777777" w:rsidTr="00B81E7C">
        <w:trPr>
          <w:trHeight w:val="552"/>
        </w:trPr>
        <w:tc>
          <w:tcPr>
            <w:tcW w:w="1730" w:type="dxa"/>
          </w:tcPr>
          <w:p w14:paraId="2F963C9B" w14:textId="77777777" w:rsidR="00537EF1" w:rsidRDefault="00537EF1" w:rsidP="00B81E7C">
            <w:pPr>
              <w:jc w:val="center"/>
            </w:pPr>
            <w:r>
              <w:t>Height (cm)</w:t>
            </w:r>
          </w:p>
        </w:tc>
        <w:tc>
          <w:tcPr>
            <w:tcW w:w="1730" w:type="dxa"/>
          </w:tcPr>
          <w:p w14:paraId="319FCCBE" w14:textId="77777777" w:rsidR="00537EF1" w:rsidRDefault="00537EF1" w:rsidP="00B81E7C">
            <w:pPr>
              <w:jc w:val="center"/>
            </w:pPr>
            <w:r>
              <w:t>130</w:t>
            </w:r>
          </w:p>
        </w:tc>
        <w:tc>
          <w:tcPr>
            <w:tcW w:w="1730" w:type="dxa"/>
          </w:tcPr>
          <w:p w14:paraId="5A7E7079" w14:textId="77777777" w:rsidR="00537EF1" w:rsidRDefault="00537EF1" w:rsidP="00B81E7C">
            <w:pPr>
              <w:jc w:val="center"/>
            </w:pPr>
            <w:r>
              <w:t>130</w:t>
            </w:r>
          </w:p>
        </w:tc>
        <w:tc>
          <w:tcPr>
            <w:tcW w:w="1730" w:type="dxa"/>
          </w:tcPr>
          <w:p w14:paraId="3FADB32D" w14:textId="77777777" w:rsidR="00537EF1" w:rsidRDefault="00537EF1" w:rsidP="00B81E7C">
            <w:pPr>
              <w:jc w:val="center"/>
            </w:pPr>
            <w:r>
              <w:t>130</w:t>
            </w:r>
          </w:p>
        </w:tc>
        <w:tc>
          <w:tcPr>
            <w:tcW w:w="1731" w:type="dxa"/>
          </w:tcPr>
          <w:p w14:paraId="05BFA602" w14:textId="77777777" w:rsidR="00537EF1" w:rsidRDefault="00537EF1" w:rsidP="00B81E7C">
            <w:pPr>
              <w:jc w:val="center"/>
            </w:pPr>
            <w:r>
              <w:t>131</w:t>
            </w:r>
          </w:p>
        </w:tc>
      </w:tr>
      <w:tr w:rsidR="00537EF1" w14:paraId="6B5A8458" w14:textId="77777777" w:rsidTr="00B81E7C">
        <w:trPr>
          <w:trHeight w:val="552"/>
        </w:trPr>
        <w:tc>
          <w:tcPr>
            <w:tcW w:w="1730" w:type="dxa"/>
          </w:tcPr>
          <w:p w14:paraId="39A69D9D" w14:textId="77777777" w:rsidR="00537EF1" w:rsidRPr="00A85103" w:rsidRDefault="00537EF1" w:rsidP="00B81E7C">
            <w:pPr>
              <w:jc w:val="center"/>
            </w:pPr>
            <w:r w:rsidRPr="00A85103">
              <w:t>(Residual) Shunt</w:t>
            </w:r>
          </w:p>
        </w:tc>
        <w:tc>
          <w:tcPr>
            <w:tcW w:w="1730" w:type="dxa"/>
          </w:tcPr>
          <w:p w14:paraId="47F959FD" w14:textId="77777777" w:rsidR="00537EF1" w:rsidRDefault="00537EF1" w:rsidP="00B81E7C">
            <w:pPr>
              <w:jc w:val="center"/>
            </w:pPr>
            <w:r>
              <w:t>L to R</w:t>
            </w:r>
          </w:p>
        </w:tc>
        <w:tc>
          <w:tcPr>
            <w:tcW w:w="1730" w:type="dxa"/>
          </w:tcPr>
          <w:p w14:paraId="43FE2377" w14:textId="77777777" w:rsidR="00537EF1" w:rsidRDefault="00537EF1" w:rsidP="00B81E7C">
            <w:pPr>
              <w:jc w:val="center"/>
            </w:pPr>
            <w:r>
              <w:t>-</w:t>
            </w:r>
          </w:p>
        </w:tc>
        <w:tc>
          <w:tcPr>
            <w:tcW w:w="1730" w:type="dxa"/>
          </w:tcPr>
          <w:p w14:paraId="07A35CEF" w14:textId="77777777" w:rsidR="00537EF1" w:rsidRDefault="00537EF1" w:rsidP="00B81E7C">
            <w:pPr>
              <w:jc w:val="center"/>
            </w:pPr>
            <w:r>
              <w:t>-</w:t>
            </w:r>
          </w:p>
        </w:tc>
        <w:tc>
          <w:tcPr>
            <w:tcW w:w="1731" w:type="dxa"/>
          </w:tcPr>
          <w:p w14:paraId="2130E1FE" w14:textId="77777777" w:rsidR="00537EF1" w:rsidRDefault="00537EF1" w:rsidP="00B81E7C">
            <w:pPr>
              <w:jc w:val="center"/>
            </w:pPr>
            <w:r>
              <w:t>-</w:t>
            </w:r>
          </w:p>
        </w:tc>
      </w:tr>
      <w:tr w:rsidR="00537EF1" w14:paraId="11B824EF" w14:textId="77777777" w:rsidTr="00B81E7C">
        <w:trPr>
          <w:trHeight w:val="552"/>
        </w:trPr>
        <w:tc>
          <w:tcPr>
            <w:tcW w:w="1730" w:type="dxa"/>
          </w:tcPr>
          <w:p w14:paraId="0A941138" w14:textId="77777777" w:rsidR="00537EF1" w:rsidRPr="00A85103" w:rsidRDefault="00537EF1" w:rsidP="00B81E7C">
            <w:pPr>
              <w:jc w:val="center"/>
            </w:pPr>
            <w:r w:rsidRPr="00A85103">
              <w:t>EF Simpson (%)</w:t>
            </w:r>
          </w:p>
        </w:tc>
        <w:tc>
          <w:tcPr>
            <w:tcW w:w="1730" w:type="dxa"/>
          </w:tcPr>
          <w:p w14:paraId="6D653E86" w14:textId="77777777" w:rsidR="00537EF1" w:rsidRDefault="00537EF1" w:rsidP="00B81E7C">
            <w:pPr>
              <w:jc w:val="center"/>
            </w:pPr>
            <w:r>
              <w:t>66</w:t>
            </w:r>
          </w:p>
        </w:tc>
        <w:tc>
          <w:tcPr>
            <w:tcW w:w="1730" w:type="dxa"/>
          </w:tcPr>
          <w:p w14:paraId="601C88D3" w14:textId="77777777" w:rsidR="00537EF1" w:rsidRDefault="00537EF1" w:rsidP="00B81E7C">
            <w:pPr>
              <w:jc w:val="center"/>
            </w:pPr>
            <w:r>
              <w:t>66</w:t>
            </w:r>
          </w:p>
        </w:tc>
        <w:tc>
          <w:tcPr>
            <w:tcW w:w="1730" w:type="dxa"/>
          </w:tcPr>
          <w:p w14:paraId="41B9E117" w14:textId="77777777" w:rsidR="00537EF1" w:rsidRDefault="00537EF1" w:rsidP="00B81E7C">
            <w:pPr>
              <w:jc w:val="center"/>
            </w:pPr>
            <w:r>
              <w:t>66</w:t>
            </w:r>
          </w:p>
        </w:tc>
        <w:tc>
          <w:tcPr>
            <w:tcW w:w="1731" w:type="dxa"/>
          </w:tcPr>
          <w:p w14:paraId="12FD126A" w14:textId="77777777" w:rsidR="00537EF1" w:rsidRDefault="00537EF1" w:rsidP="00B81E7C">
            <w:pPr>
              <w:jc w:val="center"/>
            </w:pPr>
            <w:r>
              <w:t>60</w:t>
            </w:r>
          </w:p>
        </w:tc>
      </w:tr>
      <w:tr w:rsidR="00537EF1" w14:paraId="2A10720D" w14:textId="77777777" w:rsidTr="00B81E7C">
        <w:trPr>
          <w:trHeight w:val="552"/>
        </w:trPr>
        <w:tc>
          <w:tcPr>
            <w:tcW w:w="1730" w:type="dxa"/>
          </w:tcPr>
          <w:p w14:paraId="606D8FAE" w14:textId="77777777" w:rsidR="00537EF1" w:rsidRPr="00A85103" w:rsidRDefault="00537EF1" w:rsidP="00B81E7C">
            <w:pPr>
              <w:jc w:val="center"/>
            </w:pPr>
            <w:r w:rsidRPr="00A85103">
              <w:t>MR VC (cm)</w:t>
            </w:r>
          </w:p>
        </w:tc>
        <w:tc>
          <w:tcPr>
            <w:tcW w:w="1730" w:type="dxa"/>
          </w:tcPr>
          <w:p w14:paraId="662E0284" w14:textId="77777777" w:rsidR="00537EF1" w:rsidRDefault="00537EF1" w:rsidP="00B81E7C">
            <w:pPr>
              <w:jc w:val="center"/>
            </w:pPr>
            <w:r>
              <w:t>0.1</w:t>
            </w:r>
          </w:p>
        </w:tc>
        <w:tc>
          <w:tcPr>
            <w:tcW w:w="1730" w:type="dxa"/>
          </w:tcPr>
          <w:p w14:paraId="0E2368E8" w14:textId="77777777" w:rsidR="00537EF1" w:rsidRDefault="00537EF1" w:rsidP="00B81E7C">
            <w:pPr>
              <w:jc w:val="center"/>
            </w:pPr>
            <w:r>
              <w:t>0.1</w:t>
            </w:r>
          </w:p>
        </w:tc>
        <w:tc>
          <w:tcPr>
            <w:tcW w:w="1730" w:type="dxa"/>
          </w:tcPr>
          <w:p w14:paraId="7F7C55C8" w14:textId="77777777" w:rsidR="00537EF1" w:rsidRDefault="00537EF1" w:rsidP="00B81E7C">
            <w:pPr>
              <w:jc w:val="center"/>
            </w:pPr>
            <w:r>
              <w:t>0.1</w:t>
            </w:r>
          </w:p>
        </w:tc>
        <w:tc>
          <w:tcPr>
            <w:tcW w:w="1731" w:type="dxa"/>
          </w:tcPr>
          <w:p w14:paraId="5FF3E120" w14:textId="77777777" w:rsidR="00537EF1" w:rsidRDefault="00537EF1" w:rsidP="00B81E7C">
            <w:pPr>
              <w:jc w:val="center"/>
            </w:pPr>
            <w:r>
              <w:t>0.1</w:t>
            </w:r>
          </w:p>
        </w:tc>
      </w:tr>
      <w:tr w:rsidR="00537EF1" w14:paraId="141C75FF" w14:textId="77777777" w:rsidTr="00B81E7C">
        <w:trPr>
          <w:trHeight w:val="552"/>
        </w:trPr>
        <w:tc>
          <w:tcPr>
            <w:tcW w:w="1730" w:type="dxa"/>
          </w:tcPr>
          <w:p w14:paraId="53F42600" w14:textId="77777777" w:rsidR="00537EF1" w:rsidRPr="00A85103" w:rsidRDefault="00537EF1" w:rsidP="00B81E7C">
            <w:pPr>
              <w:jc w:val="center"/>
            </w:pPr>
            <w:r w:rsidRPr="00A85103">
              <w:t xml:space="preserve">TR </w:t>
            </w:r>
            <w:proofErr w:type="spellStart"/>
            <w:r w:rsidRPr="00A85103">
              <w:t>maxPG</w:t>
            </w:r>
            <w:proofErr w:type="spellEnd"/>
            <w:r w:rsidRPr="00A85103">
              <w:t xml:space="preserve"> (mmHg)</w:t>
            </w:r>
          </w:p>
        </w:tc>
        <w:tc>
          <w:tcPr>
            <w:tcW w:w="1730" w:type="dxa"/>
          </w:tcPr>
          <w:p w14:paraId="5862C090" w14:textId="77777777" w:rsidR="00537EF1" w:rsidRDefault="00537EF1" w:rsidP="00B81E7C">
            <w:pPr>
              <w:jc w:val="center"/>
            </w:pPr>
            <w:r>
              <w:t>-</w:t>
            </w:r>
          </w:p>
        </w:tc>
        <w:tc>
          <w:tcPr>
            <w:tcW w:w="1730" w:type="dxa"/>
          </w:tcPr>
          <w:p w14:paraId="5F824A19" w14:textId="77777777" w:rsidR="00537EF1" w:rsidRDefault="00537EF1" w:rsidP="00B81E7C">
            <w:pPr>
              <w:jc w:val="center"/>
            </w:pPr>
            <w:r>
              <w:t>20</w:t>
            </w:r>
          </w:p>
        </w:tc>
        <w:tc>
          <w:tcPr>
            <w:tcW w:w="1730" w:type="dxa"/>
          </w:tcPr>
          <w:p w14:paraId="24618F9A" w14:textId="77777777" w:rsidR="00537EF1" w:rsidRDefault="00537EF1" w:rsidP="00B81E7C">
            <w:pPr>
              <w:jc w:val="center"/>
            </w:pPr>
            <w:r>
              <w:t>18</w:t>
            </w:r>
          </w:p>
        </w:tc>
        <w:tc>
          <w:tcPr>
            <w:tcW w:w="1731" w:type="dxa"/>
          </w:tcPr>
          <w:p w14:paraId="4DCEDDB6" w14:textId="77777777" w:rsidR="00537EF1" w:rsidRDefault="00537EF1" w:rsidP="00B81E7C">
            <w:pPr>
              <w:jc w:val="center"/>
            </w:pPr>
            <w:r>
              <w:t>18</w:t>
            </w:r>
          </w:p>
        </w:tc>
      </w:tr>
      <w:tr w:rsidR="00537EF1" w14:paraId="2343F30D" w14:textId="77777777" w:rsidTr="00B81E7C">
        <w:trPr>
          <w:trHeight w:val="552"/>
        </w:trPr>
        <w:tc>
          <w:tcPr>
            <w:tcW w:w="1730" w:type="dxa"/>
          </w:tcPr>
          <w:p w14:paraId="22E77A2D" w14:textId="77777777" w:rsidR="00537EF1" w:rsidRPr="00A85103" w:rsidRDefault="00537EF1" w:rsidP="00B81E7C">
            <w:pPr>
              <w:jc w:val="center"/>
            </w:pPr>
            <w:proofErr w:type="spellStart"/>
            <w:r w:rsidRPr="00A85103">
              <w:t>mPAP</w:t>
            </w:r>
            <w:proofErr w:type="spellEnd"/>
            <w:r w:rsidRPr="00A85103">
              <w:t>/PASP</w:t>
            </w:r>
            <w:r>
              <w:t xml:space="preserve"> (</w:t>
            </w:r>
            <w:proofErr w:type="spellStart"/>
            <w:r>
              <w:t>mmHG</w:t>
            </w:r>
            <w:proofErr w:type="spellEnd"/>
            <w:r>
              <w:t>)</w:t>
            </w:r>
          </w:p>
        </w:tc>
        <w:tc>
          <w:tcPr>
            <w:tcW w:w="1730" w:type="dxa"/>
          </w:tcPr>
          <w:p w14:paraId="2546CF37" w14:textId="77777777" w:rsidR="00537EF1" w:rsidRDefault="00537EF1" w:rsidP="00B81E7C">
            <w:pPr>
              <w:jc w:val="center"/>
            </w:pPr>
            <w:r>
              <w:t>24/33</w:t>
            </w:r>
          </w:p>
        </w:tc>
        <w:tc>
          <w:tcPr>
            <w:tcW w:w="1730" w:type="dxa"/>
          </w:tcPr>
          <w:p w14:paraId="288833AB" w14:textId="77777777" w:rsidR="00537EF1" w:rsidRDefault="00537EF1" w:rsidP="00B81E7C">
            <w:pPr>
              <w:jc w:val="center"/>
            </w:pPr>
            <w:r>
              <w:t>16.8/26.2</w:t>
            </w:r>
          </w:p>
        </w:tc>
        <w:tc>
          <w:tcPr>
            <w:tcW w:w="1730" w:type="dxa"/>
          </w:tcPr>
          <w:p w14:paraId="0C32F3ED" w14:textId="77777777" w:rsidR="00537EF1" w:rsidRDefault="00537EF1" w:rsidP="00B81E7C">
            <w:pPr>
              <w:jc w:val="center"/>
            </w:pPr>
            <w:r>
              <w:t>16/23</w:t>
            </w:r>
          </w:p>
        </w:tc>
        <w:tc>
          <w:tcPr>
            <w:tcW w:w="1731" w:type="dxa"/>
          </w:tcPr>
          <w:p w14:paraId="19C4858B" w14:textId="77777777" w:rsidR="00537EF1" w:rsidRDefault="00537EF1" w:rsidP="00B81E7C">
            <w:pPr>
              <w:jc w:val="center"/>
            </w:pPr>
            <w:r>
              <w:t>16/21</w:t>
            </w:r>
          </w:p>
        </w:tc>
      </w:tr>
      <w:tr w:rsidR="00537EF1" w14:paraId="1B650796" w14:textId="77777777" w:rsidTr="00B81E7C">
        <w:trPr>
          <w:trHeight w:val="552"/>
        </w:trPr>
        <w:tc>
          <w:tcPr>
            <w:tcW w:w="1730" w:type="dxa"/>
          </w:tcPr>
          <w:p w14:paraId="00CFED21" w14:textId="77777777" w:rsidR="00537EF1" w:rsidRPr="00A85103" w:rsidRDefault="00537EF1" w:rsidP="00B81E7C">
            <w:pPr>
              <w:jc w:val="center"/>
            </w:pPr>
            <w:r>
              <w:t>AR</w:t>
            </w:r>
          </w:p>
        </w:tc>
        <w:tc>
          <w:tcPr>
            <w:tcW w:w="1730" w:type="dxa"/>
          </w:tcPr>
          <w:p w14:paraId="43C8AF54" w14:textId="77777777" w:rsidR="00537EF1" w:rsidRDefault="00537EF1" w:rsidP="00B81E7C">
            <w:pPr>
              <w:jc w:val="center"/>
            </w:pPr>
            <w:r>
              <w:t>-</w:t>
            </w:r>
          </w:p>
        </w:tc>
        <w:tc>
          <w:tcPr>
            <w:tcW w:w="1730" w:type="dxa"/>
          </w:tcPr>
          <w:p w14:paraId="04FB0708" w14:textId="77777777" w:rsidR="00537EF1" w:rsidRDefault="00537EF1" w:rsidP="00B81E7C">
            <w:pPr>
              <w:jc w:val="center"/>
            </w:pPr>
            <w:r>
              <w:t>-</w:t>
            </w:r>
          </w:p>
        </w:tc>
        <w:tc>
          <w:tcPr>
            <w:tcW w:w="1730" w:type="dxa"/>
          </w:tcPr>
          <w:p w14:paraId="2D4970DC" w14:textId="77777777" w:rsidR="00537EF1" w:rsidRDefault="00537EF1" w:rsidP="00B81E7C">
            <w:pPr>
              <w:jc w:val="center"/>
            </w:pPr>
            <w:r>
              <w:t>-</w:t>
            </w:r>
          </w:p>
        </w:tc>
        <w:tc>
          <w:tcPr>
            <w:tcW w:w="1731" w:type="dxa"/>
          </w:tcPr>
          <w:p w14:paraId="757B6F2D" w14:textId="77777777" w:rsidR="00537EF1" w:rsidRDefault="00537EF1" w:rsidP="00B81E7C">
            <w:pPr>
              <w:jc w:val="center"/>
            </w:pPr>
            <w:r>
              <w:t>-</w:t>
            </w:r>
          </w:p>
        </w:tc>
      </w:tr>
    </w:tbl>
    <w:p w14:paraId="0DE0D140" w14:textId="77777777" w:rsidR="00537EF1" w:rsidRDefault="00537EF1" w:rsidP="00537EF1">
      <w:pPr>
        <w:jc w:val="both"/>
      </w:pPr>
      <w:r>
        <w:t xml:space="preserve">Note, data were presented according to the mentioned unit, baseline data were based on RHC and follow-up data were based on TTE. EF, ejection fraction; MR VC, mitral regurgitation vena </w:t>
      </w:r>
      <w:proofErr w:type="spellStart"/>
      <w:r>
        <w:t>contracta</w:t>
      </w:r>
      <w:proofErr w:type="spellEnd"/>
      <w:r>
        <w:t xml:space="preserve">; TR </w:t>
      </w:r>
      <w:proofErr w:type="spellStart"/>
      <w:r>
        <w:t>maxPG</w:t>
      </w:r>
      <w:proofErr w:type="spellEnd"/>
      <w:r>
        <w:t xml:space="preserve">, tricuspid regurgitation maximal pressure gradient; </w:t>
      </w:r>
      <w:proofErr w:type="spellStart"/>
      <w:r>
        <w:t>mPAP</w:t>
      </w:r>
      <w:proofErr w:type="spellEnd"/>
      <w:r>
        <w:t>, mean pulmonary arterial pressure; PASP, pulmonary arterial systolic pressure</w:t>
      </w:r>
    </w:p>
    <w:p w14:paraId="04C829DE" w14:textId="77777777" w:rsidR="00537EF1" w:rsidRDefault="00537EF1" w:rsidP="00537EF1">
      <w:pPr>
        <w:jc w:val="both"/>
      </w:pPr>
    </w:p>
    <w:p w14:paraId="0DFAE42C" w14:textId="77777777" w:rsidR="00537EF1" w:rsidRDefault="00537EF1" w:rsidP="00537EF1">
      <w:pPr>
        <w:jc w:val="both"/>
      </w:pPr>
      <w:r>
        <w:br w:type="page"/>
      </w:r>
    </w:p>
    <w:p w14:paraId="6D101A23" w14:textId="2170D380" w:rsidR="00537EF1" w:rsidRPr="00CC5FF5" w:rsidRDefault="00537EF1" w:rsidP="00CC5FF5">
      <w:pPr>
        <w:jc w:val="center"/>
        <w:rPr>
          <w:b/>
          <w:bCs/>
        </w:rPr>
      </w:pPr>
      <w:r w:rsidRPr="00CC5FF5">
        <w:rPr>
          <w:b/>
          <w:bCs/>
        </w:rPr>
        <w:t>Figure 1. TTE PLAX and SHORT, ECG, and CXR</w:t>
      </w:r>
    </w:p>
    <w:p w14:paraId="21A213A3" w14:textId="77777777" w:rsidR="00CC5FF5" w:rsidRDefault="00CC5FF5" w:rsidP="00537EF1">
      <w:pPr>
        <w:jc w:val="both"/>
      </w:pPr>
    </w:p>
    <w:p w14:paraId="3A2A0643" w14:textId="29206137" w:rsidR="00CC5FF5" w:rsidRDefault="00CC5FF5" w:rsidP="00537EF1">
      <w:pPr>
        <w:jc w:val="both"/>
      </w:pPr>
      <w:r>
        <w:rPr>
          <w:noProof/>
        </w:rPr>
        <w:drawing>
          <wp:inline distT="0" distB="0" distL="0" distR="0" wp14:anchorId="5A3E3DBE" wp14:editId="70986B90">
            <wp:extent cx="5212080" cy="3601085"/>
            <wp:effectExtent l="0" t="0" r="7620" b="0"/>
            <wp:docPr id="38694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45632" name=""/>
                    <pic:cNvPicPr/>
                  </pic:nvPicPr>
                  <pic:blipFill>
                    <a:blip r:embed="rId14"/>
                    <a:stretch>
                      <a:fillRect/>
                    </a:stretch>
                  </pic:blipFill>
                  <pic:spPr>
                    <a:xfrm>
                      <a:off x="0" y="0"/>
                      <a:ext cx="5212080" cy="3601085"/>
                    </a:xfrm>
                    <a:prstGeom prst="rect">
                      <a:avLst/>
                    </a:prstGeom>
                  </pic:spPr>
                </pic:pic>
              </a:graphicData>
            </a:graphic>
          </wp:inline>
        </w:drawing>
      </w:r>
    </w:p>
    <w:p w14:paraId="5D130494" w14:textId="77777777" w:rsidR="00CC5FF5" w:rsidRDefault="00CC5FF5" w:rsidP="00537EF1">
      <w:pPr>
        <w:jc w:val="both"/>
      </w:pPr>
    </w:p>
    <w:p w14:paraId="1DC7ACB9" w14:textId="09796B91" w:rsidR="00537EF1" w:rsidRDefault="00CC5FF5" w:rsidP="00537EF1">
      <w:r>
        <w:rPr>
          <w:noProof/>
        </w:rPr>
        <w:drawing>
          <wp:inline distT="0" distB="0" distL="0" distR="0" wp14:anchorId="122055D9" wp14:editId="476D36A5">
            <wp:extent cx="5212080" cy="2867660"/>
            <wp:effectExtent l="0" t="0" r="7620" b="8890"/>
            <wp:docPr id="1874987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7453" name=""/>
                    <pic:cNvPicPr/>
                  </pic:nvPicPr>
                  <pic:blipFill>
                    <a:blip r:embed="rId15"/>
                    <a:stretch>
                      <a:fillRect/>
                    </a:stretch>
                  </pic:blipFill>
                  <pic:spPr>
                    <a:xfrm>
                      <a:off x="0" y="0"/>
                      <a:ext cx="5212080" cy="2867660"/>
                    </a:xfrm>
                    <a:prstGeom prst="rect">
                      <a:avLst/>
                    </a:prstGeom>
                  </pic:spPr>
                </pic:pic>
              </a:graphicData>
            </a:graphic>
          </wp:inline>
        </w:drawing>
      </w:r>
      <w:r w:rsidR="00537EF1" w:rsidRPr="001419FF">
        <w:rPr>
          <w:noProof/>
        </w:rPr>
        <w:t xml:space="preserve"> </w:t>
      </w:r>
      <w:r w:rsidR="00537EF1">
        <w:br w:type="page"/>
      </w:r>
    </w:p>
    <w:p w14:paraId="103A005D" w14:textId="2CAAA79D" w:rsidR="00537EF1" w:rsidRDefault="00CC5FF5" w:rsidP="00537EF1">
      <w:pPr>
        <w:jc w:val="both"/>
        <w:rPr>
          <w:highlight w:val="yellow"/>
        </w:rPr>
      </w:pPr>
      <w:r>
        <w:rPr>
          <w:noProof/>
        </w:rPr>
        <w:drawing>
          <wp:inline distT="0" distB="0" distL="0" distR="0" wp14:anchorId="29ECEB48" wp14:editId="5C436D47">
            <wp:extent cx="5212080" cy="2409825"/>
            <wp:effectExtent l="0" t="0" r="7620" b="9525"/>
            <wp:docPr id="1119690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0703" name=""/>
                    <pic:cNvPicPr/>
                  </pic:nvPicPr>
                  <pic:blipFill>
                    <a:blip r:embed="rId16"/>
                    <a:stretch>
                      <a:fillRect/>
                    </a:stretch>
                  </pic:blipFill>
                  <pic:spPr>
                    <a:xfrm>
                      <a:off x="0" y="0"/>
                      <a:ext cx="5212080" cy="2409825"/>
                    </a:xfrm>
                    <a:prstGeom prst="rect">
                      <a:avLst/>
                    </a:prstGeom>
                  </pic:spPr>
                </pic:pic>
              </a:graphicData>
            </a:graphic>
          </wp:inline>
        </w:drawing>
      </w:r>
    </w:p>
    <w:p w14:paraId="2A465DF4" w14:textId="77777777" w:rsidR="00E7597B" w:rsidRDefault="00E7597B" w:rsidP="00537EF1">
      <w:pPr>
        <w:jc w:val="both"/>
      </w:pPr>
    </w:p>
    <w:p w14:paraId="2A98BACD" w14:textId="688F3341" w:rsidR="00537EF1" w:rsidRDefault="00537EF1" w:rsidP="00537EF1">
      <w:pPr>
        <w:jc w:val="both"/>
      </w:pPr>
      <w:r>
        <w:t>AV rail insertion and device deployment</w:t>
      </w:r>
    </w:p>
    <w:p w14:paraId="7E6AEB11" w14:textId="77777777" w:rsidR="00CC5FF5" w:rsidRDefault="00CC5FF5" w:rsidP="00537EF1"/>
    <w:p w14:paraId="330F622B" w14:textId="77777777" w:rsidR="00CC5FF5" w:rsidRPr="00CC5FF5" w:rsidRDefault="00537EF1" w:rsidP="00CC5FF5">
      <w:pPr>
        <w:jc w:val="center"/>
        <w:rPr>
          <w:b/>
          <w:bCs/>
        </w:rPr>
      </w:pPr>
      <w:r w:rsidRPr="00CC5FF5">
        <w:rPr>
          <w:b/>
          <w:bCs/>
        </w:rPr>
        <w:t>Figure 2. TEE post-procedural (color compare)</w:t>
      </w:r>
    </w:p>
    <w:p w14:paraId="5C1B8F48" w14:textId="77777777" w:rsidR="00CC5FF5" w:rsidRDefault="00CC5FF5" w:rsidP="00537EF1"/>
    <w:p w14:paraId="7CCC118B" w14:textId="77777777" w:rsidR="00CC5FF5" w:rsidRDefault="00CC5FF5" w:rsidP="00CC5FF5">
      <w:r>
        <w:rPr>
          <w:noProof/>
        </w:rPr>
        <w:drawing>
          <wp:inline distT="0" distB="0" distL="0" distR="0" wp14:anchorId="79F0D081" wp14:editId="07836DDA">
            <wp:extent cx="5212080" cy="2195830"/>
            <wp:effectExtent l="0" t="0" r="7620" b="0"/>
            <wp:docPr id="61364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44997" name=""/>
                    <pic:cNvPicPr/>
                  </pic:nvPicPr>
                  <pic:blipFill>
                    <a:blip r:embed="rId17"/>
                    <a:stretch>
                      <a:fillRect/>
                    </a:stretch>
                  </pic:blipFill>
                  <pic:spPr>
                    <a:xfrm>
                      <a:off x="0" y="0"/>
                      <a:ext cx="5212080" cy="2195830"/>
                    </a:xfrm>
                    <a:prstGeom prst="rect">
                      <a:avLst/>
                    </a:prstGeom>
                  </pic:spPr>
                </pic:pic>
              </a:graphicData>
            </a:graphic>
          </wp:inline>
        </w:drawing>
      </w:r>
    </w:p>
    <w:p w14:paraId="4C9C6535" w14:textId="77777777" w:rsidR="00CC5FF5" w:rsidRDefault="00CC5FF5" w:rsidP="00CC5FF5"/>
    <w:p w14:paraId="68F203F6" w14:textId="7F739776" w:rsidR="00537EF1" w:rsidRPr="00CC5FF5" w:rsidRDefault="00537EF1" w:rsidP="00CC5FF5">
      <w:pPr>
        <w:jc w:val="center"/>
        <w:rPr>
          <w:b/>
          <w:bCs/>
        </w:rPr>
      </w:pPr>
      <w:r w:rsidRPr="00CC5FF5">
        <w:rPr>
          <w:b/>
          <w:bCs/>
        </w:rPr>
        <w:t>Figure 3. TTE evaluation two weeks</w:t>
      </w:r>
    </w:p>
    <w:p w14:paraId="0D59F6EB" w14:textId="4F6249E5" w:rsidR="00E7597B" w:rsidRDefault="00E7597B" w:rsidP="00537EF1">
      <w:pPr>
        <w:jc w:val="both"/>
      </w:pPr>
    </w:p>
    <w:p w14:paraId="361E5304" w14:textId="71625CD1" w:rsidR="00537EF1" w:rsidRDefault="00CC5FF5" w:rsidP="00CC5FF5">
      <w:pPr>
        <w:jc w:val="center"/>
      </w:pPr>
      <w:r>
        <w:rPr>
          <w:noProof/>
        </w:rPr>
        <w:drawing>
          <wp:inline distT="0" distB="0" distL="0" distR="0" wp14:anchorId="1E3363F2" wp14:editId="213BEA11">
            <wp:extent cx="3582147" cy="1760088"/>
            <wp:effectExtent l="0" t="0" r="0" b="0"/>
            <wp:docPr id="118452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22385" name=""/>
                    <pic:cNvPicPr/>
                  </pic:nvPicPr>
                  <pic:blipFill>
                    <a:blip r:embed="rId18"/>
                    <a:stretch>
                      <a:fillRect/>
                    </a:stretch>
                  </pic:blipFill>
                  <pic:spPr>
                    <a:xfrm>
                      <a:off x="0" y="0"/>
                      <a:ext cx="3593387" cy="1765611"/>
                    </a:xfrm>
                    <a:prstGeom prst="rect">
                      <a:avLst/>
                    </a:prstGeom>
                  </pic:spPr>
                </pic:pic>
              </a:graphicData>
            </a:graphic>
          </wp:inline>
        </w:drawing>
      </w:r>
    </w:p>
    <w:p w14:paraId="307A7797" w14:textId="77777777" w:rsidR="00CC5FF5" w:rsidRPr="00CC5FF5" w:rsidRDefault="00CC5FF5" w:rsidP="00CC5FF5">
      <w:pPr>
        <w:jc w:val="center"/>
      </w:pPr>
    </w:p>
    <w:p w14:paraId="784982EC" w14:textId="77777777" w:rsidR="004C5F88" w:rsidRDefault="004C5F88" w:rsidP="00CC5FF5">
      <w:pPr>
        <w:jc w:val="center"/>
        <w:rPr>
          <w:b/>
          <w:bCs/>
        </w:rPr>
      </w:pPr>
    </w:p>
    <w:p w14:paraId="44638636" w14:textId="485CE262" w:rsidR="00537EF1" w:rsidRPr="00CC5FF5" w:rsidRDefault="00537EF1" w:rsidP="00CC5FF5">
      <w:pPr>
        <w:jc w:val="center"/>
        <w:rPr>
          <w:b/>
          <w:bCs/>
        </w:rPr>
      </w:pPr>
      <w:r w:rsidRPr="00CC5FF5">
        <w:rPr>
          <w:b/>
          <w:bCs/>
        </w:rPr>
        <w:t>Figure 4. TTE evaluation 1</w:t>
      </w:r>
      <w:r w:rsidR="007C0E23">
        <w:rPr>
          <w:b/>
          <w:bCs/>
        </w:rPr>
        <w:t xml:space="preserve"> (1 month)</w:t>
      </w:r>
    </w:p>
    <w:p w14:paraId="3920A394" w14:textId="00151B04" w:rsidR="00537EF1" w:rsidRPr="00D0079E" w:rsidRDefault="00537EF1" w:rsidP="00537EF1"/>
    <w:p w14:paraId="3896E0B9" w14:textId="3F195570" w:rsidR="00537EF1" w:rsidRPr="00D0079E" w:rsidRDefault="00CC5FF5" w:rsidP="00537EF1">
      <w:r>
        <w:rPr>
          <w:noProof/>
        </w:rPr>
        <w:drawing>
          <wp:inline distT="0" distB="0" distL="0" distR="0" wp14:anchorId="49EF74FD" wp14:editId="744B0276">
            <wp:extent cx="5212080" cy="2578735"/>
            <wp:effectExtent l="0" t="0" r="7620" b="0"/>
            <wp:docPr id="54839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95801" name=""/>
                    <pic:cNvPicPr/>
                  </pic:nvPicPr>
                  <pic:blipFill>
                    <a:blip r:embed="rId19"/>
                    <a:stretch>
                      <a:fillRect/>
                    </a:stretch>
                  </pic:blipFill>
                  <pic:spPr>
                    <a:xfrm>
                      <a:off x="0" y="0"/>
                      <a:ext cx="5212080" cy="2578735"/>
                    </a:xfrm>
                    <a:prstGeom prst="rect">
                      <a:avLst/>
                    </a:prstGeom>
                  </pic:spPr>
                </pic:pic>
              </a:graphicData>
            </a:graphic>
          </wp:inline>
        </w:drawing>
      </w:r>
    </w:p>
    <w:p w14:paraId="0F37FC0A" w14:textId="77777777" w:rsidR="00537EF1" w:rsidRPr="00D0079E" w:rsidRDefault="00537EF1" w:rsidP="00537EF1">
      <w:pPr>
        <w:tabs>
          <w:tab w:val="left" w:pos="5234"/>
        </w:tabs>
      </w:pPr>
      <w:r>
        <w:tab/>
      </w:r>
    </w:p>
    <w:p w14:paraId="444D872D" w14:textId="45D569CC" w:rsidR="00E7597B" w:rsidRPr="00CC5FF5" w:rsidRDefault="00E7597B" w:rsidP="00CC5FF5">
      <w:pPr>
        <w:jc w:val="center"/>
        <w:rPr>
          <w:b/>
          <w:bCs/>
        </w:rPr>
      </w:pPr>
      <w:r w:rsidRPr="00CC5FF5">
        <w:rPr>
          <w:b/>
          <w:bCs/>
        </w:rPr>
        <w:t>Figure 5. TTE evaluation</w:t>
      </w:r>
      <w:r w:rsidR="007C0E23">
        <w:rPr>
          <w:b/>
          <w:bCs/>
        </w:rPr>
        <w:t xml:space="preserve"> (3 month)</w:t>
      </w:r>
    </w:p>
    <w:p w14:paraId="4EC1059E" w14:textId="77777777" w:rsidR="00E7597B" w:rsidRDefault="00E7597B" w:rsidP="00537EF1">
      <w:pPr>
        <w:jc w:val="both"/>
      </w:pPr>
    </w:p>
    <w:p w14:paraId="27028DC8" w14:textId="175143BA" w:rsidR="00537EF1" w:rsidRDefault="00CC5FF5" w:rsidP="00CC5FF5">
      <w:pPr>
        <w:jc w:val="center"/>
      </w:pPr>
      <w:r>
        <w:rPr>
          <w:noProof/>
        </w:rPr>
        <w:drawing>
          <wp:inline distT="0" distB="0" distL="0" distR="0" wp14:anchorId="3E7B6908" wp14:editId="45C45081">
            <wp:extent cx="4448405" cy="2212821"/>
            <wp:effectExtent l="0" t="0" r="0" b="0"/>
            <wp:docPr id="125560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04047" name=""/>
                    <pic:cNvPicPr/>
                  </pic:nvPicPr>
                  <pic:blipFill>
                    <a:blip r:embed="rId20"/>
                    <a:stretch>
                      <a:fillRect/>
                    </a:stretch>
                  </pic:blipFill>
                  <pic:spPr>
                    <a:xfrm>
                      <a:off x="0" y="0"/>
                      <a:ext cx="4453038" cy="2215126"/>
                    </a:xfrm>
                    <a:prstGeom prst="rect">
                      <a:avLst/>
                    </a:prstGeom>
                  </pic:spPr>
                </pic:pic>
              </a:graphicData>
            </a:graphic>
          </wp:inline>
        </w:drawing>
      </w:r>
    </w:p>
    <w:sectPr w:rsidR="00537EF1" w:rsidSect="00CC5FF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EDC95" w14:textId="77777777" w:rsidR="007D60FD" w:rsidRDefault="007D60FD" w:rsidP="00C37E61">
      <w:r>
        <w:separator/>
      </w:r>
    </w:p>
  </w:endnote>
  <w:endnote w:type="continuationSeparator" w:id="0">
    <w:p w14:paraId="623711CC" w14:textId="77777777" w:rsidR="007D60FD" w:rsidRDefault="007D60F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974F3" w14:textId="77777777" w:rsidR="00440742" w:rsidRDefault="00440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481C" w14:textId="77777777" w:rsidR="00440742" w:rsidRDefault="004407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EFC4" w14:textId="43117966" w:rsidR="00754C9A" w:rsidRPr="00440742" w:rsidRDefault="00754C9A" w:rsidP="004407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D88FF" w14:textId="77777777" w:rsidR="007D60FD" w:rsidRDefault="007D60FD" w:rsidP="00C37E61">
      <w:r>
        <w:separator/>
      </w:r>
    </w:p>
  </w:footnote>
  <w:footnote w:type="continuationSeparator" w:id="0">
    <w:p w14:paraId="1926C372" w14:textId="77777777" w:rsidR="007D60FD" w:rsidRDefault="007D60F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C910" w14:textId="47382BB0" w:rsidR="00440742" w:rsidRDefault="007D60FD">
    <w:pPr>
      <w:pStyle w:val="Header"/>
    </w:pPr>
    <w:r>
      <w:rPr>
        <w:noProof/>
      </w:rPr>
      <w:pict w14:anchorId="03F0C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23235" o:spid="_x0000_s1027"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0486" w14:textId="0F394CC1" w:rsidR="00440742" w:rsidRDefault="007D60FD">
    <w:pPr>
      <w:pStyle w:val="Header"/>
    </w:pPr>
    <w:r>
      <w:rPr>
        <w:noProof/>
      </w:rPr>
      <w:pict w14:anchorId="401C0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23236" o:spid="_x0000_s1026"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AB0C" w14:textId="4832F2AE" w:rsidR="00296529" w:rsidRPr="00296529" w:rsidRDefault="007D60FD" w:rsidP="00296529">
    <w:pPr>
      <w:ind w:left="2160"/>
      <w:jc w:val="center"/>
      <w:rPr>
        <w:rFonts w:ascii="Times New Roman" w:eastAsia="Calibri" w:hAnsi="Times New Roman"/>
        <w:i/>
        <w:sz w:val="18"/>
        <w:szCs w:val="22"/>
      </w:rPr>
    </w:pPr>
    <w:r>
      <w:rPr>
        <w:noProof/>
      </w:rPr>
      <w:pict w14:anchorId="00E0B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023234" o:spid="_x0000_s1025"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62BAC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495B11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DB8045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8B6BE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AB73EC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F04B88"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5DB312A"/>
    <w:multiLevelType w:val="hybridMultilevel"/>
    <w:tmpl w:val="B4187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C87A5E"/>
    <w:multiLevelType w:val="hybridMultilevel"/>
    <w:tmpl w:val="B6DEDDBA"/>
    <w:lvl w:ilvl="0" w:tplc="1A7C82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AD7131"/>
    <w:multiLevelType w:val="hybridMultilevel"/>
    <w:tmpl w:val="5BBE0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2034917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84293428">
    <w:abstractNumId w:val="17"/>
  </w:num>
  <w:num w:numId="3" w16cid:durableId="462964402">
    <w:abstractNumId w:val="26"/>
  </w:num>
  <w:num w:numId="4" w16cid:durableId="207947555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73646946">
    <w:abstractNumId w:val="8"/>
  </w:num>
  <w:num w:numId="6" w16cid:durableId="1049499376">
    <w:abstractNumId w:val="6"/>
  </w:num>
  <w:num w:numId="7" w16cid:durableId="864517483">
    <w:abstractNumId w:val="1"/>
  </w:num>
  <w:num w:numId="8" w16cid:durableId="1695424011">
    <w:abstractNumId w:val="14"/>
  </w:num>
  <w:num w:numId="9" w16cid:durableId="1988119699">
    <w:abstractNumId w:val="28"/>
  </w:num>
  <w:num w:numId="10" w16cid:durableId="2000226843">
    <w:abstractNumId w:val="2"/>
  </w:num>
  <w:num w:numId="11" w16cid:durableId="2136756692">
    <w:abstractNumId w:val="21"/>
  </w:num>
  <w:num w:numId="12" w16cid:durableId="2075008212">
    <w:abstractNumId w:val="3"/>
  </w:num>
  <w:num w:numId="13" w16cid:durableId="253906998">
    <w:abstractNumId w:val="19"/>
  </w:num>
  <w:num w:numId="14" w16cid:durableId="118378584">
    <w:abstractNumId w:val="10"/>
  </w:num>
  <w:num w:numId="15" w16cid:durableId="2000763840">
    <w:abstractNumId w:val="24"/>
  </w:num>
  <w:num w:numId="16" w16cid:durableId="1905026611">
    <w:abstractNumId w:val="5"/>
  </w:num>
  <w:num w:numId="17" w16cid:durableId="2144346051">
    <w:abstractNumId w:val="25"/>
  </w:num>
  <w:num w:numId="18" w16cid:durableId="13773957">
    <w:abstractNumId w:val="16"/>
  </w:num>
  <w:num w:numId="19" w16cid:durableId="1602833305">
    <w:abstractNumId w:val="31"/>
  </w:num>
  <w:num w:numId="20" w16cid:durableId="305210461">
    <w:abstractNumId w:val="13"/>
  </w:num>
  <w:num w:numId="21" w16cid:durableId="1676179460">
    <w:abstractNumId w:val="11"/>
  </w:num>
  <w:num w:numId="22" w16cid:durableId="1686832169">
    <w:abstractNumId w:val="15"/>
  </w:num>
  <w:num w:numId="23" w16cid:durableId="205991022">
    <w:abstractNumId w:val="22"/>
  </w:num>
  <w:num w:numId="24" w16cid:durableId="1365402220">
    <w:abstractNumId w:val="29"/>
  </w:num>
  <w:num w:numId="25" w16cid:durableId="1954630613">
    <w:abstractNumId w:val="4"/>
  </w:num>
  <w:num w:numId="26" w16cid:durableId="142165364">
    <w:abstractNumId w:val="18"/>
  </w:num>
  <w:num w:numId="27" w16cid:durableId="924342988">
    <w:abstractNumId w:val="23"/>
  </w:num>
  <w:num w:numId="28" w16cid:durableId="299387931">
    <w:abstractNumId w:val="30"/>
  </w:num>
  <w:num w:numId="29" w16cid:durableId="73011363">
    <w:abstractNumId w:val="27"/>
  </w:num>
  <w:num w:numId="30" w16cid:durableId="737480508">
    <w:abstractNumId w:val="12"/>
  </w:num>
  <w:num w:numId="31" w16cid:durableId="1669551833">
    <w:abstractNumId w:val="7"/>
  </w:num>
  <w:num w:numId="32" w16cid:durableId="2098672315">
    <w:abstractNumId w:val="9"/>
  </w:num>
  <w:num w:numId="33" w16cid:durableId="2599476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463EA"/>
    <w:rsid w:val="000A47FA"/>
    <w:rsid w:val="000A65D3"/>
    <w:rsid w:val="000B1E33"/>
    <w:rsid w:val="000C7348"/>
    <w:rsid w:val="000D689F"/>
    <w:rsid w:val="000E7B7B"/>
    <w:rsid w:val="000E7D62"/>
    <w:rsid w:val="000F60F4"/>
    <w:rsid w:val="00103357"/>
    <w:rsid w:val="00116410"/>
    <w:rsid w:val="00123C9F"/>
    <w:rsid w:val="00126190"/>
    <w:rsid w:val="00130F17"/>
    <w:rsid w:val="001320BF"/>
    <w:rsid w:val="001324AB"/>
    <w:rsid w:val="00136C83"/>
    <w:rsid w:val="00156316"/>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477E3"/>
    <w:rsid w:val="00250985"/>
    <w:rsid w:val="002556F6"/>
    <w:rsid w:val="00283105"/>
    <w:rsid w:val="00284C4C"/>
    <w:rsid w:val="00287E68"/>
    <w:rsid w:val="00296529"/>
    <w:rsid w:val="002B27FB"/>
    <w:rsid w:val="002B685A"/>
    <w:rsid w:val="002B68AD"/>
    <w:rsid w:val="002C57D2"/>
    <w:rsid w:val="002E0D56"/>
    <w:rsid w:val="002E1EB7"/>
    <w:rsid w:val="003130D4"/>
    <w:rsid w:val="00315186"/>
    <w:rsid w:val="0033343E"/>
    <w:rsid w:val="003512C2"/>
    <w:rsid w:val="00353726"/>
    <w:rsid w:val="00371FB6"/>
    <w:rsid w:val="003763C1"/>
    <w:rsid w:val="00376BBE"/>
    <w:rsid w:val="0039224F"/>
    <w:rsid w:val="003A43A4"/>
    <w:rsid w:val="003A7E18"/>
    <w:rsid w:val="003C4C86"/>
    <w:rsid w:val="003C6258"/>
    <w:rsid w:val="003E2904"/>
    <w:rsid w:val="003E2BAB"/>
    <w:rsid w:val="00401927"/>
    <w:rsid w:val="0041027F"/>
    <w:rsid w:val="00412475"/>
    <w:rsid w:val="00423789"/>
    <w:rsid w:val="00440742"/>
    <w:rsid w:val="00440F43"/>
    <w:rsid w:val="00441B6F"/>
    <w:rsid w:val="00446221"/>
    <w:rsid w:val="00450E62"/>
    <w:rsid w:val="004539DB"/>
    <w:rsid w:val="00454493"/>
    <w:rsid w:val="00467742"/>
    <w:rsid w:val="00471A80"/>
    <w:rsid w:val="00474F88"/>
    <w:rsid w:val="004C30F2"/>
    <w:rsid w:val="004C5F88"/>
    <w:rsid w:val="004D305E"/>
    <w:rsid w:val="004D4277"/>
    <w:rsid w:val="00502516"/>
    <w:rsid w:val="00505F06"/>
    <w:rsid w:val="00506828"/>
    <w:rsid w:val="0053056E"/>
    <w:rsid w:val="00537EF1"/>
    <w:rsid w:val="00552F82"/>
    <w:rsid w:val="00554FDA"/>
    <w:rsid w:val="00566C26"/>
    <w:rsid w:val="00573D7F"/>
    <w:rsid w:val="00596137"/>
    <w:rsid w:val="005A5B04"/>
    <w:rsid w:val="005C784C"/>
    <w:rsid w:val="005D17F6"/>
    <w:rsid w:val="005E2960"/>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E31"/>
    <w:rsid w:val="006C3EEB"/>
    <w:rsid w:val="006D30FF"/>
    <w:rsid w:val="006D4B5D"/>
    <w:rsid w:val="006D6940"/>
    <w:rsid w:val="006E4D4D"/>
    <w:rsid w:val="006E5525"/>
    <w:rsid w:val="006F11EC"/>
    <w:rsid w:val="006F14FE"/>
    <w:rsid w:val="0070082C"/>
    <w:rsid w:val="007020DA"/>
    <w:rsid w:val="0073190E"/>
    <w:rsid w:val="00734338"/>
    <w:rsid w:val="007369E6"/>
    <w:rsid w:val="007415CE"/>
    <w:rsid w:val="00746E59"/>
    <w:rsid w:val="00754C9A"/>
    <w:rsid w:val="0075599A"/>
    <w:rsid w:val="00761D52"/>
    <w:rsid w:val="007633E5"/>
    <w:rsid w:val="0077749E"/>
    <w:rsid w:val="00790ADA"/>
    <w:rsid w:val="007B3A38"/>
    <w:rsid w:val="007B7D22"/>
    <w:rsid w:val="007C0E23"/>
    <w:rsid w:val="007D2288"/>
    <w:rsid w:val="007D60FD"/>
    <w:rsid w:val="007E088F"/>
    <w:rsid w:val="007F7B32"/>
    <w:rsid w:val="0080327F"/>
    <w:rsid w:val="00804BC2"/>
    <w:rsid w:val="0081431A"/>
    <w:rsid w:val="00816050"/>
    <w:rsid w:val="0082739E"/>
    <w:rsid w:val="0083216F"/>
    <w:rsid w:val="008434C5"/>
    <w:rsid w:val="00860000"/>
    <w:rsid w:val="00863BD3"/>
    <w:rsid w:val="008641ED"/>
    <w:rsid w:val="008652CF"/>
    <w:rsid w:val="00866B38"/>
    <w:rsid w:val="00866D66"/>
    <w:rsid w:val="008671C6"/>
    <w:rsid w:val="00867772"/>
    <w:rsid w:val="00875803"/>
    <w:rsid w:val="008846F7"/>
    <w:rsid w:val="008B459E"/>
    <w:rsid w:val="008E13AE"/>
    <w:rsid w:val="008E1506"/>
    <w:rsid w:val="008E710C"/>
    <w:rsid w:val="008F69D6"/>
    <w:rsid w:val="00902823"/>
    <w:rsid w:val="00905FEC"/>
    <w:rsid w:val="00915CA6"/>
    <w:rsid w:val="0092391B"/>
    <w:rsid w:val="00927834"/>
    <w:rsid w:val="009500A6"/>
    <w:rsid w:val="00957C18"/>
    <w:rsid w:val="009659BA"/>
    <w:rsid w:val="00983040"/>
    <w:rsid w:val="00995A19"/>
    <w:rsid w:val="009A2541"/>
    <w:rsid w:val="009B3FB9"/>
    <w:rsid w:val="009C2465"/>
    <w:rsid w:val="009D35A0"/>
    <w:rsid w:val="009D7EB7"/>
    <w:rsid w:val="009E048A"/>
    <w:rsid w:val="009E08E9"/>
    <w:rsid w:val="009E3DB9"/>
    <w:rsid w:val="009E6E35"/>
    <w:rsid w:val="009F0EDA"/>
    <w:rsid w:val="009F262A"/>
    <w:rsid w:val="009F4945"/>
    <w:rsid w:val="00A03B96"/>
    <w:rsid w:val="00A05B19"/>
    <w:rsid w:val="00A1134E"/>
    <w:rsid w:val="00A1478F"/>
    <w:rsid w:val="00A1742D"/>
    <w:rsid w:val="00A24E7E"/>
    <w:rsid w:val="00A258C3"/>
    <w:rsid w:val="00A347C0"/>
    <w:rsid w:val="00A51431"/>
    <w:rsid w:val="00A539AD"/>
    <w:rsid w:val="00A5413E"/>
    <w:rsid w:val="00A6341B"/>
    <w:rsid w:val="00A6715D"/>
    <w:rsid w:val="00A92006"/>
    <w:rsid w:val="00A94063"/>
    <w:rsid w:val="00AA6219"/>
    <w:rsid w:val="00AA74E0"/>
    <w:rsid w:val="00AB703F"/>
    <w:rsid w:val="00AC5B6D"/>
    <w:rsid w:val="00AC6BB8"/>
    <w:rsid w:val="00AD6261"/>
    <w:rsid w:val="00AE008F"/>
    <w:rsid w:val="00B01FCD"/>
    <w:rsid w:val="00B1776C"/>
    <w:rsid w:val="00B20A4B"/>
    <w:rsid w:val="00B52583"/>
    <w:rsid w:val="00B52896"/>
    <w:rsid w:val="00B561F8"/>
    <w:rsid w:val="00B652FB"/>
    <w:rsid w:val="00B815F1"/>
    <w:rsid w:val="00B860B5"/>
    <w:rsid w:val="00B879F3"/>
    <w:rsid w:val="00B95236"/>
    <w:rsid w:val="00B96BD9"/>
    <w:rsid w:val="00BA1B01"/>
    <w:rsid w:val="00BA2641"/>
    <w:rsid w:val="00BA4993"/>
    <w:rsid w:val="00BB37AA"/>
    <w:rsid w:val="00BB548C"/>
    <w:rsid w:val="00BC53A0"/>
    <w:rsid w:val="00BE0C35"/>
    <w:rsid w:val="00BE300C"/>
    <w:rsid w:val="00BE62AD"/>
    <w:rsid w:val="00BF121F"/>
    <w:rsid w:val="00BF1F80"/>
    <w:rsid w:val="00C070FB"/>
    <w:rsid w:val="00C166EF"/>
    <w:rsid w:val="00C17EB0"/>
    <w:rsid w:val="00C27F5F"/>
    <w:rsid w:val="00C30A0F"/>
    <w:rsid w:val="00C37E61"/>
    <w:rsid w:val="00C40D4F"/>
    <w:rsid w:val="00C43419"/>
    <w:rsid w:val="00C63E47"/>
    <w:rsid w:val="00C70F1B"/>
    <w:rsid w:val="00C71A47"/>
    <w:rsid w:val="00C7464C"/>
    <w:rsid w:val="00C85588"/>
    <w:rsid w:val="00CB595C"/>
    <w:rsid w:val="00CC5FF5"/>
    <w:rsid w:val="00CD6755"/>
    <w:rsid w:val="00CD6856"/>
    <w:rsid w:val="00CE0089"/>
    <w:rsid w:val="00CE793C"/>
    <w:rsid w:val="00CF193C"/>
    <w:rsid w:val="00CF2DCE"/>
    <w:rsid w:val="00D173F1"/>
    <w:rsid w:val="00D34DFB"/>
    <w:rsid w:val="00D35AFE"/>
    <w:rsid w:val="00D66251"/>
    <w:rsid w:val="00D74CB0"/>
    <w:rsid w:val="00D8295D"/>
    <w:rsid w:val="00DA02E2"/>
    <w:rsid w:val="00DA5CE5"/>
    <w:rsid w:val="00DC2A65"/>
    <w:rsid w:val="00DD2144"/>
    <w:rsid w:val="00DE15F0"/>
    <w:rsid w:val="00DE5663"/>
    <w:rsid w:val="00DE78AA"/>
    <w:rsid w:val="00E053D0"/>
    <w:rsid w:val="00E15994"/>
    <w:rsid w:val="00E3114E"/>
    <w:rsid w:val="00E31A70"/>
    <w:rsid w:val="00E32D3D"/>
    <w:rsid w:val="00E3456B"/>
    <w:rsid w:val="00E35B02"/>
    <w:rsid w:val="00E43626"/>
    <w:rsid w:val="00E438D5"/>
    <w:rsid w:val="00E66496"/>
    <w:rsid w:val="00E66B35"/>
    <w:rsid w:val="00E66E10"/>
    <w:rsid w:val="00E7597B"/>
    <w:rsid w:val="00E769F6"/>
    <w:rsid w:val="00E8407C"/>
    <w:rsid w:val="00E84F3C"/>
    <w:rsid w:val="00EA012C"/>
    <w:rsid w:val="00EC39B2"/>
    <w:rsid w:val="00EC6A55"/>
    <w:rsid w:val="00ED0288"/>
    <w:rsid w:val="00ED1702"/>
    <w:rsid w:val="00EE1542"/>
    <w:rsid w:val="00EE52CB"/>
    <w:rsid w:val="00EF581D"/>
    <w:rsid w:val="00EF760D"/>
    <w:rsid w:val="00EF7FD8"/>
    <w:rsid w:val="00F06F59"/>
    <w:rsid w:val="00F17988"/>
    <w:rsid w:val="00F37210"/>
    <w:rsid w:val="00F469F0"/>
    <w:rsid w:val="00F53273"/>
    <w:rsid w:val="00F755E4"/>
    <w:rsid w:val="00F758B0"/>
    <w:rsid w:val="00F77D02"/>
    <w:rsid w:val="00F82294"/>
    <w:rsid w:val="00FB3A86"/>
    <w:rsid w:val="00FC658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3E6D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DA5CE5"/>
    <w:rPr>
      <w:b/>
      <w:bCs/>
    </w:rPr>
  </w:style>
  <w:style w:type="paragraph" w:styleId="NormalWeb">
    <w:name w:val="Normal (Web)"/>
    <w:basedOn w:val="Normal"/>
    <w:uiPriority w:val="99"/>
    <w:unhideWhenUsed/>
    <w:rsid w:val="00DA5CE5"/>
    <w:pPr>
      <w:spacing w:before="100" w:beforeAutospacing="1" w:after="100" w:afterAutospacing="1"/>
    </w:pPr>
    <w:rPr>
      <w:rFonts w:ascii="Times New Roman" w:hAnsi="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976846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61494630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CAE5D7-B4CB-F94E-B61E-2FC1FE75676F}">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5963E-2BA6-4DE8-8928-6FCA43C2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211</TotalTime>
  <Pages>11</Pages>
  <Words>2388</Words>
  <Characters>13616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15973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Microsoft Office User</cp:lastModifiedBy>
  <cp:revision>39</cp:revision>
  <cp:lastPrinted>1999-07-06T11:00:00Z</cp:lastPrinted>
  <dcterms:created xsi:type="dcterms:W3CDTF">2025-08-06T00:33:00Z</dcterms:created>
  <dcterms:modified xsi:type="dcterms:W3CDTF">2025-08-18T05:23:00Z</dcterms:modified>
</cp:coreProperties>
</file>