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3EF" w:rsidRDefault="006353EF" w:rsidP="005C5171">
      <w:pPr>
        <w:pStyle w:val="Author"/>
        <w:spacing w:line="240" w:lineRule="auto"/>
        <w:jc w:val="center"/>
        <w:rPr>
          <w:rFonts w:ascii="Arial" w:hAnsi="Arial" w:cs="Arial"/>
          <w:bCs/>
          <w:iCs/>
          <w:kern w:val="28"/>
          <w:sz w:val="36"/>
        </w:rPr>
      </w:pPr>
      <w:r w:rsidRPr="006353EF">
        <w:rPr>
          <w:rFonts w:ascii="Arial" w:hAnsi="Arial" w:cs="Arial"/>
          <w:bCs/>
          <w:iCs/>
          <w:kern w:val="28"/>
          <w:sz w:val="36"/>
        </w:rPr>
        <w:t xml:space="preserve">Case report </w:t>
      </w:r>
    </w:p>
    <w:p w:rsidR="006353EF" w:rsidRDefault="006353EF" w:rsidP="005C5171">
      <w:pPr>
        <w:pStyle w:val="Author"/>
        <w:spacing w:line="240" w:lineRule="auto"/>
        <w:jc w:val="center"/>
        <w:rPr>
          <w:rFonts w:ascii="Arial" w:hAnsi="Arial" w:cs="Arial"/>
          <w:bCs/>
          <w:iCs/>
          <w:kern w:val="28"/>
          <w:sz w:val="36"/>
        </w:rPr>
      </w:pPr>
    </w:p>
    <w:p w:rsidR="005C5171" w:rsidRPr="005C5171" w:rsidRDefault="005C5171" w:rsidP="005C5171">
      <w:pPr>
        <w:pStyle w:val="Author"/>
        <w:spacing w:line="240" w:lineRule="auto"/>
        <w:jc w:val="center"/>
        <w:rPr>
          <w:rFonts w:ascii="Arial" w:hAnsi="Arial" w:cs="Arial"/>
          <w:bCs/>
          <w:iCs/>
          <w:kern w:val="28"/>
          <w:sz w:val="36"/>
        </w:rPr>
      </w:pPr>
      <w:r w:rsidRPr="005C5171">
        <w:rPr>
          <w:rFonts w:ascii="Arial" w:hAnsi="Arial" w:cs="Arial"/>
          <w:bCs/>
          <w:iCs/>
          <w:kern w:val="28"/>
          <w:sz w:val="36"/>
        </w:rPr>
        <w:t>Kartagener Syndrome (KS): Presentation of Five Pediatric Clinical Cases and Review of Recent Literature</w:t>
      </w:r>
    </w:p>
    <w:p w:rsidR="00A258C3" w:rsidRPr="005C5171" w:rsidRDefault="00A258C3" w:rsidP="00081982">
      <w:pPr>
        <w:pStyle w:val="Author"/>
        <w:spacing w:line="240" w:lineRule="auto"/>
        <w:jc w:val="center"/>
        <w:rPr>
          <w:rFonts w:ascii="Arial" w:hAnsi="Arial" w:cs="Arial"/>
          <w:szCs w:val="14"/>
        </w:rPr>
      </w:pPr>
    </w:p>
    <w:p w:rsidR="00654CD7" w:rsidRPr="006A4ACB" w:rsidRDefault="00654CD7" w:rsidP="001C669D">
      <w:pPr>
        <w:pStyle w:val="Affiliation"/>
        <w:spacing w:after="0" w:line="240" w:lineRule="auto"/>
        <w:jc w:val="left"/>
        <w:rPr>
          <w:rFonts w:ascii="Arial" w:hAnsi="Arial" w:cs="Arial"/>
          <w:i/>
        </w:rPr>
      </w:pPr>
    </w:p>
    <w:p w:rsidR="002C57D2" w:rsidRPr="005C5171" w:rsidRDefault="002C57D2" w:rsidP="00441B6F">
      <w:pPr>
        <w:pStyle w:val="Affiliation"/>
        <w:spacing w:after="0" w:line="240" w:lineRule="auto"/>
        <w:jc w:val="both"/>
        <w:rPr>
          <w:rFonts w:ascii="Arial" w:hAnsi="Arial" w:cs="Arial"/>
          <w:sz w:val="16"/>
          <w:szCs w:val="16"/>
        </w:rPr>
      </w:pPr>
    </w:p>
    <w:p w:rsidR="00B01FCD" w:rsidRPr="006A4ACB" w:rsidRDefault="00174476" w:rsidP="00441B6F">
      <w:pPr>
        <w:pStyle w:val="Copyright"/>
        <w:spacing w:after="0" w:line="240" w:lineRule="auto"/>
        <w:jc w:val="both"/>
        <w:rPr>
          <w:rFonts w:ascii="Arial" w:hAnsi="Arial" w:cs="Arial"/>
        </w:rPr>
        <w:sectPr w:rsidR="00B01FCD" w:rsidRPr="006A4ACB" w:rsidSect="009E5D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1"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A4ACB">
        <w:rPr>
          <w:rFonts w:ascii="Arial" w:hAnsi="Arial" w:cs="Arial"/>
        </w:rPr>
        <w:t>.</w:t>
      </w:r>
    </w:p>
    <w:p w:rsidR="009E5D56" w:rsidRPr="006A4ACB" w:rsidRDefault="009E5D56" w:rsidP="00441B6F">
      <w:pPr>
        <w:pStyle w:val="AbstHead"/>
        <w:spacing w:after="0"/>
        <w:jc w:val="both"/>
        <w:rPr>
          <w:rFonts w:ascii="Arial" w:hAnsi="Arial" w:cs="Arial"/>
        </w:rPr>
      </w:pPr>
      <w:r w:rsidRPr="006A4ACB">
        <w:rPr>
          <w:rFonts w:ascii="Arial" w:hAnsi="Arial" w:cs="Arial"/>
        </w:rPr>
        <w:t>ABSTRACT</w:t>
      </w:r>
    </w:p>
    <w:p w:rsidR="00790ADA" w:rsidRPr="005C5171" w:rsidRDefault="00790ADA" w:rsidP="00441B6F">
      <w:pPr>
        <w:pStyle w:val="AbstHead"/>
        <w:spacing w:after="0"/>
        <w:jc w:val="both"/>
        <w:rPr>
          <w:rFonts w:ascii="Arial" w:hAnsi="Arial" w:cs="Arial"/>
          <w:sz w:val="18"/>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A4ACB" w:rsidTr="001E44FE">
        <w:tc>
          <w:tcPr>
            <w:tcW w:w="9576" w:type="dxa"/>
            <w:shd w:val="clear" w:color="auto" w:fill="F2F2F2"/>
          </w:tcPr>
          <w:p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Objectives:</w:t>
            </w:r>
            <w:r w:rsidRPr="005C5171">
              <w:rPr>
                <w:rFonts w:ascii="Arial" w:eastAsia="Calibri" w:hAnsi="Arial" w:cs="Arial"/>
                <w:b w:val="0"/>
                <w:bCs w:val="0"/>
                <w:color w:val="auto"/>
                <w:szCs w:val="22"/>
              </w:rPr>
              <w:t xml:space="preserve"> To describe the clinical presentation, diagnostic journey, and outcomes of five pediatric patients with Kartagener syndrome (KS), in order to highlight the challenges of early diagnosis and multidisciplinary management within a Moroccan context.</w:t>
            </w:r>
          </w:p>
          <w:p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Study Design:</w:t>
            </w:r>
            <w:r w:rsidRPr="005C5171">
              <w:rPr>
                <w:rFonts w:ascii="Arial" w:eastAsia="Calibri" w:hAnsi="Arial" w:cs="Arial"/>
                <w:b w:val="0"/>
                <w:bCs w:val="0"/>
                <w:color w:val="auto"/>
                <w:szCs w:val="22"/>
              </w:rPr>
              <w:t xml:space="preserve"> Descriptive case series.</w:t>
            </w:r>
          </w:p>
          <w:p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Place and Duration of Study:</w:t>
            </w:r>
            <w:r w:rsidRPr="005C5171">
              <w:rPr>
                <w:rFonts w:ascii="Arial" w:eastAsia="Calibri" w:hAnsi="Arial" w:cs="Arial"/>
                <w:b w:val="0"/>
                <w:bCs w:val="0"/>
                <w:color w:val="auto"/>
                <w:szCs w:val="22"/>
              </w:rPr>
              <w:t xml:space="preserve"> Department of Pediatrics, Mohamed V Military Teaching Hospital, Rabat, Morocco; January 2023 to June 2025.</w:t>
            </w:r>
          </w:p>
          <w:p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Methodology:</w:t>
            </w:r>
            <w:r w:rsidRPr="005C5171">
              <w:rPr>
                <w:rFonts w:ascii="Arial" w:eastAsia="Calibri" w:hAnsi="Arial" w:cs="Arial"/>
                <w:b w:val="0"/>
                <w:bCs w:val="0"/>
                <w:color w:val="auto"/>
                <w:szCs w:val="22"/>
              </w:rPr>
              <w:t xml:space="preserve"> Five patients (4 females, 1 male), aged 4.5 to 20 years, diagnosed with KS were included. Data were collected retrospectively from clinical files. All patients presented with chronic respiratory symptoms including productive cough, recurrent sinusitis, and </w:t>
            </w:r>
            <w:proofErr w:type="spellStart"/>
            <w:r w:rsidRPr="005C5171">
              <w:rPr>
                <w:rFonts w:ascii="Arial" w:eastAsia="Calibri" w:hAnsi="Arial" w:cs="Arial"/>
                <w:b w:val="0"/>
                <w:bCs w:val="0"/>
                <w:color w:val="auto"/>
                <w:szCs w:val="22"/>
              </w:rPr>
              <w:t>bronchorrhea</w:t>
            </w:r>
            <w:proofErr w:type="spellEnd"/>
            <w:r w:rsidRPr="005C5171">
              <w:rPr>
                <w:rFonts w:ascii="Arial" w:eastAsia="Calibri" w:hAnsi="Arial" w:cs="Arial"/>
                <w:b w:val="0"/>
                <w:bCs w:val="0"/>
                <w:color w:val="auto"/>
                <w:szCs w:val="22"/>
              </w:rPr>
              <w:t xml:space="preserve">. Imaging studies (chest X-ray [CXR], thoracoabdominal computed tomography [CT], and echocardiography [Echo]) were used to confirm the presence of situs inversus and bronchiectasis. Treatment protocols included antibiotics, respiratory physiotherapy (RP), and vaccination. One patient developed chronic respiratory failure requiring long-term </w:t>
            </w:r>
            <w:r>
              <w:rPr>
                <w:rFonts w:ascii="Arial" w:eastAsia="Calibri" w:hAnsi="Arial" w:cs="Arial"/>
                <w:b w:val="0"/>
                <w:bCs w:val="0"/>
                <w:color w:val="auto"/>
                <w:szCs w:val="22"/>
              </w:rPr>
              <w:t>oxygen therapy (O</w:t>
            </w:r>
            <w:r w:rsidRPr="005C5171">
              <w:rPr>
                <w:rFonts w:ascii="Arial" w:eastAsia="Calibri" w:hAnsi="Arial" w:cs="Arial"/>
                <w:b w:val="0"/>
                <w:bCs w:val="0"/>
                <w:color w:val="auto"/>
                <w:szCs w:val="22"/>
                <w:vertAlign w:val="subscript"/>
              </w:rPr>
              <w:t>2</w:t>
            </w:r>
            <w:r w:rsidRPr="005C5171">
              <w:rPr>
                <w:rFonts w:ascii="Arial" w:eastAsia="Calibri" w:hAnsi="Arial" w:cs="Arial"/>
                <w:b w:val="0"/>
                <w:bCs w:val="0"/>
                <w:color w:val="auto"/>
                <w:szCs w:val="22"/>
              </w:rPr>
              <w:t>T).</w:t>
            </w:r>
          </w:p>
          <w:p w:rsidR="000A6CE2" w:rsidRDefault="005C5171" w:rsidP="005C5171">
            <w:pPr>
              <w:pStyle w:val="Heading3"/>
              <w:spacing w:after="240"/>
              <w:jc w:val="both"/>
            </w:pPr>
            <w:r w:rsidRPr="000A6CE2">
              <w:rPr>
                <w:rFonts w:ascii="Arial" w:eastAsia="Calibri" w:hAnsi="Arial" w:cs="Arial"/>
                <w:color w:val="auto"/>
                <w:szCs w:val="22"/>
                <w:highlight w:val="yellow"/>
              </w:rPr>
              <w:t>Results:</w:t>
            </w:r>
            <w:r w:rsidRPr="000A6CE2">
              <w:rPr>
                <w:rFonts w:ascii="Arial" w:eastAsia="Calibri" w:hAnsi="Arial" w:cs="Arial"/>
                <w:b w:val="0"/>
                <w:bCs w:val="0"/>
                <w:color w:val="auto"/>
                <w:szCs w:val="22"/>
                <w:highlight w:val="yellow"/>
              </w:rPr>
              <w:t xml:space="preserve"> </w:t>
            </w:r>
            <w:r w:rsidR="000A6CE2" w:rsidRPr="000A6CE2">
              <w:rPr>
                <w:rFonts w:ascii="Arial" w:eastAsia="Calibri" w:hAnsi="Arial" w:cs="Arial"/>
                <w:b w:val="0"/>
                <w:bCs w:val="0"/>
                <w:color w:val="auto"/>
                <w:szCs w:val="22"/>
                <w:highlight w:val="yellow"/>
              </w:rPr>
              <w:t xml:space="preserve">Five patients were included, with a mean age of </w:t>
            </w:r>
            <w:r w:rsidR="000A6CE2" w:rsidRPr="000A6CE2">
              <w:rPr>
                <w:rFonts w:ascii="Arial" w:eastAsia="Calibri" w:hAnsi="Arial" w:cs="Arial"/>
                <w:b w:val="0"/>
                <w:bCs w:val="0"/>
                <w:color w:val="auto"/>
                <w:szCs w:val="22"/>
              </w:rPr>
              <w:t>9.7 ± 6.7 years</w:t>
            </w:r>
            <w:r w:rsidR="000A6CE2" w:rsidRPr="000A6CE2">
              <w:rPr>
                <w:rFonts w:ascii="Arial" w:eastAsia="Calibri" w:hAnsi="Arial" w:cs="Arial"/>
                <w:b w:val="0"/>
                <w:bCs w:val="0"/>
                <w:color w:val="auto"/>
                <w:szCs w:val="22"/>
                <w:highlight w:val="yellow"/>
              </w:rPr>
              <w:t xml:space="preserve"> and a median of </w:t>
            </w:r>
            <w:r w:rsidR="000A6CE2" w:rsidRPr="000A6CE2">
              <w:rPr>
                <w:rFonts w:ascii="Arial" w:eastAsia="Calibri" w:hAnsi="Arial" w:cs="Arial"/>
                <w:b w:val="0"/>
                <w:bCs w:val="0"/>
                <w:color w:val="auto"/>
                <w:szCs w:val="22"/>
              </w:rPr>
              <w:t>6 years</w:t>
            </w:r>
            <w:r w:rsidR="000A6CE2" w:rsidRPr="000A6CE2">
              <w:rPr>
                <w:rFonts w:ascii="Arial" w:eastAsia="Calibri" w:hAnsi="Arial" w:cs="Arial"/>
                <w:b w:val="0"/>
                <w:bCs w:val="0"/>
                <w:color w:val="auto"/>
                <w:szCs w:val="22"/>
                <w:highlight w:val="yellow"/>
              </w:rPr>
              <w:t xml:space="preserve"> (range 4.5–20); four were female and one male. The mean delay between the onset of symptoms and diagnosis was </w:t>
            </w:r>
            <w:r w:rsidR="000A6CE2" w:rsidRPr="000A6CE2">
              <w:rPr>
                <w:rFonts w:ascii="Arial" w:eastAsia="Calibri" w:hAnsi="Arial" w:cs="Arial"/>
                <w:b w:val="0"/>
                <w:bCs w:val="0"/>
                <w:color w:val="auto"/>
                <w:szCs w:val="22"/>
              </w:rPr>
              <w:t>4.2 ± 3.6 years</w:t>
            </w:r>
            <w:r w:rsidR="000A6CE2" w:rsidRPr="000A6CE2">
              <w:rPr>
                <w:rFonts w:ascii="Arial" w:eastAsia="Calibri" w:hAnsi="Arial" w:cs="Arial"/>
                <w:b w:val="0"/>
                <w:bCs w:val="0"/>
                <w:color w:val="auto"/>
                <w:szCs w:val="22"/>
                <w:highlight w:val="yellow"/>
              </w:rPr>
              <w:t xml:space="preserve">, with a median of </w:t>
            </w:r>
            <w:r w:rsidR="000A6CE2" w:rsidRPr="000A6CE2">
              <w:rPr>
                <w:rFonts w:ascii="Arial" w:eastAsia="Calibri" w:hAnsi="Arial" w:cs="Arial"/>
                <w:b w:val="0"/>
                <w:bCs w:val="0"/>
                <w:color w:val="auto"/>
                <w:szCs w:val="22"/>
              </w:rPr>
              <w:t>3 years</w:t>
            </w:r>
            <w:r w:rsidR="000A6CE2" w:rsidRPr="000A6CE2">
              <w:rPr>
                <w:rFonts w:ascii="Arial" w:eastAsia="Calibri" w:hAnsi="Arial" w:cs="Arial"/>
                <w:b w:val="0"/>
                <w:bCs w:val="0"/>
                <w:color w:val="auto"/>
                <w:szCs w:val="22"/>
                <w:highlight w:val="yellow"/>
              </w:rPr>
              <w:t xml:space="preserve"> (range 1–10). All patients (100%) presented with chronic respiratory symptoms, complete situs inversus, and bilateral bronchiectasis on imaging. ENT complications were observed in </w:t>
            </w:r>
            <w:r w:rsidR="000A6CE2" w:rsidRPr="000A6CE2">
              <w:rPr>
                <w:rFonts w:ascii="Arial" w:eastAsia="Calibri" w:hAnsi="Arial" w:cs="Arial"/>
                <w:b w:val="0"/>
                <w:bCs w:val="0"/>
                <w:color w:val="auto"/>
                <w:szCs w:val="22"/>
              </w:rPr>
              <w:t>2 patients (40%)</w:t>
            </w:r>
            <w:r w:rsidR="000A6CE2" w:rsidRPr="000A6CE2">
              <w:rPr>
                <w:rFonts w:ascii="Arial" w:eastAsia="Calibri" w:hAnsi="Arial" w:cs="Arial"/>
                <w:b w:val="0"/>
                <w:bCs w:val="0"/>
                <w:color w:val="auto"/>
                <w:szCs w:val="22"/>
                <w:highlight w:val="yellow"/>
              </w:rPr>
              <w:t xml:space="preserve">: one case of recurrent otitis media and one case of mastoiditis. Documented bacterial infections included </w:t>
            </w:r>
            <w:r w:rsidR="000A6CE2" w:rsidRPr="000A6CE2">
              <w:rPr>
                <w:rFonts w:ascii="Arial" w:eastAsia="Calibri" w:hAnsi="Arial" w:cs="Arial"/>
                <w:b w:val="0"/>
                <w:bCs w:val="0"/>
                <w:color w:val="auto"/>
                <w:szCs w:val="22"/>
              </w:rPr>
              <w:t>Pseudomonas aeruginosa in 2 cases (40%)</w:t>
            </w:r>
            <w:r w:rsidR="000A6CE2" w:rsidRPr="000A6CE2">
              <w:rPr>
                <w:rFonts w:ascii="Arial" w:eastAsia="Calibri" w:hAnsi="Arial" w:cs="Arial"/>
                <w:b w:val="0"/>
                <w:bCs w:val="0"/>
                <w:color w:val="auto"/>
                <w:szCs w:val="22"/>
                <w:highlight w:val="yellow"/>
              </w:rPr>
              <w:t xml:space="preserve"> and </w:t>
            </w:r>
            <w:proofErr w:type="spellStart"/>
            <w:r w:rsidR="000A6CE2" w:rsidRPr="000A6CE2">
              <w:rPr>
                <w:rFonts w:ascii="Arial" w:eastAsia="Calibri" w:hAnsi="Arial" w:cs="Arial"/>
                <w:b w:val="0"/>
                <w:bCs w:val="0"/>
                <w:color w:val="auto"/>
                <w:szCs w:val="22"/>
              </w:rPr>
              <w:t>Haemophilus</w:t>
            </w:r>
            <w:proofErr w:type="spellEnd"/>
            <w:r w:rsidR="000A6CE2" w:rsidRPr="000A6CE2">
              <w:rPr>
                <w:rFonts w:ascii="Arial" w:eastAsia="Calibri" w:hAnsi="Arial" w:cs="Arial"/>
                <w:b w:val="0"/>
                <w:bCs w:val="0"/>
                <w:color w:val="auto"/>
                <w:szCs w:val="22"/>
              </w:rPr>
              <w:t xml:space="preserve"> influenzae in 1 case (20%)</w:t>
            </w:r>
            <w:r w:rsidR="000A6CE2" w:rsidRPr="000A6CE2">
              <w:rPr>
                <w:rFonts w:ascii="Arial" w:eastAsia="Calibri" w:hAnsi="Arial" w:cs="Arial"/>
                <w:b w:val="0"/>
                <w:bCs w:val="0"/>
                <w:color w:val="auto"/>
                <w:szCs w:val="22"/>
                <w:highlight w:val="yellow"/>
              </w:rPr>
              <w:t>. Two patients (40%) required repeated hospitalizations for lower respiratory tract infections, and the only adult patient (20%) developed chronic respiratory failure requiring long-term oxygen therapy. No genetic testing could be performed due to unavailability, but all patients received antibiotics, regular respiratory physiotherapy, and vaccination updates as indicated.</w:t>
            </w:r>
          </w:p>
          <w:p w:rsidR="009E5D56" w:rsidRPr="005C5171" w:rsidRDefault="005C5171" w:rsidP="005C5171">
            <w:pPr>
              <w:pStyle w:val="Heading3"/>
              <w:spacing w:after="240"/>
              <w:jc w:val="both"/>
              <w:rPr>
                <w:rFonts w:ascii="Arial" w:eastAsia="Calibri" w:hAnsi="Arial" w:cs="Arial"/>
                <w:b w:val="0"/>
                <w:bCs w:val="0"/>
                <w:color w:val="auto"/>
                <w:szCs w:val="22"/>
              </w:rPr>
            </w:pPr>
            <w:r w:rsidRPr="005C5171">
              <w:rPr>
                <w:rFonts w:ascii="Arial" w:eastAsia="Calibri" w:hAnsi="Arial" w:cs="Arial"/>
                <w:color w:val="auto"/>
                <w:szCs w:val="22"/>
              </w:rPr>
              <w:t>Conclusion:</w:t>
            </w:r>
            <w:r w:rsidRPr="005C5171">
              <w:rPr>
                <w:rFonts w:ascii="Arial" w:eastAsia="Calibri" w:hAnsi="Arial" w:cs="Arial"/>
                <w:b w:val="0"/>
                <w:bCs w:val="0"/>
                <w:color w:val="auto"/>
                <w:szCs w:val="22"/>
              </w:rPr>
              <w:t xml:space="preserve"> KS remains underdiagnosed in low-resource settings due to lack of awareness and diagnostic tools. Early recognition of the association between chronic respiratory symptoms and situs inversus is essential. A multidisciplinary approach is key to improving patient outcomes and preventing severe respiratory complications</w:t>
            </w:r>
          </w:p>
        </w:tc>
      </w:tr>
    </w:tbl>
    <w:p w:rsidR="00700153" w:rsidRPr="006A4ACB" w:rsidRDefault="00700153" w:rsidP="00700153">
      <w:pPr>
        <w:pStyle w:val="Body"/>
        <w:spacing w:after="0"/>
        <w:jc w:val="left"/>
        <w:rPr>
          <w:rFonts w:ascii="Arial" w:hAnsi="Arial" w:cs="Arial"/>
        </w:rPr>
      </w:pPr>
    </w:p>
    <w:p w:rsidR="00700153" w:rsidRPr="006A4ACB" w:rsidRDefault="00700153" w:rsidP="00700153">
      <w:pPr>
        <w:pStyle w:val="Body"/>
        <w:spacing w:after="0"/>
        <w:rPr>
          <w:rFonts w:ascii="Arial" w:hAnsi="Arial" w:cs="Arial"/>
          <w:i/>
        </w:rPr>
      </w:pPr>
      <w:r w:rsidRPr="006A4ACB">
        <w:rPr>
          <w:rFonts w:ascii="Arial" w:hAnsi="Arial" w:cs="Arial"/>
          <w:i/>
        </w:rPr>
        <w:lastRenderedPageBreak/>
        <w:t>Keywords: Kartagener syndrome, primary ciliary dyskinesia, situs inversus, bronchiectasis, pediatrics.</w:t>
      </w:r>
    </w:p>
    <w:p w:rsidR="00505F06" w:rsidRDefault="00505F06" w:rsidP="00441B6F">
      <w:pPr>
        <w:pStyle w:val="Body"/>
        <w:spacing w:after="0"/>
        <w:rPr>
          <w:rFonts w:ascii="Arial" w:hAnsi="Arial" w:cs="Arial"/>
          <w:i/>
        </w:rPr>
      </w:pPr>
    </w:p>
    <w:p w:rsidR="00CB1E67" w:rsidRDefault="00CB1E67" w:rsidP="00441B6F">
      <w:pPr>
        <w:pStyle w:val="Body"/>
        <w:spacing w:after="0"/>
        <w:rPr>
          <w:rFonts w:ascii="Arial" w:hAnsi="Arial" w:cs="Arial"/>
          <w:i/>
        </w:rPr>
      </w:pPr>
    </w:p>
    <w:p w:rsidR="006A4ACB" w:rsidRPr="00546BA8" w:rsidRDefault="00902823" w:rsidP="00546BA8">
      <w:pPr>
        <w:pStyle w:val="Heading1"/>
        <w:numPr>
          <w:ilvl w:val="0"/>
          <w:numId w:val="39"/>
        </w:numPr>
      </w:pPr>
      <w:r w:rsidRPr="006A4ACB">
        <w:rPr>
          <w:rFonts w:cs="Arial"/>
          <w:caps/>
          <w:kern w:val="0"/>
          <w:sz w:val="22"/>
        </w:rPr>
        <w:t>INTRODUCTION</w:t>
      </w:r>
    </w:p>
    <w:p w:rsidR="00546BA8" w:rsidRPr="00546BA8" w:rsidRDefault="00546BA8" w:rsidP="00546BA8">
      <w:pPr>
        <w:pStyle w:val="NormalWeb"/>
        <w:jc w:val="both"/>
        <w:rPr>
          <w:rFonts w:ascii="Arial" w:hAnsi="Arial" w:cs="Arial"/>
          <w:sz w:val="20"/>
          <w:szCs w:val="20"/>
          <w:highlight w:val="yellow"/>
          <w:lang w:val="en-US" w:eastAsia="en-US"/>
        </w:rPr>
      </w:pPr>
      <w:r w:rsidRPr="00546BA8">
        <w:rPr>
          <w:rFonts w:ascii="Arial" w:hAnsi="Arial" w:cs="Arial"/>
          <w:sz w:val="20"/>
          <w:szCs w:val="20"/>
          <w:highlight w:val="yellow"/>
          <w:lang w:val="en-US" w:eastAsia="en-US"/>
        </w:rPr>
        <w:t xml:space="preserve">Kartagener syndrome (KS) is the most recognized clinical phenotype of primary ciliary dyskinesia (PCD), a rare group of genetic disorders characterized by structural and functional abnormalities of motile cilia. This defect in </w:t>
      </w:r>
      <w:proofErr w:type="spellStart"/>
      <w:r w:rsidRPr="00546BA8">
        <w:rPr>
          <w:rFonts w:ascii="Arial" w:hAnsi="Arial" w:cs="Arial"/>
          <w:sz w:val="20"/>
          <w:szCs w:val="20"/>
          <w:highlight w:val="yellow"/>
          <w:lang w:val="en-US" w:eastAsia="en-US"/>
        </w:rPr>
        <w:t>mucociliary</w:t>
      </w:r>
      <w:proofErr w:type="spellEnd"/>
      <w:r w:rsidRPr="00546BA8">
        <w:rPr>
          <w:rFonts w:ascii="Arial" w:hAnsi="Arial" w:cs="Arial"/>
          <w:sz w:val="20"/>
          <w:szCs w:val="20"/>
          <w:highlight w:val="yellow"/>
          <w:lang w:val="en-US" w:eastAsia="en-US"/>
        </w:rPr>
        <w:t xml:space="preserve"> clearance leads to recurrent respiratory infections, chronic ENT manifestations, and, in about 50% of cases, situs inversus forming the classic triad of KS [1]. Complications notably include progressive bronchiectasis and impaired quality of life.</w:t>
      </w:r>
    </w:p>
    <w:p w:rsidR="00467D98" w:rsidRDefault="00546BA8" w:rsidP="00546BA8">
      <w:pPr>
        <w:pStyle w:val="NormalWeb"/>
        <w:jc w:val="both"/>
        <w:rPr>
          <w:rFonts w:ascii="Arial" w:hAnsi="Arial" w:cs="Arial"/>
          <w:sz w:val="20"/>
          <w:szCs w:val="20"/>
          <w:lang w:val="en-US" w:eastAsia="en-US"/>
        </w:rPr>
      </w:pPr>
      <w:r w:rsidRPr="00546BA8">
        <w:rPr>
          <w:rFonts w:ascii="Arial" w:hAnsi="Arial" w:cs="Arial"/>
          <w:sz w:val="20"/>
          <w:szCs w:val="20"/>
          <w:highlight w:val="yellow"/>
          <w:lang w:val="en-US" w:eastAsia="en-US"/>
        </w:rPr>
        <w:t>Diagnosis is often delayed due to clinical variability and the limited availability of specialized tests, which may worsen prognosis [1,2]. Early detection and multidisciplinary management are therefore essential to limit respiratory complications. Electron microscopy, although considered the reference examination for assessing ciliary ultrastructure, is not always available, and its absence should not delay the clinical diagnosis or the initiation of appropriate management</w:t>
      </w:r>
    </w:p>
    <w:p w:rsidR="00837CA7" w:rsidRPr="006A4ACB" w:rsidRDefault="006A0DB0" w:rsidP="00E861AB">
      <w:pPr>
        <w:pStyle w:val="Heading1"/>
        <w:numPr>
          <w:ilvl w:val="0"/>
          <w:numId w:val="39"/>
        </w:numPr>
        <w:rPr>
          <w:rFonts w:cs="Arial"/>
          <w:caps/>
          <w:kern w:val="0"/>
          <w:sz w:val="22"/>
        </w:rPr>
      </w:pPr>
      <w:r w:rsidRPr="006A0DB0">
        <w:rPr>
          <w:rFonts w:cs="Arial"/>
          <w:caps/>
          <w:kern w:val="0"/>
          <w:sz w:val="22"/>
        </w:rPr>
        <w:t>CASE PRESENTATION</w:t>
      </w:r>
    </w:p>
    <w:p w:rsidR="00F05DFC" w:rsidRPr="006A4ACB" w:rsidRDefault="00F05DFC" w:rsidP="00F05DFC">
      <w:pPr>
        <w:pStyle w:val="ListParagraph"/>
        <w:numPr>
          <w:ilvl w:val="0"/>
          <w:numId w:val="32"/>
        </w:numPr>
        <w:rPr>
          <w:rFonts w:ascii="Arial" w:hAnsi="Arial" w:cs="Arial"/>
          <w:b/>
          <w:caps/>
          <w:vanish/>
          <w:sz w:val="22"/>
        </w:rPr>
      </w:pPr>
    </w:p>
    <w:p w:rsidR="00F05DFC" w:rsidRPr="006A4ACB" w:rsidRDefault="00F05DFC" w:rsidP="00F05DFC">
      <w:pPr>
        <w:pStyle w:val="ListParagraph"/>
        <w:numPr>
          <w:ilvl w:val="0"/>
          <w:numId w:val="32"/>
        </w:numPr>
        <w:rPr>
          <w:rFonts w:ascii="Arial" w:hAnsi="Arial" w:cs="Arial"/>
          <w:b/>
          <w:caps/>
          <w:vanish/>
          <w:sz w:val="22"/>
        </w:rPr>
      </w:pPr>
    </w:p>
    <w:p w:rsidR="009E1E14" w:rsidRPr="006A4ACB" w:rsidRDefault="00837CA7" w:rsidP="009E1E14">
      <w:pPr>
        <w:pStyle w:val="Heading1"/>
        <w:numPr>
          <w:ilvl w:val="1"/>
          <w:numId w:val="39"/>
        </w:numPr>
        <w:rPr>
          <w:sz w:val="22"/>
        </w:rPr>
      </w:pPr>
      <w:r w:rsidRPr="006A4ACB">
        <w:rPr>
          <w:sz w:val="22"/>
        </w:rPr>
        <w:t xml:space="preserve">Observation 1: </w:t>
      </w:r>
    </w:p>
    <w:p w:rsidR="006A4ACB" w:rsidRDefault="006A4ACB" w:rsidP="009E1E14">
      <w:pPr>
        <w:pStyle w:val="Body"/>
        <w:spacing w:after="0"/>
        <w:rPr>
          <w:rFonts w:ascii="Arial" w:hAnsi="Arial" w:cs="Arial"/>
        </w:rPr>
      </w:pPr>
    </w:p>
    <w:p w:rsidR="009E1E14" w:rsidRPr="006A4ACB" w:rsidRDefault="009E1E14" w:rsidP="009E1E14">
      <w:pPr>
        <w:pStyle w:val="Body"/>
        <w:spacing w:after="0"/>
        <w:rPr>
          <w:rFonts w:ascii="Arial" w:hAnsi="Arial" w:cs="Arial"/>
        </w:rPr>
      </w:pPr>
      <w:r w:rsidRPr="006A4ACB">
        <w:rPr>
          <w:rFonts w:ascii="Arial" w:hAnsi="Arial" w:cs="Arial"/>
        </w:rPr>
        <w:t xml:space="preserve">Yasmine, a 5-year-old girl, was hospitalized for acute mastoiditis on a background of chronic </w:t>
      </w:r>
      <w:proofErr w:type="spellStart"/>
      <w:r w:rsidRPr="006A4ACB">
        <w:rPr>
          <w:rFonts w:ascii="Arial" w:hAnsi="Arial" w:cs="Arial"/>
        </w:rPr>
        <w:t>bronchorrhea</w:t>
      </w:r>
      <w:proofErr w:type="spellEnd"/>
      <w:r w:rsidRPr="006A4ACB">
        <w:rPr>
          <w:rFonts w:ascii="Arial" w:hAnsi="Arial" w:cs="Arial"/>
        </w:rPr>
        <w:t>, recurrent otitis</w:t>
      </w:r>
      <w:r w:rsidR="005C5171">
        <w:rPr>
          <w:rFonts w:ascii="Arial" w:hAnsi="Arial" w:cs="Arial"/>
        </w:rPr>
        <w:t xml:space="preserve"> (OM)</w:t>
      </w:r>
      <w:r w:rsidRPr="006A4ACB">
        <w:rPr>
          <w:rFonts w:ascii="Arial" w:hAnsi="Arial" w:cs="Arial"/>
        </w:rPr>
        <w:t xml:space="preserve">, and sinusitis. Clinical examination revealed growth retardation (-2 SD), a right </w:t>
      </w:r>
      <w:proofErr w:type="spellStart"/>
      <w:r w:rsidRPr="006A4ACB">
        <w:rPr>
          <w:rFonts w:ascii="Arial" w:hAnsi="Arial" w:cs="Arial"/>
        </w:rPr>
        <w:t>retroauricular</w:t>
      </w:r>
      <w:proofErr w:type="spellEnd"/>
      <w:r w:rsidRPr="006A4ACB">
        <w:rPr>
          <w:rFonts w:ascii="Arial" w:hAnsi="Arial" w:cs="Arial"/>
        </w:rPr>
        <w:t xml:space="preserve"> inflammatory mass, fever, bilateral wheezing, and displacement of the apex beat to the right. Abdominal ultrasound and echocardiography revealed complete situs </w:t>
      </w:r>
      <w:proofErr w:type="spellStart"/>
      <w:proofErr w:type="gramStart"/>
      <w:r w:rsidRPr="006A4ACB">
        <w:rPr>
          <w:rFonts w:ascii="Arial" w:hAnsi="Arial" w:cs="Arial"/>
        </w:rPr>
        <w:t>inversus.Thoracoabdominal</w:t>
      </w:r>
      <w:proofErr w:type="spellEnd"/>
      <w:proofErr w:type="gramEnd"/>
      <w:r w:rsidRPr="006A4ACB">
        <w:rPr>
          <w:rFonts w:ascii="Arial" w:hAnsi="Arial" w:cs="Arial"/>
        </w:rPr>
        <w:t xml:space="preserve"> CT scan showed bilateral bronchial dilatation, as illustrated in images A and B of Figure 1. The diagnosis of Kartagener syndrome was established. Treatment included intravenous antibiotics, pneumococcal and influenza vaccination, sequential antibiotic therapy, and respiratory physiotherapy.</w:t>
      </w:r>
    </w:p>
    <w:p w:rsidR="008F56AD" w:rsidRPr="006A4ACB" w:rsidRDefault="008F56AD" w:rsidP="00837CA7">
      <w:pPr>
        <w:pStyle w:val="Body"/>
        <w:spacing w:after="0"/>
        <w:rPr>
          <w:rFonts w:ascii="Arial" w:hAnsi="Arial" w:cs="Arial"/>
        </w:rPr>
      </w:pPr>
    </w:p>
    <w:p w:rsidR="008F56AD" w:rsidRPr="006A4ACB" w:rsidRDefault="00540569" w:rsidP="008F56AD">
      <w:pPr>
        <w:pStyle w:val="Body"/>
        <w:spacing w:after="0"/>
        <w:jc w:val="center"/>
        <w:rPr>
          <w:rFonts w:ascii="Arial" w:hAnsi="Arial" w:cs="Arial"/>
        </w:rPr>
      </w:pPr>
      <w:r w:rsidRPr="006A4ACB">
        <w:rPr>
          <w:rFonts w:ascii="Arial" w:hAnsi="Arial" w:cs="Arial"/>
          <w:b/>
        </w:rPr>
        <w:t xml:space="preserve">A </w:t>
      </w:r>
      <w:r w:rsidR="008F56AD" w:rsidRPr="006A4ACB">
        <w:rPr>
          <w:rFonts w:ascii="Arial" w:hAnsi="Arial" w:cs="Arial"/>
          <w:noProof/>
          <w:lang w:val="fr-FR" w:eastAsia="fr-FR"/>
        </w:rPr>
        <w:drawing>
          <wp:inline distT="0" distB="0" distL="0" distR="0">
            <wp:extent cx="1603146" cy="1272209"/>
            <wp:effectExtent l="19050" t="0" r="0" b="0"/>
            <wp:docPr id="14" name="Image 14" descr="F:\DSCF0962.JPG"/>
            <wp:cNvGraphicFramePr/>
            <a:graphic xmlns:a="http://schemas.openxmlformats.org/drawingml/2006/main">
              <a:graphicData uri="http://schemas.openxmlformats.org/drawingml/2006/picture">
                <pic:pic xmlns:pic="http://schemas.openxmlformats.org/drawingml/2006/picture">
                  <pic:nvPicPr>
                    <pic:cNvPr id="5125" name="Image 8" descr="F:\DSCF096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2515" cy="127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6A4ACB">
        <w:rPr>
          <w:rFonts w:ascii="Arial" w:hAnsi="Arial" w:cs="Arial"/>
          <w:b/>
        </w:rPr>
        <w:t>B</w:t>
      </w:r>
      <w:r w:rsidR="008F56AD" w:rsidRPr="006A4ACB">
        <w:rPr>
          <w:rFonts w:ascii="Arial" w:hAnsi="Arial" w:cs="Arial"/>
          <w:noProof/>
          <w:lang w:val="fr-FR" w:eastAsia="fr-FR"/>
        </w:rPr>
        <w:drawing>
          <wp:inline distT="0" distB="0" distL="0" distR="0">
            <wp:extent cx="1507601" cy="1272209"/>
            <wp:effectExtent l="19050" t="0" r="0" b="0"/>
            <wp:docPr id="15" name="Image 15" descr="F:\DSCF0958.JPG"/>
            <wp:cNvGraphicFramePr/>
            <a:graphic xmlns:a="http://schemas.openxmlformats.org/drawingml/2006/main">
              <a:graphicData uri="http://schemas.openxmlformats.org/drawingml/2006/picture">
                <pic:pic xmlns:pic="http://schemas.openxmlformats.org/drawingml/2006/picture">
                  <pic:nvPicPr>
                    <pic:cNvPr id="5128" name="Image 11" descr="F:\DSCF095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2341" cy="1276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C76D7" w:rsidRPr="006A4ACB" w:rsidRDefault="000C76D7" w:rsidP="008F56AD">
      <w:pPr>
        <w:pStyle w:val="Body"/>
        <w:spacing w:after="0"/>
        <w:jc w:val="center"/>
        <w:rPr>
          <w:rFonts w:ascii="Arial" w:hAnsi="Arial" w:cs="Arial"/>
        </w:rPr>
      </w:pPr>
    </w:p>
    <w:p w:rsidR="000C76D7" w:rsidRPr="006A4ACB" w:rsidRDefault="009E1E14" w:rsidP="008F56AD">
      <w:pPr>
        <w:pStyle w:val="Body"/>
        <w:spacing w:after="0"/>
        <w:jc w:val="center"/>
        <w:rPr>
          <w:rFonts w:ascii="Arial" w:hAnsi="Arial" w:cs="Arial"/>
        </w:rPr>
      </w:pPr>
      <w:r w:rsidRPr="006A4ACB">
        <w:rPr>
          <w:rFonts w:ascii="Arial" w:hAnsi="Arial" w:cs="Arial"/>
          <w:b/>
        </w:rPr>
        <w:t>Figure 1:</w:t>
      </w:r>
      <w:r w:rsidR="000C76D7" w:rsidRPr="006A4ACB">
        <w:rPr>
          <w:rFonts w:ascii="Arial" w:hAnsi="Arial" w:cs="Arial"/>
        </w:rPr>
        <w:t xml:space="preserve"> Axial CT images of the chest showing diffuse bilateral bronchiectasis in a child with Kartagener syndrome.</w:t>
      </w:r>
    </w:p>
    <w:p w:rsidR="00054C39" w:rsidRPr="006A4ACB" w:rsidRDefault="00054C39" w:rsidP="00837CA7">
      <w:pPr>
        <w:pStyle w:val="Body"/>
        <w:spacing w:after="0"/>
        <w:rPr>
          <w:rFonts w:ascii="Arial" w:hAnsi="Arial" w:cs="Arial"/>
        </w:rPr>
      </w:pPr>
    </w:p>
    <w:p w:rsidR="00837CA7" w:rsidRPr="006A4ACB" w:rsidRDefault="00837CA7" w:rsidP="00E861AB">
      <w:pPr>
        <w:pStyle w:val="Heading1"/>
        <w:numPr>
          <w:ilvl w:val="1"/>
          <w:numId w:val="39"/>
        </w:numPr>
        <w:rPr>
          <w:sz w:val="22"/>
        </w:rPr>
      </w:pPr>
      <w:r w:rsidRPr="006A4ACB">
        <w:rPr>
          <w:sz w:val="22"/>
        </w:rPr>
        <w:t xml:space="preserve">Observation 2 </w:t>
      </w:r>
    </w:p>
    <w:p w:rsidR="006A4ACB" w:rsidRDefault="006A4ACB" w:rsidP="00837CA7">
      <w:pPr>
        <w:pStyle w:val="Body"/>
        <w:spacing w:after="0"/>
        <w:rPr>
          <w:rFonts w:ascii="Arial" w:hAnsi="Arial" w:cs="Arial"/>
        </w:rPr>
      </w:pPr>
    </w:p>
    <w:p w:rsidR="00837CA7" w:rsidRPr="006A4ACB" w:rsidRDefault="00837CA7" w:rsidP="00837CA7">
      <w:pPr>
        <w:pStyle w:val="Body"/>
        <w:spacing w:after="0"/>
        <w:rPr>
          <w:rFonts w:ascii="Arial" w:hAnsi="Arial" w:cs="Arial"/>
        </w:rPr>
      </w:pPr>
      <w:proofErr w:type="spellStart"/>
      <w:r w:rsidRPr="006A4ACB">
        <w:rPr>
          <w:rFonts w:ascii="Arial" w:hAnsi="Arial" w:cs="Arial"/>
        </w:rPr>
        <w:t>Chaimae</w:t>
      </w:r>
      <w:proofErr w:type="spellEnd"/>
      <w:r w:rsidRPr="006A4ACB">
        <w:rPr>
          <w:rFonts w:ascii="Arial" w:hAnsi="Arial" w:cs="Arial"/>
        </w:rPr>
        <w:t xml:space="preserve">, 5 years old, with a history of recurrent pneumonias. Clinical presentation included morning </w:t>
      </w:r>
      <w:proofErr w:type="spellStart"/>
      <w:r w:rsidRPr="006A4ACB">
        <w:rPr>
          <w:rFonts w:ascii="Arial" w:hAnsi="Arial" w:cs="Arial"/>
        </w:rPr>
        <w:t>bronchorrhea</w:t>
      </w:r>
      <w:proofErr w:type="spellEnd"/>
      <w:r w:rsidRPr="006A4ACB">
        <w:rPr>
          <w:rFonts w:ascii="Arial" w:hAnsi="Arial" w:cs="Arial"/>
        </w:rPr>
        <w:t xml:space="preserve"> and recurrent sinusitis. Thoracoabdominal CT showed situs inversus, </w:t>
      </w:r>
      <w:r w:rsidRPr="006A4ACB">
        <w:rPr>
          <w:rFonts w:ascii="Arial" w:hAnsi="Arial" w:cs="Arial"/>
        </w:rPr>
        <w:lastRenderedPageBreak/>
        <w:t xml:space="preserve">bilateral bronchiectasis, and a left pulmonary focus. Sinus CT scan revealed bilateral rhinosinusitis. Treatment included </w:t>
      </w:r>
      <w:r w:rsidR="000C228C" w:rsidRPr="000C228C">
        <w:rPr>
          <w:color w:val="000000"/>
          <w:highlight w:val="yellow"/>
        </w:rPr>
        <w:t>empirical antibiotic therapy</w:t>
      </w:r>
      <w:r w:rsidRPr="000C228C">
        <w:rPr>
          <w:rFonts w:ascii="Arial" w:hAnsi="Arial" w:cs="Arial"/>
          <w:highlight w:val="yellow"/>
        </w:rPr>
        <w:t>,</w:t>
      </w:r>
      <w:r w:rsidRPr="006A4ACB">
        <w:rPr>
          <w:rFonts w:ascii="Arial" w:hAnsi="Arial" w:cs="Arial"/>
        </w:rPr>
        <w:t xml:space="preserve"> vaccination, and respiratory physiotherapy.</w:t>
      </w:r>
    </w:p>
    <w:p w:rsidR="00054C39" w:rsidRPr="006A4ACB" w:rsidRDefault="00054C39" w:rsidP="008F4065">
      <w:pPr>
        <w:pStyle w:val="BodyText"/>
      </w:pPr>
    </w:p>
    <w:p w:rsidR="00054C39" w:rsidRPr="006A4ACB" w:rsidRDefault="00837CA7" w:rsidP="00514A72">
      <w:pPr>
        <w:pStyle w:val="Heading1"/>
        <w:numPr>
          <w:ilvl w:val="1"/>
          <w:numId w:val="39"/>
        </w:numPr>
        <w:rPr>
          <w:sz w:val="22"/>
        </w:rPr>
      </w:pPr>
      <w:r w:rsidRPr="006A4ACB">
        <w:rPr>
          <w:sz w:val="22"/>
        </w:rPr>
        <w:t xml:space="preserve">Observation 3 </w:t>
      </w:r>
    </w:p>
    <w:p w:rsidR="006A4ACB" w:rsidRDefault="006A4ACB" w:rsidP="00837CA7">
      <w:pPr>
        <w:pStyle w:val="Body"/>
        <w:spacing w:after="0"/>
        <w:rPr>
          <w:rFonts w:ascii="Arial" w:hAnsi="Arial" w:cs="Arial"/>
        </w:rPr>
      </w:pPr>
    </w:p>
    <w:p w:rsidR="000C76D7" w:rsidRPr="006A4ACB" w:rsidRDefault="00B428B1" w:rsidP="00837CA7">
      <w:pPr>
        <w:pStyle w:val="Body"/>
        <w:spacing w:after="0"/>
        <w:rPr>
          <w:rFonts w:ascii="Arial" w:hAnsi="Arial" w:cs="Arial"/>
        </w:rPr>
      </w:pPr>
      <w:r>
        <w:t xml:space="preserve">Med, a 4.5-year-old boy, presented with chronic productive cough since the age of 6 months, along with rhinorrhea and growth retardation. CXR revealed bronchial thickening and dextrocardia, while the thoracic CT scan showed </w:t>
      </w:r>
      <w:r w:rsidRPr="00B428B1">
        <w:rPr>
          <w:highlight w:val="yellow"/>
        </w:rPr>
        <w:t>areas of lobar collapse with preserved aeration</w:t>
      </w:r>
      <w:r w:rsidRPr="00B428B1">
        <w:t xml:space="preserve"> and</w:t>
      </w:r>
      <w:r>
        <w:t xml:space="preserve"> a micronodular interstitial syndrome. Situs inversus was confirmed, and the diagnosis of Kartagener syndrome was established, as shown in images A and B of Figure 2.</w:t>
      </w:r>
    </w:p>
    <w:p w:rsidR="00F05DFC" w:rsidRPr="006A4ACB" w:rsidRDefault="00514A72" w:rsidP="00054C39">
      <w:pPr>
        <w:pStyle w:val="Body"/>
        <w:spacing w:after="0"/>
        <w:jc w:val="center"/>
        <w:rPr>
          <w:rFonts w:ascii="Arial" w:hAnsi="Arial" w:cs="Arial"/>
          <w:lang w:val="fr-FR"/>
        </w:rPr>
      </w:pPr>
      <w:r w:rsidRPr="006A4ACB">
        <w:rPr>
          <w:rFonts w:ascii="Arial" w:hAnsi="Arial" w:cs="Arial"/>
          <w:b/>
          <w:lang w:val="fr-FR"/>
        </w:rPr>
        <w:t xml:space="preserve">A </w:t>
      </w:r>
      <w:r w:rsidR="00054C39" w:rsidRPr="006A4ACB">
        <w:rPr>
          <w:rFonts w:ascii="Arial" w:hAnsi="Arial" w:cs="Arial"/>
          <w:noProof/>
          <w:lang w:val="fr-FR" w:eastAsia="fr-FR"/>
        </w:rPr>
        <w:drawing>
          <wp:inline distT="0" distB="0" distL="0" distR="0">
            <wp:extent cx="1418747" cy="1201003"/>
            <wp:effectExtent l="19050" t="0" r="0" b="0"/>
            <wp:docPr id="1" name="Image 1" descr="F:\DSCF0968.JPG"/>
            <wp:cNvGraphicFramePr/>
            <a:graphic xmlns:a="http://schemas.openxmlformats.org/drawingml/2006/main">
              <a:graphicData uri="http://schemas.openxmlformats.org/drawingml/2006/picture">
                <pic:pic xmlns:pic="http://schemas.openxmlformats.org/drawingml/2006/picture">
                  <pic:nvPicPr>
                    <pic:cNvPr id="15" name="Image 10" descr="F:\DSCF096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2318" cy="120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6A4ACB">
        <w:rPr>
          <w:rFonts w:ascii="Arial" w:hAnsi="Arial" w:cs="Arial"/>
          <w:b/>
          <w:lang w:val="fr-FR"/>
        </w:rPr>
        <w:t>B</w:t>
      </w:r>
      <w:r w:rsidR="00054C39" w:rsidRPr="006A4ACB">
        <w:rPr>
          <w:rFonts w:ascii="Arial" w:hAnsi="Arial" w:cs="Arial"/>
          <w:noProof/>
          <w:lang w:val="fr-FR" w:eastAsia="fr-FR"/>
        </w:rPr>
        <w:drawing>
          <wp:inline distT="0" distB="0" distL="0" distR="0">
            <wp:extent cx="1523147" cy="1197834"/>
            <wp:effectExtent l="19050" t="0" r="853" b="0"/>
            <wp:docPr id="3" name="Image 2" descr="F:\DSCF0952.JPG"/>
            <wp:cNvGraphicFramePr/>
            <a:graphic xmlns:a="http://schemas.openxmlformats.org/drawingml/2006/main">
              <a:graphicData uri="http://schemas.openxmlformats.org/drawingml/2006/picture">
                <pic:pic xmlns:pic="http://schemas.openxmlformats.org/drawingml/2006/picture">
                  <pic:nvPicPr>
                    <pic:cNvPr id="16" name="Image 9" descr="F:\DSCF095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119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514A72" w:rsidRPr="006A4ACB" w:rsidRDefault="00514A72" w:rsidP="00054C39">
      <w:pPr>
        <w:pStyle w:val="Body"/>
        <w:spacing w:after="0"/>
        <w:jc w:val="center"/>
        <w:rPr>
          <w:rFonts w:ascii="Arial" w:hAnsi="Arial" w:cs="Arial"/>
          <w:lang w:val="fr-FR"/>
        </w:rPr>
      </w:pPr>
    </w:p>
    <w:p w:rsidR="00514A72" w:rsidRPr="006A4ACB" w:rsidRDefault="00514A72" w:rsidP="00054C39">
      <w:pPr>
        <w:pStyle w:val="Body"/>
        <w:spacing w:after="0"/>
        <w:jc w:val="center"/>
        <w:rPr>
          <w:rFonts w:ascii="Arial" w:hAnsi="Arial" w:cs="Arial"/>
        </w:rPr>
      </w:pPr>
      <w:r w:rsidRPr="006A4ACB">
        <w:rPr>
          <w:rFonts w:ascii="Arial" w:hAnsi="Arial" w:cs="Arial"/>
          <w:b/>
        </w:rPr>
        <w:t>Figure 2:</w:t>
      </w:r>
      <w:r w:rsidRPr="006A4ACB">
        <w:rPr>
          <w:rFonts w:ascii="Arial" w:hAnsi="Arial" w:cs="Arial"/>
        </w:rPr>
        <w:t xml:space="preserve"> Chest X-ray </w:t>
      </w:r>
      <w:r w:rsidRPr="006A4ACB">
        <w:rPr>
          <w:rFonts w:ascii="Arial" w:hAnsi="Arial" w:cs="Arial"/>
          <w:b/>
        </w:rPr>
        <w:t xml:space="preserve">(A) </w:t>
      </w:r>
      <w:r w:rsidRPr="006A4ACB">
        <w:rPr>
          <w:rFonts w:ascii="Arial" w:hAnsi="Arial" w:cs="Arial"/>
        </w:rPr>
        <w:t xml:space="preserve">and thoracic CT scan </w:t>
      </w:r>
      <w:r w:rsidRPr="006A4ACB">
        <w:rPr>
          <w:rFonts w:ascii="Arial" w:hAnsi="Arial" w:cs="Arial"/>
          <w:b/>
        </w:rPr>
        <w:t>(B)</w:t>
      </w:r>
      <w:r w:rsidRPr="006A4ACB">
        <w:rPr>
          <w:rFonts w:ascii="Arial" w:hAnsi="Arial" w:cs="Arial"/>
        </w:rPr>
        <w:t xml:space="preserve"> showing dextrocardia, bronchial thickening, and bilateral aerated collapse with interstitial micronodular infiltrates in a child with Kartagener syndrome.</w:t>
      </w:r>
    </w:p>
    <w:p w:rsidR="00837CA7" w:rsidRPr="006A4ACB" w:rsidRDefault="00837CA7" w:rsidP="00E861AB">
      <w:pPr>
        <w:pStyle w:val="Heading1"/>
        <w:numPr>
          <w:ilvl w:val="1"/>
          <w:numId w:val="39"/>
        </w:numPr>
        <w:rPr>
          <w:sz w:val="22"/>
        </w:rPr>
      </w:pPr>
      <w:r w:rsidRPr="006A4ACB">
        <w:rPr>
          <w:sz w:val="22"/>
        </w:rPr>
        <w:t>Observation 4</w:t>
      </w:r>
    </w:p>
    <w:p w:rsidR="006A4ACB" w:rsidRDefault="006A4ACB" w:rsidP="00837CA7">
      <w:pPr>
        <w:pStyle w:val="Body"/>
        <w:spacing w:after="0"/>
        <w:rPr>
          <w:rFonts w:ascii="Arial" w:hAnsi="Arial" w:cs="Arial"/>
        </w:rPr>
      </w:pPr>
    </w:p>
    <w:p w:rsidR="00837CA7" w:rsidRPr="006A4ACB" w:rsidRDefault="00E41E6C" w:rsidP="00837CA7">
      <w:pPr>
        <w:pStyle w:val="Body"/>
        <w:spacing w:after="0"/>
        <w:rPr>
          <w:rFonts w:ascii="Arial" w:hAnsi="Arial" w:cs="Arial"/>
        </w:rPr>
      </w:pPr>
      <w:proofErr w:type="spellStart"/>
      <w:r w:rsidRPr="006A4ACB">
        <w:rPr>
          <w:rFonts w:ascii="Arial" w:hAnsi="Arial" w:cs="Arial"/>
        </w:rPr>
        <w:t>Lamyae</w:t>
      </w:r>
      <w:proofErr w:type="spellEnd"/>
      <w:r w:rsidRPr="006A4ACB">
        <w:rPr>
          <w:rFonts w:ascii="Arial" w:hAnsi="Arial" w:cs="Arial"/>
        </w:rPr>
        <w:t xml:space="preserve">, a </w:t>
      </w:r>
      <w:r w:rsidR="00837CA7" w:rsidRPr="006A4ACB">
        <w:rPr>
          <w:rFonts w:ascii="Arial" w:hAnsi="Arial" w:cs="Arial"/>
        </w:rPr>
        <w:t xml:space="preserve">13-year-old girl, third among four siblings, followed since early childhood for recurrent respiratory infections. Incidentally discovered dextrocardia. She experienced repeated hospitalizations since 2023 for pneumonias caused by </w:t>
      </w:r>
      <w:proofErr w:type="spellStart"/>
      <w:r w:rsidR="00837CA7" w:rsidRPr="006A4ACB">
        <w:rPr>
          <w:rFonts w:ascii="Arial" w:hAnsi="Arial" w:cs="Arial"/>
        </w:rPr>
        <w:t>Haemophilus</w:t>
      </w:r>
      <w:proofErr w:type="spellEnd"/>
      <w:r w:rsidR="00837CA7" w:rsidRPr="006A4ACB">
        <w:rPr>
          <w:rFonts w:ascii="Arial" w:hAnsi="Arial" w:cs="Arial"/>
        </w:rPr>
        <w:t xml:space="preserve"> influenzae and Pseudomonas aeruginosa. Clinical examination revealed a right-sided apex beat without cardiac murmur or signs of heart failure.</w:t>
      </w:r>
      <w:r w:rsidR="005C5171">
        <w:rPr>
          <w:rFonts w:ascii="Arial" w:hAnsi="Arial" w:cs="Arial"/>
        </w:rPr>
        <w:t xml:space="preserve"> Echo</w:t>
      </w:r>
      <w:r w:rsidR="00514A72" w:rsidRPr="006A4ACB">
        <w:rPr>
          <w:rFonts w:ascii="Arial" w:hAnsi="Arial" w:cs="Arial"/>
        </w:rPr>
        <w:t xml:space="preserve"> and thoracic CT confirmed complete situs inversus and bilateral bronchiectasis, as shown in images A and B of Figure 3. The clinical course has been stable under antibiotic prophylaxis and biweekly respiratory physiotherapy.</w:t>
      </w:r>
    </w:p>
    <w:p w:rsidR="00F05DFC" w:rsidRPr="006A4ACB" w:rsidRDefault="00F05DFC" w:rsidP="00837CA7">
      <w:pPr>
        <w:pStyle w:val="Body"/>
        <w:spacing w:after="0"/>
        <w:rPr>
          <w:rFonts w:ascii="Arial" w:hAnsi="Arial" w:cs="Arial"/>
        </w:rPr>
      </w:pPr>
    </w:p>
    <w:p w:rsidR="00054C39" w:rsidRPr="006A4ACB" w:rsidRDefault="00174476" w:rsidP="007A399F">
      <w:pPr>
        <w:pStyle w:val="Body"/>
        <w:spacing w:after="0"/>
        <w:jc w:val="center"/>
        <w:rPr>
          <w:rFonts w:ascii="Arial" w:hAnsi="Arial" w:cs="Arial"/>
          <w:noProof/>
          <w:lang w:val="fr-FR" w:eastAsia="fr-FR"/>
        </w:rPr>
      </w:pPr>
      <w:r>
        <w:rPr>
          <w:rFonts w:ascii="Times New Roman" w:hAnsi="Times New Roman"/>
          <w:noProof/>
          <w:sz w:val="24"/>
          <w:szCs w:val="24"/>
          <w:lang w:val="fr-FR" w:eastAsia="fr-FR"/>
        </w:rPr>
        <w:pict>
          <v:shape id="_x0000_s1029" type="#_x0000_t32" style="position:absolute;left:0;text-align:left;margin-left:170.2pt;margin-top:52.6pt;width:14.5pt;height:8.95pt;flip:x y;z-index:251660288" o:connectortype="straight" strokecolor="yellow" strokeweight="3pt">
            <v:stroke endarrow="block"/>
            <v:shadow type="perspective" color="#4e6128 [1606]" opacity=".5" offset="1pt" offset2="-1pt"/>
          </v:shape>
        </w:pict>
      </w:r>
      <w:r>
        <w:rPr>
          <w:rFonts w:ascii="Times New Roman" w:hAnsi="Times New Roman"/>
          <w:noProof/>
          <w:sz w:val="24"/>
          <w:szCs w:val="24"/>
          <w:lang w:val="fr-FR" w:eastAsia="fr-FR"/>
        </w:rPr>
        <w:pict>
          <v:shape id="_x0000_s1028" type="#_x0000_t32" style="position:absolute;left:0;text-align:left;margin-left:237.7pt;margin-top:367.6pt;width:9pt;height:17.45pt;flip:x y;z-index:251659264" o:connectortype="straight" strokecolor="yellow" strokeweight="3pt">
            <v:stroke endarrow="block"/>
            <v:shadow type="perspective" color="#4e6128 [1606]" opacity=".5" offset="1pt" offset2="-1pt"/>
          </v:shape>
        </w:pict>
      </w:r>
      <w:r>
        <w:rPr>
          <w:rFonts w:ascii="Times New Roman" w:hAnsi="Times New Roman"/>
          <w:noProof/>
          <w:sz w:val="24"/>
          <w:szCs w:val="24"/>
          <w:lang w:val="fr-FR" w:eastAsia="fr-FR"/>
        </w:rPr>
        <w:pict>
          <v:shape id="_x0000_s1027" type="#_x0000_t32" style="position:absolute;left:0;text-align:left;margin-left:112.7pt;margin-top:40.05pt;width:11pt;height:7pt;z-index:251658240" o:connectortype="straight" strokecolor="yellow" strokeweight="3pt">
            <v:stroke endarrow="block"/>
            <v:shadow type="perspective" color="#4e6128 [1606]" opacity=".5" offset="1pt" offset2="-1pt"/>
          </v:shape>
        </w:pict>
      </w:r>
      <w:r w:rsidR="00514A72" w:rsidRPr="006A4ACB">
        <w:rPr>
          <w:rFonts w:ascii="Arial" w:hAnsi="Arial" w:cs="Arial"/>
          <w:b/>
          <w:noProof/>
          <w:lang w:val="fr-FR" w:eastAsia="fr-FR"/>
        </w:rPr>
        <w:t>A</w:t>
      </w:r>
      <w:r w:rsidR="00054C39" w:rsidRPr="006A4ACB">
        <w:rPr>
          <w:rFonts w:ascii="Arial" w:hAnsi="Arial" w:cs="Arial"/>
          <w:noProof/>
          <w:lang w:val="fr-FR" w:eastAsia="fr-FR"/>
        </w:rPr>
        <w:drawing>
          <wp:inline distT="0" distB="0" distL="0" distR="0">
            <wp:extent cx="1417023" cy="1337481"/>
            <wp:effectExtent l="19050" t="0" r="0" b="0"/>
            <wp:docPr id="11" name="Image 11" descr="C:\Users\dell\Desktop\Asian Journal of Pediatric Research\article syndrome de kartagener\LAMY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Asian Journal of Pediatric Research\article syndrome de kartagener\LAMYAE.jpg"/>
                    <pic:cNvPicPr>
                      <a:picLocks noChangeAspect="1" noChangeArrowheads="1"/>
                    </pic:cNvPicPr>
                  </pic:nvPicPr>
                  <pic:blipFill>
                    <a:blip r:embed="rId18" cstate="print"/>
                    <a:srcRect/>
                    <a:stretch>
                      <a:fillRect/>
                    </a:stretch>
                  </pic:blipFill>
                  <pic:spPr bwMode="auto">
                    <a:xfrm>
                      <a:off x="0" y="0"/>
                      <a:ext cx="1421208" cy="1341431"/>
                    </a:xfrm>
                    <a:prstGeom prst="rect">
                      <a:avLst/>
                    </a:prstGeom>
                    <a:noFill/>
                    <a:ln w="9525">
                      <a:noFill/>
                      <a:miter lim="800000"/>
                      <a:headEnd/>
                      <a:tailEnd/>
                    </a:ln>
                  </pic:spPr>
                </pic:pic>
              </a:graphicData>
            </a:graphic>
          </wp:inline>
        </w:drawing>
      </w:r>
      <w:r w:rsidR="00514A72" w:rsidRPr="006A4ACB">
        <w:rPr>
          <w:rFonts w:ascii="Arial" w:hAnsi="Arial" w:cs="Arial"/>
          <w:b/>
          <w:noProof/>
          <w:lang w:val="fr-FR" w:eastAsia="fr-FR"/>
        </w:rPr>
        <w:t>B</w:t>
      </w:r>
      <w:r w:rsidR="00054C39" w:rsidRPr="006A4ACB">
        <w:rPr>
          <w:rFonts w:ascii="Arial" w:hAnsi="Arial" w:cs="Arial"/>
          <w:noProof/>
          <w:lang w:val="fr-FR" w:eastAsia="fr-FR"/>
        </w:rPr>
        <w:drawing>
          <wp:inline distT="0" distB="0" distL="0" distR="0">
            <wp:extent cx="1484496" cy="1378548"/>
            <wp:effectExtent l="19050" t="0" r="1404" b="0"/>
            <wp:docPr id="10" name="Image 10" descr="C:\Users\dell\Desktop\Asian Journal of Pediatric Research\article syndrome de kartagener\LAMYA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Asian Journal of Pediatric Research\article syndrome de kartagener\LAMYAE 1.jpg"/>
                    <pic:cNvPicPr>
                      <a:picLocks noChangeAspect="1" noChangeArrowheads="1"/>
                    </pic:cNvPicPr>
                  </pic:nvPicPr>
                  <pic:blipFill>
                    <a:blip r:embed="rId19" cstate="print"/>
                    <a:srcRect/>
                    <a:stretch>
                      <a:fillRect/>
                    </a:stretch>
                  </pic:blipFill>
                  <pic:spPr bwMode="auto">
                    <a:xfrm>
                      <a:off x="0" y="0"/>
                      <a:ext cx="1487169" cy="1381030"/>
                    </a:xfrm>
                    <a:prstGeom prst="rect">
                      <a:avLst/>
                    </a:prstGeom>
                    <a:noFill/>
                    <a:ln w="9525">
                      <a:noFill/>
                      <a:miter lim="800000"/>
                      <a:headEnd/>
                      <a:tailEnd/>
                    </a:ln>
                  </pic:spPr>
                </pic:pic>
              </a:graphicData>
            </a:graphic>
          </wp:inline>
        </w:drawing>
      </w:r>
    </w:p>
    <w:p w:rsidR="00514A72" w:rsidRDefault="00514A72" w:rsidP="008F4065">
      <w:pPr>
        <w:spacing w:before="100" w:beforeAutospacing="1" w:after="100" w:afterAutospacing="1"/>
        <w:jc w:val="center"/>
      </w:pPr>
      <w:r w:rsidRPr="006A4ACB">
        <w:rPr>
          <w:b/>
        </w:rPr>
        <w:t>Figure 3:</w:t>
      </w:r>
      <w:r w:rsidRPr="006A4ACB">
        <w:t xml:space="preserve"> Thoracic and sinus CT images showing diffuse bilateral bronchiectasis </w:t>
      </w:r>
      <w:r w:rsidRPr="006A4ACB">
        <w:rPr>
          <w:b/>
        </w:rPr>
        <w:t>(A)</w:t>
      </w:r>
      <w:r w:rsidRPr="006A4ACB">
        <w:t xml:space="preserve"> and associated chronic sinusitis </w:t>
      </w:r>
      <w:r w:rsidRPr="006A4ACB">
        <w:rPr>
          <w:b/>
        </w:rPr>
        <w:t>(B)</w:t>
      </w:r>
      <w:r w:rsidRPr="006A4ACB">
        <w:t xml:space="preserve"> in a patient with Kartagener syndrome.</w:t>
      </w:r>
    </w:p>
    <w:p w:rsidR="00546BA8" w:rsidRPr="006A4ACB" w:rsidRDefault="00546BA8" w:rsidP="008F4065">
      <w:pPr>
        <w:spacing w:before="100" w:beforeAutospacing="1" w:after="100" w:afterAutospacing="1"/>
        <w:jc w:val="center"/>
        <w:rPr>
          <w:rFonts w:ascii="Times New Roman" w:hAnsi="Times New Roman"/>
          <w:sz w:val="24"/>
          <w:szCs w:val="24"/>
          <w:lang w:val="fr-FR" w:eastAsia="fr-FR"/>
        </w:rPr>
      </w:pPr>
    </w:p>
    <w:p w:rsidR="00837CA7" w:rsidRPr="006A4ACB" w:rsidRDefault="00837CA7" w:rsidP="00E861AB">
      <w:pPr>
        <w:pStyle w:val="Heading1"/>
        <w:numPr>
          <w:ilvl w:val="1"/>
          <w:numId w:val="39"/>
        </w:numPr>
        <w:rPr>
          <w:sz w:val="22"/>
        </w:rPr>
      </w:pPr>
      <w:r w:rsidRPr="006A4ACB">
        <w:rPr>
          <w:sz w:val="22"/>
        </w:rPr>
        <w:lastRenderedPageBreak/>
        <w:t xml:space="preserve">Observation 5 </w:t>
      </w:r>
    </w:p>
    <w:p w:rsidR="006A4ACB" w:rsidRDefault="006A4ACB" w:rsidP="00837CA7">
      <w:pPr>
        <w:pStyle w:val="Body"/>
        <w:spacing w:after="0"/>
        <w:rPr>
          <w:rFonts w:ascii="Arial" w:hAnsi="Arial" w:cs="Arial"/>
        </w:rPr>
      </w:pPr>
    </w:p>
    <w:p w:rsidR="00837CA7" w:rsidRPr="006A4ACB" w:rsidRDefault="00837CA7" w:rsidP="00837CA7">
      <w:pPr>
        <w:pStyle w:val="Body"/>
        <w:spacing w:after="0"/>
        <w:rPr>
          <w:rFonts w:ascii="Arial" w:hAnsi="Arial" w:cs="Arial"/>
        </w:rPr>
      </w:pPr>
      <w:proofErr w:type="spellStart"/>
      <w:r w:rsidRPr="006A4ACB">
        <w:rPr>
          <w:rFonts w:ascii="Arial" w:hAnsi="Arial" w:cs="Arial"/>
        </w:rPr>
        <w:t>Chaimaa</w:t>
      </w:r>
      <w:proofErr w:type="spellEnd"/>
      <w:r w:rsidRPr="006A4ACB">
        <w:rPr>
          <w:rFonts w:ascii="Arial" w:hAnsi="Arial" w:cs="Arial"/>
        </w:rPr>
        <w:t xml:space="preserve">, a 20-year-old woman, second among four siblings, diagnosed at 6 years old with Kartagener syndrome. History of chronic </w:t>
      </w:r>
      <w:proofErr w:type="spellStart"/>
      <w:r w:rsidRPr="006A4ACB">
        <w:rPr>
          <w:rFonts w:ascii="Arial" w:hAnsi="Arial" w:cs="Arial"/>
        </w:rPr>
        <w:t>bronchorrhea</w:t>
      </w:r>
      <w:proofErr w:type="spellEnd"/>
      <w:r w:rsidRPr="006A4ACB">
        <w:rPr>
          <w:rFonts w:ascii="Arial" w:hAnsi="Arial" w:cs="Arial"/>
        </w:rPr>
        <w:t xml:space="preserve"> and recurrent lower respiratory infections since childhood. </w:t>
      </w:r>
      <w:r w:rsidR="00501657" w:rsidRPr="006A4ACB">
        <w:rPr>
          <w:rFonts w:ascii="Arial" w:hAnsi="Arial" w:cs="Arial"/>
        </w:rPr>
        <w:t xml:space="preserve">A recent thoracic CT scan, as shown in Figure 4 below, revealed diffuse bronchiectasis with signs of superinfection, and confirmed the presence of situs inversus. </w:t>
      </w:r>
      <w:r w:rsidRPr="006A4ACB">
        <w:rPr>
          <w:rFonts w:ascii="Arial" w:hAnsi="Arial" w:cs="Arial"/>
        </w:rPr>
        <w:t>Since 2024, she has developed chronic respiratory failure req</w:t>
      </w:r>
      <w:r w:rsidR="005C5171">
        <w:rPr>
          <w:rFonts w:ascii="Arial" w:hAnsi="Arial" w:cs="Arial"/>
        </w:rPr>
        <w:t>uiring continuous O</w:t>
      </w:r>
      <w:r w:rsidR="005C5171" w:rsidRPr="005C5171">
        <w:rPr>
          <w:rFonts w:ascii="Arial" w:hAnsi="Arial" w:cs="Arial"/>
          <w:vertAlign w:val="subscript"/>
        </w:rPr>
        <w:t>2</w:t>
      </w:r>
      <w:r w:rsidR="005C5171">
        <w:rPr>
          <w:rFonts w:ascii="Arial" w:hAnsi="Arial" w:cs="Arial"/>
        </w:rPr>
        <w:t>T</w:t>
      </w:r>
      <w:r w:rsidRPr="006A4ACB">
        <w:rPr>
          <w:rFonts w:ascii="Arial" w:hAnsi="Arial" w:cs="Arial"/>
        </w:rPr>
        <w:t>. Pulmonary function tests</w:t>
      </w:r>
      <w:r w:rsidR="005C5171">
        <w:rPr>
          <w:rFonts w:ascii="Arial" w:hAnsi="Arial" w:cs="Arial"/>
        </w:rPr>
        <w:t xml:space="preserve"> (PFTs)</w:t>
      </w:r>
      <w:r w:rsidRPr="006A4ACB">
        <w:rPr>
          <w:rFonts w:ascii="Arial" w:hAnsi="Arial" w:cs="Arial"/>
        </w:rPr>
        <w:t xml:space="preserve"> revealed severe obstructive syndrome. The clinical course was marked by frequent hospitalizations for infectious exacerbations caused by Pseudomonas aeruginosa, managed with adapted antibiotic therapy and colistin </w:t>
      </w:r>
      <w:proofErr w:type="spellStart"/>
      <w:r w:rsidRPr="006A4ACB">
        <w:rPr>
          <w:rFonts w:ascii="Arial" w:hAnsi="Arial" w:cs="Arial"/>
        </w:rPr>
        <w:t>nebulizations</w:t>
      </w:r>
      <w:proofErr w:type="spellEnd"/>
      <w:r w:rsidRPr="006A4ACB">
        <w:rPr>
          <w:rFonts w:ascii="Arial" w:hAnsi="Arial" w:cs="Arial"/>
        </w:rPr>
        <w:t>.</w:t>
      </w:r>
    </w:p>
    <w:p w:rsidR="008F56AD" w:rsidRPr="006A4ACB" w:rsidRDefault="008F56AD" w:rsidP="00837CA7">
      <w:pPr>
        <w:pStyle w:val="Body"/>
        <w:spacing w:after="0"/>
        <w:rPr>
          <w:rFonts w:ascii="Arial" w:hAnsi="Arial" w:cs="Arial"/>
        </w:rPr>
      </w:pPr>
    </w:p>
    <w:p w:rsidR="00501657" w:rsidRPr="006A4ACB" w:rsidRDefault="00174476" w:rsidP="00501657">
      <w:pPr>
        <w:pStyle w:val="Body"/>
        <w:spacing w:after="0"/>
        <w:jc w:val="center"/>
        <w:rPr>
          <w:rFonts w:ascii="Arial" w:hAnsi="Arial" w:cs="Arial"/>
          <w:b/>
          <w:noProof/>
          <w:sz w:val="22"/>
          <w:lang w:val="fr-FR" w:eastAsia="fr-FR"/>
        </w:rPr>
      </w:pPr>
      <w:r>
        <w:rPr>
          <w:rFonts w:ascii="Arial" w:hAnsi="Arial" w:cs="Arial"/>
          <w:b/>
          <w:noProof/>
          <w:sz w:val="22"/>
          <w:lang w:val="fr-FR" w:eastAsia="fr-FR"/>
        </w:rPr>
        <w:pict>
          <v:shape id="_x0000_s1030" type="#_x0000_t32" style="position:absolute;left:0;text-align:left;margin-left:237.7pt;margin-top:42.9pt;width:9pt;height:17.45pt;flip:x y;z-index:251661312" o:connectortype="straight" strokecolor="yellow" strokeweight="3pt">
            <v:stroke endarrow="block"/>
            <v:shadow type="perspective" color="#4e6128 [1606]" opacity=".5" offset="1pt" offset2="-1pt"/>
          </v:shape>
        </w:pict>
      </w:r>
      <w:r w:rsidR="008F56AD" w:rsidRPr="006A4ACB">
        <w:rPr>
          <w:rFonts w:ascii="Arial" w:hAnsi="Arial" w:cs="Arial"/>
          <w:b/>
          <w:noProof/>
          <w:sz w:val="22"/>
          <w:lang w:val="fr-FR" w:eastAsia="fr-FR"/>
        </w:rPr>
        <w:drawing>
          <wp:inline distT="0" distB="0" distL="0" distR="0">
            <wp:extent cx="1585228" cy="1344728"/>
            <wp:effectExtent l="19050" t="0" r="0" b="0"/>
            <wp:docPr id="12" name="Image 7" descr="C:\Users\dell\Desktop\NOUVEAU\articles\syndrome de kartagener\les 5 cas kartagener\l'article écrit\PHOTOS\NAJAH\CHAIMAE\chaim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NOUVEAU\articles\syndrome de kartagener\les 5 cas kartagener\l'article écrit\PHOTOS\NAJAH\CHAIMAE\chaimae.jpg"/>
                    <pic:cNvPicPr>
                      <a:picLocks noChangeAspect="1" noChangeArrowheads="1"/>
                    </pic:cNvPicPr>
                  </pic:nvPicPr>
                  <pic:blipFill>
                    <a:blip r:embed="rId20" cstate="print"/>
                    <a:srcRect/>
                    <a:stretch>
                      <a:fillRect/>
                    </a:stretch>
                  </pic:blipFill>
                  <pic:spPr bwMode="auto">
                    <a:xfrm>
                      <a:off x="0" y="0"/>
                      <a:ext cx="1587500" cy="1346200"/>
                    </a:xfrm>
                    <a:prstGeom prst="rect">
                      <a:avLst/>
                    </a:prstGeom>
                    <a:noFill/>
                    <a:ln w="9525">
                      <a:noFill/>
                      <a:miter lim="800000"/>
                      <a:headEnd/>
                      <a:tailEnd/>
                    </a:ln>
                  </pic:spPr>
                </pic:pic>
              </a:graphicData>
            </a:graphic>
          </wp:inline>
        </w:drawing>
      </w:r>
    </w:p>
    <w:p w:rsidR="00501657" w:rsidRDefault="00501657" w:rsidP="007C2CB1">
      <w:pPr>
        <w:pStyle w:val="Body"/>
        <w:spacing w:after="0"/>
        <w:jc w:val="center"/>
      </w:pPr>
      <w:r w:rsidRPr="006A4ACB">
        <w:rPr>
          <w:b/>
        </w:rPr>
        <w:t>Figure 4:</w:t>
      </w:r>
      <w:r w:rsidR="00590D3F">
        <w:rPr>
          <w:b/>
        </w:rPr>
        <w:t xml:space="preserve"> </w:t>
      </w:r>
      <w:r w:rsidR="007C2CB1">
        <w:t>Axial chest CT scan showing extensive bilateral cystic bronchiectasis, predominantly in the right upper lobe</w:t>
      </w:r>
    </w:p>
    <w:p w:rsidR="00921642" w:rsidRDefault="00921642" w:rsidP="007C2CB1">
      <w:pPr>
        <w:pStyle w:val="Body"/>
        <w:spacing w:after="0"/>
        <w:jc w:val="center"/>
      </w:pPr>
    </w:p>
    <w:p w:rsidR="00921642" w:rsidRPr="00851CAC" w:rsidRDefault="00921642" w:rsidP="00921642">
      <w:pPr>
        <w:pStyle w:val="Heading1"/>
        <w:numPr>
          <w:ilvl w:val="1"/>
          <w:numId w:val="39"/>
        </w:numPr>
        <w:rPr>
          <w:sz w:val="22"/>
          <w:highlight w:val="yellow"/>
        </w:rPr>
      </w:pPr>
      <w:r w:rsidRPr="00851CAC">
        <w:rPr>
          <w:bCs/>
          <w:sz w:val="22"/>
        </w:rPr>
        <w:t>Comparative table</w:t>
      </w:r>
    </w:p>
    <w:p w:rsidR="00921642" w:rsidRPr="00851CAC" w:rsidRDefault="00590D3F" w:rsidP="00590D3F">
      <w:pPr>
        <w:pStyle w:val="NormalWeb"/>
        <w:rPr>
          <w:rFonts w:ascii="Arial" w:hAnsi="Arial" w:cs="Arial"/>
          <w:sz w:val="20"/>
          <w:szCs w:val="20"/>
          <w:highlight w:val="yellow"/>
          <w:lang w:val="en-US" w:eastAsia="en-US"/>
        </w:rPr>
      </w:pPr>
      <w:r w:rsidRPr="00851CAC">
        <w:rPr>
          <w:rFonts w:ascii="Arial" w:hAnsi="Arial" w:cs="Arial"/>
          <w:sz w:val="20"/>
          <w:szCs w:val="20"/>
          <w:highlight w:val="yellow"/>
          <w:lang w:val="en-US" w:eastAsia="en-US"/>
        </w:rPr>
        <w:t>Table 1 provides a summary of our results.</w:t>
      </w:r>
    </w:p>
    <w:p w:rsidR="00921642" w:rsidRPr="00851CAC" w:rsidRDefault="00921642" w:rsidP="00590D3F">
      <w:pPr>
        <w:pStyle w:val="Heading3"/>
        <w:jc w:val="center"/>
        <w:rPr>
          <w:rFonts w:ascii="Arial" w:eastAsia="Times New Roman" w:hAnsi="Arial" w:cs="Arial"/>
          <w:b w:val="0"/>
          <w:bCs w:val="0"/>
          <w:color w:val="auto"/>
          <w:highlight w:val="yellow"/>
        </w:rPr>
      </w:pPr>
      <w:r w:rsidRPr="00851CAC">
        <w:rPr>
          <w:rFonts w:ascii="Arial" w:eastAsia="Times New Roman" w:hAnsi="Arial" w:cs="Arial"/>
          <w:bCs w:val="0"/>
          <w:color w:val="auto"/>
          <w:highlight w:val="yellow"/>
        </w:rPr>
        <w:t>Table 1</w:t>
      </w:r>
      <w:r w:rsidR="00590D3F" w:rsidRPr="00851CAC">
        <w:rPr>
          <w:rFonts w:ascii="Arial" w:eastAsia="Times New Roman" w:hAnsi="Arial" w:cs="Arial"/>
          <w:bCs w:val="0"/>
          <w:color w:val="auto"/>
          <w:highlight w:val="yellow"/>
        </w:rPr>
        <w:t>:</w:t>
      </w:r>
      <w:r w:rsidRPr="00851CAC">
        <w:rPr>
          <w:rFonts w:ascii="Arial" w:eastAsia="Times New Roman" w:hAnsi="Arial" w:cs="Arial"/>
          <w:b w:val="0"/>
          <w:bCs w:val="0"/>
          <w:color w:val="auto"/>
          <w:highlight w:val="yellow"/>
        </w:rPr>
        <w:t xml:space="preserve"> Individual characteristics and overall results of the five patients with Kartagener syndrome</w:t>
      </w:r>
    </w:p>
    <w:p w:rsidR="00590D3F" w:rsidRPr="00851CAC" w:rsidRDefault="00590D3F" w:rsidP="00590D3F"/>
    <w:tbl>
      <w:tblPr>
        <w:tblStyle w:val="TableGrid"/>
        <w:tblW w:w="8543" w:type="dxa"/>
        <w:tblInd w:w="70" w:type="dxa"/>
        <w:tblLayout w:type="fixed"/>
        <w:tblLook w:val="04A0" w:firstRow="1" w:lastRow="0" w:firstColumn="1" w:lastColumn="0" w:noHBand="0" w:noVBand="1"/>
      </w:tblPr>
      <w:tblGrid>
        <w:gridCol w:w="1739"/>
        <w:gridCol w:w="993"/>
        <w:gridCol w:w="944"/>
        <w:gridCol w:w="1040"/>
        <w:gridCol w:w="992"/>
        <w:gridCol w:w="993"/>
        <w:gridCol w:w="1842"/>
      </w:tblGrid>
      <w:tr w:rsidR="004A1CD1" w:rsidRPr="00851CAC" w:rsidTr="004A1CD1">
        <w:tc>
          <w:tcPr>
            <w:tcW w:w="1739"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sz w:val="20"/>
                <w:szCs w:val="20"/>
                <w:highlight w:val="yellow"/>
              </w:rPr>
              <w:t>Parameters</w:t>
            </w:r>
          </w:p>
        </w:tc>
        <w:tc>
          <w:tcPr>
            <w:tcW w:w="993"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sz w:val="20"/>
                <w:szCs w:val="20"/>
                <w:highlight w:val="yellow"/>
              </w:rPr>
              <w:t>Patient 1</w:t>
            </w:r>
          </w:p>
        </w:tc>
        <w:tc>
          <w:tcPr>
            <w:tcW w:w="944"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sz w:val="20"/>
                <w:szCs w:val="20"/>
                <w:highlight w:val="yellow"/>
              </w:rPr>
              <w:t>Patient 2</w:t>
            </w:r>
          </w:p>
        </w:tc>
        <w:tc>
          <w:tcPr>
            <w:tcW w:w="1040"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sz w:val="20"/>
                <w:szCs w:val="20"/>
                <w:highlight w:val="yellow"/>
              </w:rPr>
              <w:t>Patient 3</w:t>
            </w:r>
          </w:p>
        </w:tc>
        <w:tc>
          <w:tcPr>
            <w:tcW w:w="992"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sz w:val="20"/>
                <w:szCs w:val="20"/>
                <w:highlight w:val="yellow"/>
              </w:rPr>
              <w:t>Patient 4</w:t>
            </w:r>
          </w:p>
        </w:tc>
        <w:tc>
          <w:tcPr>
            <w:tcW w:w="993"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sz w:val="20"/>
                <w:szCs w:val="20"/>
                <w:highlight w:val="yellow"/>
              </w:rPr>
              <w:t>Patient 5</w:t>
            </w:r>
          </w:p>
        </w:tc>
        <w:tc>
          <w:tcPr>
            <w:tcW w:w="1842" w:type="dxa"/>
            <w:hideMark/>
          </w:tcPr>
          <w:p w:rsidR="00921642" w:rsidRPr="00851CAC" w:rsidRDefault="00921642">
            <w:pPr>
              <w:jc w:val="center"/>
              <w:rPr>
                <w:rFonts w:ascii="Arial" w:eastAsia="Times New Roman" w:hAnsi="Arial" w:cs="Arial"/>
                <w:b/>
                <w:sz w:val="20"/>
                <w:szCs w:val="20"/>
                <w:highlight w:val="yellow"/>
              </w:rPr>
            </w:pPr>
            <w:r w:rsidRPr="00851CAC">
              <w:rPr>
                <w:rFonts w:ascii="Arial" w:eastAsia="Times New Roman" w:hAnsi="Arial" w:cs="Arial"/>
                <w:b/>
                <w:bCs/>
                <w:sz w:val="20"/>
                <w:szCs w:val="20"/>
              </w:rPr>
              <w:t>Summary / Results</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Age (years)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4.5</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5</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6</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13</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20</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Median 6 years (4.5–20), mean 9.7 ± 6.7</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Sex</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F</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F</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M</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F</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F</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4 females (80%), 1 male (20%)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Diagnostic delay (years)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2</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3</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1</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5</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10</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Median 3 years (1–10), mean 4.2 ± 3.6</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Chronic respiratory symptoms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5/5 (100%)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Complete situs inversus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5/5 (100%)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Bilateral bronchiectasis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5/5 (100%)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ENT complications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Recurrent otitis media</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Mastoiditis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2/5 (40%)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lastRenderedPageBreak/>
              <w:t>Documented bacterial infections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None</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i/>
                <w:iCs/>
                <w:sz w:val="20"/>
                <w:szCs w:val="20"/>
              </w:rPr>
              <w:t>Pseudomonas aeruginosa</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proofErr w:type="spellStart"/>
            <w:r w:rsidRPr="00851CAC">
              <w:rPr>
                <w:rFonts w:ascii="Arial" w:eastAsia="Times New Roman" w:hAnsi="Arial" w:cs="Arial"/>
                <w:i/>
                <w:iCs/>
                <w:sz w:val="20"/>
                <w:szCs w:val="20"/>
              </w:rPr>
              <w:t>Haemophilus</w:t>
            </w:r>
            <w:proofErr w:type="spellEnd"/>
            <w:r w:rsidRPr="00851CAC">
              <w:rPr>
                <w:rFonts w:ascii="Arial" w:eastAsia="Times New Roman" w:hAnsi="Arial" w:cs="Arial"/>
                <w:i/>
                <w:iCs/>
                <w:sz w:val="20"/>
                <w:szCs w:val="20"/>
              </w:rPr>
              <w:t xml:space="preserve"> influenzae</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i/>
                <w:iCs/>
                <w:sz w:val="20"/>
                <w:szCs w:val="20"/>
              </w:rPr>
              <w:t>Pseudomonas aeruginosa</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None</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 xml:space="preserve">3/5 (60%): 2 </w:t>
            </w:r>
            <w:r w:rsidRPr="00851CAC">
              <w:rPr>
                <w:rFonts w:ascii="Arial" w:eastAsia="Times New Roman" w:hAnsi="Arial" w:cs="Arial"/>
                <w:i/>
                <w:iCs/>
                <w:sz w:val="20"/>
                <w:szCs w:val="20"/>
              </w:rPr>
              <w:t>Pseudomonas</w:t>
            </w:r>
            <w:r w:rsidRPr="00851CAC">
              <w:rPr>
                <w:rFonts w:ascii="Arial" w:eastAsia="Times New Roman" w:hAnsi="Arial" w:cs="Arial"/>
                <w:sz w:val="20"/>
                <w:szCs w:val="20"/>
                <w:highlight w:val="yellow"/>
              </w:rPr>
              <w:t xml:space="preserve">, 1 </w:t>
            </w:r>
            <w:proofErr w:type="spellStart"/>
            <w:r w:rsidRPr="00851CAC">
              <w:rPr>
                <w:rFonts w:ascii="Arial" w:eastAsia="Times New Roman" w:hAnsi="Arial" w:cs="Arial"/>
                <w:i/>
                <w:iCs/>
                <w:sz w:val="20"/>
                <w:szCs w:val="20"/>
              </w:rPr>
              <w:t>Haemophilus</w:t>
            </w:r>
            <w:proofErr w:type="spellEnd"/>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Recurrent hospitalizations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2/5 (40%)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Chronic respiratory failure</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Yes (adult)</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1/5 (20%)</w:t>
            </w:r>
          </w:p>
        </w:tc>
      </w:tr>
      <w:tr w:rsidR="004A1CD1" w:rsidRPr="00851CA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Genetic testing</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No</w:t>
            </w:r>
          </w:p>
        </w:tc>
        <w:tc>
          <w:tcPr>
            <w:tcW w:w="1842" w:type="dxa"/>
            <w:hideMark/>
          </w:tcPr>
          <w:p w:rsidR="00921642" w:rsidRPr="00851CAC" w:rsidRDefault="00921642">
            <w:pPr>
              <w:rPr>
                <w:rFonts w:ascii="Arial" w:eastAsia="Times New Roman" w:hAnsi="Arial" w:cs="Arial"/>
                <w:sz w:val="20"/>
                <w:szCs w:val="20"/>
                <w:highlight w:val="yellow"/>
              </w:rPr>
            </w:pPr>
            <w:r w:rsidRPr="00851CAC">
              <w:rPr>
                <w:rFonts w:ascii="Arial" w:eastAsia="Times New Roman" w:hAnsi="Arial" w:cs="Arial"/>
                <w:sz w:val="20"/>
                <w:szCs w:val="20"/>
                <w:highlight w:val="yellow"/>
              </w:rPr>
              <w:t>0/5 (0%)</w:t>
            </w:r>
          </w:p>
        </w:tc>
      </w:tr>
      <w:tr w:rsidR="004A1CD1" w:rsidRPr="00A70DBC" w:rsidTr="004A1CD1">
        <w:tc>
          <w:tcPr>
            <w:tcW w:w="1739" w:type="dxa"/>
            <w:hideMark/>
          </w:tcPr>
          <w:p w:rsidR="00921642" w:rsidRPr="00851CAC" w:rsidRDefault="00921642">
            <w:pPr>
              <w:rPr>
                <w:rFonts w:ascii="Arial" w:eastAsia="Times New Roman" w:hAnsi="Arial" w:cs="Arial"/>
                <w:b/>
                <w:sz w:val="20"/>
                <w:szCs w:val="20"/>
                <w:highlight w:val="yellow"/>
              </w:rPr>
            </w:pPr>
            <w:r w:rsidRPr="00851CAC">
              <w:rPr>
                <w:rFonts w:ascii="Arial" w:eastAsia="Times New Roman" w:hAnsi="Arial" w:cs="Arial"/>
                <w:b/>
                <w:sz w:val="20"/>
                <w:szCs w:val="20"/>
                <w:highlight w:val="yellow"/>
              </w:rPr>
              <w:t>Treatment</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ATB + Respiratory physio + Vaccines</w:t>
            </w:r>
          </w:p>
        </w:tc>
        <w:tc>
          <w:tcPr>
            <w:tcW w:w="944"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ATB + Respiratory physio + Vaccines</w:t>
            </w:r>
          </w:p>
        </w:tc>
        <w:tc>
          <w:tcPr>
            <w:tcW w:w="1040"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ATB + Respiratory physio + Vaccines</w:t>
            </w:r>
          </w:p>
        </w:tc>
        <w:tc>
          <w:tcPr>
            <w:tcW w:w="992"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ATB + Respiratory physio + Vaccines</w:t>
            </w:r>
          </w:p>
        </w:tc>
        <w:tc>
          <w:tcPr>
            <w:tcW w:w="993" w:type="dxa"/>
            <w:hideMark/>
          </w:tcPr>
          <w:p w:rsidR="00921642" w:rsidRPr="00851CAC" w:rsidRDefault="00921642" w:rsidP="004A1CD1">
            <w:pPr>
              <w:jc w:val="center"/>
              <w:rPr>
                <w:rFonts w:ascii="Arial" w:eastAsia="Times New Roman" w:hAnsi="Arial" w:cs="Arial"/>
                <w:sz w:val="20"/>
                <w:szCs w:val="20"/>
                <w:highlight w:val="yellow"/>
              </w:rPr>
            </w:pPr>
            <w:r w:rsidRPr="00851CAC">
              <w:rPr>
                <w:rFonts w:ascii="Arial" w:eastAsia="Times New Roman" w:hAnsi="Arial" w:cs="Arial"/>
                <w:sz w:val="20"/>
                <w:szCs w:val="20"/>
                <w:highlight w:val="yellow"/>
              </w:rPr>
              <w:t>ATB + Respiratory physio + Vaccines</w:t>
            </w:r>
          </w:p>
        </w:tc>
        <w:tc>
          <w:tcPr>
            <w:tcW w:w="1842" w:type="dxa"/>
            <w:hideMark/>
          </w:tcPr>
          <w:p w:rsidR="00921642" w:rsidRPr="00A70DBC" w:rsidRDefault="00921642">
            <w:pPr>
              <w:rPr>
                <w:rFonts w:ascii="Arial" w:eastAsia="Times New Roman" w:hAnsi="Arial" w:cs="Arial"/>
                <w:sz w:val="20"/>
                <w:szCs w:val="20"/>
              </w:rPr>
            </w:pPr>
            <w:r w:rsidRPr="00851CAC">
              <w:rPr>
                <w:rFonts w:ascii="Arial" w:eastAsia="Times New Roman" w:hAnsi="Arial" w:cs="Arial"/>
                <w:sz w:val="20"/>
                <w:szCs w:val="20"/>
                <w:highlight w:val="yellow"/>
              </w:rPr>
              <w:t>All patients: antibiotics, regular respiratory physiotherapy, vaccination updates</w:t>
            </w:r>
          </w:p>
        </w:tc>
      </w:tr>
    </w:tbl>
    <w:p w:rsidR="00501657" w:rsidRPr="006A4ACB" w:rsidRDefault="00501657" w:rsidP="00921642">
      <w:pPr>
        <w:pStyle w:val="Body"/>
        <w:spacing w:after="0"/>
        <w:jc w:val="left"/>
        <w:rPr>
          <w:rFonts w:ascii="Arial" w:hAnsi="Arial" w:cs="Arial"/>
          <w:b/>
          <w:noProof/>
          <w:sz w:val="22"/>
          <w:lang w:val="fr-FR" w:eastAsia="fr-FR"/>
        </w:rPr>
      </w:pPr>
    </w:p>
    <w:p w:rsidR="00F45981" w:rsidRPr="006A4ACB" w:rsidRDefault="00F45981" w:rsidP="00E861AB">
      <w:pPr>
        <w:pStyle w:val="Heading1"/>
        <w:numPr>
          <w:ilvl w:val="0"/>
          <w:numId w:val="39"/>
        </w:numPr>
        <w:rPr>
          <w:rFonts w:cs="Arial"/>
          <w:caps/>
          <w:kern w:val="0"/>
          <w:sz w:val="22"/>
        </w:rPr>
      </w:pPr>
      <w:r w:rsidRPr="006A4ACB">
        <w:rPr>
          <w:rFonts w:cs="Arial"/>
          <w:caps/>
          <w:kern w:val="0"/>
          <w:sz w:val="22"/>
        </w:rPr>
        <w:t>Discussion</w:t>
      </w:r>
    </w:p>
    <w:p w:rsidR="006A4ACB" w:rsidRDefault="006A4ACB" w:rsidP="00C64F08">
      <w:pPr>
        <w:pStyle w:val="Body"/>
        <w:spacing w:after="0"/>
        <w:rPr>
          <w:rFonts w:ascii="Arial" w:hAnsi="Arial" w:cs="Arial"/>
        </w:rPr>
      </w:pPr>
    </w:p>
    <w:p w:rsidR="00F45981" w:rsidRPr="006A4ACB" w:rsidRDefault="00F45981" w:rsidP="00C64F08">
      <w:pPr>
        <w:pStyle w:val="Body"/>
        <w:spacing w:after="0"/>
        <w:rPr>
          <w:rFonts w:ascii="Arial" w:hAnsi="Arial" w:cs="Arial"/>
        </w:rPr>
      </w:pPr>
      <w:r w:rsidRPr="006A4ACB">
        <w:rPr>
          <w:rFonts w:ascii="Arial" w:hAnsi="Arial" w:cs="Arial"/>
        </w:rPr>
        <w:t>Kartagener syndrome is related to mutations affecting the structure and function of motile cilia [3]. Several genes have been implicated, notably DNAH5, DNAI1, and CCDC39 [4,5]. It follows an autosomal recessive inheritance pattern [6]. Diagnosis is based on clinical presentation, imaging, and, when possible, genetic confirmation or electron microscopy [7].</w:t>
      </w:r>
    </w:p>
    <w:p w:rsidR="00E861AB" w:rsidRPr="006A4ACB" w:rsidRDefault="00E861AB" w:rsidP="00E861AB">
      <w:pPr>
        <w:pStyle w:val="ListParagraph"/>
        <w:numPr>
          <w:ilvl w:val="0"/>
          <w:numId w:val="32"/>
        </w:numPr>
        <w:rPr>
          <w:rFonts w:ascii="Arial" w:hAnsi="Arial" w:cs="Arial"/>
          <w:b/>
          <w:vanish/>
          <w:sz w:val="22"/>
        </w:rPr>
      </w:pPr>
    </w:p>
    <w:p w:rsidR="00F45981" w:rsidRPr="006A4ACB" w:rsidRDefault="00F45981" w:rsidP="00E861AB">
      <w:pPr>
        <w:pStyle w:val="Heading1"/>
        <w:numPr>
          <w:ilvl w:val="1"/>
          <w:numId w:val="39"/>
        </w:numPr>
        <w:rPr>
          <w:sz w:val="22"/>
        </w:rPr>
      </w:pPr>
      <w:r w:rsidRPr="006A4ACB">
        <w:rPr>
          <w:sz w:val="22"/>
        </w:rPr>
        <w:t>Case Analysis</w:t>
      </w:r>
    </w:p>
    <w:p w:rsidR="006A4ACB" w:rsidRDefault="006A4ACB" w:rsidP="00C64F08">
      <w:pPr>
        <w:pStyle w:val="Body"/>
        <w:spacing w:after="0"/>
        <w:rPr>
          <w:rFonts w:ascii="Arial" w:hAnsi="Arial" w:cs="Arial"/>
        </w:rPr>
      </w:pPr>
    </w:p>
    <w:p w:rsidR="006A4ACB" w:rsidRDefault="00F45981" w:rsidP="00C64F08">
      <w:pPr>
        <w:pStyle w:val="Body"/>
        <w:spacing w:after="0"/>
        <w:rPr>
          <w:rFonts w:ascii="Arial" w:hAnsi="Arial" w:cs="Arial"/>
        </w:rPr>
      </w:pPr>
      <w:r w:rsidRPr="006A4ACB">
        <w:rPr>
          <w:rFonts w:ascii="Arial" w:hAnsi="Arial" w:cs="Arial"/>
        </w:rPr>
        <w:t xml:space="preserve">The five cases we report share common features: all patients presented with complete situs inversus confirmed by imaging. Chronic respiratory symptoms appearing in early childhood (morning </w:t>
      </w:r>
      <w:proofErr w:type="spellStart"/>
      <w:r w:rsidRPr="006A4ACB">
        <w:rPr>
          <w:rFonts w:ascii="Arial" w:hAnsi="Arial" w:cs="Arial"/>
        </w:rPr>
        <w:t>bronchorrhea</w:t>
      </w:r>
      <w:proofErr w:type="spellEnd"/>
      <w:r w:rsidRPr="006A4ACB">
        <w:rPr>
          <w:rFonts w:ascii="Arial" w:hAnsi="Arial" w:cs="Arial"/>
        </w:rPr>
        <w:t>, productive cough, recurrent sinusitis) were constant, in line with classical descriptions</w:t>
      </w:r>
      <w:r w:rsidR="005C5171">
        <w:rPr>
          <w:rFonts w:ascii="Arial" w:hAnsi="Arial" w:cs="Arial"/>
        </w:rPr>
        <w:t xml:space="preserve"> of PCD</w:t>
      </w:r>
      <w:r w:rsidRPr="006A4ACB">
        <w:rPr>
          <w:rFonts w:ascii="Arial" w:hAnsi="Arial" w:cs="Arial"/>
        </w:rPr>
        <w:t xml:space="preserve"> [8]. Diagnosis was often made following repeated pneumonias, sometimes complicated by otitis or mastoiditis [9].</w:t>
      </w:r>
    </w:p>
    <w:p w:rsidR="006A4ACB" w:rsidRDefault="006A4ACB" w:rsidP="00C64F08">
      <w:pPr>
        <w:pStyle w:val="Body"/>
        <w:spacing w:after="0"/>
        <w:rPr>
          <w:rFonts w:ascii="Arial" w:hAnsi="Arial" w:cs="Arial"/>
        </w:rPr>
      </w:pPr>
    </w:p>
    <w:p w:rsidR="00F45981" w:rsidRPr="006A4ACB" w:rsidRDefault="00F45981" w:rsidP="00C64F08">
      <w:pPr>
        <w:pStyle w:val="Body"/>
        <w:spacing w:after="0"/>
        <w:rPr>
          <w:rFonts w:ascii="Arial" w:hAnsi="Arial" w:cs="Arial"/>
        </w:rPr>
      </w:pPr>
      <w:r w:rsidRPr="006A4ACB">
        <w:rPr>
          <w:rFonts w:ascii="Arial" w:hAnsi="Arial" w:cs="Arial"/>
        </w:rPr>
        <w:t xml:space="preserve">Progression to bronchiectasis is frequent and represents a major complication of delayed diagnosis [10]. Two patients had chronic Pseudomonas aeruginosa colonization, which is associated with accelerated respiratory decline [11]. The evolution toward chronic respiratory failure observed in </w:t>
      </w:r>
      <w:proofErr w:type="spellStart"/>
      <w:r w:rsidRPr="006A4ACB">
        <w:rPr>
          <w:rFonts w:ascii="Arial" w:hAnsi="Arial" w:cs="Arial"/>
        </w:rPr>
        <w:t>Chaimaa</w:t>
      </w:r>
      <w:proofErr w:type="spellEnd"/>
      <w:r w:rsidRPr="006A4ACB">
        <w:rPr>
          <w:rFonts w:ascii="Arial" w:hAnsi="Arial" w:cs="Arial"/>
        </w:rPr>
        <w:t xml:space="preserve"> illustrates the harmful impact of chronic bacterial colonization.</w:t>
      </w:r>
    </w:p>
    <w:p w:rsidR="00C64F08" w:rsidRPr="006A4ACB" w:rsidRDefault="00F45981" w:rsidP="00C64F08">
      <w:pPr>
        <w:pStyle w:val="Heading1"/>
        <w:numPr>
          <w:ilvl w:val="1"/>
          <w:numId w:val="39"/>
        </w:numPr>
        <w:rPr>
          <w:sz w:val="22"/>
        </w:rPr>
      </w:pPr>
      <w:r w:rsidRPr="006A4ACB">
        <w:rPr>
          <w:sz w:val="22"/>
        </w:rPr>
        <w:t>Moroccan Specificities</w:t>
      </w:r>
    </w:p>
    <w:p w:rsidR="006A4ACB" w:rsidRDefault="006A4ACB" w:rsidP="00C64F08">
      <w:pPr>
        <w:pStyle w:val="Body"/>
        <w:spacing w:after="0"/>
        <w:rPr>
          <w:rFonts w:ascii="Arial" w:hAnsi="Arial" w:cs="Arial"/>
        </w:rPr>
      </w:pPr>
    </w:p>
    <w:p w:rsidR="00F45981" w:rsidRPr="006A4ACB" w:rsidRDefault="00F45981" w:rsidP="00C64F08">
      <w:pPr>
        <w:pStyle w:val="Body"/>
        <w:spacing w:after="0"/>
        <w:rPr>
          <w:rFonts w:ascii="Arial" w:hAnsi="Arial" w:cs="Arial"/>
        </w:rPr>
      </w:pPr>
      <w:r w:rsidRPr="006A4ACB">
        <w:rPr>
          <w:rFonts w:ascii="Arial" w:hAnsi="Arial" w:cs="Arial"/>
        </w:rPr>
        <w:t>Our series highlights the necessity for early recognition of Kartagener syndrome in Morocco, where diagnosis often remains delayed due to lack of awareness [12]. The lack of awareness, combined with the absence of systematic screening programs, promotes progression to severe forms. Our observations confirm the importance of developing local awareness strategies within pediatric and ENT departments [13].</w:t>
      </w:r>
    </w:p>
    <w:p w:rsidR="00C64F08" w:rsidRPr="006A4ACB" w:rsidRDefault="00F45981" w:rsidP="00C64F08">
      <w:pPr>
        <w:pStyle w:val="Heading1"/>
        <w:numPr>
          <w:ilvl w:val="1"/>
          <w:numId w:val="39"/>
        </w:numPr>
        <w:rPr>
          <w:sz w:val="22"/>
        </w:rPr>
      </w:pPr>
      <w:r w:rsidRPr="006A4ACB">
        <w:rPr>
          <w:sz w:val="22"/>
        </w:rPr>
        <w:t>Diagnostic Challenges and Future Perspectives</w:t>
      </w:r>
    </w:p>
    <w:p w:rsidR="006A4ACB" w:rsidRDefault="006A4ACB" w:rsidP="00C64F08">
      <w:pPr>
        <w:pStyle w:val="Body"/>
        <w:spacing w:after="0"/>
        <w:rPr>
          <w:rFonts w:ascii="Arial" w:hAnsi="Arial" w:cs="Arial"/>
        </w:rPr>
      </w:pPr>
    </w:p>
    <w:p w:rsidR="00C64F08" w:rsidRPr="006A4ACB" w:rsidRDefault="00F45981" w:rsidP="00C64F08">
      <w:pPr>
        <w:pStyle w:val="Body"/>
        <w:spacing w:after="0"/>
        <w:rPr>
          <w:rFonts w:ascii="Arial" w:hAnsi="Arial" w:cs="Arial"/>
        </w:rPr>
      </w:pPr>
      <w:r w:rsidRPr="006A4ACB">
        <w:rPr>
          <w:rFonts w:ascii="Arial" w:hAnsi="Arial" w:cs="Arial"/>
        </w:rPr>
        <w:t xml:space="preserve">The main obstacle remains the lack of systematic access to genetic diagnostic tests, particularly targeted sequencing or </w:t>
      </w:r>
      <w:proofErr w:type="spellStart"/>
      <w:r w:rsidRPr="006A4ACB">
        <w:rPr>
          <w:rFonts w:ascii="Arial" w:hAnsi="Arial" w:cs="Arial"/>
        </w:rPr>
        <w:t>videomicroscopy</w:t>
      </w:r>
      <w:proofErr w:type="spellEnd"/>
      <w:r w:rsidRPr="006A4ACB">
        <w:rPr>
          <w:rFonts w:ascii="Arial" w:hAnsi="Arial" w:cs="Arial"/>
        </w:rPr>
        <w:t xml:space="preserve"> analysis of ciliary beating [1</w:t>
      </w:r>
      <w:r w:rsidR="00F85503">
        <w:rPr>
          <w:rFonts w:ascii="Arial" w:hAnsi="Arial" w:cs="Arial"/>
        </w:rPr>
        <w:t>4</w:t>
      </w:r>
      <w:r w:rsidRPr="006A4ACB">
        <w:rPr>
          <w:rFonts w:ascii="Arial" w:hAnsi="Arial" w:cs="Arial"/>
        </w:rPr>
        <w:t xml:space="preserve">]. The </w:t>
      </w:r>
      <w:r w:rsidRPr="006A4ACB">
        <w:rPr>
          <w:rFonts w:ascii="Arial" w:hAnsi="Arial" w:cs="Arial"/>
        </w:rPr>
        <w:lastRenderedPageBreak/>
        <w:t xml:space="preserve">development of specialized laboratories is crucial for early confirmation of PCD cases, optimized management, and ultimately the exploration of innovative therapeutic approaches such as gene therapy </w:t>
      </w:r>
      <w:r w:rsidRPr="00B4383A">
        <w:rPr>
          <w:rFonts w:ascii="Arial" w:hAnsi="Arial" w:cs="Arial"/>
        </w:rPr>
        <w:t>[1</w:t>
      </w:r>
      <w:r w:rsidR="00F85503" w:rsidRPr="00B4383A">
        <w:rPr>
          <w:rFonts w:ascii="Arial" w:hAnsi="Arial" w:cs="Arial"/>
        </w:rPr>
        <w:t>5</w:t>
      </w:r>
      <w:r w:rsidRPr="00B4383A">
        <w:rPr>
          <w:rFonts w:ascii="Arial" w:hAnsi="Arial" w:cs="Arial"/>
        </w:rPr>
        <w:t>].</w:t>
      </w:r>
    </w:p>
    <w:p w:rsidR="00C64F08" w:rsidRPr="006A4ACB" w:rsidRDefault="00F45981" w:rsidP="00C64F08">
      <w:pPr>
        <w:pStyle w:val="Heading1"/>
        <w:numPr>
          <w:ilvl w:val="1"/>
          <w:numId w:val="39"/>
        </w:numPr>
        <w:rPr>
          <w:sz w:val="22"/>
        </w:rPr>
      </w:pPr>
      <w:r w:rsidRPr="006A4ACB">
        <w:rPr>
          <w:sz w:val="22"/>
        </w:rPr>
        <w:t>Need for Multidisciplinary Management</w:t>
      </w:r>
    </w:p>
    <w:p w:rsidR="006A4ACB" w:rsidRDefault="006A4ACB" w:rsidP="00C64F08">
      <w:pPr>
        <w:pStyle w:val="Body"/>
        <w:spacing w:after="0"/>
        <w:rPr>
          <w:rFonts w:ascii="Arial" w:hAnsi="Arial" w:cs="Arial"/>
        </w:rPr>
      </w:pPr>
    </w:p>
    <w:p w:rsidR="00F45981" w:rsidRPr="006A4ACB" w:rsidRDefault="00F45981" w:rsidP="00C64F08">
      <w:pPr>
        <w:pStyle w:val="Body"/>
        <w:spacing w:after="0"/>
        <w:rPr>
          <w:rFonts w:ascii="Arial" w:hAnsi="Arial" w:cs="Arial"/>
        </w:rPr>
      </w:pPr>
      <w:r w:rsidRPr="006A4ACB">
        <w:rPr>
          <w:rFonts w:ascii="Arial" w:hAnsi="Arial" w:cs="Arial"/>
        </w:rPr>
        <w:t>Our observations reinforce the importance of a multidisciplinary approach (pediatrics, pulmonology, ENT, physiotherapy, genetics) in the follow-up of children with PCD [13]. Structured follow-up could significantly improve their quality of life, slow respiratory decline, and reduce infectious complications.</w:t>
      </w:r>
    </w:p>
    <w:p w:rsidR="00B01FCD" w:rsidRPr="006A4ACB" w:rsidRDefault="00000F8F" w:rsidP="00A73AD7">
      <w:pPr>
        <w:pStyle w:val="Heading1"/>
        <w:numPr>
          <w:ilvl w:val="0"/>
          <w:numId w:val="39"/>
        </w:numPr>
        <w:rPr>
          <w:rFonts w:cs="Arial"/>
        </w:rPr>
      </w:pPr>
      <w:r w:rsidRPr="006A4ACB">
        <w:rPr>
          <w:rFonts w:cs="Arial"/>
          <w:caps/>
          <w:kern w:val="0"/>
          <w:sz w:val="22"/>
        </w:rPr>
        <w:t>Conclusion</w:t>
      </w:r>
    </w:p>
    <w:p w:rsidR="006A4ACB" w:rsidRDefault="006A4ACB" w:rsidP="00A73AD7">
      <w:pPr>
        <w:pStyle w:val="Body"/>
        <w:spacing w:after="0"/>
        <w:rPr>
          <w:rFonts w:ascii="Arial" w:hAnsi="Arial" w:cs="Arial"/>
        </w:rPr>
      </w:pPr>
    </w:p>
    <w:p w:rsidR="00861C68" w:rsidRPr="006A4ACB" w:rsidRDefault="00861C68" w:rsidP="00A73AD7">
      <w:pPr>
        <w:pStyle w:val="Body"/>
        <w:spacing w:after="0"/>
        <w:rPr>
          <w:rFonts w:ascii="Arial" w:hAnsi="Arial" w:cs="Arial"/>
        </w:rPr>
      </w:pPr>
      <w:r w:rsidRPr="00AB6A26">
        <w:t>Kartagener syndrome is a complex disease that requires a rigorous multidisciplinary approach. Our five cases illustrate the importance of early diagnosis and appropriate management to improve quality of life and limit respiratory complications.</w:t>
      </w:r>
      <w:r w:rsidRPr="00861C68">
        <w:rPr>
          <w:highlight w:val="yellow"/>
        </w:rPr>
        <w:t xml:space="preserve"> It should be clarified that the diagnosis is not exclusively based on electron microscopy, and this limitation should not prevent the identification of such patients who require early management and should not be confused with other differentials [16,17].</w:t>
      </w:r>
    </w:p>
    <w:p w:rsidR="00A73AD7" w:rsidRPr="006A4ACB" w:rsidRDefault="00A73AD7" w:rsidP="00441B6F">
      <w:pPr>
        <w:pStyle w:val="Body"/>
        <w:spacing w:after="0"/>
        <w:rPr>
          <w:rFonts w:ascii="Arial" w:hAnsi="Arial" w:cs="Arial"/>
        </w:rPr>
      </w:pPr>
    </w:p>
    <w:p w:rsidR="007653CC" w:rsidRPr="006A4ACB" w:rsidRDefault="007653CC" w:rsidP="007653CC">
      <w:pPr>
        <w:pStyle w:val="ReferHead"/>
        <w:spacing w:after="0"/>
        <w:jc w:val="both"/>
        <w:rPr>
          <w:rFonts w:ascii="Arial" w:hAnsi="Arial" w:cs="Arial"/>
          <w:bCs/>
        </w:rPr>
      </w:pPr>
      <w:r w:rsidRPr="006A4ACB">
        <w:rPr>
          <w:rFonts w:ascii="Arial" w:hAnsi="Arial" w:cs="Arial"/>
          <w:bCs/>
        </w:rPr>
        <w:t xml:space="preserve">Consent </w:t>
      </w:r>
    </w:p>
    <w:p w:rsidR="007653CC" w:rsidRPr="006A4ACB" w:rsidRDefault="007653CC" w:rsidP="00441B6F">
      <w:pPr>
        <w:pStyle w:val="ReferHead"/>
        <w:spacing w:after="0"/>
        <w:jc w:val="both"/>
        <w:rPr>
          <w:rFonts w:ascii="Arial" w:hAnsi="Arial" w:cs="Arial"/>
          <w:bCs/>
        </w:rPr>
      </w:pPr>
    </w:p>
    <w:p w:rsidR="002B685A" w:rsidRPr="006A4ACB" w:rsidRDefault="007653CC" w:rsidP="00441B6F">
      <w:pPr>
        <w:pStyle w:val="ReferHead"/>
        <w:spacing w:after="0"/>
        <w:jc w:val="both"/>
        <w:rPr>
          <w:rFonts w:ascii="Arial" w:hAnsi="Arial" w:cs="Arial"/>
          <w:b w:val="0"/>
          <w:caps w:val="0"/>
          <w:sz w:val="20"/>
        </w:rPr>
      </w:pPr>
      <w:r w:rsidRPr="006A4ACB">
        <w:rPr>
          <w:rFonts w:ascii="Arial" w:hAnsi="Arial" w:cs="Arial"/>
          <w:b w:val="0"/>
          <w:caps w:val="0"/>
          <w:sz w:val="20"/>
        </w:rPr>
        <w:t>All authors declare that written informed consent was obtained from the patients’ parents or legal guardians for the publication of these pediatric case reports and the accompanying images. A copy of the written consent is available for review by the editorial office, the Editor-in-Chief, and the editorial board members of this journal.</w:t>
      </w:r>
    </w:p>
    <w:p w:rsidR="007653CC" w:rsidRPr="006A4ACB" w:rsidRDefault="007653CC" w:rsidP="00441B6F">
      <w:pPr>
        <w:pStyle w:val="ReferHead"/>
        <w:spacing w:after="0"/>
        <w:jc w:val="both"/>
        <w:rPr>
          <w:rFonts w:ascii="Arial" w:hAnsi="Arial" w:cs="Arial"/>
          <w:b w:val="0"/>
          <w:caps w:val="0"/>
          <w:sz w:val="20"/>
        </w:rPr>
      </w:pPr>
    </w:p>
    <w:p w:rsidR="000C190B" w:rsidRPr="006A4ACB" w:rsidRDefault="000C190B" w:rsidP="000C190B">
      <w:pPr>
        <w:pStyle w:val="ReferHead"/>
        <w:spacing w:after="0"/>
        <w:jc w:val="both"/>
        <w:rPr>
          <w:rFonts w:ascii="Arial" w:hAnsi="Arial" w:cs="Arial"/>
          <w:bCs/>
        </w:rPr>
      </w:pPr>
      <w:r w:rsidRPr="006A4ACB">
        <w:rPr>
          <w:rFonts w:ascii="Arial" w:hAnsi="Arial" w:cs="Arial"/>
          <w:bCs/>
        </w:rPr>
        <w:t xml:space="preserve">Ethical approval </w:t>
      </w:r>
    </w:p>
    <w:p w:rsidR="005C784C" w:rsidRPr="006A4ACB" w:rsidRDefault="005C784C" w:rsidP="00441B6F">
      <w:pPr>
        <w:pStyle w:val="ReferHead"/>
        <w:spacing w:after="0"/>
        <w:jc w:val="both"/>
        <w:rPr>
          <w:rFonts w:ascii="Arial" w:hAnsi="Arial" w:cs="Arial"/>
          <w:bCs/>
        </w:rPr>
      </w:pPr>
    </w:p>
    <w:p w:rsidR="000C190B" w:rsidRDefault="000C190B" w:rsidP="00441B6F">
      <w:pPr>
        <w:pStyle w:val="ReferHead"/>
        <w:spacing w:after="0"/>
        <w:jc w:val="both"/>
        <w:rPr>
          <w:rFonts w:ascii="Arial" w:hAnsi="Arial" w:cs="Arial"/>
          <w:b w:val="0"/>
          <w:caps w:val="0"/>
          <w:sz w:val="20"/>
        </w:rPr>
      </w:pPr>
      <w:r w:rsidRPr="006A4ACB">
        <w:rPr>
          <w:rFonts w:ascii="Arial" w:hAnsi="Arial" w:cs="Arial"/>
          <w:b w:val="0"/>
          <w:caps w:val="0"/>
          <w:sz w:val="20"/>
        </w:rPr>
        <w:t>All authors hereby declare that all experiments were reviewed and approved by the appropriate ethics committee and were therefore conducted in accordance with the ethical standards outlined in the 1964 Declaration of Helsinki.</w:t>
      </w:r>
    </w:p>
    <w:p w:rsidR="005A15BE" w:rsidRDefault="005A15BE" w:rsidP="00441B6F">
      <w:pPr>
        <w:pStyle w:val="ReferHead"/>
        <w:spacing w:after="0"/>
        <w:jc w:val="both"/>
        <w:rPr>
          <w:rFonts w:ascii="Arial" w:hAnsi="Arial" w:cs="Arial"/>
          <w:b w:val="0"/>
          <w:caps w:val="0"/>
          <w:sz w:val="20"/>
        </w:rPr>
      </w:pPr>
    </w:p>
    <w:p w:rsidR="005A15BE" w:rsidRPr="006A4ACB" w:rsidRDefault="005A15BE" w:rsidP="005A15BE">
      <w:pPr>
        <w:pStyle w:val="ReferHead"/>
        <w:spacing w:after="0"/>
        <w:jc w:val="both"/>
        <w:rPr>
          <w:rFonts w:ascii="Arial" w:hAnsi="Arial" w:cs="Arial"/>
        </w:rPr>
      </w:pPr>
    </w:p>
    <w:p w:rsidR="005A15BE" w:rsidRPr="006A4ACB" w:rsidRDefault="005A15BE" w:rsidP="005A15BE">
      <w:pPr>
        <w:pStyle w:val="ReferHead"/>
        <w:spacing w:after="0"/>
        <w:jc w:val="both"/>
        <w:rPr>
          <w:rFonts w:ascii="Arial" w:hAnsi="Arial" w:cs="Arial"/>
        </w:rPr>
      </w:pPr>
      <w:r w:rsidRPr="006A4ACB">
        <w:rPr>
          <w:rFonts w:ascii="Arial" w:hAnsi="Arial" w:cs="Arial"/>
        </w:rPr>
        <w:t>Abbreviations</w:t>
      </w:r>
    </w:p>
    <w:p w:rsidR="005A15BE" w:rsidRDefault="005A15BE" w:rsidP="005A15BE">
      <w:pPr>
        <w:jc w:val="both"/>
        <w:outlineLvl w:val="3"/>
        <w:rPr>
          <w:rFonts w:ascii="Arial" w:hAnsi="Arial" w:cs="Arial"/>
        </w:rPr>
      </w:pPr>
    </w:p>
    <w:p w:rsidR="005A15BE" w:rsidRPr="005C5171" w:rsidRDefault="005A15BE" w:rsidP="005A15BE">
      <w:pPr>
        <w:jc w:val="both"/>
        <w:outlineLvl w:val="3"/>
        <w:rPr>
          <w:rFonts w:ascii="Arial" w:hAnsi="Arial" w:cs="Arial"/>
        </w:rPr>
      </w:pPr>
      <w:r w:rsidRPr="005C5171">
        <w:rPr>
          <w:rFonts w:ascii="Arial" w:hAnsi="Arial" w:cs="Arial"/>
        </w:rPr>
        <w:t>KS: Kartagener Syndrome</w:t>
      </w:r>
    </w:p>
    <w:p w:rsidR="005A15BE" w:rsidRPr="005C5171" w:rsidRDefault="005A15BE" w:rsidP="005A15BE">
      <w:pPr>
        <w:jc w:val="both"/>
        <w:outlineLvl w:val="3"/>
        <w:rPr>
          <w:rFonts w:ascii="Arial" w:hAnsi="Arial" w:cs="Arial"/>
        </w:rPr>
      </w:pPr>
      <w:r w:rsidRPr="005C5171">
        <w:rPr>
          <w:rFonts w:ascii="Arial" w:hAnsi="Arial" w:cs="Arial"/>
        </w:rPr>
        <w:t>PCD: Primary Ciliary Dyskinesia</w:t>
      </w:r>
    </w:p>
    <w:p w:rsidR="005A15BE" w:rsidRPr="005C5171" w:rsidRDefault="005A15BE" w:rsidP="005A15BE">
      <w:pPr>
        <w:jc w:val="both"/>
        <w:outlineLvl w:val="3"/>
        <w:rPr>
          <w:rFonts w:ascii="Arial" w:hAnsi="Arial" w:cs="Arial"/>
        </w:rPr>
      </w:pPr>
      <w:r w:rsidRPr="005C5171">
        <w:rPr>
          <w:rFonts w:ascii="Arial" w:hAnsi="Arial" w:cs="Arial"/>
        </w:rPr>
        <w:t>CT: Computed Tomography</w:t>
      </w:r>
    </w:p>
    <w:p w:rsidR="005A15BE" w:rsidRPr="005C5171" w:rsidRDefault="005A15BE" w:rsidP="005A15BE">
      <w:pPr>
        <w:jc w:val="both"/>
        <w:outlineLvl w:val="3"/>
        <w:rPr>
          <w:rFonts w:ascii="Arial" w:hAnsi="Arial" w:cs="Arial"/>
        </w:rPr>
      </w:pPr>
      <w:r w:rsidRPr="005C5171">
        <w:rPr>
          <w:rFonts w:ascii="Arial" w:hAnsi="Arial" w:cs="Arial"/>
        </w:rPr>
        <w:t>CXR: Chest X-ray</w:t>
      </w:r>
    </w:p>
    <w:p w:rsidR="005A15BE" w:rsidRPr="005C5171" w:rsidRDefault="005A15BE" w:rsidP="005A15BE">
      <w:pPr>
        <w:jc w:val="both"/>
        <w:outlineLvl w:val="3"/>
        <w:rPr>
          <w:rFonts w:ascii="Arial" w:hAnsi="Arial" w:cs="Arial"/>
        </w:rPr>
      </w:pPr>
      <w:r w:rsidRPr="005C5171">
        <w:rPr>
          <w:rFonts w:ascii="Arial" w:hAnsi="Arial" w:cs="Arial"/>
        </w:rPr>
        <w:t>Echo: Echocardiography</w:t>
      </w:r>
    </w:p>
    <w:p w:rsidR="005A15BE" w:rsidRPr="005C5171" w:rsidRDefault="005A15BE" w:rsidP="005A15BE">
      <w:pPr>
        <w:jc w:val="both"/>
        <w:outlineLvl w:val="3"/>
        <w:rPr>
          <w:rFonts w:ascii="Arial" w:hAnsi="Arial" w:cs="Arial"/>
        </w:rPr>
      </w:pPr>
      <w:r w:rsidRPr="005C5171">
        <w:rPr>
          <w:rFonts w:ascii="Arial" w:hAnsi="Arial" w:cs="Arial"/>
        </w:rPr>
        <w:t>OM: Otitis Media</w:t>
      </w:r>
    </w:p>
    <w:p w:rsidR="005A15BE" w:rsidRPr="005C5171" w:rsidRDefault="005A15BE" w:rsidP="005A15BE">
      <w:pPr>
        <w:jc w:val="both"/>
        <w:outlineLvl w:val="3"/>
        <w:rPr>
          <w:rFonts w:ascii="Arial" w:hAnsi="Arial" w:cs="Arial"/>
        </w:rPr>
      </w:pPr>
      <w:r w:rsidRPr="005C5171">
        <w:rPr>
          <w:rFonts w:ascii="Arial" w:hAnsi="Arial" w:cs="Arial"/>
        </w:rPr>
        <w:t>ENT: Ear, Nose, and Throat</w:t>
      </w:r>
    </w:p>
    <w:p w:rsidR="005A15BE" w:rsidRPr="005C5171" w:rsidRDefault="005A15BE" w:rsidP="005A15BE">
      <w:pPr>
        <w:jc w:val="both"/>
        <w:outlineLvl w:val="3"/>
        <w:rPr>
          <w:rFonts w:ascii="Arial" w:hAnsi="Arial" w:cs="Arial"/>
        </w:rPr>
      </w:pPr>
      <w:r w:rsidRPr="005C5171">
        <w:rPr>
          <w:rFonts w:ascii="Arial" w:hAnsi="Arial" w:cs="Arial"/>
        </w:rPr>
        <w:t>RP: Respiratory Physiotherapy</w:t>
      </w:r>
    </w:p>
    <w:p w:rsidR="005A15BE" w:rsidRPr="005C5171" w:rsidRDefault="005A15BE" w:rsidP="005A15BE">
      <w:pPr>
        <w:jc w:val="both"/>
        <w:outlineLvl w:val="3"/>
        <w:rPr>
          <w:rFonts w:ascii="Arial" w:hAnsi="Arial" w:cs="Arial"/>
        </w:rPr>
      </w:pPr>
      <w:r w:rsidRPr="005C5171">
        <w:rPr>
          <w:rFonts w:ascii="Arial" w:hAnsi="Arial" w:cs="Arial"/>
        </w:rPr>
        <w:t>O</w:t>
      </w:r>
      <w:r w:rsidRPr="005C5171">
        <w:rPr>
          <w:rFonts w:ascii="Arial" w:hAnsi="Arial" w:cs="Arial"/>
          <w:vertAlign w:val="subscript"/>
        </w:rPr>
        <w:t>2</w:t>
      </w:r>
      <w:r w:rsidRPr="005C5171">
        <w:rPr>
          <w:rFonts w:ascii="Arial" w:hAnsi="Arial" w:cs="Arial"/>
        </w:rPr>
        <w:t>T: Oxygen Therapy</w:t>
      </w:r>
    </w:p>
    <w:p w:rsidR="005A15BE" w:rsidRPr="005C5171" w:rsidRDefault="005A15BE" w:rsidP="005A15BE">
      <w:pPr>
        <w:jc w:val="both"/>
        <w:outlineLvl w:val="3"/>
        <w:rPr>
          <w:rFonts w:ascii="Arial" w:hAnsi="Arial" w:cs="Arial"/>
        </w:rPr>
      </w:pPr>
      <w:r w:rsidRPr="005C5171">
        <w:rPr>
          <w:rFonts w:ascii="Arial" w:hAnsi="Arial" w:cs="Arial"/>
        </w:rPr>
        <w:t>PFTs: Pulmonary Function Tests</w:t>
      </w:r>
    </w:p>
    <w:p w:rsidR="005A15BE" w:rsidRPr="005C5171" w:rsidRDefault="005A15BE" w:rsidP="005A15BE">
      <w:pPr>
        <w:jc w:val="both"/>
        <w:outlineLvl w:val="3"/>
        <w:rPr>
          <w:rFonts w:ascii="Arial" w:hAnsi="Arial" w:cs="Arial"/>
        </w:rPr>
      </w:pPr>
      <w:r w:rsidRPr="005C5171">
        <w:rPr>
          <w:rFonts w:ascii="Arial" w:hAnsi="Arial" w:cs="Arial"/>
        </w:rPr>
        <w:t xml:space="preserve">H. influenzae: </w:t>
      </w:r>
      <w:proofErr w:type="spellStart"/>
      <w:r w:rsidRPr="005C5171">
        <w:rPr>
          <w:rFonts w:ascii="Arial" w:hAnsi="Arial" w:cs="Arial"/>
          <w:i/>
          <w:iCs/>
        </w:rPr>
        <w:t>Haemophilus</w:t>
      </w:r>
      <w:proofErr w:type="spellEnd"/>
      <w:r w:rsidRPr="005C5171">
        <w:rPr>
          <w:rFonts w:ascii="Arial" w:hAnsi="Arial" w:cs="Arial"/>
          <w:i/>
          <w:iCs/>
        </w:rPr>
        <w:t xml:space="preserve"> influenzae</w:t>
      </w:r>
    </w:p>
    <w:p w:rsidR="005A15BE" w:rsidRDefault="005A15BE" w:rsidP="005A15BE">
      <w:pPr>
        <w:jc w:val="both"/>
        <w:outlineLvl w:val="3"/>
        <w:rPr>
          <w:rFonts w:ascii="Arial" w:hAnsi="Arial" w:cs="Arial"/>
          <w:i/>
          <w:iCs/>
        </w:rPr>
      </w:pPr>
      <w:r w:rsidRPr="005C5171">
        <w:rPr>
          <w:rFonts w:ascii="Arial" w:hAnsi="Arial" w:cs="Arial"/>
        </w:rPr>
        <w:t xml:space="preserve">P. aeruginosa: </w:t>
      </w:r>
      <w:r w:rsidRPr="005C5171">
        <w:rPr>
          <w:rFonts w:ascii="Arial" w:hAnsi="Arial" w:cs="Arial"/>
          <w:i/>
          <w:iCs/>
        </w:rPr>
        <w:t>Pseudomonas aeruginosa</w:t>
      </w:r>
    </w:p>
    <w:p w:rsidR="00C67ADD" w:rsidRDefault="00C67ADD" w:rsidP="005A15BE">
      <w:pPr>
        <w:jc w:val="both"/>
        <w:outlineLvl w:val="3"/>
        <w:rPr>
          <w:rFonts w:ascii="Arial" w:hAnsi="Arial" w:cs="Arial"/>
        </w:rPr>
      </w:pPr>
    </w:p>
    <w:p w:rsidR="00C67ADD" w:rsidRDefault="00C67ADD" w:rsidP="005A15BE">
      <w:pPr>
        <w:jc w:val="both"/>
        <w:outlineLvl w:val="3"/>
        <w:rPr>
          <w:rFonts w:ascii="Arial" w:hAnsi="Arial" w:cs="Arial"/>
        </w:rPr>
      </w:pPr>
    </w:p>
    <w:p w:rsidR="00C67ADD" w:rsidRPr="00FE7640" w:rsidRDefault="00C67ADD" w:rsidP="00C67ADD">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p w:rsidR="00C67ADD" w:rsidRPr="009C5487" w:rsidRDefault="00C67ADD" w:rsidP="00C67ADD">
      <w:pPr>
        <w:rPr>
          <w:rFonts w:ascii="Calibri" w:eastAsia="Calibri" w:hAnsi="Calibri"/>
          <w:kern w:val="2"/>
          <w:highlight w:val="yellow"/>
        </w:rPr>
      </w:pPr>
      <w:r w:rsidRPr="009C5487">
        <w:rPr>
          <w:rFonts w:ascii="Calibri" w:eastAsia="Calibri" w:hAnsi="Calibri"/>
          <w:kern w:val="2"/>
          <w:highlight w:val="yellow"/>
        </w:rPr>
        <w:t xml:space="preserve">Option 1: </w:t>
      </w:r>
    </w:p>
    <w:bookmarkEnd w:id="0"/>
    <w:bookmarkEnd w:id="1"/>
    <w:bookmarkEnd w:id="2"/>
    <w:bookmarkEnd w:id="3"/>
    <w:bookmarkEnd w:id="4"/>
    <w:p w:rsidR="00C67ADD" w:rsidRPr="005C5171" w:rsidRDefault="004E1B80" w:rsidP="005A15BE">
      <w:pPr>
        <w:jc w:val="both"/>
        <w:outlineLvl w:val="3"/>
        <w:rPr>
          <w:rFonts w:ascii="Arial" w:hAnsi="Arial" w:cs="Arial"/>
        </w:rPr>
      </w:pPr>
      <w:r w:rsidRPr="004E1B80">
        <w:rPr>
          <w:rFonts w:ascii="Calibri" w:eastAsia="Calibri" w:hAnsi="Calibri"/>
          <w:kern w:val="2"/>
        </w:rPr>
        <w:lastRenderedPageBreak/>
        <w:t>Author(s) hereby declare that NO generative AI technologies such as Large Language Models (</w:t>
      </w:r>
      <w:proofErr w:type="spellStart"/>
      <w:r w:rsidRPr="004E1B80">
        <w:rPr>
          <w:rFonts w:ascii="Calibri" w:eastAsia="Calibri" w:hAnsi="Calibri"/>
          <w:kern w:val="2"/>
        </w:rPr>
        <w:t>ChatGPT</w:t>
      </w:r>
      <w:proofErr w:type="spellEnd"/>
      <w:r w:rsidRPr="004E1B80">
        <w:rPr>
          <w:rFonts w:ascii="Calibri" w:eastAsia="Calibri" w:hAnsi="Calibri"/>
          <w:kern w:val="2"/>
        </w:rPr>
        <w:t>, COPILOT, etc.) and text-to-image generators have been used during the writing or editing of this manuscript.</w:t>
      </w:r>
      <w:bookmarkStart w:id="5" w:name="_GoBack"/>
      <w:bookmarkEnd w:id="5"/>
    </w:p>
    <w:p w:rsidR="005A15BE" w:rsidRPr="006A4ACB" w:rsidRDefault="005A15BE" w:rsidP="00441B6F">
      <w:pPr>
        <w:pStyle w:val="ReferHead"/>
        <w:spacing w:after="0"/>
        <w:jc w:val="both"/>
        <w:rPr>
          <w:rFonts w:ascii="Arial" w:hAnsi="Arial" w:cs="Arial"/>
          <w:b w:val="0"/>
          <w:caps w:val="0"/>
          <w:sz w:val="20"/>
        </w:rPr>
      </w:pPr>
    </w:p>
    <w:p w:rsidR="00860000" w:rsidRPr="006A4ACB" w:rsidRDefault="00860000" w:rsidP="00441B6F">
      <w:pPr>
        <w:pStyle w:val="ReferHead"/>
        <w:spacing w:after="0"/>
        <w:jc w:val="both"/>
        <w:rPr>
          <w:rFonts w:ascii="Arial" w:hAnsi="Arial" w:cs="Arial"/>
        </w:rPr>
      </w:pPr>
    </w:p>
    <w:p w:rsidR="000C190B" w:rsidRPr="006A4ACB" w:rsidRDefault="000C190B" w:rsidP="000C190B">
      <w:pPr>
        <w:pStyle w:val="ReferHead"/>
        <w:spacing w:after="0"/>
        <w:jc w:val="both"/>
        <w:rPr>
          <w:rFonts w:ascii="Arial" w:hAnsi="Arial" w:cs="Arial"/>
        </w:rPr>
      </w:pPr>
      <w:r w:rsidRPr="006A4ACB">
        <w:rPr>
          <w:rFonts w:ascii="Arial" w:hAnsi="Arial" w:cs="Arial"/>
        </w:rPr>
        <w:t>References</w:t>
      </w:r>
    </w:p>
    <w:p w:rsidR="000C190B" w:rsidRPr="006A4ACB" w:rsidRDefault="000C190B" w:rsidP="000C190B">
      <w:pPr>
        <w:pStyle w:val="ReferHead"/>
        <w:spacing w:after="0"/>
        <w:jc w:val="both"/>
        <w:rPr>
          <w:rFonts w:ascii="Arial" w:hAnsi="Arial" w:cs="Arial"/>
        </w:rPr>
      </w:pPr>
    </w:p>
    <w:p w:rsidR="000C190B" w:rsidRPr="005E05E9" w:rsidRDefault="000C190B" w:rsidP="005E05E9">
      <w:pPr>
        <w:pStyle w:val="ListParagraph"/>
        <w:numPr>
          <w:ilvl w:val="0"/>
          <w:numId w:val="43"/>
        </w:numPr>
        <w:jc w:val="both"/>
        <w:rPr>
          <w:rFonts w:ascii="Arial" w:hAnsi="Arial" w:cs="Arial"/>
        </w:rPr>
      </w:pPr>
      <w:proofErr w:type="spellStart"/>
      <w:r w:rsidRPr="005E05E9">
        <w:rPr>
          <w:rFonts w:ascii="Arial" w:hAnsi="Arial" w:cs="Arial"/>
        </w:rPr>
        <w:t>Shoemark</w:t>
      </w:r>
      <w:proofErr w:type="spellEnd"/>
      <w:r w:rsidRPr="005E05E9">
        <w:rPr>
          <w:rFonts w:ascii="Arial" w:hAnsi="Arial" w:cs="Arial"/>
        </w:rPr>
        <w:t>, A., and K. Harman. “Primary Ciliary Dyskinesia.” Seminars in Respiratory and Critical Care Medicine 42.4 (2021): 537-548.</w:t>
      </w:r>
    </w:p>
    <w:p w:rsidR="000C190B" w:rsidRPr="006A4ACB" w:rsidRDefault="00174476" w:rsidP="000C190B">
      <w:pPr>
        <w:spacing w:line="480" w:lineRule="auto"/>
        <w:jc w:val="both"/>
        <w:rPr>
          <w:rFonts w:ascii="Arial" w:hAnsi="Arial" w:cs="Arial"/>
          <w:lang w:eastAsia="fr-FR"/>
        </w:rPr>
      </w:pPr>
      <w:hyperlink r:id="rId21" w:history="1">
        <w:r w:rsidR="000C190B" w:rsidRPr="006A4ACB">
          <w:rPr>
            <w:rStyle w:val="Hyperlink"/>
            <w:rFonts w:ascii="Arial" w:hAnsi="Arial" w:cs="Arial"/>
            <w:lang w:eastAsia="fr-FR"/>
          </w:rPr>
          <w:t>http://www.ncbi.nlm.nih.gov/pubmed/34261178</w:t>
        </w:r>
      </w:hyperlink>
    </w:p>
    <w:p w:rsidR="000C190B" w:rsidRPr="006A4ACB" w:rsidRDefault="000C190B" w:rsidP="005E05E9">
      <w:pPr>
        <w:pStyle w:val="ListParagraph"/>
        <w:numPr>
          <w:ilvl w:val="0"/>
          <w:numId w:val="43"/>
        </w:numPr>
        <w:jc w:val="both"/>
        <w:rPr>
          <w:rFonts w:ascii="Arial" w:hAnsi="Arial" w:cs="Arial"/>
        </w:rPr>
      </w:pPr>
      <w:proofErr w:type="spellStart"/>
      <w:r w:rsidRPr="006A4ACB">
        <w:rPr>
          <w:rFonts w:ascii="Arial" w:hAnsi="Arial" w:cs="Arial"/>
        </w:rPr>
        <w:t>Barbato</w:t>
      </w:r>
      <w:proofErr w:type="spellEnd"/>
      <w:r w:rsidRPr="006A4ACB">
        <w:rPr>
          <w:rFonts w:ascii="Arial" w:hAnsi="Arial" w:cs="Arial"/>
        </w:rPr>
        <w:t>, A., et al. “Primary ciliary dyskinesia: a consensus statement on diagnostic and treatment approaches in children.” European Respiratory Journal 34.6 (2009): 1264-1276.</w:t>
      </w:r>
    </w:p>
    <w:p w:rsidR="000C190B" w:rsidRPr="006A4ACB" w:rsidRDefault="00174476" w:rsidP="000C190B">
      <w:pPr>
        <w:spacing w:line="480" w:lineRule="auto"/>
        <w:jc w:val="both"/>
        <w:rPr>
          <w:rFonts w:ascii="Arial" w:hAnsi="Arial" w:cs="Arial"/>
          <w:lang w:eastAsia="fr-FR"/>
        </w:rPr>
      </w:pPr>
      <w:hyperlink r:id="rId22" w:history="1">
        <w:r w:rsidR="000C190B" w:rsidRPr="006A4ACB">
          <w:rPr>
            <w:rStyle w:val="Hyperlink"/>
            <w:rFonts w:ascii="Arial" w:hAnsi="Arial" w:cs="Arial"/>
            <w:lang w:eastAsia="fr-FR"/>
          </w:rPr>
          <w:t>http://www.ncbi.nlm.nih.gov/pubmed/19948909</w:t>
        </w:r>
      </w:hyperlink>
    </w:p>
    <w:p w:rsidR="000C190B" w:rsidRPr="005E05E9" w:rsidRDefault="000C190B" w:rsidP="005E05E9">
      <w:pPr>
        <w:pStyle w:val="ListParagraph"/>
        <w:numPr>
          <w:ilvl w:val="0"/>
          <w:numId w:val="43"/>
        </w:numPr>
        <w:jc w:val="both"/>
        <w:rPr>
          <w:rFonts w:ascii="Arial" w:hAnsi="Arial" w:cs="Arial"/>
        </w:rPr>
      </w:pPr>
      <w:r w:rsidRPr="005E05E9">
        <w:rPr>
          <w:rFonts w:ascii="Arial" w:hAnsi="Arial" w:cs="Arial"/>
        </w:rPr>
        <w:t>Shapiro, A. J., et al. “Diagnosis of Primary Ciliary Dyskinesia. An Official American Thoracic Society Clinical Practice Guideline.” American Journal of Respiratory and Critical Care Medicine 197.12 (2018): e24-e39.</w:t>
      </w:r>
    </w:p>
    <w:p w:rsidR="000C190B" w:rsidRPr="006A4ACB" w:rsidRDefault="00174476" w:rsidP="000C190B">
      <w:pPr>
        <w:spacing w:line="480" w:lineRule="auto"/>
        <w:jc w:val="both"/>
        <w:rPr>
          <w:rFonts w:ascii="Arial" w:hAnsi="Arial" w:cs="Arial"/>
          <w:lang w:eastAsia="fr-FR"/>
        </w:rPr>
      </w:pPr>
      <w:hyperlink r:id="rId23" w:history="1">
        <w:r w:rsidR="000C190B" w:rsidRPr="006A4ACB">
          <w:rPr>
            <w:rStyle w:val="Hyperlink"/>
            <w:rFonts w:ascii="Arial" w:hAnsi="Arial" w:cs="Arial"/>
            <w:lang w:eastAsia="fr-FR"/>
          </w:rPr>
          <w:t>http://www.ncbi.nlm.nih.gov/pubmed/29905515</w:t>
        </w:r>
      </w:hyperlink>
    </w:p>
    <w:p w:rsidR="000C190B" w:rsidRPr="005E05E9" w:rsidRDefault="000C190B" w:rsidP="005E05E9">
      <w:pPr>
        <w:pStyle w:val="ListParagraph"/>
        <w:numPr>
          <w:ilvl w:val="0"/>
          <w:numId w:val="43"/>
        </w:numPr>
        <w:jc w:val="both"/>
        <w:rPr>
          <w:rFonts w:ascii="Arial" w:hAnsi="Arial" w:cs="Arial"/>
        </w:rPr>
      </w:pPr>
      <w:r w:rsidRPr="005E05E9">
        <w:rPr>
          <w:rFonts w:ascii="Arial" w:hAnsi="Arial" w:cs="Arial"/>
        </w:rPr>
        <w:t>Afzelius, B. A. “A human syndrome caused by immotile cilia.” Science 193.4250 (1976): 317-319.</w:t>
      </w:r>
    </w:p>
    <w:p w:rsidR="000C190B" w:rsidRPr="006A4ACB" w:rsidRDefault="00174476" w:rsidP="000C190B">
      <w:pPr>
        <w:spacing w:line="480" w:lineRule="auto"/>
        <w:jc w:val="both"/>
        <w:rPr>
          <w:rFonts w:ascii="Arial" w:hAnsi="Arial" w:cs="Arial"/>
          <w:lang w:eastAsia="fr-FR"/>
        </w:rPr>
      </w:pPr>
      <w:hyperlink r:id="rId24" w:history="1">
        <w:r w:rsidR="000C190B" w:rsidRPr="006A4ACB">
          <w:rPr>
            <w:rStyle w:val="Hyperlink"/>
            <w:rFonts w:ascii="Arial" w:hAnsi="Arial" w:cs="Arial"/>
            <w:lang w:eastAsia="fr-FR"/>
          </w:rPr>
          <w:t>http://www.ncbi.nlm.nih.gov/pubmed/1084576</w:t>
        </w:r>
      </w:hyperlink>
    </w:p>
    <w:p w:rsidR="000C190B" w:rsidRPr="005E05E9" w:rsidRDefault="000C190B" w:rsidP="005E05E9">
      <w:pPr>
        <w:pStyle w:val="ListParagraph"/>
        <w:numPr>
          <w:ilvl w:val="0"/>
          <w:numId w:val="43"/>
        </w:numPr>
        <w:jc w:val="both"/>
        <w:rPr>
          <w:rFonts w:ascii="Arial" w:hAnsi="Arial" w:cs="Arial"/>
        </w:rPr>
      </w:pPr>
      <w:proofErr w:type="spellStart"/>
      <w:r w:rsidRPr="005E05E9">
        <w:rPr>
          <w:rFonts w:ascii="Arial" w:hAnsi="Arial" w:cs="Arial"/>
        </w:rPr>
        <w:t>Pennarun</w:t>
      </w:r>
      <w:proofErr w:type="spellEnd"/>
      <w:r w:rsidRPr="005E05E9">
        <w:rPr>
          <w:rFonts w:ascii="Arial" w:hAnsi="Arial" w:cs="Arial"/>
        </w:rPr>
        <w:t xml:space="preserve">, G., et al. “Loss-of-function mutations in a human gene related to Chlamydomonas </w:t>
      </w:r>
      <w:proofErr w:type="spellStart"/>
      <w:r w:rsidRPr="005E05E9">
        <w:rPr>
          <w:rFonts w:ascii="Arial" w:hAnsi="Arial" w:cs="Arial"/>
        </w:rPr>
        <w:t>reinhardtii</w:t>
      </w:r>
      <w:proofErr w:type="spellEnd"/>
      <w:r w:rsidRPr="005E05E9">
        <w:rPr>
          <w:rFonts w:ascii="Arial" w:hAnsi="Arial" w:cs="Arial"/>
        </w:rPr>
        <w:t xml:space="preserve"> dynein IC78 result in primary ciliary dyskinesia.” American Journal of Human Genetics 65.6 (1999): 1508-1519.</w:t>
      </w:r>
    </w:p>
    <w:p w:rsidR="000C190B" w:rsidRPr="006A4ACB" w:rsidRDefault="00174476" w:rsidP="000C190B">
      <w:pPr>
        <w:spacing w:line="480" w:lineRule="auto"/>
        <w:jc w:val="both"/>
        <w:rPr>
          <w:rFonts w:ascii="Arial" w:hAnsi="Arial" w:cs="Arial"/>
          <w:lang w:eastAsia="fr-FR"/>
        </w:rPr>
      </w:pPr>
      <w:hyperlink r:id="rId25" w:history="1">
        <w:r w:rsidR="000C190B" w:rsidRPr="006A4ACB">
          <w:rPr>
            <w:rStyle w:val="Hyperlink"/>
            <w:rFonts w:ascii="Arial" w:hAnsi="Arial" w:cs="Arial"/>
            <w:lang w:eastAsia="fr-FR"/>
          </w:rPr>
          <w:t>http://www.ncbi.nlm.nih.gov/pubmed/10577904</w:t>
        </w:r>
      </w:hyperlink>
    </w:p>
    <w:p w:rsidR="000C190B" w:rsidRPr="006A4ACB" w:rsidRDefault="000C190B" w:rsidP="005E05E9">
      <w:pPr>
        <w:pStyle w:val="ListParagraph"/>
        <w:numPr>
          <w:ilvl w:val="0"/>
          <w:numId w:val="43"/>
        </w:numPr>
        <w:jc w:val="both"/>
        <w:rPr>
          <w:rFonts w:ascii="Arial" w:hAnsi="Arial" w:cs="Arial"/>
        </w:rPr>
      </w:pPr>
      <w:proofErr w:type="spellStart"/>
      <w:r w:rsidRPr="006A4ACB">
        <w:rPr>
          <w:rFonts w:ascii="Arial" w:hAnsi="Arial" w:cs="Arial"/>
        </w:rPr>
        <w:t>Omran</w:t>
      </w:r>
      <w:proofErr w:type="spellEnd"/>
      <w:r w:rsidRPr="006A4ACB">
        <w:rPr>
          <w:rFonts w:ascii="Arial" w:hAnsi="Arial" w:cs="Arial"/>
        </w:rPr>
        <w:t>, H., et al. “Homozygosity mapping of a gene locus for primary ciliary dyskinesia on chromosome 5p and identification of the heavy dynein chain DNAH5 as a candidate gene.” American Journal of Respiratory Cell and Molecular Biology 23.5 (2000): 696-702.</w:t>
      </w:r>
    </w:p>
    <w:p w:rsidR="000C190B" w:rsidRPr="006A4ACB" w:rsidRDefault="00174476" w:rsidP="000C190B">
      <w:pPr>
        <w:spacing w:line="480" w:lineRule="auto"/>
        <w:jc w:val="both"/>
        <w:rPr>
          <w:rFonts w:ascii="Arial" w:hAnsi="Arial" w:cs="Arial"/>
        </w:rPr>
      </w:pPr>
      <w:hyperlink r:id="rId26" w:history="1">
        <w:r w:rsidR="00101E50" w:rsidRPr="006A4ACB">
          <w:rPr>
            <w:rStyle w:val="Hyperlink"/>
            <w:rFonts w:ascii="Arial" w:hAnsi="Arial" w:cs="Arial"/>
          </w:rPr>
          <w:t>http://www.ncbi.nlm.nih.gov/pubmed/11062149</w:t>
        </w:r>
      </w:hyperlink>
    </w:p>
    <w:p w:rsidR="000C190B" w:rsidRPr="006A4ACB" w:rsidRDefault="000C190B" w:rsidP="005E05E9">
      <w:pPr>
        <w:pStyle w:val="ListParagraph"/>
        <w:numPr>
          <w:ilvl w:val="0"/>
          <w:numId w:val="43"/>
        </w:numPr>
        <w:jc w:val="both"/>
        <w:rPr>
          <w:rFonts w:ascii="Arial" w:hAnsi="Arial" w:cs="Arial"/>
        </w:rPr>
      </w:pPr>
      <w:r w:rsidRPr="006A4ACB">
        <w:rPr>
          <w:rFonts w:ascii="Arial" w:hAnsi="Arial" w:cs="Arial"/>
        </w:rPr>
        <w:t>Lucas, J. S., et al. “Diagnosis and management of primary ciliary dyskinesia.” Archives of Disease in Childhood 99.9 (2014): 850-856.</w:t>
      </w:r>
    </w:p>
    <w:p w:rsidR="000C190B" w:rsidRPr="006A4ACB" w:rsidRDefault="00174476" w:rsidP="000C190B">
      <w:pPr>
        <w:spacing w:line="480" w:lineRule="auto"/>
        <w:jc w:val="both"/>
        <w:rPr>
          <w:rFonts w:ascii="Arial" w:hAnsi="Arial" w:cs="Arial"/>
        </w:rPr>
      </w:pPr>
      <w:hyperlink r:id="rId27" w:history="1">
        <w:r w:rsidR="000C190B" w:rsidRPr="006A4ACB">
          <w:rPr>
            <w:rStyle w:val="Hyperlink"/>
            <w:rFonts w:ascii="Arial" w:hAnsi="Arial" w:cs="Arial"/>
            <w:lang w:eastAsia="fr-FR"/>
          </w:rPr>
          <w:t>http://www.ncbi.nlm.nih.gov/pubmed/24771309</w:t>
        </w:r>
      </w:hyperlink>
    </w:p>
    <w:p w:rsidR="000C190B" w:rsidRPr="006A4ACB" w:rsidRDefault="000C190B" w:rsidP="00594660">
      <w:pPr>
        <w:pStyle w:val="ListParagraph"/>
        <w:numPr>
          <w:ilvl w:val="0"/>
          <w:numId w:val="43"/>
        </w:numPr>
        <w:jc w:val="both"/>
        <w:rPr>
          <w:rFonts w:ascii="Arial" w:hAnsi="Arial" w:cs="Arial"/>
        </w:rPr>
      </w:pPr>
      <w:r w:rsidRPr="006A4ACB">
        <w:rPr>
          <w:rFonts w:ascii="Arial" w:hAnsi="Arial" w:cs="Arial"/>
        </w:rPr>
        <w:t>Eliasson, R., et al. “The immotile-cilia syndrome. A congenital ciliary abnormality as an etiologic factor in chronic airway infections and male sterility.” New England Journal of Medicine 297.1 (1977): 1-6.</w:t>
      </w:r>
    </w:p>
    <w:p w:rsidR="000C190B" w:rsidRPr="006A4ACB" w:rsidRDefault="00174476" w:rsidP="000C190B">
      <w:pPr>
        <w:spacing w:line="480" w:lineRule="auto"/>
        <w:jc w:val="both"/>
        <w:rPr>
          <w:rFonts w:ascii="Arial" w:hAnsi="Arial" w:cs="Arial"/>
        </w:rPr>
      </w:pPr>
      <w:hyperlink r:id="rId28" w:history="1">
        <w:r w:rsidR="000C190B" w:rsidRPr="006A4ACB">
          <w:rPr>
            <w:rStyle w:val="Hyperlink"/>
            <w:rFonts w:ascii="Arial" w:hAnsi="Arial" w:cs="Arial"/>
            <w:lang w:eastAsia="fr-FR"/>
          </w:rPr>
          <w:t>http://www.ncbi.nlm.nih.gov/pubmed/301245</w:t>
        </w:r>
      </w:hyperlink>
    </w:p>
    <w:p w:rsidR="000C190B" w:rsidRPr="006A4ACB" w:rsidRDefault="000C190B" w:rsidP="00594660">
      <w:pPr>
        <w:pStyle w:val="ListParagraph"/>
        <w:numPr>
          <w:ilvl w:val="0"/>
          <w:numId w:val="43"/>
        </w:numPr>
        <w:jc w:val="both"/>
        <w:rPr>
          <w:rFonts w:ascii="Arial" w:hAnsi="Arial" w:cs="Arial"/>
        </w:rPr>
      </w:pPr>
      <w:proofErr w:type="spellStart"/>
      <w:r w:rsidRPr="006A4ACB">
        <w:rPr>
          <w:rFonts w:ascii="Arial" w:hAnsi="Arial" w:cs="Arial"/>
        </w:rPr>
        <w:t>Noone</w:t>
      </w:r>
      <w:proofErr w:type="spellEnd"/>
      <w:r w:rsidRPr="006A4ACB">
        <w:rPr>
          <w:rFonts w:ascii="Arial" w:hAnsi="Arial" w:cs="Arial"/>
        </w:rPr>
        <w:t>, P. G., et al. “Primary ciliary dyskinesia: diagnostic and phenotypic features.” American Journal of Respiratory and Critical Care Medicine 169.4 (2004): 459-467.</w:t>
      </w:r>
    </w:p>
    <w:p w:rsidR="000C190B" w:rsidRPr="006A4ACB" w:rsidRDefault="00174476" w:rsidP="000C190B">
      <w:pPr>
        <w:spacing w:line="480" w:lineRule="auto"/>
        <w:jc w:val="both"/>
        <w:rPr>
          <w:rFonts w:ascii="Arial" w:hAnsi="Arial" w:cs="Arial"/>
        </w:rPr>
      </w:pPr>
      <w:hyperlink r:id="rId29" w:history="1">
        <w:r w:rsidR="000C190B" w:rsidRPr="006A4ACB">
          <w:rPr>
            <w:rStyle w:val="Hyperlink"/>
            <w:rFonts w:ascii="Arial" w:hAnsi="Arial" w:cs="Arial"/>
            <w:lang w:eastAsia="fr-FR"/>
          </w:rPr>
          <w:t>http://www.ncbi.nlm.nih.gov/pubmed/14656747</w:t>
        </w:r>
      </w:hyperlink>
    </w:p>
    <w:p w:rsidR="000C190B" w:rsidRPr="006A4ACB" w:rsidRDefault="000C190B" w:rsidP="00594660">
      <w:pPr>
        <w:pStyle w:val="ListParagraph"/>
        <w:numPr>
          <w:ilvl w:val="0"/>
          <w:numId w:val="43"/>
        </w:numPr>
        <w:jc w:val="both"/>
        <w:rPr>
          <w:rFonts w:ascii="Arial" w:hAnsi="Arial" w:cs="Arial"/>
        </w:rPr>
      </w:pPr>
      <w:proofErr w:type="spellStart"/>
      <w:r w:rsidRPr="006A4ACB">
        <w:rPr>
          <w:rFonts w:ascii="Arial" w:hAnsi="Arial" w:cs="Arial"/>
        </w:rPr>
        <w:t>Shoemark</w:t>
      </w:r>
      <w:proofErr w:type="spellEnd"/>
      <w:r w:rsidRPr="006A4ACB">
        <w:rPr>
          <w:rFonts w:ascii="Arial" w:hAnsi="Arial" w:cs="Arial"/>
        </w:rPr>
        <w:t>, A., et al. “Genome sequencing reveals underdiagnosis of primary ciliary dyskinesia in bronchiectasis.” European Respiratory Journal 60.5 (2022): 2200176.</w:t>
      </w:r>
    </w:p>
    <w:p w:rsidR="000C190B" w:rsidRPr="006A4ACB" w:rsidRDefault="00174476" w:rsidP="000C190B">
      <w:pPr>
        <w:spacing w:line="480" w:lineRule="auto"/>
        <w:rPr>
          <w:rFonts w:ascii="Arial" w:hAnsi="Arial" w:cs="Arial"/>
          <w:lang w:eastAsia="fr-FR"/>
        </w:rPr>
      </w:pPr>
      <w:hyperlink r:id="rId30" w:history="1">
        <w:r w:rsidR="000C190B" w:rsidRPr="006A4ACB">
          <w:rPr>
            <w:rStyle w:val="Hyperlink"/>
            <w:rFonts w:ascii="Arial" w:hAnsi="Arial" w:cs="Arial"/>
            <w:lang w:eastAsia="fr-FR"/>
          </w:rPr>
          <w:t>http://www.ncbi.nlm.nih.gov/pubmed/35728977</w:t>
        </w:r>
      </w:hyperlink>
    </w:p>
    <w:p w:rsidR="000C190B" w:rsidRPr="00594660" w:rsidRDefault="000C190B" w:rsidP="00594660">
      <w:pPr>
        <w:pStyle w:val="ListParagraph"/>
        <w:numPr>
          <w:ilvl w:val="0"/>
          <w:numId w:val="43"/>
        </w:numPr>
        <w:jc w:val="both"/>
        <w:rPr>
          <w:rFonts w:ascii="Arial" w:hAnsi="Arial" w:cs="Arial"/>
        </w:rPr>
      </w:pPr>
      <w:proofErr w:type="spellStart"/>
      <w:r w:rsidRPr="00594660">
        <w:rPr>
          <w:rFonts w:ascii="Arial" w:hAnsi="Arial" w:cs="Arial"/>
        </w:rPr>
        <w:lastRenderedPageBreak/>
        <w:t>Holgersen</w:t>
      </w:r>
      <w:proofErr w:type="spellEnd"/>
      <w:r w:rsidRPr="00594660">
        <w:rPr>
          <w:rFonts w:ascii="Arial" w:hAnsi="Arial" w:cs="Arial"/>
        </w:rPr>
        <w:t>, M. G., et al. “Long-Term Lung Function and Pseudomonas aeruginosa Infection in Genotyped Primary Ciliary Dyskinesia.” Annals of the American Thoracic Society 22.2 (2025): 216-225.</w:t>
      </w:r>
    </w:p>
    <w:p w:rsidR="000C190B" w:rsidRPr="006A4ACB" w:rsidRDefault="00174476" w:rsidP="000C190B">
      <w:pPr>
        <w:spacing w:line="480" w:lineRule="auto"/>
        <w:jc w:val="both"/>
        <w:rPr>
          <w:rFonts w:ascii="Arial" w:hAnsi="Arial" w:cs="Arial"/>
        </w:rPr>
      </w:pPr>
      <w:hyperlink r:id="rId31" w:history="1">
        <w:r w:rsidR="000C190B" w:rsidRPr="006A4ACB">
          <w:rPr>
            <w:rStyle w:val="Hyperlink"/>
            <w:rFonts w:ascii="Arial" w:hAnsi="Arial" w:cs="Arial"/>
            <w:lang w:eastAsia="fr-FR"/>
          </w:rPr>
          <w:t>http://www.ncbi.nlm.nih.gov/pubmed/39447114</w:t>
        </w:r>
      </w:hyperlink>
    </w:p>
    <w:p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 xml:space="preserve">El Marzouki, N., et al. “Kartagener’s Syndrome: A Case Series.” </w:t>
      </w:r>
      <w:proofErr w:type="spellStart"/>
      <w:r w:rsidRPr="00594660">
        <w:rPr>
          <w:rFonts w:ascii="Arial" w:hAnsi="Arial" w:cs="Arial"/>
        </w:rPr>
        <w:t>Cureus</w:t>
      </w:r>
      <w:proofErr w:type="spellEnd"/>
      <w:r w:rsidRPr="00594660">
        <w:rPr>
          <w:rFonts w:ascii="Arial" w:hAnsi="Arial" w:cs="Arial"/>
        </w:rPr>
        <w:t xml:space="preserve"> 16.6 (2024): e61722.</w:t>
      </w:r>
    </w:p>
    <w:p w:rsidR="000C190B" w:rsidRPr="006A4ACB" w:rsidRDefault="00174476" w:rsidP="000C190B">
      <w:pPr>
        <w:spacing w:line="480" w:lineRule="auto"/>
        <w:jc w:val="both"/>
        <w:rPr>
          <w:rFonts w:ascii="Arial" w:hAnsi="Arial" w:cs="Arial"/>
        </w:rPr>
      </w:pPr>
      <w:hyperlink r:id="rId32" w:history="1">
        <w:r w:rsidR="000C190B" w:rsidRPr="006A4ACB">
          <w:rPr>
            <w:rStyle w:val="Hyperlink"/>
            <w:rFonts w:ascii="Arial" w:hAnsi="Arial" w:cs="Arial"/>
            <w:lang w:eastAsia="fr-FR"/>
          </w:rPr>
          <w:t>http://www.ncbi.nlm.nih.gov/pubmed/38975481</w:t>
        </w:r>
      </w:hyperlink>
    </w:p>
    <w:p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 xml:space="preserve">Shapiro, A. J., et al. “Diagnosis, monitoring, and treatment of primary ciliary dyskinesia: PCD foundation consensus recommendations based on </w:t>
      </w:r>
      <w:proofErr w:type="gramStart"/>
      <w:r w:rsidRPr="00594660">
        <w:rPr>
          <w:rFonts w:ascii="Arial" w:hAnsi="Arial" w:cs="Arial"/>
        </w:rPr>
        <w:t>state of the art</w:t>
      </w:r>
      <w:proofErr w:type="gramEnd"/>
      <w:r w:rsidRPr="00594660">
        <w:rPr>
          <w:rFonts w:ascii="Arial" w:hAnsi="Arial" w:cs="Arial"/>
        </w:rPr>
        <w:t xml:space="preserve"> review.” Pediatric Pulmonology 51.2 (2016): 115-132.</w:t>
      </w:r>
    </w:p>
    <w:p w:rsidR="000C190B" w:rsidRPr="006A4ACB" w:rsidRDefault="00174476" w:rsidP="000C190B">
      <w:pPr>
        <w:spacing w:line="480" w:lineRule="auto"/>
        <w:rPr>
          <w:rFonts w:ascii="Arial" w:hAnsi="Arial" w:cs="Arial"/>
          <w:lang w:eastAsia="fr-FR"/>
        </w:rPr>
      </w:pPr>
      <w:hyperlink r:id="rId33" w:history="1">
        <w:r w:rsidR="000C190B" w:rsidRPr="006A4ACB">
          <w:rPr>
            <w:rStyle w:val="Hyperlink"/>
            <w:rFonts w:ascii="Arial" w:hAnsi="Arial" w:cs="Arial"/>
            <w:lang w:eastAsia="fr-FR"/>
          </w:rPr>
          <w:t>http://www.ncbi.nlm.nih.gov/pubmed/26418604</w:t>
        </w:r>
      </w:hyperlink>
    </w:p>
    <w:p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Antony, D., et al. “Mutations in CCDC39 and CCDC40 are the major cause of primary ciliary dyskinesia with axonemal disorganization and absent inner dynein arms.” Human Mutation 34.3 (2013): 462-472.</w:t>
      </w:r>
    </w:p>
    <w:p w:rsidR="000C190B" w:rsidRPr="006A4ACB" w:rsidRDefault="00174476" w:rsidP="000C190B">
      <w:pPr>
        <w:spacing w:line="480" w:lineRule="auto"/>
        <w:jc w:val="both"/>
        <w:rPr>
          <w:rFonts w:ascii="Arial" w:hAnsi="Arial" w:cs="Arial"/>
        </w:rPr>
      </w:pPr>
      <w:hyperlink r:id="rId34" w:history="1">
        <w:r w:rsidR="000C190B" w:rsidRPr="006A4ACB">
          <w:rPr>
            <w:rStyle w:val="Hyperlink"/>
            <w:rFonts w:ascii="Arial" w:hAnsi="Arial" w:cs="Arial"/>
            <w:lang w:eastAsia="fr-FR"/>
          </w:rPr>
          <w:t>http://www.ncbi.nlm.nih.gov/pubmed/23255504</w:t>
        </w:r>
      </w:hyperlink>
    </w:p>
    <w:p w:rsidR="000C190B" w:rsidRPr="00594660" w:rsidRDefault="000C190B" w:rsidP="00594660">
      <w:pPr>
        <w:pStyle w:val="ListParagraph"/>
        <w:numPr>
          <w:ilvl w:val="0"/>
          <w:numId w:val="43"/>
        </w:numPr>
        <w:jc w:val="both"/>
        <w:rPr>
          <w:rFonts w:ascii="Arial" w:hAnsi="Arial" w:cs="Arial"/>
        </w:rPr>
      </w:pPr>
      <w:proofErr w:type="spellStart"/>
      <w:r w:rsidRPr="00594660">
        <w:rPr>
          <w:rFonts w:ascii="Arial" w:hAnsi="Arial" w:cs="Arial"/>
        </w:rPr>
        <w:t>Mirra</w:t>
      </w:r>
      <w:proofErr w:type="spellEnd"/>
      <w:r w:rsidRPr="00594660">
        <w:rPr>
          <w:rFonts w:ascii="Arial" w:hAnsi="Arial" w:cs="Arial"/>
        </w:rPr>
        <w:t>, V., et al. “Primary Ciliary Dyskinesia: An Update on Clinical Aspects, Genetics, Diagnosis, and Future Treatment Strategies.” Frontiers in Pediatrics 5 (2017): 135.</w:t>
      </w:r>
    </w:p>
    <w:p w:rsidR="000C190B" w:rsidRDefault="00174476" w:rsidP="000C190B">
      <w:pPr>
        <w:spacing w:line="480" w:lineRule="auto"/>
        <w:jc w:val="both"/>
      </w:pPr>
      <w:hyperlink r:id="rId35" w:history="1">
        <w:r w:rsidR="000C190B" w:rsidRPr="006A4ACB">
          <w:rPr>
            <w:rStyle w:val="Hyperlink"/>
            <w:rFonts w:ascii="Arial" w:hAnsi="Arial" w:cs="Arial"/>
            <w:lang w:eastAsia="fr-FR"/>
          </w:rPr>
          <w:t>http://www.ncbi.nlm.nih.gov/pubmed/28649564</w:t>
        </w:r>
      </w:hyperlink>
    </w:p>
    <w:p w:rsidR="00861C68" w:rsidRPr="00AB6A26" w:rsidRDefault="00861C68" w:rsidP="00861C68">
      <w:pPr>
        <w:pStyle w:val="ListParagraph"/>
        <w:numPr>
          <w:ilvl w:val="0"/>
          <w:numId w:val="43"/>
        </w:numPr>
        <w:jc w:val="both"/>
        <w:rPr>
          <w:rFonts w:ascii="Arial" w:hAnsi="Arial" w:cs="Arial"/>
          <w:highlight w:val="yellow"/>
        </w:rPr>
      </w:pPr>
      <w:r w:rsidRPr="00AB6A26">
        <w:rPr>
          <w:rFonts w:ascii="Arial" w:hAnsi="Arial" w:cs="Arial"/>
          <w:highlight w:val="yellow"/>
        </w:rPr>
        <w:t xml:space="preserve">Fernández García S, </w:t>
      </w:r>
      <w:proofErr w:type="spellStart"/>
      <w:r w:rsidRPr="00AB6A26">
        <w:rPr>
          <w:rFonts w:ascii="Arial" w:hAnsi="Arial" w:cs="Arial"/>
          <w:highlight w:val="yellow"/>
        </w:rPr>
        <w:t>Roblejo</w:t>
      </w:r>
      <w:proofErr w:type="spellEnd"/>
      <w:r w:rsidRPr="00AB6A26">
        <w:rPr>
          <w:rFonts w:ascii="Arial" w:hAnsi="Arial" w:cs="Arial"/>
          <w:highlight w:val="yellow"/>
        </w:rPr>
        <w:t xml:space="preserve"> Balbuena H, Balbuena Díaz H de la C. </w:t>
      </w:r>
      <w:proofErr w:type="spellStart"/>
      <w:r w:rsidRPr="00AB6A26">
        <w:rPr>
          <w:rFonts w:ascii="Arial" w:hAnsi="Arial" w:cs="Arial"/>
          <w:highlight w:val="yellow"/>
        </w:rPr>
        <w:t>Síndrome</w:t>
      </w:r>
      <w:proofErr w:type="spellEnd"/>
      <w:r w:rsidRPr="00AB6A26">
        <w:rPr>
          <w:rFonts w:ascii="Arial" w:hAnsi="Arial" w:cs="Arial"/>
          <w:highlight w:val="yellow"/>
        </w:rPr>
        <w:t xml:space="preserve"> de </w:t>
      </w:r>
      <w:proofErr w:type="spellStart"/>
      <w:r w:rsidRPr="00AB6A26">
        <w:rPr>
          <w:rFonts w:ascii="Arial" w:hAnsi="Arial" w:cs="Arial"/>
          <w:highlight w:val="yellow"/>
        </w:rPr>
        <w:t>kartagener</w:t>
      </w:r>
      <w:proofErr w:type="spellEnd"/>
      <w:r w:rsidRPr="00AB6A26">
        <w:rPr>
          <w:rFonts w:ascii="Arial" w:hAnsi="Arial" w:cs="Arial"/>
          <w:highlight w:val="yellow"/>
        </w:rPr>
        <w:t xml:space="preserve">: bases </w:t>
      </w:r>
      <w:proofErr w:type="spellStart"/>
      <w:r w:rsidRPr="00AB6A26">
        <w:rPr>
          <w:rFonts w:ascii="Arial" w:hAnsi="Arial" w:cs="Arial"/>
          <w:highlight w:val="yellow"/>
        </w:rPr>
        <w:t>genéticas</w:t>
      </w:r>
      <w:proofErr w:type="spellEnd"/>
      <w:r w:rsidRPr="00AB6A26">
        <w:rPr>
          <w:rFonts w:ascii="Arial" w:hAnsi="Arial" w:cs="Arial"/>
          <w:highlight w:val="yellow"/>
        </w:rPr>
        <w:t xml:space="preserve"> y </w:t>
      </w:r>
      <w:proofErr w:type="spellStart"/>
      <w:r w:rsidRPr="00AB6A26">
        <w:rPr>
          <w:rFonts w:ascii="Arial" w:hAnsi="Arial" w:cs="Arial"/>
          <w:highlight w:val="yellow"/>
        </w:rPr>
        <w:t>hallazgos</w:t>
      </w:r>
      <w:proofErr w:type="spellEnd"/>
      <w:r w:rsidRPr="00AB6A26">
        <w:rPr>
          <w:rFonts w:ascii="Arial" w:hAnsi="Arial" w:cs="Arial"/>
          <w:highlight w:val="yellow"/>
        </w:rPr>
        <w:t xml:space="preserve"> </w:t>
      </w:r>
      <w:proofErr w:type="spellStart"/>
      <w:r w:rsidRPr="00AB6A26">
        <w:rPr>
          <w:rFonts w:ascii="Arial" w:hAnsi="Arial" w:cs="Arial"/>
          <w:highlight w:val="yellow"/>
        </w:rPr>
        <w:t>clínicos</w:t>
      </w:r>
      <w:proofErr w:type="spellEnd"/>
      <w:r w:rsidRPr="00AB6A26">
        <w:rPr>
          <w:rFonts w:ascii="Arial" w:hAnsi="Arial" w:cs="Arial"/>
          <w:highlight w:val="yellow"/>
        </w:rPr>
        <w:t xml:space="preserve">. </w:t>
      </w:r>
      <w:proofErr w:type="spellStart"/>
      <w:r w:rsidRPr="00AB6A26">
        <w:rPr>
          <w:rFonts w:ascii="Arial" w:hAnsi="Arial" w:cs="Arial"/>
          <w:highlight w:val="yellow"/>
        </w:rPr>
        <w:t>Reporte</w:t>
      </w:r>
      <w:proofErr w:type="spellEnd"/>
      <w:r w:rsidRPr="00AB6A26">
        <w:rPr>
          <w:rFonts w:ascii="Arial" w:hAnsi="Arial" w:cs="Arial"/>
          <w:highlight w:val="yellow"/>
        </w:rPr>
        <w:t xml:space="preserve"> de un </w:t>
      </w:r>
      <w:proofErr w:type="spellStart"/>
      <w:r w:rsidRPr="00AB6A26">
        <w:rPr>
          <w:rFonts w:ascii="Arial" w:hAnsi="Arial" w:cs="Arial"/>
          <w:highlight w:val="yellow"/>
        </w:rPr>
        <w:t>caso</w:t>
      </w:r>
      <w:proofErr w:type="spellEnd"/>
      <w:r w:rsidRPr="00AB6A26">
        <w:rPr>
          <w:rFonts w:ascii="Arial" w:hAnsi="Arial" w:cs="Arial"/>
          <w:highlight w:val="yellow"/>
        </w:rPr>
        <w:t xml:space="preserve">. Rev habanera </w:t>
      </w:r>
      <w:proofErr w:type="spellStart"/>
      <w:r w:rsidRPr="00AB6A26">
        <w:rPr>
          <w:rFonts w:ascii="Arial" w:hAnsi="Arial" w:cs="Arial"/>
          <w:highlight w:val="yellow"/>
        </w:rPr>
        <w:t>cienc</w:t>
      </w:r>
      <w:proofErr w:type="spellEnd"/>
      <w:r w:rsidRPr="00AB6A26">
        <w:rPr>
          <w:rFonts w:ascii="Arial" w:hAnsi="Arial" w:cs="Arial"/>
          <w:highlight w:val="yellow"/>
        </w:rPr>
        <w:t xml:space="preserve"> </w:t>
      </w:r>
      <w:proofErr w:type="spellStart"/>
      <w:r w:rsidRPr="00AB6A26">
        <w:rPr>
          <w:rFonts w:ascii="Arial" w:hAnsi="Arial" w:cs="Arial"/>
          <w:highlight w:val="yellow"/>
        </w:rPr>
        <w:t>médicas</w:t>
      </w:r>
      <w:proofErr w:type="spellEnd"/>
      <w:r w:rsidRPr="00AB6A26">
        <w:rPr>
          <w:rFonts w:ascii="Arial" w:hAnsi="Arial" w:cs="Arial"/>
          <w:highlight w:val="yellow"/>
        </w:rPr>
        <w:t xml:space="preserve"> [Internet]. 2011 [</w:t>
      </w:r>
      <w:proofErr w:type="spellStart"/>
      <w:r w:rsidRPr="00AB6A26">
        <w:rPr>
          <w:rFonts w:ascii="Arial" w:hAnsi="Arial" w:cs="Arial"/>
          <w:highlight w:val="yellow"/>
        </w:rPr>
        <w:t>citado</w:t>
      </w:r>
      <w:proofErr w:type="spellEnd"/>
      <w:r w:rsidRPr="00AB6A26">
        <w:rPr>
          <w:rFonts w:ascii="Arial" w:hAnsi="Arial" w:cs="Arial"/>
          <w:highlight w:val="yellow"/>
        </w:rPr>
        <w:t xml:space="preserve"> el 20 de </w:t>
      </w:r>
      <w:proofErr w:type="spellStart"/>
      <w:r w:rsidRPr="00AB6A26">
        <w:rPr>
          <w:rFonts w:ascii="Arial" w:hAnsi="Arial" w:cs="Arial"/>
          <w:highlight w:val="yellow"/>
        </w:rPr>
        <w:t>agosto</w:t>
      </w:r>
      <w:proofErr w:type="spellEnd"/>
      <w:r w:rsidRPr="00AB6A26">
        <w:rPr>
          <w:rFonts w:ascii="Arial" w:hAnsi="Arial" w:cs="Arial"/>
          <w:highlight w:val="yellow"/>
        </w:rPr>
        <w:t xml:space="preserve"> de 2025];10(1):37–44. </w:t>
      </w:r>
    </w:p>
    <w:p w:rsidR="00861C68" w:rsidRPr="00AB6A26" w:rsidRDefault="00174476" w:rsidP="00861C68">
      <w:pPr>
        <w:spacing w:line="480" w:lineRule="auto"/>
        <w:jc w:val="both"/>
        <w:rPr>
          <w:rFonts w:ascii="Arial" w:hAnsi="Arial" w:cs="Arial"/>
          <w:highlight w:val="yellow"/>
        </w:rPr>
      </w:pPr>
      <w:hyperlink r:id="rId36" w:history="1">
        <w:r w:rsidR="00861C68" w:rsidRPr="00AB6A26">
          <w:rPr>
            <w:rStyle w:val="Hyperlink"/>
            <w:rFonts w:ascii="Arial" w:hAnsi="Arial" w:cs="Arial"/>
          </w:rPr>
          <w:t>http://scielo.sld.cu/scielo.php?script=sci_arttext&amp;pid=S1729-519X2011000100007</w:t>
        </w:r>
      </w:hyperlink>
    </w:p>
    <w:p w:rsidR="00861C68" w:rsidRPr="00AB6A26" w:rsidRDefault="00861C68" w:rsidP="00861C68">
      <w:pPr>
        <w:pStyle w:val="ListParagraph"/>
        <w:numPr>
          <w:ilvl w:val="0"/>
          <w:numId w:val="43"/>
        </w:numPr>
        <w:jc w:val="both"/>
        <w:rPr>
          <w:rFonts w:ascii="Arial" w:hAnsi="Arial" w:cs="Arial"/>
          <w:highlight w:val="yellow"/>
        </w:rPr>
      </w:pPr>
      <w:r w:rsidRPr="00AB6A26">
        <w:rPr>
          <w:rFonts w:ascii="Arial" w:hAnsi="Arial" w:cs="Arial"/>
          <w:highlight w:val="yellow"/>
        </w:rPr>
        <w:t xml:space="preserve">Martinez Montalvo CM. Actinomyces and Kartagener syndrome: Case report and literature review. Acta </w:t>
      </w:r>
      <w:proofErr w:type="spellStart"/>
      <w:r w:rsidRPr="00AB6A26">
        <w:rPr>
          <w:rFonts w:ascii="Arial" w:hAnsi="Arial" w:cs="Arial"/>
          <w:highlight w:val="yellow"/>
        </w:rPr>
        <w:t>médica</w:t>
      </w:r>
      <w:proofErr w:type="spellEnd"/>
      <w:r w:rsidRPr="00AB6A26">
        <w:rPr>
          <w:rFonts w:ascii="Arial" w:hAnsi="Arial" w:cs="Arial"/>
          <w:highlight w:val="yellow"/>
        </w:rPr>
        <w:t xml:space="preserve"> </w:t>
      </w:r>
      <w:proofErr w:type="spellStart"/>
      <w:r w:rsidRPr="00AB6A26">
        <w:rPr>
          <w:rFonts w:ascii="Arial" w:hAnsi="Arial" w:cs="Arial"/>
          <w:highlight w:val="yellow"/>
        </w:rPr>
        <w:t>peru</w:t>
      </w:r>
      <w:proofErr w:type="spellEnd"/>
      <w:r w:rsidRPr="00AB6A26">
        <w:rPr>
          <w:rFonts w:ascii="Arial" w:hAnsi="Arial" w:cs="Arial"/>
          <w:highlight w:val="yellow"/>
        </w:rPr>
        <w:t xml:space="preserve"> [Internet]. 2022 [</w:t>
      </w:r>
      <w:proofErr w:type="spellStart"/>
      <w:r w:rsidRPr="00AB6A26">
        <w:rPr>
          <w:rFonts w:ascii="Arial" w:hAnsi="Arial" w:cs="Arial"/>
          <w:highlight w:val="yellow"/>
        </w:rPr>
        <w:t>citado</w:t>
      </w:r>
      <w:proofErr w:type="spellEnd"/>
      <w:r w:rsidRPr="00AB6A26">
        <w:rPr>
          <w:rFonts w:ascii="Arial" w:hAnsi="Arial" w:cs="Arial"/>
          <w:highlight w:val="yellow"/>
        </w:rPr>
        <w:t xml:space="preserve"> el 20 de </w:t>
      </w:r>
      <w:proofErr w:type="spellStart"/>
      <w:r w:rsidRPr="00AB6A26">
        <w:rPr>
          <w:rFonts w:ascii="Arial" w:hAnsi="Arial" w:cs="Arial"/>
          <w:highlight w:val="yellow"/>
        </w:rPr>
        <w:t>agosto</w:t>
      </w:r>
      <w:proofErr w:type="spellEnd"/>
      <w:r w:rsidRPr="00AB6A26">
        <w:rPr>
          <w:rFonts w:ascii="Arial" w:hAnsi="Arial" w:cs="Arial"/>
          <w:highlight w:val="yellow"/>
        </w:rPr>
        <w:t xml:space="preserve"> de 2025];39(1):73–8.</w:t>
      </w:r>
    </w:p>
    <w:p w:rsidR="00861C68" w:rsidRDefault="00174476" w:rsidP="00861C68">
      <w:pPr>
        <w:spacing w:line="480" w:lineRule="auto"/>
        <w:jc w:val="both"/>
        <w:rPr>
          <w:rFonts w:ascii="Arial" w:hAnsi="Arial" w:cs="Arial"/>
        </w:rPr>
      </w:pPr>
      <w:hyperlink r:id="rId37" w:history="1">
        <w:r w:rsidR="00861C68" w:rsidRPr="00AB6A26">
          <w:rPr>
            <w:rStyle w:val="Hyperlink"/>
            <w:rFonts w:ascii="Arial" w:hAnsi="Arial" w:cs="Arial"/>
          </w:rPr>
          <w:t>http://www.scielo.org.pe/scielo.php?script=sci_arttext&amp;pid=S1728-59172022000100073</w:t>
        </w:r>
      </w:hyperlink>
    </w:p>
    <w:p w:rsidR="00861C68" w:rsidRPr="00861C68" w:rsidRDefault="00861C68" w:rsidP="00861C68">
      <w:pPr>
        <w:spacing w:line="480" w:lineRule="auto"/>
        <w:jc w:val="both"/>
        <w:rPr>
          <w:rFonts w:ascii="Arial" w:hAnsi="Arial" w:cs="Arial"/>
        </w:rPr>
      </w:pPr>
    </w:p>
    <w:p w:rsidR="00861C68" w:rsidRPr="00861C68" w:rsidRDefault="00861C68" w:rsidP="00861C68">
      <w:pPr>
        <w:spacing w:line="480" w:lineRule="auto"/>
        <w:jc w:val="both"/>
      </w:pPr>
    </w:p>
    <w:p w:rsidR="00861C68" w:rsidRPr="00861C68" w:rsidRDefault="00861C68" w:rsidP="00861C68">
      <w:pPr>
        <w:ind w:left="360"/>
        <w:jc w:val="both"/>
        <w:rPr>
          <w:rFonts w:ascii="Arial" w:hAnsi="Arial" w:cs="Arial"/>
        </w:rPr>
      </w:pPr>
    </w:p>
    <w:p w:rsidR="005C5171" w:rsidRDefault="005C5171" w:rsidP="00861C68">
      <w:pPr>
        <w:pStyle w:val="ListParagraph"/>
        <w:jc w:val="both"/>
        <w:rPr>
          <w:rFonts w:ascii="Arial" w:hAnsi="Arial" w:cs="Arial"/>
        </w:rPr>
      </w:pPr>
    </w:p>
    <w:sectPr w:rsidR="005C5171" w:rsidSect="008F406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476" w:rsidRDefault="00174476" w:rsidP="00C37E61">
      <w:r>
        <w:separator/>
      </w:r>
    </w:p>
  </w:endnote>
  <w:endnote w:type="continuationSeparator" w:id="0">
    <w:p w:rsidR="00174476" w:rsidRDefault="0017447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E67" w:rsidRDefault="00CB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E67" w:rsidRDefault="00CB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CB1E67" w:rsidRDefault="00754C9A" w:rsidP="00CB1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476" w:rsidRDefault="00174476" w:rsidP="00C37E61">
      <w:r>
        <w:separator/>
      </w:r>
    </w:p>
  </w:footnote>
  <w:footnote w:type="continuationSeparator" w:id="0">
    <w:p w:rsidR="00174476" w:rsidRDefault="0017447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E67" w:rsidRDefault="00174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282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E67" w:rsidRDefault="0017447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282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17447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282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C4CF0"/>
    <w:multiLevelType w:val="hybridMultilevel"/>
    <w:tmpl w:val="CCAA0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CB6B1F"/>
    <w:multiLevelType w:val="hybridMultilevel"/>
    <w:tmpl w:val="C62879D8"/>
    <w:lvl w:ilvl="0" w:tplc="4CE080C0">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985014"/>
    <w:multiLevelType w:val="hybridMultilevel"/>
    <w:tmpl w:val="2026D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4400065"/>
    <w:multiLevelType w:val="multilevel"/>
    <w:tmpl w:val="CF626298"/>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9242F"/>
    <w:multiLevelType w:val="hybridMultilevel"/>
    <w:tmpl w:val="963859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1CDF4F3E"/>
    <w:multiLevelType w:val="hybridMultilevel"/>
    <w:tmpl w:val="A4249FA4"/>
    <w:lvl w:ilvl="0" w:tplc="A1B04AE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D3832F6"/>
    <w:multiLevelType w:val="hybridMultilevel"/>
    <w:tmpl w:val="99EEE1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FC578E6"/>
    <w:multiLevelType w:val="hybridMultilevel"/>
    <w:tmpl w:val="E11C7178"/>
    <w:lvl w:ilvl="0" w:tplc="81DEA224">
      <w:start w:val="1"/>
      <w:numFmt w:val="decimal"/>
      <w:lvlText w:val="%1."/>
      <w:lvlJc w:val="left"/>
      <w:pPr>
        <w:ind w:left="721" w:hanging="361"/>
      </w:pPr>
      <w:rPr>
        <w:rFonts w:ascii="Cambria" w:eastAsia="Cambria" w:hAnsi="Cambria" w:cs="Cambria" w:hint="default"/>
        <w:b/>
        <w:bCs/>
        <w:i w:val="0"/>
        <w:iCs w:val="0"/>
        <w:spacing w:val="0"/>
        <w:w w:val="100"/>
        <w:sz w:val="24"/>
        <w:szCs w:val="24"/>
        <w:lang w:val="en-US" w:eastAsia="en-US" w:bidi="ar-SA"/>
      </w:rPr>
    </w:lvl>
    <w:lvl w:ilvl="1" w:tplc="B4FA5412">
      <w:numFmt w:val="bullet"/>
      <w:lvlText w:val="•"/>
      <w:lvlJc w:val="left"/>
      <w:pPr>
        <w:ind w:left="1620" w:hanging="361"/>
      </w:pPr>
      <w:rPr>
        <w:rFonts w:hint="default"/>
        <w:lang w:val="en-US" w:eastAsia="en-US" w:bidi="ar-SA"/>
      </w:rPr>
    </w:lvl>
    <w:lvl w:ilvl="2" w:tplc="895E7D8E">
      <w:numFmt w:val="bullet"/>
      <w:lvlText w:val="•"/>
      <w:lvlJc w:val="left"/>
      <w:pPr>
        <w:ind w:left="2520" w:hanging="361"/>
      </w:pPr>
      <w:rPr>
        <w:rFonts w:hint="default"/>
        <w:lang w:val="en-US" w:eastAsia="en-US" w:bidi="ar-SA"/>
      </w:rPr>
    </w:lvl>
    <w:lvl w:ilvl="3" w:tplc="421A723E">
      <w:numFmt w:val="bullet"/>
      <w:lvlText w:val="•"/>
      <w:lvlJc w:val="left"/>
      <w:pPr>
        <w:ind w:left="3420" w:hanging="361"/>
      </w:pPr>
      <w:rPr>
        <w:rFonts w:hint="default"/>
        <w:lang w:val="en-US" w:eastAsia="en-US" w:bidi="ar-SA"/>
      </w:rPr>
    </w:lvl>
    <w:lvl w:ilvl="4" w:tplc="3028F084">
      <w:numFmt w:val="bullet"/>
      <w:lvlText w:val="•"/>
      <w:lvlJc w:val="left"/>
      <w:pPr>
        <w:ind w:left="4320" w:hanging="361"/>
      </w:pPr>
      <w:rPr>
        <w:rFonts w:hint="default"/>
        <w:lang w:val="en-US" w:eastAsia="en-US" w:bidi="ar-SA"/>
      </w:rPr>
    </w:lvl>
    <w:lvl w:ilvl="5" w:tplc="A4C47416">
      <w:numFmt w:val="bullet"/>
      <w:lvlText w:val="•"/>
      <w:lvlJc w:val="left"/>
      <w:pPr>
        <w:ind w:left="5220" w:hanging="361"/>
      </w:pPr>
      <w:rPr>
        <w:rFonts w:hint="default"/>
        <w:lang w:val="en-US" w:eastAsia="en-US" w:bidi="ar-SA"/>
      </w:rPr>
    </w:lvl>
    <w:lvl w:ilvl="6" w:tplc="00C60FBC">
      <w:numFmt w:val="bullet"/>
      <w:lvlText w:val="•"/>
      <w:lvlJc w:val="left"/>
      <w:pPr>
        <w:ind w:left="6120" w:hanging="361"/>
      </w:pPr>
      <w:rPr>
        <w:rFonts w:hint="default"/>
        <w:lang w:val="en-US" w:eastAsia="en-US" w:bidi="ar-SA"/>
      </w:rPr>
    </w:lvl>
    <w:lvl w:ilvl="7" w:tplc="153CDCE4">
      <w:numFmt w:val="bullet"/>
      <w:lvlText w:val="•"/>
      <w:lvlJc w:val="left"/>
      <w:pPr>
        <w:ind w:left="7020" w:hanging="361"/>
      </w:pPr>
      <w:rPr>
        <w:rFonts w:hint="default"/>
        <w:lang w:val="en-US" w:eastAsia="en-US" w:bidi="ar-SA"/>
      </w:rPr>
    </w:lvl>
    <w:lvl w:ilvl="8" w:tplc="9A22B928">
      <w:numFmt w:val="bullet"/>
      <w:lvlText w:val="•"/>
      <w:lvlJc w:val="left"/>
      <w:pPr>
        <w:ind w:left="7920" w:hanging="361"/>
      </w:pPr>
      <w:rPr>
        <w:rFonts w:hint="default"/>
        <w:lang w:val="en-US" w:eastAsia="en-US" w:bidi="ar-SA"/>
      </w:rPr>
    </w:lvl>
  </w:abstractNum>
  <w:abstractNum w:abstractNumId="17" w15:restartNumberingAfterBreak="0">
    <w:nsid w:val="20725F29"/>
    <w:multiLevelType w:val="multilevel"/>
    <w:tmpl w:val="78548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477F07"/>
    <w:multiLevelType w:val="multilevel"/>
    <w:tmpl w:val="2026D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37E578E5"/>
    <w:multiLevelType w:val="hybridMultilevel"/>
    <w:tmpl w:val="5740A71C"/>
    <w:lvl w:ilvl="0" w:tplc="A1B04AE0">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DE5DF6"/>
    <w:multiLevelType w:val="multilevel"/>
    <w:tmpl w:val="028C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B7FD0"/>
    <w:multiLevelType w:val="multilevel"/>
    <w:tmpl w:val="78548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4ED57747"/>
    <w:multiLevelType w:val="hybridMultilevel"/>
    <w:tmpl w:val="8708A7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0874DBB"/>
    <w:multiLevelType w:val="hybridMultilevel"/>
    <w:tmpl w:val="7A3CF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5865D2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1A06"/>
    <w:multiLevelType w:val="multilevel"/>
    <w:tmpl w:val="78548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8"/>
  </w:num>
  <w:num w:numId="7">
    <w:abstractNumId w:val="1"/>
  </w:num>
  <w:num w:numId="8">
    <w:abstractNumId w:val="22"/>
  </w:num>
  <w:num w:numId="9">
    <w:abstractNumId w:val="41"/>
  </w:num>
  <w:num w:numId="10">
    <w:abstractNumId w:val="2"/>
  </w:num>
  <w:num w:numId="11">
    <w:abstractNumId w:val="32"/>
  </w:num>
  <w:num w:numId="12">
    <w:abstractNumId w:val="3"/>
  </w:num>
  <w:num w:numId="13">
    <w:abstractNumId w:val="31"/>
  </w:num>
  <w:num w:numId="14">
    <w:abstractNumId w:val="13"/>
  </w:num>
  <w:num w:numId="15">
    <w:abstractNumId w:val="36"/>
  </w:num>
  <w:num w:numId="16">
    <w:abstractNumId w:val="6"/>
  </w:num>
  <w:num w:numId="17">
    <w:abstractNumId w:val="37"/>
  </w:num>
  <w:num w:numId="18">
    <w:abstractNumId w:val="24"/>
  </w:num>
  <w:num w:numId="19">
    <w:abstractNumId w:val="45"/>
  </w:num>
  <w:num w:numId="20">
    <w:abstractNumId w:val="21"/>
  </w:num>
  <w:num w:numId="21">
    <w:abstractNumId w:val="18"/>
  </w:num>
  <w:num w:numId="22">
    <w:abstractNumId w:val="23"/>
  </w:num>
  <w:num w:numId="23">
    <w:abstractNumId w:val="34"/>
  </w:num>
  <w:num w:numId="24">
    <w:abstractNumId w:val="42"/>
  </w:num>
  <w:num w:numId="25">
    <w:abstractNumId w:val="5"/>
  </w:num>
  <w:num w:numId="26">
    <w:abstractNumId w:val="30"/>
  </w:num>
  <w:num w:numId="27">
    <w:abstractNumId w:val="35"/>
  </w:num>
  <w:num w:numId="28">
    <w:abstractNumId w:val="44"/>
  </w:num>
  <w:num w:numId="29">
    <w:abstractNumId w:val="40"/>
  </w:num>
  <w:num w:numId="30">
    <w:abstractNumId w:val="19"/>
  </w:num>
  <w:num w:numId="31">
    <w:abstractNumId w:val="16"/>
  </w:num>
  <w:num w:numId="32">
    <w:abstractNumId w:val="27"/>
  </w:num>
  <w:num w:numId="33">
    <w:abstractNumId w:val="17"/>
  </w:num>
  <w:num w:numId="34">
    <w:abstractNumId w:val="33"/>
  </w:num>
  <w:num w:numId="35">
    <w:abstractNumId w:val="43"/>
  </w:num>
  <w:num w:numId="36">
    <w:abstractNumId w:val="14"/>
  </w:num>
  <w:num w:numId="37">
    <w:abstractNumId w:val="25"/>
  </w:num>
  <w:num w:numId="38">
    <w:abstractNumId w:val="15"/>
  </w:num>
  <w:num w:numId="39">
    <w:abstractNumId w:val="10"/>
  </w:num>
  <w:num w:numId="40">
    <w:abstractNumId w:val="39"/>
  </w:num>
  <w:num w:numId="41">
    <w:abstractNumId w:val="9"/>
  </w:num>
  <w:num w:numId="42">
    <w:abstractNumId w:val="20"/>
  </w:num>
  <w:num w:numId="43">
    <w:abstractNumId w:val="29"/>
  </w:num>
  <w:num w:numId="44">
    <w:abstractNumId w:val="4"/>
  </w:num>
  <w:num w:numId="45">
    <w:abstractNumId w:val="11"/>
  </w:num>
  <w:num w:numId="46">
    <w:abstractNumId w:val="26"/>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C44"/>
    <w:rsid w:val="0004579C"/>
    <w:rsid w:val="00054C39"/>
    <w:rsid w:val="00075A31"/>
    <w:rsid w:val="00081982"/>
    <w:rsid w:val="000A47FA"/>
    <w:rsid w:val="000A65D3"/>
    <w:rsid w:val="000A6CE2"/>
    <w:rsid w:val="000B1E33"/>
    <w:rsid w:val="000C11CD"/>
    <w:rsid w:val="000C190B"/>
    <w:rsid w:val="000C228C"/>
    <w:rsid w:val="000C76D7"/>
    <w:rsid w:val="000D689F"/>
    <w:rsid w:val="000E0202"/>
    <w:rsid w:val="000E1FF9"/>
    <w:rsid w:val="000E7B7B"/>
    <w:rsid w:val="000E7D62"/>
    <w:rsid w:val="00101E50"/>
    <w:rsid w:val="00103357"/>
    <w:rsid w:val="00104748"/>
    <w:rsid w:val="001163CE"/>
    <w:rsid w:val="00123C9F"/>
    <w:rsid w:val="00126190"/>
    <w:rsid w:val="00130F17"/>
    <w:rsid w:val="001320BF"/>
    <w:rsid w:val="00163BC4"/>
    <w:rsid w:val="00174476"/>
    <w:rsid w:val="00191062"/>
    <w:rsid w:val="00192B72"/>
    <w:rsid w:val="00194641"/>
    <w:rsid w:val="001A29D8"/>
    <w:rsid w:val="001A5CAA"/>
    <w:rsid w:val="001B0427"/>
    <w:rsid w:val="001B5240"/>
    <w:rsid w:val="001C4A23"/>
    <w:rsid w:val="001C669D"/>
    <w:rsid w:val="001D3A51"/>
    <w:rsid w:val="001E10D2"/>
    <w:rsid w:val="001E25B4"/>
    <w:rsid w:val="001E44FE"/>
    <w:rsid w:val="001F179D"/>
    <w:rsid w:val="00200595"/>
    <w:rsid w:val="00204835"/>
    <w:rsid w:val="00227C48"/>
    <w:rsid w:val="00231920"/>
    <w:rsid w:val="0023195C"/>
    <w:rsid w:val="0024282C"/>
    <w:rsid w:val="002460DC"/>
    <w:rsid w:val="00250985"/>
    <w:rsid w:val="002556F6"/>
    <w:rsid w:val="002751B4"/>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6E9C"/>
    <w:rsid w:val="0039224F"/>
    <w:rsid w:val="003A43A4"/>
    <w:rsid w:val="003A7E18"/>
    <w:rsid w:val="003B17DB"/>
    <w:rsid w:val="003C4C86"/>
    <w:rsid w:val="003C6258"/>
    <w:rsid w:val="003E2904"/>
    <w:rsid w:val="00401927"/>
    <w:rsid w:val="0041027F"/>
    <w:rsid w:val="00412475"/>
    <w:rsid w:val="00423789"/>
    <w:rsid w:val="004313C0"/>
    <w:rsid w:val="00440F43"/>
    <w:rsid w:val="00441B6F"/>
    <w:rsid w:val="00441E2E"/>
    <w:rsid w:val="00446221"/>
    <w:rsid w:val="0044719A"/>
    <w:rsid w:val="00447D17"/>
    <w:rsid w:val="00450E62"/>
    <w:rsid w:val="004539DB"/>
    <w:rsid w:val="00467D98"/>
    <w:rsid w:val="00471A80"/>
    <w:rsid w:val="004A1CD1"/>
    <w:rsid w:val="004D305E"/>
    <w:rsid w:val="004D4277"/>
    <w:rsid w:val="004E1B80"/>
    <w:rsid w:val="00501657"/>
    <w:rsid w:val="00502516"/>
    <w:rsid w:val="00505F06"/>
    <w:rsid w:val="00506828"/>
    <w:rsid w:val="00514A72"/>
    <w:rsid w:val="0053056E"/>
    <w:rsid w:val="00540569"/>
    <w:rsid w:val="00546BA8"/>
    <w:rsid w:val="00554FDA"/>
    <w:rsid w:val="0056584A"/>
    <w:rsid w:val="00582A60"/>
    <w:rsid w:val="00590D3F"/>
    <w:rsid w:val="00594660"/>
    <w:rsid w:val="005A15BE"/>
    <w:rsid w:val="005C5171"/>
    <w:rsid w:val="005C784C"/>
    <w:rsid w:val="005D17F6"/>
    <w:rsid w:val="005E05E9"/>
    <w:rsid w:val="005E5539"/>
    <w:rsid w:val="005F49A9"/>
    <w:rsid w:val="00602BF5"/>
    <w:rsid w:val="00614BA9"/>
    <w:rsid w:val="00617FDD"/>
    <w:rsid w:val="00627801"/>
    <w:rsid w:val="00633614"/>
    <w:rsid w:val="00633F68"/>
    <w:rsid w:val="006353EF"/>
    <w:rsid w:val="00636EB2"/>
    <w:rsid w:val="006375B8"/>
    <w:rsid w:val="00654CD7"/>
    <w:rsid w:val="0066510A"/>
    <w:rsid w:val="00673F9F"/>
    <w:rsid w:val="00686953"/>
    <w:rsid w:val="00687DEA"/>
    <w:rsid w:val="00687E67"/>
    <w:rsid w:val="006967F7"/>
    <w:rsid w:val="006A0DB0"/>
    <w:rsid w:val="006A250C"/>
    <w:rsid w:val="006A4ACB"/>
    <w:rsid w:val="006B21D3"/>
    <w:rsid w:val="006B57D0"/>
    <w:rsid w:val="006C13FB"/>
    <w:rsid w:val="006D30FF"/>
    <w:rsid w:val="006D6940"/>
    <w:rsid w:val="006F11EC"/>
    <w:rsid w:val="006F1EB1"/>
    <w:rsid w:val="00700153"/>
    <w:rsid w:val="0070082C"/>
    <w:rsid w:val="007369E6"/>
    <w:rsid w:val="00746E59"/>
    <w:rsid w:val="00754C9A"/>
    <w:rsid w:val="0075599A"/>
    <w:rsid w:val="00761D52"/>
    <w:rsid w:val="007653CC"/>
    <w:rsid w:val="0077749E"/>
    <w:rsid w:val="00790ADA"/>
    <w:rsid w:val="007A052C"/>
    <w:rsid w:val="007A399F"/>
    <w:rsid w:val="007C2CB1"/>
    <w:rsid w:val="007C64A4"/>
    <w:rsid w:val="007D2288"/>
    <w:rsid w:val="007E088F"/>
    <w:rsid w:val="007F4337"/>
    <w:rsid w:val="007F7B32"/>
    <w:rsid w:val="00804BC2"/>
    <w:rsid w:val="0081431A"/>
    <w:rsid w:val="0083216F"/>
    <w:rsid w:val="00837CA7"/>
    <w:rsid w:val="00851CAC"/>
    <w:rsid w:val="00860000"/>
    <w:rsid w:val="00861C68"/>
    <w:rsid w:val="00863BD3"/>
    <w:rsid w:val="008641ED"/>
    <w:rsid w:val="00866D66"/>
    <w:rsid w:val="008671C6"/>
    <w:rsid w:val="00875803"/>
    <w:rsid w:val="008B459E"/>
    <w:rsid w:val="008C79CD"/>
    <w:rsid w:val="008E13AE"/>
    <w:rsid w:val="008E1506"/>
    <w:rsid w:val="008E710C"/>
    <w:rsid w:val="008F4065"/>
    <w:rsid w:val="008F56AD"/>
    <w:rsid w:val="008F69D6"/>
    <w:rsid w:val="00902823"/>
    <w:rsid w:val="00915CA6"/>
    <w:rsid w:val="00921642"/>
    <w:rsid w:val="00927834"/>
    <w:rsid w:val="009500A6"/>
    <w:rsid w:val="00957C18"/>
    <w:rsid w:val="009659BA"/>
    <w:rsid w:val="00983040"/>
    <w:rsid w:val="009B3FB9"/>
    <w:rsid w:val="009B52B9"/>
    <w:rsid w:val="009C2465"/>
    <w:rsid w:val="009D35A0"/>
    <w:rsid w:val="009D7EB7"/>
    <w:rsid w:val="009E048A"/>
    <w:rsid w:val="009E08E9"/>
    <w:rsid w:val="009E1E14"/>
    <w:rsid w:val="009E3DB9"/>
    <w:rsid w:val="009E5D56"/>
    <w:rsid w:val="009E66DD"/>
    <w:rsid w:val="009E6E35"/>
    <w:rsid w:val="009E7EC4"/>
    <w:rsid w:val="009F0EDA"/>
    <w:rsid w:val="009F0F89"/>
    <w:rsid w:val="00A03B96"/>
    <w:rsid w:val="00A05B19"/>
    <w:rsid w:val="00A1134E"/>
    <w:rsid w:val="00A24E7E"/>
    <w:rsid w:val="00A258C3"/>
    <w:rsid w:val="00A347C0"/>
    <w:rsid w:val="00A5094D"/>
    <w:rsid w:val="00A51431"/>
    <w:rsid w:val="00A539AD"/>
    <w:rsid w:val="00A70DBC"/>
    <w:rsid w:val="00A73AD7"/>
    <w:rsid w:val="00A94063"/>
    <w:rsid w:val="00AA6219"/>
    <w:rsid w:val="00AA74E0"/>
    <w:rsid w:val="00AB6A26"/>
    <w:rsid w:val="00AB703F"/>
    <w:rsid w:val="00AC6BB8"/>
    <w:rsid w:val="00AE008F"/>
    <w:rsid w:val="00AE14BC"/>
    <w:rsid w:val="00B01FCD"/>
    <w:rsid w:val="00B1776C"/>
    <w:rsid w:val="00B3652A"/>
    <w:rsid w:val="00B428B1"/>
    <w:rsid w:val="00B4383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F08"/>
    <w:rsid w:val="00C67ADD"/>
    <w:rsid w:val="00C70F1B"/>
    <w:rsid w:val="00C71A47"/>
    <w:rsid w:val="00C7464C"/>
    <w:rsid w:val="00C85588"/>
    <w:rsid w:val="00CB1E67"/>
    <w:rsid w:val="00CD6755"/>
    <w:rsid w:val="00CD6856"/>
    <w:rsid w:val="00CE0089"/>
    <w:rsid w:val="00CE793C"/>
    <w:rsid w:val="00CF193C"/>
    <w:rsid w:val="00D173F1"/>
    <w:rsid w:val="00D27129"/>
    <w:rsid w:val="00D31173"/>
    <w:rsid w:val="00D74CB0"/>
    <w:rsid w:val="00D8295D"/>
    <w:rsid w:val="00DC2A65"/>
    <w:rsid w:val="00DE15F0"/>
    <w:rsid w:val="00DE5663"/>
    <w:rsid w:val="00DE78AA"/>
    <w:rsid w:val="00E053D0"/>
    <w:rsid w:val="00E15994"/>
    <w:rsid w:val="00E3114E"/>
    <w:rsid w:val="00E31A70"/>
    <w:rsid w:val="00E35B02"/>
    <w:rsid w:val="00E41E6C"/>
    <w:rsid w:val="00E66496"/>
    <w:rsid w:val="00E66B35"/>
    <w:rsid w:val="00E66E10"/>
    <w:rsid w:val="00E769F6"/>
    <w:rsid w:val="00E8407C"/>
    <w:rsid w:val="00E84F3C"/>
    <w:rsid w:val="00E861AB"/>
    <w:rsid w:val="00EA012C"/>
    <w:rsid w:val="00EC6A55"/>
    <w:rsid w:val="00ED0288"/>
    <w:rsid w:val="00EE52CB"/>
    <w:rsid w:val="00EF581D"/>
    <w:rsid w:val="00EF7FD8"/>
    <w:rsid w:val="00F05DFC"/>
    <w:rsid w:val="00F06F59"/>
    <w:rsid w:val="00F17988"/>
    <w:rsid w:val="00F45981"/>
    <w:rsid w:val="00F469F0"/>
    <w:rsid w:val="00F53273"/>
    <w:rsid w:val="00F755E4"/>
    <w:rsid w:val="00F77D02"/>
    <w:rsid w:val="00F85503"/>
    <w:rsid w:val="00FB3A86"/>
    <w:rsid w:val="00FD36C8"/>
    <w:rsid w:val="00FE6D3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7"/>
        <o:r id="V:Rule2" type="connector" idref="#_x0000_s1031"/>
        <o:r id="V:Rule3" type="connector" idref="#_x0000_s1030"/>
        <o:r id="V:Rule4" type="connector" idref="#_x0000_s1028"/>
        <o:r id="V:Rule5" type="connector" idref="#_x0000_s1029"/>
      </o:rules>
    </o:shapelayout>
  </w:shapeDefaults>
  <w:decimalSymbol w:val="."/>
  <w:listSeparator w:val=","/>
  <w14:docId w14:val="6DD06BCF"/>
  <w15:docId w15:val="{D6F109F9-2CBD-43F0-B6B4-A305E354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37C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E5D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customStyle="1" w:styleId="Titre11">
    <w:name w:val="Titre 11"/>
    <w:basedOn w:val="Normal"/>
    <w:uiPriority w:val="1"/>
    <w:qFormat/>
    <w:rsid w:val="00837CA7"/>
    <w:pPr>
      <w:widowControl w:val="0"/>
      <w:autoSpaceDE w:val="0"/>
      <w:autoSpaceDN w:val="0"/>
      <w:ind w:left="719" w:hanging="359"/>
      <w:outlineLvl w:val="1"/>
    </w:pPr>
    <w:rPr>
      <w:rFonts w:ascii="Cambria" w:eastAsia="Cambria" w:hAnsi="Cambria" w:cs="Cambria"/>
      <w:b/>
      <w:bCs/>
      <w:sz w:val="24"/>
      <w:szCs w:val="24"/>
    </w:rPr>
  </w:style>
  <w:style w:type="character" w:customStyle="1" w:styleId="Heading2Char">
    <w:name w:val="Heading 2 Char"/>
    <w:basedOn w:val="DefaultParagraphFont"/>
    <w:link w:val="Heading2"/>
    <w:semiHidden/>
    <w:rsid w:val="00837CA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unhideWhenUsed/>
    <w:rsid w:val="00837CA7"/>
    <w:pPr>
      <w:spacing w:after="120"/>
    </w:pPr>
  </w:style>
  <w:style w:type="character" w:customStyle="1" w:styleId="BodyTextChar">
    <w:name w:val="Body Text Char"/>
    <w:basedOn w:val="DefaultParagraphFont"/>
    <w:link w:val="BodyText"/>
    <w:semiHidden/>
    <w:rsid w:val="00837CA7"/>
    <w:rPr>
      <w:rFonts w:ascii="Helvetica" w:hAnsi="Helvetica"/>
    </w:rPr>
  </w:style>
  <w:style w:type="paragraph" w:styleId="ListParagraph">
    <w:name w:val="List Paragraph"/>
    <w:basedOn w:val="Normal"/>
    <w:uiPriority w:val="34"/>
    <w:qFormat/>
    <w:rsid w:val="00F05DFC"/>
    <w:pPr>
      <w:ind w:left="720"/>
      <w:contextualSpacing/>
    </w:pPr>
  </w:style>
  <w:style w:type="character" w:styleId="Strong">
    <w:name w:val="Strong"/>
    <w:basedOn w:val="DefaultParagraphFont"/>
    <w:uiPriority w:val="22"/>
    <w:qFormat/>
    <w:rsid w:val="00C64F08"/>
    <w:rPr>
      <w:b/>
      <w:bCs/>
    </w:rPr>
  </w:style>
  <w:style w:type="character" w:customStyle="1" w:styleId="Heading3Char">
    <w:name w:val="Heading 3 Char"/>
    <w:basedOn w:val="DefaultParagraphFont"/>
    <w:link w:val="Heading3"/>
    <w:rsid w:val="009E5D56"/>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E5D56"/>
    <w:pPr>
      <w:spacing w:before="100" w:beforeAutospacing="1" w:after="100" w:afterAutospacing="1"/>
    </w:pPr>
    <w:rPr>
      <w:rFonts w:ascii="Times New Roman" w:hAnsi="Times New Roman"/>
      <w:sz w:val="24"/>
      <w:szCs w:val="24"/>
      <w:lang w:val="fr-FR" w:eastAsia="fr-FR"/>
    </w:rPr>
  </w:style>
  <w:style w:type="character" w:customStyle="1" w:styleId="UnresolvedMention1">
    <w:name w:val="Unresolved Mention1"/>
    <w:basedOn w:val="DefaultParagraphFont"/>
    <w:uiPriority w:val="99"/>
    <w:semiHidden/>
    <w:unhideWhenUsed/>
    <w:rsid w:val="000E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0339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673308">
      <w:bodyDiv w:val="1"/>
      <w:marLeft w:val="0"/>
      <w:marRight w:val="0"/>
      <w:marTop w:val="0"/>
      <w:marBottom w:val="0"/>
      <w:divBdr>
        <w:top w:val="none" w:sz="0" w:space="0" w:color="auto"/>
        <w:left w:val="none" w:sz="0" w:space="0" w:color="auto"/>
        <w:bottom w:val="none" w:sz="0" w:space="0" w:color="auto"/>
        <w:right w:val="none" w:sz="0" w:space="0" w:color="auto"/>
      </w:divBdr>
    </w:div>
    <w:div w:id="419177482">
      <w:bodyDiv w:val="1"/>
      <w:marLeft w:val="0"/>
      <w:marRight w:val="0"/>
      <w:marTop w:val="0"/>
      <w:marBottom w:val="0"/>
      <w:divBdr>
        <w:top w:val="none" w:sz="0" w:space="0" w:color="auto"/>
        <w:left w:val="none" w:sz="0" w:space="0" w:color="auto"/>
        <w:bottom w:val="none" w:sz="0" w:space="0" w:color="auto"/>
        <w:right w:val="none" w:sz="0" w:space="0" w:color="auto"/>
      </w:divBdr>
      <w:divsChild>
        <w:div w:id="573442066">
          <w:marLeft w:val="0"/>
          <w:marRight w:val="0"/>
          <w:marTop w:val="0"/>
          <w:marBottom w:val="0"/>
          <w:divBdr>
            <w:top w:val="none" w:sz="0" w:space="0" w:color="auto"/>
            <w:left w:val="none" w:sz="0" w:space="0" w:color="auto"/>
            <w:bottom w:val="none" w:sz="0" w:space="0" w:color="auto"/>
            <w:right w:val="none" w:sz="0" w:space="0" w:color="auto"/>
          </w:divBdr>
          <w:divsChild>
            <w:div w:id="18272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9729">
      <w:bodyDiv w:val="1"/>
      <w:marLeft w:val="0"/>
      <w:marRight w:val="0"/>
      <w:marTop w:val="0"/>
      <w:marBottom w:val="0"/>
      <w:divBdr>
        <w:top w:val="none" w:sz="0" w:space="0" w:color="auto"/>
        <w:left w:val="none" w:sz="0" w:space="0" w:color="auto"/>
        <w:bottom w:val="none" w:sz="0" w:space="0" w:color="auto"/>
        <w:right w:val="none" w:sz="0" w:space="0" w:color="auto"/>
      </w:divBdr>
    </w:div>
    <w:div w:id="559558812">
      <w:bodyDiv w:val="1"/>
      <w:marLeft w:val="0"/>
      <w:marRight w:val="0"/>
      <w:marTop w:val="0"/>
      <w:marBottom w:val="0"/>
      <w:divBdr>
        <w:top w:val="none" w:sz="0" w:space="0" w:color="auto"/>
        <w:left w:val="none" w:sz="0" w:space="0" w:color="auto"/>
        <w:bottom w:val="none" w:sz="0" w:space="0" w:color="auto"/>
        <w:right w:val="none" w:sz="0" w:space="0" w:color="auto"/>
      </w:divBdr>
      <w:divsChild>
        <w:div w:id="661545792">
          <w:marLeft w:val="0"/>
          <w:marRight w:val="0"/>
          <w:marTop w:val="0"/>
          <w:marBottom w:val="0"/>
          <w:divBdr>
            <w:top w:val="none" w:sz="0" w:space="0" w:color="auto"/>
            <w:left w:val="none" w:sz="0" w:space="0" w:color="auto"/>
            <w:bottom w:val="none" w:sz="0" w:space="0" w:color="auto"/>
            <w:right w:val="none" w:sz="0" w:space="0" w:color="auto"/>
          </w:divBdr>
          <w:divsChild>
            <w:div w:id="119303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7390155">
      <w:bodyDiv w:val="1"/>
      <w:marLeft w:val="0"/>
      <w:marRight w:val="0"/>
      <w:marTop w:val="0"/>
      <w:marBottom w:val="0"/>
      <w:divBdr>
        <w:top w:val="none" w:sz="0" w:space="0" w:color="auto"/>
        <w:left w:val="none" w:sz="0" w:space="0" w:color="auto"/>
        <w:bottom w:val="none" w:sz="0" w:space="0" w:color="auto"/>
        <w:right w:val="none" w:sz="0" w:space="0" w:color="auto"/>
      </w:divBdr>
      <w:divsChild>
        <w:div w:id="1422141591">
          <w:marLeft w:val="0"/>
          <w:marRight w:val="0"/>
          <w:marTop w:val="0"/>
          <w:marBottom w:val="0"/>
          <w:divBdr>
            <w:top w:val="none" w:sz="0" w:space="0" w:color="auto"/>
            <w:left w:val="none" w:sz="0" w:space="0" w:color="auto"/>
            <w:bottom w:val="none" w:sz="0" w:space="0" w:color="auto"/>
            <w:right w:val="none" w:sz="0" w:space="0" w:color="auto"/>
          </w:divBdr>
          <w:divsChild>
            <w:div w:id="16927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80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14291237">
      <w:bodyDiv w:val="1"/>
      <w:marLeft w:val="0"/>
      <w:marRight w:val="0"/>
      <w:marTop w:val="0"/>
      <w:marBottom w:val="0"/>
      <w:divBdr>
        <w:top w:val="none" w:sz="0" w:space="0" w:color="auto"/>
        <w:left w:val="none" w:sz="0" w:space="0" w:color="auto"/>
        <w:bottom w:val="none" w:sz="0" w:space="0" w:color="auto"/>
        <w:right w:val="none" w:sz="0" w:space="0" w:color="auto"/>
      </w:divBdr>
      <w:divsChild>
        <w:div w:id="1036465351">
          <w:marLeft w:val="0"/>
          <w:marRight w:val="0"/>
          <w:marTop w:val="0"/>
          <w:marBottom w:val="0"/>
          <w:divBdr>
            <w:top w:val="none" w:sz="0" w:space="0" w:color="auto"/>
            <w:left w:val="none" w:sz="0" w:space="0" w:color="auto"/>
            <w:bottom w:val="none" w:sz="0" w:space="0" w:color="auto"/>
            <w:right w:val="none" w:sz="0" w:space="0" w:color="auto"/>
          </w:divBdr>
          <w:divsChild>
            <w:div w:id="106544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5099442">
      <w:bodyDiv w:val="1"/>
      <w:marLeft w:val="0"/>
      <w:marRight w:val="0"/>
      <w:marTop w:val="0"/>
      <w:marBottom w:val="0"/>
      <w:divBdr>
        <w:top w:val="none" w:sz="0" w:space="0" w:color="auto"/>
        <w:left w:val="none" w:sz="0" w:space="0" w:color="auto"/>
        <w:bottom w:val="none" w:sz="0" w:space="0" w:color="auto"/>
        <w:right w:val="none" w:sz="0" w:space="0" w:color="auto"/>
      </w:divBdr>
    </w:div>
    <w:div w:id="1932154480">
      <w:bodyDiv w:val="1"/>
      <w:marLeft w:val="0"/>
      <w:marRight w:val="0"/>
      <w:marTop w:val="0"/>
      <w:marBottom w:val="0"/>
      <w:divBdr>
        <w:top w:val="none" w:sz="0" w:space="0" w:color="auto"/>
        <w:left w:val="none" w:sz="0" w:space="0" w:color="auto"/>
        <w:bottom w:val="none" w:sz="0" w:space="0" w:color="auto"/>
        <w:right w:val="none" w:sz="0" w:space="0" w:color="auto"/>
      </w:divBdr>
      <w:divsChild>
        <w:div w:id="844974939">
          <w:marLeft w:val="0"/>
          <w:marRight w:val="0"/>
          <w:marTop w:val="0"/>
          <w:marBottom w:val="0"/>
          <w:divBdr>
            <w:top w:val="none" w:sz="0" w:space="0" w:color="auto"/>
            <w:left w:val="none" w:sz="0" w:space="0" w:color="auto"/>
            <w:bottom w:val="none" w:sz="0" w:space="0" w:color="auto"/>
            <w:right w:val="none" w:sz="0" w:space="0" w:color="auto"/>
          </w:divBdr>
          <w:divsChild>
            <w:div w:id="18523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6887199">
      <w:bodyDiv w:val="1"/>
      <w:marLeft w:val="0"/>
      <w:marRight w:val="0"/>
      <w:marTop w:val="0"/>
      <w:marBottom w:val="0"/>
      <w:divBdr>
        <w:top w:val="none" w:sz="0" w:space="0" w:color="auto"/>
        <w:left w:val="none" w:sz="0" w:space="0" w:color="auto"/>
        <w:bottom w:val="none" w:sz="0" w:space="0" w:color="auto"/>
        <w:right w:val="none" w:sz="0" w:space="0" w:color="auto"/>
      </w:divBdr>
    </w:div>
    <w:div w:id="2042779257">
      <w:bodyDiv w:val="1"/>
      <w:marLeft w:val="0"/>
      <w:marRight w:val="0"/>
      <w:marTop w:val="0"/>
      <w:marBottom w:val="0"/>
      <w:divBdr>
        <w:top w:val="none" w:sz="0" w:space="0" w:color="auto"/>
        <w:left w:val="none" w:sz="0" w:space="0" w:color="auto"/>
        <w:bottom w:val="none" w:sz="0" w:space="0" w:color="auto"/>
        <w:right w:val="none" w:sz="0" w:space="0" w:color="auto"/>
      </w:divBdr>
    </w:div>
    <w:div w:id="206032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www.ncbi.nlm.nih.gov/pubmed/11062149" TargetMode="External"/><Relationship Id="rId39" Type="http://schemas.openxmlformats.org/officeDocument/2006/relationships/theme" Target="theme/theme1.xml"/><Relationship Id="rId21" Type="http://schemas.openxmlformats.org/officeDocument/2006/relationships/hyperlink" Target="http://www.ncbi.nlm.nih.gov/pubmed/34261178" TargetMode="External"/><Relationship Id="rId34" Type="http://schemas.openxmlformats.org/officeDocument/2006/relationships/hyperlink" Target="http://www.ncbi.nlm.nih.gov/pubmed/2325550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www.ncbi.nlm.nih.gov/pubmed/10577904" TargetMode="External"/><Relationship Id="rId33" Type="http://schemas.openxmlformats.org/officeDocument/2006/relationships/hyperlink" Target="http://www.ncbi.nlm.nih.gov/pubmed/264186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www.ncbi.nlm.nih.gov/pubmed/146567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cbi.nlm.nih.gov/pubmed/1084576" TargetMode="External"/><Relationship Id="rId32" Type="http://schemas.openxmlformats.org/officeDocument/2006/relationships/hyperlink" Target="http://www.ncbi.nlm.nih.gov/pubmed/38975481" TargetMode="External"/><Relationship Id="rId37" Type="http://schemas.openxmlformats.org/officeDocument/2006/relationships/hyperlink" Target="http://www.scielo.org.pe/scielo.php?script=sci_arttext&amp;pid=S1728-59172022000100073"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ncbi.nlm.nih.gov/pubmed/29905515" TargetMode="External"/><Relationship Id="rId28" Type="http://schemas.openxmlformats.org/officeDocument/2006/relationships/hyperlink" Target="http://www.ncbi.nlm.nih.gov/pubmed/301245" TargetMode="External"/><Relationship Id="rId36" Type="http://schemas.openxmlformats.org/officeDocument/2006/relationships/hyperlink" Target="http://scielo.sld.cu/scielo.php?script=sci_arttext&amp;pid=S1729-519X2011000100007" TargetMode="Externa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www.ncbi.nlm.nih.gov/pubmed/394471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ncbi.nlm.nih.gov/pubmed/19948909" TargetMode="External"/><Relationship Id="rId27" Type="http://schemas.openxmlformats.org/officeDocument/2006/relationships/hyperlink" Target="http://www.ncbi.nlm.nih.gov/pubmed/24771309" TargetMode="External"/><Relationship Id="rId30" Type="http://schemas.openxmlformats.org/officeDocument/2006/relationships/hyperlink" Target="http://www.ncbi.nlm.nih.gov/pubmed/35728977" TargetMode="External"/><Relationship Id="rId35" Type="http://schemas.openxmlformats.org/officeDocument/2006/relationships/hyperlink" Target="http://www.ncbi.nlm.nih.gov/pubmed/28649564"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EA4DC-A3D1-4F01-908D-2F595E7D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8</Pages>
  <Words>2623</Words>
  <Characters>14952</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17540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60</cp:revision>
  <cp:lastPrinted>1999-07-06T11:00:00Z</cp:lastPrinted>
  <dcterms:created xsi:type="dcterms:W3CDTF">2025-08-16T12:18:00Z</dcterms:created>
  <dcterms:modified xsi:type="dcterms:W3CDTF">2025-08-27T09:54:00Z</dcterms:modified>
</cp:coreProperties>
</file>