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A821A" w14:textId="77777777" w:rsidR="00754C9A" w:rsidRDefault="00754C9A" w:rsidP="00441B6F">
      <w:pPr>
        <w:pStyle w:val="Title"/>
        <w:spacing w:after="0"/>
        <w:jc w:val="both"/>
        <w:rPr>
          <w:rFonts w:ascii="Arial" w:hAnsi="Arial" w:cs="Arial"/>
        </w:rPr>
      </w:pPr>
    </w:p>
    <w:p w14:paraId="540FE377" w14:textId="77777777" w:rsidR="003A03F9" w:rsidRDefault="003A03F9" w:rsidP="00441B6F">
      <w:pPr>
        <w:pStyle w:val="Author"/>
        <w:spacing w:line="240" w:lineRule="auto"/>
        <w:rPr>
          <w:rFonts w:ascii="Arial" w:hAnsi="Arial" w:cs="Arial"/>
          <w:bCs/>
          <w:iCs/>
          <w:kern w:val="28"/>
          <w:sz w:val="36"/>
        </w:rPr>
      </w:pPr>
    </w:p>
    <w:p w14:paraId="361E0726" w14:textId="2F09CC3E" w:rsidR="00163BC4" w:rsidRPr="00163BC4" w:rsidRDefault="005662B7" w:rsidP="00441B6F">
      <w:pPr>
        <w:pStyle w:val="Author"/>
        <w:spacing w:line="240" w:lineRule="auto"/>
        <w:rPr>
          <w:rFonts w:ascii="Arial" w:hAnsi="Arial" w:cs="Arial"/>
          <w:bCs/>
          <w:iCs/>
          <w:kern w:val="28"/>
          <w:sz w:val="36"/>
        </w:rPr>
      </w:pPr>
      <w:r>
        <w:rPr>
          <w:rFonts w:ascii="Arial" w:hAnsi="Arial" w:cs="Arial"/>
          <w:bCs/>
          <w:iCs/>
          <w:kern w:val="28"/>
          <w:sz w:val="36"/>
        </w:rPr>
        <w:t xml:space="preserve">Supraclavicular Nerve Matters: </w:t>
      </w:r>
      <w:r w:rsidR="00C606F3" w:rsidRPr="00C606F3">
        <w:rPr>
          <w:rFonts w:ascii="Arial" w:hAnsi="Arial" w:cs="Arial"/>
          <w:bCs/>
          <w:iCs/>
          <w:kern w:val="28"/>
          <w:sz w:val="36"/>
        </w:rPr>
        <w:t>A Case Series</w:t>
      </w:r>
      <w:r w:rsidR="00C606F3">
        <w:rPr>
          <w:rFonts w:ascii="Arial" w:hAnsi="Arial" w:cs="Arial"/>
          <w:bCs/>
          <w:iCs/>
          <w:kern w:val="28"/>
          <w:sz w:val="36"/>
        </w:rPr>
        <w:t xml:space="preserve"> of </w:t>
      </w:r>
      <w:r>
        <w:rPr>
          <w:rFonts w:ascii="Arial" w:hAnsi="Arial" w:cs="Arial"/>
          <w:bCs/>
          <w:iCs/>
          <w:kern w:val="28"/>
          <w:sz w:val="36"/>
        </w:rPr>
        <w:t xml:space="preserve">Three Distinct Outcomes After Clavicle Fixation </w:t>
      </w:r>
    </w:p>
    <w:p w14:paraId="25250838" w14:textId="77777777" w:rsidR="0082790B" w:rsidRDefault="0082790B" w:rsidP="003A03F9">
      <w:pPr>
        <w:pStyle w:val="Affiliation"/>
        <w:spacing w:after="0" w:line="240" w:lineRule="auto"/>
        <w:rPr>
          <w:rFonts w:ascii="Arial" w:hAnsi="Arial" w:cs="Arial"/>
          <w:i/>
        </w:rPr>
      </w:pPr>
    </w:p>
    <w:p w14:paraId="1E271E2C" w14:textId="77777777" w:rsidR="00790ADA" w:rsidRDefault="00790ADA" w:rsidP="00441B6F">
      <w:pPr>
        <w:pStyle w:val="Affiliation"/>
        <w:spacing w:after="0" w:line="240" w:lineRule="auto"/>
        <w:jc w:val="both"/>
        <w:rPr>
          <w:rFonts w:ascii="Arial" w:hAnsi="Arial" w:cs="Arial"/>
        </w:rPr>
      </w:pPr>
    </w:p>
    <w:p w14:paraId="5DBD3402" w14:textId="77777777" w:rsidR="002C57D2" w:rsidRPr="00FB3A86" w:rsidRDefault="002C57D2" w:rsidP="00441B6F">
      <w:pPr>
        <w:pStyle w:val="Affiliation"/>
        <w:spacing w:after="0" w:line="240" w:lineRule="auto"/>
        <w:jc w:val="both"/>
        <w:rPr>
          <w:rFonts w:ascii="Arial" w:hAnsi="Arial" w:cs="Arial"/>
        </w:rPr>
      </w:pPr>
    </w:p>
    <w:p w14:paraId="3E810924" w14:textId="77777777" w:rsidR="00B01FCD" w:rsidRPr="00FB3A86" w:rsidRDefault="005662B7" w:rsidP="00441B6F">
      <w:pPr>
        <w:pStyle w:val="Copyright"/>
        <w:spacing w:after="0" w:line="240" w:lineRule="auto"/>
        <w:jc w:val="both"/>
        <w:rPr>
          <w:rFonts w:ascii="Arial" w:hAnsi="Arial" w:cs="Arial"/>
        </w:rPr>
        <w:sectPr w:rsidR="00B01FCD" w:rsidRPr="00FB3A86" w:rsidSect="00D252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22330A" wp14:editId="190CED23">
                <wp:extent cx="5303520" cy="635"/>
                <wp:effectExtent l="0" t="12700" r="5080" b="12065"/>
                <wp:docPr id="19106019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98F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774890CD" w14:textId="540A9C8D" w:rsidR="00B01FCD" w:rsidRDefault="00B01FCD" w:rsidP="00441B6F">
      <w:pPr>
        <w:pStyle w:val="AbstHead"/>
        <w:spacing w:after="0"/>
        <w:jc w:val="both"/>
        <w:rPr>
          <w:rFonts w:ascii="Arial" w:hAnsi="Arial" w:cs="Arial"/>
        </w:rPr>
      </w:pPr>
      <w:r w:rsidRPr="00FB3A86">
        <w:rPr>
          <w:rFonts w:ascii="Arial" w:hAnsi="Arial" w:cs="Arial"/>
        </w:rPr>
        <w:t>ABSTRACT</w:t>
      </w:r>
    </w:p>
    <w:p w14:paraId="35E8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2F21942" w14:textId="77777777" w:rsidTr="001E44FE">
        <w:tc>
          <w:tcPr>
            <w:tcW w:w="9576" w:type="dxa"/>
            <w:shd w:val="clear" w:color="auto" w:fill="F2F2F2"/>
          </w:tcPr>
          <w:p w14:paraId="737D9F3E" w14:textId="61A0676B" w:rsidR="009A2EAF" w:rsidRPr="009A2EAF" w:rsidRDefault="009A2EAF" w:rsidP="009A2EAF">
            <w:pPr>
              <w:pStyle w:val="Body"/>
              <w:spacing w:after="0"/>
              <w:rPr>
                <w:rFonts w:ascii="Arial" w:hAnsi="Arial" w:cs="Arial"/>
                <w:b/>
                <w:bCs/>
              </w:rPr>
            </w:pPr>
            <w:r w:rsidRPr="009A2EAF">
              <w:rPr>
                <w:rFonts w:ascii="Arial" w:hAnsi="Arial" w:cs="Arial"/>
                <w:b/>
                <w:bCs/>
              </w:rPr>
              <w:t>Aim:</w:t>
            </w:r>
          </w:p>
          <w:p w14:paraId="0D4A185F" w14:textId="6D02D170" w:rsidR="009A2EAF" w:rsidRPr="002D29DB" w:rsidRDefault="009A2EAF" w:rsidP="009A2EAF">
            <w:pPr>
              <w:pStyle w:val="Body"/>
              <w:spacing w:after="0"/>
              <w:rPr>
                <w:rFonts w:ascii="Arial" w:hAnsi="Arial" w:cs="Arial"/>
                <w:color w:val="FF0000"/>
              </w:rPr>
            </w:pPr>
            <w:r w:rsidRPr="009A2EAF">
              <w:rPr>
                <w:rFonts w:ascii="Arial" w:hAnsi="Arial" w:cs="Arial"/>
              </w:rPr>
              <w:t xml:space="preserve">Clavicle fractures, accounting for approximately 3% of all fractures, often require surgical intervention, particularly open reduction and internal fixation, to enhance stability and recovery. However, this approach poses risks to the supraclavicular nerve, which innervates the skin over the shoulder and upper chest. </w:t>
            </w:r>
            <w:r w:rsidR="002D29DB" w:rsidRPr="000073CB">
              <w:rPr>
                <w:rFonts w:ascii="Arial" w:hAnsi="Arial" w:cs="Arial"/>
                <w:color w:val="FF0000"/>
              </w:rPr>
              <w:t>This case series aims to highlight the importance of nerve preservation intraoperatively.</w:t>
            </w:r>
          </w:p>
          <w:p w14:paraId="2C2C0B2D" w14:textId="77777777" w:rsidR="009A2EAF" w:rsidRPr="009A2EAF" w:rsidRDefault="009A2EAF" w:rsidP="009A2EAF">
            <w:pPr>
              <w:pStyle w:val="Body"/>
              <w:spacing w:after="0"/>
              <w:rPr>
                <w:rFonts w:ascii="Arial" w:hAnsi="Arial" w:cs="Arial"/>
              </w:rPr>
            </w:pPr>
          </w:p>
          <w:p w14:paraId="4BD42388" w14:textId="5CCCF4E1" w:rsidR="009A2EAF" w:rsidRPr="009A2EAF" w:rsidRDefault="009A2EAF" w:rsidP="009A2EAF">
            <w:pPr>
              <w:pStyle w:val="Body"/>
              <w:spacing w:after="0"/>
              <w:rPr>
                <w:rFonts w:ascii="Arial" w:hAnsi="Arial" w:cs="Arial"/>
                <w:b/>
                <w:bCs/>
              </w:rPr>
            </w:pPr>
            <w:r w:rsidRPr="009A2EAF">
              <w:rPr>
                <w:rFonts w:ascii="Arial" w:hAnsi="Arial" w:cs="Arial"/>
                <w:b/>
                <w:bCs/>
              </w:rPr>
              <w:t>Presentation of case:</w:t>
            </w:r>
          </w:p>
          <w:p w14:paraId="1D08076C" w14:textId="77777777" w:rsidR="009A2EAF" w:rsidRPr="009A2EAF" w:rsidRDefault="009A2EAF" w:rsidP="009A2EAF">
            <w:pPr>
              <w:pStyle w:val="Body"/>
              <w:spacing w:after="0"/>
              <w:rPr>
                <w:rFonts w:ascii="Arial" w:hAnsi="Arial" w:cs="Arial"/>
              </w:rPr>
            </w:pPr>
            <w:r w:rsidRPr="009A2EAF">
              <w:rPr>
                <w:rFonts w:ascii="Arial" w:hAnsi="Arial" w:cs="Arial"/>
              </w:rPr>
              <w:t xml:space="preserve">This case series examines three patients with comminuted mid-shaft clavicle fractures treated via locking plate fixation, highlighting different outcomes related to nerve preservation. In the first case, all branches of the supraclavicular nerve were preserved, resulting in full sensory function post-operation. The second case involved temporary numbness due to nerve stretching, with sensation returning by day five. In the third case, the nerve was sacrificed to facilitate surgery, leading to painful neuroma formation and permanent numbness. </w:t>
            </w:r>
          </w:p>
          <w:p w14:paraId="55AB2212" w14:textId="77777777" w:rsidR="009A2EAF" w:rsidRPr="009A2EAF" w:rsidRDefault="009A2EAF" w:rsidP="009A2EAF">
            <w:pPr>
              <w:pStyle w:val="Body"/>
              <w:spacing w:after="0"/>
              <w:rPr>
                <w:rFonts w:ascii="Arial" w:hAnsi="Arial" w:cs="Arial"/>
              </w:rPr>
            </w:pPr>
          </w:p>
          <w:p w14:paraId="4664B9C6" w14:textId="5AB25997" w:rsidR="009A2EAF" w:rsidRPr="009A2EAF" w:rsidRDefault="009A2EAF" w:rsidP="009A2EAF">
            <w:pPr>
              <w:pStyle w:val="Body"/>
              <w:spacing w:after="0"/>
              <w:rPr>
                <w:rFonts w:ascii="Arial" w:hAnsi="Arial" w:cs="Arial"/>
                <w:b/>
                <w:bCs/>
              </w:rPr>
            </w:pPr>
            <w:r w:rsidRPr="009A2EAF">
              <w:rPr>
                <w:rFonts w:ascii="Arial" w:hAnsi="Arial" w:cs="Arial"/>
                <w:b/>
                <w:bCs/>
              </w:rPr>
              <w:t>Discussion:</w:t>
            </w:r>
          </w:p>
          <w:p w14:paraId="05E93110" w14:textId="77777777" w:rsidR="009A2EAF" w:rsidRPr="009A2EAF" w:rsidRDefault="009A2EAF" w:rsidP="009A2EAF">
            <w:pPr>
              <w:pStyle w:val="Body"/>
              <w:spacing w:after="0"/>
              <w:rPr>
                <w:rFonts w:ascii="Arial" w:hAnsi="Arial" w:cs="Arial"/>
              </w:rPr>
            </w:pPr>
            <w:r w:rsidRPr="009A2EAF">
              <w:rPr>
                <w:rFonts w:ascii="Arial" w:hAnsi="Arial" w:cs="Arial"/>
              </w:rPr>
              <w:t xml:space="preserve">These outcomes underline the importance of preserving the supraclavicular nerve to prevent sensory deficits and improve patient satisfaction. Effective surgical techniques, including careful dissection and the use of magnification, are crucial for minimizing nerve injury. </w:t>
            </w:r>
          </w:p>
          <w:p w14:paraId="7DCF463B" w14:textId="77777777" w:rsidR="009A2EAF" w:rsidRPr="009A2EAF" w:rsidRDefault="009A2EAF" w:rsidP="009A2EAF">
            <w:pPr>
              <w:pStyle w:val="Body"/>
              <w:spacing w:after="0"/>
              <w:rPr>
                <w:rFonts w:ascii="Arial" w:hAnsi="Arial" w:cs="Arial"/>
              </w:rPr>
            </w:pPr>
          </w:p>
          <w:p w14:paraId="21988231" w14:textId="1347BFD4" w:rsidR="009A2EAF" w:rsidRPr="009A2EAF" w:rsidRDefault="009A2EAF" w:rsidP="009A2EAF">
            <w:pPr>
              <w:pStyle w:val="Body"/>
              <w:spacing w:after="0"/>
              <w:rPr>
                <w:rFonts w:ascii="Arial" w:hAnsi="Arial" w:cs="Arial"/>
                <w:b/>
                <w:bCs/>
              </w:rPr>
            </w:pPr>
            <w:r w:rsidRPr="009A2EAF">
              <w:rPr>
                <w:rFonts w:ascii="Arial" w:hAnsi="Arial" w:cs="Arial"/>
                <w:b/>
                <w:bCs/>
              </w:rPr>
              <w:t>Conclusion:</w:t>
            </w:r>
          </w:p>
          <w:p w14:paraId="2F93C4D0" w14:textId="68DFEF00" w:rsidR="00505F06" w:rsidRPr="002D29DB" w:rsidRDefault="009A2EAF" w:rsidP="002D29DB">
            <w:pPr>
              <w:ind w:right="462"/>
              <w:jc w:val="both"/>
              <w:rPr>
                <w:color w:val="FF0000"/>
                <w:lang w:val="en-GB"/>
              </w:rPr>
            </w:pPr>
            <w:r w:rsidRPr="009A2EAF">
              <w:rPr>
                <w:rFonts w:ascii="Arial" w:hAnsi="Arial" w:cs="Arial"/>
              </w:rPr>
              <w:t>This series reinforces that prioritizing nerve preservation can lead to better functional recovery and overall patient experience in clavicle fracture management.</w:t>
            </w:r>
            <w:r w:rsidR="002D29DB">
              <w:rPr>
                <w:rFonts w:ascii="Arial" w:hAnsi="Arial" w:cs="Arial"/>
              </w:rPr>
              <w:t xml:space="preserve"> </w:t>
            </w:r>
            <w:r w:rsidR="002D29DB" w:rsidRPr="000073CB">
              <w:rPr>
                <w:color w:val="FF0000"/>
                <w:lang w:val="en-GB"/>
              </w:rPr>
              <w:t>Careful nerve preservation should be prioritized in all cases whenever feasible.</w:t>
            </w:r>
          </w:p>
        </w:tc>
      </w:tr>
    </w:tbl>
    <w:p w14:paraId="2CBFCD92" w14:textId="77777777" w:rsidR="00636EB2" w:rsidRDefault="00636EB2" w:rsidP="00441B6F">
      <w:pPr>
        <w:pStyle w:val="Body"/>
        <w:spacing w:after="0"/>
        <w:rPr>
          <w:rFonts w:ascii="Arial" w:hAnsi="Arial" w:cs="Arial"/>
          <w:i/>
        </w:rPr>
      </w:pPr>
    </w:p>
    <w:p w14:paraId="553E36A6" w14:textId="0B58FE15" w:rsidR="00A24E7E" w:rsidRDefault="00A24E7E" w:rsidP="00441B6F">
      <w:pPr>
        <w:pStyle w:val="Body"/>
        <w:spacing w:after="0"/>
        <w:rPr>
          <w:rFonts w:ascii="Arial" w:hAnsi="Arial" w:cs="Arial"/>
          <w:i/>
        </w:rPr>
      </w:pPr>
      <w:r>
        <w:rPr>
          <w:rFonts w:ascii="Arial" w:hAnsi="Arial" w:cs="Arial"/>
          <w:i/>
        </w:rPr>
        <w:t>Keywords</w:t>
      </w:r>
      <w:r w:rsidR="00C606F3" w:rsidRPr="00C606F3">
        <w:t xml:space="preserve"> </w:t>
      </w:r>
      <w:r w:rsidR="00C606F3" w:rsidRPr="00C606F3">
        <w:rPr>
          <w:rFonts w:ascii="Arial" w:hAnsi="Arial" w:cs="Arial"/>
          <w:i/>
        </w:rPr>
        <w:t>Clavicle Fixation</w:t>
      </w:r>
      <w:r w:rsidR="009A2EAF">
        <w:rPr>
          <w:rFonts w:ascii="Arial" w:hAnsi="Arial" w:cs="Arial"/>
          <w:i/>
        </w:rPr>
        <w:t>, supraclavicular nerve, outcomes</w:t>
      </w:r>
      <w:r w:rsidR="00C606F3">
        <w:rPr>
          <w:rFonts w:ascii="Arial" w:hAnsi="Arial" w:cs="Arial"/>
          <w:i/>
        </w:rPr>
        <w:t>, S</w:t>
      </w:r>
      <w:r w:rsidR="00C606F3" w:rsidRPr="00C606F3">
        <w:rPr>
          <w:rFonts w:ascii="Arial" w:hAnsi="Arial" w:cs="Arial"/>
          <w:i/>
        </w:rPr>
        <w:t>urgical techniques</w:t>
      </w:r>
      <w:r w:rsidR="00C606F3">
        <w:rPr>
          <w:rFonts w:ascii="Arial" w:hAnsi="Arial" w:cs="Arial"/>
          <w:i/>
        </w:rPr>
        <w:t>, S</w:t>
      </w:r>
      <w:r w:rsidR="00C606F3" w:rsidRPr="00C606F3">
        <w:rPr>
          <w:rFonts w:ascii="Arial" w:hAnsi="Arial" w:cs="Arial"/>
          <w:i/>
        </w:rPr>
        <w:t>ensory deficits</w:t>
      </w:r>
    </w:p>
    <w:p w14:paraId="12F1AEF0" w14:textId="77777777" w:rsidR="00505F06" w:rsidRPr="00A24E7E" w:rsidRDefault="00505F06" w:rsidP="00441B6F">
      <w:pPr>
        <w:pStyle w:val="Body"/>
        <w:spacing w:after="0"/>
        <w:rPr>
          <w:rFonts w:ascii="Arial" w:hAnsi="Arial" w:cs="Arial"/>
          <w:i/>
        </w:rPr>
      </w:pPr>
    </w:p>
    <w:p w14:paraId="53957372" w14:textId="34724A8A"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A98BC12" w14:textId="3EFC911D" w:rsidR="005662B7" w:rsidRPr="00DD1F81" w:rsidRDefault="005662B7" w:rsidP="005662B7">
      <w:pPr>
        <w:pStyle w:val="NormalWeb"/>
        <w:jc w:val="both"/>
        <w:rPr>
          <w:rFonts w:ascii="Arial" w:hAnsi="Arial" w:cs="Arial"/>
          <w:sz w:val="20"/>
          <w:szCs w:val="20"/>
        </w:rPr>
      </w:pPr>
      <w:r w:rsidRPr="00DD1F81">
        <w:rPr>
          <w:rFonts w:ascii="Arial" w:hAnsi="Arial" w:cs="Arial"/>
          <w:sz w:val="20"/>
          <w:szCs w:val="20"/>
        </w:rPr>
        <w:t xml:space="preserve">Clavicle fractures are a common injury in both the paediatric and adult populations, accounting for about 3% of all fractures. Surgical intervention, typically in the form of open reduction and internal fixation, has become increasingly favoured for displaced fractures, particularly in active individuals. It </w:t>
      </w:r>
      <w:r w:rsidRPr="00DD1F81">
        <w:rPr>
          <w:rFonts w:ascii="Arial" w:hAnsi="Arial" w:cs="Arial"/>
          <w:color w:val="0F0F0F"/>
          <w:sz w:val="20"/>
          <w:szCs w:val="20"/>
        </w:rPr>
        <w:t>offered enhanced structural stability and quicker functional recovery. A drawback of this approach is the risk of injuring the branches of the supraclavicular nerve, which provide sensation to the skin over the shoulder, upper chest, and breast. Post-operative numbness has been reported in 74% of cases, with some cases resulting in permanent sensory loss and hypersensitivity</w:t>
      </w:r>
      <w:r w:rsidR="005029F7">
        <w:rPr>
          <w:rFonts w:ascii="Arial" w:hAnsi="Arial" w:cs="Arial"/>
          <w:color w:val="0F0F0F"/>
          <w:sz w:val="20"/>
          <w:szCs w:val="20"/>
          <w:vertAlign w:val="superscript"/>
        </w:rPr>
        <w:t>¹</w:t>
      </w:r>
      <w:r w:rsidRPr="00DD1F81">
        <w:rPr>
          <w:rFonts w:ascii="Arial" w:hAnsi="Arial" w:cs="Arial"/>
          <w:color w:val="0F0F0F"/>
          <w:sz w:val="20"/>
          <w:szCs w:val="20"/>
        </w:rPr>
        <w:t>. Eventually</w:t>
      </w:r>
      <w:r w:rsidR="005029F7">
        <w:rPr>
          <w:rFonts w:ascii="Arial" w:hAnsi="Arial" w:cs="Arial"/>
          <w:color w:val="0F0F0F"/>
          <w:sz w:val="20"/>
          <w:szCs w:val="20"/>
        </w:rPr>
        <w:t>,</w:t>
      </w:r>
      <w:r w:rsidRPr="00DD1F81">
        <w:rPr>
          <w:rFonts w:ascii="Arial" w:hAnsi="Arial" w:cs="Arial"/>
          <w:color w:val="0F0F0F"/>
          <w:sz w:val="20"/>
          <w:szCs w:val="20"/>
        </w:rPr>
        <w:t xml:space="preserve"> it will lead to </w:t>
      </w:r>
      <w:r w:rsidR="005029F7">
        <w:rPr>
          <w:rFonts w:ascii="Arial" w:hAnsi="Arial" w:cs="Arial"/>
          <w:color w:val="0F0F0F"/>
          <w:sz w:val="20"/>
          <w:szCs w:val="20"/>
        </w:rPr>
        <w:t xml:space="preserve">a </w:t>
      </w:r>
      <w:r w:rsidRPr="00DD1F81">
        <w:rPr>
          <w:rFonts w:ascii="Arial" w:hAnsi="Arial" w:cs="Arial"/>
          <w:color w:val="0F0F0F"/>
          <w:sz w:val="20"/>
          <w:szCs w:val="20"/>
        </w:rPr>
        <w:t>significant</w:t>
      </w:r>
      <w:r w:rsidR="005029F7">
        <w:rPr>
          <w:rFonts w:ascii="Arial" w:hAnsi="Arial" w:cs="Arial"/>
          <w:color w:val="0F0F0F"/>
          <w:sz w:val="20"/>
          <w:szCs w:val="20"/>
        </w:rPr>
        <w:t>ly</w:t>
      </w:r>
      <w:r w:rsidRPr="00DD1F81">
        <w:rPr>
          <w:rFonts w:ascii="Arial" w:hAnsi="Arial" w:cs="Arial"/>
          <w:color w:val="0F0F0F"/>
          <w:sz w:val="20"/>
          <w:szCs w:val="20"/>
        </w:rPr>
        <w:t xml:space="preserve"> poor quality of life and functional outcomes. </w:t>
      </w:r>
    </w:p>
    <w:p w14:paraId="0073F41B" w14:textId="7A57D029" w:rsidR="005662B7" w:rsidRPr="00DD1F81" w:rsidRDefault="005662B7" w:rsidP="005662B7">
      <w:pPr>
        <w:spacing w:before="100" w:beforeAutospacing="1" w:after="100" w:afterAutospacing="1"/>
        <w:jc w:val="both"/>
        <w:rPr>
          <w:rFonts w:ascii="Arial" w:hAnsi="Arial" w:cs="Arial"/>
          <w:lang w:eastAsia="en-GB"/>
        </w:rPr>
      </w:pPr>
      <w:r w:rsidRPr="00DD1F81">
        <w:rPr>
          <w:rFonts w:ascii="Arial" w:hAnsi="Arial" w:cs="Arial"/>
          <w:lang w:eastAsia="en-GB"/>
        </w:rPr>
        <w:t>Preserving the supraclavicular nerve during clavicle fixation presents a challenge but is crucial for optimizing patient recovery and minimizing postoperative complications. This case series aims to present three patients who underwent clavicle fixation with different fate</w:t>
      </w:r>
      <w:r w:rsidR="005029F7">
        <w:rPr>
          <w:rFonts w:ascii="Arial" w:hAnsi="Arial" w:cs="Arial"/>
          <w:lang w:eastAsia="en-GB"/>
        </w:rPr>
        <w:t>s</w:t>
      </w:r>
      <w:r w:rsidRPr="00DD1F81">
        <w:rPr>
          <w:rFonts w:ascii="Arial" w:hAnsi="Arial" w:cs="Arial"/>
          <w:lang w:eastAsia="en-GB"/>
        </w:rPr>
        <w:t xml:space="preserve"> of the supraclavicular nerve.</w:t>
      </w:r>
    </w:p>
    <w:p w14:paraId="540E8F45" w14:textId="50D51BDF"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5662B7">
        <w:rPr>
          <w:rFonts w:ascii="Arial" w:hAnsi="Arial" w:cs="Arial"/>
        </w:rPr>
        <w:t>PRESENTATION OF CASES</w:t>
      </w:r>
    </w:p>
    <w:p w14:paraId="15B8A6FD" w14:textId="50A8B49C" w:rsidR="005662B7" w:rsidRPr="005662B7" w:rsidRDefault="005662B7" w:rsidP="005662B7">
      <w:pPr>
        <w:pStyle w:val="NormalWeb"/>
        <w:jc w:val="both"/>
      </w:pPr>
      <w:r w:rsidRPr="005662B7">
        <w:rPr>
          <w:rFonts w:ascii="Arial" w:hAnsi="Arial" w:cs="Arial"/>
          <w:sz w:val="20"/>
          <w:szCs w:val="20"/>
        </w:rPr>
        <w:t xml:space="preserve">Three patients had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mid-shaft clavicle fractures treated with open reduction and locking plate fixation of the clavicle using the anterior approach. </w:t>
      </w:r>
      <w:r w:rsidR="002D29DB" w:rsidRPr="00A92DAD">
        <w:rPr>
          <w:rFonts w:ascii="Arial" w:hAnsi="Arial" w:cs="Arial"/>
          <w:color w:val="FF0000"/>
          <w:sz w:val="20"/>
          <w:szCs w:val="20"/>
        </w:rPr>
        <w:t>The summary of the cases are summarised in Table 1</w:t>
      </w:r>
      <w:r w:rsidR="002D29DB">
        <w:rPr>
          <w:rFonts w:ascii="Arial" w:hAnsi="Arial" w:cs="Arial"/>
          <w:color w:val="FF0000"/>
          <w:sz w:val="20"/>
          <w:szCs w:val="20"/>
        </w:rPr>
        <w:t xml:space="preserve">. </w:t>
      </w:r>
      <w:r w:rsidRPr="005662B7">
        <w:rPr>
          <w:rFonts w:ascii="Arial" w:hAnsi="Arial" w:cs="Arial"/>
          <w:sz w:val="20"/>
          <w:szCs w:val="20"/>
        </w:rPr>
        <w:t xml:space="preserve">In the first case, all the 3 branches of the supraclavicular nerve were carefully isolated during the procedure, preserving full sensation in the nerve’s distribution area post-operation (figure 1). In the second case, due to a badly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fracture, the middle branch of the supraclavicular nerve was stretched during fracture manipulation, leading to temporary numbness in the upper chest (figure 2). Fortunately, sensation </w:t>
      </w:r>
      <w:r w:rsidR="002D29DB">
        <w:rPr>
          <w:rFonts w:ascii="Arial" w:hAnsi="Arial" w:cs="Arial"/>
          <w:sz w:val="20"/>
          <w:szCs w:val="20"/>
        </w:rPr>
        <w:t xml:space="preserve">was completely </w:t>
      </w:r>
      <w:r w:rsidRPr="005662B7">
        <w:rPr>
          <w:rFonts w:ascii="Arial" w:hAnsi="Arial" w:cs="Arial"/>
          <w:sz w:val="20"/>
          <w:szCs w:val="20"/>
        </w:rPr>
        <w:t xml:space="preserve">returned by the fifth day after surgery. </w:t>
      </w:r>
      <w:r w:rsidR="002D29DB" w:rsidRPr="00627A7C">
        <w:rPr>
          <w:rFonts w:ascii="Arial" w:hAnsi="Arial" w:cs="Arial"/>
          <w:color w:val="FF0000"/>
          <w:sz w:val="20"/>
          <w:szCs w:val="20"/>
        </w:rPr>
        <w:t xml:space="preserve">The third patient sustained an </w:t>
      </w:r>
      <w:proofErr w:type="spellStart"/>
      <w:r w:rsidR="002D29DB" w:rsidRPr="00627A7C">
        <w:rPr>
          <w:rFonts w:ascii="Arial" w:hAnsi="Arial" w:cs="Arial"/>
          <w:color w:val="FF0000"/>
          <w:sz w:val="20"/>
          <w:szCs w:val="20"/>
        </w:rPr>
        <w:t>undisplaced</w:t>
      </w:r>
      <w:proofErr w:type="spellEnd"/>
      <w:r w:rsidR="002D29DB" w:rsidRPr="00627A7C">
        <w:rPr>
          <w:rFonts w:ascii="Arial" w:hAnsi="Arial" w:cs="Arial"/>
          <w:color w:val="FF0000"/>
          <w:sz w:val="20"/>
          <w:szCs w:val="20"/>
        </w:rPr>
        <w:t xml:space="preserve"> clavicle fracture and was treated non-operatively. However, </w:t>
      </w:r>
      <w:r w:rsidR="005029F7">
        <w:rPr>
          <w:rFonts w:ascii="Arial" w:hAnsi="Arial" w:cs="Arial"/>
          <w:color w:val="FF0000"/>
          <w:sz w:val="20"/>
          <w:szCs w:val="20"/>
        </w:rPr>
        <w:t xml:space="preserve">a </w:t>
      </w:r>
      <w:r w:rsidR="002D29DB" w:rsidRPr="00627A7C">
        <w:rPr>
          <w:rFonts w:ascii="Arial" w:hAnsi="Arial" w:cs="Arial"/>
          <w:color w:val="FF0000"/>
          <w:sz w:val="20"/>
          <w:szCs w:val="20"/>
        </w:rPr>
        <w:t xml:space="preserve">follow up at 1-month showed a markedly displaced fracture and operative intervention was offered to </w:t>
      </w:r>
      <w:r w:rsidR="005029F7">
        <w:rPr>
          <w:rFonts w:ascii="Arial" w:hAnsi="Arial" w:cs="Arial"/>
          <w:color w:val="FF0000"/>
          <w:sz w:val="20"/>
          <w:szCs w:val="20"/>
        </w:rPr>
        <w:t xml:space="preserve">the </w:t>
      </w:r>
      <w:r w:rsidR="002D29DB" w:rsidRPr="00627A7C">
        <w:rPr>
          <w:rFonts w:ascii="Arial" w:hAnsi="Arial" w:cs="Arial"/>
          <w:color w:val="FF0000"/>
          <w:sz w:val="20"/>
          <w:szCs w:val="20"/>
        </w:rPr>
        <w:t>patient. The radiograph showed abundant callus surrounding the fracture site. The operation was performed after about 2-months post</w:t>
      </w:r>
      <w:r w:rsidR="005029F7">
        <w:rPr>
          <w:rFonts w:ascii="Arial" w:hAnsi="Arial" w:cs="Arial"/>
          <w:color w:val="FF0000"/>
          <w:sz w:val="20"/>
          <w:szCs w:val="20"/>
        </w:rPr>
        <w:t>-</w:t>
      </w:r>
      <w:r w:rsidR="002D29DB" w:rsidRPr="00627A7C">
        <w:rPr>
          <w:rFonts w:ascii="Arial" w:hAnsi="Arial" w:cs="Arial"/>
          <w:color w:val="FF0000"/>
          <w:sz w:val="20"/>
          <w:szCs w:val="20"/>
        </w:rPr>
        <w:t>trauma.</w:t>
      </w:r>
      <w:r w:rsidR="002D29DB">
        <w:rPr>
          <w:rFonts w:ascii="Arial" w:hAnsi="Arial" w:cs="Arial"/>
          <w:color w:val="FF0000"/>
          <w:sz w:val="20"/>
          <w:szCs w:val="20"/>
        </w:rPr>
        <w:t xml:space="preserve"> </w:t>
      </w:r>
      <w:r w:rsidRPr="005662B7">
        <w:rPr>
          <w:rFonts w:ascii="Arial" w:hAnsi="Arial" w:cs="Arial"/>
          <w:sz w:val="20"/>
          <w:szCs w:val="20"/>
        </w:rPr>
        <w:t>In view of the complexity of the procedure,  his supraclavicular nerve was sacrificed during surgery to allow for better fracture reduction and easier plating (figure 3). As a result, he developed a painful neuroma surrounded by the area of numbness around the clavicle, causing discomfort and difficulty in wearing shoulder-strapped clothing. The neuroma pain was slowly regress</w:t>
      </w:r>
      <w:r w:rsidR="005029F7">
        <w:rPr>
          <w:rFonts w:ascii="Arial" w:hAnsi="Arial" w:cs="Arial"/>
          <w:sz w:val="20"/>
          <w:szCs w:val="20"/>
        </w:rPr>
        <w:t>ing</w:t>
      </w:r>
      <w:r w:rsidRPr="005662B7">
        <w:rPr>
          <w:rFonts w:ascii="Arial" w:hAnsi="Arial" w:cs="Arial"/>
          <w:sz w:val="20"/>
          <w:szCs w:val="20"/>
        </w:rPr>
        <w:t xml:space="preserve"> with physiotherapy and desensitisation, leaving an area of permanent numbness inferior to the clavicle</w:t>
      </w:r>
      <w:r>
        <w:rPr>
          <w:rFonts w:ascii="Arial" w:hAnsi="Arial" w:cs="Arial"/>
          <w:sz w:val="20"/>
          <w:szCs w:val="20"/>
        </w:rPr>
        <w:t xml:space="preserve"> (figure 4)</w:t>
      </w:r>
      <w:r w:rsidRPr="005662B7">
        <w:rPr>
          <w:rFonts w:ascii="Arial" w:hAnsi="Arial" w:cs="Arial"/>
          <w:sz w:val="20"/>
          <w:szCs w:val="20"/>
        </w:rPr>
        <w:t>. All three patients</w:t>
      </w:r>
      <w:r w:rsidR="005029F7">
        <w:rPr>
          <w:rFonts w:ascii="Arial" w:hAnsi="Arial" w:cs="Arial"/>
          <w:sz w:val="20"/>
          <w:szCs w:val="20"/>
        </w:rPr>
        <w:t>,</w:t>
      </w:r>
      <w:r w:rsidRPr="005662B7">
        <w:rPr>
          <w:rFonts w:ascii="Arial" w:hAnsi="Arial" w:cs="Arial"/>
          <w:sz w:val="20"/>
          <w:szCs w:val="20"/>
        </w:rPr>
        <w:t xml:space="preserve"> fortunately</w:t>
      </w:r>
      <w:r w:rsidR="005029F7">
        <w:rPr>
          <w:rFonts w:ascii="Arial" w:hAnsi="Arial" w:cs="Arial"/>
          <w:sz w:val="20"/>
          <w:szCs w:val="20"/>
        </w:rPr>
        <w:t>,</w:t>
      </w:r>
      <w:r w:rsidRPr="005662B7">
        <w:rPr>
          <w:rFonts w:ascii="Arial" w:hAnsi="Arial" w:cs="Arial"/>
          <w:sz w:val="20"/>
          <w:szCs w:val="20"/>
        </w:rPr>
        <w:t xml:space="preserve"> have full shoulder range of motion post-operation. </w:t>
      </w:r>
      <w:r w:rsidR="002D29DB" w:rsidRPr="00A92DAD">
        <w:rPr>
          <w:rFonts w:ascii="Arial" w:hAnsi="Arial" w:cs="Arial"/>
          <w:color w:val="FF0000"/>
          <w:sz w:val="20"/>
          <w:szCs w:val="20"/>
        </w:rPr>
        <w:t>All three patients</w:t>
      </w:r>
      <w:r w:rsidR="005029F7">
        <w:rPr>
          <w:rFonts w:ascii="Arial" w:hAnsi="Arial" w:cs="Arial"/>
          <w:color w:val="FF0000"/>
          <w:sz w:val="20"/>
          <w:szCs w:val="20"/>
        </w:rPr>
        <w:t>,</w:t>
      </w:r>
      <w:r w:rsidR="002D29DB" w:rsidRPr="00A92DAD">
        <w:rPr>
          <w:rFonts w:ascii="Arial" w:hAnsi="Arial" w:cs="Arial"/>
          <w:color w:val="FF0000"/>
          <w:sz w:val="20"/>
          <w:szCs w:val="20"/>
        </w:rPr>
        <w:t xml:space="preserve"> fortunately</w:t>
      </w:r>
      <w:r w:rsidR="005029F7">
        <w:rPr>
          <w:rFonts w:ascii="Arial" w:hAnsi="Arial" w:cs="Arial"/>
          <w:color w:val="FF0000"/>
          <w:sz w:val="20"/>
          <w:szCs w:val="20"/>
        </w:rPr>
        <w:t>,</w:t>
      </w:r>
      <w:r w:rsidR="002D29DB" w:rsidRPr="00A92DAD">
        <w:rPr>
          <w:rFonts w:ascii="Arial" w:hAnsi="Arial" w:cs="Arial"/>
          <w:color w:val="FF0000"/>
          <w:sz w:val="20"/>
          <w:szCs w:val="20"/>
        </w:rPr>
        <w:t xml:space="preserve"> have no pain over the operated site and have full shoulder range of motion post-operation. They were able to resume their previous occupation with no limitation</w:t>
      </w:r>
      <w:r w:rsidR="002D29DB">
        <w:rPr>
          <w:rFonts w:ascii="Arial" w:hAnsi="Arial" w:cs="Arial"/>
          <w:sz w:val="20"/>
          <w:szCs w:val="20"/>
        </w:rPr>
        <w:t>.</w:t>
      </w:r>
    </w:p>
    <w:p w14:paraId="7D6FEB4B" w14:textId="1A0B4DFF" w:rsidR="005662B7" w:rsidRDefault="0052007D" w:rsidP="00441B6F">
      <w:pPr>
        <w:pStyle w:val="Body"/>
        <w:spacing w:after="0"/>
        <w:rPr>
          <w:rFonts w:ascii="Arial" w:hAnsi="Arial" w:cs="Arial"/>
        </w:rPr>
      </w:pPr>
      <w:r>
        <w:rPr>
          <w:noProof/>
        </w:rPr>
        <w:drawing>
          <wp:inline distT="0" distB="0" distL="0" distR="0" wp14:anchorId="3EBBEF07" wp14:editId="4ACDACA5">
            <wp:extent cx="5048250" cy="3781425"/>
            <wp:effectExtent l="0" t="0" r="0" b="9525"/>
            <wp:docPr id="195355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4619" name=""/>
                    <pic:cNvPicPr/>
                  </pic:nvPicPr>
                  <pic:blipFill>
                    <a:blip r:embed="rId14"/>
                    <a:stretch>
                      <a:fillRect/>
                    </a:stretch>
                  </pic:blipFill>
                  <pic:spPr>
                    <a:xfrm>
                      <a:off x="0" y="0"/>
                      <a:ext cx="5048250" cy="3781425"/>
                    </a:xfrm>
                    <a:prstGeom prst="rect">
                      <a:avLst/>
                    </a:prstGeom>
                  </pic:spPr>
                </pic:pic>
              </a:graphicData>
            </a:graphic>
          </wp:inline>
        </w:drawing>
      </w:r>
    </w:p>
    <w:p w14:paraId="45F36FFA" w14:textId="77777777" w:rsidR="0052007D" w:rsidRDefault="0052007D" w:rsidP="00441B6F">
      <w:pPr>
        <w:pStyle w:val="Body"/>
        <w:spacing w:after="0"/>
        <w:rPr>
          <w:rFonts w:ascii="Arial" w:hAnsi="Arial" w:cs="Arial"/>
        </w:rPr>
      </w:pPr>
    </w:p>
    <w:p w14:paraId="18BF1A2B" w14:textId="7063F679" w:rsidR="009A2EAF" w:rsidRDefault="009A2EAF" w:rsidP="00441B6F">
      <w:pPr>
        <w:pStyle w:val="Body"/>
        <w:spacing w:after="0"/>
        <w:rPr>
          <w:rFonts w:ascii="Arial" w:hAnsi="Arial" w:cs="Arial"/>
        </w:rPr>
      </w:pPr>
      <w:r>
        <w:rPr>
          <w:rFonts w:ascii="Arial" w:hAnsi="Arial" w:cs="Arial"/>
        </w:rPr>
        <w:t>Figure 1: First case with preservation of nerves</w:t>
      </w:r>
    </w:p>
    <w:p w14:paraId="49E3F08C" w14:textId="40BE8C18" w:rsidR="009A2EAF" w:rsidRDefault="009A2EAF" w:rsidP="00441B6F">
      <w:pPr>
        <w:pStyle w:val="Body"/>
        <w:spacing w:after="0"/>
        <w:rPr>
          <w:rFonts w:ascii="Arial" w:hAnsi="Arial" w:cs="Arial"/>
        </w:rPr>
      </w:pPr>
    </w:p>
    <w:p w14:paraId="00A56FC1" w14:textId="149BA4EF" w:rsidR="005662B7" w:rsidRDefault="0052007D" w:rsidP="00441B6F">
      <w:pPr>
        <w:pStyle w:val="Body"/>
        <w:spacing w:after="0"/>
        <w:rPr>
          <w:rFonts w:ascii="Arial" w:hAnsi="Arial" w:cs="Arial"/>
        </w:rPr>
      </w:pPr>
      <w:r>
        <w:rPr>
          <w:noProof/>
        </w:rPr>
        <w:lastRenderedPageBreak/>
        <w:drawing>
          <wp:inline distT="0" distB="0" distL="0" distR="0" wp14:anchorId="32132BC8" wp14:editId="24837206">
            <wp:extent cx="4371975" cy="2495550"/>
            <wp:effectExtent l="0" t="0" r="9525" b="0"/>
            <wp:docPr id="20446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2009" name=""/>
                    <pic:cNvPicPr/>
                  </pic:nvPicPr>
                  <pic:blipFill>
                    <a:blip r:embed="rId15"/>
                    <a:stretch>
                      <a:fillRect/>
                    </a:stretch>
                  </pic:blipFill>
                  <pic:spPr>
                    <a:xfrm>
                      <a:off x="0" y="0"/>
                      <a:ext cx="4371975" cy="2495550"/>
                    </a:xfrm>
                    <a:prstGeom prst="rect">
                      <a:avLst/>
                    </a:prstGeom>
                  </pic:spPr>
                </pic:pic>
              </a:graphicData>
            </a:graphic>
          </wp:inline>
        </w:drawing>
      </w:r>
    </w:p>
    <w:p w14:paraId="621EE76D" w14:textId="77777777" w:rsidR="0052007D" w:rsidRDefault="0052007D" w:rsidP="00441B6F">
      <w:pPr>
        <w:pStyle w:val="Body"/>
        <w:spacing w:after="0"/>
        <w:rPr>
          <w:rFonts w:ascii="Arial" w:hAnsi="Arial" w:cs="Arial"/>
        </w:rPr>
      </w:pPr>
    </w:p>
    <w:p w14:paraId="47236C06" w14:textId="61FDD69B" w:rsidR="009A2EAF" w:rsidRDefault="009A2EAF" w:rsidP="00441B6F">
      <w:pPr>
        <w:pStyle w:val="Body"/>
        <w:spacing w:after="0"/>
        <w:rPr>
          <w:rFonts w:ascii="Arial" w:hAnsi="Arial" w:cs="Arial"/>
        </w:rPr>
      </w:pPr>
      <w:r>
        <w:rPr>
          <w:rFonts w:ascii="Arial" w:hAnsi="Arial" w:cs="Arial"/>
        </w:rPr>
        <w:t>Figure 2: Second case with tractional injury of middle branch</w:t>
      </w:r>
    </w:p>
    <w:p w14:paraId="7E814C78" w14:textId="77777777" w:rsidR="009A2EAF" w:rsidRDefault="009A2EAF" w:rsidP="00441B6F">
      <w:pPr>
        <w:pStyle w:val="Body"/>
        <w:spacing w:after="0"/>
        <w:rPr>
          <w:rFonts w:ascii="Arial" w:hAnsi="Arial" w:cs="Arial"/>
        </w:rPr>
      </w:pPr>
    </w:p>
    <w:p w14:paraId="0DE91360" w14:textId="77777777" w:rsidR="009A2EAF" w:rsidRDefault="009A2EAF" w:rsidP="00441B6F">
      <w:pPr>
        <w:pStyle w:val="Body"/>
        <w:spacing w:after="0"/>
        <w:rPr>
          <w:rFonts w:ascii="Arial" w:hAnsi="Arial" w:cs="Arial"/>
        </w:rPr>
      </w:pPr>
    </w:p>
    <w:p w14:paraId="32727A3C" w14:textId="429BBC8A" w:rsidR="005662B7" w:rsidRDefault="0052007D" w:rsidP="005662B7">
      <w:pPr>
        <w:pStyle w:val="Body"/>
        <w:keepNext/>
        <w:spacing w:after="0"/>
        <w:rPr>
          <w:rFonts w:ascii="Arial" w:hAnsi="Arial" w:cs="Arial"/>
          <w:color w:val="000000" w:themeColor="text1"/>
        </w:rPr>
      </w:pPr>
      <w:r>
        <w:rPr>
          <w:noProof/>
        </w:rPr>
        <w:lastRenderedPageBreak/>
        <w:drawing>
          <wp:inline distT="0" distB="0" distL="0" distR="0" wp14:anchorId="6B9CD8FD" wp14:editId="7B3D6076">
            <wp:extent cx="4438650" cy="2533650"/>
            <wp:effectExtent l="0" t="0" r="0" b="0"/>
            <wp:docPr id="21371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3405" name=""/>
                    <pic:cNvPicPr/>
                  </pic:nvPicPr>
                  <pic:blipFill>
                    <a:blip r:embed="rId16"/>
                    <a:stretch>
                      <a:fillRect/>
                    </a:stretch>
                  </pic:blipFill>
                  <pic:spPr>
                    <a:xfrm>
                      <a:off x="0" y="0"/>
                      <a:ext cx="4438650" cy="2533650"/>
                    </a:xfrm>
                    <a:prstGeom prst="rect">
                      <a:avLst/>
                    </a:prstGeom>
                  </pic:spPr>
                </pic:pic>
              </a:graphicData>
            </a:graphic>
          </wp:inline>
        </w:drawing>
      </w:r>
    </w:p>
    <w:p w14:paraId="5D7D73E5" w14:textId="77777777" w:rsidR="0052007D" w:rsidRDefault="0052007D" w:rsidP="005662B7">
      <w:pPr>
        <w:pStyle w:val="Body"/>
        <w:keepNext/>
        <w:spacing w:after="0"/>
        <w:rPr>
          <w:rFonts w:ascii="Arial" w:hAnsi="Arial" w:cs="Arial"/>
          <w:color w:val="000000" w:themeColor="text1"/>
        </w:rPr>
      </w:pPr>
    </w:p>
    <w:p w14:paraId="38296CF1" w14:textId="4EACFD47" w:rsidR="009A2EAF" w:rsidRDefault="009A2EAF" w:rsidP="005662B7">
      <w:pPr>
        <w:pStyle w:val="Body"/>
        <w:keepNext/>
        <w:spacing w:after="0"/>
        <w:rPr>
          <w:rFonts w:ascii="Arial" w:hAnsi="Arial" w:cs="Arial"/>
          <w:color w:val="000000" w:themeColor="text1"/>
        </w:rPr>
      </w:pPr>
      <w:r>
        <w:rPr>
          <w:rFonts w:ascii="Arial" w:hAnsi="Arial" w:cs="Arial"/>
          <w:color w:val="000000" w:themeColor="text1"/>
        </w:rPr>
        <w:t>Figure 3: Third case with sacrificing of the nerves</w:t>
      </w:r>
    </w:p>
    <w:p w14:paraId="2572001F" w14:textId="77777777" w:rsidR="009A2EAF" w:rsidRDefault="009A2EAF" w:rsidP="005662B7">
      <w:pPr>
        <w:pStyle w:val="Body"/>
        <w:keepNext/>
        <w:spacing w:after="0"/>
        <w:rPr>
          <w:rFonts w:ascii="Arial" w:hAnsi="Arial" w:cs="Arial"/>
          <w:color w:val="000000" w:themeColor="text1"/>
        </w:rPr>
      </w:pPr>
    </w:p>
    <w:p w14:paraId="75D19981" w14:textId="77777777" w:rsidR="009A2EAF" w:rsidRPr="005662B7" w:rsidRDefault="009A2EAF" w:rsidP="005662B7">
      <w:pPr>
        <w:pStyle w:val="Body"/>
        <w:keepNext/>
        <w:spacing w:after="0"/>
        <w:rPr>
          <w:rFonts w:ascii="Arial" w:hAnsi="Arial" w:cs="Arial"/>
          <w:color w:val="000000" w:themeColor="text1"/>
        </w:rPr>
      </w:pPr>
    </w:p>
    <w:p w14:paraId="31A8F237" w14:textId="1072AD0F" w:rsidR="005662B7" w:rsidRDefault="0052007D" w:rsidP="00441B6F">
      <w:pPr>
        <w:pStyle w:val="Body"/>
        <w:spacing w:after="0"/>
        <w:rPr>
          <w:rFonts w:ascii="Arial" w:hAnsi="Arial" w:cs="Arial"/>
        </w:rPr>
      </w:pPr>
      <w:r>
        <w:rPr>
          <w:noProof/>
        </w:rPr>
        <w:drawing>
          <wp:inline distT="0" distB="0" distL="0" distR="0" wp14:anchorId="1A65C808" wp14:editId="4DB79B7E">
            <wp:extent cx="4448175" cy="3371850"/>
            <wp:effectExtent l="0" t="0" r="9525" b="0"/>
            <wp:docPr id="214363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6697" name=""/>
                    <pic:cNvPicPr/>
                  </pic:nvPicPr>
                  <pic:blipFill>
                    <a:blip r:embed="rId17"/>
                    <a:stretch>
                      <a:fillRect/>
                    </a:stretch>
                  </pic:blipFill>
                  <pic:spPr>
                    <a:xfrm>
                      <a:off x="0" y="0"/>
                      <a:ext cx="4448175" cy="3371850"/>
                    </a:xfrm>
                    <a:prstGeom prst="rect">
                      <a:avLst/>
                    </a:prstGeom>
                  </pic:spPr>
                </pic:pic>
              </a:graphicData>
            </a:graphic>
          </wp:inline>
        </w:drawing>
      </w:r>
    </w:p>
    <w:p w14:paraId="195B2466" w14:textId="58EBA1AA" w:rsidR="009A2EAF" w:rsidRDefault="009A2EAF" w:rsidP="00441B6F">
      <w:pPr>
        <w:pStyle w:val="Body"/>
        <w:spacing w:after="0"/>
        <w:rPr>
          <w:rFonts w:ascii="Arial" w:hAnsi="Arial" w:cs="Arial"/>
        </w:rPr>
      </w:pPr>
      <w:r>
        <w:rPr>
          <w:rFonts w:ascii="Arial" w:hAnsi="Arial" w:cs="Arial"/>
        </w:rPr>
        <w:t>Figure 4: Area of numbness in third case</w:t>
      </w:r>
    </w:p>
    <w:p w14:paraId="5B8CD9F1" w14:textId="4956D0A0" w:rsidR="005662B7" w:rsidRDefault="005662B7" w:rsidP="005662B7">
      <w:pPr>
        <w:pStyle w:val="Body"/>
        <w:keepNext/>
        <w:spacing w:after="0"/>
      </w:pPr>
    </w:p>
    <w:p w14:paraId="65C8FEF5" w14:textId="77777777" w:rsidR="005873D0" w:rsidRPr="00A90A3C" w:rsidRDefault="005873D0" w:rsidP="005873D0">
      <w:pPr>
        <w:pStyle w:val="Head1"/>
        <w:spacing w:after="0"/>
        <w:jc w:val="both"/>
        <w:rPr>
          <w:rFonts w:ascii="Arial" w:hAnsi="Arial" w:cs="Arial"/>
          <w:b w:val="0"/>
          <w:bCs/>
          <w:sz w:val="20"/>
        </w:rPr>
      </w:pPr>
      <w:r w:rsidRPr="00A90A3C">
        <w:rPr>
          <w:rFonts w:ascii="Arial" w:hAnsi="Arial" w:cs="Arial"/>
          <w:b w:val="0"/>
          <w:bCs/>
          <w:caps w:val="0"/>
          <w:sz w:val="20"/>
        </w:rPr>
        <w:t xml:space="preserve">Table 1: Summary </w:t>
      </w:r>
      <w:r>
        <w:rPr>
          <w:rFonts w:ascii="Arial" w:hAnsi="Arial" w:cs="Arial"/>
          <w:b w:val="0"/>
          <w:bCs/>
          <w:caps w:val="0"/>
          <w:sz w:val="20"/>
        </w:rPr>
        <w:t>o</w:t>
      </w:r>
      <w:r w:rsidRPr="00A90A3C">
        <w:rPr>
          <w:rFonts w:ascii="Arial" w:hAnsi="Arial" w:cs="Arial"/>
          <w:b w:val="0"/>
          <w:bCs/>
          <w:caps w:val="0"/>
          <w:sz w:val="20"/>
        </w:rPr>
        <w:t xml:space="preserve">f the </w:t>
      </w:r>
      <w:r>
        <w:rPr>
          <w:rFonts w:ascii="Arial" w:hAnsi="Arial" w:cs="Arial"/>
          <w:b w:val="0"/>
          <w:bCs/>
          <w:caps w:val="0"/>
          <w:sz w:val="20"/>
        </w:rPr>
        <w:t>c</w:t>
      </w:r>
      <w:r w:rsidRPr="00A90A3C">
        <w:rPr>
          <w:rFonts w:ascii="Arial" w:hAnsi="Arial" w:cs="Arial"/>
          <w:b w:val="0"/>
          <w:bCs/>
          <w:caps w:val="0"/>
          <w:sz w:val="20"/>
        </w:rPr>
        <w:t>ases</w:t>
      </w:r>
    </w:p>
    <w:p w14:paraId="6AE9F197" w14:textId="77777777" w:rsidR="005873D0" w:rsidRDefault="005873D0" w:rsidP="005873D0">
      <w:pPr>
        <w:pStyle w:val="Body"/>
        <w:keepNext/>
        <w:spacing w:after="0"/>
      </w:pPr>
    </w:p>
    <w:tbl>
      <w:tblPr>
        <w:tblStyle w:val="TableGrid"/>
        <w:tblW w:w="0" w:type="auto"/>
        <w:tblLook w:val="04A0" w:firstRow="1" w:lastRow="0" w:firstColumn="1" w:lastColumn="0" w:noHBand="0" w:noVBand="1"/>
      </w:tblPr>
      <w:tblGrid>
        <w:gridCol w:w="1065"/>
        <w:gridCol w:w="872"/>
        <w:gridCol w:w="1050"/>
        <w:gridCol w:w="1765"/>
        <w:gridCol w:w="1409"/>
        <w:gridCol w:w="1340"/>
        <w:gridCol w:w="1672"/>
        <w:gridCol w:w="1617"/>
      </w:tblGrid>
      <w:tr w:rsidR="005873D0" w:rsidRPr="00627A7C" w14:paraId="7BB84EC9" w14:textId="77777777" w:rsidTr="008A6199">
        <w:tc>
          <w:tcPr>
            <w:tcW w:w="1156" w:type="dxa"/>
          </w:tcPr>
          <w:p w14:paraId="2BE61FF9"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Patient</w:t>
            </w:r>
          </w:p>
        </w:tc>
        <w:tc>
          <w:tcPr>
            <w:tcW w:w="693" w:type="dxa"/>
          </w:tcPr>
          <w:p w14:paraId="36655F83"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Age</w:t>
            </w:r>
            <w:r>
              <w:rPr>
                <w:rFonts w:ascii="Arial" w:hAnsi="Arial" w:cs="Arial"/>
                <w:caps w:val="0"/>
                <w:sz w:val="20"/>
                <w:szCs w:val="20"/>
              </w:rPr>
              <w:t xml:space="preserve"> (years)</w:t>
            </w:r>
          </w:p>
        </w:tc>
        <w:tc>
          <w:tcPr>
            <w:tcW w:w="1121" w:type="dxa"/>
          </w:tcPr>
          <w:p w14:paraId="6A0DE613"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Gender</w:t>
            </w:r>
          </w:p>
        </w:tc>
        <w:tc>
          <w:tcPr>
            <w:tcW w:w="1987" w:type="dxa"/>
          </w:tcPr>
          <w:p w14:paraId="32405DAA"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Diagnosis</w:t>
            </w:r>
          </w:p>
        </w:tc>
        <w:tc>
          <w:tcPr>
            <w:tcW w:w="1571" w:type="dxa"/>
          </w:tcPr>
          <w:p w14:paraId="6A5618C6"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Date Of Trauma</w:t>
            </w:r>
          </w:p>
        </w:tc>
        <w:tc>
          <w:tcPr>
            <w:tcW w:w="1405" w:type="dxa"/>
          </w:tcPr>
          <w:p w14:paraId="040151DA"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Date Of Operation</w:t>
            </w:r>
          </w:p>
        </w:tc>
        <w:tc>
          <w:tcPr>
            <w:tcW w:w="1276" w:type="dxa"/>
          </w:tcPr>
          <w:p w14:paraId="41ADDD94"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Nerve Status</w:t>
            </w:r>
            <w:r>
              <w:rPr>
                <w:rFonts w:ascii="Arial" w:hAnsi="Arial" w:cs="Arial"/>
                <w:caps w:val="0"/>
                <w:sz w:val="20"/>
                <w:szCs w:val="20"/>
              </w:rPr>
              <w:t xml:space="preserve"> (intraoperative)</w:t>
            </w:r>
          </w:p>
        </w:tc>
        <w:tc>
          <w:tcPr>
            <w:tcW w:w="1581" w:type="dxa"/>
          </w:tcPr>
          <w:p w14:paraId="461A583F" w14:textId="77777777" w:rsidR="005873D0" w:rsidRPr="00627A7C" w:rsidRDefault="005873D0" w:rsidP="008A6199">
            <w:pPr>
              <w:pStyle w:val="Head1"/>
              <w:spacing w:after="0"/>
              <w:rPr>
                <w:rFonts w:ascii="Arial" w:hAnsi="Arial" w:cs="Arial"/>
                <w:sz w:val="20"/>
                <w:szCs w:val="20"/>
              </w:rPr>
            </w:pPr>
            <w:r w:rsidRPr="00627A7C">
              <w:rPr>
                <w:rFonts w:ascii="Arial" w:hAnsi="Arial" w:cs="Arial"/>
                <w:caps w:val="0"/>
                <w:sz w:val="20"/>
                <w:szCs w:val="20"/>
              </w:rPr>
              <w:t>Outcome</w:t>
            </w:r>
          </w:p>
        </w:tc>
      </w:tr>
      <w:tr w:rsidR="005873D0" w:rsidRPr="00A90A3C" w14:paraId="6F9072D6" w14:textId="77777777" w:rsidTr="008A6199">
        <w:tc>
          <w:tcPr>
            <w:tcW w:w="1156" w:type="dxa"/>
          </w:tcPr>
          <w:p w14:paraId="68B3766B"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First</w:t>
            </w:r>
            <w:r>
              <w:rPr>
                <w:rFonts w:ascii="Arial" w:hAnsi="Arial" w:cs="Arial"/>
                <w:b w:val="0"/>
                <w:bCs/>
                <w:caps w:val="0"/>
                <w:sz w:val="20"/>
                <w:szCs w:val="20"/>
              </w:rPr>
              <w:t xml:space="preserve"> case</w:t>
            </w:r>
          </w:p>
        </w:tc>
        <w:tc>
          <w:tcPr>
            <w:tcW w:w="693" w:type="dxa"/>
          </w:tcPr>
          <w:p w14:paraId="47D2DB62"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22</w:t>
            </w:r>
          </w:p>
        </w:tc>
        <w:tc>
          <w:tcPr>
            <w:tcW w:w="1121" w:type="dxa"/>
          </w:tcPr>
          <w:p w14:paraId="7F3729BF"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02497ADA"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w:t>
            </w:r>
            <w:r>
              <w:rPr>
                <w:rFonts w:ascii="Arial" w:hAnsi="Arial" w:cs="Arial"/>
                <w:b w:val="0"/>
                <w:bCs/>
                <w:caps w:val="0"/>
                <w:sz w:val="20"/>
                <w:szCs w:val="20"/>
              </w:rPr>
              <w:t xml:space="preserve"> midshaft</w:t>
            </w:r>
          </w:p>
        </w:tc>
        <w:tc>
          <w:tcPr>
            <w:tcW w:w="1571" w:type="dxa"/>
          </w:tcPr>
          <w:p w14:paraId="57FAB76A"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1/12/2024</w:t>
            </w:r>
          </w:p>
        </w:tc>
        <w:tc>
          <w:tcPr>
            <w:tcW w:w="1405" w:type="dxa"/>
          </w:tcPr>
          <w:p w14:paraId="485B3C85"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16/2/2024</w:t>
            </w:r>
          </w:p>
        </w:tc>
        <w:tc>
          <w:tcPr>
            <w:tcW w:w="1276" w:type="dxa"/>
          </w:tcPr>
          <w:p w14:paraId="6F2D9115"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a</w:t>
            </w:r>
            <w:r>
              <w:rPr>
                <w:rFonts w:ascii="Arial" w:hAnsi="Arial" w:cs="Arial"/>
                <w:b w:val="0"/>
                <w:bCs/>
                <w:caps w:val="0"/>
                <w:sz w:val="20"/>
                <w:szCs w:val="20"/>
              </w:rPr>
              <w:t>ll 3 branches preserved</w:t>
            </w:r>
          </w:p>
        </w:tc>
        <w:tc>
          <w:tcPr>
            <w:tcW w:w="1581" w:type="dxa"/>
          </w:tcPr>
          <w:p w14:paraId="4223B981"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No pain and no numbness below the clavicle region</w:t>
            </w:r>
          </w:p>
        </w:tc>
      </w:tr>
      <w:tr w:rsidR="005873D0" w:rsidRPr="00A90A3C" w14:paraId="51FD3BAC" w14:textId="77777777" w:rsidTr="008A6199">
        <w:tc>
          <w:tcPr>
            <w:tcW w:w="1156" w:type="dxa"/>
          </w:tcPr>
          <w:p w14:paraId="139267F1"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Second</w:t>
            </w:r>
            <w:r>
              <w:rPr>
                <w:rFonts w:ascii="Arial" w:hAnsi="Arial" w:cs="Arial"/>
                <w:b w:val="0"/>
                <w:bCs/>
                <w:caps w:val="0"/>
                <w:sz w:val="20"/>
                <w:szCs w:val="20"/>
              </w:rPr>
              <w:t xml:space="preserve"> case</w:t>
            </w:r>
          </w:p>
        </w:tc>
        <w:tc>
          <w:tcPr>
            <w:tcW w:w="693" w:type="dxa"/>
          </w:tcPr>
          <w:p w14:paraId="72AA471D"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23</w:t>
            </w:r>
          </w:p>
        </w:tc>
        <w:tc>
          <w:tcPr>
            <w:tcW w:w="1121" w:type="dxa"/>
          </w:tcPr>
          <w:p w14:paraId="09771714"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38BD1130"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w:t>
            </w:r>
            <w:r>
              <w:rPr>
                <w:rFonts w:ascii="Arial" w:hAnsi="Arial" w:cs="Arial"/>
                <w:b w:val="0"/>
                <w:bCs/>
                <w:caps w:val="0"/>
                <w:sz w:val="20"/>
                <w:szCs w:val="20"/>
              </w:rPr>
              <w:t xml:space="preserve"> midshaft</w:t>
            </w:r>
          </w:p>
        </w:tc>
        <w:tc>
          <w:tcPr>
            <w:tcW w:w="1571" w:type="dxa"/>
          </w:tcPr>
          <w:p w14:paraId="48493DBF"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2/1/2023</w:t>
            </w:r>
          </w:p>
        </w:tc>
        <w:tc>
          <w:tcPr>
            <w:tcW w:w="1405" w:type="dxa"/>
          </w:tcPr>
          <w:p w14:paraId="3CD2A406"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27/2/2023</w:t>
            </w:r>
          </w:p>
        </w:tc>
        <w:tc>
          <w:tcPr>
            <w:tcW w:w="1276" w:type="dxa"/>
          </w:tcPr>
          <w:p w14:paraId="77EB59A3"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Tensioning of the middle branch</w:t>
            </w:r>
          </w:p>
        </w:tc>
        <w:tc>
          <w:tcPr>
            <w:tcW w:w="1581" w:type="dxa"/>
          </w:tcPr>
          <w:p w14:paraId="1ADAABCB"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n</w:t>
            </w:r>
            <w:r>
              <w:rPr>
                <w:rFonts w:ascii="Arial" w:hAnsi="Arial" w:cs="Arial"/>
                <w:b w:val="0"/>
                <w:bCs/>
                <w:caps w:val="0"/>
                <w:sz w:val="20"/>
                <w:szCs w:val="20"/>
              </w:rPr>
              <w:t>o</w:t>
            </w:r>
            <w:r>
              <w:rPr>
                <w:rFonts w:ascii="Arial" w:hAnsi="Arial" w:cs="Arial"/>
                <w:b w:val="0"/>
                <w:bCs/>
                <w:sz w:val="20"/>
                <w:szCs w:val="20"/>
              </w:rPr>
              <w:t xml:space="preserve"> </w:t>
            </w:r>
            <w:r>
              <w:rPr>
                <w:rFonts w:ascii="Arial" w:hAnsi="Arial" w:cs="Arial"/>
                <w:b w:val="0"/>
                <w:bCs/>
                <w:caps w:val="0"/>
                <w:sz w:val="20"/>
                <w:szCs w:val="20"/>
              </w:rPr>
              <w:t>pain</w:t>
            </w:r>
            <w:r>
              <w:rPr>
                <w:rFonts w:ascii="Arial" w:hAnsi="Arial" w:cs="Arial"/>
                <w:b w:val="0"/>
                <w:bCs/>
                <w:sz w:val="20"/>
                <w:szCs w:val="20"/>
              </w:rPr>
              <w:t xml:space="preserve"> </w:t>
            </w:r>
            <w:r>
              <w:rPr>
                <w:rFonts w:ascii="Arial" w:hAnsi="Arial" w:cs="Arial"/>
                <w:b w:val="0"/>
                <w:bCs/>
                <w:caps w:val="0"/>
                <w:sz w:val="20"/>
                <w:szCs w:val="20"/>
              </w:rPr>
              <w:t>but</w:t>
            </w:r>
            <w:r>
              <w:rPr>
                <w:rFonts w:ascii="Arial" w:hAnsi="Arial" w:cs="Arial"/>
                <w:b w:val="0"/>
                <w:bCs/>
                <w:sz w:val="20"/>
                <w:szCs w:val="20"/>
              </w:rPr>
              <w:t xml:space="preserve"> </w:t>
            </w:r>
            <w:r>
              <w:rPr>
                <w:rFonts w:ascii="Arial" w:hAnsi="Arial" w:cs="Arial"/>
                <w:b w:val="0"/>
                <w:bCs/>
                <w:caps w:val="0"/>
                <w:sz w:val="20"/>
                <w:szCs w:val="20"/>
              </w:rPr>
              <w:t>having</w:t>
            </w:r>
            <w:r>
              <w:rPr>
                <w:rFonts w:ascii="Arial" w:hAnsi="Arial" w:cs="Arial"/>
                <w:b w:val="0"/>
                <w:bCs/>
                <w:sz w:val="20"/>
                <w:szCs w:val="20"/>
              </w:rPr>
              <w:t xml:space="preserve"> </w:t>
            </w:r>
            <w:r>
              <w:rPr>
                <w:rFonts w:ascii="Arial" w:hAnsi="Arial" w:cs="Arial"/>
                <w:b w:val="0"/>
                <w:bCs/>
                <w:caps w:val="0"/>
                <w:sz w:val="20"/>
                <w:szCs w:val="20"/>
              </w:rPr>
              <w:t>temporary numbness below the clavicle which was fully recovered</w:t>
            </w:r>
          </w:p>
        </w:tc>
      </w:tr>
      <w:tr w:rsidR="005873D0" w:rsidRPr="00A90A3C" w14:paraId="53CE267F" w14:textId="77777777" w:rsidTr="008A6199">
        <w:tc>
          <w:tcPr>
            <w:tcW w:w="1156" w:type="dxa"/>
          </w:tcPr>
          <w:p w14:paraId="7AE726C6"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Third</w:t>
            </w:r>
            <w:r>
              <w:rPr>
                <w:rFonts w:ascii="Arial" w:hAnsi="Arial" w:cs="Arial"/>
                <w:b w:val="0"/>
                <w:bCs/>
                <w:caps w:val="0"/>
                <w:sz w:val="20"/>
                <w:szCs w:val="20"/>
              </w:rPr>
              <w:t xml:space="preserve"> case</w:t>
            </w:r>
          </w:p>
        </w:tc>
        <w:tc>
          <w:tcPr>
            <w:tcW w:w="693" w:type="dxa"/>
          </w:tcPr>
          <w:p w14:paraId="10C76C59"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32</w:t>
            </w:r>
          </w:p>
        </w:tc>
        <w:tc>
          <w:tcPr>
            <w:tcW w:w="1121" w:type="dxa"/>
          </w:tcPr>
          <w:p w14:paraId="4D9453E5"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Male</w:t>
            </w:r>
          </w:p>
        </w:tc>
        <w:tc>
          <w:tcPr>
            <w:tcW w:w="1987" w:type="dxa"/>
          </w:tcPr>
          <w:p w14:paraId="4E634F8F" w14:textId="77777777" w:rsidR="005873D0" w:rsidRPr="00A90A3C" w:rsidRDefault="005873D0" w:rsidP="008A6199">
            <w:pPr>
              <w:pStyle w:val="Head1"/>
              <w:spacing w:after="0"/>
              <w:jc w:val="both"/>
              <w:rPr>
                <w:rFonts w:ascii="Arial" w:hAnsi="Arial" w:cs="Arial"/>
                <w:b w:val="0"/>
                <w:bCs/>
                <w:sz w:val="20"/>
                <w:szCs w:val="20"/>
              </w:rPr>
            </w:pPr>
            <w:r w:rsidRPr="00A90A3C">
              <w:rPr>
                <w:rFonts w:ascii="Arial" w:hAnsi="Arial" w:cs="Arial"/>
                <w:b w:val="0"/>
                <w:bCs/>
                <w:caps w:val="0"/>
                <w:sz w:val="20"/>
                <w:szCs w:val="20"/>
              </w:rPr>
              <w:t xml:space="preserve">Closed </w:t>
            </w:r>
            <w:r>
              <w:rPr>
                <w:rFonts w:ascii="Arial" w:hAnsi="Arial" w:cs="Arial"/>
                <w:b w:val="0"/>
                <w:bCs/>
                <w:caps w:val="0"/>
                <w:sz w:val="20"/>
                <w:szCs w:val="20"/>
              </w:rPr>
              <w:t>c</w:t>
            </w:r>
            <w:r w:rsidRPr="00A90A3C">
              <w:rPr>
                <w:rFonts w:ascii="Arial" w:hAnsi="Arial" w:cs="Arial"/>
                <w:b w:val="0"/>
                <w:bCs/>
                <w:caps w:val="0"/>
                <w:sz w:val="20"/>
                <w:szCs w:val="20"/>
              </w:rPr>
              <w:t xml:space="preserve">omminuted </w:t>
            </w:r>
            <w:r>
              <w:rPr>
                <w:rFonts w:ascii="Arial" w:hAnsi="Arial" w:cs="Arial"/>
                <w:b w:val="0"/>
                <w:bCs/>
                <w:caps w:val="0"/>
                <w:sz w:val="20"/>
                <w:szCs w:val="20"/>
              </w:rPr>
              <w:t>f</w:t>
            </w:r>
            <w:r w:rsidRPr="00A90A3C">
              <w:rPr>
                <w:rFonts w:ascii="Arial" w:hAnsi="Arial" w:cs="Arial"/>
                <w:b w:val="0"/>
                <w:bCs/>
                <w:caps w:val="0"/>
                <w:sz w:val="20"/>
                <w:szCs w:val="20"/>
              </w:rPr>
              <w:t>racture (</w:t>
            </w:r>
            <w:r>
              <w:rPr>
                <w:rFonts w:ascii="Arial" w:hAnsi="Arial" w:cs="Arial"/>
                <w:b w:val="0"/>
                <w:bCs/>
                <w:caps w:val="0"/>
                <w:sz w:val="20"/>
                <w:szCs w:val="20"/>
              </w:rPr>
              <w:t>i</w:t>
            </w:r>
            <w:r w:rsidRPr="00A90A3C">
              <w:rPr>
                <w:rFonts w:ascii="Arial" w:hAnsi="Arial" w:cs="Arial"/>
                <w:b w:val="0"/>
                <w:bCs/>
                <w:caps w:val="0"/>
                <w:sz w:val="20"/>
                <w:szCs w:val="20"/>
              </w:rPr>
              <w:t xml:space="preserve">nitially </w:t>
            </w:r>
            <w:proofErr w:type="spellStart"/>
            <w:r>
              <w:rPr>
                <w:rFonts w:ascii="Arial" w:hAnsi="Arial" w:cs="Arial"/>
                <w:b w:val="0"/>
                <w:bCs/>
                <w:caps w:val="0"/>
                <w:sz w:val="20"/>
                <w:szCs w:val="20"/>
              </w:rPr>
              <w:t>u</w:t>
            </w:r>
            <w:r w:rsidRPr="00A90A3C">
              <w:rPr>
                <w:rFonts w:ascii="Arial" w:hAnsi="Arial" w:cs="Arial"/>
                <w:b w:val="0"/>
                <w:bCs/>
                <w:caps w:val="0"/>
                <w:sz w:val="20"/>
                <w:szCs w:val="20"/>
              </w:rPr>
              <w:t>ndipslaced</w:t>
            </w:r>
            <w:proofErr w:type="spellEnd"/>
            <w:r w:rsidRPr="00A90A3C">
              <w:rPr>
                <w:rFonts w:ascii="Arial" w:hAnsi="Arial" w:cs="Arial"/>
                <w:b w:val="0"/>
                <w:bCs/>
                <w:caps w:val="0"/>
                <w:sz w:val="20"/>
                <w:szCs w:val="20"/>
              </w:rPr>
              <w:t>)</w:t>
            </w:r>
            <w:r>
              <w:rPr>
                <w:rFonts w:ascii="Arial" w:hAnsi="Arial" w:cs="Arial"/>
                <w:b w:val="0"/>
                <w:bCs/>
                <w:caps w:val="0"/>
                <w:sz w:val="20"/>
                <w:szCs w:val="20"/>
              </w:rPr>
              <w:t xml:space="preserve"> with head injury</w:t>
            </w:r>
          </w:p>
        </w:tc>
        <w:tc>
          <w:tcPr>
            <w:tcW w:w="1571" w:type="dxa"/>
          </w:tcPr>
          <w:p w14:paraId="52EFF2D8"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8/9/2024</w:t>
            </w:r>
          </w:p>
        </w:tc>
        <w:tc>
          <w:tcPr>
            <w:tcW w:w="1405" w:type="dxa"/>
          </w:tcPr>
          <w:p w14:paraId="5A4436C3"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11/11/2024</w:t>
            </w:r>
          </w:p>
        </w:tc>
        <w:tc>
          <w:tcPr>
            <w:tcW w:w="1276" w:type="dxa"/>
          </w:tcPr>
          <w:p w14:paraId="05F5BF12"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caps w:val="0"/>
                <w:sz w:val="20"/>
                <w:szCs w:val="20"/>
              </w:rPr>
              <w:t>Sacrificing the middle and lateral branches</w:t>
            </w:r>
          </w:p>
        </w:tc>
        <w:tc>
          <w:tcPr>
            <w:tcW w:w="1581" w:type="dxa"/>
          </w:tcPr>
          <w:p w14:paraId="3FAFBC0D" w14:textId="77777777" w:rsidR="005873D0" w:rsidRPr="00A90A3C" w:rsidRDefault="005873D0" w:rsidP="008A6199">
            <w:pPr>
              <w:pStyle w:val="Head1"/>
              <w:spacing w:after="0"/>
              <w:jc w:val="both"/>
              <w:rPr>
                <w:rFonts w:ascii="Arial" w:hAnsi="Arial" w:cs="Arial"/>
                <w:b w:val="0"/>
                <w:bCs/>
                <w:sz w:val="20"/>
                <w:szCs w:val="20"/>
              </w:rPr>
            </w:pPr>
            <w:r>
              <w:rPr>
                <w:rFonts w:ascii="Arial" w:hAnsi="Arial" w:cs="Arial"/>
                <w:b w:val="0"/>
                <w:bCs/>
                <w:sz w:val="20"/>
                <w:szCs w:val="20"/>
              </w:rPr>
              <w:t>H</w:t>
            </w:r>
            <w:r>
              <w:rPr>
                <w:rFonts w:ascii="Arial" w:hAnsi="Arial" w:cs="Arial"/>
                <w:b w:val="0"/>
                <w:bCs/>
                <w:caps w:val="0"/>
                <w:sz w:val="20"/>
                <w:szCs w:val="20"/>
              </w:rPr>
              <w:t>ypersensitivity</w:t>
            </w:r>
            <w:r>
              <w:rPr>
                <w:rFonts w:ascii="Arial" w:hAnsi="Arial" w:cs="Arial"/>
                <w:b w:val="0"/>
                <w:bCs/>
                <w:sz w:val="20"/>
                <w:szCs w:val="20"/>
              </w:rPr>
              <w:t xml:space="preserve"> </w:t>
            </w:r>
            <w:r>
              <w:rPr>
                <w:rFonts w:ascii="Arial" w:hAnsi="Arial" w:cs="Arial"/>
                <w:b w:val="0"/>
                <w:bCs/>
                <w:caps w:val="0"/>
                <w:sz w:val="20"/>
                <w:szCs w:val="20"/>
              </w:rPr>
              <w:t>followed by numbness below the clavicle region</w:t>
            </w:r>
          </w:p>
        </w:tc>
      </w:tr>
    </w:tbl>
    <w:p w14:paraId="6BCE9F75" w14:textId="77777777" w:rsidR="005873D0" w:rsidRDefault="005873D0" w:rsidP="00441B6F">
      <w:pPr>
        <w:pStyle w:val="Head1"/>
        <w:spacing w:after="0"/>
        <w:jc w:val="both"/>
        <w:rPr>
          <w:rFonts w:ascii="Arial" w:hAnsi="Arial" w:cs="Arial"/>
        </w:rPr>
      </w:pPr>
    </w:p>
    <w:p w14:paraId="4DD0FEBA" w14:textId="77777777" w:rsidR="005873D0" w:rsidRDefault="005873D0" w:rsidP="00441B6F">
      <w:pPr>
        <w:pStyle w:val="Head1"/>
        <w:spacing w:after="0"/>
        <w:jc w:val="both"/>
        <w:rPr>
          <w:rFonts w:ascii="Arial" w:hAnsi="Arial" w:cs="Arial"/>
        </w:rPr>
      </w:pPr>
    </w:p>
    <w:p w14:paraId="0635FB28" w14:textId="70C8437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82C78FD" w14:textId="7B3E0183"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management of clavicle fractures through surgical fixation necessitates a thorough understanding of the anatomical positioning and functional significance of the supraclavicular nerve. This nerve, which branches into medial, middle, and lateral components, traverses anterior to the clavicle and lies beneath the platysma muscle</w:t>
      </w:r>
      <w:r w:rsidRPr="005662B7">
        <w:rPr>
          <w:rFonts w:ascii="Arial" w:hAnsi="Arial" w:cs="Arial"/>
          <w:vertAlign w:val="superscript"/>
        </w:rPr>
        <w:t>2</w:t>
      </w:r>
      <w:r w:rsidRPr="005662B7">
        <w:rPr>
          <w:rFonts w:ascii="Arial" w:hAnsi="Arial" w:cs="Arial"/>
        </w:rPr>
        <w:t>. Despite not innervating the platysma itself, the nerve's anatomical location renders it vulnerable to injury during surgical procedures, especially when traction or cutting forces are applied.</w:t>
      </w:r>
    </w:p>
    <w:p w14:paraId="5D2A7DEA"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supraclavicular nerve is responsible for providing sensory innervation to the skin over the shoulder and anterior chest. Injury to this nerve can lead to significant sensory deficits, resulting in numbness and altered sensation in these areas. Maintaining the integrity of the nerve is crucial for ensuring that patients retain normal sensory function post-surgery, contributing to their overall quality of life</w:t>
      </w:r>
      <w:r w:rsidRPr="005662B7">
        <w:rPr>
          <w:rFonts w:ascii="Arial" w:hAnsi="Arial" w:cs="Arial"/>
          <w:vertAlign w:val="superscript"/>
        </w:rPr>
        <w:t>3</w:t>
      </w:r>
      <w:r w:rsidRPr="005662B7">
        <w:rPr>
          <w:rFonts w:ascii="Arial" w:hAnsi="Arial" w:cs="Arial"/>
        </w:rPr>
        <w:t>.</w:t>
      </w:r>
    </w:p>
    <w:p w14:paraId="422D6B86"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Evidence suggests that nerve injuries can lead to chronic pain syndromes, which may complicate the recovery process and prolong rehabilitation. Patients who experience sensory loss are at higher risk for developing neuropathic pain, which can significantly impact their functional recovery and satisfaction with the surgical outcome. By focusing on the preservation of the supraclavicular nerve, surgeons can mitigate these adverse effects and promote a smoother recovery trajectory for their patients</w:t>
      </w:r>
      <w:r w:rsidRPr="005662B7">
        <w:rPr>
          <w:rFonts w:ascii="Arial" w:hAnsi="Arial" w:cs="Arial"/>
          <w:vertAlign w:val="superscript"/>
        </w:rPr>
        <w:t>4</w:t>
      </w:r>
      <w:r w:rsidRPr="005662B7">
        <w:rPr>
          <w:rFonts w:ascii="Arial" w:hAnsi="Arial" w:cs="Arial"/>
        </w:rPr>
        <w:t>.</w:t>
      </w:r>
    </w:p>
    <w:p w14:paraId="6382D4A3" w14:textId="0447A463"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Preserving the supraclavicular nerve not only safeguards sensory function but also plays a vital role in patient satisfaction</w:t>
      </w:r>
      <w:r w:rsidRPr="005662B7">
        <w:rPr>
          <w:rFonts w:ascii="Arial" w:hAnsi="Arial" w:cs="Arial"/>
          <w:vertAlign w:val="superscript"/>
        </w:rPr>
        <w:t>5</w:t>
      </w:r>
      <w:r w:rsidRPr="005662B7">
        <w:rPr>
          <w:rFonts w:ascii="Arial" w:hAnsi="Arial" w:cs="Arial"/>
        </w:rPr>
        <w:t>. When patients retain normal sensation and ha</w:t>
      </w:r>
      <w:r w:rsidR="005029F7">
        <w:rPr>
          <w:rFonts w:ascii="Arial" w:hAnsi="Arial" w:cs="Arial"/>
        </w:rPr>
        <w:t>ve</w:t>
      </w:r>
      <w:r w:rsidRPr="005662B7">
        <w:rPr>
          <w:rFonts w:ascii="Arial" w:hAnsi="Arial" w:cs="Arial"/>
        </w:rPr>
        <w:t xml:space="preserve"> no complications related to nerve injury, their overall experience and satisfaction with the surgical intervention improve markedly. This is particularly important in elective </w:t>
      </w:r>
      <w:proofErr w:type="spellStart"/>
      <w:r w:rsidRPr="005662B7">
        <w:rPr>
          <w:rFonts w:ascii="Arial" w:hAnsi="Arial" w:cs="Arial"/>
        </w:rPr>
        <w:t>orthopaedic</w:t>
      </w:r>
      <w:proofErr w:type="spellEnd"/>
      <w:r w:rsidRPr="005662B7">
        <w:rPr>
          <w:rFonts w:ascii="Arial" w:hAnsi="Arial" w:cs="Arial"/>
        </w:rPr>
        <w:t xml:space="preserve"> surgeries where patient expectations are high.</w:t>
      </w:r>
    </w:p>
    <w:p w14:paraId="19A30F69" w14:textId="39B3DDE4" w:rsidR="005873D0" w:rsidRPr="00953B55" w:rsidRDefault="005662B7" w:rsidP="005873D0">
      <w:pPr>
        <w:pStyle w:val="block"/>
        <w:spacing w:before="240" w:beforeAutospacing="0"/>
        <w:jc w:val="both"/>
        <w:rPr>
          <w:rFonts w:ascii="Arial" w:hAnsi="Arial" w:cs="Arial"/>
          <w:color w:val="FF0000"/>
          <w:sz w:val="20"/>
          <w:szCs w:val="20"/>
        </w:rPr>
      </w:pPr>
      <w:r w:rsidRPr="005662B7">
        <w:rPr>
          <w:rFonts w:ascii="Arial" w:hAnsi="Arial" w:cs="Arial"/>
          <w:color w:val="000000"/>
          <w:sz w:val="20"/>
          <w:szCs w:val="20"/>
        </w:rPr>
        <w:t>Our experience with a series of cases involving clavicle fixation reinforces the notion that successful surgical outcomes are closely tied to the preservation of the supraclavicular nerve. With careful dissection and strategic surgical planning, it is possible to achieve effective fracture stabilization while minimizing the risk of nerve injury. The positive outcomes observed in these patients highlight the importance of prioriti</w:t>
      </w:r>
      <w:r w:rsidR="005029F7">
        <w:rPr>
          <w:rFonts w:ascii="Arial" w:hAnsi="Arial" w:cs="Arial"/>
          <w:color w:val="000000"/>
          <w:sz w:val="20"/>
          <w:szCs w:val="20"/>
        </w:rPr>
        <w:t>s</w:t>
      </w:r>
      <w:r w:rsidRPr="005662B7">
        <w:rPr>
          <w:rFonts w:ascii="Arial" w:hAnsi="Arial" w:cs="Arial"/>
          <w:color w:val="000000"/>
          <w:sz w:val="20"/>
          <w:szCs w:val="20"/>
        </w:rPr>
        <w:t>ing nerve preservation as a standard practice in orthopaedic surgeries involving the clavicle. Usage of the loupe magnification intraoperatively, minimally invasive plate osteosynthesis and ultrasound study to locate the position of the nerve are amongst the techniques that can be used to prevent the injury to the nerve</w:t>
      </w:r>
      <w:r w:rsidR="005873D0" w:rsidRPr="005873D0">
        <w:rPr>
          <w:rFonts w:ascii="Arial" w:hAnsi="Arial" w:cs="Arial"/>
          <w:color w:val="FF0000"/>
          <w:sz w:val="20"/>
          <w:szCs w:val="20"/>
          <w:vertAlign w:val="superscript"/>
        </w:rPr>
        <w:t>5</w:t>
      </w:r>
      <w:r w:rsidRPr="005873D0">
        <w:rPr>
          <w:rFonts w:ascii="Arial" w:hAnsi="Arial" w:cs="Arial"/>
          <w:color w:val="FF0000"/>
          <w:sz w:val="20"/>
          <w:szCs w:val="20"/>
          <w:vertAlign w:val="superscript"/>
        </w:rPr>
        <w:t>,</w:t>
      </w:r>
      <w:r w:rsidR="005873D0" w:rsidRPr="005873D0">
        <w:rPr>
          <w:rFonts w:ascii="Arial" w:hAnsi="Arial" w:cs="Arial"/>
          <w:color w:val="FF0000"/>
          <w:sz w:val="20"/>
          <w:szCs w:val="20"/>
          <w:vertAlign w:val="superscript"/>
        </w:rPr>
        <w:t>6</w:t>
      </w:r>
      <w:r w:rsidRPr="005662B7">
        <w:rPr>
          <w:rFonts w:ascii="Arial" w:hAnsi="Arial" w:cs="Arial"/>
          <w:color w:val="000000"/>
          <w:sz w:val="20"/>
          <w:szCs w:val="20"/>
        </w:rPr>
        <w:t>.</w:t>
      </w:r>
      <w:r w:rsidR="005873D0">
        <w:rPr>
          <w:rFonts w:ascii="Arial" w:hAnsi="Arial" w:cs="Arial"/>
          <w:color w:val="000000"/>
          <w:sz w:val="20"/>
          <w:szCs w:val="20"/>
        </w:rPr>
        <w:t xml:space="preserve"> </w:t>
      </w:r>
      <w:r w:rsidR="005873D0" w:rsidRPr="00953B55">
        <w:rPr>
          <w:rFonts w:ascii="Arial" w:hAnsi="Arial" w:cs="Arial"/>
          <w:color w:val="FF0000"/>
          <w:sz w:val="20"/>
          <w:szCs w:val="20"/>
        </w:rPr>
        <w:t>Minimally invasive fixation by intramedullary implant</w:t>
      </w:r>
      <w:r w:rsidR="005029F7">
        <w:rPr>
          <w:rFonts w:ascii="Arial" w:hAnsi="Arial" w:cs="Arial"/>
          <w:color w:val="FF0000"/>
          <w:sz w:val="20"/>
          <w:szCs w:val="20"/>
        </w:rPr>
        <w:t>s</w:t>
      </w:r>
      <w:r w:rsidR="005873D0" w:rsidRPr="00953B55">
        <w:rPr>
          <w:rFonts w:ascii="Arial" w:hAnsi="Arial" w:cs="Arial"/>
          <w:color w:val="FF0000"/>
          <w:sz w:val="20"/>
          <w:szCs w:val="20"/>
        </w:rPr>
        <w:t xml:space="preserve"> such as interlocking, Knowles pin and Titanium Elastic nail ha</w:t>
      </w:r>
      <w:r w:rsidR="005029F7">
        <w:rPr>
          <w:rFonts w:ascii="Arial" w:hAnsi="Arial" w:cs="Arial"/>
          <w:color w:val="FF0000"/>
          <w:sz w:val="20"/>
          <w:szCs w:val="20"/>
        </w:rPr>
        <w:t>s</w:t>
      </w:r>
      <w:r w:rsidR="005873D0" w:rsidRPr="00953B55">
        <w:rPr>
          <w:rFonts w:ascii="Arial" w:hAnsi="Arial" w:cs="Arial"/>
          <w:color w:val="FF0000"/>
          <w:sz w:val="20"/>
          <w:szCs w:val="20"/>
        </w:rPr>
        <w:t xml:space="preserve"> shown similar union and functional outcome with plate fixation but implant migration is </w:t>
      </w:r>
      <w:r w:rsidR="005029F7">
        <w:rPr>
          <w:rFonts w:ascii="Arial" w:hAnsi="Arial" w:cs="Arial"/>
          <w:color w:val="FF0000"/>
          <w:sz w:val="20"/>
          <w:szCs w:val="20"/>
        </w:rPr>
        <w:t>a</w:t>
      </w:r>
      <w:r w:rsidR="005873D0" w:rsidRPr="00953B55">
        <w:rPr>
          <w:rFonts w:ascii="Arial" w:hAnsi="Arial" w:cs="Arial"/>
          <w:color w:val="FF0000"/>
          <w:sz w:val="20"/>
          <w:szCs w:val="20"/>
        </w:rPr>
        <w:t xml:space="preserve"> common issue and not suitable for certain fracture pattern</w:t>
      </w:r>
      <w:r w:rsidR="005029F7">
        <w:rPr>
          <w:rFonts w:ascii="Arial" w:hAnsi="Arial" w:cs="Arial"/>
          <w:color w:val="FF0000"/>
          <w:sz w:val="20"/>
          <w:szCs w:val="20"/>
        </w:rPr>
        <w:t>s,</w:t>
      </w:r>
      <w:r w:rsidR="005873D0" w:rsidRPr="00953B55">
        <w:rPr>
          <w:rFonts w:ascii="Arial" w:hAnsi="Arial" w:cs="Arial"/>
          <w:color w:val="FF0000"/>
          <w:sz w:val="20"/>
          <w:szCs w:val="20"/>
        </w:rPr>
        <w:t xml:space="preserve"> particularly </w:t>
      </w:r>
      <w:proofErr w:type="spellStart"/>
      <w:r w:rsidR="005873D0" w:rsidRPr="00953B55">
        <w:rPr>
          <w:rFonts w:ascii="Arial" w:hAnsi="Arial" w:cs="Arial"/>
          <w:color w:val="FF0000"/>
          <w:sz w:val="20"/>
          <w:szCs w:val="20"/>
        </w:rPr>
        <w:t>comminuted</w:t>
      </w:r>
      <w:proofErr w:type="spellEnd"/>
      <w:r w:rsidR="005873D0" w:rsidRPr="00953B55">
        <w:rPr>
          <w:rFonts w:ascii="Arial" w:hAnsi="Arial" w:cs="Arial"/>
          <w:color w:val="FF0000"/>
          <w:sz w:val="20"/>
          <w:szCs w:val="20"/>
        </w:rPr>
        <w:t xml:space="preserve"> fracture</w:t>
      </w:r>
      <w:r w:rsidR="005029F7">
        <w:rPr>
          <w:rFonts w:ascii="Arial" w:hAnsi="Arial" w:cs="Arial"/>
          <w:color w:val="FF0000"/>
          <w:sz w:val="20"/>
          <w:szCs w:val="20"/>
        </w:rPr>
        <w:t>s</w:t>
      </w:r>
      <w:r w:rsidR="005873D0" w:rsidRPr="00953B55">
        <w:rPr>
          <w:rFonts w:ascii="Arial" w:hAnsi="Arial" w:cs="Arial"/>
          <w:color w:val="FF0000"/>
          <w:sz w:val="20"/>
          <w:szCs w:val="20"/>
        </w:rPr>
        <w:t>. Plate osteosynthesis is still the most popular method of fixation for midshaft clavicular fracture</w:t>
      </w:r>
      <w:r w:rsidR="005873D0" w:rsidRPr="00953B55">
        <w:rPr>
          <w:rFonts w:ascii="Arial" w:hAnsi="Arial" w:cs="Arial"/>
          <w:color w:val="FF0000"/>
          <w:sz w:val="20"/>
          <w:szCs w:val="20"/>
          <w:vertAlign w:val="superscript"/>
        </w:rPr>
        <w:t>7</w:t>
      </w:r>
      <w:r w:rsidR="005873D0" w:rsidRPr="00953B55">
        <w:rPr>
          <w:rFonts w:ascii="Arial" w:hAnsi="Arial" w:cs="Arial"/>
          <w:color w:val="FF0000"/>
          <w:sz w:val="20"/>
          <w:szCs w:val="20"/>
        </w:rPr>
        <w:t>.</w:t>
      </w:r>
    </w:p>
    <w:p w14:paraId="1F92EBD7" w14:textId="39DD0332" w:rsidR="005873D0" w:rsidRPr="005A4E62" w:rsidRDefault="005873D0" w:rsidP="005873D0">
      <w:pPr>
        <w:pStyle w:val="block"/>
        <w:spacing w:before="240" w:beforeAutospacing="0"/>
        <w:jc w:val="both"/>
        <w:rPr>
          <w:rFonts w:ascii="Arial" w:hAnsi="Arial" w:cs="Arial"/>
          <w:color w:val="FF0000"/>
          <w:sz w:val="20"/>
          <w:szCs w:val="20"/>
        </w:rPr>
      </w:pPr>
      <w:r w:rsidRPr="005A4E62">
        <w:rPr>
          <w:rFonts w:ascii="Arial" w:hAnsi="Arial" w:cs="Arial"/>
          <w:color w:val="FF0000"/>
          <w:sz w:val="20"/>
          <w:szCs w:val="20"/>
        </w:rPr>
        <w:lastRenderedPageBreak/>
        <w:t>We acknowledge the small number of patient in this series</w:t>
      </w:r>
      <w:r>
        <w:rPr>
          <w:rFonts w:ascii="Arial" w:hAnsi="Arial" w:cs="Arial"/>
          <w:color w:val="FF0000"/>
          <w:sz w:val="20"/>
          <w:szCs w:val="20"/>
        </w:rPr>
        <w:t xml:space="preserve"> and its descriptive nature</w:t>
      </w:r>
      <w:r w:rsidRPr="005A4E62">
        <w:rPr>
          <w:rFonts w:ascii="Arial" w:hAnsi="Arial" w:cs="Arial"/>
          <w:color w:val="FF0000"/>
          <w:sz w:val="20"/>
          <w:szCs w:val="20"/>
        </w:rPr>
        <w:t xml:space="preserve">. </w:t>
      </w:r>
      <w:r w:rsidR="005029F7">
        <w:rPr>
          <w:rFonts w:ascii="Arial" w:hAnsi="Arial" w:cs="Arial"/>
          <w:color w:val="FF0000"/>
          <w:sz w:val="20"/>
          <w:szCs w:val="20"/>
        </w:rPr>
        <w:t>We aim</w:t>
      </w:r>
      <w:r w:rsidRPr="005A4E62">
        <w:rPr>
          <w:rFonts w:ascii="Arial" w:hAnsi="Arial" w:cs="Arial"/>
          <w:color w:val="FF0000"/>
          <w:sz w:val="20"/>
          <w:szCs w:val="20"/>
        </w:rPr>
        <w:t xml:space="preserve"> to illustrate the different fate of the patients outcome with different approach</w:t>
      </w:r>
      <w:r w:rsidR="005029F7">
        <w:rPr>
          <w:rFonts w:ascii="Arial" w:hAnsi="Arial" w:cs="Arial"/>
          <w:color w:val="FF0000"/>
          <w:sz w:val="20"/>
          <w:szCs w:val="20"/>
        </w:rPr>
        <w:t>es</w:t>
      </w:r>
      <w:r w:rsidRPr="005A4E62">
        <w:rPr>
          <w:rFonts w:ascii="Arial" w:hAnsi="Arial" w:cs="Arial"/>
          <w:color w:val="FF0000"/>
          <w:sz w:val="20"/>
          <w:szCs w:val="20"/>
        </w:rPr>
        <w:t xml:space="preserve"> to the supraclavicular nerve intraoperatively and to create an awareness of the importance of nerve preservation. Our clinical series showed a typical same presentation depending on the preservation and sacrific</w:t>
      </w:r>
      <w:r w:rsidR="005029F7">
        <w:rPr>
          <w:rFonts w:ascii="Arial" w:hAnsi="Arial" w:cs="Arial"/>
          <w:color w:val="FF0000"/>
          <w:sz w:val="20"/>
          <w:szCs w:val="20"/>
        </w:rPr>
        <w:t>e</w:t>
      </w:r>
      <w:r w:rsidRPr="005A4E62">
        <w:rPr>
          <w:rFonts w:ascii="Arial" w:hAnsi="Arial" w:cs="Arial"/>
          <w:color w:val="FF0000"/>
          <w:sz w:val="20"/>
          <w:szCs w:val="20"/>
        </w:rPr>
        <w:t xml:space="preserve"> of the nerves. Another study with larger number of patient</w:t>
      </w:r>
      <w:r w:rsidR="00BB1B87">
        <w:rPr>
          <w:rFonts w:ascii="Arial" w:hAnsi="Arial" w:cs="Arial"/>
          <w:color w:val="FF0000"/>
          <w:sz w:val="20"/>
          <w:szCs w:val="20"/>
        </w:rPr>
        <w:t>s</w:t>
      </w:r>
      <w:r w:rsidRPr="005A4E62">
        <w:rPr>
          <w:rFonts w:ascii="Arial" w:hAnsi="Arial" w:cs="Arial"/>
          <w:color w:val="FF0000"/>
          <w:sz w:val="20"/>
          <w:szCs w:val="20"/>
        </w:rPr>
        <w:t xml:space="preserve"> and good statistical analysis will give a better perspective of the patients outcome.</w:t>
      </w:r>
      <w:bookmarkStart w:id="0" w:name="_GoBack"/>
      <w:bookmarkEnd w:id="0"/>
    </w:p>
    <w:p w14:paraId="2D244CB4" w14:textId="626E4F86" w:rsidR="005662B7" w:rsidRPr="005662B7" w:rsidRDefault="005662B7" w:rsidP="005662B7">
      <w:pPr>
        <w:pStyle w:val="block"/>
        <w:spacing w:before="240" w:beforeAutospacing="0"/>
        <w:jc w:val="both"/>
        <w:rPr>
          <w:rFonts w:ascii="Arial" w:hAnsi="Arial" w:cs="Arial"/>
          <w:color w:val="000000"/>
          <w:sz w:val="20"/>
          <w:szCs w:val="20"/>
        </w:rPr>
      </w:pPr>
    </w:p>
    <w:p w14:paraId="0EBF32D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582BA9" w14:textId="387016A2" w:rsidR="005662B7" w:rsidRPr="005662B7" w:rsidRDefault="005662B7" w:rsidP="005662B7">
      <w:pPr>
        <w:pStyle w:val="block"/>
        <w:spacing w:before="180" w:beforeAutospacing="0"/>
        <w:jc w:val="both"/>
        <w:rPr>
          <w:rFonts w:ascii="Arial" w:hAnsi="Arial" w:cs="Arial"/>
          <w:color w:val="000000"/>
          <w:sz w:val="20"/>
          <w:szCs w:val="20"/>
        </w:rPr>
      </w:pPr>
      <w:r w:rsidRPr="005662B7">
        <w:rPr>
          <w:rFonts w:ascii="Arial" w:hAnsi="Arial" w:cs="Arial"/>
          <w:color w:val="000000"/>
          <w:sz w:val="20"/>
          <w:szCs w:val="20"/>
        </w:rPr>
        <w:t xml:space="preserve">In conclusion, the preservation of the supraclavicular nerve during clavicle fixation is crucial not only for maintaining sensory function but also for enhancing patient satisfaction and reducing the risk of postoperative complications. </w:t>
      </w:r>
      <w:r w:rsidR="005873D0" w:rsidRPr="005873D0">
        <w:rPr>
          <w:rFonts w:ascii="Arial" w:hAnsi="Arial" w:cs="Arial"/>
          <w:color w:val="FF0000"/>
          <w:sz w:val="20"/>
          <w:szCs w:val="20"/>
        </w:rPr>
        <w:t>C</w:t>
      </w:r>
      <w:proofErr w:type="spellStart"/>
      <w:r w:rsidR="005873D0" w:rsidRPr="005873D0">
        <w:rPr>
          <w:rFonts w:ascii="Arial" w:hAnsi="Arial" w:cs="Arial"/>
          <w:color w:val="FF0000"/>
          <w:sz w:val="20"/>
          <w:szCs w:val="20"/>
          <w:lang w:val="en-GB"/>
        </w:rPr>
        <w:t>areful</w:t>
      </w:r>
      <w:proofErr w:type="spellEnd"/>
      <w:r w:rsidR="005873D0" w:rsidRPr="005873D0">
        <w:rPr>
          <w:rFonts w:ascii="Arial" w:hAnsi="Arial" w:cs="Arial"/>
          <w:color w:val="FF0000"/>
          <w:sz w:val="20"/>
          <w:szCs w:val="20"/>
          <w:lang w:val="en-GB"/>
        </w:rPr>
        <w:t xml:space="preserve"> nerve preservation should be prioritized in all cases whenever feasible.</w:t>
      </w:r>
      <w:r w:rsidR="005873D0">
        <w:rPr>
          <w:color w:val="FF0000"/>
          <w:lang w:val="en-GB"/>
        </w:rPr>
        <w:t xml:space="preserve"> </w:t>
      </w:r>
      <w:r w:rsidRPr="005662B7">
        <w:rPr>
          <w:rFonts w:ascii="Arial" w:hAnsi="Arial" w:cs="Arial"/>
          <w:color w:val="000000"/>
          <w:sz w:val="20"/>
          <w:szCs w:val="20"/>
        </w:rPr>
        <w:t>By adopting careful surgical techniques and fostering awareness of this important anatomical structure, orthopaedic surgeons can significantly improve patient outcomes in the management of clavicle fractures.</w:t>
      </w:r>
    </w:p>
    <w:p w14:paraId="2334AFFF" w14:textId="77777777" w:rsidR="002B685A" w:rsidRDefault="002B685A" w:rsidP="00441B6F">
      <w:pPr>
        <w:pStyle w:val="ReferHead"/>
        <w:spacing w:after="0"/>
        <w:jc w:val="both"/>
        <w:rPr>
          <w:rFonts w:ascii="Arial" w:hAnsi="Arial" w:cs="Arial"/>
          <w:b w:val="0"/>
          <w:caps w:val="0"/>
          <w:sz w:val="20"/>
        </w:rPr>
      </w:pPr>
    </w:p>
    <w:p w14:paraId="375082A8" w14:textId="6909597F" w:rsidR="002B685A" w:rsidRDefault="005662B7" w:rsidP="00441B6F">
      <w:pPr>
        <w:pStyle w:val="ReferHead"/>
        <w:spacing w:after="0"/>
        <w:jc w:val="both"/>
        <w:rPr>
          <w:rFonts w:ascii="Arial" w:hAnsi="Arial" w:cs="Arial"/>
          <w:bCs/>
        </w:rPr>
      </w:pPr>
      <w:r>
        <w:rPr>
          <w:rFonts w:ascii="Arial" w:hAnsi="Arial" w:cs="Arial"/>
          <w:bCs/>
        </w:rPr>
        <w:t xml:space="preserve">6. </w:t>
      </w:r>
      <w:r w:rsidR="002B685A" w:rsidRPr="002B685A">
        <w:rPr>
          <w:rFonts w:ascii="Arial" w:hAnsi="Arial" w:cs="Arial"/>
          <w:bCs/>
        </w:rPr>
        <w:t>Consent</w:t>
      </w:r>
      <w:r w:rsidR="002B685A">
        <w:rPr>
          <w:rFonts w:ascii="Arial" w:hAnsi="Arial" w:cs="Arial"/>
          <w:bCs/>
        </w:rPr>
        <w:t xml:space="preserve"> </w:t>
      </w:r>
    </w:p>
    <w:p w14:paraId="26B149A4" w14:textId="77777777" w:rsidR="002B685A" w:rsidRPr="002B685A" w:rsidRDefault="002B685A" w:rsidP="00441B6F">
      <w:pPr>
        <w:pStyle w:val="ReferHead"/>
        <w:spacing w:after="0"/>
        <w:jc w:val="both"/>
        <w:rPr>
          <w:rFonts w:ascii="Arial" w:hAnsi="Arial" w:cs="Arial"/>
          <w:bCs/>
        </w:rPr>
      </w:pPr>
    </w:p>
    <w:p w14:paraId="743DC8E1" w14:textId="18F4FF5E" w:rsidR="005662B7" w:rsidRDefault="005662B7" w:rsidP="00441B6F">
      <w:pPr>
        <w:pStyle w:val="ReferHead"/>
        <w:spacing w:after="0"/>
        <w:jc w:val="both"/>
        <w:rPr>
          <w:rFonts w:ascii="Arial" w:hAnsi="Arial" w:cs="Arial"/>
          <w:b w:val="0"/>
          <w:caps w:val="0"/>
          <w:sz w:val="20"/>
        </w:rPr>
      </w:pPr>
      <w:r w:rsidRPr="005662B7">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09F5868E" w14:textId="2B379B0D" w:rsidR="00F1249F" w:rsidRDefault="00F1249F" w:rsidP="00441B6F">
      <w:pPr>
        <w:pStyle w:val="ReferHead"/>
        <w:spacing w:after="0"/>
        <w:jc w:val="both"/>
        <w:rPr>
          <w:rFonts w:ascii="Arial" w:hAnsi="Arial" w:cs="Arial"/>
          <w:b w:val="0"/>
          <w:caps w:val="0"/>
          <w:sz w:val="20"/>
        </w:rPr>
      </w:pPr>
    </w:p>
    <w:p w14:paraId="41D9C0E2" w14:textId="77777777" w:rsidR="00F1249F" w:rsidRPr="00C606F3" w:rsidRDefault="00F1249F" w:rsidP="00F1249F">
      <w:pPr>
        <w:rPr>
          <w:b/>
          <w:highlight w:val="yellow"/>
        </w:rPr>
      </w:pPr>
      <w:r w:rsidRPr="00C606F3">
        <w:rPr>
          <w:b/>
          <w:highlight w:val="yellow"/>
        </w:rPr>
        <w:t>Disclaimer (Artificial intelligence)</w:t>
      </w:r>
    </w:p>
    <w:p w14:paraId="59C972FE" w14:textId="77777777" w:rsidR="00F1249F" w:rsidRPr="00346C4C" w:rsidRDefault="00F1249F" w:rsidP="00F1249F">
      <w:pPr>
        <w:rPr>
          <w:highlight w:val="yellow"/>
        </w:rPr>
      </w:pPr>
    </w:p>
    <w:p w14:paraId="204D72C3" w14:textId="77777777" w:rsidR="00F1249F" w:rsidRPr="00346C4C" w:rsidRDefault="00F1249F" w:rsidP="00F1249F">
      <w:pPr>
        <w:rPr>
          <w:highlight w:val="yellow"/>
        </w:rPr>
      </w:pPr>
      <w:r w:rsidRPr="00346C4C">
        <w:rPr>
          <w:highlight w:val="yellow"/>
        </w:rPr>
        <w:t xml:space="preserve">Option 1: </w:t>
      </w:r>
    </w:p>
    <w:p w14:paraId="56385950" w14:textId="77777777" w:rsidR="00F1249F" w:rsidRPr="00346C4C" w:rsidRDefault="00F1249F" w:rsidP="00F1249F">
      <w:pPr>
        <w:rPr>
          <w:highlight w:val="yellow"/>
        </w:rPr>
      </w:pPr>
    </w:p>
    <w:p w14:paraId="4AC72DED" w14:textId="77777777" w:rsidR="00F1249F" w:rsidRPr="00346C4C" w:rsidRDefault="00F1249F" w:rsidP="00F1249F">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5639AB19" w14:textId="77777777" w:rsidR="00F1249F" w:rsidRPr="00346C4C" w:rsidRDefault="00F1249F" w:rsidP="00F1249F">
      <w:pPr>
        <w:rPr>
          <w:highlight w:val="yellow"/>
        </w:rPr>
      </w:pPr>
    </w:p>
    <w:p w14:paraId="7D65BB4A" w14:textId="77777777" w:rsidR="00F1249F" w:rsidRPr="00346C4C" w:rsidRDefault="00F1249F" w:rsidP="00F1249F">
      <w:pPr>
        <w:rPr>
          <w:highlight w:val="yellow"/>
        </w:rPr>
      </w:pPr>
      <w:r w:rsidRPr="00346C4C">
        <w:rPr>
          <w:highlight w:val="yellow"/>
        </w:rPr>
        <w:t xml:space="preserve">Option 2: </w:t>
      </w:r>
    </w:p>
    <w:p w14:paraId="42CF0496" w14:textId="77777777" w:rsidR="00F1249F" w:rsidRPr="00346C4C" w:rsidRDefault="00F1249F" w:rsidP="00F1249F">
      <w:pPr>
        <w:rPr>
          <w:highlight w:val="yellow"/>
        </w:rPr>
      </w:pPr>
    </w:p>
    <w:p w14:paraId="1AEFCE54" w14:textId="77777777" w:rsidR="00F1249F" w:rsidRPr="00346C4C" w:rsidRDefault="00F1249F" w:rsidP="00F1249F">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CB2C34" w14:textId="77777777" w:rsidR="00F1249F" w:rsidRPr="00346C4C" w:rsidRDefault="00F1249F" w:rsidP="00F1249F">
      <w:pPr>
        <w:rPr>
          <w:highlight w:val="yellow"/>
        </w:rPr>
      </w:pPr>
    </w:p>
    <w:p w14:paraId="196BAFDE" w14:textId="77777777" w:rsidR="00F1249F" w:rsidRPr="00346C4C" w:rsidRDefault="00F1249F" w:rsidP="00F1249F">
      <w:pPr>
        <w:rPr>
          <w:highlight w:val="yellow"/>
        </w:rPr>
      </w:pPr>
      <w:r w:rsidRPr="00346C4C">
        <w:rPr>
          <w:highlight w:val="yellow"/>
        </w:rPr>
        <w:t>Details of the AI usage are given below:</w:t>
      </w:r>
    </w:p>
    <w:p w14:paraId="53469D8E" w14:textId="77777777" w:rsidR="00F1249F" w:rsidRPr="00346C4C" w:rsidRDefault="00F1249F" w:rsidP="00F1249F">
      <w:pPr>
        <w:rPr>
          <w:highlight w:val="yellow"/>
        </w:rPr>
      </w:pPr>
      <w:r w:rsidRPr="00346C4C">
        <w:rPr>
          <w:highlight w:val="yellow"/>
        </w:rPr>
        <w:t>1.</w:t>
      </w:r>
    </w:p>
    <w:p w14:paraId="57173C7B" w14:textId="77777777" w:rsidR="00F1249F" w:rsidRPr="00346C4C" w:rsidRDefault="00F1249F" w:rsidP="00F1249F">
      <w:pPr>
        <w:rPr>
          <w:highlight w:val="yellow"/>
        </w:rPr>
      </w:pPr>
      <w:r w:rsidRPr="00346C4C">
        <w:rPr>
          <w:highlight w:val="yellow"/>
        </w:rPr>
        <w:t>2.</w:t>
      </w:r>
    </w:p>
    <w:p w14:paraId="31782A1A" w14:textId="77777777" w:rsidR="00F1249F" w:rsidRPr="00346C4C" w:rsidRDefault="00F1249F" w:rsidP="00F1249F">
      <w:r w:rsidRPr="00346C4C">
        <w:rPr>
          <w:highlight w:val="yellow"/>
        </w:rPr>
        <w:t>3.</w:t>
      </w:r>
    </w:p>
    <w:p w14:paraId="0F4414AC" w14:textId="77777777" w:rsidR="00F1249F" w:rsidRPr="005662B7" w:rsidRDefault="00F1249F" w:rsidP="00441B6F">
      <w:pPr>
        <w:pStyle w:val="ReferHead"/>
        <w:spacing w:after="0"/>
        <w:jc w:val="both"/>
        <w:rPr>
          <w:rFonts w:ascii="Arial" w:hAnsi="Arial" w:cs="Arial"/>
          <w:b w:val="0"/>
          <w:caps w:val="0"/>
          <w:sz w:val="20"/>
        </w:rPr>
      </w:pPr>
    </w:p>
    <w:p w14:paraId="2BB70BE6" w14:textId="77777777" w:rsidR="005662B7" w:rsidRPr="005662B7" w:rsidRDefault="005662B7" w:rsidP="00441B6F">
      <w:pPr>
        <w:pStyle w:val="ReferHead"/>
        <w:spacing w:after="0"/>
        <w:jc w:val="both"/>
        <w:rPr>
          <w:rFonts w:ascii="Arial" w:hAnsi="Arial" w:cs="Arial"/>
          <w:b w:val="0"/>
          <w:caps w:val="0"/>
          <w:sz w:val="20"/>
        </w:rPr>
      </w:pPr>
    </w:p>
    <w:p w14:paraId="5CC2F382" w14:textId="4477160F" w:rsidR="00B01FCD" w:rsidRDefault="005662B7" w:rsidP="00441B6F">
      <w:pPr>
        <w:pStyle w:val="ReferHead"/>
        <w:spacing w:after="0"/>
        <w:jc w:val="both"/>
        <w:rPr>
          <w:rFonts w:ascii="Arial" w:hAnsi="Arial" w:cs="Arial"/>
        </w:rPr>
      </w:pPr>
      <w:r>
        <w:rPr>
          <w:rFonts w:ascii="Arial" w:hAnsi="Arial" w:cs="Arial"/>
        </w:rPr>
        <w:t xml:space="preserve">7. </w:t>
      </w:r>
      <w:r w:rsidR="00B01FCD" w:rsidRPr="00FB3A86">
        <w:rPr>
          <w:rFonts w:ascii="Arial" w:hAnsi="Arial" w:cs="Arial"/>
        </w:rPr>
        <w:t>References</w:t>
      </w:r>
    </w:p>
    <w:p w14:paraId="3E04ABBA" w14:textId="77777777" w:rsidR="00790ADA" w:rsidRPr="00FB3A86" w:rsidRDefault="00790ADA" w:rsidP="00441B6F">
      <w:pPr>
        <w:pStyle w:val="ReferHead"/>
        <w:spacing w:after="0"/>
        <w:jc w:val="both"/>
        <w:rPr>
          <w:rFonts w:ascii="Arial" w:hAnsi="Arial" w:cs="Arial"/>
        </w:rPr>
      </w:pPr>
    </w:p>
    <w:p w14:paraId="13C23AAF" w14:textId="5AEADBF3"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eastAsiaTheme="minorEastAsia" w:hAnsi="Arial" w:cs="Arial"/>
          <w:color w:val="111111"/>
          <w:lang w:eastAsia="en-GB"/>
        </w:rPr>
        <w:t xml:space="preserve">Huang D et al. Comparison of patient reported outcomes following clavicle operative fixation using supraclavicular nerve sparing and supraclavicular nerve sacrificing techniques. </w:t>
      </w:r>
      <w:r w:rsidRPr="005662B7">
        <w:rPr>
          <w:rFonts w:ascii="Arial" w:eastAsiaTheme="minorEastAsia" w:hAnsi="Arial" w:cs="Arial"/>
          <w:i/>
          <w:iCs/>
          <w:color w:val="111111"/>
          <w:lang w:eastAsia="en-GB"/>
        </w:rPr>
        <w:t>Injury</w:t>
      </w:r>
      <w:r w:rsidRPr="005662B7">
        <w:rPr>
          <w:rFonts w:ascii="Arial" w:eastAsiaTheme="minorEastAsia" w:hAnsi="Arial" w:cs="Arial"/>
          <w:color w:val="111111"/>
          <w:lang w:eastAsia="en-GB"/>
        </w:rPr>
        <w:t>. 2020 Oct 27;52(3):501–5</w:t>
      </w:r>
      <w:r w:rsidR="005873D0">
        <w:rPr>
          <w:rFonts w:ascii="Arial" w:eastAsiaTheme="minorEastAsia" w:hAnsi="Arial" w:cs="Arial"/>
          <w:color w:val="111111"/>
          <w:lang w:eastAsia="en-GB"/>
        </w:rPr>
        <w:t xml:space="preserve">. </w:t>
      </w:r>
      <w:r w:rsidR="005873D0" w:rsidRPr="00EA7C94">
        <w:rPr>
          <w:rStyle w:val="id-label"/>
          <w:rFonts w:ascii="Segoe UI" w:hAnsi="Segoe UI" w:cs="Segoe UI"/>
          <w:color w:val="212121"/>
        </w:rPr>
        <w:t>DOI: </w:t>
      </w:r>
      <w:hyperlink r:id="rId18" w:tgtFrame="_blank" w:history="1">
        <w:r w:rsidR="005873D0" w:rsidRPr="00EA7C94">
          <w:rPr>
            <w:rStyle w:val="Hyperlink"/>
            <w:rFonts w:ascii="Segoe UI" w:hAnsi="Segoe UI" w:cs="Segoe UI"/>
            <w:color w:val="0071BC"/>
          </w:rPr>
          <w:t>10.1016/j.injury.2020.10.100</w:t>
        </w:r>
      </w:hyperlink>
    </w:p>
    <w:p w14:paraId="1D520E1D" w14:textId="2D7C780C"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Natacha </w:t>
      </w:r>
      <w:proofErr w:type="spellStart"/>
      <w:r w:rsidRPr="005662B7">
        <w:rPr>
          <w:rFonts w:ascii="Arial" w:hAnsi="Arial" w:cs="Arial"/>
          <w:lang w:eastAsia="en-GB"/>
        </w:rPr>
        <w:t>Lorsuwannarat</w:t>
      </w:r>
      <w:proofErr w:type="spellEnd"/>
      <w:r w:rsidRPr="005662B7">
        <w:rPr>
          <w:rFonts w:ascii="Arial" w:hAnsi="Arial" w:cs="Arial"/>
          <w:lang w:eastAsia="en-GB"/>
        </w:rPr>
        <w:t xml:space="preserve">, </w:t>
      </w:r>
      <w:proofErr w:type="spellStart"/>
      <w:r w:rsidRPr="005662B7">
        <w:rPr>
          <w:rFonts w:ascii="Arial" w:hAnsi="Arial" w:cs="Arial"/>
          <w:lang w:eastAsia="en-GB"/>
        </w:rPr>
        <w:t>Puripun</w:t>
      </w:r>
      <w:proofErr w:type="spellEnd"/>
      <w:r w:rsidRPr="005662B7">
        <w:rPr>
          <w:rFonts w:ascii="Arial" w:hAnsi="Arial" w:cs="Arial"/>
          <w:lang w:eastAsia="en-GB"/>
        </w:rPr>
        <w:t xml:space="preserve"> </w:t>
      </w:r>
      <w:proofErr w:type="spellStart"/>
      <w:r w:rsidRPr="005662B7">
        <w:rPr>
          <w:rFonts w:ascii="Arial" w:hAnsi="Arial" w:cs="Arial"/>
          <w:lang w:eastAsia="en-GB"/>
        </w:rPr>
        <w:t>Jirangkul</w:t>
      </w:r>
      <w:proofErr w:type="spellEnd"/>
      <w:r w:rsidRPr="005662B7">
        <w:rPr>
          <w:rFonts w:ascii="Arial" w:hAnsi="Arial" w:cs="Arial"/>
          <w:lang w:eastAsia="en-GB"/>
        </w:rPr>
        <w:t xml:space="preserve">. Safe Zone of Supraclavicular Nerve During Clavicle Fixation and its Anatomical Variation, A Cadaveric Study. </w:t>
      </w:r>
      <w:r w:rsidRPr="005662B7">
        <w:rPr>
          <w:rFonts w:ascii="Arial" w:hAnsi="Arial" w:cs="Arial"/>
          <w:i/>
          <w:iCs/>
          <w:lang w:eastAsia="en-GB"/>
        </w:rPr>
        <w:t xml:space="preserve">Arch </w:t>
      </w:r>
      <w:proofErr w:type="spellStart"/>
      <w:r w:rsidRPr="005662B7">
        <w:rPr>
          <w:rFonts w:ascii="Arial" w:hAnsi="Arial" w:cs="Arial"/>
          <w:i/>
          <w:iCs/>
          <w:lang w:eastAsia="en-GB"/>
        </w:rPr>
        <w:t>Orthop</w:t>
      </w:r>
      <w:proofErr w:type="spellEnd"/>
      <w:r w:rsidRPr="005662B7">
        <w:rPr>
          <w:rFonts w:ascii="Arial" w:hAnsi="Arial" w:cs="Arial"/>
          <w:i/>
          <w:iCs/>
          <w:lang w:eastAsia="en-GB"/>
        </w:rPr>
        <w:t xml:space="preserve"> Trauma Surg</w:t>
      </w:r>
      <w:r w:rsidRPr="005662B7">
        <w:rPr>
          <w:rFonts w:ascii="Arial" w:hAnsi="Arial" w:cs="Arial"/>
          <w:lang w:eastAsia="en-GB"/>
        </w:rPr>
        <w:t>. 2023;143(9):5677-5685</w:t>
      </w:r>
      <w:r w:rsidR="005873D0">
        <w:rPr>
          <w:rFonts w:ascii="Arial" w:hAnsi="Arial" w:cs="Arial"/>
          <w:lang w:eastAsia="en-GB"/>
        </w:rPr>
        <w:t xml:space="preserve">. </w:t>
      </w:r>
      <w:r w:rsidR="005873D0" w:rsidRPr="00EA7C94">
        <w:rPr>
          <w:rStyle w:val="id-label"/>
          <w:rFonts w:ascii="Segoe UI" w:hAnsi="Segoe UI" w:cs="Segoe UI"/>
          <w:color w:val="212121"/>
        </w:rPr>
        <w:t>DOI: </w:t>
      </w:r>
      <w:hyperlink r:id="rId19" w:tgtFrame="_blank" w:history="1">
        <w:r w:rsidR="005873D0" w:rsidRPr="00EA7C94">
          <w:rPr>
            <w:rStyle w:val="Hyperlink"/>
            <w:rFonts w:ascii="Segoe UI" w:hAnsi="Segoe UI" w:cs="Segoe UI"/>
            <w:color w:val="0071BC"/>
          </w:rPr>
          <w:t>10.1007/s00402-023-04874-2</w:t>
        </w:r>
      </w:hyperlink>
    </w:p>
    <w:p w14:paraId="6FACF2EB" w14:textId="4C00CF2F" w:rsidR="005873D0" w:rsidRPr="005873D0" w:rsidRDefault="005873D0" w:rsidP="005873D0">
      <w:pPr>
        <w:numPr>
          <w:ilvl w:val="0"/>
          <w:numId w:val="31"/>
        </w:numPr>
        <w:spacing w:before="100" w:beforeAutospacing="1" w:after="100" w:afterAutospacing="1"/>
        <w:rPr>
          <w:rFonts w:ascii="Arial" w:hAnsi="Arial" w:cs="Arial"/>
          <w:lang w:eastAsia="en-GB"/>
        </w:rPr>
      </w:pPr>
      <w:proofErr w:type="spellStart"/>
      <w:r w:rsidRPr="005873D0">
        <w:rPr>
          <w:rFonts w:ascii="Arial" w:hAnsi="Arial" w:cs="Arial"/>
          <w:color w:val="FF0000"/>
          <w:lang w:eastAsia="en-GB"/>
        </w:rPr>
        <w:t>Ruei</w:t>
      </w:r>
      <w:proofErr w:type="spellEnd"/>
      <w:r w:rsidRPr="005873D0">
        <w:rPr>
          <w:rFonts w:ascii="Arial" w:hAnsi="Arial" w:cs="Arial"/>
          <w:color w:val="FF0000"/>
          <w:lang w:eastAsia="en-GB"/>
        </w:rPr>
        <w:t xml:space="preserve"> Hu, Yu-Jung </w:t>
      </w:r>
      <w:proofErr w:type="spellStart"/>
      <w:r w:rsidRPr="005873D0">
        <w:rPr>
          <w:rFonts w:ascii="Arial" w:hAnsi="Arial" w:cs="Arial"/>
          <w:color w:val="FF0000"/>
          <w:lang w:eastAsia="en-GB"/>
        </w:rPr>
        <w:t>Su</w:t>
      </w:r>
      <w:proofErr w:type="spellEnd"/>
      <w:r w:rsidRPr="005873D0">
        <w:rPr>
          <w:rFonts w:ascii="Arial" w:hAnsi="Arial" w:cs="Arial"/>
          <w:color w:val="FF0000"/>
          <w:lang w:eastAsia="en-GB"/>
        </w:rPr>
        <w:t>, Chu-Sheng Chien</w:t>
      </w:r>
      <w:r>
        <w:rPr>
          <w:rFonts w:ascii="Arial" w:hAnsi="Arial" w:cs="Arial"/>
          <w:lang w:eastAsia="en-GB"/>
        </w:rPr>
        <w:t>.</w:t>
      </w:r>
      <w:r w:rsidRPr="005873D0">
        <w:rPr>
          <w:rFonts w:ascii="Arial" w:hAnsi="Arial" w:cs="Arial"/>
          <w:lang w:eastAsia="en-GB"/>
        </w:rPr>
        <w:t xml:space="preserve"> </w:t>
      </w:r>
      <w:r w:rsidR="005662B7" w:rsidRPr="005662B7">
        <w:rPr>
          <w:rFonts w:ascii="Arial" w:hAnsi="Arial" w:cs="Arial"/>
          <w:lang w:eastAsia="en-GB"/>
        </w:rPr>
        <w:t xml:space="preserve">Supraclavicular Nerve Sparing Versus Sacrifice During Open Reduction Internal Fixation of Acute Midshaft Clavicle Fracture. </w:t>
      </w:r>
      <w:r w:rsidR="005662B7" w:rsidRPr="005662B7">
        <w:rPr>
          <w:rFonts w:ascii="Arial" w:hAnsi="Arial" w:cs="Arial"/>
          <w:i/>
          <w:iCs/>
          <w:lang w:eastAsia="en-GB"/>
        </w:rPr>
        <w:t xml:space="preserve">Journal of </w:t>
      </w:r>
      <w:proofErr w:type="spellStart"/>
      <w:r w:rsidR="005662B7" w:rsidRPr="005662B7">
        <w:rPr>
          <w:rFonts w:ascii="Arial" w:hAnsi="Arial" w:cs="Arial"/>
          <w:i/>
          <w:iCs/>
          <w:lang w:eastAsia="en-GB"/>
        </w:rPr>
        <w:t>Orthopaedic</w:t>
      </w:r>
      <w:proofErr w:type="spellEnd"/>
      <w:r w:rsidR="005662B7" w:rsidRPr="005662B7">
        <w:rPr>
          <w:rFonts w:ascii="Arial" w:hAnsi="Arial" w:cs="Arial"/>
          <w:i/>
          <w:iCs/>
          <w:lang w:eastAsia="en-GB"/>
        </w:rPr>
        <w:t xml:space="preserve"> Surgery &amp; Research</w:t>
      </w:r>
      <w:r w:rsidR="005662B7" w:rsidRPr="005662B7">
        <w:rPr>
          <w:rFonts w:ascii="Arial" w:hAnsi="Arial" w:cs="Arial"/>
          <w:lang w:eastAsia="en-GB"/>
        </w:rPr>
        <w:t>. 2023;725</w:t>
      </w:r>
      <w:r>
        <w:rPr>
          <w:rFonts w:ascii="Arial" w:hAnsi="Arial" w:cs="Arial"/>
          <w:lang w:eastAsia="en-GB"/>
        </w:rPr>
        <w:t xml:space="preserve">. </w:t>
      </w:r>
      <w:r w:rsidRPr="00EA7C94">
        <w:rPr>
          <w:rStyle w:val="id-label"/>
          <w:rFonts w:ascii="Segoe UI" w:hAnsi="Segoe UI" w:cs="Segoe UI"/>
          <w:color w:val="212121"/>
        </w:rPr>
        <w:t>DOI: </w:t>
      </w:r>
      <w:hyperlink r:id="rId20" w:tgtFrame="_blank" w:history="1">
        <w:r w:rsidRPr="00EA7C94">
          <w:rPr>
            <w:rStyle w:val="Hyperlink"/>
            <w:rFonts w:ascii="Segoe UI" w:hAnsi="Segoe UI" w:cs="Segoe UI"/>
            <w:color w:val="0071BC"/>
          </w:rPr>
          <w:t>10.1186/s13018-023-04220-7</w:t>
        </w:r>
      </w:hyperlink>
    </w:p>
    <w:p w14:paraId="0737C742" w14:textId="0AB2A6A0"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Ting Li et al. Supraclavicular Nerve Protection During Open Reduction Internal Fixation. </w:t>
      </w:r>
      <w:r w:rsidRPr="005662B7">
        <w:rPr>
          <w:rFonts w:ascii="Arial" w:hAnsi="Arial" w:cs="Arial"/>
          <w:i/>
          <w:iCs/>
          <w:lang w:eastAsia="en-GB"/>
        </w:rPr>
        <w:t>Int J Exp Med</w:t>
      </w:r>
      <w:r w:rsidRPr="005662B7">
        <w:rPr>
          <w:rFonts w:ascii="Arial" w:hAnsi="Arial" w:cs="Arial"/>
          <w:lang w:eastAsia="en-GB"/>
        </w:rPr>
        <w:t>. 2017;10(5):8558-8565</w:t>
      </w:r>
      <w:r w:rsidR="005873D0">
        <w:rPr>
          <w:rFonts w:ascii="Arial" w:hAnsi="Arial" w:cs="Arial"/>
          <w:lang w:eastAsia="en-GB"/>
        </w:rPr>
        <w:t xml:space="preserve">. </w:t>
      </w:r>
      <w:r w:rsidR="005873D0">
        <w:t>ISSN:1940-5901/IJCEM0038714</w:t>
      </w:r>
    </w:p>
    <w:p w14:paraId="1C90638B" w14:textId="1DF9667D" w:rsidR="005662B7" w:rsidRPr="005873D0" w:rsidRDefault="005662B7" w:rsidP="005873D0">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lastRenderedPageBreak/>
        <w:t xml:space="preserve">Li-Tzu Liu et al. Minimally Invasive Plate Osteosynthesis </w:t>
      </w:r>
      <w:r w:rsidR="005873D0" w:rsidRPr="005662B7">
        <w:rPr>
          <w:rFonts w:ascii="Arial" w:hAnsi="Arial" w:cs="Arial"/>
          <w:lang w:eastAsia="en-GB"/>
        </w:rPr>
        <w:t>with</w:t>
      </w:r>
      <w:r w:rsidRPr="005662B7">
        <w:rPr>
          <w:rFonts w:ascii="Arial" w:hAnsi="Arial" w:cs="Arial"/>
          <w:lang w:eastAsia="en-GB"/>
        </w:rPr>
        <w:t xml:space="preserve"> Mini-Open Technique &amp; Supraclavicular Nerve Preservation Reduces Post-operative Numbness in Acute Displaced Midshaft Clavicle Fracture. </w:t>
      </w:r>
      <w:r w:rsidRPr="005662B7">
        <w:rPr>
          <w:rFonts w:ascii="Arial" w:hAnsi="Arial" w:cs="Arial"/>
          <w:i/>
          <w:iCs/>
          <w:lang w:eastAsia="en-GB"/>
        </w:rPr>
        <w:t>Medicina</w:t>
      </w:r>
      <w:r w:rsidRPr="005662B7">
        <w:rPr>
          <w:rFonts w:ascii="Arial" w:hAnsi="Arial" w:cs="Arial"/>
          <w:lang w:eastAsia="en-GB"/>
        </w:rPr>
        <w:t>. 2024;60(10)</w:t>
      </w:r>
      <w:r w:rsidR="005873D0">
        <w:rPr>
          <w:rFonts w:ascii="Arial" w:hAnsi="Arial" w:cs="Arial"/>
          <w:lang w:eastAsia="en-GB"/>
        </w:rPr>
        <w:t xml:space="preserve">. </w:t>
      </w:r>
      <w:r w:rsidR="005873D0" w:rsidRPr="005873D0">
        <w:rPr>
          <w:rStyle w:val="id-label"/>
          <w:rFonts w:ascii="Segoe UI" w:hAnsi="Segoe UI" w:cs="Segoe UI"/>
          <w:color w:val="212121"/>
        </w:rPr>
        <w:t>DOI: </w:t>
      </w:r>
      <w:hyperlink r:id="rId21" w:tgtFrame="_blank" w:history="1">
        <w:r w:rsidR="005873D0" w:rsidRPr="005873D0">
          <w:rPr>
            <w:rStyle w:val="Hyperlink"/>
            <w:rFonts w:ascii="Segoe UI" w:hAnsi="Segoe UI" w:cs="Segoe UI"/>
            <w:color w:val="0071BC"/>
          </w:rPr>
          <w:t>10.3390/medicina60101669</w:t>
        </w:r>
      </w:hyperlink>
    </w:p>
    <w:p w14:paraId="6A478052" w14:textId="60A6CE03" w:rsid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Yulin Wang et al. Case Report &amp; Preliminary Exploration: Protection of Supraclavicular Nerve Branches During Internal Fixation of Clavicular Fracture Through Pre-</w:t>
      </w:r>
      <w:r w:rsidR="005873D0" w:rsidRPr="005662B7">
        <w:rPr>
          <w:rFonts w:ascii="Arial" w:hAnsi="Arial" w:cs="Arial"/>
          <w:lang w:eastAsia="en-GB"/>
        </w:rPr>
        <w:t>Operative</w:t>
      </w:r>
      <w:r w:rsidRPr="005662B7">
        <w:rPr>
          <w:rFonts w:ascii="Arial" w:hAnsi="Arial" w:cs="Arial"/>
          <w:lang w:eastAsia="en-GB"/>
        </w:rPr>
        <w:t xml:space="preserve"> Ultrasound </w:t>
      </w:r>
      <w:proofErr w:type="spellStart"/>
      <w:r w:rsidRPr="005662B7">
        <w:rPr>
          <w:rFonts w:ascii="Arial" w:hAnsi="Arial" w:cs="Arial"/>
          <w:lang w:eastAsia="en-GB"/>
        </w:rPr>
        <w:t>Localisation</w:t>
      </w:r>
      <w:proofErr w:type="spellEnd"/>
      <w:r w:rsidRPr="005662B7">
        <w:rPr>
          <w:rFonts w:ascii="Arial" w:hAnsi="Arial" w:cs="Arial"/>
          <w:lang w:eastAsia="en-GB"/>
        </w:rPr>
        <w:t xml:space="preserve">. </w:t>
      </w:r>
      <w:r w:rsidRPr="005662B7">
        <w:rPr>
          <w:rFonts w:ascii="Arial" w:hAnsi="Arial" w:cs="Arial"/>
          <w:i/>
          <w:iCs/>
          <w:lang w:eastAsia="en-GB"/>
        </w:rPr>
        <w:t>Frontiers in Surgery</w:t>
      </w:r>
      <w:r w:rsidRPr="005662B7">
        <w:rPr>
          <w:rFonts w:ascii="Arial" w:hAnsi="Arial" w:cs="Arial"/>
          <w:lang w:eastAsia="en-GB"/>
        </w:rPr>
        <w:t xml:space="preserve">. </w:t>
      </w:r>
      <w:r w:rsidR="005873D0" w:rsidRPr="005662B7">
        <w:rPr>
          <w:rFonts w:ascii="Arial" w:hAnsi="Arial" w:cs="Arial"/>
          <w:lang w:eastAsia="en-GB"/>
        </w:rPr>
        <w:t>2022; 9:898664</w:t>
      </w:r>
      <w:r w:rsidR="005873D0">
        <w:rPr>
          <w:rFonts w:ascii="Arial" w:hAnsi="Arial" w:cs="Arial"/>
          <w:lang w:eastAsia="en-GB"/>
        </w:rPr>
        <w:t xml:space="preserve">. </w:t>
      </w:r>
      <w:r w:rsidR="005873D0" w:rsidRPr="005A4E62">
        <w:rPr>
          <w:rStyle w:val="id-label"/>
          <w:rFonts w:ascii="Segoe UI" w:hAnsi="Segoe UI" w:cs="Segoe UI"/>
          <w:color w:val="212121"/>
        </w:rPr>
        <w:t>DOI: </w:t>
      </w:r>
      <w:hyperlink r:id="rId22" w:tgtFrame="_blank" w:history="1">
        <w:r w:rsidR="005873D0" w:rsidRPr="005A4E62">
          <w:rPr>
            <w:rStyle w:val="Hyperlink"/>
            <w:rFonts w:ascii="Segoe UI" w:hAnsi="Segoe UI" w:cs="Segoe UI"/>
            <w:color w:val="0071BC"/>
          </w:rPr>
          <w:t>10.3389/fsurg.2022.898664</w:t>
        </w:r>
      </w:hyperlink>
    </w:p>
    <w:p w14:paraId="5EC2D543" w14:textId="7A3A3309" w:rsidR="005873D0" w:rsidRPr="005873D0" w:rsidRDefault="005873D0" w:rsidP="005873D0">
      <w:pPr>
        <w:pStyle w:val="ListParagraph"/>
        <w:numPr>
          <w:ilvl w:val="0"/>
          <w:numId w:val="31"/>
        </w:numPr>
        <w:shd w:val="clear" w:color="auto" w:fill="FFFFFF"/>
        <w:spacing w:before="100" w:beforeAutospacing="1" w:after="100" w:afterAutospacing="1"/>
        <w:rPr>
          <w:rFonts w:ascii="Segoe UI" w:hAnsi="Segoe UI" w:cs="Segoe UI"/>
          <w:color w:val="FF0000"/>
        </w:rPr>
      </w:pPr>
      <w:proofErr w:type="spellStart"/>
      <w:r w:rsidRPr="005873D0">
        <w:rPr>
          <w:rFonts w:ascii="Arial" w:hAnsi="Arial" w:cs="Arial"/>
          <w:color w:val="FF0000"/>
          <w:lang w:eastAsia="en-GB"/>
        </w:rPr>
        <w:t>Fangling</w:t>
      </w:r>
      <w:proofErr w:type="spellEnd"/>
      <w:r w:rsidRPr="005873D0">
        <w:rPr>
          <w:rFonts w:ascii="Arial" w:hAnsi="Arial" w:cs="Arial"/>
          <w:color w:val="FF0000"/>
          <w:lang w:eastAsia="en-GB"/>
        </w:rPr>
        <w:t xml:space="preserve"> Shi, </w:t>
      </w:r>
      <w:proofErr w:type="spellStart"/>
      <w:r w:rsidRPr="005873D0">
        <w:rPr>
          <w:rFonts w:ascii="Arial" w:hAnsi="Arial" w:cs="Arial"/>
          <w:color w:val="FF0000"/>
          <w:lang w:eastAsia="en-GB"/>
        </w:rPr>
        <w:t>Haoliang</w:t>
      </w:r>
      <w:proofErr w:type="spellEnd"/>
      <w:r w:rsidRPr="005873D0">
        <w:rPr>
          <w:rFonts w:ascii="Arial" w:hAnsi="Arial" w:cs="Arial"/>
          <w:color w:val="FF0000"/>
          <w:lang w:eastAsia="en-GB"/>
        </w:rPr>
        <w:t xml:space="preserve"> Hu, </w:t>
      </w:r>
      <w:proofErr w:type="spellStart"/>
      <w:r w:rsidRPr="005873D0">
        <w:rPr>
          <w:rFonts w:ascii="Arial" w:hAnsi="Arial" w:cs="Arial"/>
          <w:color w:val="FF0000"/>
          <w:lang w:eastAsia="en-GB"/>
        </w:rPr>
        <w:t>Mintao</w:t>
      </w:r>
      <w:proofErr w:type="spellEnd"/>
      <w:r w:rsidRPr="005873D0">
        <w:rPr>
          <w:rFonts w:ascii="Arial" w:hAnsi="Arial" w:cs="Arial"/>
          <w:color w:val="FF0000"/>
          <w:lang w:eastAsia="en-GB"/>
        </w:rPr>
        <w:t xml:space="preserve"> Tien et al.</w:t>
      </w:r>
      <w:r w:rsidRPr="005873D0">
        <w:rPr>
          <w:rFonts w:ascii="Segoe UI" w:hAnsi="Segoe UI" w:cs="Segoe UI"/>
          <w:color w:val="FF0000"/>
        </w:rPr>
        <w:t xml:space="preserve"> </w:t>
      </w:r>
      <w:r w:rsidRPr="005873D0">
        <w:rPr>
          <w:rFonts w:ascii="Arial" w:hAnsi="Arial" w:cs="Arial"/>
          <w:color w:val="FF0000"/>
        </w:rPr>
        <w:t xml:space="preserve">Comparison of 3 Treatment Methods for Midshaft Clavicle Fractures: A Systematic Review and Network Meta Analysis of Randomized Clinical Trial. </w:t>
      </w:r>
      <w:r w:rsidRPr="005873D0">
        <w:rPr>
          <w:rFonts w:ascii="Arial" w:hAnsi="Arial" w:cs="Arial"/>
          <w:i/>
          <w:iCs/>
          <w:color w:val="FF0000"/>
        </w:rPr>
        <w:t>Injury</w:t>
      </w:r>
      <w:r w:rsidRPr="005873D0">
        <w:rPr>
          <w:rFonts w:ascii="Arial" w:hAnsi="Arial" w:cs="Arial"/>
          <w:color w:val="FF0000"/>
        </w:rPr>
        <w:t xml:space="preserve"> 2022; 53:1765-1776. </w:t>
      </w:r>
      <w:r w:rsidRPr="005873D0">
        <w:rPr>
          <w:color w:val="FF0000"/>
        </w:rPr>
        <w:t>DOI: 10.1016.j.injury.2022.04.005</w:t>
      </w:r>
      <w:r>
        <w:rPr>
          <w:color w:val="FF0000"/>
        </w:rPr>
        <w:t>.</w:t>
      </w:r>
    </w:p>
    <w:p w14:paraId="269203E2" w14:textId="77777777" w:rsidR="005873D0" w:rsidRPr="005662B7" w:rsidRDefault="005873D0" w:rsidP="005873D0">
      <w:pPr>
        <w:spacing w:before="100" w:beforeAutospacing="1" w:after="100" w:afterAutospacing="1"/>
        <w:ind w:left="720"/>
        <w:rPr>
          <w:rFonts w:ascii="Arial" w:hAnsi="Arial" w:cs="Arial"/>
          <w:lang w:eastAsia="en-GB"/>
        </w:rPr>
      </w:pPr>
    </w:p>
    <w:p w14:paraId="0B37CCB4" w14:textId="77777777" w:rsidR="005662B7" w:rsidRDefault="005662B7" w:rsidP="00441B6F">
      <w:pPr>
        <w:pStyle w:val="Body"/>
        <w:spacing w:after="0"/>
      </w:pPr>
    </w:p>
    <w:p w14:paraId="1907D7F0" w14:textId="77777777" w:rsidR="005662B7" w:rsidRDefault="005662B7" w:rsidP="00441B6F">
      <w:pPr>
        <w:pStyle w:val="Body"/>
        <w:spacing w:after="0"/>
      </w:pPr>
    </w:p>
    <w:p w14:paraId="340E3E8E" w14:textId="77777777" w:rsidR="005662B7" w:rsidRDefault="005662B7" w:rsidP="00441B6F">
      <w:pPr>
        <w:pStyle w:val="Body"/>
        <w:spacing w:after="0"/>
      </w:pPr>
    </w:p>
    <w:p w14:paraId="551FC068" w14:textId="77777777" w:rsidR="00790ADA" w:rsidRPr="00FB3A86" w:rsidRDefault="00790ADA" w:rsidP="00441B6F">
      <w:pPr>
        <w:pStyle w:val="Body"/>
        <w:spacing w:after="0"/>
        <w:rPr>
          <w:rFonts w:ascii="Arial" w:hAnsi="Arial" w:cs="Arial"/>
        </w:rPr>
      </w:pPr>
    </w:p>
    <w:p w14:paraId="37CE0853" w14:textId="77777777" w:rsidR="00B01FCD" w:rsidRPr="00FB3A86" w:rsidRDefault="00B01FCD" w:rsidP="00441B6F">
      <w:pPr>
        <w:pStyle w:val="Appendix"/>
        <w:spacing w:after="0"/>
        <w:jc w:val="both"/>
        <w:rPr>
          <w:rFonts w:ascii="Arial" w:hAnsi="Arial" w:cs="Arial"/>
          <w:b w:val="0"/>
        </w:rPr>
      </w:pPr>
    </w:p>
    <w:sectPr w:rsidR="00B01FCD" w:rsidRPr="00FB3A86" w:rsidSect="00D2527C">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D3E64" w14:textId="77777777" w:rsidR="00DD2198" w:rsidRDefault="00DD2198" w:rsidP="00C37E61">
      <w:r>
        <w:separator/>
      </w:r>
    </w:p>
  </w:endnote>
  <w:endnote w:type="continuationSeparator" w:id="0">
    <w:p w14:paraId="6BB37D84" w14:textId="77777777" w:rsidR="00DD2198" w:rsidRDefault="00DD219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2F1F" w14:textId="77777777" w:rsidR="00D2527C" w:rsidRDefault="00D2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9ABA" w14:textId="77777777" w:rsidR="00D2527C" w:rsidRDefault="00D2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0D5A" w14:textId="53854F15" w:rsidR="00754C9A" w:rsidRPr="00D2527C" w:rsidRDefault="00754C9A" w:rsidP="00D252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4C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CE5B2" w14:textId="77777777" w:rsidR="00DD2198" w:rsidRDefault="00DD2198" w:rsidP="00C37E61">
      <w:r>
        <w:separator/>
      </w:r>
    </w:p>
  </w:footnote>
  <w:footnote w:type="continuationSeparator" w:id="0">
    <w:p w14:paraId="0E51B727" w14:textId="77777777" w:rsidR="00DD2198" w:rsidRDefault="00DD219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7030" w14:textId="7807338E" w:rsidR="00D2527C" w:rsidRDefault="00BB1B87">
    <w:pPr>
      <w:pStyle w:val="Header"/>
    </w:pPr>
    <w:r>
      <w:rPr>
        <w:noProof/>
      </w:rPr>
      <w:pict w14:anchorId="53AE2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9" o:spid="_x0000_s2054"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F00EB" w14:textId="274C3F83" w:rsidR="00D2527C" w:rsidRDefault="00BB1B87">
    <w:pPr>
      <w:pStyle w:val="Header"/>
    </w:pPr>
    <w:r>
      <w:rPr>
        <w:noProof/>
      </w:rPr>
      <w:pict w14:anchorId="00C27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0" o:spid="_x0000_s2053"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F53D" w14:textId="77FEF53D" w:rsidR="00296529" w:rsidRPr="00296529" w:rsidRDefault="00BB1B87" w:rsidP="00296529">
    <w:pPr>
      <w:ind w:left="2160"/>
      <w:jc w:val="center"/>
      <w:rPr>
        <w:rFonts w:ascii="Times New Roman" w:eastAsia="Calibri" w:hAnsi="Times New Roman"/>
        <w:i/>
        <w:sz w:val="18"/>
        <w:szCs w:val="22"/>
      </w:rPr>
    </w:pPr>
    <w:r>
      <w:rPr>
        <w:noProof/>
      </w:rPr>
      <w:pict w14:anchorId="48F8F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8" o:spid="_x0000_s2052"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3CADC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6CD0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936CB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BE885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04B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CE80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F610" w14:textId="2C41CD1F" w:rsidR="00D2527C" w:rsidRDefault="00BB1B87">
    <w:pPr>
      <w:pStyle w:val="Header"/>
    </w:pPr>
    <w:r>
      <w:rPr>
        <w:noProof/>
      </w:rPr>
      <w:pict w14:anchorId="6F201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2" o:spid="_x0000_s2051"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9934" w14:textId="436D8BFE" w:rsidR="00D2527C" w:rsidRDefault="00BB1B87">
    <w:pPr>
      <w:pStyle w:val="Header"/>
    </w:pPr>
    <w:r>
      <w:rPr>
        <w:noProof/>
      </w:rPr>
      <w:pict w14:anchorId="6A638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3" o:spid="_x0000_s2050"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BF3E" w14:textId="170AE177" w:rsidR="00D2527C" w:rsidRDefault="00BB1B87">
    <w:pPr>
      <w:pStyle w:val="Header"/>
    </w:pPr>
    <w:r>
      <w:rPr>
        <w:noProof/>
      </w:rPr>
      <w:pict w14:anchorId="49B3D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1" o:spid="_x0000_s2049"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83F2D"/>
    <w:multiLevelType w:val="multilevel"/>
    <w:tmpl w:val="D110D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1NTUxMDc0MzIwMzBV0lEKTi0uzszPAykwrAUAA1opBC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E30"/>
    <w:rsid w:val="00200595"/>
    <w:rsid w:val="00204835"/>
    <w:rsid w:val="00231920"/>
    <w:rsid w:val="0023195C"/>
    <w:rsid w:val="0024282C"/>
    <w:rsid w:val="002460DC"/>
    <w:rsid w:val="00250985"/>
    <w:rsid w:val="002556F6"/>
    <w:rsid w:val="00280EB7"/>
    <w:rsid w:val="00283105"/>
    <w:rsid w:val="00284C4C"/>
    <w:rsid w:val="00287E68"/>
    <w:rsid w:val="00296529"/>
    <w:rsid w:val="002B27FB"/>
    <w:rsid w:val="002B685A"/>
    <w:rsid w:val="002C57D2"/>
    <w:rsid w:val="002D29DB"/>
    <w:rsid w:val="002E0D56"/>
    <w:rsid w:val="00300ED1"/>
    <w:rsid w:val="00315186"/>
    <w:rsid w:val="0033343E"/>
    <w:rsid w:val="003512C2"/>
    <w:rsid w:val="00371FB6"/>
    <w:rsid w:val="003763C1"/>
    <w:rsid w:val="00376BBE"/>
    <w:rsid w:val="0039224F"/>
    <w:rsid w:val="003A03F9"/>
    <w:rsid w:val="003A43A4"/>
    <w:rsid w:val="003A7E18"/>
    <w:rsid w:val="003C4C86"/>
    <w:rsid w:val="003C6258"/>
    <w:rsid w:val="003E2904"/>
    <w:rsid w:val="00401927"/>
    <w:rsid w:val="0041027F"/>
    <w:rsid w:val="00412475"/>
    <w:rsid w:val="00423789"/>
    <w:rsid w:val="0042422F"/>
    <w:rsid w:val="00440F43"/>
    <w:rsid w:val="00441B6F"/>
    <w:rsid w:val="00446221"/>
    <w:rsid w:val="00450E62"/>
    <w:rsid w:val="004539DB"/>
    <w:rsid w:val="00471A80"/>
    <w:rsid w:val="004C306B"/>
    <w:rsid w:val="004D305E"/>
    <w:rsid w:val="004D4277"/>
    <w:rsid w:val="00502516"/>
    <w:rsid w:val="005029F7"/>
    <w:rsid w:val="00505F06"/>
    <w:rsid w:val="00506828"/>
    <w:rsid w:val="0052007D"/>
    <w:rsid w:val="0053056E"/>
    <w:rsid w:val="00554FDA"/>
    <w:rsid w:val="005662B7"/>
    <w:rsid w:val="005873D0"/>
    <w:rsid w:val="0059708F"/>
    <w:rsid w:val="005C784C"/>
    <w:rsid w:val="005D17F6"/>
    <w:rsid w:val="005D7274"/>
    <w:rsid w:val="005E5539"/>
    <w:rsid w:val="00602BF5"/>
    <w:rsid w:val="00617FDD"/>
    <w:rsid w:val="00633614"/>
    <w:rsid w:val="00633F68"/>
    <w:rsid w:val="00636EB2"/>
    <w:rsid w:val="006375B8"/>
    <w:rsid w:val="0064396B"/>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90B"/>
    <w:rsid w:val="0083216F"/>
    <w:rsid w:val="00860000"/>
    <w:rsid w:val="00863BD3"/>
    <w:rsid w:val="008641ED"/>
    <w:rsid w:val="00866D66"/>
    <w:rsid w:val="008671C6"/>
    <w:rsid w:val="00875803"/>
    <w:rsid w:val="0089769D"/>
    <w:rsid w:val="008B459E"/>
    <w:rsid w:val="008E13AE"/>
    <w:rsid w:val="008E1506"/>
    <w:rsid w:val="008E710C"/>
    <w:rsid w:val="008F69D6"/>
    <w:rsid w:val="00902823"/>
    <w:rsid w:val="00915CA6"/>
    <w:rsid w:val="00927834"/>
    <w:rsid w:val="009500A6"/>
    <w:rsid w:val="00957C18"/>
    <w:rsid w:val="009659BA"/>
    <w:rsid w:val="00983040"/>
    <w:rsid w:val="009A2EA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7A2F"/>
    <w:rsid w:val="00B95236"/>
    <w:rsid w:val="00B96BD9"/>
    <w:rsid w:val="00BA1B01"/>
    <w:rsid w:val="00BA2641"/>
    <w:rsid w:val="00BB1B87"/>
    <w:rsid w:val="00BB37AA"/>
    <w:rsid w:val="00BC53A0"/>
    <w:rsid w:val="00BE62AD"/>
    <w:rsid w:val="00BF121F"/>
    <w:rsid w:val="00BF1F80"/>
    <w:rsid w:val="00C063C9"/>
    <w:rsid w:val="00C166EF"/>
    <w:rsid w:val="00C17EB0"/>
    <w:rsid w:val="00C27F5F"/>
    <w:rsid w:val="00C30A0F"/>
    <w:rsid w:val="00C37E61"/>
    <w:rsid w:val="00C606F3"/>
    <w:rsid w:val="00C70F1B"/>
    <w:rsid w:val="00C71A47"/>
    <w:rsid w:val="00C7464C"/>
    <w:rsid w:val="00C85588"/>
    <w:rsid w:val="00CD6755"/>
    <w:rsid w:val="00CD6856"/>
    <w:rsid w:val="00CE0089"/>
    <w:rsid w:val="00CE793C"/>
    <w:rsid w:val="00CF193C"/>
    <w:rsid w:val="00D173F1"/>
    <w:rsid w:val="00D2527C"/>
    <w:rsid w:val="00D74CB0"/>
    <w:rsid w:val="00D8295D"/>
    <w:rsid w:val="00DC2A65"/>
    <w:rsid w:val="00DD2198"/>
    <w:rsid w:val="00DE15F0"/>
    <w:rsid w:val="00DE5663"/>
    <w:rsid w:val="00DE78AA"/>
    <w:rsid w:val="00E053D0"/>
    <w:rsid w:val="00E15994"/>
    <w:rsid w:val="00E3114E"/>
    <w:rsid w:val="00E31A70"/>
    <w:rsid w:val="00E35B02"/>
    <w:rsid w:val="00E66496"/>
    <w:rsid w:val="00E66B35"/>
    <w:rsid w:val="00E66D78"/>
    <w:rsid w:val="00E66E10"/>
    <w:rsid w:val="00E769F6"/>
    <w:rsid w:val="00E8407C"/>
    <w:rsid w:val="00E84F3C"/>
    <w:rsid w:val="00E9704A"/>
    <w:rsid w:val="00EA012C"/>
    <w:rsid w:val="00EC6A55"/>
    <w:rsid w:val="00ED0288"/>
    <w:rsid w:val="00EE52CB"/>
    <w:rsid w:val="00EF581D"/>
    <w:rsid w:val="00EF7FD8"/>
    <w:rsid w:val="00F06F59"/>
    <w:rsid w:val="00F1249F"/>
    <w:rsid w:val="00F17988"/>
    <w:rsid w:val="00F417BA"/>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6D59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662B7"/>
    <w:pPr>
      <w:spacing w:before="100" w:beforeAutospacing="1" w:after="100" w:afterAutospacing="1"/>
    </w:pPr>
    <w:rPr>
      <w:rFonts w:ascii="Times New Roman" w:hAnsi="Times New Roman"/>
      <w:sz w:val="24"/>
      <w:szCs w:val="24"/>
      <w:lang w:val="en-MY" w:eastAsia="en-GB"/>
    </w:rPr>
  </w:style>
  <w:style w:type="paragraph" w:styleId="Caption">
    <w:name w:val="caption"/>
    <w:basedOn w:val="Normal"/>
    <w:next w:val="Normal"/>
    <w:unhideWhenUsed/>
    <w:qFormat/>
    <w:rsid w:val="005662B7"/>
    <w:pPr>
      <w:spacing w:after="200"/>
    </w:pPr>
    <w:rPr>
      <w:i/>
      <w:iCs/>
      <w:color w:val="1F497D" w:themeColor="text2"/>
      <w:sz w:val="18"/>
      <w:szCs w:val="18"/>
    </w:rPr>
  </w:style>
  <w:style w:type="paragraph" w:customStyle="1" w:styleId="block">
    <w:name w:val="block"/>
    <w:basedOn w:val="Normal"/>
    <w:rsid w:val="005662B7"/>
    <w:pPr>
      <w:spacing w:before="100" w:beforeAutospacing="1" w:after="100" w:afterAutospacing="1"/>
    </w:pPr>
    <w:rPr>
      <w:rFonts w:ascii="Times New Roman" w:hAnsi="Times New Roman"/>
      <w:sz w:val="24"/>
      <w:szCs w:val="24"/>
      <w:lang w:val="en-MY" w:eastAsia="en-GB"/>
    </w:rPr>
  </w:style>
  <w:style w:type="paragraph" w:styleId="ListParagraph">
    <w:name w:val="List Paragraph"/>
    <w:basedOn w:val="Normal"/>
    <w:uiPriority w:val="34"/>
    <w:qFormat/>
    <w:rsid w:val="005873D0"/>
    <w:pPr>
      <w:ind w:left="720"/>
      <w:contextualSpacing/>
    </w:pPr>
  </w:style>
  <w:style w:type="character" w:customStyle="1" w:styleId="identifier">
    <w:name w:val="identifier"/>
    <w:basedOn w:val="DefaultParagraphFont"/>
    <w:rsid w:val="005873D0"/>
  </w:style>
  <w:style w:type="character" w:customStyle="1" w:styleId="id-label">
    <w:name w:val="id-label"/>
    <w:basedOn w:val="DefaultParagraphFont"/>
    <w:rsid w:val="00587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injury.2020.10.100"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3390/medicina6010166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86/s13018-023-0422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07/s00402-023-04874-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89/fsurg.2022.89866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5B15-E97A-4308-B78F-AE4AE375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7</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12674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5</cp:revision>
  <cp:lastPrinted>1999-07-06T11:00:00Z</cp:lastPrinted>
  <dcterms:created xsi:type="dcterms:W3CDTF">2025-08-08T07:02:00Z</dcterms:created>
  <dcterms:modified xsi:type="dcterms:W3CDTF">2025-08-13T10:46:00Z</dcterms:modified>
</cp:coreProperties>
</file>