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0B5" w:rsidRDefault="00BA20B5" w:rsidP="00BA20B5">
      <w:pPr>
        <w:spacing w:line="480" w:lineRule="auto"/>
        <w:rPr>
          <w:rFonts w:ascii="Times New Roman" w:hAnsi="Times New Roman" w:cs="Times New Roman"/>
          <w:b/>
          <w:color w:val="1D2228"/>
          <w:sz w:val="24"/>
          <w:szCs w:val="24"/>
          <w:shd w:val="clear" w:color="auto" w:fill="FFFFFF"/>
        </w:rPr>
      </w:pPr>
    </w:p>
    <w:p w:rsidR="00BA20B5" w:rsidRPr="00A2245B" w:rsidRDefault="00BA20B5" w:rsidP="00BA20B5">
      <w:pPr>
        <w:spacing w:line="480" w:lineRule="auto"/>
        <w:jc w:val="center"/>
        <w:rPr>
          <w:rFonts w:ascii="Times New Roman" w:hAnsi="Times New Roman" w:cs="Times New Roman"/>
          <w:b/>
          <w:color w:val="1D2228"/>
          <w:sz w:val="24"/>
          <w:szCs w:val="24"/>
          <w:shd w:val="clear" w:color="auto" w:fill="FFFFFF"/>
        </w:rPr>
      </w:pPr>
      <w:r w:rsidRPr="00A2245B">
        <w:rPr>
          <w:rFonts w:ascii="Times New Roman" w:hAnsi="Times New Roman" w:cs="Times New Roman"/>
          <w:b/>
        </w:rPr>
        <w:t xml:space="preserve">Ten-Year Retrospective Study on Pigmented </w:t>
      </w:r>
      <w:proofErr w:type="spellStart"/>
      <w:r w:rsidRPr="00A2245B">
        <w:rPr>
          <w:rFonts w:ascii="Times New Roman" w:hAnsi="Times New Roman" w:cs="Times New Roman"/>
          <w:b/>
        </w:rPr>
        <w:t>Villonodular</w:t>
      </w:r>
      <w:proofErr w:type="spellEnd"/>
      <w:r w:rsidRPr="00A2245B">
        <w:rPr>
          <w:rFonts w:ascii="Times New Roman" w:hAnsi="Times New Roman" w:cs="Times New Roman"/>
          <w:b/>
        </w:rPr>
        <w:t xml:space="preserve"> Synovitis of the Knee at the National </w:t>
      </w:r>
      <w:proofErr w:type="spellStart"/>
      <w:r w:rsidRPr="00A2245B">
        <w:rPr>
          <w:rFonts w:ascii="Times New Roman" w:hAnsi="Times New Roman" w:cs="Times New Roman"/>
          <w:b/>
        </w:rPr>
        <w:t>Orthopaedic</w:t>
      </w:r>
      <w:proofErr w:type="spellEnd"/>
      <w:r w:rsidRPr="00A2245B">
        <w:rPr>
          <w:rFonts w:ascii="Times New Roman" w:hAnsi="Times New Roman" w:cs="Times New Roman"/>
          <w:b/>
        </w:rPr>
        <w:t xml:space="preserve"> Hospital, </w:t>
      </w:r>
      <w:proofErr w:type="spellStart"/>
      <w:r w:rsidRPr="00A2245B">
        <w:rPr>
          <w:rFonts w:ascii="Times New Roman" w:hAnsi="Times New Roman" w:cs="Times New Roman"/>
          <w:b/>
        </w:rPr>
        <w:t>Igbobi</w:t>
      </w:r>
      <w:proofErr w:type="spellEnd"/>
      <w:r w:rsidRPr="00A2245B">
        <w:rPr>
          <w:rFonts w:ascii="Times New Roman" w:hAnsi="Times New Roman" w:cs="Times New Roman"/>
          <w:b/>
        </w:rPr>
        <w:t>, Lagos</w:t>
      </w:r>
    </w:p>
    <w:p w:rsidR="00A712A4" w:rsidRDefault="00A712A4" w:rsidP="00BA20B5">
      <w:pPr>
        <w:autoSpaceDE w:val="0"/>
        <w:autoSpaceDN w:val="0"/>
        <w:adjustRightInd w:val="0"/>
        <w:spacing w:after="0" w:line="480" w:lineRule="auto"/>
        <w:contextualSpacing/>
        <w:jc w:val="both"/>
        <w:rPr>
          <w:rFonts w:ascii="Times New Roman" w:eastAsia="Calibri" w:hAnsi="Times New Roman" w:cs="Times New Roman"/>
          <w:color w:val="0000FF"/>
          <w:sz w:val="24"/>
          <w:szCs w:val="24"/>
          <w:u w:val="single"/>
        </w:rPr>
      </w:pPr>
    </w:p>
    <w:p w:rsidR="00777FE1" w:rsidRDefault="00777FE1" w:rsidP="00777FE1">
      <w:pPr>
        <w:spacing w:line="480" w:lineRule="auto"/>
        <w:jc w:val="both"/>
        <w:rPr>
          <w:rFonts w:ascii="Times New Roman" w:hAnsi="Times New Roman" w:cs="Times New Roman"/>
          <w:b/>
          <w:bCs/>
          <w:sz w:val="24"/>
          <w:szCs w:val="24"/>
        </w:rPr>
      </w:pPr>
    </w:p>
    <w:p w:rsidR="00777FE1" w:rsidRPr="00A57F6D" w:rsidRDefault="00777FE1" w:rsidP="00777FE1">
      <w:pPr>
        <w:spacing w:line="480" w:lineRule="auto"/>
        <w:jc w:val="both"/>
        <w:rPr>
          <w:rFonts w:ascii="Times New Roman" w:hAnsi="Times New Roman" w:cs="Times New Roman"/>
          <w:b/>
          <w:bCs/>
          <w:sz w:val="24"/>
          <w:szCs w:val="24"/>
        </w:rPr>
      </w:pPr>
      <w:r w:rsidRPr="00A57F6D">
        <w:rPr>
          <w:rFonts w:ascii="Times New Roman" w:hAnsi="Times New Roman" w:cs="Times New Roman"/>
          <w:b/>
          <w:bCs/>
          <w:sz w:val="24"/>
          <w:szCs w:val="24"/>
        </w:rPr>
        <w:t>Abstract</w:t>
      </w:r>
    </w:p>
    <w:p w:rsidR="00777FE1" w:rsidRPr="00A57F6D" w:rsidRDefault="00777FE1" w:rsidP="00777FE1">
      <w:pPr>
        <w:autoSpaceDE w:val="0"/>
        <w:autoSpaceDN w:val="0"/>
        <w:adjustRightInd w:val="0"/>
        <w:spacing w:after="0" w:line="480" w:lineRule="auto"/>
        <w:jc w:val="both"/>
        <w:rPr>
          <w:rFonts w:ascii="Times New Roman" w:hAnsi="Times New Roman" w:cs="Times New Roman"/>
          <w:sz w:val="24"/>
          <w:szCs w:val="24"/>
        </w:rPr>
      </w:pPr>
      <w:r w:rsidRPr="00A57F6D">
        <w:rPr>
          <w:rFonts w:ascii="Times New Roman" w:hAnsi="Times New Roman" w:cs="Times New Roman"/>
          <w:b/>
          <w:bCs/>
          <w:color w:val="000000"/>
          <w:sz w:val="24"/>
          <w:szCs w:val="24"/>
        </w:rPr>
        <w:t xml:space="preserve">Background: </w:t>
      </w:r>
      <w:r w:rsidRPr="00A57F6D">
        <w:rPr>
          <w:rFonts w:ascii="Times New Roman" w:hAnsi="Times New Roman" w:cs="Times New Roman"/>
          <w:sz w:val="24"/>
          <w:szCs w:val="24"/>
        </w:rPr>
        <w:t>Pigmented villonodular synovitis (PVNS) is a rare, benign proliferative disorder affecting the synovium, commonly involving the knee joint. This study aimed to provide an overview of PVNS, discuss its clinical presentation and diagnostic challenges</w:t>
      </w:r>
    </w:p>
    <w:p w:rsidR="00777FE1" w:rsidRPr="003D756F" w:rsidRDefault="00777FE1" w:rsidP="00777FE1">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Methods: </w:t>
      </w:r>
      <w:r w:rsidRPr="00A57F6D">
        <w:rPr>
          <w:rFonts w:ascii="Times New Roman" w:hAnsi="Times New Roman" w:cs="Times New Roman"/>
          <w:sz w:val="24"/>
          <w:szCs w:val="24"/>
        </w:rPr>
        <w:t xml:space="preserve">This retrospective study analyzed medical records of patients diagnosed with pigmented villonodular synovitis (PVNS) at the National Orthopaedic Hospital, Igbobi, Lagos, between January 2010 and December 2021. Patients with histopathologically confirmed PVNS and complete medical records were included. Data were collected on demographics and clinical presentation. </w:t>
      </w:r>
    </w:p>
    <w:p w:rsidR="00777FE1" w:rsidRPr="00A57F6D" w:rsidRDefault="00777FE1" w:rsidP="00777FE1">
      <w:pPr>
        <w:autoSpaceDE w:val="0"/>
        <w:autoSpaceDN w:val="0"/>
        <w:adjustRightInd w:val="0"/>
        <w:spacing w:after="0" w:line="480" w:lineRule="auto"/>
        <w:jc w:val="both"/>
        <w:rPr>
          <w:rFonts w:ascii="Times New Roman" w:hAnsi="Times New Roman" w:cs="Times New Roman"/>
          <w:b/>
          <w:bCs/>
          <w:color w:val="000000"/>
          <w:sz w:val="24"/>
          <w:szCs w:val="24"/>
        </w:rPr>
      </w:pPr>
      <w:r w:rsidRPr="00A57F6D">
        <w:rPr>
          <w:rFonts w:ascii="Times New Roman" w:hAnsi="Times New Roman" w:cs="Times New Roman"/>
          <w:b/>
          <w:bCs/>
          <w:color w:val="000000"/>
          <w:sz w:val="24"/>
          <w:szCs w:val="24"/>
        </w:rPr>
        <w:t xml:space="preserve">Results: </w:t>
      </w:r>
      <w:r w:rsidRPr="00A57F6D">
        <w:rPr>
          <w:rFonts w:ascii="Times New Roman" w:hAnsi="Times New Roman" w:cs="Times New Roman"/>
          <w:sz w:val="24"/>
          <w:szCs w:val="24"/>
        </w:rPr>
        <w:t xml:space="preserve">A total of 10 patients were included, with a mean age of 37.7 ± 7.4 years. The cohort was predominantly female (60%) and urban residents (80%), with 70% having tertiary education. Pain was the most common symptom (50%), followed by swelling (30%) and limited mobility or joint instability (10% each). The right knee was affected in 80% of cases, and 20% had bilateral involvement. </w:t>
      </w:r>
    </w:p>
    <w:p w:rsidR="00777FE1" w:rsidRPr="00A57F6D" w:rsidRDefault="00777FE1" w:rsidP="00777FE1">
      <w:pPr>
        <w:autoSpaceDE w:val="0"/>
        <w:autoSpaceDN w:val="0"/>
        <w:adjustRightInd w:val="0"/>
        <w:spacing w:after="0" w:line="480" w:lineRule="auto"/>
        <w:jc w:val="both"/>
        <w:rPr>
          <w:rFonts w:ascii="Times New Roman" w:hAnsi="Times New Roman" w:cs="Times New Roman"/>
          <w:sz w:val="24"/>
          <w:szCs w:val="24"/>
        </w:rPr>
      </w:pPr>
      <w:r w:rsidRPr="00A57F6D">
        <w:rPr>
          <w:rFonts w:ascii="Times New Roman" w:hAnsi="Times New Roman" w:cs="Times New Roman"/>
          <w:b/>
          <w:bCs/>
          <w:color w:val="000000"/>
          <w:sz w:val="24"/>
          <w:szCs w:val="24"/>
        </w:rPr>
        <w:t>Conclusions</w:t>
      </w:r>
      <w:r w:rsidRPr="00A57F6D">
        <w:rPr>
          <w:rFonts w:ascii="Times New Roman" w:hAnsi="Times New Roman" w:cs="Times New Roman"/>
          <w:bCs/>
          <w:color w:val="000000"/>
          <w:sz w:val="24"/>
          <w:szCs w:val="24"/>
        </w:rPr>
        <w:t xml:space="preserve">: </w:t>
      </w:r>
      <w:r w:rsidRPr="00A57F6D">
        <w:rPr>
          <w:rFonts w:ascii="Times New Roman" w:hAnsi="Times New Roman" w:cs="Times New Roman"/>
          <w:sz w:val="24"/>
          <w:szCs w:val="24"/>
        </w:rPr>
        <w:t xml:space="preserve">PVNS predominantly affects middle-aged individuals and frequently involves the knee joint, with pain as the leading clinical symptom. </w:t>
      </w:r>
      <w:r w:rsidRPr="00A57F6D">
        <w:rPr>
          <w:rFonts w:ascii="Times New Roman" w:hAnsi="Times New Roman" w:cs="Times New Roman"/>
          <w:bCs/>
          <w:color w:val="000000"/>
          <w:sz w:val="24"/>
          <w:szCs w:val="24"/>
        </w:rPr>
        <w:t xml:space="preserve">It is important for the physician to have a </w:t>
      </w:r>
      <w:r w:rsidRPr="00A57F6D">
        <w:rPr>
          <w:rFonts w:ascii="Times New Roman" w:hAnsi="Times New Roman" w:cs="Times New Roman"/>
          <w:bCs/>
          <w:color w:val="000000"/>
          <w:sz w:val="24"/>
          <w:szCs w:val="24"/>
        </w:rPr>
        <w:lastRenderedPageBreak/>
        <w:t>high index of suspicion and target treatment to ensure removal of all abnormal tissue, reduce pain, reduce the risk of joint destruction and avoid recurrence.</w:t>
      </w:r>
    </w:p>
    <w:p w:rsidR="00777FE1" w:rsidRPr="00A57F6D" w:rsidRDefault="00777FE1" w:rsidP="00777FE1">
      <w:pPr>
        <w:spacing w:line="480" w:lineRule="auto"/>
        <w:jc w:val="both"/>
        <w:rPr>
          <w:rFonts w:ascii="Times New Roman" w:hAnsi="Times New Roman" w:cs="Times New Roman"/>
          <w:color w:val="1B1B1B"/>
          <w:sz w:val="24"/>
          <w:szCs w:val="24"/>
          <w:shd w:val="clear" w:color="auto" w:fill="FFFFFF"/>
        </w:rPr>
      </w:pPr>
      <w:r w:rsidRPr="00A57F6D">
        <w:rPr>
          <w:rFonts w:ascii="Times New Roman" w:hAnsi="Times New Roman" w:cs="Times New Roman"/>
          <w:b/>
          <w:sz w:val="24"/>
          <w:szCs w:val="24"/>
        </w:rPr>
        <w:t>Keywords:</w:t>
      </w:r>
      <w:r w:rsidRPr="00A57F6D">
        <w:rPr>
          <w:rFonts w:ascii="Times New Roman" w:hAnsi="Times New Roman" w:cs="Times New Roman"/>
          <w:sz w:val="24"/>
          <w:szCs w:val="24"/>
        </w:rPr>
        <w:t xml:space="preserve"> Pigmented villonodular synovitis, diffuse PVNS, knee, Lagos, orthopedic</w:t>
      </w:r>
    </w:p>
    <w:p w:rsidR="00777FE1" w:rsidRDefault="00777FE1" w:rsidP="00777FE1">
      <w:pPr>
        <w:spacing w:line="480" w:lineRule="auto"/>
        <w:jc w:val="both"/>
        <w:rPr>
          <w:rFonts w:ascii="Times New Roman" w:hAnsi="Times New Roman" w:cs="Times New Roman"/>
          <w:b/>
          <w:sz w:val="24"/>
          <w:szCs w:val="24"/>
        </w:rPr>
      </w:pPr>
    </w:p>
    <w:p w:rsidR="00777FE1" w:rsidRDefault="00777FE1" w:rsidP="00777FE1">
      <w:pPr>
        <w:spacing w:line="480" w:lineRule="auto"/>
        <w:jc w:val="both"/>
        <w:rPr>
          <w:rFonts w:ascii="Times New Roman" w:hAnsi="Times New Roman" w:cs="Times New Roman"/>
          <w:b/>
          <w:sz w:val="24"/>
          <w:szCs w:val="24"/>
        </w:rPr>
      </w:pPr>
    </w:p>
    <w:p w:rsidR="00777FE1" w:rsidRDefault="00777FE1" w:rsidP="00777FE1">
      <w:pPr>
        <w:spacing w:line="480" w:lineRule="auto"/>
        <w:jc w:val="both"/>
        <w:rPr>
          <w:rFonts w:ascii="Times New Roman" w:hAnsi="Times New Roman" w:cs="Times New Roman"/>
          <w:b/>
          <w:sz w:val="24"/>
          <w:szCs w:val="24"/>
        </w:rPr>
      </w:pP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rsidR="00777FE1" w:rsidRPr="009F753D" w:rsidRDefault="00777FE1" w:rsidP="00777FE1">
      <w:pPr>
        <w:spacing w:line="480" w:lineRule="auto"/>
        <w:jc w:val="both"/>
        <w:rPr>
          <w:rFonts w:ascii="Times New Roman" w:hAnsi="Times New Roman" w:cs="Times New Roman"/>
          <w:sz w:val="24"/>
          <w:szCs w:val="24"/>
        </w:rPr>
      </w:pPr>
      <w:r w:rsidRPr="009F753D">
        <w:rPr>
          <w:rFonts w:ascii="Times New Roman" w:hAnsi="Times New Roman" w:cs="Times New Roman"/>
          <w:sz w:val="24"/>
          <w:szCs w:val="24"/>
        </w:rPr>
        <w:t>Pigmented Villonodular Synovitis (PVNS) is a rare but significant synovial proliferative disorder that presents a diagnostic challenge due to its nonspecific clinical presentation and subtle radiographic features (</w:t>
      </w:r>
      <w:r w:rsidRPr="009F753D">
        <w:rPr>
          <w:rFonts w:ascii="Times New Roman" w:hAnsi="Times New Roman" w:cs="Times New Roman"/>
          <w:color w:val="28333D"/>
          <w:sz w:val="24"/>
          <w:szCs w:val="24"/>
        </w:rPr>
        <w:t>Koutalos et al., 2022</w:t>
      </w:r>
      <w:r w:rsidRPr="009F753D">
        <w:rPr>
          <w:rFonts w:ascii="Times New Roman" w:hAnsi="Times New Roman" w:cs="Times New Roman"/>
          <w:sz w:val="24"/>
          <w:szCs w:val="24"/>
        </w:rPr>
        <w:t>). First described over a century ago (</w:t>
      </w:r>
      <w:r w:rsidRPr="009F753D">
        <w:rPr>
          <w:rFonts w:ascii="Times New Roman" w:hAnsi="Times New Roman" w:cs="Times New Roman"/>
          <w:color w:val="222222"/>
          <w:sz w:val="24"/>
          <w:szCs w:val="24"/>
        </w:rPr>
        <w:t>Jaffe et al., 1941</w:t>
      </w:r>
      <w:r w:rsidRPr="009F753D">
        <w:rPr>
          <w:rFonts w:ascii="Times New Roman" w:hAnsi="Times New Roman" w:cs="Times New Roman"/>
          <w:sz w:val="24"/>
          <w:szCs w:val="24"/>
        </w:rPr>
        <w:t>), PVNS remains a relatively uncommon condition, with an estimated annual incidence of 1.8 cases per million (</w:t>
      </w:r>
      <w:r w:rsidRPr="009F753D">
        <w:rPr>
          <w:rFonts w:ascii="Times New Roman" w:hAnsi="Times New Roman" w:cs="Times New Roman"/>
          <w:color w:val="28333D"/>
          <w:sz w:val="24"/>
          <w:szCs w:val="24"/>
        </w:rPr>
        <w:t>Mwangangi et al., 2023</w:t>
      </w:r>
      <w:r w:rsidRPr="009F753D">
        <w:rPr>
          <w:rFonts w:ascii="Times New Roman" w:hAnsi="Times New Roman" w:cs="Times New Roman"/>
          <w:sz w:val="24"/>
          <w:szCs w:val="24"/>
        </w:rPr>
        <w:t>). Its rarity often complicates timely diagnosis and management, necessitating heightened clinical awareness among healthcare providers.</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PVNS is characterized by a benign yet locally aggressive proliferation of synovial tissue, leading to excessive growth of histiocytes within the synovium</w:t>
      </w:r>
      <w:r w:rsidRPr="009F753D">
        <w:rPr>
          <w:rFonts w:ascii="Times New Roman" w:eastAsia="Times New Roman" w:hAnsi="Times New Roman" w:cs="Times New Roman"/>
          <w:sz w:val="24"/>
          <w:szCs w:val="24"/>
        </w:rPr>
        <w:t xml:space="preserve"> (Aggarwal et al., 2019; Zhao et al., 2021)</w:t>
      </w:r>
      <w:r w:rsidRPr="000C2E60">
        <w:rPr>
          <w:rFonts w:ascii="Times New Roman" w:eastAsia="Times New Roman" w:hAnsi="Times New Roman" w:cs="Times New Roman"/>
          <w:sz w:val="24"/>
          <w:szCs w:val="24"/>
        </w:rPr>
        <w:t>. This results in synovial hyperplasia and pigment deposition, particularly hemosiderin, which can affect the joints, tendon sheaths, and bursae</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Kapoor et al., 2016</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knee is the most commonly affected joint, accounting for approximately 70% of cases, followed by other large joints such as the hip, ankle, and shoulder</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Kapoor et al., 2016</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condition is largely monoarticular</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Pereira et al., 2021</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although rare cases of polyarticular involvement have been documented</w:t>
      </w:r>
      <w:r w:rsidRPr="009F753D">
        <w:rPr>
          <w:rFonts w:ascii="Times New Roman" w:eastAsia="Times New Roman" w:hAnsi="Times New Roman" w:cs="Times New Roman"/>
          <w:sz w:val="24"/>
          <w:szCs w:val="24"/>
        </w:rPr>
        <w:t xml:space="preserve"> (Zhao et al., 2016; McKean et al., 2016)</w:t>
      </w:r>
      <w:r w:rsidRPr="000C2E60">
        <w:rPr>
          <w:rFonts w:ascii="Times New Roman" w:eastAsia="Times New Roman" w:hAnsi="Times New Roman" w:cs="Times New Roman"/>
          <w:sz w:val="24"/>
          <w:szCs w:val="24"/>
        </w:rPr>
        <w:t>.</w:t>
      </w:r>
    </w:p>
    <w:p w:rsidR="00777FE1" w:rsidRPr="00756322"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lastRenderedPageBreak/>
        <w:t xml:space="preserve">PVNS can be classified into two types: </w:t>
      </w:r>
      <w:r w:rsidRPr="009F753D">
        <w:rPr>
          <w:rFonts w:ascii="Times New Roman" w:eastAsia="Times New Roman" w:hAnsi="Times New Roman" w:cs="Times New Roman"/>
          <w:bCs/>
          <w:sz w:val="24"/>
          <w:szCs w:val="24"/>
        </w:rPr>
        <w:t>diffuse PVNS (DPVNS)</w:t>
      </w:r>
      <w:r w:rsidRPr="000C2E60">
        <w:rPr>
          <w:rFonts w:ascii="Times New Roman" w:eastAsia="Times New Roman" w:hAnsi="Times New Roman" w:cs="Times New Roman"/>
          <w:sz w:val="24"/>
          <w:szCs w:val="24"/>
        </w:rPr>
        <w:t xml:space="preserve">, which involves the entire synovium of the joint, and </w:t>
      </w:r>
      <w:r w:rsidRPr="009F753D">
        <w:rPr>
          <w:rFonts w:ascii="Times New Roman" w:eastAsia="Times New Roman" w:hAnsi="Times New Roman" w:cs="Times New Roman"/>
          <w:bCs/>
          <w:sz w:val="24"/>
          <w:szCs w:val="24"/>
        </w:rPr>
        <w:t>localized PVNS (LPVNS)</w:t>
      </w:r>
      <w:r w:rsidRPr="000C2E60">
        <w:rPr>
          <w:rFonts w:ascii="Times New Roman" w:eastAsia="Times New Roman" w:hAnsi="Times New Roman" w:cs="Times New Roman"/>
          <w:sz w:val="24"/>
          <w:szCs w:val="24"/>
        </w:rPr>
        <w:t>, which is typically confined to a specific area, such as a tendon sheath or bursa</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333333"/>
          <w:sz w:val="24"/>
          <w:szCs w:val="24"/>
          <w:shd w:val="clear" w:color="auto" w:fill="FFFFFF"/>
        </w:rPr>
        <w:t>Gao et al., 2017</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Furthermore, these types can be categorized based on their anatomical location as intraarticular or extraarticular</w:t>
      </w:r>
      <w:r w:rsidRPr="009F753D">
        <w:rPr>
          <w:rFonts w:ascii="Times New Roman" w:eastAsia="Times New Roman" w:hAnsi="Times New Roman" w:cs="Times New Roman"/>
          <w:sz w:val="24"/>
          <w:szCs w:val="24"/>
        </w:rPr>
        <w:t xml:space="preserve"> (Kim et al., 2018)</w:t>
      </w:r>
      <w:r w:rsidRPr="000C2E60">
        <w:rPr>
          <w:rFonts w:ascii="Times New Roman" w:eastAsia="Times New Roman" w:hAnsi="Times New Roman" w:cs="Times New Roman"/>
          <w:sz w:val="24"/>
          <w:szCs w:val="24"/>
        </w:rPr>
        <w:t>. This classification aids in diagnosis and guides treatment decisions, as diffuse forms tend to be more aggressive and recurrent than localized forms.</w:t>
      </w:r>
      <w:r w:rsidRPr="00756322">
        <w:rPr>
          <w:rFonts w:ascii="Times New Roman" w:eastAsia="Times New Roman" w:hAnsi="Times New Roman" w:cs="Times New Roman"/>
          <w:sz w:val="24"/>
          <w:szCs w:val="24"/>
        </w:rPr>
        <w:t xml:space="preserve"> </w:t>
      </w:r>
    </w:p>
    <w:p w:rsidR="00777FE1" w:rsidRPr="00756322"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756322">
        <w:rPr>
          <w:rFonts w:ascii="Times New Roman" w:eastAsia="Times New Roman" w:hAnsi="Times New Roman" w:cs="Times New Roman"/>
          <w:sz w:val="24"/>
          <w:szCs w:val="24"/>
        </w:rPr>
        <w:t xml:space="preserve">PVNS </w:t>
      </w:r>
      <w:r w:rsidRPr="00756322">
        <w:rPr>
          <w:rFonts w:ascii="Times New Roman" w:hAnsi="Times New Roman" w:cs="Times New Roman"/>
          <w:sz w:val="24"/>
          <w:szCs w:val="24"/>
        </w:rPr>
        <w:t>commonly presents with symptoms such as progressive joint pain, swelling, and stiffness, leading to a reduced range of motion in the affected joint (</w:t>
      </w:r>
      <w:r w:rsidRPr="00756322">
        <w:rPr>
          <w:rFonts w:ascii="Times New Roman" w:hAnsi="Times New Roman" w:cs="Times New Roman"/>
          <w:color w:val="28333D"/>
          <w:sz w:val="24"/>
          <w:szCs w:val="24"/>
          <w:shd w:val="clear" w:color="auto" w:fill="FFFFFF"/>
        </w:rPr>
        <w:t>Qureshi and Dudani, 2020</w:t>
      </w:r>
      <w:r w:rsidRPr="00756322">
        <w:rPr>
          <w:rFonts w:ascii="Times New Roman" w:hAnsi="Times New Roman" w:cs="Times New Roman"/>
          <w:sz w:val="24"/>
          <w:szCs w:val="24"/>
        </w:rPr>
        <w:t>). Patients may also report recurrent joint effusion, localized tenderness, and mechanical symptoms like joint locking or giving way (Kim et al., 2019; Chen et al., 2022). The diagnosis of PVNS typically involves a combination of clinical evaluation, imaging studies, and histopathological confirmation (Sharma et al., 2005). Clinically, patients often have a history of worsening symptoms that do not respond to standard treatments (Cook et al., 2020). During a physical examination, the joint may appear swollen and tender, with limited movement. Imaging plays a critical role in diagnosing PVNS. Magnetic resonance imaging (MRI) is considered the gold standard because it provides detailed images of the synovium (Hill et al., 2007). On MRI, PVNS appears as areas of low signal intensity on T2-weighted images due to the presence of hemosiderin (a blood breakdown product) and synovial thickening (Yang et al., 2019).  Histopathological examination is essential for confirming the diagnosis. This involves analyzing synovial tissue obtained through biopsy or surgical excision (</w:t>
      </w:r>
      <w:r w:rsidRPr="00756322">
        <w:rPr>
          <w:rFonts w:ascii="Times New Roman" w:hAnsi="Times New Roman" w:cs="Times New Roman"/>
          <w:color w:val="28333D"/>
          <w:sz w:val="24"/>
          <w:szCs w:val="24"/>
        </w:rPr>
        <w:t>Koutalos et al., 2022; Ramzi et al., 2022</w:t>
      </w:r>
      <w:r w:rsidRPr="00756322">
        <w:rPr>
          <w:rFonts w:ascii="Times New Roman" w:hAnsi="Times New Roman" w:cs="Times New Roman"/>
          <w:sz w:val="24"/>
          <w:szCs w:val="24"/>
        </w:rPr>
        <w:t>). The characteristic findings include hemosiderin-laden macrophages, multinucleated giant cells, and a highly vascularized synovium (</w:t>
      </w:r>
      <w:r w:rsidRPr="00CC7647">
        <w:rPr>
          <w:rFonts w:ascii="Times New Roman" w:eastAsia="Times New Roman" w:hAnsi="Times New Roman" w:cs="Times New Roman"/>
          <w:sz w:val="24"/>
          <w:szCs w:val="24"/>
        </w:rPr>
        <w:t>Sikaria</w:t>
      </w:r>
      <w:r w:rsidRPr="00756322">
        <w:rPr>
          <w:rFonts w:ascii="Times New Roman" w:eastAsia="Times New Roman" w:hAnsi="Times New Roman" w:cs="Times New Roman"/>
          <w:sz w:val="24"/>
          <w:szCs w:val="24"/>
        </w:rPr>
        <w:t xml:space="preserve"> et al., 2013; </w:t>
      </w:r>
      <w:r w:rsidRPr="00CC7647">
        <w:rPr>
          <w:rFonts w:ascii="Times New Roman" w:eastAsia="Times New Roman" w:hAnsi="Times New Roman" w:cs="Times New Roman"/>
          <w:sz w:val="24"/>
          <w:szCs w:val="24"/>
        </w:rPr>
        <w:t>Prieto-Potin</w:t>
      </w:r>
      <w:r w:rsidRPr="00756322">
        <w:rPr>
          <w:rFonts w:ascii="Times New Roman" w:eastAsia="Times New Roman" w:hAnsi="Times New Roman" w:cs="Times New Roman"/>
          <w:sz w:val="24"/>
          <w:szCs w:val="24"/>
        </w:rPr>
        <w:t xml:space="preserve"> et al., 2015</w:t>
      </w:r>
      <w:r w:rsidRPr="00756322">
        <w:rPr>
          <w:rFonts w:ascii="Times New Roman" w:hAnsi="Times New Roman" w:cs="Times New Roman"/>
          <w:sz w:val="24"/>
          <w:szCs w:val="24"/>
        </w:rPr>
        <w:t xml:space="preserve">). Arthroscopy, a minimally invasive procedure, can </w:t>
      </w:r>
      <w:r w:rsidRPr="00756322">
        <w:rPr>
          <w:rFonts w:ascii="Times New Roman" w:hAnsi="Times New Roman" w:cs="Times New Roman"/>
          <w:sz w:val="24"/>
          <w:szCs w:val="24"/>
        </w:rPr>
        <w:lastRenderedPageBreak/>
        <w:t>also aid in diagnosis by allowing direct visualization of the pigmented and hypertrophic synovium and facilitating tissue sampling (Li et al., 2023).</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Despite decades of study, the exact etiology of PVNS remains largely unknown. Current hypotheses suggest that it is a reactive process rather than a true neoplastic condition, potentially triggered by trauma, repeated intraarticular bleeding, or chronic inflammation</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333333"/>
          <w:sz w:val="24"/>
          <w:szCs w:val="24"/>
          <w:shd w:val="clear" w:color="auto" w:fill="FFFFFF"/>
        </w:rPr>
        <w:t>Qureshi and Dudani,, 2020; Cao et al., 2020</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Genetic and molecular studies have also implicated chromosomal abnormalities and overexpression of colony-stimulating factor 1 (CSF1) in the pathogenesis of PVNS, shedding light on its complex biology</w:t>
      </w:r>
      <w:r w:rsidRPr="009F753D">
        <w:rPr>
          <w:rFonts w:ascii="Times New Roman" w:eastAsia="Times New Roman" w:hAnsi="Times New Roman" w:cs="Times New Roman"/>
          <w:sz w:val="24"/>
          <w:szCs w:val="24"/>
        </w:rPr>
        <w:t xml:space="preserve"> (Ota et al., 2015; Dallatorre et al., 2023)</w:t>
      </w:r>
      <w:r w:rsidRPr="000C2E60">
        <w:rPr>
          <w:rFonts w:ascii="Times New Roman" w:eastAsia="Times New Roman" w:hAnsi="Times New Roman" w:cs="Times New Roman"/>
          <w:sz w:val="24"/>
          <w:szCs w:val="24"/>
        </w:rPr>
        <w:t>.</w:t>
      </w:r>
    </w:p>
    <w:p w:rsidR="00777FE1" w:rsidRPr="000C2E6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0C2E60">
        <w:rPr>
          <w:rFonts w:ascii="Times New Roman" w:eastAsia="Times New Roman" w:hAnsi="Times New Roman" w:cs="Times New Roman"/>
          <w:sz w:val="24"/>
          <w:szCs w:val="24"/>
        </w:rPr>
        <w:t>If left untreated, PVNS can lead to severe complications, including joint destruction, deformity, degenerative articular changes, and secondary osteoarthritis</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000000"/>
          <w:sz w:val="24"/>
          <w:szCs w:val="24"/>
          <w:shd w:val="clear" w:color="auto" w:fill="FFFFFF"/>
        </w:rPr>
        <w:t>Temponi et al., 2017</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The diffuse form is particularly prone to joint damage due to its aggressive nature, resulting in pain, swelling, and functional limitations</w:t>
      </w:r>
      <w:r w:rsidRPr="009F753D">
        <w:rPr>
          <w:rFonts w:ascii="Times New Roman" w:eastAsia="Times New Roman" w:hAnsi="Times New Roman" w:cs="Times New Roman"/>
          <w:sz w:val="24"/>
          <w:szCs w:val="24"/>
        </w:rPr>
        <w:t xml:space="preserve"> (</w:t>
      </w:r>
      <w:r w:rsidRPr="009F753D">
        <w:rPr>
          <w:rFonts w:ascii="Times New Roman" w:hAnsi="Times New Roman" w:cs="Times New Roman"/>
          <w:color w:val="28333D"/>
          <w:sz w:val="24"/>
          <w:szCs w:val="24"/>
        </w:rPr>
        <w:t>Shekhar et al., 2019</w:t>
      </w:r>
      <w:r w:rsidRPr="009F753D">
        <w:rPr>
          <w:rFonts w:ascii="Times New Roman" w:eastAsia="Times New Roman" w:hAnsi="Times New Roman" w:cs="Times New Roman"/>
          <w:sz w:val="24"/>
          <w:szCs w:val="24"/>
        </w:rPr>
        <w:t>)</w:t>
      </w:r>
      <w:r w:rsidRPr="000C2E60">
        <w:rPr>
          <w:rFonts w:ascii="Times New Roman" w:eastAsia="Times New Roman" w:hAnsi="Times New Roman" w:cs="Times New Roman"/>
          <w:sz w:val="24"/>
          <w:szCs w:val="24"/>
        </w:rPr>
        <w:t>. Additionally, interventions such as open synovectomy or arthroscopic procedures carry their own risks, including wound infections, joint stiffness, prolonged rehabilitation, and extended hospital stays. These complications highlight the need for a careful balance between timely intervention and minimally invasive treatment approaches.</w:t>
      </w:r>
      <w:r w:rsidRPr="009F753D">
        <w:rPr>
          <w:rFonts w:ascii="Times New Roman" w:eastAsia="Times New Roman" w:hAnsi="Times New Roman" w:cs="Times New Roman"/>
          <w:sz w:val="24"/>
          <w:szCs w:val="24"/>
        </w:rPr>
        <w:t xml:space="preserve"> </w:t>
      </w:r>
      <w:r w:rsidRPr="000C2E60">
        <w:rPr>
          <w:rFonts w:ascii="Times New Roman" w:eastAsia="Times New Roman" w:hAnsi="Times New Roman" w:cs="Times New Roman"/>
          <w:sz w:val="24"/>
          <w:szCs w:val="24"/>
        </w:rPr>
        <w:t>This study presents a retrospective ten-year review (2010–2021) of cases of PVNS of the knee managed at the National Orthopaedic Hospital, Igbobi, Lagos. By examining patient demographics, clinical presentations, radiologic findings, treatment modalities, and outcomes, this review aims to provide valuable insights into the epidemiology, management, and challenges associated with PVNS in a tertiary orthopedic care setting. Understanding the local context of this rare disease will contribute to the global pool of knowledge and potentially guide more effective diagnostic and therapeutic strategies.</w:t>
      </w:r>
    </w:p>
    <w:p w:rsidR="00777FE1" w:rsidRPr="004C4F56"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Pr="004C4F56">
        <w:rPr>
          <w:rFonts w:ascii="Times New Roman" w:hAnsi="Times New Roman" w:cs="Times New Roman"/>
          <w:b/>
          <w:sz w:val="24"/>
          <w:szCs w:val="24"/>
        </w:rPr>
        <w:t>METHODOLOGY</w:t>
      </w:r>
    </w:p>
    <w:p w:rsidR="00777FE1" w:rsidRPr="004C4F56" w:rsidRDefault="00395B17" w:rsidP="00777FE1">
      <w:pPr>
        <w:spacing w:line="48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2.1 </w:t>
      </w:r>
      <w:r w:rsidR="00777FE1" w:rsidRPr="004C4F56">
        <w:rPr>
          <w:rFonts w:ascii="Times New Roman" w:eastAsia="Times New Roman" w:hAnsi="Times New Roman" w:cs="Times New Roman"/>
          <w:b/>
          <w:bCs/>
          <w:i/>
          <w:sz w:val="24"/>
          <w:szCs w:val="24"/>
        </w:rPr>
        <w:t>Study Design</w:t>
      </w:r>
    </w:p>
    <w:p w:rsidR="00777FE1" w:rsidRPr="004C4F56" w:rsidRDefault="00777FE1" w:rsidP="00777FE1">
      <w:pPr>
        <w:spacing w:line="480" w:lineRule="auto"/>
        <w:jc w:val="both"/>
        <w:rPr>
          <w:rFonts w:ascii="Times New Roman" w:hAnsi="Times New Roman" w:cs="Times New Roman"/>
          <w:b/>
          <w:i/>
          <w:sz w:val="24"/>
          <w:szCs w:val="24"/>
        </w:rPr>
      </w:pPr>
      <w:r w:rsidRPr="004C4F56">
        <w:rPr>
          <w:rFonts w:ascii="Times New Roman" w:hAnsi="Times New Roman" w:cs="Times New Roman"/>
          <w:sz w:val="24"/>
          <w:szCs w:val="24"/>
        </w:rPr>
        <w:t>This study was a retrospective review of medical records of patients diagnosed with pigmented villonodular synovitis (PVNS).</w:t>
      </w:r>
    </w:p>
    <w:p w:rsidR="00395B17" w:rsidRDefault="00395B17" w:rsidP="00777FE1">
      <w:pPr>
        <w:spacing w:before="100" w:beforeAutospacing="1" w:after="100" w:afterAutospacing="1" w:line="480" w:lineRule="auto"/>
        <w:jc w:val="both"/>
        <w:outlineLvl w:val="3"/>
        <w:rPr>
          <w:rFonts w:ascii="Times New Roman" w:eastAsia="Times New Roman" w:hAnsi="Times New Roman" w:cs="Times New Roman"/>
          <w:b/>
          <w:bCs/>
          <w:i/>
          <w:sz w:val="24"/>
          <w:szCs w:val="24"/>
        </w:rPr>
      </w:pPr>
    </w:p>
    <w:p w:rsidR="00777FE1" w:rsidRPr="004C4F56" w:rsidRDefault="00395B17" w:rsidP="00777FE1">
      <w:pPr>
        <w:spacing w:before="100" w:beforeAutospacing="1" w:after="100" w:afterAutospacing="1" w:line="480" w:lineRule="auto"/>
        <w:jc w:val="both"/>
        <w:outlineLvl w:val="3"/>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2.2 </w:t>
      </w:r>
      <w:r w:rsidR="00777FE1" w:rsidRPr="004C4F56">
        <w:rPr>
          <w:rFonts w:ascii="Times New Roman" w:eastAsia="Times New Roman" w:hAnsi="Times New Roman" w:cs="Times New Roman"/>
          <w:b/>
          <w:bCs/>
          <w:i/>
          <w:sz w:val="24"/>
          <w:szCs w:val="24"/>
        </w:rPr>
        <w:t>Study Setting</w:t>
      </w:r>
    </w:p>
    <w:p w:rsidR="00777FE1" w:rsidRPr="004C4F56" w:rsidRDefault="00777FE1" w:rsidP="00777FE1">
      <w:pPr>
        <w:spacing w:before="100" w:beforeAutospacing="1" w:after="100" w:afterAutospacing="1" w:line="480" w:lineRule="auto"/>
        <w:jc w:val="both"/>
        <w:outlineLvl w:val="3"/>
        <w:rPr>
          <w:rFonts w:ascii="Times New Roman" w:hAnsi="Times New Roman" w:cs="Times New Roman"/>
          <w:sz w:val="24"/>
          <w:szCs w:val="24"/>
        </w:rPr>
      </w:pPr>
      <w:r w:rsidRPr="004C4F56">
        <w:rPr>
          <w:rFonts w:ascii="Times New Roman" w:hAnsi="Times New Roman" w:cs="Times New Roman"/>
          <w:sz w:val="24"/>
          <w:szCs w:val="24"/>
        </w:rPr>
        <w:t xml:space="preserve">The research was conducted in the Department of Orthopaedics at the National Orthopaedic Hospital, Igbobi, Lagos, a leading tertiary center for orthopedic care in Nigeria. </w:t>
      </w:r>
      <w:r w:rsidRPr="004C4F56">
        <w:rPr>
          <w:rFonts w:ascii="Times New Roman" w:eastAsia="Times New Roman" w:hAnsi="Times New Roman" w:cs="Times New Roman"/>
          <w:sz w:val="24"/>
          <w:szCs w:val="24"/>
        </w:rPr>
        <w:t>The hospital offers a wide range of services, including postgraduate training for orthopaedic surgeons and other medical professionals specializing in trauma management and reconstructive surgery. It features several subspecialties, such as spine surgery, arthroplasty, plastic and reconstructive surgery, physiotherapy, prosthetics, and orthotics, ensuring a comprehensive approach to orthopaedic care.</w:t>
      </w:r>
      <w:r w:rsidRPr="004C4F56">
        <w:rPr>
          <w:rFonts w:ascii="Times New Roman" w:hAnsi="Times New Roman" w:cs="Times New Roman"/>
          <w:sz w:val="24"/>
          <w:szCs w:val="24"/>
        </w:rPr>
        <w:t xml:space="preserve"> </w:t>
      </w:r>
    </w:p>
    <w:p w:rsidR="00777FE1" w:rsidRPr="004C4F56" w:rsidRDefault="00395B17" w:rsidP="00777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2.3 </w:t>
      </w:r>
      <w:r w:rsidR="00777FE1" w:rsidRPr="004C4F56">
        <w:rPr>
          <w:rFonts w:ascii="Times New Roman" w:eastAsia="Times New Roman" w:hAnsi="Times New Roman" w:cs="Times New Roman"/>
          <w:b/>
          <w:bCs/>
          <w:i/>
          <w:sz w:val="24"/>
          <w:szCs w:val="24"/>
        </w:rPr>
        <w:t>Study Population</w:t>
      </w:r>
    </w:p>
    <w:p w:rsidR="00777FE1" w:rsidRPr="004C4F56" w:rsidRDefault="00777FE1" w:rsidP="00777F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4C4F56">
        <w:rPr>
          <w:rFonts w:ascii="Times New Roman" w:eastAsia="Times New Roman" w:hAnsi="Times New Roman" w:cs="Times New Roman"/>
          <w:sz w:val="24"/>
          <w:szCs w:val="24"/>
        </w:rPr>
        <w:t xml:space="preserve">The study included all patients diagnosed with pigmented villonodular synovitis (PVNS) by the Pathology Department of the National Orthopaedic Hospital, Igbobi, Lagos, within the specified study period (January 2010 to December 2021). Patients were eligible for inclusion if they met the following criteria: histopathological confirmation of PVNS, availability of complete and detailed medical records, and a diagnosis confirmed through clinical and radiological correlation where applicable. Additionally, patients who underwent surgical intervention and subsequent histopathological analysis were prioritized to ensure diagnostic accuracy. Patients were excluded if their medical records were incomplete or lacked sufficient detail to confirm the diagnosis of </w:t>
      </w:r>
      <w:r w:rsidRPr="004C4F56">
        <w:rPr>
          <w:rFonts w:ascii="Times New Roman" w:eastAsia="Times New Roman" w:hAnsi="Times New Roman" w:cs="Times New Roman"/>
          <w:sz w:val="24"/>
          <w:szCs w:val="24"/>
        </w:rPr>
        <w:lastRenderedPageBreak/>
        <w:t>PVNS. Cases with ambiguous or inconclusive histopathological findings were also excluded. Further exclusion criteria included patients with coexisting conditions that could obscure the presentation or mimic the features of PVNS, such as rheumatoid arthritis, tuberculosis, or malignant tumors. Ultimately, ten (10) patients who met the stringent inclusion criteria and had comprehensive clinical, radiological, and histopathological documentation were included in the analysis.</w:t>
      </w:r>
    </w:p>
    <w:p w:rsidR="00777FE1" w:rsidRPr="004C4F56" w:rsidRDefault="00395B17" w:rsidP="00777FE1">
      <w:pPr>
        <w:spacing w:before="100" w:beforeAutospacing="1" w:after="100" w:afterAutospacing="1" w:line="480" w:lineRule="auto"/>
        <w:jc w:val="both"/>
        <w:outlineLvl w:val="3"/>
        <w:rPr>
          <w:rFonts w:ascii="Times New Roman" w:hAnsi="Times New Roman" w:cs="Times New Roman"/>
          <w:b/>
          <w:i/>
          <w:sz w:val="24"/>
          <w:szCs w:val="24"/>
        </w:rPr>
      </w:pPr>
      <w:r>
        <w:rPr>
          <w:rFonts w:ascii="Times New Roman" w:hAnsi="Times New Roman" w:cs="Times New Roman"/>
          <w:b/>
          <w:i/>
          <w:sz w:val="24"/>
          <w:szCs w:val="24"/>
        </w:rPr>
        <w:t xml:space="preserve">2.4 </w:t>
      </w:r>
      <w:r w:rsidR="00777FE1" w:rsidRPr="004C4F56">
        <w:rPr>
          <w:rFonts w:ascii="Times New Roman" w:hAnsi="Times New Roman" w:cs="Times New Roman"/>
          <w:b/>
          <w:i/>
          <w:sz w:val="24"/>
          <w:szCs w:val="24"/>
        </w:rPr>
        <w:t>Data Collection</w:t>
      </w:r>
    </w:p>
    <w:p w:rsidR="00777FE1" w:rsidRPr="004C4F56"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4C4F56">
        <w:rPr>
          <w:rFonts w:ascii="Times New Roman" w:eastAsia="Times New Roman" w:hAnsi="Times New Roman" w:cs="Times New Roman"/>
          <w:sz w:val="24"/>
          <w:szCs w:val="24"/>
        </w:rPr>
        <w:t xml:space="preserve">Data for this study were collected from the medical records of patients diagnosed with pigmented villonodular synovitis (PVNS) during the study period. Collaboration with the Medical Records and Pathology Departments enabled the identification and retrieval of files using diagnostic codes specific to PVNS. Relevant information was extracted using a standardized data collection form, capturing demographic details (age, sex, occupation), clinical presentation (symptoms, duration, functional limitations), diagnostic </w:t>
      </w:r>
      <w:r>
        <w:rPr>
          <w:rFonts w:ascii="Times New Roman" w:eastAsia="Times New Roman" w:hAnsi="Times New Roman" w:cs="Times New Roman"/>
          <w:sz w:val="24"/>
          <w:szCs w:val="24"/>
        </w:rPr>
        <w:t xml:space="preserve">methods. </w:t>
      </w:r>
      <w:r w:rsidRPr="004C4F56">
        <w:rPr>
          <w:rFonts w:ascii="Times New Roman" w:eastAsia="Times New Roman" w:hAnsi="Times New Roman" w:cs="Times New Roman"/>
          <w:sz w:val="24"/>
          <w:szCs w:val="24"/>
        </w:rPr>
        <w:t xml:space="preserve">Histopathological reports were reviewed to confirm PVNS and note findings such as cellular composition, vascularization, and hemosiderin deposits. </w:t>
      </w:r>
      <w:r w:rsidRPr="00395B17">
        <w:rPr>
          <w:rStyle w:val="Strong"/>
          <w:rFonts w:ascii="Times New Roman" w:hAnsi="Times New Roman" w:cs="Times New Roman"/>
          <w:b w:val="0"/>
          <w:sz w:val="24"/>
          <w:szCs w:val="24"/>
        </w:rPr>
        <w:t>Outcomes such as</w:t>
      </w:r>
      <w:r w:rsidRPr="004C4F56">
        <w:rPr>
          <w:rStyle w:val="Strong"/>
          <w:rFonts w:ascii="Times New Roman" w:hAnsi="Times New Roman" w:cs="Times New Roman"/>
          <w:sz w:val="24"/>
          <w:szCs w:val="24"/>
        </w:rPr>
        <w:t xml:space="preserve"> </w:t>
      </w:r>
      <w:r w:rsidRPr="004C4F56">
        <w:rPr>
          <w:rFonts w:ascii="Times New Roman" w:hAnsi="Times New Roman" w:cs="Times New Roman"/>
          <w:sz w:val="24"/>
          <w:szCs w:val="24"/>
        </w:rPr>
        <w:t>r</w:t>
      </w:r>
      <w:r>
        <w:rPr>
          <w:rFonts w:ascii="Times New Roman" w:hAnsi="Times New Roman" w:cs="Times New Roman"/>
          <w:sz w:val="24"/>
          <w:szCs w:val="24"/>
        </w:rPr>
        <w:t xml:space="preserve">ecurrence rates </w:t>
      </w:r>
      <w:r w:rsidRPr="004C4F56">
        <w:rPr>
          <w:rFonts w:ascii="Times New Roman" w:hAnsi="Times New Roman" w:cs="Times New Roman"/>
          <w:sz w:val="24"/>
          <w:szCs w:val="24"/>
        </w:rPr>
        <w:t>and evidence of metastasis (if any) were also reported.</w:t>
      </w:r>
      <w:r>
        <w:rPr>
          <w:rFonts w:ascii="Times New Roman" w:eastAsia="Times New Roman" w:hAnsi="Times New Roman" w:cs="Times New Roman"/>
          <w:sz w:val="24"/>
          <w:szCs w:val="24"/>
        </w:rPr>
        <w:t xml:space="preserve"> </w:t>
      </w:r>
      <w:r w:rsidRPr="004C4F56">
        <w:rPr>
          <w:rFonts w:ascii="Times New Roman" w:eastAsia="Times New Roman" w:hAnsi="Times New Roman" w:cs="Times New Roman"/>
          <w:sz w:val="24"/>
          <w:szCs w:val="24"/>
        </w:rPr>
        <w:t>To ensure accuracy, data were cross-referenced with records from the Pathology, Radiology, and Orthopaedic units. All records were anonymized using unique identifiers, and data were securely stored in an electronic database. Physical records were handled in a secure environment accessible only to the study team.</w:t>
      </w:r>
    </w:p>
    <w:p w:rsidR="00777FE1" w:rsidRDefault="00777FE1" w:rsidP="00777FE1">
      <w:pPr>
        <w:pStyle w:val="Heading4"/>
        <w:spacing w:line="480" w:lineRule="auto"/>
        <w:jc w:val="both"/>
        <w:rPr>
          <w:rStyle w:val="Strong"/>
          <w:b/>
          <w:bCs/>
          <w:i/>
        </w:rPr>
      </w:pPr>
    </w:p>
    <w:p w:rsidR="00777FE1" w:rsidRDefault="00395B17" w:rsidP="00777FE1">
      <w:pPr>
        <w:pStyle w:val="NormalWeb"/>
        <w:spacing w:line="480" w:lineRule="auto"/>
        <w:jc w:val="both"/>
        <w:rPr>
          <w:b/>
        </w:rPr>
      </w:pPr>
      <w:r>
        <w:rPr>
          <w:b/>
        </w:rPr>
        <w:t xml:space="preserve">3.1 </w:t>
      </w:r>
      <w:r w:rsidRPr="006C3520">
        <w:rPr>
          <w:b/>
        </w:rPr>
        <w:t>RESULTS</w:t>
      </w:r>
    </w:p>
    <w:p w:rsidR="00777FE1" w:rsidRDefault="00777FE1" w:rsidP="00777FE1">
      <w:pPr>
        <w:pStyle w:val="NormalWeb"/>
        <w:spacing w:line="480" w:lineRule="auto"/>
        <w:jc w:val="both"/>
      </w:pPr>
      <w:r>
        <w:lastRenderedPageBreak/>
        <w:t>The baseline characteristics of the study participants, as shown in Table 1, reveal that 60% were female, while males accounted for 40%. The mean age of the participants was 37.7 ± 7.4 years, ranging from 8 to 72 years. The average height was 167.2 ± 6.4 cm, the mean weight was 71.3 ± 9.8 kg, and the average BMI was 25.4 ± 2.6 kg/m².Regarding residence, most patients (80%) were from urban areas, while 20% resided in rural settings.</w:t>
      </w:r>
    </w:p>
    <w:p w:rsidR="00777FE1" w:rsidRDefault="00777FE1" w:rsidP="00777FE1">
      <w:pPr>
        <w:pStyle w:val="NormalWeb"/>
        <w:spacing w:line="480" w:lineRule="auto"/>
        <w:jc w:val="both"/>
      </w:pPr>
      <w:r>
        <w:t>In terms of marital status, 80% of participants were married, with one individual (10%) being single and another (10%) widowed or divorced. Employment status revealed that 64.7% of participants were self-employed, 18.9% were employed in formal roles, and 16.4% were unemployed or retired. Educational attainment varied, with 70% having tertiary education, 20% completing primary or secondary education, and 10% reporting no formal education.</w:t>
      </w:r>
    </w:p>
    <w:p w:rsidR="00777FE1" w:rsidRDefault="00777FE1" w:rsidP="00777FE1">
      <w:pPr>
        <w:pStyle w:val="NormalWeb"/>
        <w:spacing w:line="480" w:lineRule="auto"/>
        <w:jc w:val="both"/>
      </w:pPr>
      <w:r w:rsidRPr="00CA6815">
        <w:t>Among patients with pigmented villonodular synovitis (PVNS), pain was the most common presenting complaint, reported in 50% of cases. Swelling was observed in 30% of cases, while limited mobility and joint instability were each noted in 10% of cases. Regarding the affected knees, 80% of patients had involvement of the right knee, 20% had bilateral knee involvement, and no cases involved the left knee only. Diagnostic confirmation was achieved through intraoperative specimens in 90% of cases, while fine needle aspiration cytology was used in 10%. Of the intraoperative specimens, 50% were obtained during total knee replacements, and 40% were collected via arthroscopic synovectomy.</w:t>
      </w:r>
      <w:r>
        <w:t xml:space="preserve"> Also from our review, recurrence of the condition was documented in two (20%) cases, indicating a potential for reappearance after initial treatment. Additionally, one case (10%) presented with features suggestive of a rare metastasis.</w:t>
      </w:r>
    </w:p>
    <w:p w:rsidR="00777FE1" w:rsidRPr="001F6412" w:rsidRDefault="00777FE1" w:rsidP="00777FE1">
      <w:pPr>
        <w:pStyle w:val="NormalWeb"/>
        <w:rPr>
          <w:b/>
        </w:rPr>
      </w:pPr>
      <w:r w:rsidRPr="001F6412">
        <w:rPr>
          <w:b/>
        </w:rPr>
        <w:t xml:space="preserve">Table 1: </w:t>
      </w:r>
      <w:r w:rsidRPr="001F6412">
        <w:rPr>
          <w:b/>
          <w:color w:val="131413"/>
        </w:rPr>
        <w:t>Baseline ch</w:t>
      </w:r>
      <w:r>
        <w:rPr>
          <w:b/>
          <w:color w:val="131413"/>
        </w:rPr>
        <w:t>aracteristics of patients, 2010</w:t>
      </w:r>
      <w:r w:rsidRPr="001F6412">
        <w:rPr>
          <w:b/>
          <w:color w:val="131413"/>
        </w:rPr>
        <w:t>–</w:t>
      </w:r>
      <w:r>
        <w:rPr>
          <w:b/>
          <w:color w:val="131413"/>
        </w:rPr>
        <w:t>2021 (</w:t>
      </w:r>
      <w:r>
        <w:rPr>
          <w:b/>
        </w:rPr>
        <w:t>n=</w:t>
      </w:r>
      <w:r w:rsidRPr="001F6412">
        <w:rPr>
          <w:b/>
        </w:rPr>
        <w:t>1</w:t>
      </w:r>
      <w:r>
        <w:rPr>
          <w:b/>
        </w:rPr>
        <w:t>0</w:t>
      </w:r>
      <w:r>
        <w:rPr>
          <w:b/>
          <w:color w:val="131413"/>
        </w:rPr>
        <w:t>)</w:t>
      </w:r>
    </w:p>
    <w:tbl>
      <w:tblPr>
        <w:tblStyle w:val="TableGrid"/>
        <w:tblW w:w="0" w:type="auto"/>
        <w:tblLook w:val="04A0" w:firstRow="1" w:lastRow="0" w:firstColumn="1" w:lastColumn="0" w:noHBand="0" w:noVBand="1"/>
      </w:tblPr>
      <w:tblGrid>
        <w:gridCol w:w="3116"/>
        <w:gridCol w:w="3117"/>
      </w:tblGrid>
      <w:tr w:rsidR="00777FE1" w:rsidTr="00A051B9">
        <w:tc>
          <w:tcPr>
            <w:tcW w:w="3116" w:type="dxa"/>
          </w:tcPr>
          <w:p w:rsidR="00777FE1" w:rsidRDefault="00777FE1" w:rsidP="00A051B9">
            <w:pPr>
              <w:rPr>
                <w:rFonts w:ascii="Times New Roman" w:hAnsi="Times New Roman" w:cs="Times New Roman"/>
                <w:sz w:val="24"/>
                <w:szCs w:val="24"/>
              </w:rPr>
            </w:pPr>
          </w:p>
        </w:tc>
        <w:tc>
          <w:tcPr>
            <w:tcW w:w="3117" w:type="dxa"/>
          </w:tcPr>
          <w:p w:rsidR="00777FE1" w:rsidRPr="0015257C" w:rsidRDefault="00777FE1" w:rsidP="00A051B9">
            <w:pPr>
              <w:jc w:val="both"/>
              <w:rPr>
                <w:rFonts w:ascii="Times New Roman" w:hAnsi="Times New Roman" w:cs="Times New Roman"/>
                <w:b/>
                <w:sz w:val="24"/>
                <w:szCs w:val="24"/>
              </w:rPr>
            </w:pPr>
            <w:r w:rsidRPr="0015257C">
              <w:rPr>
                <w:rFonts w:ascii="Times New Roman" w:hAnsi="Times New Roman" w:cs="Times New Roman"/>
                <w:b/>
                <w:sz w:val="24"/>
                <w:szCs w:val="24"/>
              </w:rPr>
              <w:t>N (%)</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lastRenderedPageBreak/>
              <w:t>Gender</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Male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4 (40)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Female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6 (60)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Age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37.7 ± 7.4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Height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167.2 ± 6.4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Weight (Mean ± SD)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71.3 ± 9.8</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BMI</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25.4 ± 2.6</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Residence</w:t>
            </w:r>
          </w:p>
        </w:tc>
        <w:tc>
          <w:tcPr>
            <w:tcW w:w="3117" w:type="dxa"/>
          </w:tcPr>
          <w:p w:rsidR="00777FE1" w:rsidRDefault="00777FE1" w:rsidP="00A051B9">
            <w:pPr>
              <w:jc w:val="both"/>
              <w:rPr>
                <w:rFonts w:ascii="Times New Roman" w:hAnsi="Times New Roman" w:cs="Times New Roman"/>
                <w:sz w:val="24"/>
                <w:szCs w:val="24"/>
              </w:rPr>
            </w:pPr>
          </w:p>
        </w:tc>
      </w:tr>
      <w:tr w:rsidR="00777FE1" w:rsidRPr="001F6412" w:rsidTr="00A051B9">
        <w:tc>
          <w:tcPr>
            <w:tcW w:w="3116" w:type="dxa"/>
          </w:tcPr>
          <w:p w:rsidR="00777FE1" w:rsidRPr="001F6412" w:rsidRDefault="00777FE1" w:rsidP="00A051B9">
            <w:pPr>
              <w:jc w:val="both"/>
              <w:rPr>
                <w:rFonts w:ascii="Times New Roman" w:hAnsi="Times New Roman" w:cs="Times New Roman"/>
                <w:sz w:val="24"/>
                <w:szCs w:val="24"/>
              </w:rPr>
            </w:pPr>
            <w:r w:rsidRPr="001F6412">
              <w:rPr>
                <w:rFonts w:ascii="Times New Roman" w:hAnsi="Times New Roman" w:cs="Times New Roman"/>
                <w:sz w:val="24"/>
                <w:szCs w:val="24"/>
              </w:rPr>
              <w:t>Urban</w:t>
            </w:r>
          </w:p>
        </w:tc>
        <w:tc>
          <w:tcPr>
            <w:tcW w:w="3117"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RPr="001F6412" w:rsidTr="00A051B9">
        <w:tc>
          <w:tcPr>
            <w:tcW w:w="3116" w:type="dxa"/>
          </w:tcPr>
          <w:p w:rsidR="00777FE1" w:rsidRPr="001F6412" w:rsidRDefault="00777FE1" w:rsidP="00A051B9">
            <w:pPr>
              <w:jc w:val="both"/>
              <w:rPr>
                <w:rFonts w:ascii="Times New Roman" w:hAnsi="Times New Roman" w:cs="Times New Roman"/>
                <w:sz w:val="24"/>
                <w:szCs w:val="24"/>
              </w:rPr>
            </w:pPr>
            <w:r w:rsidRPr="001F6412">
              <w:rPr>
                <w:rFonts w:ascii="Times New Roman" w:hAnsi="Times New Roman" w:cs="Times New Roman"/>
                <w:sz w:val="24"/>
                <w:szCs w:val="24"/>
              </w:rPr>
              <w:t>Rural</w:t>
            </w:r>
          </w:p>
        </w:tc>
        <w:tc>
          <w:tcPr>
            <w:tcW w:w="3117"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 xml:space="preserve">Marital Status </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Married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Single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Widowed/divorce</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Employment status</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Unemployed/Retired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(16.4)</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Employed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(18.9)</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Self employed</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6 (64.7)</w:t>
            </w:r>
          </w:p>
        </w:tc>
      </w:tr>
      <w:tr w:rsidR="00777FE1" w:rsidTr="00A051B9">
        <w:tc>
          <w:tcPr>
            <w:tcW w:w="3116" w:type="dxa"/>
          </w:tcPr>
          <w:p w:rsidR="00777FE1" w:rsidRPr="004308D8" w:rsidRDefault="00777FE1" w:rsidP="00A051B9">
            <w:pPr>
              <w:jc w:val="both"/>
              <w:rPr>
                <w:rFonts w:ascii="Times New Roman" w:hAnsi="Times New Roman" w:cs="Times New Roman"/>
                <w:b/>
                <w:sz w:val="24"/>
                <w:szCs w:val="24"/>
              </w:rPr>
            </w:pPr>
            <w:r w:rsidRPr="004308D8">
              <w:rPr>
                <w:rFonts w:ascii="Times New Roman" w:hAnsi="Times New Roman" w:cs="Times New Roman"/>
                <w:b/>
                <w:sz w:val="24"/>
                <w:szCs w:val="24"/>
              </w:rPr>
              <w:t>Educational Level</w:t>
            </w:r>
          </w:p>
        </w:tc>
        <w:tc>
          <w:tcPr>
            <w:tcW w:w="3117" w:type="dxa"/>
          </w:tcPr>
          <w:p w:rsidR="00777FE1" w:rsidRDefault="00777FE1" w:rsidP="00A051B9">
            <w:pPr>
              <w:jc w:val="both"/>
              <w:rPr>
                <w:rFonts w:ascii="Times New Roman" w:hAnsi="Times New Roman" w:cs="Times New Roman"/>
                <w:sz w:val="24"/>
                <w:szCs w:val="24"/>
              </w:rPr>
            </w:pP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No formal education</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Primary/Secondary</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116"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Tertiary</w:t>
            </w:r>
          </w:p>
        </w:tc>
        <w:tc>
          <w:tcPr>
            <w:tcW w:w="3117"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7 (70)</w:t>
            </w:r>
          </w:p>
        </w:tc>
      </w:tr>
    </w:tbl>
    <w:p w:rsidR="00777FE1" w:rsidRPr="000035B6" w:rsidRDefault="00777FE1" w:rsidP="00777FE1">
      <w:pPr>
        <w:pStyle w:val="NormalWeb"/>
        <w:spacing w:line="480" w:lineRule="auto"/>
        <w:jc w:val="both"/>
        <w:rPr>
          <w:b/>
        </w:rPr>
      </w:pPr>
      <w:bookmarkStart w:id="0" w:name="_GoBack"/>
      <w:r w:rsidRPr="003E1341">
        <w:rPr>
          <w:b/>
        </w:rPr>
        <w:t>Table</w:t>
      </w:r>
      <w:bookmarkEnd w:id="0"/>
      <w:r w:rsidRPr="003E1341">
        <w:rPr>
          <w:b/>
        </w:rPr>
        <w:t xml:space="preserve"> 2: </w:t>
      </w:r>
      <w:r w:rsidRPr="00395B17">
        <w:rPr>
          <w:b/>
        </w:rPr>
        <w:t>Clinical Characteristics and diagnostic methods of Patients with PVNS</w:t>
      </w:r>
    </w:p>
    <w:tbl>
      <w:tblPr>
        <w:tblStyle w:val="TableGrid"/>
        <w:tblW w:w="0" w:type="auto"/>
        <w:tblLook w:val="04A0" w:firstRow="1" w:lastRow="0" w:firstColumn="1" w:lastColumn="0" w:noHBand="0" w:noVBand="1"/>
      </w:tblPr>
      <w:tblGrid>
        <w:gridCol w:w="3681"/>
        <w:gridCol w:w="2552"/>
      </w:tblGrid>
      <w:tr w:rsidR="00777FE1" w:rsidTr="00A051B9">
        <w:tc>
          <w:tcPr>
            <w:tcW w:w="3681" w:type="dxa"/>
          </w:tcPr>
          <w:p w:rsidR="00777FE1" w:rsidRDefault="00777FE1" w:rsidP="00A051B9">
            <w:pPr>
              <w:rPr>
                <w:rFonts w:ascii="Times New Roman" w:hAnsi="Times New Roman" w:cs="Times New Roman"/>
                <w:sz w:val="24"/>
                <w:szCs w:val="24"/>
              </w:rPr>
            </w:pPr>
          </w:p>
        </w:tc>
        <w:tc>
          <w:tcPr>
            <w:tcW w:w="2552" w:type="dxa"/>
          </w:tcPr>
          <w:p w:rsidR="00777FE1" w:rsidRPr="0015257C" w:rsidRDefault="00777FE1" w:rsidP="00A051B9">
            <w:pPr>
              <w:jc w:val="both"/>
              <w:rPr>
                <w:rFonts w:ascii="Times New Roman" w:hAnsi="Times New Roman" w:cs="Times New Roman"/>
                <w:b/>
                <w:sz w:val="24"/>
                <w:szCs w:val="24"/>
              </w:rPr>
            </w:pPr>
            <w:r w:rsidRPr="0015257C">
              <w:rPr>
                <w:rFonts w:ascii="Times New Roman" w:hAnsi="Times New Roman" w:cs="Times New Roman"/>
                <w:b/>
                <w:sz w:val="24"/>
                <w:szCs w:val="24"/>
              </w:rPr>
              <w:t>N (%)</w:t>
            </w:r>
          </w:p>
        </w:tc>
      </w:tr>
      <w:tr w:rsidR="00777FE1" w:rsidTr="00A051B9">
        <w:tc>
          <w:tcPr>
            <w:tcW w:w="3681"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Presenting complaints</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Pain</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5 (50)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Swelling</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3 (30)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Limited mobility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Joint instability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Pr="00840AD6"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Knees affected</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Right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8 (80)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Left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0 (0)</w:t>
            </w: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Bilateral</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2 (20)</w:t>
            </w:r>
          </w:p>
        </w:tc>
      </w:tr>
      <w:tr w:rsidR="00777FE1" w:rsidTr="00A051B9">
        <w:tc>
          <w:tcPr>
            <w:tcW w:w="3681" w:type="dxa"/>
          </w:tcPr>
          <w:p w:rsidR="00777FE1" w:rsidRPr="004308D8" w:rsidRDefault="00777FE1" w:rsidP="00A051B9">
            <w:pPr>
              <w:jc w:val="both"/>
              <w:rPr>
                <w:rFonts w:ascii="Times New Roman" w:hAnsi="Times New Roman" w:cs="Times New Roman"/>
                <w:b/>
                <w:sz w:val="24"/>
                <w:szCs w:val="24"/>
              </w:rPr>
            </w:pPr>
            <w:r>
              <w:rPr>
                <w:rFonts w:ascii="Times New Roman" w:hAnsi="Times New Roman" w:cs="Times New Roman"/>
                <w:b/>
                <w:sz w:val="24"/>
                <w:szCs w:val="24"/>
              </w:rPr>
              <w:t>Diagnostic confirmation</w:t>
            </w:r>
          </w:p>
        </w:tc>
        <w:tc>
          <w:tcPr>
            <w:tcW w:w="2552" w:type="dxa"/>
          </w:tcPr>
          <w:p w:rsidR="00777FE1" w:rsidRDefault="00777FE1" w:rsidP="00A051B9">
            <w:pPr>
              <w:jc w:val="both"/>
              <w:rPr>
                <w:rFonts w:ascii="Times New Roman" w:hAnsi="Times New Roman" w:cs="Times New Roman"/>
                <w:sz w:val="24"/>
                <w:szCs w:val="24"/>
              </w:rPr>
            </w:pPr>
          </w:p>
        </w:tc>
      </w:tr>
      <w:tr w:rsidR="00777FE1" w:rsidRPr="001F6412" w:rsidTr="00A051B9">
        <w:tc>
          <w:tcPr>
            <w:tcW w:w="3681"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Intraoperative specimen</w:t>
            </w:r>
          </w:p>
        </w:tc>
        <w:tc>
          <w:tcPr>
            <w:tcW w:w="2552"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9 (90)</w:t>
            </w:r>
          </w:p>
        </w:tc>
      </w:tr>
      <w:tr w:rsidR="00777FE1" w:rsidRPr="001F6412" w:rsidTr="00A051B9">
        <w:tc>
          <w:tcPr>
            <w:tcW w:w="3681"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Fine Needle Aspiration Cytology</w:t>
            </w:r>
          </w:p>
        </w:tc>
        <w:tc>
          <w:tcPr>
            <w:tcW w:w="2552" w:type="dxa"/>
          </w:tcPr>
          <w:p w:rsidR="00777FE1" w:rsidRPr="001F6412" w:rsidRDefault="00777FE1" w:rsidP="00A051B9">
            <w:pPr>
              <w:jc w:val="both"/>
              <w:rPr>
                <w:rFonts w:ascii="Times New Roman" w:hAnsi="Times New Roman" w:cs="Times New Roman"/>
                <w:sz w:val="24"/>
                <w:szCs w:val="24"/>
              </w:rPr>
            </w:pPr>
            <w:r>
              <w:rPr>
                <w:rFonts w:ascii="Times New Roman" w:hAnsi="Times New Roman" w:cs="Times New Roman"/>
                <w:sz w:val="24"/>
                <w:szCs w:val="24"/>
              </w:rPr>
              <w:t>1 (10)</w:t>
            </w:r>
          </w:p>
        </w:tc>
      </w:tr>
      <w:tr w:rsidR="00777FE1" w:rsidTr="00A051B9">
        <w:tc>
          <w:tcPr>
            <w:tcW w:w="3681" w:type="dxa"/>
          </w:tcPr>
          <w:p w:rsidR="00777FE1" w:rsidRPr="00DA7CA0" w:rsidRDefault="00777FE1" w:rsidP="00A051B9">
            <w:pPr>
              <w:jc w:val="both"/>
              <w:rPr>
                <w:rFonts w:ascii="Times New Roman" w:hAnsi="Times New Roman" w:cs="Times New Roman"/>
                <w:b/>
                <w:sz w:val="24"/>
                <w:szCs w:val="24"/>
              </w:rPr>
            </w:pPr>
            <w:r w:rsidRPr="00DA7CA0">
              <w:rPr>
                <w:rFonts w:ascii="Times New Roman" w:hAnsi="Times New Roman" w:cs="Times New Roman"/>
                <w:b/>
                <w:sz w:val="24"/>
                <w:szCs w:val="24"/>
              </w:rPr>
              <w:t>Intraoperative specimen (n=9)</w:t>
            </w:r>
          </w:p>
        </w:tc>
        <w:tc>
          <w:tcPr>
            <w:tcW w:w="2552" w:type="dxa"/>
          </w:tcPr>
          <w:p w:rsidR="00777FE1" w:rsidRDefault="00777FE1" w:rsidP="00A051B9">
            <w:pPr>
              <w:jc w:val="both"/>
              <w:rPr>
                <w:rFonts w:ascii="Times New Roman" w:hAnsi="Times New Roman" w:cs="Times New Roman"/>
                <w:sz w:val="24"/>
                <w:szCs w:val="24"/>
              </w:rPr>
            </w:pPr>
          </w:p>
        </w:tc>
      </w:tr>
      <w:tr w:rsidR="00777FE1" w:rsidTr="00A051B9">
        <w:tc>
          <w:tcPr>
            <w:tcW w:w="3681"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Total knee replacement</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5 (50)</w:t>
            </w:r>
          </w:p>
        </w:tc>
      </w:tr>
      <w:tr w:rsidR="00777FE1" w:rsidTr="00A051B9">
        <w:tc>
          <w:tcPr>
            <w:tcW w:w="3681" w:type="dxa"/>
          </w:tcPr>
          <w:p w:rsidR="00777FE1" w:rsidRDefault="00777FE1" w:rsidP="00A051B9">
            <w:pPr>
              <w:jc w:val="both"/>
              <w:rPr>
                <w:rFonts w:ascii="Times New Roman" w:hAnsi="Times New Roman" w:cs="Times New Roman"/>
                <w:sz w:val="24"/>
                <w:szCs w:val="24"/>
              </w:rPr>
            </w:pPr>
            <w:r>
              <w:t>Arthroscopic Synovectomy</w:t>
            </w:r>
          </w:p>
        </w:tc>
        <w:tc>
          <w:tcPr>
            <w:tcW w:w="2552" w:type="dxa"/>
          </w:tcPr>
          <w:p w:rsidR="00777FE1" w:rsidRDefault="00777FE1" w:rsidP="00A051B9">
            <w:pPr>
              <w:jc w:val="both"/>
              <w:rPr>
                <w:rFonts w:ascii="Times New Roman" w:hAnsi="Times New Roman" w:cs="Times New Roman"/>
                <w:sz w:val="24"/>
                <w:szCs w:val="24"/>
              </w:rPr>
            </w:pPr>
            <w:r>
              <w:rPr>
                <w:rFonts w:ascii="Times New Roman" w:hAnsi="Times New Roman" w:cs="Times New Roman"/>
                <w:sz w:val="24"/>
                <w:szCs w:val="24"/>
              </w:rPr>
              <w:t>4 (40)</w:t>
            </w:r>
          </w:p>
        </w:tc>
      </w:tr>
    </w:tbl>
    <w:p w:rsidR="00777FE1" w:rsidRDefault="00777FE1" w:rsidP="00777FE1">
      <w:pPr>
        <w:autoSpaceDE w:val="0"/>
        <w:autoSpaceDN w:val="0"/>
        <w:adjustRightInd w:val="0"/>
        <w:spacing w:after="0" w:line="480" w:lineRule="auto"/>
        <w:jc w:val="both"/>
        <w:rPr>
          <w:rFonts w:ascii="Times New Roman" w:hAnsi="Times New Roman" w:cs="Times New Roman"/>
          <w:b/>
          <w:sz w:val="24"/>
          <w:szCs w:val="24"/>
        </w:rPr>
      </w:pP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A66D94">
        <w:rPr>
          <w:rFonts w:ascii="Times New Roman" w:hAnsi="Times New Roman" w:cs="Times New Roman"/>
          <w:b/>
          <w:sz w:val="24"/>
          <w:szCs w:val="24"/>
        </w:rPr>
        <w:t>DISCUSSION</w:t>
      </w:r>
    </w:p>
    <w:p w:rsidR="00777FE1" w:rsidRPr="001F3A82" w:rsidRDefault="00777FE1" w:rsidP="00777FE1">
      <w:pPr>
        <w:spacing w:line="480" w:lineRule="auto"/>
        <w:jc w:val="both"/>
        <w:rPr>
          <w:rFonts w:ascii="Times New Roman" w:hAnsi="Times New Roman" w:cs="Times New Roman"/>
          <w:sz w:val="24"/>
          <w:szCs w:val="24"/>
        </w:rPr>
      </w:pPr>
      <w:r w:rsidRPr="00FB13F0">
        <w:rPr>
          <w:rFonts w:ascii="Times New Roman" w:hAnsi="Times New Roman" w:cs="Times New Roman"/>
          <w:sz w:val="24"/>
          <w:szCs w:val="24"/>
        </w:rPr>
        <w:lastRenderedPageBreak/>
        <w:t xml:space="preserve">This ten-year retrospective study explores the demographic and clinical characteristics of patients diagnosed with Pigmented Villonodular Synovitis (PVNS) at the National Orthopaedic Hospital, Igbobi, Lagos. PVNS is a rare proliferative disorder of the synovial membrane, predominantly affecting the knee joint, with significant implications for patient outcomes. The baseline characteristics of the study reveal that females constituted the majority of cases (60%), while males accounted for 40%. To the best of the authors' knowledge, this is the first retrospective review to report a cohort of 10 patients, as previous studies have been scarce and primarily limited to individual case reports. Notably, these earlier reports also predominantly involved female patients, consistent with the findings of this study (Ottaviani et al., 2011; Mwangangi et al., 2023; Sitati et al., 2010). This can be due to hormonal influences, as estrogen has been implicated in modulating inflammatory and synovial processes, potentially contributing to the development or progression of PVNS (Staub, 2007; Monteiro et al., 2014). </w:t>
      </w:r>
      <w:r w:rsidRPr="001F3A82">
        <w:rPr>
          <w:rFonts w:ascii="Times New Roman" w:eastAsia="Times New Roman" w:hAnsi="Times New Roman" w:cs="Times New Roman"/>
          <w:sz w:val="24"/>
          <w:szCs w:val="24"/>
        </w:rPr>
        <w:t xml:space="preserve">The mean age of 37.7 ± 7.4 years observed in this study aligns closely with </w:t>
      </w:r>
      <w:r w:rsidRPr="00FB13F0">
        <w:rPr>
          <w:rFonts w:ascii="Times New Roman" w:eastAsia="Times New Roman" w:hAnsi="Times New Roman" w:cs="Times New Roman"/>
          <w:sz w:val="24"/>
          <w:szCs w:val="24"/>
        </w:rPr>
        <w:t>a finding</w:t>
      </w:r>
      <w:r w:rsidRPr="001F3A82">
        <w:rPr>
          <w:rFonts w:ascii="Times New Roman" w:eastAsia="Times New Roman" w:hAnsi="Times New Roman" w:cs="Times New Roman"/>
          <w:sz w:val="24"/>
          <w:szCs w:val="24"/>
        </w:rPr>
        <w:t xml:space="preserve"> from previous research. </w:t>
      </w:r>
      <w:r w:rsidRPr="00FB13F0">
        <w:rPr>
          <w:rFonts w:ascii="Times New Roman" w:eastAsia="Times New Roman" w:hAnsi="Times New Roman" w:cs="Times New Roman"/>
          <w:sz w:val="24"/>
          <w:szCs w:val="24"/>
        </w:rPr>
        <w:t xml:space="preserve">Patel et al (2007) </w:t>
      </w:r>
      <w:r w:rsidRPr="001F3A82">
        <w:rPr>
          <w:rFonts w:ascii="Times New Roman" w:eastAsia="Times New Roman" w:hAnsi="Times New Roman" w:cs="Times New Roman"/>
          <w:sz w:val="24"/>
          <w:szCs w:val="24"/>
        </w:rPr>
        <w:t>reported a mean age of 39 years among individuals diagnosed with pigmented villonodular synovitis (PVNS), suggesting that the condition predominantly affects adults in their third to fifth decades of life.</w:t>
      </w:r>
      <w:r>
        <w:rPr>
          <w:rFonts w:ascii="Times New Roman" w:eastAsia="Times New Roman" w:hAnsi="Times New Roman" w:cs="Times New Roman"/>
          <w:sz w:val="24"/>
          <w:szCs w:val="24"/>
        </w:rPr>
        <w:t xml:space="preserve"> </w:t>
      </w:r>
      <w:r w:rsidRPr="001F3A82">
        <w:rPr>
          <w:rFonts w:ascii="Times New Roman" w:eastAsia="Times New Roman" w:hAnsi="Times New Roman" w:cs="Times New Roman"/>
          <w:sz w:val="24"/>
          <w:szCs w:val="24"/>
        </w:rPr>
        <w:t>However, other studies have highlighted occurrences of PVNS among children and adolescents, albeit less frequently, indicating that the condition is not exclusively age-specific</w:t>
      </w:r>
      <w:r w:rsidRPr="00FB13F0">
        <w:rPr>
          <w:rFonts w:ascii="Times New Roman" w:eastAsia="Times New Roman" w:hAnsi="Times New Roman" w:cs="Times New Roman"/>
          <w:sz w:val="24"/>
          <w:szCs w:val="24"/>
        </w:rPr>
        <w:t xml:space="preserve"> (</w:t>
      </w:r>
      <w:r w:rsidRPr="00FB13F0">
        <w:rPr>
          <w:rFonts w:ascii="Times New Roman" w:hAnsi="Times New Roman" w:cs="Times New Roman"/>
          <w:color w:val="212121"/>
          <w:sz w:val="24"/>
          <w:szCs w:val="24"/>
          <w:shd w:val="clear" w:color="auto" w:fill="FFFFFF"/>
        </w:rPr>
        <w:t>Willimon</w:t>
      </w:r>
      <w:r w:rsidRPr="00FB13F0">
        <w:rPr>
          <w:rFonts w:ascii="Times New Roman" w:hAnsi="Times New Roman" w:cs="Times New Roman"/>
          <w:color w:val="1B1B1B"/>
          <w:sz w:val="24"/>
          <w:szCs w:val="24"/>
          <w:shd w:val="clear" w:color="auto" w:fill="FFFFFF"/>
        </w:rPr>
        <w:t xml:space="preserve"> et al., 2018; Turkucar et al., 2019; Li et al., 2023</w:t>
      </w:r>
      <w:r w:rsidRPr="00FB13F0">
        <w:rPr>
          <w:rFonts w:ascii="Times New Roman" w:eastAsia="Times New Roman" w:hAnsi="Times New Roman" w:cs="Times New Roman"/>
          <w:sz w:val="24"/>
          <w:szCs w:val="24"/>
        </w:rPr>
        <w:t>)</w:t>
      </w:r>
      <w:r w:rsidRPr="001F3A82">
        <w:rPr>
          <w:rFonts w:ascii="Times New Roman" w:eastAsia="Times New Roman" w:hAnsi="Times New Roman" w:cs="Times New Roman"/>
          <w:sz w:val="24"/>
          <w:szCs w:val="24"/>
        </w:rPr>
        <w:t>.</w:t>
      </w:r>
    </w:p>
    <w:p w:rsidR="00777FE1" w:rsidRPr="003D521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3D5210">
        <w:rPr>
          <w:rFonts w:ascii="Times New Roman" w:eastAsia="Times New Roman" w:hAnsi="Times New Roman" w:cs="Times New Roman"/>
          <w:sz w:val="24"/>
          <w:szCs w:val="24"/>
        </w:rPr>
        <w:t>The presenting complaints among patients in this study were primarily pain (50%) and swelling (30%), with limited mobility and joint instability being less frequent (10% each). This pattern is consistent with findings in the literature, where pain and swelling are commonly reported a</w:t>
      </w:r>
      <w:r w:rsidRPr="00FB13F0">
        <w:rPr>
          <w:rFonts w:ascii="Times New Roman" w:eastAsia="Times New Roman" w:hAnsi="Times New Roman" w:cs="Times New Roman"/>
          <w:sz w:val="24"/>
          <w:szCs w:val="24"/>
        </w:rPr>
        <w:t xml:space="preserve">s the predominant symptoms of PVNS (Chipman et al., 2023; </w:t>
      </w:r>
      <w:r w:rsidRPr="00FB13F0">
        <w:rPr>
          <w:rFonts w:ascii="Times New Roman" w:hAnsi="Times New Roman" w:cs="Times New Roman"/>
          <w:color w:val="28333D"/>
          <w:sz w:val="24"/>
          <w:szCs w:val="24"/>
        </w:rPr>
        <w:t>Adenitan et al., 2023</w:t>
      </w:r>
      <w:r w:rsidRPr="00FB13F0">
        <w:rPr>
          <w:rFonts w:ascii="Times New Roman" w:eastAsia="Times New Roman" w:hAnsi="Times New Roman" w:cs="Times New Roman"/>
          <w:sz w:val="24"/>
          <w:szCs w:val="24"/>
        </w:rPr>
        <w:t>)</w:t>
      </w:r>
      <w:r w:rsidRPr="003D5210">
        <w:rPr>
          <w:rFonts w:ascii="Times New Roman" w:eastAsia="Times New Roman" w:hAnsi="Times New Roman" w:cs="Times New Roman"/>
          <w:sz w:val="24"/>
          <w:szCs w:val="24"/>
        </w:rPr>
        <w:t xml:space="preserve">. For example, Patel et al. (2017) noted that pain is often the first symptom prompting patients to seek medical attention, </w:t>
      </w:r>
      <w:r w:rsidRPr="003D5210">
        <w:rPr>
          <w:rFonts w:ascii="Times New Roman" w:eastAsia="Times New Roman" w:hAnsi="Times New Roman" w:cs="Times New Roman"/>
          <w:sz w:val="24"/>
          <w:szCs w:val="24"/>
        </w:rPr>
        <w:lastRenderedPageBreak/>
        <w:t>particularly in weight-bearing joints like the knee, while swelling tends to develop progressively as the disease advances.</w:t>
      </w:r>
    </w:p>
    <w:p w:rsidR="00777FE1" w:rsidRPr="003D521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FB13F0">
        <w:rPr>
          <w:rFonts w:ascii="Times New Roman" w:eastAsia="Times New Roman" w:hAnsi="Times New Roman" w:cs="Times New Roman"/>
          <w:sz w:val="24"/>
          <w:szCs w:val="24"/>
        </w:rPr>
        <w:t xml:space="preserve">This study also </w:t>
      </w:r>
      <w:r w:rsidRPr="003D5210">
        <w:rPr>
          <w:rFonts w:ascii="Times New Roman" w:eastAsia="Times New Roman" w:hAnsi="Times New Roman" w:cs="Times New Roman"/>
          <w:sz w:val="24"/>
          <w:szCs w:val="24"/>
        </w:rPr>
        <w:t xml:space="preserve">reported right knee involvement in 80% of cases, with bilateral involvement documented in 20%. No cases of left knee involvement alone were noted. These findings align with previous studies that have observed a slight predilection for unilateral involvement in PVNS, though the reasons for this lateralization remain unclear. </w:t>
      </w:r>
      <w:r w:rsidRPr="00FB13F0">
        <w:rPr>
          <w:rFonts w:ascii="Times New Roman" w:hAnsi="Times New Roman" w:cs="Times New Roman"/>
          <w:sz w:val="24"/>
          <w:szCs w:val="24"/>
        </w:rPr>
        <w:t xml:space="preserve">Pratamanugroho and Hernugrahanto (2024). </w:t>
      </w:r>
      <w:r w:rsidRPr="003D5210">
        <w:rPr>
          <w:rFonts w:ascii="Times New Roman" w:eastAsia="Times New Roman" w:hAnsi="Times New Roman" w:cs="Times New Roman"/>
          <w:sz w:val="24"/>
          <w:szCs w:val="24"/>
        </w:rPr>
        <w:t>also reported a higher prevalence of unilateral knee involvement, with bilateral cases being less common</w:t>
      </w:r>
      <w:r w:rsidRPr="00FB13F0">
        <w:rPr>
          <w:rFonts w:ascii="Times New Roman" w:eastAsia="Times New Roman" w:hAnsi="Times New Roman" w:cs="Times New Roman"/>
          <w:sz w:val="24"/>
          <w:szCs w:val="24"/>
        </w:rPr>
        <w:t xml:space="preserve">. </w:t>
      </w:r>
      <w:r w:rsidRPr="003D5210">
        <w:rPr>
          <w:rFonts w:ascii="Times New Roman" w:eastAsia="Times New Roman" w:hAnsi="Times New Roman" w:cs="Times New Roman"/>
          <w:sz w:val="24"/>
          <w:szCs w:val="24"/>
        </w:rPr>
        <w:t>Diagnostic confirmation in this cohort relied predominantly on intraoperative specimen analysis (90%), with fine-needle aspiration cytology (FNAC) contributing to diagnosis in 10% of cases. Among the intraoperative specimens, 50% were obtained during total knee replacement procedures and 40% through arthroscopic synovectomy. This is in line with the standard diagnostic approach outlined in literature, where the macroscopic appearance of pigmented nodules during surgery and histopathological confirmation remain the gold standard for PVNS diagnosis (Ottaviani et al., 2011). FNAC, while less commonly used, has been reported in case studies as a useful tool in resource-limited settings or when surgery is contraindicated</w:t>
      </w:r>
      <w:r w:rsidRPr="00FB13F0">
        <w:rPr>
          <w:rFonts w:ascii="Times New Roman" w:eastAsia="Times New Roman" w:hAnsi="Times New Roman" w:cs="Times New Roman"/>
          <w:sz w:val="24"/>
          <w:szCs w:val="24"/>
        </w:rPr>
        <w:t xml:space="preserve"> (Giri et al., 2023)</w:t>
      </w:r>
      <w:r w:rsidRPr="003D5210">
        <w:rPr>
          <w:rFonts w:ascii="Times New Roman" w:eastAsia="Times New Roman" w:hAnsi="Times New Roman" w:cs="Times New Roman"/>
          <w:sz w:val="24"/>
          <w:szCs w:val="24"/>
        </w:rPr>
        <w:t>.</w:t>
      </w:r>
    </w:p>
    <w:p w:rsidR="00777FE1" w:rsidRPr="00FB13F0"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3D5210">
        <w:rPr>
          <w:rFonts w:ascii="Times New Roman" w:eastAsia="Times New Roman" w:hAnsi="Times New Roman" w:cs="Times New Roman"/>
          <w:sz w:val="24"/>
          <w:szCs w:val="24"/>
        </w:rPr>
        <w:t xml:space="preserve">The high percentage of intraoperative specimen diagnoses reflects the advanced stage of disease at presentation in this cohort, necessitating surgical intervention. This pattern is echoed in studies from regions with delayed access to healthcare, where patients often present with advanced symptoms requiring invasive diagnostic and therapeutic procedures. Furthermore, the significant proportion of cases involving total knee replacement highlights the disease's potential to cause extensive joint damage when left untreated, a finding corroborated by Sitati (2010) and Patel et al. </w:t>
      </w:r>
      <w:r w:rsidRPr="003D5210">
        <w:rPr>
          <w:rFonts w:ascii="Times New Roman" w:eastAsia="Times New Roman" w:hAnsi="Times New Roman" w:cs="Times New Roman"/>
          <w:sz w:val="24"/>
          <w:szCs w:val="24"/>
        </w:rPr>
        <w:lastRenderedPageBreak/>
        <w:t>(2017).</w:t>
      </w:r>
      <w:r>
        <w:rPr>
          <w:rFonts w:ascii="Times New Roman" w:eastAsia="Times New Roman" w:hAnsi="Times New Roman" w:cs="Times New Roman"/>
          <w:sz w:val="24"/>
          <w:szCs w:val="24"/>
        </w:rPr>
        <w:t xml:space="preserve"> </w:t>
      </w:r>
      <w:r w:rsidRPr="00FB13F0">
        <w:rPr>
          <w:rFonts w:ascii="Times New Roman" w:eastAsia="Times New Roman" w:hAnsi="Times New Roman" w:cs="Times New Roman"/>
          <w:sz w:val="24"/>
          <w:szCs w:val="24"/>
        </w:rPr>
        <w:t xml:space="preserve">From our review, the recurrence rate of PVNS </w:t>
      </w:r>
      <w:r w:rsidRPr="00951BF3">
        <w:rPr>
          <w:rFonts w:ascii="Times New Roman" w:eastAsia="Times New Roman" w:hAnsi="Times New Roman" w:cs="Times New Roman"/>
          <w:sz w:val="24"/>
          <w:szCs w:val="24"/>
        </w:rPr>
        <w:t xml:space="preserve">in our cohort was 20%, which </w:t>
      </w:r>
      <w:r w:rsidRPr="00FB13F0">
        <w:rPr>
          <w:rFonts w:ascii="Times New Roman" w:eastAsia="Times New Roman" w:hAnsi="Times New Roman" w:cs="Times New Roman"/>
          <w:sz w:val="24"/>
          <w:szCs w:val="24"/>
        </w:rPr>
        <w:t xml:space="preserve">aligns more closely with the 27.7% recurrence rate noted in a meta-analysis by Mollon et al. (2015). The relatively lower recurrence in our cases may be attributed to the localized nature of most cases in our study or the use of complete synovectomy in the majority of patients. </w:t>
      </w:r>
      <w:r w:rsidRPr="00951BF3">
        <w:rPr>
          <w:rFonts w:ascii="Times New Roman" w:eastAsia="Times New Roman" w:hAnsi="Times New Roman" w:cs="Times New Roman"/>
          <w:sz w:val="24"/>
          <w:szCs w:val="24"/>
        </w:rPr>
        <w:t>T</w:t>
      </w:r>
      <w:r w:rsidRPr="00FB13F0">
        <w:rPr>
          <w:rFonts w:ascii="Times New Roman" w:eastAsia="Times New Roman" w:hAnsi="Times New Roman" w:cs="Times New Roman"/>
          <w:sz w:val="24"/>
          <w:szCs w:val="24"/>
        </w:rPr>
        <w:t>he recurrence rate in our study mirrors reports in the literature that highlight the challenges of achieving recurrence-free outcomes, especially in DPVNS cases</w:t>
      </w:r>
      <w:r w:rsidRPr="00951BF3">
        <w:rPr>
          <w:rFonts w:ascii="Times New Roman" w:eastAsia="Times New Roman" w:hAnsi="Times New Roman" w:cs="Times New Roman"/>
          <w:sz w:val="24"/>
          <w:szCs w:val="24"/>
        </w:rPr>
        <w:t xml:space="preserve"> (</w:t>
      </w:r>
      <w:r w:rsidRPr="00951BF3">
        <w:rPr>
          <w:rFonts w:ascii="Times New Roman" w:hAnsi="Times New Roman" w:cs="Times New Roman"/>
          <w:color w:val="28333D"/>
          <w:sz w:val="24"/>
          <w:szCs w:val="24"/>
        </w:rPr>
        <w:t>Palmerini et al., 2015; Lukosius et al., 2022</w:t>
      </w:r>
      <w:r w:rsidRPr="00951BF3">
        <w:rPr>
          <w:rFonts w:ascii="Times New Roman" w:eastAsia="Times New Roman" w:hAnsi="Times New Roman" w:cs="Times New Roman"/>
          <w:sz w:val="24"/>
          <w:szCs w:val="24"/>
        </w:rPr>
        <w:t>)</w:t>
      </w:r>
      <w:r w:rsidRPr="00FB13F0">
        <w:rPr>
          <w:rFonts w:ascii="Times New Roman" w:eastAsia="Times New Roman" w:hAnsi="Times New Roman" w:cs="Times New Roman"/>
          <w:sz w:val="24"/>
          <w:szCs w:val="24"/>
        </w:rPr>
        <w:t>. Studies have shown that even with advanced surgical techniques, recurrence remains common, partly due to the biologically aggressive nature of the diffuse subtype and the difficulty in achieving complete surgi</w:t>
      </w:r>
      <w:r w:rsidRPr="00951BF3">
        <w:rPr>
          <w:rFonts w:ascii="Times New Roman" w:eastAsia="Times New Roman" w:hAnsi="Times New Roman" w:cs="Times New Roman"/>
          <w:sz w:val="24"/>
          <w:szCs w:val="24"/>
        </w:rPr>
        <w:t>cal excision (</w:t>
      </w:r>
      <w:r w:rsidRPr="00951BF3">
        <w:rPr>
          <w:rFonts w:ascii="Times New Roman" w:hAnsi="Times New Roman" w:cs="Times New Roman"/>
          <w:color w:val="28333D"/>
          <w:sz w:val="24"/>
          <w:szCs w:val="24"/>
        </w:rPr>
        <w:t>Palmerini et al., 2015</w:t>
      </w:r>
      <w:r w:rsidRPr="00FB13F0">
        <w:rPr>
          <w:rFonts w:ascii="Times New Roman" w:eastAsia="Times New Roman" w:hAnsi="Times New Roman" w:cs="Times New Roman"/>
          <w:sz w:val="24"/>
          <w:szCs w:val="24"/>
        </w:rPr>
        <w:t xml:space="preserve">). </w:t>
      </w:r>
    </w:p>
    <w:p w:rsidR="00777FE1" w:rsidRDefault="00777FE1" w:rsidP="00777FE1">
      <w:pPr>
        <w:spacing w:before="100" w:beforeAutospacing="1" w:after="100" w:afterAutospacing="1" w:line="480" w:lineRule="auto"/>
        <w:jc w:val="both"/>
        <w:rPr>
          <w:rFonts w:ascii="Times New Roman" w:eastAsia="Times New Roman" w:hAnsi="Times New Roman" w:cs="Times New Roman"/>
          <w:sz w:val="24"/>
          <w:szCs w:val="24"/>
        </w:rPr>
      </w:pPr>
      <w:r w:rsidRPr="00FB13F0">
        <w:rPr>
          <w:rFonts w:ascii="Times New Roman" w:eastAsia="Times New Roman" w:hAnsi="Times New Roman" w:cs="Times New Roman"/>
          <w:sz w:val="24"/>
          <w:szCs w:val="24"/>
        </w:rPr>
        <w:t>Regarding complications, while our study did not specifically quantify surgical complications, the literature reports a complication rate of around 9.8% for PVNS treatment, which includes both open and arthroscopi</w:t>
      </w:r>
      <w:r w:rsidRPr="00951BF3">
        <w:rPr>
          <w:rFonts w:ascii="Times New Roman" w:eastAsia="Times New Roman" w:hAnsi="Times New Roman" w:cs="Times New Roman"/>
          <w:sz w:val="24"/>
          <w:szCs w:val="24"/>
        </w:rPr>
        <w:t>c approaches (</w:t>
      </w:r>
      <w:r w:rsidRPr="00951BF3">
        <w:rPr>
          <w:rFonts w:ascii="Times New Roman" w:hAnsi="Times New Roman" w:cs="Times New Roman"/>
          <w:color w:val="28333D"/>
          <w:sz w:val="24"/>
          <w:szCs w:val="24"/>
        </w:rPr>
        <w:t>Aurégan</w:t>
      </w:r>
      <w:r w:rsidRPr="00951BF3">
        <w:rPr>
          <w:rFonts w:ascii="Times New Roman" w:eastAsia="Times New Roman" w:hAnsi="Times New Roman" w:cs="Times New Roman"/>
          <w:sz w:val="24"/>
          <w:szCs w:val="24"/>
        </w:rPr>
        <w:t xml:space="preserve"> et al., 2014</w:t>
      </w:r>
      <w:r w:rsidRPr="00FB13F0">
        <w:rPr>
          <w:rFonts w:ascii="Times New Roman" w:eastAsia="Times New Roman" w:hAnsi="Times New Roman" w:cs="Times New Roman"/>
          <w:sz w:val="24"/>
          <w:szCs w:val="24"/>
        </w:rPr>
        <w:t>). The rare metastasis documented in our study, though uncommon in PVNS, has been sporadically reported in the literature, particularly in aggressive diffuse cases</w:t>
      </w:r>
      <w:r w:rsidRPr="00951BF3">
        <w:rPr>
          <w:rFonts w:ascii="Times New Roman" w:eastAsia="Times New Roman" w:hAnsi="Times New Roman" w:cs="Times New Roman"/>
          <w:sz w:val="24"/>
          <w:szCs w:val="24"/>
        </w:rPr>
        <w:t xml:space="preserve"> (</w:t>
      </w:r>
      <w:r w:rsidRPr="00951BF3">
        <w:rPr>
          <w:rFonts w:ascii="Times New Roman" w:hAnsi="Times New Roman" w:cs="Times New Roman"/>
          <w:color w:val="28333D"/>
          <w:sz w:val="24"/>
          <w:szCs w:val="24"/>
        </w:rPr>
        <w:t>Layfield et al., 2009; Sistla et al., 2014</w:t>
      </w:r>
      <w:r w:rsidRPr="00951BF3">
        <w:rPr>
          <w:rFonts w:ascii="Times New Roman" w:eastAsia="Times New Roman" w:hAnsi="Times New Roman" w:cs="Times New Roman"/>
          <w:sz w:val="24"/>
          <w:szCs w:val="24"/>
        </w:rPr>
        <w:t>)</w:t>
      </w:r>
      <w:r w:rsidRPr="00FB13F0">
        <w:rPr>
          <w:rFonts w:ascii="Times New Roman" w:eastAsia="Times New Roman" w:hAnsi="Times New Roman" w:cs="Times New Roman"/>
          <w:sz w:val="24"/>
          <w:szCs w:val="24"/>
        </w:rPr>
        <w:t xml:space="preserve">. </w:t>
      </w:r>
    </w:p>
    <w:p w:rsidR="00777FE1" w:rsidRPr="00FB13F0" w:rsidRDefault="00777FE1" w:rsidP="00777FE1">
      <w:pPr>
        <w:spacing w:before="100" w:beforeAutospacing="1" w:after="100" w:afterAutospacing="1" w:line="480" w:lineRule="auto"/>
        <w:jc w:val="both"/>
        <w:rPr>
          <w:rFonts w:ascii="Times New Roman" w:hAnsi="Times New Roman" w:cs="Times New Roman"/>
          <w:sz w:val="24"/>
          <w:szCs w:val="24"/>
        </w:rPr>
      </w:pPr>
      <w:r w:rsidRPr="004C4F56">
        <w:rPr>
          <w:rFonts w:ascii="Times New Roman" w:hAnsi="Times New Roman" w:cs="Times New Roman"/>
          <w:sz w:val="24"/>
          <w:szCs w:val="24"/>
        </w:rPr>
        <w:t>This study has several limitations. First, as a single-center retrospective review, the findings may not be generalizable to other settings or populations. Given the small sample size, this study was not designed to achieve statistical power sufficient for robust inferential analyses. Instead, it provides valuable exploratory insights into the demographic and clinical characteristics of PVNS, a rare condition. The rarity of PVNS inherently limits the feasibility of large-scale studies, making even small cohorts significant in expanding the understanding of this disease.</w:t>
      </w:r>
      <w:r>
        <w:rPr>
          <w:rFonts w:ascii="Times New Roman" w:hAnsi="Times New Roman" w:cs="Times New Roman"/>
          <w:sz w:val="24"/>
          <w:szCs w:val="24"/>
        </w:rPr>
        <w:t xml:space="preserve"> </w:t>
      </w:r>
      <w:r w:rsidRPr="004C4F56">
        <w:rPr>
          <w:rFonts w:ascii="Times New Roman" w:hAnsi="Times New Roman" w:cs="Times New Roman"/>
          <w:sz w:val="24"/>
          <w:szCs w:val="24"/>
        </w:rPr>
        <w:t xml:space="preserve">Additionally, the reliance on medical records introduces the potential for missing or incomplete data, which may affect the accuracy of clinical and demographic information. The lack of detailed follow-up data </w:t>
      </w:r>
      <w:r w:rsidRPr="004C4F56">
        <w:rPr>
          <w:rFonts w:ascii="Times New Roman" w:hAnsi="Times New Roman" w:cs="Times New Roman"/>
          <w:sz w:val="24"/>
          <w:szCs w:val="24"/>
        </w:rPr>
        <w:lastRenderedPageBreak/>
        <w:t xml:space="preserve">on long-term outcomes, including functional recovery and recurrence management, further limits the ability to draw comprehensive conclusions about the disease's progression and treatment efficacy. </w:t>
      </w:r>
    </w:p>
    <w:p w:rsidR="00777FE1" w:rsidRDefault="00395B17" w:rsidP="00777FE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F069BB">
        <w:rPr>
          <w:rFonts w:ascii="Times New Roman" w:hAnsi="Times New Roman" w:cs="Times New Roman"/>
          <w:b/>
          <w:sz w:val="24"/>
          <w:szCs w:val="24"/>
        </w:rPr>
        <w:t>CONCLUSION</w:t>
      </w:r>
    </w:p>
    <w:p w:rsidR="00501AB6" w:rsidRDefault="00777FE1" w:rsidP="00501AB6">
      <w:pPr>
        <w:spacing w:line="480" w:lineRule="auto"/>
        <w:jc w:val="both"/>
        <w:rPr>
          <w:rFonts w:ascii="Times New Roman" w:hAnsi="Times New Roman" w:cs="Times New Roman"/>
          <w:b/>
          <w:sz w:val="24"/>
          <w:szCs w:val="24"/>
        </w:rPr>
      </w:pPr>
      <w:r w:rsidRPr="00732615">
        <w:rPr>
          <w:rFonts w:ascii="Times New Roman" w:hAnsi="Times New Roman" w:cs="Times New Roman"/>
          <w:sz w:val="24"/>
          <w:szCs w:val="24"/>
        </w:rPr>
        <w:t>Pigmented villonodular synovitis (PVNS) is a rare proliferative disorder, most commonly affecting the knee joint, with its exact etiology still largely unknown. Early recognition and diagnosis are crucial, as delayed treatment can lead to significant joint damage and functional impairment. Physicians must maintain a high index of suspicion, particularly in patients presenting with persistent joint pain, swelling, and limited mobility. The primary goal of treatment is to ensure the complete removal of abnormal synovial tissue to alleviate pain, prevent joint destruction, and minimize the risk of recurrence. A multidisciplinary approach, including surgical intervention and postoperative monitoring, is often required to achieve optimal outcomes.</w:t>
      </w:r>
    </w:p>
    <w:p w:rsidR="00501AB6" w:rsidRPr="00501AB6" w:rsidRDefault="00501AB6" w:rsidP="00501AB6">
      <w:pPr>
        <w:spacing w:line="480" w:lineRule="auto"/>
        <w:jc w:val="both"/>
        <w:rPr>
          <w:rFonts w:ascii="Times New Roman" w:hAnsi="Times New Roman" w:cs="Times New Roman"/>
          <w:b/>
          <w:sz w:val="24"/>
          <w:szCs w:val="24"/>
        </w:rPr>
      </w:pPr>
      <w:r w:rsidRPr="00501AB6">
        <w:rPr>
          <w:b/>
        </w:rPr>
        <w:t xml:space="preserve">Ethical </w:t>
      </w:r>
      <w:r w:rsidRPr="00501AB6">
        <w:rPr>
          <w:b/>
        </w:rPr>
        <w:t xml:space="preserve">Approval: </w:t>
      </w:r>
    </w:p>
    <w:p w:rsidR="00501AB6" w:rsidRDefault="00501AB6" w:rsidP="00212DB3">
      <w:pPr>
        <w:rPr>
          <w:highlight w:val="yellow"/>
        </w:rPr>
      </w:pPr>
      <w:r>
        <w:t>Ethical approval for the study was obtained from the hospital’s ethical review committee. Patient confidentiality was maintained throughout the study. No identifiable information was included in the final dataset, and all patient data were anonymized prior to analysis.</w:t>
      </w:r>
    </w:p>
    <w:p w:rsidR="00212DB3" w:rsidRPr="00501AB6" w:rsidRDefault="00212DB3" w:rsidP="00212DB3">
      <w:pPr>
        <w:rPr>
          <w:b/>
          <w:highlight w:val="yellow"/>
        </w:rPr>
      </w:pPr>
      <w:r w:rsidRPr="00501AB6">
        <w:rPr>
          <w:b/>
          <w:highlight w:val="yellow"/>
        </w:rPr>
        <w:t>Disclaimer (Artificial intelligence)</w:t>
      </w:r>
    </w:p>
    <w:p w:rsidR="00212DB3" w:rsidRPr="00346C4C" w:rsidRDefault="00212DB3" w:rsidP="00212DB3">
      <w:pPr>
        <w:rPr>
          <w:highlight w:val="yellow"/>
        </w:rPr>
      </w:pPr>
    </w:p>
    <w:p w:rsidR="00212DB3" w:rsidRPr="00346C4C" w:rsidRDefault="00212DB3" w:rsidP="00212DB3">
      <w:pPr>
        <w:rPr>
          <w:highlight w:val="yellow"/>
        </w:rPr>
      </w:pPr>
      <w:r w:rsidRPr="00346C4C">
        <w:rPr>
          <w:highlight w:val="yellow"/>
        </w:rPr>
        <w:t xml:space="preserve">Option 1: </w:t>
      </w:r>
    </w:p>
    <w:p w:rsidR="00212DB3" w:rsidRPr="00346C4C" w:rsidRDefault="00212DB3" w:rsidP="00212DB3">
      <w:pPr>
        <w:rPr>
          <w:highlight w:val="yellow"/>
        </w:rPr>
      </w:pPr>
    </w:p>
    <w:p w:rsidR="00212DB3" w:rsidRPr="00346C4C" w:rsidRDefault="00212DB3" w:rsidP="00212DB3">
      <w:pPr>
        <w:rPr>
          <w:highlight w:val="yellow"/>
        </w:rPr>
      </w:pPr>
      <w:r w:rsidRPr="00346C4C">
        <w:rPr>
          <w:highlight w:val="yellow"/>
        </w:rPr>
        <w:t>Author(s) hereby declare that NO generative AI technologies such as Large Language Models (</w:t>
      </w:r>
      <w:proofErr w:type="spellStart"/>
      <w:r w:rsidRPr="00346C4C">
        <w:rPr>
          <w:highlight w:val="yellow"/>
        </w:rPr>
        <w:t>ChatGPT</w:t>
      </w:r>
      <w:proofErr w:type="spellEnd"/>
      <w:r w:rsidRPr="00346C4C">
        <w:rPr>
          <w:highlight w:val="yellow"/>
        </w:rPr>
        <w:t xml:space="preserve">, COPILOT, etc.) and text-to-image generators have been used during the writing or editing of this manuscript. </w:t>
      </w:r>
    </w:p>
    <w:p w:rsidR="00212DB3" w:rsidRPr="00346C4C" w:rsidRDefault="00212DB3" w:rsidP="00212DB3">
      <w:pPr>
        <w:rPr>
          <w:highlight w:val="yellow"/>
        </w:rPr>
      </w:pPr>
    </w:p>
    <w:p w:rsidR="00212DB3" w:rsidRPr="00346C4C" w:rsidRDefault="00212DB3" w:rsidP="00212DB3">
      <w:pPr>
        <w:rPr>
          <w:highlight w:val="yellow"/>
        </w:rPr>
      </w:pPr>
      <w:r w:rsidRPr="00346C4C">
        <w:rPr>
          <w:highlight w:val="yellow"/>
        </w:rPr>
        <w:t xml:space="preserve">Option 2: </w:t>
      </w:r>
    </w:p>
    <w:p w:rsidR="00212DB3" w:rsidRPr="00346C4C" w:rsidRDefault="00212DB3" w:rsidP="00212DB3">
      <w:pPr>
        <w:rPr>
          <w:highlight w:val="yellow"/>
        </w:rPr>
      </w:pPr>
    </w:p>
    <w:p w:rsidR="00212DB3" w:rsidRPr="00346C4C" w:rsidRDefault="00212DB3" w:rsidP="00212DB3">
      <w:pPr>
        <w:rPr>
          <w:highlight w:val="yellow"/>
        </w:rPr>
      </w:pPr>
      <w:r w:rsidRPr="00346C4C">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12DB3" w:rsidRPr="00346C4C" w:rsidRDefault="00212DB3" w:rsidP="00212DB3">
      <w:pPr>
        <w:rPr>
          <w:highlight w:val="yellow"/>
        </w:rPr>
      </w:pPr>
    </w:p>
    <w:p w:rsidR="00212DB3" w:rsidRPr="00346C4C" w:rsidRDefault="00212DB3" w:rsidP="00212DB3">
      <w:pPr>
        <w:rPr>
          <w:highlight w:val="yellow"/>
        </w:rPr>
      </w:pPr>
      <w:r w:rsidRPr="00346C4C">
        <w:rPr>
          <w:highlight w:val="yellow"/>
        </w:rPr>
        <w:t>Details of the AI usage are given below:</w:t>
      </w:r>
    </w:p>
    <w:p w:rsidR="00212DB3" w:rsidRPr="00346C4C" w:rsidRDefault="00212DB3" w:rsidP="00212DB3">
      <w:pPr>
        <w:rPr>
          <w:highlight w:val="yellow"/>
        </w:rPr>
      </w:pPr>
      <w:r w:rsidRPr="00346C4C">
        <w:rPr>
          <w:highlight w:val="yellow"/>
        </w:rPr>
        <w:t>1.</w:t>
      </w:r>
    </w:p>
    <w:p w:rsidR="00212DB3" w:rsidRPr="00346C4C" w:rsidRDefault="00212DB3" w:rsidP="00212DB3">
      <w:pPr>
        <w:rPr>
          <w:highlight w:val="yellow"/>
        </w:rPr>
      </w:pPr>
      <w:r w:rsidRPr="00346C4C">
        <w:rPr>
          <w:highlight w:val="yellow"/>
        </w:rPr>
        <w:t>2.</w:t>
      </w:r>
    </w:p>
    <w:p w:rsidR="00212DB3" w:rsidRPr="00346C4C" w:rsidRDefault="00212DB3" w:rsidP="00212DB3">
      <w:r w:rsidRPr="00346C4C">
        <w:rPr>
          <w:highlight w:val="yellow"/>
        </w:rPr>
        <w:t>3.</w:t>
      </w:r>
    </w:p>
    <w:p w:rsidR="00777FE1" w:rsidRDefault="00777FE1" w:rsidP="00777FE1">
      <w:pPr>
        <w:pStyle w:val="NormalWeb"/>
        <w:spacing w:line="480" w:lineRule="auto"/>
        <w:jc w:val="both"/>
      </w:pPr>
    </w:p>
    <w:p w:rsidR="00395B17" w:rsidRDefault="00395B17" w:rsidP="00777FE1">
      <w:pPr>
        <w:pStyle w:val="NormalWeb"/>
        <w:spacing w:line="480" w:lineRule="auto"/>
        <w:jc w:val="both"/>
      </w:pPr>
    </w:p>
    <w:p w:rsidR="00777FE1" w:rsidRDefault="00395B17" w:rsidP="00777FE1">
      <w:pPr>
        <w:pStyle w:val="NormalWeb"/>
        <w:spacing w:line="480" w:lineRule="auto"/>
        <w:jc w:val="both"/>
        <w:rPr>
          <w:b/>
        </w:rPr>
      </w:pPr>
      <w:r w:rsidRPr="003D560C">
        <w:rPr>
          <w:b/>
        </w:rPr>
        <w:t>REFERENCES</w:t>
      </w:r>
    </w:p>
    <w:p w:rsidR="00777FE1" w:rsidRDefault="00777FE1" w:rsidP="00777FE1">
      <w:pPr>
        <w:pStyle w:val="NormalWeb"/>
        <w:ind w:left="360"/>
        <w:jc w:val="both"/>
      </w:pPr>
      <w:r>
        <w:t xml:space="preserve">Jaffe, H. L., Lichtenstein, L., &amp; Sutro, C. J. (1941). Pigmented villonodular synovitis, bursitis, and tenosynovitis: A discussion of the synovial and bursal equivalents of tenosynovial lesion commonly denoted as xanthoma, xanthogranuloma, giant cell tumor or myeloplaxoma of tendon sheath with some consideration of this tendon sheath lesion itself. </w:t>
      </w:r>
      <w:r>
        <w:rPr>
          <w:rStyle w:val="Emphasis"/>
        </w:rPr>
        <w:t>Archives of Pathology, 31,</w:t>
      </w:r>
      <w:r>
        <w:t xml:space="preserve"> 731–765.</w:t>
      </w:r>
    </w:p>
    <w:p w:rsidR="00777FE1" w:rsidRDefault="00777FE1" w:rsidP="00777FE1">
      <w:pPr>
        <w:pStyle w:val="NormalWeb"/>
        <w:ind w:left="360"/>
        <w:jc w:val="both"/>
      </w:pPr>
      <w:r>
        <w:t xml:space="preserve">Mwangangi, M., Kaniu, M., &amp; Migowa, A. (2023). E56: A 16-year diagnosis delay of a patient with Pigmented Villonodular Synovitis. </w:t>
      </w:r>
      <w:r>
        <w:rPr>
          <w:rStyle w:val="Emphasis"/>
        </w:rPr>
        <w:t>Rheumatology.</w:t>
      </w:r>
      <w:r>
        <w:t xml:space="preserve"> </w:t>
      </w:r>
      <w:hyperlink r:id="rId6" w:tgtFrame="_new" w:history="1">
        <w:r>
          <w:rPr>
            <w:rStyle w:val="Hyperlink"/>
          </w:rPr>
          <w:t>https://doi.org/10.1093/rheumatology/kead323.056</w:t>
        </w:r>
      </w:hyperlink>
    </w:p>
    <w:p w:rsidR="00777FE1" w:rsidRDefault="00777FE1" w:rsidP="00777FE1">
      <w:pPr>
        <w:pStyle w:val="NormalWeb"/>
        <w:ind w:left="360"/>
        <w:jc w:val="both"/>
      </w:pPr>
      <w:r>
        <w:t xml:space="preserve">Koutalos, A., Ragias, D., Rizniotopoulos, E., Tsanadis, K., Xydias, E., Tsoukalas, N., Charalampakis, N., Trogkanis, N., Ioannou, M., Malizos, K., &amp; Tolia, M. (2022). Diffuse pigmented villonodular synovitis of the knee joint: 3-year follow-up of a case report. </w:t>
      </w:r>
      <w:r>
        <w:rPr>
          <w:rStyle w:val="Emphasis"/>
        </w:rPr>
        <w:t>Radiation Oncology Journal, 40,</w:t>
      </w:r>
      <w:r>
        <w:t xml:space="preserve"> 270–275. </w:t>
      </w:r>
      <w:hyperlink r:id="rId7" w:tgtFrame="_new" w:history="1">
        <w:r>
          <w:rPr>
            <w:rStyle w:val="Hyperlink"/>
          </w:rPr>
          <w:t>https://doi.org/10.3857/roj.2022.00122</w:t>
        </w:r>
      </w:hyperlink>
    </w:p>
    <w:p w:rsidR="00777FE1" w:rsidRDefault="00777FE1" w:rsidP="00777FE1">
      <w:pPr>
        <w:pStyle w:val="NormalWeb"/>
        <w:ind w:left="360"/>
        <w:jc w:val="both"/>
      </w:pPr>
      <w:r>
        <w:t xml:space="preserve">Zhao, Y., Lv, J., Zhang, H., Xie, J., Dai, H., &amp; Zhang, X. (2021). Gene expression profiles analyzed using integrating RNA sequencing, and microarray reveals increased inflammatory response, proliferation, and osteoclastogenesis in Pigmented Villonodular Synovitis. </w:t>
      </w:r>
      <w:r>
        <w:rPr>
          <w:rStyle w:val="Emphasis"/>
        </w:rPr>
        <w:t>Frontiers in Immunology, 12.</w:t>
      </w:r>
      <w:r>
        <w:t xml:space="preserve"> </w:t>
      </w:r>
      <w:hyperlink r:id="rId8" w:tgtFrame="_new" w:history="1">
        <w:r>
          <w:rPr>
            <w:rStyle w:val="Hyperlink"/>
          </w:rPr>
          <w:t>https://doi.org/10.3389/fimmu.2021.665442</w:t>
        </w:r>
      </w:hyperlink>
    </w:p>
    <w:p w:rsidR="00777FE1" w:rsidRDefault="00777FE1" w:rsidP="00777FE1">
      <w:pPr>
        <w:pStyle w:val="NormalWeb"/>
        <w:ind w:left="360"/>
        <w:jc w:val="both"/>
      </w:pPr>
      <w:r>
        <w:t xml:space="preserve">Aggarwal, A., Singbal, S., Yiew, D., Tian, Q., Wang, S., &amp; Zhang, J. (2019). Pigmented Villonodular Synovitis: Novel role of dual-energy CT. </w:t>
      </w:r>
      <w:r>
        <w:rPr>
          <w:rStyle w:val="Emphasis"/>
        </w:rPr>
        <w:t>Journal of Clinical Rheumatology: Practical Reports on Rheumatic &amp; Musculoskeletal Diseases.</w:t>
      </w:r>
      <w:r>
        <w:t xml:space="preserve"> </w:t>
      </w:r>
      <w:hyperlink r:id="rId9" w:tgtFrame="_new" w:history="1">
        <w:r>
          <w:rPr>
            <w:rStyle w:val="Hyperlink"/>
          </w:rPr>
          <w:t>https://doi.org/10.1097/RHU.0000000000000980</w:t>
        </w:r>
      </w:hyperlink>
    </w:p>
    <w:p w:rsidR="00777FE1" w:rsidRDefault="00777FE1" w:rsidP="00777FE1">
      <w:pPr>
        <w:pStyle w:val="NormalWeb"/>
        <w:ind w:left="360"/>
        <w:jc w:val="both"/>
      </w:pPr>
      <w:r>
        <w:lastRenderedPageBreak/>
        <w:t xml:space="preserve">Kapoor, C., Jhaveri, M., Soni, R., Shah, M., Rathi, P., &amp; Golwala, P. (2016). Pigmented Villonodular Synovitis of the knee joint: A case report. </w:t>
      </w:r>
      <w:r>
        <w:rPr>
          <w:rStyle w:val="Emphasis"/>
        </w:rPr>
        <w:t>Cureus, 8.</w:t>
      </w:r>
      <w:r>
        <w:t xml:space="preserve"> </w:t>
      </w:r>
      <w:hyperlink r:id="rId10" w:tgtFrame="_new" w:history="1">
        <w:r>
          <w:rPr>
            <w:rStyle w:val="Hyperlink"/>
          </w:rPr>
          <w:t>https://doi.org/10.7759/cureus.816</w:t>
        </w:r>
      </w:hyperlink>
    </w:p>
    <w:p w:rsidR="00777FE1" w:rsidRDefault="00777FE1" w:rsidP="00777FE1">
      <w:pPr>
        <w:pStyle w:val="NormalWeb"/>
        <w:ind w:left="360"/>
        <w:jc w:val="both"/>
      </w:pPr>
      <w:r>
        <w:t xml:space="preserve">Pereira, V., Baldan, A., Andreoli, C., Belangero, P., De Castro Pochini, A., &amp; Ejnisman, B. (2021). Subacromial pigmented villonodular synovitis: Case report and review. </w:t>
      </w:r>
      <w:r>
        <w:rPr>
          <w:rStyle w:val="Emphasis"/>
        </w:rPr>
        <w:t>Journal of Surgical Case Reports, 2021.</w:t>
      </w:r>
      <w:r>
        <w:t xml:space="preserve"> </w:t>
      </w:r>
      <w:hyperlink r:id="rId11" w:tgtFrame="_new" w:history="1">
        <w:r>
          <w:rPr>
            <w:rStyle w:val="Hyperlink"/>
          </w:rPr>
          <w:t>https://doi.org/10.1093/jscr/rjab019</w:t>
        </w:r>
      </w:hyperlink>
    </w:p>
    <w:p w:rsidR="00777FE1" w:rsidRDefault="00777FE1" w:rsidP="00777FE1">
      <w:pPr>
        <w:pStyle w:val="NormalWeb"/>
        <w:ind w:left="360"/>
        <w:jc w:val="both"/>
      </w:pPr>
      <w:r>
        <w:t xml:space="preserve">McKean, D., Thomee, E., Papanikitas, J., Lee, L., Yoong, P., Yanny, S., &amp; Teh, J. (2016). Polyarticular extension of pigmented villonodular synovitis to contiguous joints via pigmented villonodular tenosynovitis. </w:t>
      </w:r>
      <w:r>
        <w:rPr>
          <w:rStyle w:val="Emphasis"/>
        </w:rPr>
        <w:t>BJR | Case Reports, 2.</w:t>
      </w:r>
      <w:r>
        <w:t xml:space="preserve"> </w:t>
      </w:r>
      <w:hyperlink r:id="rId12" w:tgtFrame="_new" w:history="1">
        <w:r>
          <w:rPr>
            <w:rStyle w:val="Hyperlink"/>
          </w:rPr>
          <w:t>https://doi.org/10.1259/bjrcr.20150404</w:t>
        </w:r>
      </w:hyperlink>
    </w:p>
    <w:p w:rsidR="00777FE1" w:rsidRDefault="00777FE1" w:rsidP="00777FE1">
      <w:pPr>
        <w:pStyle w:val="NormalWeb"/>
        <w:ind w:left="360"/>
        <w:jc w:val="both"/>
      </w:pPr>
      <w:r>
        <w:t xml:space="preserve">Zhao, L., Zhou, K., Hua, Y., Li, Y., &amp; Mu, D. (2016). Multifocal pigmented villonodular synovitis in a child. </w:t>
      </w:r>
      <w:r>
        <w:rPr>
          <w:rStyle w:val="Emphasis"/>
        </w:rPr>
        <w:t>Medicine, 95.</w:t>
      </w:r>
      <w:r>
        <w:t xml:space="preserve"> </w:t>
      </w:r>
      <w:hyperlink r:id="rId13" w:tgtFrame="_new" w:history="1">
        <w:r>
          <w:rPr>
            <w:rStyle w:val="Hyperlink"/>
          </w:rPr>
          <w:t>https://doi.org/10.1097/MD.0000000000004572</w:t>
        </w:r>
      </w:hyperlink>
    </w:p>
    <w:p w:rsidR="00777FE1" w:rsidRDefault="00777FE1" w:rsidP="00777FE1">
      <w:pPr>
        <w:pStyle w:val="NormalWeb"/>
        <w:ind w:left="360"/>
        <w:jc w:val="both"/>
      </w:pPr>
      <w:r>
        <w:t xml:space="preserve">Gao, M., Li, H., Liang, X., et al. (2017). Multifocal pigmented villonodular synovitis coexisting in both the knee joint and the patella: A case report and literature review. </w:t>
      </w:r>
      <w:r>
        <w:rPr>
          <w:rStyle w:val="Emphasis"/>
        </w:rPr>
        <w:t>BMC Musculoskeletal Disorders, 18,</w:t>
      </w:r>
      <w:r>
        <w:t xml:space="preserve"> 293. </w:t>
      </w:r>
      <w:hyperlink r:id="rId14" w:tgtFrame="_new" w:history="1">
        <w:r>
          <w:rPr>
            <w:rStyle w:val="Hyperlink"/>
          </w:rPr>
          <w:t>https://doi.org/10.1186/s12891-017-1654-6</w:t>
        </w:r>
      </w:hyperlink>
    </w:p>
    <w:p w:rsidR="00777FE1" w:rsidRDefault="00777FE1" w:rsidP="00777FE1">
      <w:pPr>
        <w:pStyle w:val="NormalWeb"/>
        <w:ind w:left="360"/>
        <w:jc w:val="both"/>
      </w:pPr>
      <w:r>
        <w:t xml:space="preserve">Kim, D., Kim, J., Lee, B., Kim, N., Lee, S., &amp; Bin, S. (2018). Distinct extra-articular invasion patterns of diffuse pigmented villonodular synovitis/tenosynovial giant cell tumor in the knee joints. </w:t>
      </w:r>
      <w:r>
        <w:rPr>
          <w:rStyle w:val="Emphasis"/>
        </w:rPr>
        <w:t>Knee Surgery, Sports Traumatology, Arthroscopy, 26,</w:t>
      </w:r>
      <w:r>
        <w:t xml:space="preserve"> 3508–3514. </w:t>
      </w:r>
      <w:hyperlink r:id="rId15" w:tgtFrame="_new" w:history="1">
        <w:r>
          <w:rPr>
            <w:rStyle w:val="Hyperlink"/>
          </w:rPr>
          <w:t>https://doi.org/10.1007/s00167-018-4942-2</w:t>
        </w:r>
      </w:hyperlink>
    </w:p>
    <w:p w:rsidR="00777FE1" w:rsidRDefault="00777FE1" w:rsidP="00777FE1">
      <w:pPr>
        <w:pStyle w:val="NormalWeb"/>
        <w:ind w:left="360"/>
        <w:jc w:val="both"/>
      </w:pPr>
      <w:r>
        <w:t xml:space="preserve">Cao, C., Wu, F., Niu, X., Hu, X., Cheng, J., Zhang, Y., Li, C., Duan, X., Fu, X., Zhang, J., Zhang, X., &amp; Ao, Y. (2020). Cadherin-11 cooperates with inflammatory factors to promote the migration and invasion of fibroblast-like synoviocytes in pigmented villonodular synovitis. </w:t>
      </w:r>
      <w:r>
        <w:rPr>
          <w:rStyle w:val="Emphasis"/>
        </w:rPr>
        <w:t>Theranostics, 10,</w:t>
      </w:r>
      <w:r>
        <w:t xml:space="preserve"> 10573–10588. </w:t>
      </w:r>
      <w:hyperlink r:id="rId16" w:tgtFrame="_new" w:history="1">
        <w:r>
          <w:rPr>
            <w:rStyle w:val="Hyperlink"/>
          </w:rPr>
          <w:t>https://doi.org/10.7150/thno.48666</w:t>
        </w:r>
      </w:hyperlink>
    </w:p>
    <w:p w:rsidR="00777FE1" w:rsidRDefault="00777FE1" w:rsidP="00777FE1">
      <w:pPr>
        <w:pStyle w:val="NormalWeb"/>
        <w:ind w:left="360"/>
        <w:jc w:val="both"/>
      </w:pPr>
      <w:r>
        <w:t xml:space="preserve">Qureshi, Q. A., &amp; Dudani, S. (2020). Focal pigmented villonodular synovitis in the hip joint: A rare case report. </w:t>
      </w:r>
      <w:r>
        <w:rPr>
          <w:rStyle w:val="Emphasis"/>
        </w:rPr>
        <w:t>Journal of Orthopedics, Traumatology and Rehabilitation, 12</w:t>
      </w:r>
      <w:r>
        <w:t>(2), 153–155. https://doi.org/10.4103/jotr.jotr_44_19</w:t>
      </w:r>
    </w:p>
    <w:p w:rsidR="00777FE1" w:rsidRDefault="00777FE1" w:rsidP="00777FE1">
      <w:pPr>
        <w:pStyle w:val="NormalWeb"/>
        <w:ind w:left="360"/>
        <w:jc w:val="both"/>
      </w:pPr>
      <w:r>
        <w:t xml:space="preserve">Dallatorre, R., De Lima, J., Blanchard, F., &amp; Goff, L. (2023). POS0238: Implication of the CSF1-CSF1R pathway in the crosstalk between synovial fibroblasts and macrophages in pigmented villonodular synovitis. </w:t>
      </w:r>
      <w:r>
        <w:rPr>
          <w:rStyle w:val="Emphasis"/>
        </w:rPr>
        <w:t>Annals of the Rheumatic Diseases.</w:t>
      </w:r>
      <w:r>
        <w:t xml:space="preserve"> </w:t>
      </w:r>
      <w:hyperlink r:id="rId17" w:tgtFrame="_new" w:history="1">
        <w:r>
          <w:rPr>
            <w:rStyle w:val="Hyperlink"/>
          </w:rPr>
          <w:t>https://doi.org/10.1136/annrheumdis-2023-eular.4388</w:t>
        </w:r>
      </w:hyperlink>
    </w:p>
    <w:p w:rsidR="00777FE1" w:rsidRDefault="00777FE1" w:rsidP="00777FE1">
      <w:pPr>
        <w:pStyle w:val="NormalWeb"/>
        <w:ind w:left="360"/>
        <w:jc w:val="both"/>
      </w:pPr>
      <w:r>
        <w:t xml:space="preserve">Ota, T., Urakawa, H., Kozawa, E., Ikuta, K., Hamada, S., Tsukushi, S., Shimoyama, Y., Ishiguro, N., &amp; Nishida, Y. (2015). Expression of colony-stimulating factor 1 is associated with occurrence of osteochondral change in pigmented villonodular synovitis. </w:t>
      </w:r>
      <w:r>
        <w:rPr>
          <w:rStyle w:val="Emphasis"/>
        </w:rPr>
        <w:t>Tumor Biology, 36</w:t>
      </w:r>
      <w:r>
        <w:t>(7), 5361–5377. https://doi.org/10.1007/s13277-015-3197-5</w:t>
      </w:r>
    </w:p>
    <w:p w:rsidR="00777FE1" w:rsidRDefault="00777FE1" w:rsidP="00777FE1">
      <w:pPr>
        <w:pStyle w:val="NormalWeb"/>
        <w:ind w:left="360"/>
        <w:jc w:val="both"/>
      </w:pPr>
      <w:r>
        <w:t xml:space="preserve">Temponi, E. F., Barros, A. A. G., Paganini, V. O., Barbosa, V. A. K., Badet, R., &amp; Carvalho Júnior, L. H. (2017). Diffuse pigmented villonodular synovitis in knee joint: Diagnosis and </w:t>
      </w:r>
      <w:r>
        <w:lastRenderedPageBreak/>
        <w:t xml:space="preserve">treatment. </w:t>
      </w:r>
      <w:r>
        <w:rPr>
          <w:rStyle w:val="Emphasis"/>
        </w:rPr>
        <w:t>Revista Brasileira de Ortopedia (English Edition), 52</w:t>
      </w:r>
      <w:r>
        <w:t>(4), 450–457. https://doi.org/10.1016/j.rboe.2017.06.008</w:t>
      </w:r>
    </w:p>
    <w:p w:rsidR="00777FE1" w:rsidRDefault="00777FE1" w:rsidP="00777FE1">
      <w:pPr>
        <w:pStyle w:val="NormalWeb"/>
        <w:ind w:left="360"/>
        <w:jc w:val="both"/>
      </w:pPr>
      <w:r>
        <w:t xml:space="preserve">Shekhar, A., Singh, S., Patil, S., &amp; Tapasvi, S. (2019). Osteochondral lesion in diffuse pigmented villonodular synovitis of the knee. </w:t>
      </w:r>
      <w:r>
        <w:rPr>
          <w:rStyle w:val="Emphasis"/>
        </w:rPr>
        <w:t>Knee Surgery &amp; Related Research, 31,</w:t>
      </w:r>
      <w:r>
        <w:t xml:space="preserve"> 67–71. </w:t>
      </w:r>
      <w:hyperlink r:id="rId18" w:tgtFrame="_new" w:history="1">
        <w:r>
          <w:rPr>
            <w:rStyle w:val="Hyperlink"/>
          </w:rPr>
          <w:t>https://doi.org/10.5792/ksrr.18.015</w:t>
        </w:r>
      </w:hyperlink>
    </w:p>
    <w:p w:rsidR="00777FE1" w:rsidRPr="00CA1303" w:rsidRDefault="00777FE1" w:rsidP="00777FE1">
      <w:pPr>
        <w:pStyle w:val="NormalWeb"/>
        <w:ind w:left="360"/>
        <w:jc w:val="both"/>
      </w:pPr>
      <w:r>
        <w:t xml:space="preserve">Chen, X., Li, P., Zhang, W., Yin, X., Ma, Q., &amp; Wang, K. (2022). Higher incidence of diffuse pigmented villonodular synovitis in patients with ruptured cruciate ligament: A case report. </w:t>
      </w:r>
      <w:r>
        <w:rPr>
          <w:rStyle w:val="Emphasis"/>
        </w:rPr>
        <w:t>International Journal of Surgery Case Reports, 100</w:t>
      </w:r>
      <w:r>
        <w:t xml:space="preserve">, 107720. </w:t>
      </w:r>
      <w:hyperlink r:id="rId19" w:tgtFrame="_new" w:history="1">
        <w:r>
          <w:rPr>
            <w:rStyle w:val="Hyperlink"/>
          </w:rPr>
          <w:t>https://doi.org/10.1016/j.ijscr.2022.107720</w:t>
        </w:r>
      </w:hyperlink>
    </w:p>
    <w:p w:rsidR="00777FE1" w:rsidRDefault="00777FE1" w:rsidP="00777FE1">
      <w:pPr>
        <w:pStyle w:val="NormalWeb"/>
        <w:ind w:left="360"/>
        <w:jc w:val="both"/>
      </w:pPr>
      <w:r>
        <w:t xml:space="preserve">Kim, H., Shin, D., Lee, K., Jang, I., &amp; Lee, K. (2019). Localized pigmented villonodular synovitis with hemorrhage arising from lateral meniscocapsular junction: A case report. </w:t>
      </w:r>
      <w:r>
        <w:rPr>
          <w:rStyle w:val="Emphasis"/>
        </w:rPr>
        <w:t>Eklem Hastaliklari ve Cerrahisi = Joint Diseases &amp; Related Surgery, 30</w:t>
      </w:r>
      <w:r>
        <w:t xml:space="preserve">(2), 177–181. </w:t>
      </w:r>
      <w:hyperlink r:id="rId20" w:tgtFrame="_new" w:history="1">
        <w:r>
          <w:rPr>
            <w:rStyle w:val="Hyperlink"/>
          </w:rPr>
          <w:t>https://doi.org/10.5606/ehc.2019.66065</w:t>
        </w:r>
      </w:hyperlink>
    </w:p>
    <w:p w:rsidR="00777FE1" w:rsidRDefault="00777FE1" w:rsidP="00777FE1">
      <w:pPr>
        <w:pStyle w:val="NormalWeb"/>
        <w:ind w:left="360"/>
        <w:jc w:val="both"/>
      </w:pPr>
      <w:r>
        <w:t xml:space="preserve">Sharma, H., Jane, M. J., &amp; Reid, R. (2005). Pigmented villonodular synovitis: Diagnostic pitfalls and management strategy. </w:t>
      </w:r>
      <w:r>
        <w:rPr>
          <w:rStyle w:val="Emphasis"/>
        </w:rPr>
        <w:t>Current Orthopaedics, 19</w:t>
      </w:r>
      <w:r>
        <w:t xml:space="preserve">(3), 215–222. </w:t>
      </w:r>
      <w:hyperlink r:id="rId21" w:tgtFrame="_new" w:history="1">
        <w:r>
          <w:rPr>
            <w:rStyle w:val="Hyperlink"/>
          </w:rPr>
          <w:t>https://doi.org/10.1016/j.cuor.2005.02.013</w:t>
        </w:r>
      </w:hyperlink>
    </w:p>
    <w:p w:rsidR="00777FE1" w:rsidRDefault="00777FE1" w:rsidP="00777FE1">
      <w:pPr>
        <w:pStyle w:val="NormalWeb"/>
        <w:ind w:left="360"/>
        <w:jc w:val="both"/>
      </w:pPr>
      <w:r>
        <w:t xml:space="preserve">Cook, N., Landskroner, K., Shah, B., Walda, S., Weiss, O., &amp; Pallapotu, V. (2020). Identification of patient needs and preferences in pigmented villonodular synovitis (PVNS) using a qualitative online bulletin board study. </w:t>
      </w:r>
      <w:r>
        <w:rPr>
          <w:rStyle w:val="Emphasis"/>
        </w:rPr>
        <w:t>Advances in Therapy, 37</w:t>
      </w:r>
      <w:r>
        <w:t xml:space="preserve">, 2813–2828. </w:t>
      </w:r>
      <w:hyperlink r:id="rId22" w:tgtFrame="_new" w:history="1">
        <w:r>
          <w:rPr>
            <w:rStyle w:val="Hyperlink"/>
          </w:rPr>
          <w:t>https://doi.org/10.1007/s12325-020-01364-4</w:t>
        </w:r>
      </w:hyperlink>
    </w:p>
    <w:p w:rsidR="00777FE1" w:rsidRDefault="00777FE1" w:rsidP="00777FE1">
      <w:pPr>
        <w:pStyle w:val="NormalWeb"/>
        <w:ind w:left="360"/>
        <w:jc w:val="both"/>
      </w:pPr>
      <w:r>
        <w:t xml:space="preserve">Hill, C. L., Hunter, D. J., Niu, J., Clancy, M., Guermazi, A., Genant, H., Gale, D., Grainger, A., Conaghan, P., &amp; Felson, D. T. (2007). Synovitis detected on magnetic resonance imaging and its relation to pain and cartilage loss in knee osteoarthritis. </w:t>
      </w:r>
      <w:r>
        <w:rPr>
          <w:rStyle w:val="Emphasis"/>
        </w:rPr>
        <w:t>Annals of the Rheumatic Diseases, 66</w:t>
      </w:r>
      <w:r>
        <w:t>(12), 1599–1603. https://doi.org/10.1136/ard.2006.067470</w:t>
      </w:r>
    </w:p>
    <w:p w:rsidR="00777FE1" w:rsidRDefault="00777FE1" w:rsidP="00777FE1">
      <w:pPr>
        <w:pStyle w:val="NormalWeb"/>
        <w:ind w:left="360"/>
        <w:jc w:val="both"/>
      </w:pPr>
      <w:r>
        <w:t xml:space="preserve">Yang, X., Sun, Y., Yu, W., &amp; Fu, J. (2019). Pigmented villonodular synovitis of the temporomandibular joint: Case report and the literature review for postoperative radiotherapy. </w:t>
      </w:r>
      <w:r>
        <w:rPr>
          <w:rStyle w:val="Emphasis"/>
        </w:rPr>
        <w:t>Journal of Radiology Case Reports, 13</w:t>
      </w:r>
      <w:r>
        <w:t>(8), 31–39. https://doi.org/10.3941/jrcr.v13i8.3661</w:t>
      </w:r>
    </w:p>
    <w:p w:rsidR="00777FE1" w:rsidRDefault="00777FE1" w:rsidP="00777FE1">
      <w:pPr>
        <w:pStyle w:val="NormalWeb"/>
        <w:ind w:left="360"/>
        <w:jc w:val="both"/>
      </w:pPr>
      <w:r>
        <w:t xml:space="preserve">Koutalos, A., Ragias, D., Rizniotopoulos, E., Tsanadis, K., Xydias, E., Tsoukalas, N., Charalampakis, N., Trogkanis, N., Ioannou, M., Malizos, K., &amp; Tolia, M. (2022). Diffuse pigmented villonodular synovitis of the knee joint: 3-year follow-up of a case report. </w:t>
      </w:r>
      <w:r>
        <w:rPr>
          <w:rStyle w:val="Emphasis"/>
        </w:rPr>
        <w:t>Radiation Oncology Journal, 40</w:t>
      </w:r>
      <w:r>
        <w:t xml:space="preserve">, 270–275. </w:t>
      </w:r>
      <w:hyperlink r:id="rId23" w:tgtFrame="_new" w:history="1">
        <w:r>
          <w:rPr>
            <w:rStyle w:val="Hyperlink"/>
          </w:rPr>
          <w:t>https://doi.org/10.3857/roj.2022.00122</w:t>
        </w:r>
      </w:hyperlink>
    </w:p>
    <w:p w:rsidR="00777FE1" w:rsidRDefault="00777FE1" w:rsidP="00777FE1">
      <w:pPr>
        <w:pStyle w:val="NormalWeb"/>
        <w:ind w:left="360"/>
        <w:jc w:val="both"/>
      </w:pPr>
      <w:r>
        <w:t xml:space="preserve">Ramzi, M., Assara, N., Hassani, Z., Fellouss, Z., &amp; Madhi, T. (2022). Localized pigmented villonodular synovitis in a child: About a case. </w:t>
      </w:r>
      <w:r>
        <w:rPr>
          <w:rStyle w:val="Emphasis"/>
        </w:rPr>
        <w:t>SAS Journal of Surgery.</w:t>
      </w:r>
      <w:r>
        <w:t xml:space="preserve"> </w:t>
      </w:r>
      <w:hyperlink r:id="rId24" w:tgtFrame="_new" w:history="1">
        <w:r>
          <w:rPr>
            <w:rStyle w:val="Hyperlink"/>
          </w:rPr>
          <w:t>https://doi.org/10.36347/sasjs.2022.v08i01.006</w:t>
        </w:r>
      </w:hyperlink>
    </w:p>
    <w:p w:rsidR="00777FE1" w:rsidRDefault="00777FE1" w:rsidP="00777FE1">
      <w:pPr>
        <w:pStyle w:val="NormalWeb"/>
        <w:ind w:left="360"/>
        <w:jc w:val="both"/>
      </w:pPr>
      <w:r>
        <w:t xml:space="preserve">Prieto-Potin, I., Largo, R., Roman-Blas, J., Herrero-Beaumont, G., &amp; Walsh, D. (2015). Characterization of multinucleated giant cells in synovium and subchondral bone in knee </w:t>
      </w:r>
      <w:r>
        <w:lastRenderedPageBreak/>
        <w:t xml:space="preserve">osteoarthritis and rheumatoid arthritis. </w:t>
      </w:r>
      <w:r>
        <w:rPr>
          <w:rStyle w:val="Emphasis"/>
        </w:rPr>
        <w:t>BMC Musculoskeletal Disorders, 16.</w:t>
      </w:r>
      <w:r>
        <w:t xml:space="preserve"> </w:t>
      </w:r>
      <w:hyperlink r:id="rId25" w:tgtFrame="_new" w:history="1">
        <w:r>
          <w:rPr>
            <w:rStyle w:val="Hyperlink"/>
          </w:rPr>
          <w:t>https://doi.org/10.1186/s12891-015-0664-5</w:t>
        </w:r>
      </w:hyperlink>
    </w:p>
    <w:p w:rsidR="00777FE1" w:rsidRDefault="00777FE1" w:rsidP="00777FE1">
      <w:pPr>
        <w:pStyle w:val="NormalWeb"/>
        <w:ind w:left="360"/>
        <w:jc w:val="both"/>
      </w:pPr>
      <w:r>
        <w:t xml:space="preserve">Sikaria, S., Heim-Hall, J., Díaz, E., Williams, R., Sankhala, K., Laabs, B., &amp; Mita, M. (2013). Partial response of a rare malignant metastatic diffuse tenosynovial giant cell tumor with benign histologic features, treated with SCH 717–454, an insulin growth factor receptor inhibitor, in combination with everolimus, an MTOR inhibitor. </w:t>
      </w:r>
      <w:r>
        <w:rPr>
          <w:rStyle w:val="Emphasis"/>
        </w:rPr>
        <w:t>Targeted Oncology, 9</w:t>
      </w:r>
      <w:r>
        <w:t xml:space="preserve">, 73–79. </w:t>
      </w:r>
      <w:hyperlink r:id="rId26" w:tgtFrame="_new" w:history="1">
        <w:r>
          <w:rPr>
            <w:rStyle w:val="Hyperlink"/>
          </w:rPr>
          <w:t>https://doi.org/10.1007/s11523-013-0267-8</w:t>
        </w:r>
      </w:hyperlink>
    </w:p>
    <w:p w:rsidR="00777FE1" w:rsidRDefault="00777FE1" w:rsidP="00777FE1">
      <w:pPr>
        <w:pStyle w:val="NormalWeb"/>
        <w:ind w:left="360"/>
        <w:jc w:val="both"/>
      </w:pPr>
      <w:r>
        <w:t xml:space="preserve">Li, T., Mei, L., Xu, Y., Cao, Y., Shi, X., Chen, G., &amp; Li, J. (2023). Total hip arthroplasty or arthroscopy for pigmented villonodular synovitis of the hip: A retrospective study with 3‐year follow‐up at minimum. </w:t>
      </w:r>
      <w:r>
        <w:rPr>
          <w:rStyle w:val="Emphasis"/>
        </w:rPr>
        <w:t>Orthopaedic Surgery, 15</w:t>
      </w:r>
      <w:r>
        <w:t xml:space="preserve">, 1498–1504. </w:t>
      </w:r>
      <w:hyperlink r:id="rId27" w:tgtFrame="_new" w:history="1">
        <w:r>
          <w:rPr>
            <w:rStyle w:val="Hyperlink"/>
          </w:rPr>
          <w:t>https://doi.org/10.1111/os.13707</w:t>
        </w:r>
      </w:hyperlink>
    </w:p>
    <w:p w:rsidR="00777FE1" w:rsidRDefault="00777FE1" w:rsidP="00777FE1">
      <w:pPr>
        <w:pStyle w:val="NormalWeb"/>
        <w:ind w:left="360"/>
        <w:jc w:val="both"/>
      </w:pPr>
      <w:r>
        <w:t xml:space="preserve">Ottaviani, S., Ayral, X., Dougados, M., &amp; Gossec, L. (2011). Pigmented villonodular synovitis: A retrospective single-center study of 122 cases and review of the literature. </w:t>
      </w:r>
      <w:r>
        <w:rPr>
          <w:rStyle w:val="Emphasis"/>
        </w:rPr>
        <w:t>Seminars in Arthritis and Rheumatism, 40</w:t>
      </w:r>
      <w:r>
        <w:t xml:space="preserve">(6), 539–546. </w:t>
      </w:r>
      <w:hyperlink r:id="rId28" w:history="1">
        <w:r w:rsidRPr="00E90800">
          <w:rPr>
            <w:rStyle w:val="Hyperlink"/>
          </w:rPr>
          <w:t>https://doi.org/10.1016/j.semarthrit.2010.07.005</w:t>
        </w:r>
      </w:hyperlink>
    </w:p>
    <w:p w:rsidR="00777FE1" w:rsidRDefault="00777FE1" w:rsidP="00777FE1">
      <w:pPr>
        <w:pStyle w:val="NormalWeb"/>
        <w:ind w:left="360"/>
        <w:jc w:val="both"/>
      </w:pPr>
      <w:r>
        <w:t xml:space="preserve">Mwangangi, M., Kaniu, M., &amp; Migowa, A. (2023). A 16-year diagnosis delay of a patient with pigmented villonodular synovitis. </w:t>
      </w:r>
      <w:r>
        <w:rPr>
          <w:rStyle w:val="Emphasis"/>
        </w:rPr>
        <w:t>Rheumatology.</w:t>
      </w:r>
      <w:r>
        <w:t xml:space="preserve"> </w:t>
      </w:r>
      <w:hyperlink r:id="rId29" w:tgtFrame="_new" w:history="1">
        <w:r>
          <w:rPr>
            <w:rStyle w:val="Hyperlink"/>
          </w:rPr>
          <w:t>https://doi.org/10.1093/rheumatology/kead323.056</w:t>
        </w:r>
      </w:hyperlink>
    </w:p>
    <w:p w:rsidR="00777FE1" w:rsidRDefault="00777FE1" w:rsidP="00777FE1">
      <w:pPr>
        <w:pStyle w:val="NormalWeb"/>
        <w:ind w:left="360"/>
        <w:jc w:val="both"/>
      </w:pPr>
      <w:r>
        <w:t xml:space="preserve">Sitati, F. C. (2010). Pigmented villonodular synovitis of the knee: A case report. </w:t>
      </w:r>
      <w:r>
        <w:rPr>
          <w:rStyle w:val="Emphasis"/>
        </w:rPr>
        <w:t>East African Orthopaedic Journal, 4</w:t>
      </w:r>
      <w:r>
        <w:t>(1), 26.</w:t>
      </w:r>
    </w:p>
    <w:p w:rsidR="00777FE1" w:rsidRDefault="00777FE1" w:rsidP="00777FE1">
      <w:pPr>
        <w:pStyle w:val="NormalWeb"/>
        <w:ind w:left="360"/>
        <w:jc w:val="both"/>
      </w:pPr>
      <w:r>
        <w:t xml:space="preserve">Straub, R. (2007). The complex role of estrogens in inflammation. </w:t>
      </w:r>
      <w:r>
        <w:rPr>
          <w:rStyle w:val="Emphasis"/>
        </w:rPr>
        <w:t>Endocrine Reviews, 28</w:t>
      </w:r>
      <w:r>
        <w:t xml:space="preserve">(5), 521–574. </w:t>
      </w:r>
      <w:hyperlink r:id="rId30" w:tgtFrame="_new" w:history="1">
        <w:r>
          <w:rPr>
            <w:rStyle w:val="Hyperlink"/>
          </w:rPr>
          <w:t>https://doi.org/10.1210/ER.2007-0001</w:t>
        </w:r>
      </w:hyperlink>
    </w:p>
    <w:p w:rsidR="00777FE1" w:rsidRDefault="00777FE1" w:rsidP="00777FE1">
      <w:pPr>
        <w:pStyle w:val="NormalWeb"/>
        <w:ind w:left="360"/>
        <w:jc w:val="both"/>
      </w:pPr>
      <w:r>
        <w:t xml:space="preserve">Monteiro, R., Teixeira, D., &amp; Calhau, C. (2014). Estrogen signaling in metabolic inflammation. </w:t>
      </w:r>
      <w:r>
        <w:rPr>
          <w:rStyle w:val="Emphasis"/>
        </w:rPr>
        <w:t>Mediators of Inflammation, 2014.</w:t>
      </w:r>
      <w:r>
        <w:t xml:space="preserve"> </w:t>
      </w:r>
      <w:hyperlink r:id="rId31" w:tgtFrame="_new" w:history="1">
        <w:r>
          <w:rPr>
            <w:rStyle w:val="Hyperlink"/>
          </w:rPr>
          <w:t>https://doi.org/10.1155/2014/615917</w:t>
        </w:r>
      </w:hyperlink>
    </w:p>
    <w:p w:rsidR="00777FE1" w:rsidRDefault="00777FE1" w:rsidP="00777FE1">
      <w:pPr>
        <w:pStyle w:val="NormalWeb"/>
        <w:ind w:left="360"/>
        <w:jc w:val="both"/>
      </w:pPr>
      <w:r>
        <w:t xml:space="preserve">Patel, K. H., Gikas, P. D., Pollock, R. C., Carrington, R. W., Cannon, S. R., Skinner, J. A., Briggs, T. W., &amp; Aston, W. J. S. (2017). Pigmented villonodular synovitis of the knee: A retrospective analysis of 214 cases at a UK tertiary referral center. </w:t>
      </w:r>
      <w:r>
        <w:rPr>
          <w:rStyle w:val="Emphasis"/>
        </w:rPr>
        <w:t>The Knee.</w:t>
      </w:r>
      <w:r>
        <w:t xml:space="preserve"> </w:t>
      </w:r>
      <w:hyperlink r:id="rId32" w:tgtFrame="_new" w:history="1">
        <w:r>
          <w:rPr>
            <w:rStyle w:val="Hyperlink"/>
          </w:rPr>
          <w:t>https://doi.org/10.1016/j.knee.2017.03.011</w:t>
        </w:r>
      </w:hyperlink>
    </w:p>
    <w:p w:rsidR="00777FE1" w:rsidRDefault="00777FE1" w:rsidP="00777FE1">
      <w:pPr>
        <w:pStyle w:val="NormalWeb"/>
        <w:ind w:left="360"/>
        <w:jc w:val="both"/>
      </w:pPr>
      <w:r>
        <w:t xml:space="preserve">Turkucar, S., Makay, B., Tatari, H., &amp; Unsal, E. (2019). Pigmented villonodular synovitis: Four pediatric cases and brief review of literature. </w:t>
      </w:r>
      <w:r>
        <w:rPr>
          <w:rStyle w:val="Emphasis"/>
        </w:rPr>
        <w:t>Journal of Postgraduate Medicine, 65</w:t>
      </w:r>
      <w:r>
        <w:t xml:space="preserve">(4), 233–236. </w:t>
      </w:r>
      <w:hyperlink r:id="rId33" w:history="1">
        <w:r w:rsidRPr="00E90800">
          <w:rPr>
            <w:rStyle w:val="Hyperlink"/>
          </w:rPr>
          <w:t>https://doi.org/10.4103/jpgm.JPGM_305_19</w:t>
        </w:r>
      </w:hyperlink>
    </w:p>
    <w:p w:rsidR="00777FE1" w:rsidRDefault="00777FE1" w:rsidP="00777FE1">
      <w:pPr>
        <w:pStyle w:val="NormalWeb"/>
        <w:ind w:left="360"/>
        <w:jc w:val="both"/>
      </w:pPr>
      <w:r>
        <w:t xml:space="preserve">Liu, Y., Liang, S., &amp; Wang, W. (2023). A rare case of long-term joint swelling caused by pigmented villonodular synovitis in a 3-year-old girl: A case report. </w:t>
      </w:r>
      <w:r>
        <w:rPr>
          <w:rStyle w:val="Emphasis"/>
        </w:rPr>
        <w:t>Frontiers in Surgery, 10.</w:t>
      </w:r>
      <w:r>
        <w:t xml:space="preserve"> </w:t>
      </w:r>
      <w:hyperlink r:id="rId34" w:tgtFrame="_new" w:history="1">
        <w:r>
          <w:rPr>
            <w:rStyle w:val="Hyperlink"/>
          </w:rPr>
          <w:t>https://doi.org/10.3389/fsurg.2023.1075171</w:t>
        </w:r>
      </w:hyperlink>
    </w:p>
    <w:p w:rsidR="00777FE1" w:rsidRDefault="00777FE1" w:rsidP="00777FE1">
      <w:pPr>
        <w:pStyle w:val="NormalWeb"/>
        <w:ind w:left="360"/>
        <w:jc w:val="both"/>
      </w:pPr>
      <w:r>
        <w:lastRenderedPageBreak/>
        <w:t xml:space="preserve">Willimon, S. C., Schrader, T., &amp; Perkins, C. A. (2018). Arthroscopic management of pigmented villonodular synovitis of the hip in children and adolescents. </w:t>
      </w:r>
      <w:r>
        <w:rPr>
          <w:rStyle w:val="Emphasis"/>
        </w:rPr>
        <w:t>Orthopaedic Journal of Sports Medicine, 6</w:t>
      </w:r>
      <w:r>
        <w:t xml:space="preserve">(3), 2325967118763118. </w:t>
      </w:r>
      <w:hyperlink r:id="rId35" w:history="1">
        <w:r w:rsidRPr="00E90800">
          <w:rPr>
            <w:rStyle w:val="Hyperlink"/>
          </w:rPr>
          <w:t>https://doi.org/10.1177/2325967118763118</w:t>
        </w:r>
      </w:hyperlink>
    </w:p>
    <w:p w:rsidR="00777FE1" w:rsidRDefault="00777FE1" w:rsidP="00777FE1">
      <w:pPr>
        <w:pStyle w:val="NormalWeb"/>
        <w:ind w:left="360"/>
        <w:jc w:val="both"/>
      </w:pPr>
      <w:r>
        <w:t xml:space="preserve">Chipman, D., Perkins, C., Lijesen, E., &amp; Green, D. (2023). Pigmented villonodular synovitis/giant cell tumor in the knee. </w:t>
      </w:r>
      <w:r>
        <w:rPr>
          <w:rStyle w:val="Emphasis"/>
        </w:rPr>
        <w:t>Current Opinion in Pediatrics, 36,</w:t>
      </w:r>
      <w:r>
        <w:t xml:space="preserve"> 78–82. </w:t>
      </w:r>
      <w:hyperlink r:id="rId36" w:tgtFrame="_new" w:history="1">
        <w:r>
          <w:rPr>
            <w:rStyle w:val="Hyperlink"/>
          </w:rPr>
          <w:t>https://doi.org/10.1097/MOP.0000000000001312</w:t>
        </w:r>
      </w:hyperlink>
    </w:p>
    <w:p w:rsidR="00777FE1" w:rsidRDefault="00777FE1" w:rsidP="00777FE1">
      <w:pPr>
        <w:pStyle w:val="NormalWeb"/>
        <w:ind w:left="360"/>
        <w:jc w:val="both"/>
      </w:pPr>
      <w:r>
        <w:t xml:space="preserve">Adenitan, A., Yerima, A., Olaosebikan, H., Faleye, A., &amp; Lawan, A. (2023). Localized intra-articular pigmented villonodular synovitis in an adolescent patient: A case-based review of the literature. </w:t>
      </w:r>
      <w:r>
        <w:rPr>
          <w:rStyle w:val="Emphasis"/>
        </w:rPr>
        <w:t>Rheumatology.</w:t>
      </w:r>
      <w:r>
        <w:t xml:space="preserve"> </w:t>
      </w:r>
      <w:hyperlink r:id="rId37" w:tgtFrame="_new" w:history="1">
        <w:r>
          <w:rPr>
            <w:rStyle w:val="Hyperlink"/>
          </w:rPr>
          <w:t>https://doi.org/10.1093/rheumatology/kead323.069</w:t>
        </w:r>
      </w:hyperlink>
    </w:p>
    <w:p w:rsidR="00777FE1" w:rsidRDefault="00777FE1" w:rsidP="00777FE1">
      <w:pPr>
        <w:pStyle w:val="NormalWeb"/>
        <w:ind w:left="360"/>
        <w:jc w:val="both"/>
      </w:pPr>
      <w:r>
        <w:t xml:space="preserve">Pratamanugroho, I., &amp; Hernugrahanto, K. D. (2024). Pigmented villonodular synovitis of knee with concomitant partial tear of anterior cruciate ligament in a skeletally immature patient: A case report. </w:t>
      </w:r>
      <w:r>
        <w:rPr>
          <w:rStyle w:val="Emphasis"/>
        </w:rPr>
        <w:t>Surgery Case Reports, 3,</w:t>
      </w:r>
      <w:r>
        <w:t xml:space="preserve"> 100048. </w:t>
      </w:r>
      <w:hyperlink r:id="rId38" w:tgtFrame="_new" w:history="1">
        <w:r>
          <w:rPr>
            <w:rStyle w:val="Hyperlink"/>
          </w:rPr>
          <w:t>https://doi.org/10.1016/j.sycrs.2024.100048</w:t>
        </w:r>
      </w:hyperlink>
    </w:p>
    <w:p w:rsidR="00777FE1" w:rsidRDefault="00777FE1" w:rsidP="00777FE1">
      <w:pPr>
        <w:pStyle w:val="NormalWeb"/>
        <w:ind w:left="360"/>
        <w:jc w:val="both"/>
      </w:pPr>
      <w:r>
        <w:t xml:space="preserve">Giri Goswami, D. S., Bhake, D. A., Khan, D. S., Agrawal, D. S., &amp; Bhawani, D. J. (2023). Cytodiagnosis of pigmented villonodular synovitis involving carpal bones of the right wrist: A case report. </w:t>
      </w:r>
      <w:r>
        <w:rPr>
          <w:rStyle w:val="Emphasis"/>
        </w:rPr>
        <w:t>F1000Research, 12,</w:t>
      </w:r>
      <w:r>
        <w:t xml:space="preserve"> 1490. </w:t>
      </w:r>
      <w:hyperlink r:id="rId39" w:history="1">
        <w:r w:rsidRPr="00E90800">
          <w:rPr>
            <w:rStyle w:val="Hyperlink"/>
          </w:rPr>
          <w:t>https://doi.org/10.12688/f1000research.141797.1</w:t>
        </w:r>
      </w:hyperlink>
    </w:p>
    <w:p w:rsidR="00777FE1" w:rsidRDefault="00777FE1" w:rsidP="00777FE1">
      <w:pPr>
        <w:pStyle w:val="NormalWeb"/>
        <w:ind w:left="360"/>
        <w:jc w:val="both"/>
      </w:pPr>
      <w:r>
        <w:t xml:space="preserve">Mollon, B., Lee, A., Busse, J. W., Griffin, A. M., Ferguson, P. C., Wunder, J. S., &amp; Bell, R. S. (2015). The effect of surgical synovectomy and radiotherapy on the rate of recurrence of pigmented villonodular synovitis of the knee: An individual patient meta-analysis. </w:t>
      </w:r>
      <w:r>
        <w:rPr>
          <w:rStyle w:val="Emphasis"/>
        </w:rPr>
        <w:t>Bone &amp; Joint Journal, 97-B</w:t>
      </w:r>
      <w:r>
        <w:t xml:space="preserve">(4), 550–557. </w:t>
      </w:r>
      <w:hyperlink r:id="rId40" w:history="1">
        <w:r w:rsidRPr="00E90800">
          <w:rPr>
            <w:rStyle w:val="Hyperlink"/>
          </w:rPr>
          <w:t>https://doi.org/10.1302/0301-620X.97B4.34334</w:t>
        </w:r>
      </w:hyperlink>
    </w:p>
    <w:p w:rsidR="00777FE1" w:rsidRDefault="00777FE1" w:rsidP="00777FE1">
      <w:pPr>
        <w:pStyle w:val="NormalWeb"/>
        <w:ind w:left="360"/>
        <w:jc w:val="both"/>
      </w:pPr>
      <w:r>
        <w:t xml:space="preserve">Lukosius, E., Chopra, A., &amp; Parekh, S. (2022). Anterior capsule reconstruction in the setting of pigmented villonodular synovitis. </w:t>
      </w:r>
      <w:r>
        <w:rPr>
          <w:rStyle w:val="Emphasis"/>
        </w:rPr>
        <w:t>Foot &amp; Ankle Specialist.</w:t>
      </w:r>
      <w:r>
        <w:t xml:space="preserve"> </w:t>
      </w:r>
      <w:hyperlink r:id="rId41" w:tgtFrame="_new" w:history="1">
        <w:r>
          <w:rPr>
            <w:rStyle w:val="Hyperlink"/>
          </w:rPr>
          <w:t>https://doi.org/10.1177/19386400221088456</w:t>
        </w:r>
      </w:hyperlink>
    </w:p>
    <w:p w:rsidR="00777FE1" w:rsidRDefault="00777FE1" w:rsidP="00777FE1">
      <w:pPr>
        <w:pStyle w:val="NormalWeb"/>
        <w:ind w:left="360"/>
        <w:jc w:val="both"/>
      </w:pPr>
      <w:r>
        <w:t xml:space="preserve">Palmerini, E., Staals, E., Maki, R., Pengo, S., Cioffi, A., Gambarotti, M., Picci, P., Daolio, P., Parafioriti, A., Morris, C., Antonescu, C., Gronchi, A., Casali, P., Donati, D., Ferrari, S., &amp; Stacchiotti, S. (2015). Tenosynovial giant cell tumour/pigmented villonodular synovitis: Outcome of 294 patients before the era of kinase inhibitors. </w:t>
      </w:r>
      <w:r>
        <w:rPr>
          <w:rStyle w:val="Emphasis"/>
        </w:rPr>
        <w:t>European Journal of Cancer, 51</w:t>
      </w:r>
      <w:r>
        <w:t xml:space="preserve">(2), 210–217. </w:t>
      </w:r>
      <w:hyperlink r:id="rId42" w:tgtFrame="_new" w:history="1">
        <w:r>
          <w:rPr>
            <w:rStyle w:val="Hyperlink"/>
          </w:rPr>
          <w:t>https://doi.org/10.1016/j.ejca.2014.11.001</w:t>
        </w:r>
      </w:hyperlink>
    </w:p>
    <w:p w:rsidR="00777FE1" w:rsidRDefault="00777FE1" w:rsidP="00777FE1">
      <w:pPr>
        <w:pStyle w:val="NormalWeb"/>
        <w:ind w:left="360"/>
        <w:jc w:val="both"/>
      </w:pPr>
      <w:r>
        <w:t xml:space="preserve">Aurégan, J., Klouche, S., Bohu, Y., Lefèvre, N., Herman, S., &amp; Hardy, P. (2014). Treatment of pigmented villonodular synovitis of the knee. </w:t>
      </w:r>
      <w:r>
        <w:rPr>
          <w:rStyle w:val="Emphasis"/>
        </w:rPr>
        <w:t>Arthroscopy: The Journal of Arthroscopic &amp; Related Surgery, 30</w:t>
      </w:r>
      <w:r>
        <w:t xml:space="preserve">(10), 1327–1341. </w:t>
      </w:r>
      <w:hyperlink r:id="rId43" w:tgtFrame="_new" w:history="1">
        <w:r>
          <w:rPr>
            <w:rStyle w:val="Hyperlink"/>
          </w:rPr>
          <w:t>https://doi.org/10.1016/j.arthro.2014.04.101</w:t>
        </w:r>
      </w:hyperlink>
    </w:p>
    <w:p w:rsidR="00777FE1" w:rsidRDefault="00777FE1" w:rsidP="00777FE1">
      <w:pPr>
        <w:pStyle w:val="NormalWeb"/>
        <w:ind w:left="360"/>
        <w:jc w:val="both"/>
      </w:pPr>
      <w:r>
        <w:t xml:space="preserve">Sistla, R., J.V.S., V., &amp; Afroz, T. (2014). Malignant pigmented villonodular synovitis—A rare entity. </w:t>
      </w:r>
      <w:r>
        <w:rPr>
          <w:rStyle w:val="Emphasis"/>
        </w:rPr>
        <w:t>Journal of Orthopaedic Case Reports, 4</w:t>
      </w:r>
      <w:r>
        <w:t xml:space="preserve">(1), 9–11. </w:t>
      </w:r>
      <w:hyperlink r:id="rId44" w:tgtFrame="_new" w:history="1">
        <w:r>
          <w:rPr>
            <w:rStyle w:val="Hyperlink"/>
          </w:rPr>
          <w:t>https://doi.org/10.13107/jocr.2250-0685.214</w:t>
        </w:r>
      </w:hyperlink>
    </w:p>
    <w:p w:rsidR="00777FE1" w:rsidRDefault="00777FE1" w:rsidP="00777FE1">
      <w:pPr>
        <w:pStyle w:val="NormalWeb"/>
        <w:ind w:left="360"/>
        <w:jc w:val="both"/>
      </w:pPr>
      <w:r>
        <w:t xml:space="preserve">Layfield, L. J., Meloni-Ehrig, A., Liu, K., Shepard, R., &amp; Harrelson, J. (2000). Malignant giant cell tumor of synovium (malignant pigmented villonodular synovitis). </w:t>
      </w:r>
      <w:r>
        <w:rPr>
          <w:rStyle w:val="Emphasis"/>
        </w:rPr>
        <w:t xml:space="preserve">Archives of Pathology </w:t>
      </w:r>
      <w:r>
        <w:rPr>
          <w:rStyle w:val="Emphasis"/>
        </w:rPr>
        <w:lastRenderedPageBreak/>
        <w:t>&amp; Laboratory Medicine, 124</w:t>
      </w:r>
      <w:r>
        <w:t xml:space="preserve">(11), 1636–1641. </w:t>
      </w:r>
      <w:hyperlink r:id="rId45" w:tgtFrame="_new" w:history="1">
        <w:r>
          <w:rPr>
            <w:rStyle w:val="Hyperlink"/>
          </w:rPr>
          <w:t>https://doi.org/10.1043/0003-9985(2000)124</w:t>
        </w:r>
      </w:hyperlink>
      <w:r>
        <w:t>&lt;1636:MGCTOS&gt;2.0.CO;2</w:t>
      </w:r>
    </w:p>
    <w:p w:rsidR="00777FE1" w:rsidRPr="00D94768" w:rsidRDefault="00777FE1" w:rsidP="00777FE1">
      <w:pPr>
        <w:pStyle w:val="NormalWeb"/>
        <w:rPr>
          <w:color w:val="222222"/>
        </w:rPr>
      </w:pPr>
    </w:p>
    <w:p w:rsidR="00777FE1" w:rsidRPr="00A66D94" w:rsidRDefault="00777FE1" w:rsidP="00777FE1">
      <w:pPr>
        <w:pStyle w:val="NormalWeb"/>
        <w:spacing w:line="480" w:lineRule="auto"/>
        <w:jc w:val="both"/>
        <w:rPr>
          <w:b/>
        </w:rPr>
      </w:pPr>
    </w:p>
    <w:p w:rsidR="00777FE1" w:rsidRDefault="00777FE1" w:rsidP="00777FE1"/>
    <w:p w:rsidR="00EA4D36" w:rsidRDefault="00EA4D36"/>
    <w:sectPr w:rsidR="00EA4D3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02" w:rsidRDefault="00536402" w:rsidP="0041700D">
      <w:pPr>
        <w:spacing w:after="0" w:line="240" w:lineRule="auto"/>
      </w:pPr>
      <w:r>
        <w:separator/>
      </w:r>
    </w:p>
  </w:endnote>
  <w:endnote w:type="continuationSeparator" w:id="0">
    <w:p w:rsidR="00536402" w:rsidRDefault="00536402" w:rsidP="0041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41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02" w:rsidRDefault="00536402" w:rsidP="0041700D">
      <w:pPr>
        <w:spacing w:after="0" w:line="240" w:lineRule="auto"/>
      </w:pPr>
      <w:r>
        <w:separator/>
      </w:r>
    </w:p>
  </w:footnote>
  <w:footnote w:type="continuationSeparator" w:id="0">
    <w:p w:rsidR="00536402" w:rsidRDefault="00536402" w:rsidP="00417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5364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5364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0D" w:rsidRDefault="005364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15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FE1"/>
    <w:rsid w:val="00212DB3"/>
    <w:rsid w:val="00395B17"/>
    <w:rsid w:val="0041700D"/>
    <w:rsid w:val="00501AB6"/>
    <w:rsid w:val="00536402"/>
    <w:rsid w:val="0056459E"/>
    <w:rsid w:val="006B489F"/>
    <w:rsid w:val="00735DA1"/>
    <w:rsid w:val="00744315"/>
    <w:rsid w:val="00777FE1"/>
    <w:rsid w:val="00903E98"/>
    <w:rsid w:val="00A712A4"/>
    <w:rsid w:val="00B13515"/>
    <w:rsid w:val="00BA20B5"/>
    <w:rsid w:val="00EA4D36"/>
    <w:rsid w:val="00F9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D6A18C"/>
  <w15:chartTrackingRefBased/>
  <w15:docId w15:val="{848C393B-8494-4198-80D6-3508D735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FE1"/>
  </w:style>
  <w:style w:type="paragraph" w:styleId="Heading3">
    <w:name w:val="heading 3"/>
    <w:basedOn w:val="Normal"/>
    <w:next w:val="Normal"/>
    <w:link w:val="Heading3Char"/>
    <w:uiPriority w:val="9"/>
    <w:semiHidden/>
    <w:unhideWhenUsed/>
    <w:qFormat/>
    <w:rsid w:val="00A712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77F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7FE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77FE1"/>
    <w:rPr>
      <w:color w:val="0000FF"/>
      <w:u w:val="single"/>
    </w:rPr>
  </w:style>
  <w:style w:type="character" w:styleId="Strong">
    <w:name w:val="Strong"/>
    <w:basedOn w:val="DefaultParagraphFont"/>
    <w:uiPriority w:val="22"/>
    <w:qFormat/>
    <w:rsid w:val="00777FE1"/>
    <w:rPr>
      <w:b/>
      <w:bCs/>
    </w:rPr>
  </w:style>
  <w:style w:type="character" w:styleId="Emphasis">
    <w:name w:val="Emphasis"/>
    <w:basedOn w:val="DefaultParagraphFont"/>
    <w:uiPriority w:val="20"/>
    <w:qFormat/>
    <w:rsid w:val="00777FE1"/>
    <w:rPr>
      <w:i/>
      <w:iCs/>
    </w:rPr>
  </w:style>
  <w:style w:type="paragraph" w:styleId="NormalWeb">
    <w:name w:val="Normal (Web)"/>
    <w:basedOn w:val="Normal"/>
    <w:uiPriority w:val="99"/>
    <w:unhideWhenUsed/>
    <w:rsid w:val="00777F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7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2A4"/>
    <w:rPr>
      <w:color w:val="605E5C"/>
      <w:shd w:val="clear" w:color="auto" w:fill="E1DFDD"/>
    </w:rPr>
  </w:style>
  <w:style w:type="character" w:customStyle="1" w:styleId="Heading3Char">
    <w:name w:val="Heading 3 Char"/>
    <w:basedOn w:val="DefaultParagraphFont"/>
    <w:link w:val="Heading3"/>
    <w:uiPriority w:val="9"/>
    <w:semiHidden/>
    <w:rsid w:val="00A712A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17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0D"/>
  </w:style>
  <w:style w:type="paragraph" w:styleId="Footer">
    <w:name w:val="footer"/>
    <w:basedOn w:val="Normal"/>
    <w:link w:val="FooterChar"/>
    <w:uiPriority w:val="99"/>
    <w:unhideWhenUsed/>
    <w:rsid w:val="00417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MD.0000000000004572" TargetMode="External"/><Relationship Id="rId18" Type="http://schemas.openxmlformats.org/officeDocument/2006/relationships/hyperlink" Target="https://doi.org/10.5792/ksrr.18.015" TargetMode="External"/><Relationship Id="rId26" Type="http://schemas.openxmlformats.org/officeDocument/2006/relationships/hyperlink" Target="https://doi.org/10.1007/s11523-013-0267-8" TargetMode="External"/><Relationship Id="rId39" Type="http://schemas.openxmlformats.org/officeDocument/2006/relationships/hyperlink" Target="https://doi.org/10.12688/f1000research.141797.1" TargetMode="External"/><Relationship Id="rId21" Type="http://schemas.openxmlformats.org/officeDocument/2006/relationships/hyperlink" Target="https://doi.org/10.1016/j.cuor.2005.02.013" TargetMode="External"/><Relationship Id="rId34" Type="http://schemas.openxmlformats.org/officeDocument/2006/relationships/hyperlink" Target="https://doi.org/10.3389/fsurg.2023.1075171" TargetMode="External"/><Relationship Id="rId42" Type="http://schemas.openxmlformats.org/officeDocument/2006/relationships/hyperlink" Target="https://doi.org/10.1016/j.ejca.2014.11.00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doi.org/10.3857/roj.2022.00122" TargetMode="External"/><Relationship Id="rId2" Type="http://schemas.openxmlformats.org/officeDocument/2006/relationships/settings" Target="settings.xml"/><Relationship Id="rId16" Type="http://schemas.openxmlformats.org/officeDocument/2006/relationships/hyperlink" Target="https://doi.org/10.7150/thno.48666" TargetMode="External"/><Relationship Id="rId29" Type="http://schemas.openxmlformats.org/officeDocument/2006/relationships/hyperlink" Target="https://doi.org/10.1093/rheumatology/kead323.056" TargetMode="External"/><Relationship Id="rId11" Type="http://schemas.openxmlformats.org/officeDocument/2006/relationships/hyperlink" Target="https://doi.org/10.1093/jscr/rjab019" TargetMode="External"/><Relationship Id="rId24" Type="http://schemas.openxmlformats.org/officeDocument/2006/relationships/hyperlink" Target="https://doi.org/10.36347/sasjs.2022.v08i01.006" TargetMode="External"/><Relationship Id="rId32" Type="http://schemas.openxmlformats.org/officeDocument/2006/relationships/hyperlink" Target="https://doi.org/10.1016/j.knee.2017.03.011" TargetMode="External"/><Relationship Id="rId37" Type="http://schemas.openxmlformats.org/officeDocument/2006/relationships/hyperlink" Target="https://doi.org/10.1093/rheumatology/kead323.069" TargetMode="External"/><Relationship Id="rId40" Type="http://schemas.openxmlformats.org/officeDocument/2006/relationships/hyperlink" Target="https://doi.org/10.1302/0301-620X.97B4.34334" TargetMode="External"/><Relationship Id="rId45" Type="http://schemas.openxmlformats.org/officeDocument/2006/relationships/hyperlink" Target="https://doi.org/10.1043/0003-9985(2000)124"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doi.org/10.7759/cureus.816" TargetMode="External"/><Relationship Id="rId19" Type="http://schemas.openxmlformats.org/officeDocument/2006/relationships/hyperlink" Target="https://doi.org/10.1016/j.ijscr.2022.107720" TargetMode="External"/><Relationship Id="rId31" Type="http://schemas.openxmlformats.org/officeDocument/2006/relationships/hyperlink" Target="https://doi.org/10.1155/2014/615917" TargetMode="External"/><Relationship Id="rId44" Type="http://schemas.openxmlformats.org/officeDocument/2006/relationships/hyperlink" Target="https://doi.org/10.13107/jocr.2250-0685.214"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97/RHU.0000000000000980" TargetMode="External"/><Relationship Id="rId14" Type="http://schemas.openxmlformats.org/officeDocument/2006/relationships/hyperlink" Target="https://doi.org/10.1186/s12891-017-1654-6" TargetMode="External"/><Relationship Id="rId22" Type="http://schemas.openxmlformats.org/officeDocument/2006/relationships/hyperlink" Target="https://doi.org/10.1007/s12325-020-01364-4" TargetMode="External"/><Relationship Id="rId27" Type="http://schemas.openxmlformats.org/officeDocument/2006/relationships/hyperlink" Target="https://doi.org/10.1111/os.13707" TargetMode="External"/><Relationship Id="rId30" Type="http://schemas.openxmlformats.org/officeDocument/2006/relationships/hyperlink" Target="https://doi.org/10.1210/ER.2007-0001" TargetMode="External"/><Relationship Id="rId35" Type="http://schemas.openxmlformats.org/officeDocument/2006/relationships/hyperlink" Target="https://doi.org/10.1177/2325967118763118" TargetMode="External"/><Relationship Id="rId43" Type="http://schemas.openxmlformats.org/officeDocument/2006/relationships/hyperlink" Target="https://doi.org/10.1016/j.arthro.2014.04.101" TargetMode="External"/><Relationship Id="rId48" Type="http://schemas.openxmlformats.org/officeDocument/2006/relationships/footer" Target="footer1.xml"/><Relationship Id="rId8" Type="http://schemas.openxmlformats.org/officeDocument/2006/relationships/hyperlink" Target="https://doi.org/10.3389/fimmu.2021.665442" TargetMode="External"/><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doi.org/10.1259/bjrcr.20150404" TargetMode="External"/><Relationship Id="rId17" Type="http://schemas.openxmlformats.org/officeDocument/2006/relationships/hyperlink" Target="https://doi.org/10.1136/annrheumdis-2023-eular.4388" TargetMode="External"/><Relationship Id="rId25" Type="http://schemas.openxmlformats.org/officeDocument/2006/relationships/hyperlink" Target="https://doi.org/10.1186/s12891-015-0664-5" TargetMode="External"/><Relationship Id="rId33" Type="http://schemas.openxmlformats.org/officeDocument/2006/relationships/hyperlink" Target="https://doi.org/10.4103/jpgm.JPGM_305_19" TargetMode="External"/><Relationship Id="rId38" Type="http://schemas.openxmlformats.org/officeDocument/2006/relationships/hyperlink" Target="https://doi.org/10.1016/j.sycrs.2024.100048" TargetMode="External"/><Relationship Id="rId46" Type="http://schemas.openxmlformats.org/officeDocument/2006/relationships/header" Target="header1.xml"/><Relationship Id="rId20" Type="http://schemas.openxmlformats.org/officeDocument/2006/relationships/hyperlink" Target="https://doi.org/10.5606/ehc.2019.66065" TargetMode="External"/><Relationship Id="rId41" Type="http://schemas.openxmlformats.org/officeDocument/2006/relationships/hyperlink" Target="https://doi.org/10.1177/19386400221088456" TargetMode="External"/><Relationship Id="rId1" Type="http://schemas.openxmlformats.org/officeDocument/2006/relationships/styles" Target="styles.xml"/><Relationship Id="rId6" Type="http://schemas.openxmlformats.org/officeDocument/2006/relationships/hyperlink" Target="https://doi.org/10.1093/rheumatology/kead323.056" TargetMode="External"/><Relationship Id="rId15" Type="http://schemas.openxmlformats.org/officeDocument/2006/relationships/hyperlink" Target="https://doi.org/10.1007/s00167-018-4942-2" TargetMode="External"/><Relationship Id="rId23" Type="http://schemas.openxmlformats.org/officeDocument/2006/relationships/hyperlink" Target="https://doi.org/10.3857/roj.2022.00122" TargetMode="External"/><Relationship Id="rId28" Type="http://schemas.openxmlformats.org/officeDocument/2006/relationships/hyperlink" Target="https://doi.org/10.1016/j.semarthrit.2010.07.005" TargetMode="External"/><Relationship Id="rId36" Type="http://schemas.openxmlformats.org/officeDocument/2006/relationships/hyperlink" Target="https://doi.org/10.1097/MOP.0000000000001312"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5415</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Fafolahan</dc:creator>
  <cp:keywords/>
  <dc:description/>
  <cp:lastModifiedBy>SDI 1183</cp:lastModifiedBy>
  <cp:revision>11</cp:revision>
  <dcterms:created xsi:type="dcterms:W3CDTF">2025-02-10T09:58:00Z</dcterms:created>
  <dcterms:modified xsi:type="dcterms:W3CDTF">2025-08-06T10:28:00Z</dcterms:modified>
</cp:coreProperties>
</file>