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6FC6" w14:textId="310D8708"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Metabolic Syndrome and the Brain: Neurological Sequelae of Insulin Resistance and Dyslipidemia</w:t>
      </w:r>
    </w:p>
    <w:p w14:paraId="4F7FC357"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035DCED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Abstract</w:t>
      </w:r>
    </w:p>
    <w:p w14:paraId="6BEBA740" w14:textId="3654790D" w:rsidR="00EC2994" w:rsidRDefault="00DB16AC">
      <w:pPr>
        <w:spacing w:after="0" w:line="240" w:lineRule="auto"/>
        <w:rPr>
          <w:rFonts w:ascii="Times New Roman" w:eastAsia="Times New Roman" w:hAnsi="Times New Roman" w:cs="Times New Roman"/>
          <w:color w:val="000000"/>
          <w:kern w:val="0"/>
          <w14:ligatures w14:val="none"/>
        </w:rPr>
      </w:pPr>
      <w:r w:rsidRPr="001837A6">
        <w:rPr>
          <w:rFonts w:ascii="Times New Roman" w:hAnsi="Times New Roman" w:cs="Times New Roman"/>
          <w:color w:val="000000"/>
          <w:kern w:val="0"/>
          <w:highlight w:val="yellow"/>
          <w14:ligatures w14:val="none"/>
        </w:rPr>
        <w:t>Metabolic syndrome is a complex clinical entit</w:t>
      </w:r>
      <w:bookmarkStart w:id="0" w:name="_GoBack"/>
      <w:bookmarkEnd w:id="0"/>
      <w:r w:rsidRPr="001837A6">
        <w:rPr>
          <w:rFonts w:ascii="Times New Roman" w:hAnsi="Times New Roman" w:cs="Times New Roman"/>
          <w:color w:val="000000"/>
          <w:kern w:val="0"/>
          <w:highlight w:val="yellow"/>
          <w14:ligatures w14:val="none"/>
        </w:rPr>
        <w:t xml:space="preserve">y defined by a cluster of interconnected metabolic abnormalities, including central obesity, insulin resistance, </w:t>
      </w:r>
      <w:proofErr w:type="spellStart"/>
      <w:r w:rsidRPr="001837A6">
        <w:rPr>
          <w:rFonts w:ascii="Times New Roman" w:hAnsi="Times New Roman" w:cs="Times New Roman"/>
          <w:color w:val="000000"/>
          <w:kern w:val="0"/>
          <w:highlight w:val="yellow"/>
          <w14:ligatures w14:val="none"/>
        </w:rPr>
        <w:t>hyperglycemia</w:t>
      </w:r>
      <w:proofErr w:type="spellEnd"/>
      <w:r w:rsidRPr="001837A6">
        <w:rPr>
          <w:rFonts w:ascii="Times New Roman" w:hAnsi="Times New Roman" w:cs="Times New Roman"/>
          <w:color w:val="000000"/>
          <w:kern w:val="0"/>
          <w:highlight w:val="yellow"/>
          <w14:ligatures w14:val="none"/>
        </w:rPr>
        <w:t xml:space="preserve">, hypertension, and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w:t>
      </w:r>
      <w:r w:rsidRPr="00DB16AC">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Metabolic syndrome, </w:t>
      </w:r>
      <w:r w:rsidR="0078668F" w:rsidRPr="001837A6">
        <w:rPr>
          <w:rFonts w:ascii="Times New Roman" w:hAnsi="Times New Roman" w:cs="Times New Roman"/>
          <w:color w:val="000000"/>
          <w:kern w:val="0"/>
          <w:highlight w:val="yellow"/>
          <w14:ligatures w14:val="none"/>
        </w:rPr>
        <w:t xml:space="preserve">characterised </w:t>
      </w:r>
      <w:r w:rsidR="00951278">
        <w:rPr>
          <w:rFonts w:ascii="Times New Roman" w:hAnsi="Times New Roman" w:cs="Times New Roman"/>
          <w:color w:val="000000"/>
          <w:kern w:val="0"/>
          <w14:ligatures w14:val="none"/>
        </w:rPr>
        <w:t xml:space="preserve">by the clustering of central obesity, insulin resistance, dyslipidemia, and hypertension, is increasingly </w:t>
      </w:r>
      <w:r w:rsidR="0078668F" w:rsidRPr="001837A6">
        <w:rPr>
          <w:rFonts w:ascii="Times New Roman" w:hAnsi="Times New Roman" w:cs="Times New Roman"/>
          <w:color w:val="000000"/>
          <w:kern w:val="0"/>
          <w:highlight w:val="yellow"/>
          <w14:ligatures w14:val="none"/>
        </w:rPr>
        <w:t xml:space="preserve">recognised </w:t>
      </w:r>
      <w:r w:rsidR="00951278">
        <w:rPr>
          <w:rFonts w:ascii="Times New Roman" w:hAnsi="Times New Roman" w:cs="Times New Roman"/>
          <w:color w:val="000000"/>
          <w:kern w:val="0"/>
          <w14:ligatures w14:val="none"/>
        </w:rPr>
        <w:t xml:space="preserve">as a systemic disorder with profound implications beyond cardiovascular health. </w:t>
      </w:r>
      <w:r w:rsidR="009A48C9" w:rsidRPr="001837A6">
        <w:rPr>
          <w:rFonts w:ascii="Times New Roman" w:hAnsi="Times New Roman" w:cs="Times New Roman"/>
          <w:color w:val="000000"/>
          <w:kern w:val="0"/>
          <w:highlight w:val="yellow"/>
          <w14:ligatures w14:val="none"/>
        </w:rPr>
        <w:t xml:space="preserve">The review aimed to highlight convergent evidence linking insulin resistance and </w:t>
      </w:r>
      <w:proofErr w:type="spellStart"/>
      <w:r w:rsidR="009A48C9" w:rsidRPr="001837A6">
        <w:rPr>
          <w:rFonts w:ascii="Times New Roman" w:hAnsi="Times New Roman" w:cs="Times New Roman"/>
          <w:color w:val="000000"/>
          <w:kern w:val="0"/>
          <w:highlight w:val="yellow"/>
          <w14:ligatures w14:val="none"/>
        </w:rPr>
        <w:t>dyslipidemia</w:t>
      </w:r>
      <w:proofErr w:type="spellEnd"/>
      <w:r w:rsidR="009A48C9" w:rsidRPr="001837A6">
        <w:rPr>
          <w:rFonts w:ascii="Times New Roman" w:hAnsi="Times New Roman" w:cs="Times New Roman"/>
          <w:color w:val="000000"/>
          <w:kern w:val="0"/>
          <w:highlight w:val="yellow"/>
          <w14:ligatures w14:val="none"/>
        </w:rPr>
        <w:t xml:space="preserve"> to cognitive decline, neurodegenerative disease, and cerebrovascular pathology, while also identifying areas of uncertainty and future research directions.</w:t>
      </w:r>
      <w:r w:rsidR="009A48C9">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Emerging evidence highlights the brain as a vulnerable target organ, where metabolic derangements can precipitate structural and functional abnormalities with significant neurological consequences. Insulin resistance, a hallmark of metabolic syndrome, impairs cerebral glucose </w:t>
      </w:r>
      <w:r w:rsidR="0078668F" w:rsidRPr="001837A6">
        <w:rPr>
          <w:rFonts w:ascii="Times New Roman" w:hAnsi="Times New Roman" w:cs="Times New Roman"/>
          <w:color w:val="000000"/>
          <w:kern w:val="0"/>
          <w:highlight w:val="yellow"/>
          <w14:ligatures w14:val="none"/>
        </w:rPr>
        <w:t>utilisation</w:t>
      </w:r>
      <w:r w:rsidR="00951278">
        <w:rPr>
          <w:rFonts w:ascii="Times New Roman" w:hAnsi="Times New Roman" w:cs="Times New Roman"/>
          <w:color w:val="000000"/>
          <w:kern w:val="0"/>
          <w14:ligatures w14:val="none"/>
        </w:rPr>
        <w:t xml:space="preserve">, disrupts synaptic plasticity, and promotes neuroinflammation, thereby contributing to cognitive decline, mood disturbances, and heightened risk of neurodegenerative diseases such as Alzheimer’s disease. Concurrently, dyslipidemia alters blood–brain barrier integrity, promotes oxidative stress, and facilitates the deposition of atherogenic lipids in cerebral vessels, thereby exacerbating small vessel disease and increasing the risk of stroke. Neuroimaging studies have demonstrated that individuals with metabolic syndrome exhibit reduced hippocampal volume, altered white matter microstructure, and decreased functional connectivity in networks associated with memory and executive function. In summary, the interplay between metabolic syndrome and brain health represents a critical frontier in clinical neuroscience, with implications for understanding the pathophysiology of cognitive impairment, mood disorders, and neurodegeneration.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and addressing the neurological sequelae of insulin resistance and dyslipidemia may inform more comprehensive patient care, while advancing translational strategies to preserve cognitive and neurovascular integrity in populations at risk.</w:t>
      </w:r>
      <w:r w:rsidR="009A48C9">
        <w:rPr>
          <w:rFonts w:ascii="Times New Roman" w:hAnsi="Times New Roman" w:cs="Times New Roman"/>
          <w:color w:val="000000"/>
          <w:kern w:val="0"/>
          <w14:ligatures w14:val="none"/>
        </w:rPr>
        <w:t xml:space="preserve"> </w:t>
      </w:r>
      <w:r w:rsidR="009A48C9" w:rsidRPr="001837A6">
        <w:rPr>
          <w:rFonts w:ascii="Times New Roman" w:hAnsi="Times New Roman" w:cs="Times New Roman"/>
          <w:color w:val="000000"/>
          <w:kern w:val="0"/>
          <w:highlight w:val="yellow"/>
          <w14:ligatures w14:val="none"/>
        </w:rPr>
        <w:t xml:space="preserve">In conclusion, the evidence reviewed here demonstrates that metabolic syndrome, through the dual pathways of insulin resistance and </w:t>
      </w:r>
      <w:proofErr w:type="spellStart"/>
      <w:r w:rsidR="009A48C9" w:rsidRPr="001837A6">
        <w:rPr>
          <w:rFonts w:ascii="Times New Roman" w:hAnsi="Times New Roman" w:cs="Times New Roman"/>
          <w:color w:val="000000"/>
          <w:kern w:val="0"/>
          <w:highlight w:val="yellow"/>
          <w14:ligatures w14:val="none"/>
        </w:rPr>
        <w:t>dyslipidemia</w:t>
      </w:r>
      <w:proofErr w:type="spellEnd"/>
      <w:r w:rsidR="009A48C9" w:rsidRPr="001837A6">
        <w:rPr>
          <w:rFonts w:ascii="Times New Roman" w:hAnsi="Times New Roman" w:cs="Times New Roman"/>
          <w:color w:val="000000"/>
          <w:kern w:val="0"/>
          <w:highlight w:val="yellow"/>
          <w14:ligatures w14:val="none"/>
        </w:rPr>
        <w:t>, exerts profound and multifaceted effects on the brain.</w:t>
      </w:r>
      <w:r w:rsidR="009A48C9" w:rsidRPr="009A48C9">
        <w:rPr>
          <w:rFonts w:ascii="Times New Roman" w:hAnsi="Times New Roman" w:cs="Times New Roman"/>
          <w:color w:val="000000"/>
          <w:kern w:val="0"/>
          <w14:ligatures w14:val="none"/>
        </w:rPr>
        <w:t xml:space="preserve"> </w:t>
      </w:r>
      <w:r w:rsidR="00951278">
        <w:rPr>
          <w:rFonts w:ascii="Times New Roman" w:eastAsia="Times New Roman" w:hAnsi="Times New Roman" w:cs="Times New Roman"/>
          <w:noProof/>
          <w:color w:val="000000"/>
          <w:kern w:val="0"/>
          <w14:ligatures w14:val="none"/>
        </w:rPr>
        <mc:AlternateContent>
          <mc:Choice Requires="wps">
            <w:drawing>
              <wp:inline distT="0" distB="0" distL="0" distR="0" wp14:anchorId="621E91C9" wp14:editId="49CBC63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4A7C3BB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lang w:val="en-US"/>
          <w14:ligatures w14:val="none"/>
        </w:rPr>
        <w:t xml:space="preserve">Keywords: </w:t>
      </w:r>
      <w:r>
        <w:rPr>
          <w:rFonts w:ascii="Times New Roman" w:hAnsi="Times New Roman" w:cs="Times New Roman"/>
          <w:b/>
          <w:bCs/>
          <w:color w:val="000000"/>
          <w:kern w:val="0"/>
          <w14:ligatures w14:val="none"/>
        </w:rPr>
        <w:t>Metabolic syndrome; Insulin resistance; Dyslipidemia; Neurodegeneration; Cognitive impairment</w:t>
      </w:r>
    </w:p>
    <w:p w14:paraId="1B0B7988"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24203AA"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Introduction</w:t>
      </w:r>
    </w:p>
    <w:p w14:paraId="59935F82" w14:textId="4A861A84" w:rsidR="00EC2994" w:rsidRDefault="0078668F">
      <w:pPr>
        <w:spacing w:before="100" w:beforeAutospacing="1" w:after="100" w:afterAutospacing="1" w:line="240" w:lineRule="auto"/>
        <w:rPr>
          <w:rFonts w:ascii="Times New Roman" w:hAnsi="Times New Roman" w:cs="Times New Roman"/>
          <w:color w:val="000000"/>
          <w:kern w:val="0"/>
          <w14:ligatures w14:val="none"/>
        </w:rPr>
      </w:pPr>
      <w:r w:rsidRPr="001837A6">
        <w:rPr>
          <w:rFonts w:ascii="Times New Roman" w:hAnsi="Times New Roman" w:cs="Times New Roman"/>
          <w:color w:val="000000"/>
          <w:kern w:val="0"/>
          <w:highlight w:val="yellow"/>
          <w14:ligatures w14:val="none"/>
        </w:rPr>
        <w:t>Metabolic syndrome (MS) refers to a clustering of metabolic risk factors, including central obesity, glucose intolerance, hyperinsulinemia, low HDL cholesterol, high triglycerides and hypertension. People with MS are twice as likely to die from, and three times as likely to develop, myocardial infarction (MI) or stroke compared to people without MS (Balaji, 2021).</w:t>
      </w:r>
      <w:r>
        <w:rPr>
          <w:rFonts w:ascii="Times New Roman" w:hAnsi="Times New Roman" w:cs="Times New Roman"/>
          <w:color w:val="000000"/>
          <w:kern w:val="0"/>
          <w14:ligatures w14:val="none"/>
        </w:rPr>
        <w:t xml:space="preserve"> </w:t>
      </w:r>
      <w:r w:rsidRPr="001837A6">
        <w:rPr>
          <w:rFonts w:ascii="Times New Roman" w:hAnsi="Times New Roman" w:cs="Times New Roman"/>
          <w:color w:val="000000"/>
          <w:kern w:val="0"/>
          <w:highlight w:val="yellow"/>
          <w14:ligatures w14:val="none"/>
        </w:rPr>
        <w:t>(MS)</w:t>
      </w:r>
      <w:r w:rsidRPr="0078668F">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is a complex clinical entity defined by a cluster of interconnected metabolic abnormalities, including central obesity, insulin resistance, hyperglycemia, hypertension, and dyslipidemia. It is increasingly </w:t>
      </w:r>
      <w:r w:rsidRPr="001837A6">
        <w:rPr>
          <w:rFonts w:ascii="Times New Roman" w:hAnsi="Times New Roman" w:cs="Times New Roman"/>
          <w:color w:val="000000"/>
          <w:kern w:val="0"/>
          <w:highlight w:val="yellow"/>
          <w14:ligatures w14:val="none"/>
        </w:rPr>
        <w:t>recognised</w:t>
      </w:r>
      <w:r>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not merely as a cardiovascular risk factor but as a </w:t>
      </w:r>
      <w:r w:rsidR="00951278">
        <w:rPr>
          <w:rFonts w:ascii="Times New Roman" w:hAnsi="Times New Roman" w:cs="Times New Roman"/>
          <w:color w:val="000000"/>
          <w:kern w:val="0"/>
          <w14:ligatures w14:val="none"/>
        </w:rPr>
        <w:lastRenderedPageBreak/>
        <w:t xml:space="preserve">systemic disorder with widespread effects across multiple organ systems, including the brain (Alberti et al., 2009). The rising global prevalence of metabolic syndrome reflects the convergence of sedentary lifestyles, caloric excess, and genetic predisposition, making it a pressing public health concern. Current estimates suggest that nearly one-quarter of the adult population worldwide meets diagnostic criteria for metabolic syndrome, with its prevalence continuing to rise in parallel with obesity and type 2 diabetes (Saklayen, 2018). Traditionally, clinical attention has </w:t>
      </w:r>
      <w:r w:rsidRPr="001837A6">
        <w:rPr>
          <w:rFonts w:ascii="Times New Roman" w:hAnsi="Times New Roman" w:cs="Times New Roman"/>
          <w:color w:val="000000"/>
          <w:kern w:val="0"/>
          <w:highlight w:val="yellow"/>
          <w14:ligatures w14:val="none"/>
        </w:rPr>
        <w:t xml:space="preserve">centred </w:t>
      </w:r>
      <w:r w:rsidR="00951278">
        <w:rPr>
          <w:rFonts w:ascii="Times New Roman" w:hAnsi="Times New Roman" w:cs="Times New Roman"/>
          <w:color w:val="000000"/>
          <w:kern w:val="0"/>
          <w14:ligatures w14:val="none"/>
        </w:rPr>
        <w:t>on the syndrome’s role in predisposing individuals to atherosclerotic cardiovascular disease and type 2 diabetes mellitus, yet growing evidence underscores that its impact on the central nervous system may be equally profound (Kaur, 2014).</w:t>
      </w:r>
    </w:p>
    <w:p w14:paraId="05C3D466" w14:textId="15B41A04"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brain, as one of the most metabolically active organs, is uniquely vulnerable to systemic metabolic dysregulation. Glucose and lipids serve as the primary energetic substrates for neuronal function, synaptic transmission, and structural maintenance of neural circuits. Disruptions in insulin </w:t>
      </w:r>
      <w:r w:rsidR="0078668F" w:rsidRPr="001837A6">
        <w:rPr>
          <w:rFonts w:ascii="Times New Roman" w:hAnsi="Times New Roman" w:cs="Times New Roman"/>
          <w:color w:val="000000"/>
          <w:kern w:val="0"/>
          <w:highlight w:val="yellow"/>
          <w14:ligatures w14:val="none"/>
        </w:rPr>
        <w:t xml:space="preserve">signalling </w:t>
      </w:r>
      <w:r>
        <w:rPr>
          <w:rFonts w:ascii="Times New Roman" w:hAnsi="Times New Roman" w:cs="Times New Roman"/>
          <w:color w:val="000000"/>
          <w:kern w:val="0"/>
          <w14:ligatures w14:val="none"/>
        </w:rPr>
        <w:t>and lipid metabolism not only compromise energy homeostasis but also trigger cascades of neuroinflammatory and neurodegenerative processes (Arnold et al., 2018). Insulin, long regarded primarily as a peripheral metabolic hormone, is now understood to play critical roles in the central nervous system, including regulation of synaptic plasticity, memory consolidation, and neuroprotection (Craft &amp; Watson, 2004). In states of insulin resistance, these central actions of insulin become impaired, setting the stage for cognitive decline, mood disorders, and increased susceptibility to neurodegenerative conditions such as Alzheimer’s disease and Parkinson’s disease (De Felice &amp; Ferreira, 2014).</w:t>
      </w:r>
    </w:p>
    <w:p w14:paraId="44B7FC2F" w14:textId="097CE938" w:rsidR="00EC2994" w:rsidRDefault="00DB16AC">
      <w:pPr>
        <w:spacing w:before="100" w:beforeAutospacing="1" w:after="100" w:afterAutospacing="1" w:line="240" w:lineRule="auto"/>
        <w:rPr>
          <w:rFonts w:ascii="Times New Roman" w:hAnsi="Times New Roman" w:cs="Times New Roman"/>
          <w:color w:val="000000"/>
          <w:kern w:val="0"/>
          <w14:ligatures w14:val="none"/>
        </w:rPr>
      </w:pPr>
      <w:proofErr w:type="spellStart"/>
      <w:r w:rsidRPr="001837A6">
        <w:rPr>
          <w:rFonts w:ascii="Times New Roman" w:hAnsi="Times New Roman" w:cs="Times New Roman"/>
          <w:color w:val="000000"/>
          <w:kern w:val="0"/>
          <w:highlight w:val="yellow"/>
          <w14:ligatures w14:val="none"/>
        </w:rPr>
        <w:t>Dyslipidemias</w:t>
      </w:r>
      <w:proofErr w:type="spellEnd"/>
      <w:r w:rsidRPr="001837A6">
        <w:rPr>
          <w:rFonts w:ascii="Times New Roman" w:hAnsi="Times New Roman" w:cs="Times New Roman"/>
          <w:color w:val="000000"/>
          <w:kern w:val="0"/>
          <w:highlight w:val="yellow"/>
          <w14:ligatures w14:val="none"/>
        </w:rPr>
        <w:t xml:space="preserve"> can be characterised by an elevated level of TC (total cholesterol), LDL-C (low-density lipoprotein cholesterol), TGs (triglycerides), a lowered level of HDL-C (high-density lipoprotein cholesterol) within the blood plasma, or by blends of the mentioned elements. In other words, they constitute metabolic disturbances associated with the lipid profile.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 xml:space="preserve"> prevalence has increased over the last several years, and it often happens to be the starting point of cardiovascular disease (</w:t>
      </w:r>
      <w:proofErr w:type="spellStart"/>
      <w:r w:rsidRPr="001837A6">
        <w:rPr>
          <w:rFonts w:ascii="Times New Roman" w:hAnsi="Times New Roman" w:cs="Times New Roman"/>
          <w:color w:val="000000"/>
          <w:kern w:val="0"/>
          <w:highlight w:val="yellow"/>
          <w14:ligatures w14:val="none"/>
        </w:rPr>
        <w:t>Dybiec</w:t>
      </w:r>
      <w:proofErr w:type="spellEnd"/>
      <w:r w:rsidRPr="001837A6">
        <w:rPr>
          <w:rFonts w:ascii="Times New Roman" w:hAnsi="Times New Roman" w:cs="Times New Roman"/>
          <w:color w:val="000000"/>
          <w:kern w:val="0"/>
          <w:highlight w:val="yellow"/>
          <w14:ligatures w14:val="none"/>
        </w:rPr>
        <w:t xml:space="preserve"> et al., 2023</w:t>
      </w:r>
      <w:r w:rsidR="00D01EAC">
        <w:rPr>
          <w:rFonts w:ascii="Times New Roman" w:hAnsi="Times New Roman" w:cs="Times New Roman"/>
          <w:color w:val="000000"/>
          <w:kern w:val="0"/>
          <w:highlight w:val="yellow"/>
          <w14:ligatures w14:val="none"/>
        </w:rPr>
        <w:t xml:space="preserve">; </w:t>
      </w:r>
      <w:proofErr w:type="spellStart"/>
      <w:r w:rsidR="00D01EAC" w:rsidRPr="001837A6">
        <w:rPr>
          <w:rFonts w:ascii="Times New Roman" w:hAnsi="Times New Roman" w:cs="Times New Roman"/>
          <w:color w:val="000000"/>
          <w:kern w:val="0"/>
          <w:highlight w:val="yellow"/>
          <w14:ligatures w14:val="none"/>
        </w:rPr>
        <w:t>Nussbaumerova</w:t>
      </w:r>
      <w:proofErr w:type="spellEnd"/>
      <w:r w:rsidR="00D01EAC" w:rsidRPr="001837A6">
        <w:rPr>
          <w:rFonts w:ascii="Times New Roman" w:hAnsi="Times New Roman" w:cs="Times New Roman"/>
          <w:color w:val="000000"/>
          <w:kern w:val="0"/>
          <w:highlight w:val="yellow"/>
          <w14:ligatures w14:val="none"/>
        </w:rPr>
        <w:t xml:space="preserve"> &amp; </w:t>
      </w:r>
      <w:proofErr w:type="spellStart"/>
      <w:r w:rsidR="00D01EAC" w:rsidRPr="001837A6">
        <w:rPr>
          <w:rFonts w:ascii="Times New Roman" w:hAnsi="Times New Roman" w:cs="Times New Roman"/>
          <w:color w:val="000000"/>
          <w:kern w:val="0"/>
          <w:highlight w:val="yellow"/>
          <w14:ligatures w14:val="none"/>
        </w:rPr>
        <w:t>Rosolova</w:t>
      </w:r>
      <w:proofErr w:type="spellEnd"/>
      <w:r w:rsidR="00D01EAC" w:rsidRPr="001837A6">
        <w:rPr>
          <w:rFonts w:ascii="Times New Roman" w:hAnsi="Times New Roman" w:cs="Times New Roman"/>
          <w:color w:val="000000"/>
          <w:kern w:val="0"/>
          <w:highlight w:val="yellow"/>
          <w14:ligatures w14:val="none"/>
        </w:rPr>
        <w:t>, 2023</w:t>
      </w:r>
      <w:r w:rsidRPr="001837A6">
        <w:rPr>
          <w:rFonts w:ascii="Times New Roman" w:hAnsi="Times New Roman" w:cs="Times New Roman"/>
          <w:color w:val="000000"/>
          <w:kern w:val="0"/>
          <w:highlight w:val="yellow"/>
          <w14:ligatures w14:val="none"/>
        </w:rPr>
        <w:t>).</w:t>
      </w:r>
      <w:r>
        <w:rPr>
          <w:rFonts w:ascii="Times New Roman" w:hAnsi="Times New Roman" w:cs="Times New Roman"/>
          <w:color w:val="000000"/>
          <w:kern w:val="0"/>
          <w14:ligatures w14:val="none"/>
        </w:rPr>
        <w:t xml:space="preserve"> </w:t>
      </w:r>
      <w:proofErr w:type="spellStart"/>
      <w:r w:rsidR="00951278">
        <w:rPr>
          <w:rFonts w:ascii="Times New Roman" w:hAnsi="Times New Roman" w:cs="Times New Roman"/>
          <w:color w:val="000000"/>
          <w:kern w:val="0"/>
          <w14:ligatures w14:val="none"/>
        </w:rPr>
        <w:t>Dyslipidemia</w:t>
      </w:r>
      <w:proofErr w:type="spellEnd"/>
      <w:r w:rsidR="00951278">
        <w:rPr>
          <w:rFonts w:ascii="Times New Roman" w:hAnsi="Times New Roman" w:cs="Times New Roman"/>
          <w:color w:val="000000"/>
          <w:kern w:val="0"/>
          <w14:ligatures w14:val="none"/>
        </w:rPr>
        <w:t>, another core feature of metabolic syndrome, exerts equally deleterious effects on brain health. Elevated triglycerides, reduced high-density lipoprotein cholesterol, and increased low-density lipoprotein cholesterol contribute to cerebrovascular dysfunction, disruption of the blood–brain barrier, and impaired clearance of neurotoxic proteins such as amyloid-beta (van der Lee et al., 2018</w:t>
      </w:r>
      <w:r w:rsidR="006607D1" w:rsidRPr="001837A6">
        <w:rPr>
          <w:rFonts w:ascii="Times New Roman" w:hAnsi="Times New Roman" w:cs="Times New Roman"/>
          <w:color w:val="000000"/>
          <w:kern w:val="0"/>
          <w:highlight w:val="yellow"/>
          <w14:ligatures w14:val="none"/>
        </w:rPr>
        <w:t>; Crockett et al., 2021</w:t>
      </w:r>
      <w:r w:rsidR="00951278">
        <w:rPr>
          <w:rFonts w:ascii="Times New Roman" w:hAnsi="Times New Roman" w:cs="Times New Roman"/>
          <w:color w:val="000000"/>
          <w:kern w:val="0"/>
          <w14:ligatures w14:val="none"/>
        </w:rPr>
        <w:t>). Moreover, lipid abnormalities are linked to white matter lesions, small vessel disease, and stroke, all of which have enduring consequences for cognitive and neurological function (Dearborn et al., 2014). Together, insulin resistance and dyslipidemia form a pathogenic nexus through which metabolic syndrome compromises neuronal survival, vascular integrity, and cognitive resilience</w:t>
      </w:r>
      <w:r w:rsidR="00D01EAC">
        <w:rPr>
          <w:rFonts w:ascii="Times New Roman" w:hAnsi="Times New Roman" w:cs="Times New Roman"/>
          <w:color w:val="000000"/>
          <w:kern w:val="0"/>
          <w14:ligatures w14:val="none"/>
        </w:rPr>
        <w:t xml:space="preserve"> </w:t>
      </w:r>
      <w:r w:rsidR="00D01EAC" w:rsidRPr="001837A6">
        <w:rPr>
          <w:rFonts w:ascii="Times New Roman" w:hAnsi="Times New Roman" w:cs="Times New Roman"/>
          <w:color w:val="000000"/>
          <w:kern w:val="0"/>
          <w:highlight w:val="yellow"/>
          <w14:ligatures w14:val="none"/>
        </w:rPr>
        <w:t>(Jakubiak et al., 2021)</w:t>
      </w:r>
      <w:r w:rsidR="00951278">
        <w:rPr>
          <w:rFonts w:ascii="Times New Roman" w:hAnsi="Times New Roman" w:cs="Times New Roman"/>
          <w:color w:val="000000"/>
          <w:kern w:val="0"/>
          <w14:ligatures w14:val="none"/>
        </w:rPr>
        <w:t>.</w:t>
      </w:r>
    </w:p>
    <w:p w14:paraId="61527A94" w14:textId="3956B9AF"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Mounting epidemiological and neuroimaging evidence demonstrates that individuals with metabolic syndrome are at heightened risk of cognitive decline and dementia. Large-scale longitudinal studies have revealed that midlife metabolic syndrome predicts late-life cognitive impairment and dementia, independent of traditional cardiovascular risk factors (Yaffe et al., 2004). Functional and structural brain imaging consistently shows associations between metabolic syndrome and hippocampal atrophy, cortical thinning, reduced </w:t>
      </w:r>
      <w:r w:rsidR="0078668F" w:rsidRPr="001837A6">
        <w:rPr>
          <w:rFonts w:ascii="Times New Roman" w:hAnsi="Times New Roman" w:cs="Times New Roman"/>
          <w:color w:val="000000"/>
          <w:kern w:val="0"/>
          <w:highlight w:val="yellow"/>
          <w14:ligatures w14:val="none"/>
        </w:rPr>
        <w:t>grey</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matter volume, and microstructural abnormalities in white matter tracts (Segura et al., 2009). Such changes are clinically relevant, as they correlate with impairments in memory, executive function, and processing speed—domains essential for maintaining independence and quality of life.</w:t>
      </w:r>
    </w:p>
    <w:p w14:paraId="343561F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 mechanisms linking metabolic syndrome to brain pathology are multifactorial and synergistic. Insulin resistance diminishes neuronal glucose uptake, leading to energetic deficits that impair synaptic transmission and plasticity (Cai et al., 2018). Concurrently, chronic hyperinsulinemia enhances amyloidogenic processing of amyloid precursor protein, increasing amyloid-beta accumulation in the brain (Talbot et al., 2012). Dyslipidemia contributes to oxidative stress and endothelial dysfunction, exacerbating cerebral hypoperfusion and microvascular damage (Reitz et al., 2011). Systemic inflammation, a hallmark of metabolic syndrome, further amplifies neuroinflammation via cytokine-mediated pathways, ultimately disrupting neuronal integrity and promoting tau hyperphosphorylation (Gustafson et al., 2004). Collectively, these processes converge to accelerate neurodegeneration and cognitive decline.</w:t>
      </w:r>
    </w:p>
    <w:p w14:paraId="7EFD527E"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Beyond dementia, metabolic syndrome also appears to predispose individuals to a spectrum of neurological disorders. Evidence suggests an increased risk of stroke, transient ischemic attacks, and small vessel cerebrovascular disease among individuals with metabolic syndrome (Alberti et al., 2009). Neuropsychiatric outcomes are also implicated, with insulin resistance and dyslipidemia linked to higher prevalence of depression, anxiety, and bipolar disorder (Milaneschi et al., 2019). These associations highlight the broad neurological sequelae of metabolic dysfunction, extending well beyond cognitive impairment.</w:t>
      </w:r>
    </w:p>
    <w:p w14:paraId="5752AA54" w14:textId="5954F80E"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Importantly, the relationship between metabolic syndrome and neurological outcomes is bidirectional. Just as metabolic dysfunction contributes to brain pathology, neurological impairment can exacerbate metabolic dysregulation through alterations in autonomic nervous system function, hypothalamic </w:t>
      </w:r>
      <w:r w:rsidR="0078668F" w:rsidRPr="001837A6">
        <w:rPr>
          <w:rFonts w:ascii="Times New Roman" w:hAnsi="Times New Roman" w:cs="Times New Roman"/>
          <w:color w:val="000000"/>
          <w:kern w:val="0"/>
          <w:highlight w:val="yellow"/>
          <w14:ligatures w14:val="none"/>
        </w:rPr>
        <w:t>signalling, and behavioural changes</w:t>
      </w:r>
      <w:r>
        <w:rPr>
          <w:rFonts w:ascii="Times New Roman" w:hAnsi="Times New Roman" w:cs="Times New Roman"/>
          <w:color w:val="000000"/>
          <w:kern w:val="0"/>
          <w14:ligatures w14:val="none"/>
        </w:rPr>
        <w:t xml:space="preserve">. For instance, hypothalamic insulin resistance has been implicated in disordered appetite regulation and further metabolic deterioration (Kullmann et al., 2016). Cognitive decline may also compromise adherence to healthy lifestyles and medical regimens, thereby perpetuating metabolic syndrome in a vicious cycle.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this reciprocal interplay underscores the importance of integrated approaches to prevention and treatment.</w:t>
      </w:r>
    </w:p>
    <w:p w14:paraId="195D2A6A" w14:textId="2BBD0D2D"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Despite accumulating evidence, several gaps in understanding persist. The precise molecular pathways linking insulin resistance and dyslipidemia to specific patterns of neural degeneration remain incompletely defined. Furthermore, not all individuals with metabolic syndrome develop neurological sequelae, suggesting potential roles for genetic susceptibility, epigenetic regulation, and environmental modifiers (Ekblad et al., 2017). Advanced neuroimaging, biomarkers of insulin </w:t>
      </w:r>
      <w:r w:rsidR="0078668F" w:rsidRPr="001837A6">
        <w:rPr>
          <w:rFonts w:ascii="Times New Roman" w:hAnsi="Times New Roman" w:cs="Times New Roman"/>
          <w:color w:val="000000"/>
          <w:kern w:val="0"/>
          <w:highlight w:val="yellow"/>
          <w14:ligatures w14:val="none"/>
        </w:rPr>
        <w:t>signalling</w:t>
      </w:r>
      <w:r>
        <w:rPr>
          <w:rFonts w:ascii="Times New Roman" w:hAnsi="Times New Roman" w:cs="Times New Roman"/>
          <w:color w:val="000000"/>
          <w:kern w:val="0"/>
          <w14:ligatures w14:val="none"/>
        </w:rPr>
        <w:t xml:space="preserve">, and </w:t>
      </w:r>
      <w:proofErr w:type="spellStart"/>
      <w:r>
        <w:rPr>
          <w:rFonts w:ascii="Times New Roman" w:hAnsi="Times New Roman" w:cs="Times New Roman"/>
          <w:color w:val="000000"/>
          <w:kern w:val="0"/>
          <w14:ligatures w14:val="none"/>
        </w:rPr>
        <w:t>lipidomics</w:t>
      </w:r>
      <w:proofErr w:type="spellEnd"/>
      <w:r>
        <w:rPr>
          <w:rFonts w:ascii="Times New Roman" w:hAnsi="Times New Roman" w:cs="Times New Roman"/>
          <w:color w:val="000000"/>
          <w:kern w:val="0"/>
          <w14:ligatures w14:val="none"/>
        </w:rPr>
        <w:t xml:space="preserve"> are increasingly being deployed to unravel these complexities.</w:t>
      </w:r>
    </w:p>
    <w:p w14:paraId="2630EC71" w14:textId="0EAF33E5"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From a clinical perspective, addressing the neurological consequences of metabolic syndrome requires a multifaceted approach. Lifestyle modification—including diet, exercise, and weight management—remains the cornerstone of treatment and has demonstrated efficacy in improving both metabolic and cognitive outcomes (Ngandu et al., 2015). Pharmacological interventions targeting glycemic control, lipid regulation, and blood pressure </w:t>
      </w:r>
      <w:r w:rsidR="0078668F" w:rsidRPr="001837A6">
        <w:rPr>
          <w:rFonts w:ascii="Times New Roman" w:hAnsi="Times New Roman" w:cs="Times New Roman"/>
          <w:color w:val="000000"/>
          <w:kern w:val="0"/>
          <w:highlight w:val="yellow"/>
          <w14:ligatures w14:val="none"/>
        </w:rPr>
        <w:t>optimisation</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have shown promise in mitigating neurovascular risk, though their direct effects on cognition remain less certain (Biessels et al., 2006). Novel therapeutic strategies, including intranasal insulin delivery and agents modulating lipid metabolism, are under investigation as potential neuroprotective interventions (Benedict &amp; Hallschmid, 2014).</w:t>
      </w:r>
    </w:p>
    <w:p w14:paraId="3DEB6CEA" w14:textId="61B0004F"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Ultimately, the study of metabolic syndrome and its neurological sequelae offers an opportunity to bridge disciplines across endocrinology, neurology, and psychiatry. It compels </w:t>
      </w:r>
      <w:r>
        <w:rPr>
          <w:rFonts w:ascii="Times New Roman" w:hAnsi="Times New Roman" w:cs="Times New Roman"/>
          <w:color w:val="000000"/>
          <w:kern w:val="0"/>
          <w14:ligatures w14:val="none"/>
        </w:rPr>
        <w:lastRenderedPageBreak/>
        <w:t xml:space="preserve">clinicians and researchers to move beyond the traditional cardiovascular paradigm and to </w:t>
      </w:r>
      <w:r w:rsidR="0078668F" w:rsidRPr="001837A6">
        <w:rPr>
          <w:rFonts w:ascii="Times New Roman" w:hAnsi="Times New Roman" w:cs="Times New Roman"/>
          <w:color w:val="000000"/>
          <w:kern w:val="0"/>
          <w:highlight w:val="yellow"/>
          <w14:ligatures w14:val="none"/>
        </w:rPr>
        <w:t xml:space="preserve">recognise </w:t>
      </w:r>
      <w:r>
        <w:rPr>
          <w:rFonts w:ascii="Times New Roman" w:hAnsi="Times New Roman" w:cs="Times New Roman"/>
          <w:color w:val="000000"/>
          <w:kern w:val="0"/>
          <w14:ligatures w14:val="none"/>
        </w:rPr>
        <w:t xml:space="preserve">brain health as an equally critical endpoint of metabolic dysfunction. As the global burden of metabolic syndrome continues to rise, understanding and mitigating its neurological consequences is essential for preserving cognitive and functional capacity in </w:t>
      </w:r>
      <w:r w:rsidR="0078668F" w:rsidRPr="001837A6">
        <w:rPr>
          <w:rFonts w:ascii="Times New Roman" w:hAnsi="Times New Roman" w:cs="Times New Roman"/>
          <w:color w:val="000000"/>
          <w:kern w:val="0"/>
          <w:highlight w:val="yellow"/>
          <w14:ligatures w14:val="none"/>
        </w:rPr>
        <w:t xml:space="preserve">ageing </w:t>
      </w:r>
      <w:r>
        <w:rPr>
          <w:rFonts w:ascii="Times New Roman" w:hAnsi="Times New Roman" w:cs="Times New Roman"/>
          <w:color w:val="000000"/>
          <w:kern w:val="0"/>
          <w14:ligatures w14:val="none"/>
        </w:rPr>
        <w:t>populations.</w:t>
      </w:r>
    </w:p>
    <w:p w14:paraId="0BBE19E3"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98082BA" wp14:editId="4223E360">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2" filled="f" stroked="t" style="margin-left:0.0pt;margin-top:0.0pt;width:451.3pt;height:0.1pt;mso-wrap-distance-left:0.0pt;mso-wrap-distance-right:0.0pt;visibility:visible;">
                <w10:anchorlock/>
                <v:stroke joinstyle="miter"/>
                <v:fill rotate="true"/>
              </v:rect>
            </w:pict>
          </mc:Fallback>
        </mc:AlternateContent>
      </w:r>
    </w:p>
    <w:p w14:paraId="16F3DAE1"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420B32C"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Methods</w:t>
      </w:r>
    </w:p>
    <w:p w14:paraId="158652C3" w14:textId="457CB559"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review was conducted to </w:t>
      </w:r>
      <w:r w:rsidR="0078668F" w:rsidRPr="001837A6">
        <w:rPr>
          <w:rFonts w:ascii="Times New Roman" w:hAnsi="Times New Roman" w:cs="Times New Roman"/>
          <w:color w:val="000000"/>
          <w:kern w:val="0"/>
          <w:highlight w:val="yellow"/>
          <w14:ligatures w14:val="none"/>
        </w:rPr>
        <w:t xml:space="preserve">synthesise </w:t>
      </w:r>
      <w:r>
        <w:rPr>
          <w:rFonts w:ascii="Times New Roman" w:hAnsi="Times New Roman" w:cs="Times New Roman"/>
          <w:color w:val="000000"/>
          <w:kern w:val="0"/>
          <w14:ligatures w14:val="none"/>
        </w:rPr>
        <w:t xml:space="preserve">current knowledge on the neurological sequelae of insulin resistance and dyslipidemia in the context of metabolic syndrome. A comprehensive literature search was performed across multiple electronic databases, including PubMed, Scopus, Embase, and Google Scholar, to identify relevant studies published between January 2000 and July 2025. The search strategy employed a combination of Medical Subject Headings (MeSH) and free-text terms such as “metabolic syndrome,” “insulin resistance,” “dyslipidemia,” “neurological disorders,” “cognition,” “neurodegeneration,” “stroke,” and “brain health.” Boolean operators and truncation were used to </w:t>
      </w:r>
      <w:r w:rsidR="0078668F" w:rsidRPr="001837A6">
        <w:rPr>
          <w:rFonts w:ascii="Times New Roman" w:hAnsi="Times New Roman" w:cs="Times New Roman"/>
          <w:color w:val="000000"/>
          <w:kern w:val="0"/>
          <w:highlight w:val="yellow"/>
          <w14:ligatures w14:val="none"/>
        </w:rPr>
        <w:t xml:space="preserve">maximise </w:t>
      </w:r>
      <w:r>
        <w:rPr>
          <w:rFonts w:ascii="Times New Roman" w:hAnsi="Times New Roman" w:cs="Times New Roman"/>
          <w:color w:val="000000"/>
          <w:kern w:val="0"/>
          <w14:ligatures w14:val="none"/>
        </w:rPr>
        <w:t>retrieval of relevant literature, while filters were applied to limit studies to human subjects and English-language publications.</w:t>
      </w:r>
    </w:p>
    <w:p w14:paraId="5D21CA0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Titles and abstracts of retrieved studies were screened to assess relevance, and full-text articles were reviewed when eligibility could not be determined from the abstract alone. Original research articles, systematic reviews, meta-analyses, narrative reviews, and clinical guidelines were included if they addressed any aspect of the relationship between metabolic syndrome and neurological outcomes. Exclusion criteria were studies that focused solely on cardiovascular or renal sequelae of metabolic syndrome without reference to neurological outcomes, case reports with insufficient generalizability, and articles not available in full text.</w:t>
      </w:r>
    </w:p>
    <w:p w14:paraId="74501115" w14:textId="5C4601CE"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Data extraction was performed manually, with emphasis placed on study design, population characteristics, measures of insulin resistance and lipid profiles, neurological endpoints, and key findings. Epidemiological, mechanistic, and interventional studies were all considered to provide a balanced overview of current evidence. The quality of evidence was not formally graded; however, higher priority was given to longitudinal cohort studies, </w:t>
      </w:r>
      <w:r w:rsidR="0078668F" w:rsidRPr="001837A6">
        <w:rPr>
          <w:rFonts w:ascii="Times New Roman" w:hAnsi="Times New Roman" w:cs="Times New Roman"/>
          <w:color w:val="000000"/>
          <w:kern w:val="0"/>
          <w:highlight w:val="yellow"/>
          <w14:ligatures w14:val="none"/>
        </w:rPr>
        <w:t xml:space="preserve">randomised </w:t>
      </w:r>
      <w:r>
        <w:rPr>
          <w:rFonts w:ascii="Times New Roman" w:hAnsi="Times New Roman" w:cs="Times New Roman"/>
          <w:color w:val="000000"/>
          <w:kern w:val="0"/>
          <w14:ligatures w14:val="none"/>
        </w:rPr>
        <w:t>controlled trials, and systematic reviews.</w:t>
      </w:r>
    </w:p>
    <w:p w14:paraId="3EAC48B7" w14:textId="04C019F3"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78668F" w:rsidRPr="001837A6">
        <w:rPr>
          <w:rFonts w:ascii="Times New Roman" w:hAnsi="Times New Roman" w:cs="Times New Roman"/>
          <w:color w:val="000000"/>
          <w:kern w:val="0"/>
          <w:highlight w:val="yellow"/>
          <w14:ligatures w14:val="none"/>
        </w:rPr>
        <w:t xml:space="preserve">synthesising </w:t>
      </w:r>
      <w:r>
        <w:rPr>
          <w:rFonts w:ascii="Times New Roman" w:hAnsi="Times New Roman" w:cs="Times New Roman"/>
          <w:color w:val="000000"/>
          <w:kern w:val="0"/>
          <w14:ligatures w14:val="none"/>
        </w:rPr>
        <w:t>the findings, the review aimed to highlight convergent evidence linking insulin resistance and dyslipidemia to cognitive decline, neurodegenerative disease, and cerebrovascular pathology, while also identifying areas of uncertainty and future research directions. The methodology followed general principles of narrative review writing and adhered to established standards for transparent reporting of literature-based research.</w:t>
      </w:r>
    </w:p>
    <w:p w14:paraId="726E7882"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75D6B07D" wp14:editId="483DAAB7">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1311FFE0"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3491F68A"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Results</w:t>
      </w:r>
    </w:p>
    <w:p w14:paraId="5EABCE8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 literature review yielded a substantial body of evidence linking metabolic syndrome, insulin resistance, and dyslipidemia to adverse neurological outcomes. Across epidemiological, neuroimaging, and mechanistic studies, consistent associations were observed between the components of metabolic syndrome and structural as well as functional brain changes.</w:t>
      </w:r>
    </w:p>
    <w:p w14:paraId="001E9B9D"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Several large cohort studies demonstrated that individuals with metabolic syndrome are at significantly increased risk of developing cognitive impairment and dementia. Yaffe et al. (2004) reported that older adults with metabolic syndrome had a twofold higher likelihood of developing cognitive decline over an 8-year follow-up period compared to those without the syndrome. Similarly, Kivipelto et al. (2005) found that midlife obesity, hypertension, and dyslipidemia—key features of metabolic syndrome—predicted late-life Alzheimer’s disease and vascular dementia. More recent meta-analyses reinforced these associations, indicating that insulin resistance and dyslipidemia are independent predictors of both Alzheimer’s disease and vascular cognitive impairment (Yoon et al., 2019).</w:t>
      </w:r>
    </w:p>
    <w:p w14:paraId="31447A9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evidence corroborates these epidemiological findings. Individuals with metabolic syndrome exhibit smaller hippocampal volumes, reduced cortical thickness, and white matter hyperintensities compared with metabolically healthy controls (Segura et al., 2009). Functional MRI studies further demonstrate altered connectivity within memory and executive control networks, suggesting that metabolic dysfunction impairs both structural integrity and network efficiency (García-Casares et al., 2016). These changes have been linked to poorer performance on tests of memory, attention, and processing speed (Yates et al., 2012).</w:t>
      </w:r>
    </w:p>
    <w:p w14:paraId="2B203200" w14:textId="58B03826"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Insulin resistance appears to play a central mechanistic role. Studies using cerebrospinal fluid biomarkers and positron emission tomography have shown that insulin resistance correlates with reduced cerebral glucose metabolism and increased amyloid-beta deposition (Talbot et al., 2012; Willette et al., 2015). Experimental data support that chronic hyperinsulinemia disrupts insulin receptor </w:t>
      </w:r>
      <w:r w:rsidR="0078668F" w:rsidRPr="001837A6">
        <w:rPr>
          <w:rFonts w:ascii="Times New Roman" w:hAnsi="Times New Roman" w:cs="Times New Roman"/>
          <w:color w:val="000000"/>
          <w:kern w:val="0"/>
          <w:highlight w:val="yellow"/>
          <w14:ligatures w14:val="none"/>
        </w:rPr>
        <w:t>signalling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in neurons, promotes neuroinflammation, and facilitates tau phosphorylation, processes implicated in Alzheimer’s disease pathology (De Felice &amp; Ferreira, 2014). Furthermore, individuals with insulin resistance exhibit reduced responsiveness to insulin-mediated modulation of cognition, as demonstrated by trials using intranasal insulin administration (Benedict &amp; Hallschmid, 2014).</w:t>
      </w:r>
    </w:p>
    <w:p w14:paraId="0D2AF9E1"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also emerged as a significant contributor to neurological sequelae. Elevated triglycerides and low high-density lipoprotein cholesterol were consistently associated with cerebral small vessel disease, lacunar infarcts, and white matter lesions (Dearborn et al., 2014). Van der Lee et al. (2018) showed that higher plasma cholesterol was linked to impaired blood–brain barrier integrity and increased cerebral amyloid burden. Dyslipidemia was also found to potentiate oxidative stress and endothelial dysfunction, thereby exacerbating cerebrovascular pathology and cognitive decline (Reitz et al., 2011).</w:t>
      </w:r>
    </w:p>
    <w:p w14:paraId="44C0D1F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risk was notably higher in individuals with metabolic syndrome. In a large prospective cohort, Alberti et al. (2009) demonstrated that the presence of three or more metabolic syndrome components significantly increased the likelihood of ischemic stroke. Moreover, the severity of dyslipidemia and insulin resistance correlated with poorer post-stroke recovery and higher rates of recurrent cerebrovascular events (Mottillo et al., 2010).</w:t>
      </w:r>
    </w:p>
    <w:p w14:paraId="344448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Beyond cognitive impairment and stroke, metabolic syndrome was associated with neuropsychiatric outcomes. Insulin resistance was shown to increase the risk of depression, with meta-analyses confirming that individuals with type 2 diabetes and insulin resistance had significantly higher rates of depressive symptoms compared with controls (Milaneschi et al., 2019). Dyslipidemia has similarly been linked to mood disorders, with abnormalities in lipid metabolism observed among patients with major depressive disorder and bipolar disorder (Chang et al., 2017).</w:t>
      </w:r>
    </w:p>
    <w:p w14:paraId="3A939BD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Taken together, these findings demonstrate a strong and multifaceted relationship between metabolic syndrome and brain health. Insulin resistance and dyslipidemia act both independently and synergistically to promote structural brain changes, impair cognitive and psychiatric function, and increase cerebrovascular risk. The weight of evidence supports the notion that metabolic syndrome is a significant determinant of neurological outcomes, underscoring the importance of early detection and targeted intervention strategies.</w:t>
      </w:r>
    </w:p>
    <w:p w14:paraId="4BCE0E26"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0CAF957" wp14:editId="05CC1D54">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0" filled="f" stroked="t" style="margin-left:0.0pt;margin-top:0.0pt;width:451.3pt;height:0.1pt;mso-wrap-distance-left:0.0pt;mso-wrap-distance-right:0.0pt;visibility:visible;">
                <w10:anchorlock/>
                <v:stroke joinstyle="miter"/>
                <v:fill rotate="true"/>
              </v:rect>
            </w:pict>
          </mc:Fallback>
        </mc:AlternateContent>
      </w:r>
    </w:p>
    <w:p w14:paraId="3B01A47E"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491043B3"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Discussion</w:t>
      </w:r>
    </w:p>
    <w:p w14:paraId="10020046" w14:textId="7B66DE78"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relationship between metabolic syndrome and brain health represents a rapidly evolving field of clinical neuroscience, one that challenges traditional boundaries between endocrinology, neurology, and psychiatry. The synthesis of available evidence reveals a strong and consistent association between metabolic dysfunction—particularly insulin resistance and dyslipidemia—and adverse neurological outcomes, including cognitive impairment, neurodegeneration, cerebrovascular disease, and mood disorders. These findings underscore the need to reframe metabolic syndrome not only as a cardiovascular condition but also as a neuro-metabolic disorder with profound implications for brain </w:t>
      </w:r>
      <w:r w:rsidR="0078668F" w:rsidRPr="001837A6">
        <w:rPr>
          <w:rFonts w:ascii="Times New Roman" w:hAnsi="Times New Roman" w:cs="Times New Roman"/>
          <w:color w:val="000000"/>
          <w:kern w:val="0"/>
          <w:highlight w:val="yellow"/>
          <w14:ligatures w14:val="none"/>
        </w:rPr>
        <w:t>ageing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and disease.</w:t>
      </w:r>
    </w:p>
    <w:p w14:paraId="37D133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One of the most compelling observations across epidemiological studies is the heightened risk of cognitive decline and dementia among individuals with metabolic syndrome. Yaffe et al. (2004) first reported that older adults with metabolic syndrome were nearly twice as likely to experience cognitive decline as those without the condition, a finding later corroborated by longitudinal cohorts linking midlife obesity, hypertension, and dyslipidemia to late-life dementia (Kivipelto et al., 2005). These associations suggest that metabolic dysregulation exerts its deleterious effects decades before clinical neurodegenerative syndromes emerge. This is consistent with the notion of a prodromal phase of dementia in which systemic risk factors shape vulnerability to later neuropathology (Livingston et al., 2020).</w:t>
      </w:r>
    </w:p>
    <w:p w14:paraId="6FB2A16D" w14:textId="07CE900C"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mechanistic underpinnings of this association are multifactorial and synergistic. Insulin resistance appears central, given its pivotal role in neuronal energy metabolism. Under normal conditions, insulin facilitates neuronal glucose uptake, regulates synaptic plasticity, and promotes survival pathways through phosphoinositide 3-kinase and </w:t>
      </w:r>
      <w:proofErr w:type="spellStart"/>
      <w:r>
        <w:rPr>
          <w:rFonts w:ascii="Times New Roman" w:hAnsi="Times New Roman" w:cs="Times New Roman"/>
          <w:color w:val="000000"/>
          <w:kern w:val="0"/>
          <w14:ligatures w14:val="none"/>
        </w:rPr>
        <w:t>Akt</w:t>
      </w:r>
      <w:proofErr w:type="spellEnd"/>
      <w:r>
        <w:rPr>
          <w:rFonts w:ascii="Times New Roman" w:hAnsi="Times New Roman" w:cs="Times New Roman"/>
          <w:color w:val="000000"/>
          <w:kern w:val="0"/>
          <w14:ligatures w14:val="none"/>
        </w:rPr>
        <w:t xml:space="preserve"> </w:t>
      </w:r>
      <w:r w:rsidR="0078668F" w:rsidRPr="001837A6">
        <w:rPr>
          <w:rFonts w:ascii="Times New Roman" w:hAnsi="Times New Roman" w:cs="Times New Roman"/>
          <w:color w:val="000000"/>
          <w:kern w:val="0"/>
          <w:highlight w:val="yellow"/>
          <w14:ligatures w14:val="none"/>
        </w:rPr>
        <w:t xml:space="preserve">signalling </w:t>
      </w:r>
      <w:r>
        <w:rPr>
          <w:rFonts w:ascii="Times New Roman" w:hAnsi="Times New Roman" w:cs="Times New Roman"/>
          <w:color w:val="000000"/>
          <w:kern w:val="0"/>
          <w14:ligatures w14:val="none"/>
        </w:rPr>
        <w:t xml:space="preserve">(Craft &amp; Watson, 2004). In states of insulin resistance, these pathways are blunted, leading to reduced glucose </w:t>
      </w:r>
      <w:r w:rsidR="0078668F" w:rsidRPr="001837A6">
        <w:rPr>
          <w:rFonts w:ascii="Times New Roman" w:hAnsi="Times New Roman" w:cs="Times New Roman"/>
          <w:color w:val="000000"/>
          <w:kern w:val="0"/>
          <w:highlight w:val="yellow"/>
          <w14:ligatures w14:val="none"/>
        </w:rPr>
        <w:t xml:space="preserve">utilisation </w:t>
      </w:r>
      <w:r>
        <w:rPr>
          <w:rFonts w:ascii="Times New Roman" w:hAnsi="Times New Roman" w:cs="Times New Roman"/>
          <w:color w:val="000000"/>
          <w:kern w:val="0"/>
          <w14:ligatures w14:val="none"/>
        </w:rPr>
        <w:t xml:space="preserve">and impaired long-term potentiation, both of which are critical for memory formation (Arnold et al., 2018). Furthermore, hyperinsulinemia enhances amyloidogenic processing of amyloid precursor protein, thereby increasing amyloid-beta deposition—a pathological hallmark of Alzheimer’s disease (Talbot et al., 2012). Together, </w:t>
      </w:r>
      <w:r>
        <w:rPr>
          <w:rFonts w:ascii="Times New Roman" w:hAnsi="Times New Roman" w:cs="Times New Roman"/>
          <w:color w:val="000000"/>
          <w:kern w:val="0"/>
          <w14:ligatures w14:val="none"/>
        </w:rPr>
        <w:lastRenderedPageBreak/>
        <w:t>these effects link systemic insulin resistance to the neuropathological processes underlying cognitive decline.</w:t>
      </w:r>
    </w:p>
    <w:p w14:paraId="32E7B534"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data lend strong support to these mechanisms. Structural imaging demonstrates reduced hippocampal volumes and cortical thinning in individuals with metabolic syndrome, with changes most pronounced in regions vulnerable to Alzheimer’s pathology (Segura et al., 2009). White matter hyperintensities and microstructural abnormalities, observed through diffusion tensor imaging, point to widespread disruption of connectivity, which is consistent with impaired executive function and processing speed (Yates et al., 2012). Functional MRI studies showing altered network connectivity in metabolic syndrome further suggest that insulin resistance and dyslipidemia impair not only structural integrity but also functional efficiency of brain networks (García-Casares et al., 2016).</w:t>
      </w:r>
    </w:p>
    <w:p w14:paraId="7E1F67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exerts parallel and complementary effects on the brain. Elevated triglycerides and low high-density lipoprotein cholesterol are associated with small vessel disease, lacunar infarcts, and white matter lesions, all of which contribute to vascular cognitive impairment (Dearborn et al., 2014). Beyond vascular contributions, lipid metabolism directly influences amyloid-beta clearance and blood–brain barrier integrity. Van der Lee et al. (2018) demonstrated that high plasma cholesterol was associated with increased cerebral amyloid burden and impaired barrier function, suggesting that lipid dysregulation exacerbates amyloid pathology. Moreover, oxidative stress and endothelial dysfunction induced by dyslipidemia amplify neuroinflammation, further compounding neuronal injury (Reitz et al., 2011). These findings highlight dyslipidemia as both a vascular and neurodegenerative risk factor, acting synergistically with insulin resistance.</w:t>
      </w:r>
    </w:p>
    <w:p w14:paraId="15C80606"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represents another important neurological sequela of metabolic syndrome. Large-scale cohort studies consistently report that metabolic syndrome increases the risk of ischemic stroke, with the magnitude of risk rising in proportion to the number of syndrome components present (Alberti et al., 2009; Mottillo et al., 2010). Notably, both insulin resistance and dyslipidemia independently predict stroke incidence and severity. Post-stroke outcomes are also adversely affected, as metabolic dysfunction is associated with worse recovery and higher rates of recurrence. These findings underscore the need for aggressive metabolic control in stroke prevention and rehabilitation.</w:t>
      </w:r>
    </w:p>
    <w:p w14:paraId="359BC1AA" w14:textId="1A78D7B5"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Beyond neurodegenerative and cerebrovascular disease, metabolic syndrome also has important neuropsychiatric implications. Insulin resistance has been repeatedly linked to depression, with longitudinal studies showing that individuals with type 2 diabetes and metabolic syndrome are at elevated risk of depressive symptoms (Milaneschi et al., 2019). Proposed mechanisms include impaired insulin </w:t>
      </w:r>
      <w:r w:rsidR="0078668F" w:rsidRPr="001837A6">
        <w:rPr>
          <w:rFonts w:ascii="Times New Roman" w:hAnsi="Times New Roman" w:cs="Times New Roman"/>
          <w:color w:val="000000"/>
          <w:kern w:val="0"/>
          <w:highlight w:val="yellow"/>
          <w14:ligatures w14:val="none"/>
        </w:rPr>
        <w:t>signalling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in the brain’s reward circuits, leading to anhedonia, as well as inflammatory cytokine activation, which has been implicated in both metabolic and mood disorders (Miller &amp; Raison, 2016). Dyslipidemia also appears to play a role, as abnormal lipid metabolism has been observed in patients with major depressive disorder and bipolar disorder, although causal relationships remain under investigation (Chang et al., 2017). These psychiatric associations highlight that the neurological sequelae of metabolic syndrome extend beyond cognition to include mood regulation, with implications for overall quality of life.</w:t>
      </w:r>
    </w:p>
    <w:p w14:paraId="3361540D" w14:textId="28F7E8D6"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bidirectional nature of the relationship between metabolic syndrome and brain health deserves emphasis. While metabolic dysfunction clearly contributes to brain pathology, </w:t>
      </w:r>
      <w:r>
        <w:rPr>
          <w:rFonts w:ascii="Times New Roman" w:hAnsi="Times New Roman" w:cs="Times New Roman"/>
          <w:color w:val="000000"/>
          <w:kern w:val="0"/>
          <w14:ligatures w14:val="none"/>
        </w:rPr>
        <w:lastRenderedPageBreak/>
        <w:t xml:space="preserve">neurological impairment can in turn exacerbate metabolic dysregulation. For instance, hypothalamic insulin resistance disrupts appetite regulation and energy balance, leading to worsening obesity and insulin resistance (Kullmann et al., 2016). Similarly, cognitive decline may impair adherence to dietary, pharmacological, and lifestyle interventions necessary for metabolic control. This reciprocal relationship creates a vicious cycle in which brain dysfunction and metabolic syndrome reinforce one another.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this bidirectionality is critical for developing interventions that simultaneously target both metabolic and neurological outcomes.</w:t>
      </w:r>
    </w:p>
    <w:p w14:paraId="37E240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these advances, several uncertainties remain. Not all individuals with metabolic syndrome develop neurological sequelae, suggesting heterogeneity in vulnerability. Genetic factors such as APOE genotype, epigenetic modifications, and environmental exposures likely modify risk, though these interactions are not fully understood (Ekblad et al., 2017). The relative contributions of insulin resistance versus dyslipidemia to specific neurological outcomes also remain to be clarified. While both pathways are deleterious, the extent to which they converge on common mechanisms such as oxidative stress and inflammation, or whether they exert distinct pathogenic effects, warrants further investigation.</w:t>
      </w:r>
    </w:p>
    <w:p w14:paraId="7DD251A8" w14:textId="49AC286B"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Therapeutic strategies addressing the neurological burden of metabolic syndrome are emerging but remain underdeveloped. Lifestyle modification, including dietary changes, physical activity, and weight management, has shown efficacy in improving both metabolic parameters and cognitive outcomes. The Finnish Geriatric Intervention Study to Prevent Cognitive Impairment and Disability (FINGER) demonstrated that a multidomain lifestyle intervention reduced cognitive decline among older adults at risk of dementia, many of whom had features of metabolic syndrome (Ngandu et al., 2015). Pharmacological approaches such as metformin and GLP-1 receptor agonists, widely used in the management of insulin resistance and type 2 diabetes, have shown promise in preclinical and clinical studies for their potential neuroprotective effects, though results remain mixed (Bharadwaj et al., 2017). Lipid-lowering agents such as statins have been associated with reduced risk of dementia in some observational studies, though </w:t>
      </w:r>
      <w:r w:rsidR="0078668F" w:rsidRPr="001837A6">
        <w:rPr>
          <w:rFonts w:ascii="Times New Roman" w:hAnsi="Times New Roman" w:cs="Times New Roman"/>
          <w:color w:val="000000"/>
          <w:kern w:val="0"/>
          <w:highlight w:val="yellow"/>
          <w14:ligatures w14:val="none"/>
        </w:rPr>
        <w:t>randomised</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controlled trials have produced inconsistent findings (Swiger et al., 2013).</w:t>
      </w:r>
    </w:p>
    <w:p w14:paraId="0893995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Novel therapies directly targeting neuro-metabolic pathways are under active investigation. Intranasal insulin delivery, which bypasses the blood–brain barrier, has been shown to enhance memory performance in individuals with mild cognitive impairment and early Alzheimer’s disease (Benedict &amp; Hallschmid, 2014). Similarly, agents modulating lipid metabolism and anti-inflammatory pathways are being explored for their potential to protect against both metabolic and neurological decline. Future research should focus on stratifying patients based on metabolic and genetic profiles to identify those most likely to benefit from targeted interventions.</w:t>
      </w:r>
    </w:p>
    <w:p w14:paraId="216E4319" w14:textId="39D4BC8B"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From a public health perspective, the implications of these findings are considerable. With metabolic syndrome affecting nearly one-quarter of the global population, the potential burden of associated neurological disorders is enormous (Saklayen, 2018). The convergence of metabolic and neurological epidemics—obesity, diabetes, dementia, and depression—poses a significant challenge to healthcare systems worldwide. Prevention strategies must therefore adopt a holistic approach that simultaneously addresses cardiometabolic and brain health. Policy initiatives promoting </w:t>
      </w:r>
      <w:r w:rsidR="0078668F" w:rsidRPr="001837A6">
        <w:rPr>
          <w:rFonts w:ascii="Times New Roman" w:hAnsi="Times New Roman" w:cs="Times New Roman"/>
          <w:color w:val="000000"/>
          <w:kern w:val="0"/>
          <w:highlight w:val="yellow"/>
          <w14:ligatures w14:val="none"/>
        </w:rPr>
        <w:t>a</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healthy diet, physical activity, and early screening for metabolic syndrome could have downstream benefits in reducing the incidence of dementia and other neurological conditions.</w:t>
      </w:r>
    </w:p>
    <w:p w14:paraId="147631D1" w14:textId="576A38FB" w:rsidR="004F0228" w:rsidRDefault="004F0228">
      <w:pPr>
        <w:spacing w:before="100" w:beforeAutospacing="1" w:after="100" w:afterAutospacing="1" w:line="240" w:lineRule="auto"/>
        <w:rPr>
          <w:rFonts w:ascii="Times New Roman" w:hAnsi="Times New Roman" w:cs="Times New Roman"/>
          <w:color w:val="000000"/>
          <w:kern w:val="0"/>
          <w14:ligatures w14:val="none"/>
        </w:rPr>
      </w:pPr>
      <w:r w:rsidRPr="004F0228">
        <w:rPr>
          <w:rFonts w:ascii="Times New Roman" w:hAnsi="Times New Roman" w:cs="Times New Roman"/>
          <w:color w:val="000000"/>
          <w:kern w:val="0"/>
          <w14:ligatures w14:val="none"/>
        </w:rPr>
        <w:lastRenderedPageBreak/>
        <w:t>Conclusion</w:t>
      </w:r>
    </w:p>
    <w:p w14:paraId="1E10DB2B" w14:textId="6C976011"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4F0228" w:rsidRPr="004F0228">
        <w:rPr>
          <w:rFonts w:ascii="Times New Roman" w:hAnsi="Times New Roman" w:cs="Times New Roman"/>
          <w:color w:val="000000"/>
          <w:kern w:val="0"/>
          <w14:ligatures w14:val="none"/>
        </w:rPr>
        <w:t>conclusion</w:t>
      </w:r>
      <w:r>
        <w:rPr>
          <w:rFonts w:ascii="Times New Roman" w:hAnsi="Times New Roman" w:cs="Times New Roman"/>
          <w:color w:val="000000"/>
          <w:kern w:val="0"/>
          <w14:ligatures w14:val="none"/>
        </w:rPr>
        <w:t xml:space="preserve">, the evidence reviewed here demonstrates that metabolic syndrome, through the dual pathways of insulin resistance and dyslipidemia, exerts profound and multifaceted effects on the brain. These effects encompass structural and functional brain changes, cognitive impairment, neurodegeneration, cerebrovascular disease, and psychiatric disorders. The relationship is bidirectional, creating a vicious cycle in which metabolic dysfunction and neurological impairment perpetuate one another. Therapeutic and preventive strategies targeting both metabolic and neurological pathways hold promise but require further development and validation. As the prevalence of metabolic syndrome continues to rise globally,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and addressing its neurological sequelae is essential for preserving brain health, reducing disability, and improving quality of life across populations.</w:t>
      </w:r>
    </w:p>
    <w:p w14:paraId="07B4C63C"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28DE521" wp14:editId="189BD826">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3D259575"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361CC30" w14:textId="77777777" w:rsidR="000B069B" w:rsidRPr="00FE7640" w:rsidRDefault="000B069B" w:rsidP="000B069B">
      <w:pPr>
        <w:rPr>
          <w:rFonts w:eastAsia="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eastAsia="Calibri" w:cs="Times New Roman"/>
          <w:highlight w:val="yellow"/>
          <w:lang w:val="en-US"/>
        </w:rPr>
        <w:t>Disclaimer (Artificial intelligence)</w:t>
      </w:r>
    </w:p>
    <w:p w14:paraId="79E31E22"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Option 1: </w:t>
      </w:r>
    </w:p>
    <w:p w14:paraId="1907F03F"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Author(s) hereby declare that NO generative AI technologies such as Large Language Models (ChatGPT, manuscript. </w:t>
      </w:r>
    </w:p>
    <w:p w14:paraId="609857F5"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Option 2: </w:t>
      </w:r>
    </w:p>
    <w:p w14:paraId="4F733F40"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4E4DA6"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Details of the AI usage are given below:</w:t>
      </w:r>
    </w:p>
    <w:p w14:paraId="3E059326"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1.</w:t>
      </w:r>
    </w:p>
    <w:p w14:paraId="76EAFB55"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2.</w:t>
      </w:r>
      <w:bookmarkEnd w:id="1"/>
    </w:p>
    <w:p w14:paraId="2FB8E69D" w14:textId="77777777" w:rsidR="000B069B" w:rsidRPr="009C5487" w:rsidRDefault="000B069B" w:rsidP="000B069B">
      <w:pPr>
        <w:rPr>
          <w:rFonts w:eastAsia="Calibri" w:cs="Times New Roman"/>
          <w:lang w:val="en-US"/>
        </w:rPr>
      </w:pPr>
      <w:r w:rsidRPr="009C5487">
        <w:rPr>
          <w:rFonts w:eastAsia="Calibri" w:cs="Times New Roman"/>
          <w:highlight w:val="yellow"/>
          <w:lang w:val="en-US"/>
        </w:rPr>
        <w:t>3.</w:t>
      </w:r>
      <w:bookmarkEnd w:id="2"/>
    </w:p>
    <w:bookmarkEnd w:id="3"/>
    <w:bookmarkEnd w:id="4"/>
    <w:bookmarkEnd w:id="5"/>
    <w:p w14:paraId="0D40A0AB"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27451A7D"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609A880A"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65E3830B" w14:textId="2115E90E"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References</w:t>
      </w:r>
    </w:p>
    <w:p w14:paraId="6427192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Alberti, K. G., Eckel, R. H., Grundy, S. M., Zimmet, P. Z., Cleeman, J. I., Donato, K. A., … &amp; Smith, S. C.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Pr>
          <w:rFonts w:ascii="Times New Roman" w:hAnsi="Times New Roman" w:cs="Times New Roman"/>
          <w:i/>
          <w:iCs/>
          <w:color w:val="000000"/>
          <w:kern w:val="0"/>
          <w14:ligatures w14:val="none"/>
        </w:rPr>
        <w:t>Circulation, 120</w:t>
      </w:r>
      <w:r>
        <w:rPr>
          <w:rFonts w:ascii="Times New Roman" w:hAnsi="Times New Roman" w:cs="Times New Roman"/>
          <w:color w:val="000000"/>
          <w:kern w:val="0"/>
          <w14:ligatures w14:val="none"/>
        </w:rPr>
        <w:t>(16), 1640–1645. https://doi.org/10.1161/CIRCULATIONAHA.109.192644</w:t>
      </w:r>
    </w:p>
    <w:p w14:paraId="4AFCFD6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Arnold, S. E., Arvanitakis, Z., Macauley-Rambach, S. L., Koenig, A. M., Wang, H. Y., Ahima, R. S., … &amp; Craft, S. (2018). Brain insulin resistance in type 2 diabetes and Alzheimer disease: Concepts and conundrums. </w:t>
      </w:r>
      <w:r>
        <w:rPr>
          <w:rFonts w:ascii="Times New Roman" w:hAnsi="Times New Roman" w:cs="Times New Roman"/>
          <w:i/>
          <w:iCs/>
          <w:color w:val="000000"/>
          <w:kern w:val="0"/>
          <w14:ligatures w14:val="none"/>
        </w:rPr>
        <w:t>Nature Reviews Neurology, 14</w:t>
      </w:r>
      <w:r>
        <w:rPr>
          <w:rFonts w:ascii="Times New Roman" w:hAnsi="Times New Roman" w:cs="Times New Roman"/>
          <w:color w:val="000000"/>
          <w:kern w:val="0"/>
          <w14:ligatures w14:val="none"/>
        </w:rPr>
        <w:t>(3), 168–181. https://doi.org/10.1038/nrneurol.2017.185</w:t>
      </w:r>
    </w:p>
    <w:p w14:paraId="66924B8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Benedict, C., &amp; Hallschmid, M. (2014). Intranasal insulin improves memory in humans. </w:t>
      </w:r>
      <w:r>
        <w:rPr>
          <w:rFonts w:ascii="Times New Roman" w:hAnsi="Times New Roman" w:cs="Times New Roman"/>
          <w:i/>
          <w:iCs/>
          <w:color w:val="000000"/>
          <w:kern w:val="0"/>
          <w14:ligatures w14:val="none"/>
        </w:rPr>
        <w:t>Psychoneuroendocrinology, 47</w:t>
      </w:r>
      <w:r>
        <w:rPr>
          <w:rFonts w:ascii="Times New Roman" w:hAnsi="Times New Roman" w:cs="Times New Roman"/>
          <w:color w:val="000000"/>
          <w:kern w:val="0"/>
          <w14:ligatures w14:val="none"/>
        </w:rPr>
        <w:t>, 190–203. https://doi.org/10.1016/j.psyneuen.2014.05.014</w:t>
      </w:r>
    </w:p>
    <w:p w14:paraId="15679412"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Bharadwaj, P. R., Bates, K. A., Porter, T., Teimouri, E., Perry, G., Steele, J. W., … &amp; Verdile, G. (2017). Latrepirdine: Molecular mechanisms underlying potential therapeutic roles in Alzheimer’s and other neurodegenerative diseases. </w:t>
      </w:r>
      <w:r>
        <w:rPr>
          <w:rFonts w:ascii="Times New Roman" w:hAnsi="Times New Roman" w:cs="Times New Roman"/>
          <w:i/>
          <w:iCs/>
          <w:color w:val="000000"/>
          <w:kern w:val="0"/>
          <w14:ligatures w14:val="none"/>
        </w:rPr>
        <w:t>Translational Psychiatry, 7</w:t>
      </w:r>
      <w:r>
        <w:rPr>
          <w:rFonts w:ascii="Times New Roman" w:hAnsi="Times New Roman" w:cs="Times New Roman"/>
          <w:color w:val="000000"/>
          <w:kern w:val="0"/>
          <w14:ligatures w14:val="none"/>
        </w:rPr>
        <w:t>(1), e1125. https://doi.org/10.1038/tp.2017.79</w:t>
      </w:r>
    </w:p>
    <w:p w14:paraId="41A821D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Biessels, G. J., Staekenborg, S., Brunner, E., Brayne, C., &amp; Scheltens, P. (2006). Risk of dementia in diabetes mellitus: A systematic review. </w:t>
      </w:r>
      <w:r>
        <w:rPr>
          <w:rFonts w:ascii="Times New Roman" w:hAnsi="Times New Roman" w:cs="Times New Roman"/>
          <w:i/>
          <w:iCs/>
          <w:color w:val="000000"/>
          <w:kern w:val="0"/>
          <w14:ligatures w14:val="none"/>
        </w:rPr>
        <w:t>The Lancet Neurology, 5</w:t>
      </w:r>
      <w:r>
        <w:rPr>
          <w:rFonts w:ascii="Times New Roman" w:hAnsi="Times New Roman" w:cs="Times New Roman"/>
          <w:color w:val="000000"/>
          <w:kern w:val="0"/>
          <w14:ligatures w14:val="none"/>
        </w:rPr>
        <w:t>(1), 64–74. https://doi.org/10.1016/S1474-4422(05)70284-2</w:t>
      </w:r>
    </w:p>
    <w:p w14:paraId="6A275B3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Cai, H., Cong, W. N., Ji, S., Rothman, S., Maudsley, S., &amp; Martin, B. (2018). Metabolic dysfunction in Alzheimer’s disease and related neurodegenerative disorders. </w:t>
      </w:r>
      <w:r>
        <w:rPr>
          <w:rFonts w:ascii="Times New Roman" w:hAnsi="Times New Roman" w:cs="Times New Roman"/>
          <w:i/>
          <w:iCs/>
          <w:color w:val="000000"/>
          <w:kern w:val="0"/>
          <w14:ligatures w14:val="none"/>
        </w:rPr>
        <w:t>Current Alzheimer Research, 9</w:t>
      </w:r>
      <w:r>
        <w:rPr>
          <w:rFonts w:ascii="Times New Roman" w:hAnsi="Times New Roman" w:cs="Times New Roman"/>
          <w:color w:val="000000"/>
          <w:kern w:val="0"/>
          <w14:ligatures w14:val="none"/>
        </w:rPr>
        <w:t>(1), 5–17. https://doi.org/10.2174/156720512799015064</w:t>
      </w:r>
    </w:p>
    <w:p w14:paraId="02E367F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Chang, H. H., Lee, I. H., Gean, P. W., Lee, S. Y., Chi, M. H., Yang, Y. K., &amp; Lu, R. B. (2017). Treatment response and cognitive impairment in major depression: Association with serum lipid biomarkers. </w:t>
      </w:r>
      <w:r>
        <w:rPr>
          <w:rFonts w:ascii="Times New Roman" w:hAnsi="Times New Roman" w:cs="Times New Roman"/>
          <w:i/>
          <w:iCs/>
          <w:color w:val="000000"/>
          <w:kern w:val="0"/>
          <w14:ligatures w14:val="none"/>
        </w:rPr>
        <w:t>Journal of Affective Disorders, 209</w:t>
      </w:r>
      <w:r>
        <w:rPr>
          <w:rFonts w:ascii="Times New Roman" w:hAnsi="Times New Roman" w:cs="Times New Roman"/>
          <w:color w:val="000000"/>
          <w:kern w:val="0"/>
          <w14:ligatures w14:val="none"/>
        </w:rPr>
        <w:t>, 41–47. https://doi.org/10.1016/j.jad.2016.11.027</w:t>
      </w:r>
    </w:p>
    <w:p w14:paraId="69170793"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Craft, S., &amp; Watson, G. S. (2004). Insulin and neurodegenerative disease: Shared and specific mechanisms. </w:t>
      </w:r>
      <w:r>
        <w:rPr>
          <w:rFonts w:ascii="Times New Roman" w:hAnsi="Times New Roman" w:cs="Times New Roman"/>
          <w:i/>
          <w:iCs/>
          <w:color w:val="000000"/>
          <w:kern w:val="0"/>
          <w14:ligatures w14:val="none"/>
        </w:rPr>
        <w:t>The Lancet Neurology, 3</w:t>
      </w:r>
      <w:r>
        <w:rPr>
          <w:rFonts w:ascii="Times New Roman" w:hAnsi="Times New Roman" w:cs="Times New Roman"/>
          <w:color w:val="000000"/>
          <w:kern w:val="0"/>
          <w14:ligatures w14:val="none"/>
        </w:rPr>
        <w:t>(3), 169–178. https://doi.org/10.1016/S1474-4422(04)00681-7</w:t>
      </w:r>
    </w:p>
    <w:p w14:paraId="338A84BF"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Dearborn, J. L., Zhang, Y., Qiao, Y., Suri, M. F. K., Gottesman, R. F., Wright, J., … &amp; Mosley, T. H. (2014). Metabolic syndrome and the risk of ischemic stroke: The Atherosclerosis Risk in Communities Study. </w:t>
      </w:r>
      <w:r>
        <w:rPr>
          <w:rFonts w:ascii="Times New Roman" w:hAnsi="Times New Roman" w:cs="Times New Roman"/>
          <w:i/>
          <w:iCs/>
          <w:color w:val="000000"/>
          <w:kern w:val="0"/>
          <w14:ligatures w14:val="none"/>
        </w:rPr>
        <w:t>Stroke, 45</w:t>
      </w:r>
      <w:r>
        <w:rPr>
          <w:rFonts w:ascii="Times New Roman" w:hAnsi="Times New Roman" w:cs="Times New Roman"/>
          <w:color w:val="000000"/>
          <w:kern w:val="0"/>
          <w14:ligatures w14:val="none"/>
        </w:rPr>
        <w:t>(1), 150–156. https://doi.org/10.1161/STROKEAHA.113.003267</w:t>
      </w:r>
    </w:p>
    <w:p w14:paraId="641364E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 Felice, F. G., &amp; Ferreira, S. T. (2014). Inflammation, defective insulin signaling, and mitochondrial dysfunction as common molecular denominators connecting type 2 diabetes to Alzheimer’s disease. </w:t>
      </w:r>
      <w:r>
        <w:rPr>
          <w:rFonts w:ascii="Times New Roman" w:hAnsi="Times New Roman" w:cs="Times New Roman"/>
          <w:i/>
          <w:iCs/>
          <w:color w:val="000000"/>
          <w:kern w:val="0"/>
          <w14:ligatures w14:val="none"/>
        </w:rPr>
        <w:t>Diabetes, 63</w:t>
      </w:r>
      <w:r>
        <w:rPr>
          <w:rFonts w:ascii="Times New Roman" w:hAnsi="Times New Roman" w:cs="Times New Roman"/>
          <w:color w:val="000000"/>
          <w:kern w:val="0"/>
          <w14:ligatures w14:val="none"/>
        </w:rPr>
        <w:t>(7), 2262–2272. https://doi.org/10.2337/db13-1954</w:t>
      </w:r>
    </w:p>
    <w:p w14:paraId="57130A1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Ekblad, L. L., Rinne, J. O., Puukka, P., Laine, H., Ahtiluoto, S., Sulkava, R., … &amp; Jula, A. (2017). Insulin resistance is associated with poorer verbal fluency performance in women. </w:t>
      </w:r>
      <w:r>
        <w:rPr>
          <w:rFonts w:ascii="Times New Roman" w:hAnsi="Times New Roman" w:cs="Times New Roman"/>
          <w:i/>
          <w:iCs/>
          <w:color w:val="000000"/>
          <w:kern w:val="0"/>
          <w14:ligatures w14:val="none"/>
        </w:rPr>
        <w:t>Diabetes Care, 40</w:t>
      </w:r>
      <w:r>
        <w:rPr>
          <w:rFonts w:ascii="Times New Roman" w:hAnsi="Times New Roman" w:cs="Times New Roman"/>
          <w:color w:val="000000"/>
          <w:kern w:val="0"/>
          <w14:ligatures w14:val="none"/>
        </w:rPr>
        <w:t>(7), 921–929. https://doi.org/10.2337/dc16-1939</w:t>
      </w:r>
    </w:p>
    <w:p w14:paraId="1077378D"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García-Casares, N., García-Arnés, J. A., Rioja, J., Gutiérrez, E., Vilar-López, R., &amp; García-Rodríguez, J. (2016). Metabolic syndrome and cognition: Review of epidemiological evidence, biological mechanisms, and neuroimaging findings. </w:t>
      </w:r>
      <w:r>
        <w:rPr>
          <w:rFonts w:ascii="Times New Roman" w:hAnsi="Times New Roman" w:cs="Times New Roman"/>
          <w:i/>
          <w:iCs/>
          <w:color w:val="000000"/>
          <w:kern w:val="0"/>
          <w14:ligatures w14:val="none"/>
        </w:rPr>
        <w:t>Frontiers in Aging Neuroscience, 8</w:t>
      </w:r>
      <w:r>
        <w:rPr>
          <w:rFonts w:ascii="Times New Roman" w:hAnsi="Times New Roman" w:cs="Times New Roman"/>
          <w:color w:val="000000"/>
          <w:kern w:val="0"/>
          <w14:ligatures w14:val="none"/>
        </w:rPr>
        <w:t>, 150. https://doi.org/10.3389/fnagi.2016.00150</w:t>
      </w:r>
    </w:p>
    <w:p w14:paraId="489AE73A"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Gustafson, D., Rothenberg, E., Blennow, K., Steen, B., &amp; Skoog, I. (2004). An 18-year follow-up of overweight and risk of Alzheimer disease. </w:t>
      </w:r>
      <w:r>
        <w:rPr>
          <w:rFonts w:ascii="Times New Roman" w:hAnsi="Times New Roman" w:cs="Times New Roman"/>
          <w:i/>
          <w:iCs/>
          <w:color w:val="000000"/>
          <w:kern w:val="0"/>
          <w14:ligatures w14:val="none"/>
        </w:rPr>
        <w:t>Archives of Internal Medicine, 164</w:t>
      </w:r>
      <w:r>
        <w:rPr>
          <w:rFonts w:ascii="Times New Roman" w:hAnsi="Times New Roman" w:cs="Times New Roman"/>
          <w:color w:val="000000"/>
          <w:kern w:val="0"/>
          <w14:ligatures w14:val="none"/>
        </w:rPr>
        <w:t>(13), 1547–1553. https://doi.org/10.1001/archinte.164.13.1547</w:t>
      </w:r>
    </w:p>
    <w:p w14:paraId="79A56F16"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Kaur, J. (2014). A comprehensive review on metabolic syndrome. </w:t>
      </w:r>
      <w:r>
        <w:rPr>
          <w:rFonts w:ascii="Times New Roman" w:hAnsi="Times New Roman" w:cs="Times New Roman"/>
          <w:i/>
          <w:iCs/>
          <w:color w:val="000000"/>
          <w:kern w:val="0"/>
          <w14:ligatures w14:val="none"/>
        </w:rPr>
        <w:t>Cardiology Research and Practice, 2014</w:t>
      </w:r>
      <w:r>
        <w:rPr>
          <w:rFonts w:ascii="Times New Roman" w:hAnsi="Times New Roman" w:cs="Times New Roman"/>
          <w:color w:val="000000"/>
          <w:kern w:val="0"/>
          <w14:ligatures w14:val="none"/>
        </w:rPr>
        <w:t>, 943162. https://doi.org/10.1155/2014/943162</w:t>
      </w:r>
    </w:p>
    <w:p w14:paraId="5AA3A91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Kivipelto, M., Ngandu, T., Fratiglioni, L., Viitanen, M., Kåreholt, I., Winblad, B., … &amp; Nissinen, A. (2005). Obesity and vascular risk factors at midlife and the risk of dementia and Alzheimer disease. </w:t>
      </w:r>
      <w:r>
        <w:rPr>
          <w:rFonts w:ascii="Times New Roman" w:hAnsi="Times New Roman" w:cs="Times New Roman"/>
          <w:i/>
          <w:iCs/>
          <w:color w:val="000000"/>
          <w:kern w:val="0"/>
          <w14:ligatures w14:val="none"/>
        </w:rPr>
        <w:t>Archives of Neurology, 62</w:t>
      </w:r>
      <w:r>
        <w:rPr>
          <w:rFonts w:ascii="Times New Roman" w:hAnsi="Times New Roman" w:cs="Times New Roman"/>
          <w:color w:val="000000"/>
          <w:kern w:val="0"/>
          <w14:ligatures w14:val="none"/>
        </w:rPr>
        <w:t>(10), 1556–1560. https://doi.org/10.1001/archneur.62.10.1556</w:t>
      </w:r>
    </w:p>
    <w:p w14:paraId="539A81D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Kullmann, S., Heni, M., Veit, R., Ketterer, C., Schick, F., Häring, H. U., … &amp; Fritsche, A. (2016). The role of central insulin resistance in metabolic and cognitive disorders. </w:t>
      </w:r>
      <w:r>
        <w:rPr>
          <w:rFonts w:ascii="Times New Roman" w:hAnsi="Times New Roman" w:cs="Times New Roman"/>
          <w:i/>
          <w:iCs/>
          <w:color w:val="000000"/>
          <w:kern w:val="0"/>
          <w14:ligatures w14:val="none"/>
        </w:rPr>
        <w:t>Nature Reviews Endocrinology, 12</w:t>
      </w:r>
      <w:r>
        <w:rPr>
          <w:rFonts w:ascii="Times New Roman" w:hAnsi="Times New Roman" w:cs="Times New Roman"/>
          <w:color w:val="000000"/>
          <w:kern w:val="0"/>
          <w14:ligatures w14:val="none"/>
        </w:rPr>
        <w:t>(12), 701–711. https://doi.org/10.1038/nrendo.2016.124</w:t>
      </w:r>
    </w:p>
    <w:p w14:paraId="6973EE9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Livingston, G., Huntley, J., Sommerlad, A., Ames, D., Ballard, C., Banerjee, S., … &amp; Mukadam, N. (2020). Dementia prevention, intervention, and care: 2020 report of the Lancet Commission. </w:t>
      </w:r>
      <w:r>
        <w:rPr>
          <w:rFonts w:ascii="Times New Roman" w:hAnsi="Times New Roman" w:cs="Times New Roman"/>
          <w:i/>
          <w:iCs/>
          <w:color w:val="000000"/>
          <w:kern w:val="0"/>
          <w14:ligatures w14:val="none"/>
        </w:rPr>
        <w:t>The Lancet, 396</w:t>
      </w:r>
      <w:r>
        <w:rPr>
          <w:rFonts w:ascii="Times New Roman" w:hAnsi="Times New Roman" w:cs="Times New Roman"/>
          <w:color w:val="000000"/>
          <w:kern w:val="0"/>
          <w14:ligatures w14:val="none"/>
        </w:rPr>
        <w:t>(10248), 413–446. https://doi.org/10.1016/S0140-6736(20)30367-6</w:t>
      </w:r>
    </w:p>
    <w:p w14:paraId="1F942C3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Milaneschi, Y., Simmons, W. K., van Rossum, E. F., &amp; Penninx, B. W. (2019). Depression and obesity: Evidence of shared biological mechanisms. </w:t>
      </w:r>
      <w:r>
        <w:rPr>
          <w:rFonts w:ascii="Times New Roman" w:hAnsi="Times New Roman" w:cs="Times New Roman"/>
          <w:i/>
          <w:iCs/>
          <w:color w:val="000000"/>
          <w:kern w:val="0"/>
          <w14:ligatures w14:val="none"/>
        </w:rPr>
        <w:t>Molecular Psychiatry, 24</w:t>
      </w:r>
      <w:r>
        <w:rPr>
          <w:rFonts w:ascii="Times New Roman" w:hAnsi="Times New Roman" w:cs="Times New Roman"/>
          <w:color w:val="000000"/>
          <w:kern w:val="0"/>
          <w14:ligatures w14:val="none"/>
        </w:rPr>
        <w:t>(1), 18–33. https://doi.org/10.1038/s41380-018-0017-5</w:t>
      </w:r>
    </w:p>
    <w:p w14:paraId="1271C16E"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Miller, A. H., &amp; Raison, C. L. (2016). The role of inflammation in depression: From evolutionary imperative to modern treatment target. </w:t>
      </w:r>
      <w:r>
        <w:rPr>
          <w:rFonts w:ascii="Times New Roman" w:hAnsi="Times New Roman" w:cs="Times New Roman"/>
          <w:i/>
          <w:iCs/>
          <w:color w:val="000000"/>
          <w:kern w:val="0"/>
          <w14:ligatures w14:val="none"/>
        </w:rPr>
        <w:t>Nature Reviews Immunology, 16</w:t>
      </w:r>
      <w:r>
        <w:rPr>
          <w:rFonts w:ascii="Times New Roman" w:hAnsi="Times New Roman" w:cs="Times New Roman"/>
          <w:color w:val="000000"/>
          <w:kern w:val="0"/>
          <w14:ligatures w14:val="none"/>
        </w:rPr>
        <w:t>(1), 22–34. https://doi.org/10.1038/nri.2015.5</w:t>
      </w:r>
    </w:p>
    <w:p w14:paraId="3116655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Mottillo, S., Filion, K. B., Genest, J., Joseph, L., Pilote, L., Poirier, P., … &amp; Eisenberg, M. J. (2010). The metabolic syndrome and cardiovascular risk: A systematic review and meta-analysis. </w:t>
      </w:r>
      <w:r>
        <w:rPr>
          <w:rFonts w:ascii="Times New Roman" w:hAnsi="Times New Roman" w:cs="Times New Roman"/>
          <w:i/>
          <w:iCs/>
          <w:color w:val="000000"/>
          <w:kern w:val="0"/>
          <w14:ligatures w14:val="none"/>
        </w:rPr>
        <w:t>Journal of the American College of Cardiology, 56</w:t>
      </w:r>
      <w:r>
        <w:rPr>
          <w:rFonts w:ascii="Times New Roman" w:hAnsi="Times New Roman" w:cs="Times New Roman"/>
          <w:color w:val="000000"/>
          <w:kern w:val="0"/>
          <w14:ligatures w14:val="none"/>
        </w:rPr>
        <w:t>(14), 1113–1132. https://doi.org/10.1016/j.jacc.2010.05.034</w:t>
      </w:r>
    </w:p>
    <w:p w14:paraId="43398B6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Ngandu, T., Lehtisalo, J., Solomon, A., Levälahti, E., Ahtiluoto, S., Antikainen, R., … &amp; Kivipelto, M. (2015). A 2-year multidomain intervention of diet, exercise, cognitive training, and vascular risk monitoring versus control to prevent cognitive decline in at-risk elderly people (FINGER): A randomised controlled trial. </w:t>
      </w:r>
      <w:r>
        <w:rPr>
          <w:rFonts w:ascii="Times New Roman" w:hAnsi="Times New Roman" w:cs="Times New Roman"/>
          <w:i/>
          <w:iCs/>
          <w:color w:val="000000"/>
          <w:kern w:val="0"/>
          <w14:ligatures w14:val="none"/>
        </w:rPr>
        <w:t>The Lancet, 385</w:t>
      </w:r>
      <w:r>
        <w:rPr>
          <w:rFonts w:ascii="Times New Roman" w:hAnsi="Times New Roman" w:cs="Times New Roman"/>
          <w:color w:val="000000"/>
          <w:kern w:val="0"/>
          <w14:ligatures w14:val="none"/>
        </w:rPr>
        <w:t>(9984), 2255–2263. https://doi.org/10.1016/S0140-6736(15)60461-5</w:t>
      </w:r>
    </w:p>
    <w:p w14:paraId="11A6948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Reitz, C., Tang, M. X., Schupf, N., Manly, J. J., Mayeux, R., &amp; Luchsinger, J. A. (2011). Association of higher levels of high-density lipoprotein cholesterol in elderly individuals and lower risk of late-onset Alzheimer disease. </w:t>
      </w:r>
      <w:r>
        <w:rPr>
          <w:rFonts w:ascii="Times New Roman" w:hAnsi="Times New Roman" w:cs="Times New Roman"/>
          <w:i/>
          <w:iCs/>
          <w:color w:val="000000"/>
          <w:kern w:val="0"/>
          <w14:ligatures w14:val="none"/>
        </w:rPr>
        <w:t>Archives of Neurology, 67</w:t>
      </w:r>
      <w:r>
        <w:rPr>
          <w:rFonts w:ascii="Times New Roman" w:hAnsi="Times New Roman" w:cs="Times New Roman"/>
          <w:color w:val="000000"/>
          <w:kern w:val="0"/>
          <w14:ligatures w14:val="none"/>
        </w:rPr>
        <w:t>(12), 1491–1497. https://doi.org/10.1001/archneurol.2010.307</w:t>
      </w:r>
    </w:p>
    <w:p w14:paraId="3E9C3D1B"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Saklayen, M. G. (2018). The global epidemic of the metabolic syndrome. </w:t>
      </w:r>
      <w:r>
        <w:rPr>
          <w:rFonts w:ascii="Times New Roman" w:hAnsi="Times New Roman" w:cs="Times New Roman"/>
          <w:i/>
          <w:iCs/>
          <w:color w:val="000000"/>
          <w:kern w:val="0"/>
          <w14:ligatures w14:val="none"/>
        </w:rPr>
        <w:t>Current Hypertension Reports, 20</w:t>
      </w:r>
      <w:r>
        <w:rPr>
          <w:rFonts w:ascii="Times New Roman" w:hAnsi="Times New Roman" w:cs="Times New Roman"/>
          <w:color w:val="000000"/>
          <w:kern w:val="0"/>
          <w14:ligatures w14:val="none"/>
        </w:rPr>
        <w:t>(2), 12. https://doi.org/10.1007/s11906-018-0812-z</w:t>
      </w:r>
    </w:p>
    <w:p w14:paraId="0AE114A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Segura, B., Jurado, M. A., Freixenet, N., Albuin, C., Muniesa, J., &amp; Junqué, C. (2009). Mental slowness and executive dysfunctions in patients with metabolic syndrome. </w:t>
      </w:r>
      <w:r>
        <w:rPr>
          <w:rFonts w:ascii="Times New Roman" w:hAnsi="Times New Roman" w:cs="Times New Roman"/>
          <w:i/>
          <w:iCs/>
          <w:color w:val="000000"/>
          <w:kern w:val="0"/>
          <w14:ligatures w14:val="none"/>
        </w:rPr>
        <w:t>Neuroscience Letters, 462</w:t>
      </w:r>
      <w:r>
        <w:rPr>
          <w:rFonts w:ascii="Times New Roman" w:hAnsi="Times New Roman" w:cs="Times New Roman"/>
          <w:color w:val="000000"/>
          <w:kern w:val="0"/>
          <w14:ligatures w14:val="none"/>
        </w:rPr>
        <w:t>(1), 49–53. https://doi.org/10.1016/j.neulet.2009.06.071</w:t>
      </w:r>
    </w:p>
    <w:p w14:paraId="77E1BDA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Swiger, K. J., Manalac, R. J., Blumenthal, R. S., Blaha, M. J., &amp; Martin, S. S. (2013). Statins and cognition: A systematic review and meta-analysis of short- and long-term cognitive effects. </w:t>
      </w:r>
      <w:r>
        <w:rPr>
          <w:rFonts w:ascii="Times New Roman" w:hAnsi="Times New Roman" w:cs="Times New Roman"/>
          <w:i/>
          <w:iCs/>
          <w:color w:val="000000"/>
          <w:kern w:val="0"/>
          <w14:ligatures w14:val="none"/>
        </w:rPr>
        <w:t>Mayo Clinic Proceedings, 88</w:t>
      </w:r>
      <w:r>
        <w:rPr>
          <w:rFonts w:ascii="Times New Roman" w:hAnsi="Times New Roman" w:cs="Times New Roman"/>
          <w:color w:val="000000"/>
          <w:kern w:val="0"/>
          <w14:ligatures w14:val="none"/>
        </w:rPr>
        <w:t>(11), 1213–1221. https://doi.org/10.1016/j.mayocp.2013.07.013</w:t>
      </w:r>
    </w:p>
    <w:p w14:paraId="2A34B27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Talbot, K., Wang, H. Y., Kazi, H., Han, L. Y., Bakshi, K. P., Stucky, A., … &amp; Arnold, S. E. (2012). Demonstrated brain insulin resistance in Alzheimer’s disease patients is associated with IGF-1 resistance, IRS-1 dysregulation, and cognitive </w:t>
      </w:r>
      <w:r>
        <w:rPr>
          <w:rFonts w:ascii="Times New Roman" w:hAnsi="Times New Roman" w:cs="Times New Roman"/>
          <w:color w:val="000000"/>
          <w:kern w:val="0"/>
          <w14:ligatures w14:val="none"/>
        </w:rPr>
        <w:lastRenderedPageBreak/>
        <w:t>decline. </w:t>
      </w:r>
      <w:r>
        <w:rPr>
          <w:rFonts w:ascii="Times New Roman" w:hAnsi="Times New Roman" w:cs="Times New Roman"/>
          <w:i/>
          <w:iCs/>
          <w:color w:val="000000"/>
          <w:kern w:val="0"/>
          <w14:ligatures w14:val="none"/>
        </w:rPr>
        <w:t>Journal of Clinical Investigation, 122</w:t>
      </w:r>
      <w:r>
        <w:rPr>
          <w:rFonts w:ascii="Times New Roman" w:hAnsi="Times New Roman" w:cs="Times New Roman"/>
          <w:color w:val="000000"/>
          <w:kern w:val="0"/>
          <w14:ligatures w14:val="none"/>
        </w:rPr>
        <w:t>(4), 1316–1338. https://doi.org/10.1172/JCI59903</w:t>
      </w:r>
    </w:p>
    <w:p w14:paraId="42AF452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van der Lee, S. J., Wolters, F. J., Ikram, M. K., Hofman, A., Ikram, M. A., Amin, N., &amp; van Duijn, C. M. (2018). Cholesterol and fatty acids in Alzheimer’s disease: An integrative overview of epidemiological and experimental evidence. </w:t>
      </w:r>
      <w:r>
        <w:rPr>
          <w:rFonts w:ascii="Times New Roman" w:hAnsi="Times New Roman" w:cs="Times New Roman"/>
          <w:i/>
          <w:iCs/>
          <w:color w:val="000000"/>
          <w:kern w:val="0"/>
          <w14:ligatures w14:val="none"/>
        </w:rPr>
        <w:t>Journal of Alzheimer’s Disease, 64</w:t>
      </w:r>
      <w:r>
        <w:rPr>
          <w:rFonts w:ascii="Times New Roman" w:hAnsi="Times New Roman" w:cs="Times New Roman"/>
          <w:color w:val="000000"/>
          <w:kern w:val="0"/>
          <w14:ligatures w14:val="none"/>
        </w:rPr>
        <w:t>(1), S409–S427. https://doi.org/10.3233/JAD-179926</w:t>
      </w:r>
    </w:p>
    <w:p w14:paraId="58FC3B9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Willette, A. A., Johnson, S. C., Birdsill, A. C., Sager, M. A., Christian, B., Baker, L. D., … &amp; Bendlin, B. B. (2015). Insulin resistance predicts brain amyloid deposition in late middle-aged adults. </w:t>
      </w:r>
      <w:r>
        <w:rPr>
          <w:rFonts w:ascii="Times New Roman" w:hAnsi="Times New Roman" w:cs="Times New Roman"/>
          <w:i/>
          <w:iCs/>
          <w:color w:val="000000"/>
          <w:kern w:val="0"/>
          <w14:ligatures w14:val="none"/>
        </w:rPr>
        <w:t>Alzheimer’s &amp; Dementia, 11</w:t>
      </w:r>
      <w:r>
        <w:rPr>
          <w:rFonts w:ascii="Times New Roman" w:hAnsi="Times New Roman" w:cs="Times New Roman"/>
          <w:color w:val="000000"/>
          <w:kern w:val="0"/>
          <w14:ligatures w14:val="none"/>
        </w:rPr>
        <w:t>(5), 504–510. https://doi.org/10.1016/j.jalz.2014.03.011</w:t>
      </w:r>
    </w:p>
    <w:p w14:paraId="5F87BF1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Yaffe, K., Kanaya, A., Lindquist, K., Simonsick, E. M., Harris, T., Shorr, R. I., … &amp; Newman, A. B. (2004). The metabolic syndrome, inflammation, and risk of cognitive decline. </w:t>
      </w:r>
      <w:r>
        <w:rPr>
          <w:rFonts w:ascii="Times New Roman" w:hAnsi="Times New Roman" w:cs="Times New Roman"/>
          <w:i/>
          <w:iCs/>
          <w:color w:val="000000"/>
          <w:kern w:val="0"/>
          <w14:ligatures w14:val="none"/>
        </w:rPr>
        <w:t>JAMA, 292</w:t>
      </w:r>
      <w:r>
        <w:rPr>
          <w:rFonts w:ascii="Times New Roman" w:hAnsi="Times New Roman" w:cs="Times New Roman"/>
          <w:color w:val="000000"/>
          <w:kern w:val="0"/>
          <w14:ligatures w14:val="none"/>
        </w:rPr>
        <w:t>(18), 2237–2242. https://doi.org/10.1001/jama.292.18.2237</w:t>
      </w:r>
    </w:p>
    <w:p w14:paraId="75BAB303" w14:textId="021238E2"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Yates, K. F., Sweat, V., Yau, P. L., Turchiano, M. M., &amp; Convit, A. (2012). Impact of metabolic syndrome on cognition and brain: A selected review of the literature. </w:t>
      </w:r>
      <w:r>
        <w:rPr>
          <w:rFonts w:ascii="Times New Roman" w:hAnsi="Times New Roman" w:cs="Times New Roman"/>
          <w:i/>
          <w:iCs/>
          <w:color w:val="000000"/>
          <w:kern w:val="0"/>
          <w14:ligatures w14:val="none"/>
        </w:rPr>
        <w:t>Arteriosclerosis, Thrombosis, and Vascular Biology, 32</w:t>
      </w:r>
      <w:r>
        <w:rPr>
          <w:rFonts w:ascii="Times New Roman" w:hAnsi="Times New Roman" w:cs="Times New Roman"/>
          <w:color w:val="000000"/>
          <w:kern w:val="0"/>
          <w14:ligatures w14:val="none"/>
        </w:rPr>
        <w:t>(9), 2060–2067. </w:t>
      </w:r>
      <w:hyperlink r:id="rId7" w:history="1">
        <w:r w:rsidR="0078668F" w:rsidRPr="00E51457">
          <w:rPr>
            <w:rStyle w:val="Hyperlink"/>
            <w:rFonts w:ascii="Times New Roman" w:hAnsi="Times New Roman" w:cs="Times New Roman"/>
            <w:kern w:val="0"/>
            <w14:ligatures w14:val="none"/>
          </w:rPr>
          <w:t>https://doi.org/10.1161/ATVBAHA.112.252759</w:t>
        </w:r>
      </w:hyperlink>
    </w:p>
    <w:p w14:paraId="605C5A81" w14:textId="064D6C28" w:rsidR="00DB16AC" w:rsidRDefault="0078668F" w:rsidP="00DB16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highlight w:val="yellow"/>
          <w14:ligatures w14:val="none"/>
        </w:rPr>
        <w:t xml:space="preserve">31. </w:t>
      </w:r>
      <w:r w:rsidRPr="001837A6">
        <w:rPr>
          <w:rFonts w:ascii="Times New Roman" w:hAnsi="Times New Roman" w:cs="Times New Roman"/>
          <w:color w:val="000000"/>
          <w:kern w:val="0"/>
          <w:highlight w:val="yellow"/>
          <w14:ligatures w14:val="none"/>
        </w:rPr>
        <w:t xml:space="preserve">Balaji, C. (2021). Prevalence of Metabolic Syndrome in Urban South Indian Population. Journal of Pharmaceutical Research International, 33(42A), 104–110.  </w:t>
      </w:r>
      <w:r w:rsidR="00DB16AC">
        <w:rPr>
          <w:rFonts w:ascii="Times New Roman" w:hAnsi="Times New Roman" w:cs="Times New Roman"/>
          <w:color w:val="000000"/>
          <w:kern w:val="0"/>
          <w:highlight w:val="yellow"/>
          <w14:ligatures w14:val="none"/>
        </w:rPr>
        <w:t xml:space="preserve">32. </w:t>
      </w:r>
      <w:proofErr w:type="spellStart"/>
      <w:r w:rsidR="00DB16AC" w:rsidRPr="001837A6">
        <w:rPr>
          <w:rFonts w:ascii="Times New Roman" w:hAnsi="Times New Roman" w:cs="Times New Roman"/>
          <w:color w:val="000000"/>
          <w:kern w:val="0"/>
          <w:highlight w:val="yellow"/>
          <w14:ligatures w14:val="none"/>
        </w:rPr>
        <w:t>Dybiec</w:t>
      </w:r>
      <w:proofErr w:type="spellEnd"/>
      <w:r w:rsidR="00DB16AC" w:rsidRPr="001837A6">
        <w:rPr>
          <w:rFonts w:ascii="Times New Roman" w:hAnsi="Times New Roman" w:cs="Times New Roman"/>
          <w:color w:val="000000"/>
          <w:kern w:val="0"/>
          <w:highlight w:val="yellow"/>
          <w14:ligatures w14:val="none"/>
        </w:rPr>
        <w:t xml:space="preserve">, J., Baran, W., </w:t>
      </w:r>
      <w:proofErr w:type="spellStart"/>
      <w:r w:rsidR="00DB16AC" w:rsidRPr="001837A6">
        <w:rPr>
          <w:rFonts w:ascii="Times New Roman" w:hAnsi="Times New Roman" w:cs="Times New Roman"/>
          <w:color w:val="000000"/>
          <w:kern w:val="0"/>
          <w:highlight w:val="yellow"/>
          <w14:ligatures w14:val="none"/>
        </w:rPr>
        <w:t>Dąbek</w:t>
      </w:r>
      <w:proofErr w:type="spellEnd"/>
      <w:r w:rsidR="00DB16AC" w:rsidRPr="001837A6">
        <w:rPr>
          <w:rFonts w:ascii="Times New Roman" w:hAnsi="Times New Roman" w:cs="Times New Roman"/>
          <w:color w:val="000000"/>
          <w:kern w:val="0"/>
          <w:highlight w:val="yellow"/>
          <w14:ligatures w14:val="none"/>
        </w:rPr>
        <w:t xml:space="preserve">, B., </w:t>
      </w:r>
      <w:proofErr w:type="spellStart"/>
      <w:r w:rsidR="00DB16AC" w:rsidRPr="001837A6">
        <w:rPr>
          <w:rFonts w:ascii="Times New Roman" w:hAnsi="Times New Roman" w:cs="Times New Roman"/>
          <w:color w:val="000000"/>
          <w:kern w:val="0"/>
          <w:highlight w:val="yellow"/>
          <w14:ligatures w14:val="none"/>
        </w:rPr>
        <w:t>Fularski</w:t>
      </w:r>
      <w:proofErr w:type="spellEnd"/>
      <w:r w:rsidR="00DB16AC" w:rsidRPr="001837A6">
        <w:rPr>
          <w:rFonts w:ascii="Times New Roman" w:hAnsi="Times New Roman" w:cs="Times New Roman"/>
          <w:color w:val="000000"/>
          <w:kern w:val="0"/>
          <w:highlight w:val="yellow"/>
          <w14:ligatures w14:val="none"/>
        </w:rPr>
        <w:t xml:space="preserve">, P., </w:t>
      </w:r>
      <w:proofErr w:type="spellStart"/>
      <w:r w:rsidR="00DB16AC" w:rsidRPr="001837A6">
        <w:rPr>
          <w:rFonts w:ascii="Times New Roman" w:hAnsi="Times New Roman" w:cs="Times New Roman"/>
          <w:color w:val="000000"/>
          <w:kern w:val="0"/>
          <w:highlight w:val="yellow"/>
          <w14:ligatures w14:val="none"/>
        </w:rPr>
        <w:t>Młynarska</w:t>
      </w:r>
      <w:proofErr w:type="spellEnd"/>
      <w:r w:rsidR="00DB16AC" w:rsidRPr="001837A6">
        <w:rPr>
          <w:rFonts w:ascii="Times New Roman" w:hAnsi="Times New Roman" w:cs="Times New Roman"/>
          <w:color w:val="000000"/>
          <w:kern w:val="0"/>
          <w:highlight w:val="yellow"/>
          <w14:ligatures w14:val="none"/>
        </w:rPr>
        <w:t xml:space="preserve">, E., </w:t>
      </w:r>
      <w:proofErr w:type="spellStart"/>
      <w:r w:rsidR="00DB16AC" w:rsidRPr="001837A6">
        <w:rPr>
          <w:rFonts w:ascii="Times New Roman" w:hAnsi="Times New Roman" w:cs="Times New Roman"/>
          <w:color w:val="000000"/>
          <w:kern w:val="0"/>
          <w:highlight w:val="yellow"/>
          <w14:ligatures w14:val="none"/>
        </w:rPr>
        <w:t>Radzioch</w:t>
      </w:r>
      <w:proofErr w:type="spellEnd"/>
      <w:r w:rsidR="00DB16AC" w:rsidRPr="001837A6">
        <w:rPr>
          <w:rFonts w:ascii="Times New Roman" w:hAnsi="Times New Roman" w:cs="Times New Roman"/>
          <w:color w:val="000000"/>
          <w:kern w:val="0"/>
          <w:highlight w:val="yellow"/>
          <w14:ligatures w14:val="none"/>
        </w:rPr>
        <w:t xml:space="preserve">, E., ... &amp; Franczyk, B. (2023). Advances in treatment of </w:t>
      </w:r>
      <w:proofErr w:type="spellStart"/>
      <w:r w:rsidR="00DB16AC" w:rsidRPr="001837A6">
        <w:rPr>
          <w:rFonts w:ascii="Times New Roman" w:hAnsi="Times New Roman" w:cs="Times New Roman"/>
          <w:color w:val="000000"/>
          <w:kern w:val="0"/>
          <w:highlight w:val="yellow"/>
          <w14:ligatures w14:val="none"/>
        </w:rPr>
        <w:t>dyslipidemia</w:t>
      </w:r>
      <w:proofErr w:type="spellEnd"/>
      <w:r w:rsidR="00DB16AC" w:rsidRPr="001837A6">
        <w:rPr>
          <w:rFonts w:ascii="Times New Roman" w:hAnsi="Times New Roman" w:cs="Times New Roman"/>
          <w:color w:val="000000"/>
          <w:kern w:val="0"/>
          <w:highlight w:val="yellow"/>
          <w14:ligatures w14:val="none"/>
        </w:rPr>
        <w:t>. International journal of molecular sciences, 24(17), 13288.</w:t>
      </w:r>
      <w:r w:rsidR="00DB16AC">
        <w:rPr>
          <w:rFonts w:ascii="Times New Roman" w:hAnsi="Times New Roman" w:cs="Times New Roman"/>
          <w:color w:val="000000"/>
          <w:kern w:val="0"/>
          <w14:ligatures w14:val="none"/>
        </w:rPr>
        <w:t xml:space="preserve">  </w:t>
      </w:r>
    </w:p>
    <w:p w14:paraId="568C63AA" w14:textId="77777777" w:rsidR="00D01EAC" w:rsidRDefault="00D01EAC"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33. </w:t>
      </w:r>
      <w:proofErr w:type="spellStart"/>
      <w:r w:rsidRPr="001837A6">
        <w:rPr>
          <w:rFonts w:ascii="Times New Roman" w:hAnsi="Times New Roman" w:cs="Times New Roman"/>
          <w:color w:val="000000"/>
          <w:kern w:val="0"/>
          <w:highlight w:val="yellow"/>
          <w14:ligatures w14:val="none"/>
        </w:rPr>
        <w:t>Nussbaumerova</w:t>
      </w:r>
      <w:proofErr w:type="spellEnd"/>
      <w:r w:rsidRPr="001837A6">
        <w:rPr>
          <w:rFonts w:ascii="Times New Roman" w:hAnsi="Times New Roman" w:cs="Times New Roman"/>
          <w:color w:val="000000"/>
          <w:kern w:val="0"/>
          <w:highlight w:val="yellow"/>
          <w14:ligatures w14:val="none"/>
        </w:rPr>
        <w:t xml:space="preserve">, B., &amp; </w:t>
      </w:r>
      <w:proofErr w:type="spellStart"/>
      <w:r w:rsidRPr="001837A6">
        <w:rPr>
          <w:rFonts w:ascii="Times New Roman" w:hAnsi="Times New Roman" w:cs="Times New Roman"/>
          <w:color w:val="000000"/>
          <w:kern w:val="0"/>
          <w:highlight w:val="yellow"/>
          <w14:ligatures w14:val="none"/>
        </w:rPr>
        <w:t>Rosolova</w:t>
      </w:r>
      <w:proofErr w:type="spellEnd"/>
      <w:r w:rsidRPr="001837A6">
        <w:rPr>
          <w:rFonts w:ascii="Times New Roman" w:hAnsi="Times New Roman" w:cs="Times New Roman"/>
          <w:color w:val="000000"/>
          <w:kern w:val="0"/>
          <w:highlight w:val="yellow"/>
          <w14:ligatures w14:val="none"/>
        </w:rPr>
        <w:t xml:space="preserve">, H. (2023). Obesity and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 Current atherosclerosis reports, 25(12), 947-955.</w:t>
      </w:r>
      <w:r>
        <w:rPr>
          <w:rFonts w:ascii="Times New Roman" w:hAnsi="Times New Roman" w:cs="Times New Roman"/>
          <w:color w:val="000000"/>
          <w:kern w:val="0"/>
          <w14:ligatures w14:val="none"/>
        </w:rPr>
        <w:t xml:space="preserve">  </w:t>
      </w:r>
    </w:p>
    <w:p w14:paraId="29C6BFFB" w14:textId="40F190CC" w:rsidR="00D01EAC" w:rsidRDefault="00D01EAC"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34. </w:t>
      </w:r>
      <w:r w:rsidRPr="001837A6">
        <w:rPr>
          <w:rFonts w:ascii="Times New Roman" w:hAnsi="Times New Roman" w:cs="Times New Roman"/>
          <w:color w:val="000000"/>
          <w:kern w:val="0"/>
          <w:highlight w:val="yellow"/>
          <w14:ligatures w14:val="none"/>
        </w:rPr>
        <w:t xml:space="preserve">Jakubiak, G. K., </w:t>
      </w:r>
      <w:proofErr w:type="spellStart"/>
      <w:r w:rsidRPr="001837A6">
        <w:rPr>
          <w:rFonts w:ascii="Times New Roman" w:hAnsi="Times New Roman" w:cs="Times New Roman"/>
          <w:color w:val="000000"/>
          <w:kern w:val="0"/>
          <w:highlight w:val="yellow"/>
          <w14:ligatures w14:val="none"/>
        </w:rPr>
        <w:t>Osadnik</w:t>
      </w:r>
      <w:proofErr w:type="spellEnd"/>
      <w:r w:rsidRPr="001837A6">
        <w:rPr>
          <w:rFonts w:ascii="Times New Roman" w:hAnsi="Times New Roman" w:cs="Times New Roman"/>
          <w:color w:val="000000"/>
          <w:kern w:val="0"/>
          <w:highlight w:val="yellow"/>
          <w14:ligatures w14:val="none"/>
        </w:rPr>
        <w:t xml:space="preserve">, K., </w:t>
      </w:r>
      <w:proofErr w:type="spellStart"/>
      <w:r w:rsidRPr="001837A6">
        <w:rPr>
          <w:rFonts w:ascii="Times New Roman" w:hAnsi="Times New Roman" w:cs="Times New Roman"/>
          <w:color w:val="000000"/>
          <w:kern w:val="0"/>
          <w:highlight w:val="yellow"/>
          <w14:ligatures w14:val="none"/>
        </w:rPr>
        <w:t>Lejawa</w:t>
      </w:r>
      <w:proofErr w:type="spellEnd"/>
      <w:r w:rsidRPr="001837A6">
        <w:rPr>
          <w:rFonts w:ascii="Times New Roman" w:hAnsi="Times New Roman" w:cs="Times New Roman"/>
          <w:color w:val="000000"/>
          <w:kern w:val="0"/>
          <w:highlight w:val="yellow"/>
          <w14:ligatures w14:val="none"/>
        </w:rPr>
        <w:t xml:space="preserve">, M., </w:t>
      </w:r>
      <w:proofErr w:type="spellStart"/>
      <w:r w:rsidRPr="001837A6">
        <w:rPr>
          <w:rFonts w:ascii="Times New Roman" w:hAnsi="Times New Roman" w:cs="Times New Roman"/>
          <w:color w:val="000000"/>
          <w:kern w:val="0"/>
          <w:highlight w:val="yellow"/>
          <w14:ligatures w14:val="none"/>
        </w:rPr>
        <w:t>Osadnik</w:t>
      </w:r>
      <w:proofErr w:type="spellEnd"/>
      <w:r w:rsidRPr="001837A6">
        <w:rPr>
          <w:rFonts w:ascii="Times New Roman" w:hAnsi="Times New Roman" w:cs="Times New Roman"/>
          <w:color w:val="000000"/>
          <w:kern w:val="0"/>
          <w:highlight w:val="yellow"/>
          <w14:ligatures w14:val="none"/>
        </w:rPr>
        <w:t xml:space="preserve">, T., </w:t>
      </w:r>
      <w:proofErr w:type="spellStart"/>
      <w:r w:rsidRPr="001837A6">
        <w:rPr>
          <w:rFonts w:ascii="Times New Roman" w:hAnsi="Times New Roman" w:cs="Times New Roman"/>
          <w:color w:val="000000"/>
          <w:kern w:val="0"/>
          <w:highlight w:val="yellow"/>
          <w14:ligatures w14:val="none"/>
        </w:rPr>
        <w:t>Goławski</w:t>
      </w:r>
      <w:proofErr w:type="spellEnd"/>
      <w:r w:rsidRPr="001837A6">
        <w:rPr>
          <w:rFonts w:ascii="Times New Roman" w:hAnsi="Times New Roman" w:cs="Times New Roman"/>
          <w:color w:val="000000"/>
          <w:kern w:val="0"/>
          <w:highlight w:val="yellow"/>
          <w14:ligatures w14:val="none"/>
        </w:rPr>
        <w:t xml:space="preserve">, M., Lewandowski, P., &amp; </w:t>
      </w:r>
      <w:proofErr w:type="spellStart"/>
      <w:r w:rsidRPr="001837A6">
        <w:rPr>
          <w:rFonts w:ascii="Times New Roman" w:hAnsi="Times New Roman" w:cs="Times New Roman"/>
          <w:color w:val="000000"/>
          <w:kern w:val="0"/>
          <w:highlight w:val="yellow"/>
          <w14:ligatures w14:val="none"/>
        </w:rPr>
        <w:t>Pawlas</w:t>
      </w:r>
      <w:proofErr w:type="spellEnd"/>
      <w:r w:rsidRPr="001837A6">
        <w:rPr>
          <w:rFonts w:ascii="Times New Roman" w:hAnsi="Times New Roman" w:cs="Times New Roman"/>
          <w:color w:val="000000"/>
          <w:kern w:val="0"/>
          <w:highlight w:val="yellow"/>
          <w14:ligatures w14:val="none"/>
        </w:rPr>
        <w:t>, N. (2021). “Obesity and insulin resistance” is the component of the metabolic syndrome most strongly associated with oxidative stress. Antioxidants, 11(1), 79.</w:t>
      </w:r>
      <w:r>
        <w:rPr>
          <w:rFonts w:ascii="Times New Roman" w:hAnsi="Times New Roman" w:cs="Times New Roman"/>
          <w:color w:val="000000"/>
          <w:kern w:val="0"/>
          <w14:ligatures w14:val="none"/>
        </w:rPr>
        <w:t xml:space="preserve">  </w:t>
      </w:r>
    </w:p>
    <w:p w14:paraId="0E694764" w14:textId="654F3F44" w:rsidR="00D01EAC" w:rsidRDefault="006607D1"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35. </w:t>
      </w:r>
      <w:r w:rsidRPr="001837A6">
        <w:rPr>
          <w:rFonts w:ascii="Times New Roman" w:hAnsi="Times New Roman" w:cs="Times New Roman"/>
          <w:color w:val="000000"/>
          <w:kern w:val="0"/>
          <w:highlight w:val="yellow"/>
          <w14:ligatures w14:val="none"/>
        </w:rPr>
        <w:t xml:space="preserve">Crockett, A. M., Ryan, S. K., Vasquez, A. H., Canning, C., </w:t>
      </w:r>
      <w:proofErr w:type="spellStart"/>
      <w:r w:rsidRPr="001837A6">
        <w:rPr>
          <w:rFonts w:ascii="Times New Roman" w:hAnsi="Times New Roman" w:cs="Times New Roman"/>
          <w:color w:val="000000"/>
          <w:kern w:val="0"/>
          <w:highlight w:val="yellow"/>
          <w14:ligatures w14:val="none"/>
        </w:rPr>
        <w:t>Kanyuch</w:t>
      </w:r>
      <w:proofErr w:type="spellEnd"/>
      <w:r w:rsidRPr="001837A6">
        <w:rPr>
          <w:rFonts w:ascii="Times New Roman" w:hAnsi="Times New Roman" w:cs="Times New Roman"/>
          <w:color w:val="000000"/>
          <w:kern w:val="0"/>
          <w:highlight w:val="yellow"/>
          <w14:ligatures w14:val="none"/>
        </w:rPr>
        <w:t xml:space="preserve">, N., Kebir, H., ... &amp; Alvarez, J. I. (2021). Disruption of the blood–brain barrier in 22q11. 2 deletion </w:t>
      </w:r>
      <w:proofErr w:type="gramStart"/>
      <w:r w:rsidRPr="001837A6">
        <w:rPr>
          <w:rFonts w:ascii="Times New Roman" w:hAnsi="Times New Roman" w:cs="Times New Roman"/>
          <w:color w:val="000000"/>
          <w:kern w:val="0"/>
          <w:highlight w:val="yellow"/>
          <w14:ligatures w14:val="none"/>
        </w:rPr>
        <w:t>syndrome</w:t>
      </w:r>
      <w:proofErr w:type="gramEnd"/>
      <w:r w:rsidRPr="001837A6">
        <w:rPr>
          <w:rFonts w:ascii="Times New Roman" w:hAnsi="Times New Roman" w:cs="Times New Roman"/>
          <w:color w:val="000000"/>
          <w:kern w:val="0"/>
          <w:highlight w:val="yellow"/>
          <w14:ligatures w14:val="none"/>
        </w:rPr>
        <w:t>. Brain, 144(5), 1351-1360.</w:t>
      </w:r>
      <w:r>
        <w:rPr>
          <w:rFonts w:ascii="Times New Roman" w:hAnsi="Times New Roman" w:cs="Times New Roman"/>
          <w:color w:val="000000"/>
          <w:kern w:val="0"/>
          <w14:ligatures w14:val="none"/>
        </w:rPr>
        <w:t xml:space="preserve">  </w:t>
      </w:r>
    </w:p>
    <w:p w14:paraId="16727C3E" w14:textId="2A014964" w:rsidR="00EC2994" w:rsidRPr="0078668F" w:rsidRDefault="00951278" w:rsidP="001837A6">
      <w:pPr>
        <w:tabs>
          <w:tab w:val="left" w:pos="720"/>
        </w:tabs>
        <w:spacing w:before="100" w:beforeAutospacing="1" w:after="0" w:afterAutospacing="1"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DBFE401" wp14:editId="359ACA38">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41151DA1" w14:textId="77777777" w:rsidR="00EC2994" w:rsidRDefault="00EC2994"/>
    <w:sectPr w:rsidR="00EC29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6135A" w14:textId="77777777" w:rsidR="005B5A97" w:rsidRDefault="005B5A97" w:rsidP="00422BD5">
      <w:pPr>
        <w:spacing w:after="0" w:line="240" w:lineRule="auto"/>
      </w:pPr>
      <w:r>
        <w:separator/>
      </w:r>
    </w:p>
  </w:endnote>
  <w:endnote w:type="continuationSeparator" w:id="0">
    <w:p w14:paraId="244E8475" w14:textId="77777777" w:rsidR="005B5A97" w:rsidRDefault="005B5A97" w:rsidP="004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32D5" w14:textId="77777777" w:rsidR="00422BD5" w:rsidRDefault="0042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4A4F" w14:textId="77777777" w:rsidR="00422BD5" w:rsidRDefault="0042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EECA" w14:textId="77777777" w:rsidR="00422BD5" w:rsidRDefault="0042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F999" w14:textId="77777777" w:rsidR="005B5A97" w:rsidRDefault="005B5A97" w:rsidP="00422BD5">
      <w:pPr>
        <w:spacing w:after="0" w:line="240" w:lineRule="auto"/>
      </w:pPr>
      <w:r>
        <w:separator/>
      </w:r>
    </w:p>
  </w:footnote>
  <w:footnote w:type="continuationSeparator" w:id="0">
    <w:p w14:paraId="5AC559C8" w14:textId="77777777" w:rsidR="005B5A97" w:rsidRDefault="005B5A97" w:rsidP="0042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0EC2" w14:textId="08837FD2" w:rsidR="00422BD5" w:rsidRDefault="005B5A97">
    <w:pPr>
      <w:pStyle w:val="Header"/>
    </w:pPr>
    <w:r>
      <w:rPr>
        <w:noProof/>
      </w:rPr>
      <w:pict w14:anchorId="132B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6CC5" w14:textId="71B2B640" w:rsidR="00422BD5" w:rsidRDefault="005B5A97">
    <w:pPr>
      <w:pStyle w:val="Header"/>
    </w:pPr>
    <w:r>
      <w:rPr>
        <w:noProof/>
      </w:rPr>
      <w:pict w14:anchorId="5BDA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5AA" w14:textId="071C05BB" w:rsidR="00422BD5" w:rsidRDefault="005B5A97">
    <w:pPr>
      <w:pStyle w:val="Header"/>
    </w:pPr>
    <w:r>
      <w:rPr>
        <w:noProof/>
      </w:rPr>
      <w:pict w14:anchorId="6E31C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69C6B7A"/>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MrEwMzIztjAyNTNV0lEKTi0uzszPAykwrAUAEP02PiwAAAA="/>
  </w:docVars>
  <w:rsids>
    <w:rsidRoot w:val="00EC2994"/>
    <w:rsid w:val="00085D04"/>
    <w:rsid w:val="000B069B"/>
    <w:rsid w:val="001837A6"/>
    <w:rsid w:val="00422BD5"/>
    <w:rsid w:val="004F0228"/>
    <w:rsid w:val="004F5DC3"/>
    <w:rsid w:val="005A12F1"/>
    <w:rsid w:val="005B5A97"/>
    <w:rsid w:val="006607D1"/>
    <w:rsid w:val="006804CC"/>
    <w:rsid w:val="0078668F"/>
    <w:rsid w:val="00946C50"/>
    <w:rsid w:val="00951278"/>
    <w:rsid w:val="009A48C9"/>
    <w:rsid w:val="009C17F4"/>
    <w:rsid w:val="00D01EAC"/>
    <w:rsid w:val="00DB16AC"/>
    <w:rsid w:val="00EC2994"/>
    <w:rsid w:val="00F2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377349"/>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customStyle="1" w:styleId="placeholder">
    <w:name w:val="placeholder"/>
    <w:basedOn w:val="Normal"/>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9C17F4"/>
    <w:rPr>
      <w:color w:val="0000FF" w:themeColor="hyperlink"/>
      <w:u w:val="single"/>
    </w:rPr>
  </w:style>
  <w:style w:type="character" w:styleId="UnresolvedMention">
    <w:name w:val="Unresolved Mention"/>
    <w:basedOn w:val="DefaultParagraphFont"/>
    <w:uiPriority w:val="99"/>
    <w:semiHidden/>
    <w:unhideWhenUsed/>
    <w:rsid w:val="009C17F4"/>
    <w:rPr>
      <w:color w:val="605E5C"/>
      <w:shd w:val="clear" w:color="auto" w:fill="E1DFDD"/>
    </w:rPr>
  </w:style>
  <w:style w:type="paragraph" w:styleId="Header">
    <w:name w:val="header"/>
    <w:basedOn w:val="Normal"/>
    <w:link w:val="HeaderChar"/>
    <w:uiPriority w:val="99"/>
    <w:unhideWhenUsed/>
    <w:rsid w:val="0042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D5"/>
  </w:style>
  <w:style w:type="paragraph" w:styleId="Footer">
    <w:name w:val="footer"/>
    <w:basedOn w:val="Normal"/>
    <w:link w:val="FooterChar"/>
    <w:uiPriority w:val="99"/>
    <w:unhideWhenUsed/>
    <w:rsid w:val="0042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D5"/>
  </w:style>
  <w:style w:type="paragraph" w:styleId="Revision">
    <w:name w:val="Revision"/>
    <w:hidden/>
    <w:uiPriority w:val="99"/>
    <w:semiHidden/>
    <w:rsid w:val="0078668F"/>
    <w:pPr>
      <w:spacing w:after="0" w:line="240" w:lineRule="auto"/>
    </w:pPr>
  </w:style>
  <w:style w:type="paragraph" w:styleId="BalloonText">
    <w:name w:val="Balloon Text"/>
    <w:basedOn w:val="Normal"/>
    <w:link w:val="BalloonTextChar"/>
    <w:uiPriority w:val="99"/>
    <w:semiHidden/>
    <w:unhideWhenUsed/>
    <w:rsid w:val="00183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61/ATVBAHA.112.2527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5859</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Editor-11</cp:lastModifiedBy>
  <cp:revision>12</cp:revision>
  <dcterms:created xsi:type="dcterms:W3CDTF">2025-08-17T16:10:00Z</dcterms:created>
  <dcterms:modified xsi:type="dcterms:W3CDTF">2025-08-21T10:35:00Z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7a2d37ccfb1844708bf6a24d3c8252f2</vt:lpwstr>
  </property>
  <property fmtid="{D5CDD505-2E9C-101B-9397-08002B2CF9AE}" pid="3" name="GrammarlyDocumentId">
    <vt:lpwstr>ef598e54-ff2a-4339-a6fb-2ede1edf524f</vt:lpwstr>
  </property>
</Properties>
</file>