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9F119" w14:textId="77777777" w:rsidR="00754C9A" w:rsidRDefault="00754C9A" w:rsidP="00441B6F">
      <w:pPr>
        <w:pStyle w:val="Title"/>
        <w:spacing w:after="0"/>
        <w:jc w:val="both"/>
        <w:rPr>
          <w:rFonts w:ascii="Arial" w:hAnsi="Arial" w:cs="Arial"/>
        </w:rPr>
      </w:pPr>
    </w:p>
    <w:p w14:paraId="2100DEAD" w14:textId="77777777" w:rsidR="007E6141" w:rsidRDefault="007E6141" w:rsidP="00441B6F">
      <w:pPr>
        <w:pStyle w:val="Author"/>
        <w:spacing w:line="240" w:lineRule="auto"/>
        <w:jc w:val="both"/>
        <w:rPr>
          <w:rFonts w:ascii="Arial" w:hAnsi="Arial" w:cs="Arial"/>
          <w:bCs/>
          <w:iCs/>
          <w:kern w:val="28"/>
          <w:sz w:val="36"/>
        </w:rPr>
      </w:pPr>
    </w:p>
    <w:p w14:paraId="26319B99" w14:textId="40AF529B" w:rsidR="00BA1B85" w:rsidRPr="00790ADA" w:rsidRDefault="007E6141" w:rsidP="00441B6F">
      <w:pPr>
        <w:pStyle w:val="Author"/>
        <w:spacing w:line="240" w:lineRule="auto"/>
        <w:jc w:val="both"/>
        <w:rPr>
          <w:rFonts w:ascii="Arial" w:hAnsi="Arial" w:cs="Arial"/>
          <w:sz w:val="36"/>
        </w:rPr>
      </w:pPr>
      <w:r w:rsidRPr="005D3EF1">
        <w:rPr>
          <w:rFonts w:ascii="Arial" w:hAnsi="Arial" w:cs="Arial"/>
          <w:bCs/>
          <w:iCs/>
          <w:kern w:val="28"/>
          <w:sz w:val="36"/>
          <w:highlight w:val="yellow"/>
        </w:rPr>
        <w:t>Environmental Pollution Caused by Laboratory Gold Processing: A Study of Soil and Water Contamination by Heavy Metals</w:t>
      </w:r>
    </w:p>
    <w:p w14:paraId="32E23CE3" w14:textId="77777777" w:rsidR="00790ADA" w:rsidRDefault="00790ADA" w:rsidP="00441B6F">
      <w:pPr>
        <w:pStyle w:val="Affiliation"/>
        <w:spacing w:after="0" w:line="240" w:lineRule="auto"/>
        <w:jc w:val="both"/>
        <w:rPr>
          <w:rFonts w:ascii="Arial" w:hAnsi="Arial" w:cs="Arial"/>
        </w:rPr>
      </w:pPr>
    </w:p>
    <w:p w14:paraId="2C469553" w14:textId="77777777" w:rsidR="002C57D2" w:rsidRPr="00FB3A86" w:rsidRDefault="002C57D2" w:rsidP="00441B6F">
      <w:pPr>
        <w:pStyle w:val="Affiliation"/>
        <w:spacing w:after="0" w:line="240" w:lineRule="auto"/>
        <w:jc w:val="both"/>
        <w:rPr>
          <w:rFonts w:ascii="Arial" w:hAnsi="Arial" w:cs="Arial"/>
        </w:rPr>
      </w:pPr>
    </w:p>
    <w:p w14:paraId="2ADB6838" w14:textId="77777777" w:rsidR="00B01FCD" w:rsidRPr="00FB3A86" w:rsidRDefault="00904DD9" w:rsidP="00441B6F">
      <w:pPr>
        <w:pStyle w:val="Copyright"/>
        <w:spacing w:after="0" w:line="240" w:lineRule="auto"/>
        <w:jc w:val="both"/>
        <w:rPr>
          <w:rFonts w:ascii="Arial" w:hAnsi="Arial" w:cs="Arial"/>
        </w:rPr>
        <w:sectPr w:rsidR="00B01FCD" w:rsidRPr="00FB3A86" w:rsidSect="00337F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F5115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3A08BB" w14:textId="6279DBA4" w:rsidR="00B01FCD" w:rsidRDefault="00B01FCD" w:rsidP="00441B6F">
      <w:pPr>
        <w:pStyle w:val="AbstHead"/>
        <w:spacing w:after="0"/>
        <w:jc w:val="both"/>
        <w:rPr>
          <w:rFonts w:ascii="Arial" w:hAnsi="Arial" w:cs="Arial"/>
        </w:rPr>
      </w:pPr>
      <w:r w:rsidRPr="00FB3A86">
        <w:rPr>
          <w:rFonts w:ascii="Arial" w:hAnsi="Arial" w:cs="Arial"/>
        </w:rPr>
        <w:t>ABSTRACT</w:t>
      </w:r>
    </w:p>
    <w:p w14:paraId="536DC65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4C6479" w14:textId="77777777" w:rsidTr="001E44FE">
        <w:tc>
          <w:tcPr>
            <w:tcW w:w="9576" w:type="dxa"/>
            <w:shd w:val="clear" w:color="auto" w:fill="F2F2F2"/>
          </w:tcPr>
          <w:p w14:paraId="028C8564" w14:textId="77777777" w:rsidR="00E66205" w:rsidRPr="00E66205" w:rsidRDefault="00E66205" w:rsidP="00E66205">
            <w:pPr>
              <w:spacing w:line="360" w:lineRule="auto"/>
              <w:jc w:val="both"/>
              <w:rPr>
                <w:rFonts w:ascii="Arial" w:hAnsi="Arial" w:cs="Arial"/>
              </w:rPr>
            </w:pPr>
            <w:r w:rsidRPr="00E66205">
              <w:rPr>
                <w:rFonts w:ascii="Arial" w:hAnsi="Arial" w:cs="Arial"/>
              </w:rPr>
              <w:t>Waste generated during gold ore processing often contains toxic substances such as heavy metals like lead and chemicals (cyanide, acids). If not properly controlled, these components can contaminate/pollute soil and ecosystems.</w:t>
            </w:r>
          </w:p>
          <w:p w14:paraId="63E5FE41" w14:textId="77777777" w:rsidR="00E66205" w:rsidRPr="00E66205" w:rsidRDefault="00E66205" w:rsidP="00E66205">
            <w:pPr>
              <w:spacing w:line="360" w:lineRule="auto"/>
              <w:jc w:val="both"/>
              <w:rPr>
                <w:rFonts w:ascii="Arial" w:hAnsi="Arial" w:cs="Arial"/>
              </w:rPr>
            </w:pPr>
            <w:r w:rsidRPr="00E66205">
              <w:rPr>
                <w:rFonts w:ascii="Arial" w:hAnsi="Arial" w:cs="Arial"/>
              </w:rPr>
              <w:t>The objective of this study is to assess the degree of soil and groundwater contamination around a mining laboratory where chemical and metallurgical analyses are carried out. The main sources of contamination identified come from lead smelting (“Fire Assay”) and aqua regia digestion activities, which generate solid waste and liquid effluents rich in heavy metals and acidic substances.</w:t>
            </w:r>
          </w:p>
          <w:p w14:paraId="0957F4E9" w14:textId="77777777" w:rsidR="00E66205" w:rsidRPr="00E66205" w:rsidRDefault="00E66205" w:rsidP="00E66205">
            <w:pPr>
              <w:spacing w:line="360" w:lineRule="auto"/>
              <w:jc w:val="both"/>
              <w:rPr>
                <w:rFonts w:ascii="Arial" w:hAnsi="Arial" w:cs="Arial"/>
              </w:rPr>
            </w:pPr>
            <w:r w:rsidRPr="00E66205">
              <w:rPr>
                <w:rFonts w:ascii="Arial" w:hAnsi="Arial" w:cs="Arial"/>
              </w:rPr>
              <w:t>To carry out this assessment, soil, wastewater, and groundwater samples were collected inside the laboratory. The samples were analyzed to determine the presence of heavy metals such as lead, as well as physical and chemical parameters such as pH and conductivity.</w:t>
            </w:r>
          </w:p>
          <w:p w14:paraId="0E5B4B57" w14:textId="77777777" w:rsidR="00E66205" w:rsidRPr="00E66205" w:rsidRDefault="00E66205" w:rsidP="00E66205">
            <w:pPr>
              <w:spacing w:line="360" w:lineRule="auto"/>
              <w:jc w:val="both"/>
              <w:rPr>
                <w:rFonts w:ascii="Arial" w:hAnsi="Arial" w:cs="Arial"/>
              </w:rPr>
            </w:pPr>
            <w:r w:rsidRPr="00E66205">
              <w:rPr>
                <w:rFonts w:ascii="Arial" w:hAnsi="Arial" w:cs="Arial"/>
              </w:rPr>
              <w:t xml:space="preserve">The results of the physical and chemical parameters of wastewater from basins A and B indicate high acidity ranging from 1.87 to 2.57, an average temperature of 26 °C, and high mineralization due to high electrical conductivities exceeding 2000 </w:t>
            </w:r>
            <w:proofErr w:type="spellStart"/>
            <w:r w:rsidRPr="00E66205">
              <w:rPr>
                <w:rFonts w:ascii="Arial" w:hAnsi="Arial" w:cs="Arial"/>
              </w:rPr>
              <w:t>μS</w:t>
            </w:r>
            <w:proofErr w:type="spellEnd"/>
            <w:r w:rsidRPr="00E66205">
              <w:rPr>
                <w:rFonts w:ascii="Arial" w:hAnsi="Arial" w:cs="Arial"/>
              </w:rPr>
              <w:t>/cm. RFX analysis shows a high presence of heavy metals, lead (3435.49 ppm), chromium (439.21 ppm), arsenic (155.59 ppm), and strontium (1066.13 ppm), illustrating significant soil contamination, particularly in areas where solid residues (cups, crucibles, slag) are stored in the open air. Chemical analysis of groundwater reveals that it is of good quality and meets WHO standards.</w:t>
            </w:r>
          </w:p>
          <w:p w14:paraId="41AE0D98" w14:textId="42D97734" w:rsidR="00505F06" w:rsidRPr="00E66205" w:rsidRDefault="005D3EF1" w:rsidP="00E66205">
            <w:pPr>
              <w:spacing w:line="360" w:lineRule="auto"/>
              <w:jc w:val="both"/>
              <w:rPr>
                <w:rFonts w:ascii="Arial" w:hAnsi="Arial" w:cs="Arial"/>
              </w:rPr>
            </w:pPr>
            <w:r>
              <w:rPr>
                <w:rFonts w:ascii="Arial" w:hAnsi="Arial" w:cs="Arial"/>
              </w:rPr>
              <w:t>T</w:t>
            </w:r>
            <w:r w:rsidR="00E66205" w:rsidRPr="00E66205">
              <w:rPr>
                <w:rFonts w:ascii="Arial" w:hAnsi="Arial" w:cs="Arial"/>
              </w:rPr>
              <w:t>his study highlights the environmental impact of current waste management practices in laboratories and emphasizes the urgent need to implement pollutant treatment solutions to limit the spread of contaminants in the environment.</w:t>
            </w:r>
          </w:p>
        </w:tc>
      </w:tr>
    </w:tbl>
    <w:p w14:paraId="06B75126" w14:textId="77777777" w:rsidR="00636EB2" w:rsidRDefault="00636EB2" w:rsidP="00441B6F">
      <w:pPr>
        <w:pStyle w:val="Body"/>
        <w:spacing w:after="0"/>
        <w:rPr>
          <w:rFonts w:ascii="Arial" w:hAnsi="Arial" w:cs="Arial"/>
          <w:i/>
        </w:rPr>
      </w:pPr>
    </w:p>
    <w:p w14:paraId="41B0D474" w14:textId="677A764C" w:rsidR="00A24E7E" w:rsidRDefault="00A24E7E" w:rsidP="00441B6F">
      <w:pPr>
        <w:pStyle w:val="Body"/>
        <w:spacing w:after="0"/>
        <w:rPr>
          <w:rFonts w:ascii="Arial" w:hAnsi="Arial" w:cs="Arial"/>
          <w:i/>
        </w:rPr>
      </w:pPr>
      <w:r>
        <w:rPr>
          <w:rFonts w:ascii="Arial" w:hAnsi="Arial" w:cs="Arial"/>
          <w:i/>
        </w:rPr>
        <w:t xml:space="preserve">Keywords: </w:t>
      </w:r>
      <w:r w:rsidR="00E66205" w:rsidRPr="00E66205">
        <w:rPr>
          <w:rFonts w:ascii="Arial" w:hAnsi="Arial" w:cs="Arial"/>
          <w:i/>
        </w:rPr>
        <w:t>heavy metals, waste, pollution, lead</w:t>
      </w:r>
      <w:r w:rsidR="00B95B09">
        <w:rPr>
          <w:rFonts w:ascii="Arial" w:hAnsi="Arial" w:cs="Arial"/>
          <w:i/>
        </w:rPr>
        <w:t xml:space="preserve">, </w:t>
      </w:r>
      <w:r w:rsidR="00B95B09" w:rsidRPr="00B95B09">
        <w:rPr>
          <w:rFonts w:ascii="Arial" w:hAnsi="Arial" w:cs="Arial"/>
          <w:i/>
        </w:rPr>
        <w:t>ecosystem</w:t>
      </w:r>
      <w:r w:rsidR="00B95B09">
        <w:rPr>
          <w:rFonts w:ascii="Arial" w:hAnsi="Arial" w:cs="Arial"/>
          <w:i/>
        </w:rPr>
        <w:t>.</w:t>
      </w:r>
    </w:p>
    <w:p w14:paraId="37D34214" w14:textId="77777777" w:rsidR="00790ADA" w:rsidRDefault="00790ADA" w:rsidP="00441B6F">
      <w:pPr>
        <w:pStyle w:val="Body"/>
        <w:spacing w:after="0"/>
        <w:rPr>
          <w:rFonts w:ascii="Arial" w:hAnsi="Arial" w:cs="Arial"/>
          <w:i/>
        </w:rPr>
      </w:pPr>
    </w:p>
    <w:p w14:paraId="710115F2" w14:textId="77777777" w:rsidR="0024282C" w:rsidRDefault="0024282C" w:rsidP="00441B6F">
      <w:pPr>
        <w:pStyle w:val="Body"/>
        <w:spacing w:after="0"/>
        <w:rPr>
          <w:rFonts w:ascii="Arial" w:hAnsi="Arial" w:cs="Arial"/>
          <w:i/>
          <w:sz w:val="18"/>
        </w:rPr>
      </w:pPr>
    </w:p>
    <w:p w14:paraId="51B3D5C1" w14:textId="77777777" w:rsidR="00505F06" w:rsidRPr="00A24E7E" w:rsidRDefault="00505F06" w:rsidP="00441B6F">
      <w:pPr>
        <w:pStyle w:val="Body"/>
        <w:spacing w:after="0"/>
        <w:rPr>
          <w:rFonts w:ascii="Arial" w:hAnsi="Arial" w:cs="Arial"/>
          <w:i/>
        </w:rPr>
      </w:pPr>
    </w:p>
    <w:p w14:paraId="053F8B96" w14:textId="1F941486"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66CAB34" w14:textId="77777777" w:rsidR="00E66205" w:rsidRPr="00FB3A86" w:rsidRDefault="00E66205" w:rsidP="00441B6F">
      <w:pPr>
        <w:pStyle w:val="AbstHead"/>
        <w:spacing w:after="0"/>
        <w:jc w:val="both"/>
        <w:rPr>
          <w:rFonts w:ascii="Arial" w:hAnsi="Arial" w:cs="Arial"/>
        </w:rPr>
      </w:pPr>
    </w:p>
    <w:p w14:paraId="58437420" w14:textId="77777777" w:rsidR="00E66205" w:rsidRPr="00E66205" w:rsidRDefault="00E66205" w:rsidP="00E66205">
      <w:pPr>
        <w:pStyle w:val="Body"/>
        <w:rPr>
          <w:rFonts w:ascii="Arial" w:hAnsi="Arial" w:cs="Arial"/>
        </w:rPr>
      </w:pPr>
      <w:r w:rsidRPr="00E66205">
        <w:rPr>
          <w:rFonts w:ascii="Arial" w:hAnsi="Arial" w:cs="Arial"/>
        </w:rPr>
        <w:t>In the current context of sustainable development, waste management represents a major challenge for research institutions and economic actors. The BUMIGEB (Burkina Faso Bureau of Mines and Geology) finds itself at the crossroads between mining, environmental protection, and compliance with regulatory standards. While the mining sector plays a crucial role in the national economy, it also has worrying environmental consequences. The waste generated during this process often contains toxic substances, including heavy metals and harmful chemicals. These elements, when not properly managed, can have disastrous repercussions on major environmental matrices, particularly soil and water resources. (Bharat, Singh, and Mahato., 2024; El-</w:t>
      </w:r>
      <w:proofErr w:type="spellStart"/>
      <w:r w:rsidRPr="00E66205">
        <w:rPr>
          <w:rFonts w:ascii="Arial" w:hAnsi="Arial" w:cs="Arial"/>
        </w:rPr>
        <w:t>Sharkawy</w:t>
      </w:r>
      <w:proofErr w:type="spellEnd"/>
      <w:r w:rsidRPr="00E66205">
        <w:rPr>
          <w:rFonts w:ascii="Arial" w:hAnsi="Arial" w:cs="Arial"/>
        </w:rPr>
        <w:t xml:space="preserve"> et al., 2025; </w:t>
      </w:r>
      <w:proofErr w:type="spellStart"/>
      <w:r w:rsidRPr="00E66205">
        <w:rPr>
          <w:rFonts w:ascii="Arial" w:hAnsi="Arial" w:cs="Arial"/>
        </w:rPr>
        <w:t>Vendrell-Puigmitja</w:t>
      </w:r>
      <w:proofErr w:type="spellEnd"/>
      <w:r w:rsidRPr="00E66205">
        <w:rPr>
          <w:rFonts w:ascii="Arial" w:hAnsi="Arial" w:cs="Arial"/>
        </w:rPr>
        <w:t xml:space="preserve"> et al., 2020)</w:t>
      </w:r>
    </w:p>
    <w:p w14:paraId="2ECADFB8" w14:textId="77777777" w:rsidR="00E66205" w:rsidRPr="00E66205" w:rsidRDefault="00E66205" w:rsidP="00E66205">
      <w:pPr>
        <w:pStyle w:val="Body"/>
        <w:rPr>
          <w:rFonts w:ascii="Arial" w:hAnsi="Arial" w:cs="Arial"/>
        </w:rPr>
      </w:pPr>
      <w:r w:rsidRPr="00E66205">
        <w:rPr>
          <w:rFonts w:ascii="Arial" w:hAnsi="Arial" w:cs="Arial"/>
        </w:rPr>
        <w:t>The issue of mining waste management is of paramount importance in a world where pressure on natural resources is increasing. The toxic substances contained in this waste can contaminate soil and groundwater, endangering not only biodiversity but also the health of human populations that depend on these ecosystems. Aquatic ecosystems, often on the front line of this pollution, suffer long-term degradation that threatens food chains and essential ecosystem services. The degradation of water quality, for example, can lead to health crises, directly affecting the daily lives of local populations and undermining sustainable development efforts. (</w:t>
      </w:r>
      <w:proofErr w:type="spellStart"/>
      <w:r w:rsidRPr="00E66205">
        <w:rPr>
          <w:rFonts w:ascii="Arial" w:hAnsi="Arial" w:cs="Arial"/>
        </w:rPr>
        <w:t>Marzluff</w:t>
      </w:r>
      <w:proofErr w:type="spellEnd"/>
      <w:r w:rsidRPr="00E66205">
        <w:rPr>
          <w:rFonts w:ascii="Arial" w:hAnsi="Arial" w:cs="Arial"/>
        </w:rPr>
        <w:t xml:space="preserve"> et al., 2008; Kim et al., 2008; Kamagate et al., 2025)</w:t>
      </w:r>
    </w:p>
    <w:p w14:paraId="37F5657E" w14:textId="77777777" w:rsidR="00E66205" w:rsidRPr="00E66205" w:rsidRDefault="00E66205" w:rsidP="00E66205">
      <w:pPr>
        <w:pStyle w:val="Body"/>
        <w:rPr>
          <w:rFonts w:ascii="Arial" w:hAnsi="Arial" w:cs="Arial"/>
        </w:rPr>
      </w:pPr>
      <w:r w:rsidRPr="00E66205">
        <w:rPr>
          <w:rFonts w:ascii="Arial" w:hAnsi="Arial" w:cs="Arial"/>
        </w:rPr>
        <w:t xml:space="preserve">In an increasingly strict regulatory environment, it is crucial for the laboratory, as well as other research laboratories, to adopt practices that comply with local and international legislation. Failure to meet these obligations can result in severe financial and legal penalties, while damaging the reputation of the institutions involved, and even leading to the withdrawal of international accreditations. Furthermore, improper waste management can hinder scientific progress by impeding research and innovation in key areas such as pollution control and sustainable resource management. (Ja 2023; Tong et al., 2024; </w:t>
      </w:r>
      <w:proofErr w:type="spellStart"/>
      <w:r w:rsidRPr="00E66205">
        <w:rPr>
          <w:rFonts w:ascii="Arial" w:hAnsi="Arial" w:cs="Arial"/>
        </w:rPr>
        <w:t>Firincă</w:t>
      </w:r>
      <w:proofErr w:type="spellEnd"/>
      <w:r w:rsidRPr="00E66205">
        <w:rPr>
          <w:rFonts w:ascii="Arial" w:hAnsi="Arial" w:cs="Arial"/>
        </w:rPr>
        <w:t xml:space="preserve"> et al., 2025).</w:t>
      </w:r>
    </w:p>
    <w:p w14:paraId="5C436FD5" w14:textId="77777777" w:rsidR="00E66205" w:rsidRPr="00E66205" w:rsidRDefault="00E66205" w:rsidP="00E66205">
      <w:pPr>
        <w:pStyle w:val="Body"/>
        <w:rPr>
          <w:rFonts w:ascii="Arial" w:hAnsi="Arial" w:cs="Arial"/>
        </w:rPr>
      </w:pPr>
      <w:r w:rsidRPr="00E66205">
        <w:rPr>
          <w:rFonts w:ascii="Arial" w:hAnsi="Arial" w:cs="Arial"/>
        </w:rPr>
        <w:t>The laboratory uses fire assay to extract and concentrate gold (and other precious metals such as silver and platinum) from ores or solid samples. This method relies on the use of lead as a collector of precious metals and on thermal reactions that enable the separation of unwanted elements. It is particularly valued for its accuracy and its ability to analyze very low gold contents. However, this method generates many pollutants that affect humans and various environmental matrices.</w:t>
      </w:r>
    </w:p>
    <w:p w14:paraId="22262F26" w14:textId="77777777" w:rsidR="00E66205" w:rsidRPr="00E66205" w:rsidRDefault="00E66205" w:rsidP="00E66205">
      <w:pPr>
        <w:pStyle w:val="Body"/>
        <w:rPr>
          <w:rFonts w:ascii="Arial" w:hAnsi="Arial" w:cs="Arial"/>
        </w:rPr>
      </w:pPr>
      <w:r w:rsidRPr="00E66205">
        <w:rPr>
          <w:rFonts w:ascii="Arial" w:hAnsi="Arial" w:cs="Arial"/>
        </w:rPr>
        <w:t>As a result, it is imperative to develop and implement sustainable waste management strategies for gold ore processing. These strategies must not only aim to minimize waste production, but also ensure its efficient and safe treatment, taking into account regulatory requirements. (Nations and Pollution, 2015; Rodríguez, 2020; Wang et al., 2025). BUMIGEB must therefore consider innovative approaches to waste management and decontamination, thereby preserving the environment while ensuring the sustainability of natural resources. This involves adopting clean technologies, optimizing treatment processes, and implementing rigorous monitoring and evaluation systems.</w:t>
      </w:r>
    </w:p>
    <w:p w14:paraId="1287806B" w14:textId="2DEB8671" w:rsidR="00E66205" w:rsidRDefault="00E66205" w:rsidP="00E66205">
      <w:pPr>
        <w:pStyle w:val="Body"/>
        <w:spacing w:after="0"/>
        <w:rPr>
          <w:rFonts w:ascii="Arial" w:hAnsi="Arial" w:cs="Arial"/>
        </w:rPr>
      </w:pPr>
      <w:r w:rsidRPr="00E66205">
        <w:rPr>
          <w:rFonts w:ascii="Arial" w:hAnsi="Arial" w:cs="Arial"/>
        </w:rPr>
        <w:t xml:space="preserve">The aim of this work is to explore the different strategies that can be implemented within the BUMIGEB laboratory to achieve sustainable and efficient management of waste from gold ore processing. Through an in-depth analysis of the current situation, we will first identify the types of waste, then the degree of pollution of the matrices, and finally best practices and possible innovations, while taking into account economic, environmental, and social issues. By approaching this topic from a multidimensional perspective, we hope to contribute to the </w:t>
      </w:r>
      <w:r w:rsidRPr="00E66205">
        <w:rPr>
          <w:rFonts w:ascii="Arial" w:hAnsi="Arial" w:cs="Arial"/>
        </w:rPr>
        <w:lastRenderedPageBreak/>
        <w:t>development of concrete recommendations aimed at improving mining waste management and supporting sustainable development in Burkina Faso.</w:t>
      </w:r>
    </w:p>
    <w:p w14:paraId="48EFCE8C" w14:textId="77777777" w:rsidR="00790ADA" w:rsidRPr="00FB3A86" w:rsidRDefault="00790ADA" w:rsidP="00441B6F">
      <w:pPr>
        <w:pStyle w:val="Body"/>
        <w:spacing w:after="0"/>
        <w:rPr>
          <w:rFonts w:ascii="Arial" w:hAnsi="Arial" w:cs="Arial"/>
        </w:rPr>
      </w:pPr>
    </w:p>
    <w:p w14:paraId="4019FA22" w14:textId="073F2528" w:rsidR="00790ADA" w:rsidRDefault="00902823" w:rsidP="00E66205">
      <w:pPr>
        <w:pStyle w:val="AbstHead"/>
        <w:spacing w:after="0"/>
        <w:jc w:val="both"/>
        <w:rPr>
          <w:rFonts w:ascii="Arial" w:hAnsi="Arial" w:cs="Arial"/>
          <w:szCs w:val="22"/>
        </w:rPr>
      </w:pPr>
      <w:r w:rsidRPr="00E66205">
        <w:rPr>
          <w:rFonts w:ascii="Arial" w:hAnsi="Arial" w:cs="Arial"/>
          <w:szCs w:val="22"/>
        </w:rPr>
        <w:t>2. material and method</w:t>
      </w:r>
      <w:r w:rsidR="00000F8F" w:rsidRPr="00E66205">
        <w:rPr>
          <w:rFonts w:ascii="Arial" w:hAnsi="Arial" w:cs="Arial"/>
          <w:szCs w:val="22"/>
        </w:rPr>
        <w:t xml:space="preserve">s </w:t>
      </w:r>
    </w:p>
    <w:p w14:paraId="0AE21D7B" w14:textId="77777777" w:rsidR="00E66205" w:rsidRPr="00E66205" w:rsidRDefault="00E66205" w:rsidP="00E66205">
      <w:pPr>
        <w:pStyle w:val="AbstHead"/>
        <w:spacing w:after="0"/>
        <w:jc w:val="both"/>
        <w:rPr>
          <w:rFonts w:ascii="Arial" w:hAnsi="Arial" w:cs="Arial"/>
          <w:szCs w:val="22"/>
        </w:rPr>
      </w:pPr>
    </w:p>
    <w:p w14:paraId="3CBDABC7"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2.1 Types of waste</w:t>
      </w:r>
    </w:p>
    <w:p w14:paraId="5373B9AC"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2.1.1 Solid waste</w:t>
      </w:r>
    </w:p>
    <w:p w14:paraId="19A6E729" w14:textId="77777777" w:rsidR="00E66205" w:rsidRPr="00E66205" w:rsidRDefault="00E66205" w:rsidP="00E66205">
      <w:pPr>
        <w:spacing w:line="360" w:lineRule="auto"/>
        <w:jc w:val="both"/>
        <w:rPr>
          <w:rFonts w:ascii="Arial" w:hAnsi="Arial" w:cs="Arial"/>
        </w:rPr>
      </w:pPr>
      <w:r w:rsidRPr="00E66205">
        <w:rPr>
          <w:rFonts w:ascii="Arial" w:hAnsi="Arial" w:cs="Arial"/>
        </w:rPr>
        <w:t>Fire assay activities generate significant amounts of solid waste, including crucibles, pots, and slag. This waste is directly linked to the analysis process and contains metallic, mineral, or glassy residues that may include heavy metals. Although stored in a dedicated area, this solid waste is exposed to the open air and in direct contact with the ground (Fig.1), increasing the risk of contamination.</w:t>
      </w:r>
    </w:p>
    <w:p w14:paraId="32FEC40C"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noProof/>
        </w:rPr>
        <w:drawing>
          <wp:inline distT="0" distB="0" distL="0" distR="0" wp14:anchorId="47A9B2B9" wp14:editId="543A3F98">
            <wp:extent cx="3600000" cy="2700000"/>
            <wp:effectExtent l="0" t="0" r="635" b="5715"/>
            <wp:docPr id="208061768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pic:spPr>
                </pic:pic>
              </a:graphicData>
            </a:graphic>
          </wp:inline>
        </w:drawing>
      </w:r>
    </w:p>
    <w:p w14:paraId="72B3C404" w14:textId="77777777" w:rsidR="00E66205" w:rsidRPr="00E66205" w:rsidRDefault="00E66205" w:rsidP="00E66205">
      <w:pPr>
        <w:spacing w:line="360" w:lineRule="auto"/>
        <w:jc w:val="both"/>
        <w:rPr>
          <w:rFonts w:ascii="Arial" w:eastAsia="Calibri" w:hAnsi="Arial" w:cs="Arial"/>
          <w:b/>
          <w:bCs/>
        </w:rPr>
      </w:pPr>
      <w:bookmarkStart w:id="0" w:name="_Toc193604942"/>
      <w:bookmarkStart w:id="1" w:name="_Toc196128111"/>
      <w:r w:rsidRPr="00E66205">
        <w:rPr>
          <w:rFonts w:ascii="Arial" w:eastAsia="Calibri" w:hAnsi="Arial" w:cs="Arial"/>
          <w:b/>
          <w:bCs/>
        </w:rPr>
        <w:t xml:space="preserve">Fig.1. </w:t>
      </w:r>
      <w:bookmarkEnd w:id="0"/>
      <w:bookmarkEnd w:id="1"/>
      <w:r w:rsidRPr="00E66205">
        <w:rPr>
          <w:rFonts w:ascii="Arial" w:eastAsia="Calibri" w:hAnsi="Arial" w:cs="Arial"/>
          <w:b/>
          <w:bCs/>
        </w:rPr>
        <w:t>Solid waste storage site</w:t>
      </w:r>
    </w:p>
    <w:p w14:paraId="7573CE7A" w14:textId="77777777" w:rsidR="00E66205" w:rsidRPr="00E66205" w:rsidRDefault="00E66205" w:rsidP="00E66205">
      <w:pPr>
        <w:spacing w:line="360" w:lineRule="auto"/>
        <w:jc w:val="both"/>
        <w:rPr>
          <w:rFonts w:ascii="Arial" w:eastAsia="Calibri" w:hAnsi="Arial" w:cs="Arial"/>
        </w:rPr>
      </w:pPr>
    </w:p>
    <w:p w14:paraId="76C5166D"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2.1.2 Liquid effluents</w:t>
      </w:r>
    </w:p>
    <w:p w14:paraId="01FA5A66" w14:textId="77777777" w:rsidR="00E66205" w:rsidRPr="00E66205" w:rsidRDefault="00E66205" w:rsidP="00E66205">
      <w:pPr>
        <w:spacing w:line="360" w:lineRule="auto"/>
        <w:jc w:val="both"/>
        <w:rPr>
          <w:rFonts w:ascii="Arial" w:hAnsi="Arial" w:cs="Arial"/>
        </w:rPr>
      </w:pPr>
      <w:r w:rsidRPr="00E66205">
        <w:rPr>
          <w:rFonts w:ascii="Arial" w:hAnsi="Arial" w:cs="Arial"/>
        </w:rPr>
        <w:t>All liquid effluents resulting from laboratory operations are collected in basins.</w:t>
      </w:r>
    </w:p>
    <w:p w14:paraId="7C6AA5D6" w14:textId="77777777" w:rsidR="00E66205" w:rsidRPr="00E66205" w:rsidRDefault="00E66205" w:rsidP="00E66205">
      <w:pPr>
        <w:spacing w:line="360" w:lineRule="auto"/>
        <w:jc w:val="both"/>
        <w:rPr>
          <w:rFonts w:ascii="Arial" w:hAnsi="Arial" w:cs="Arial"/>
        </w:rPr>
      </w:pPr>
      <w:r w:rsidRPr="00E66205">
        <w:rPr>
          <w:rFonts w:ascii="Arial" w:hAnsi="Arial" w:cs="Arial"/>
        </w:rPr>
        <w:t>Fig. 2 shows one of the two wastewater retention basins.</w:t>
      </w:r>
    </w:p>
    <w:p w14:paraId="2268F816" w14:textId="77777777" w:rsidR="00E66205" w:rsidRPr="00E66205" w:rsidRDefault="00E66205" w:rsidP="00E66205">
      <w:pPr>
        <w:spacing w:line="360" w:lineRule="auto"/>
        <w:jc w:val="both"/>
        <w:rPr>
          <w:rFonts w:ascii="Arial" w:eastAsia="Calibri" w:hAnsi="Arial" w:cs="Arial"/>
          <w:i/>
          <w:iCs/>
        </w:rPr>
      </w:pPr>
    </w:p>
    <w:p w14:paraId="3002196B"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noProof/>
        </w:rPr>
        <w:lastRenderedPageBreak/>
        <w:drawing>
          <wp:inline distT="0" distB="0" distL="0" distR="0" wp14:anchorId="59A682A2" wp14:editId="63EE6794">
            <wp:extent cx="3097305" cy="2844000"/>
            <wp:effectExtent l="0" t="0" r="8255" b="0"/>
            <wp:docPr id="9439041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7305" cy="2844000"/>
                    </a:xfrm>
                    <a:prstGeom prst="rect">
                      <a:avLst/>
                    </a:prstGeom>
                    <a:noFill/>
                    <a:ln>
                      <a:noFill/>
                    </a:ln>
                  </pic:spPr>
                </pic:pic>
              </a:graphicData>
            </a:graphic>
          </wp:inline>
        </w:drawing>
      </w:r>
    </w:p>
    <w:p w14:paraId="5B95E4E7" w14:textId="77777777" w:rsidR="00E66205" w:rsidRPr="00E66205" w:rsidRDefault="00E66205" w:rsidP="00E66205">
      <w:pPr>
        <w:spacing w:line="360" w:lineRule="auto"/>
        <w:jc w:val="both"/>
        <w:rPr>
          <w:rFonts w:ascii="Arial" w:eastAsia="Calibri" w:hAnsi="Arial" w:cs="Arial"/>
          <w:b/>
          <w:bCs/>
        </w:rPr>
      </w:pPr>
      <w:bookmarkStart w:id="2" w:name="_Toc193604944"/>
      <w:bookmarkStart w:id="3" w:name="_Toc196128113"/>
      <w:r w:rsidRPr="00E66205">
        <w:rPr>
          <w:rFonts w:ascii="Arial" w:eastAsia="Calibri" w:hAnsi="Arial" w:cs="Arial"/>
          <w:b/>
          <w:bCs/>
        </w:rPr>
        <w:t xml:space="preserve">Fig.2. </w:t>
      </w:r>
      <w:bookmarkEnd w:id="2"/>
      <w:bookmarkEnd w:id="3"/>
      <w:r w:rsidRPr="00E66205">
        <w:rPr>
          <w:rFonts w:ascii="Arial" w:eastAsia="Calibri" w:hAnsi="Arial" w:cs="Arial"/>
          <w:b/>
          <w:bCs/>
        </w:rPr>
        <w:t>Wastewater retention basin</w:t>
      </w:r>
    </w:p>
    <w:p w14:paraId="36359637" w14:textId="77777777" w:rsidR="00E66205" w:rsidRPr="00E66205" w:rsidRDefault="00E66205" w:rsidP="00E66205">
      <w:pPr>
        <w:spacing w:line="360" w:lineRule="auto"/>
        <w:jc w:val="both"/>
        <w:rPr>
          <w:rFonts w:ascii="Arial" w:hAnsi="Arial" w:cs="Arial"/>
          <w:b/>
          <w:bCs/>
          <w:iCs/>
        </w:rPr>
      </w:pPr>
      <w:bookmarkStart w:id="4" w:name="_Toc197081440"/>
    </w:p>
    <w:bookmarkEnd w:id="4"/>
    <w:p w14:paraId="40D09F43"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2.2 Sampling methodology</w:t>
      </w:r>
    </w:p>
    <w:p w14:paraId="1E7A9AAB"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2.2.1 Wastewater from the basin</w:t>
      </w:r>
    </w:p>
    <w:p w14:paraId="608C56FB"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analysis of wastewater samples meets the need to determine the composition of the liquid effluents discharged by the laboratory. Samples were therefore taken and analyzed in the laboratory using analytical techniques.</w:t>
      </w:r>
    </w:p>
    <w:p w14:paraId="02F1B241" w14:textId="77777777" w:rsidR="00E66205" w:rsidRPr="00E66205" w:rsidRDefault="00E66205" w:rsidP="00E66205">
      <w:pPr>
        <w:spacing w:line="360" w:lineRule="auto"/>
        <w:jc w:val="both"/>
        <w:rPr>
          <w:rFonts w:ascii="Arial" w:hAnsi="Arial" w:cs="Arial"/>
          <w:iCs/>
        </w:rPr>
      </w:pPr>
      <w:r w:rsidRPr="00E66205">
        <w:rPr>
          <w:rFonts w:ascii="Arial" w:hAnsi="Arial" w:cs="Arial"/>
          <w:iCs/>
        </w:rPr>
        <w:t>Using a stick, we homogenized the wastewater in the basins and then took the samples. The samples were placed in 1 L bottles, clearly labeled, and sent directly to the laboratory for analysis of their physical and chemical parameters. For metal analysis, all samples were collected and stored in the laboratory.</w:t>
      </w:r>
    </w:p>
    <w:p w14:paraId="0D501DA4" w14:textId="77777777" w:rsidR="00E66205" w:rsidRPr="00E66205" w:rsidRDefault="00E66205" w:rsidP="00E66205">
      <w:pPr>
        <w:spacing w:line="360" w:lineRule="auto"/>
        <w:jc w:val="both"/>
        <w:rPr>
          <w:rFonts w:ascii="Arial" w:hAnsi="Arial" w:cs="Arial"/>
          <w:iCs/>
        </w:rPr>
      </w:pPr>
      <w:r w:rsidRPr="00E66205">
        <w:rPr>
          <w:rFonts w:ascii="Arial" w:hAnsi="Arial" w:cs="Arial"/>
          <w:iCs/>
        </w:rPr>
        <w:t>Samples were taken from the two ponds, named A and B, once a week for four weeks. Thus, a total of eight (8) wastewater samples were collected.</w:t>
      </w:r>
    </w:p>
    <w:p w14:paraId="558DCEA2" w14:textId="77777777" w:rsidR="00E66205" w:rsidRPr="00E66205" w:rsidRDefault="00E66205" w:rsidP="00E66205">
      <w:pPr>
        <w:spacing w:line="360" w:lineRule="auto"/>
        <w:jc w:val="both"/>
        <w:rPr>
          <w:rFonts w:ascii="Arial" w:eastAsia="Calibri" w:hAnsi="Arial" w:cs="Arial"/>
          <w:b/>
          <w:bCs/>
        </w:rPr>
      </w:pPr>
    </w:p>
    <w:p w14:paraId="3C3CF436" w14:textId="77777777" w:rsidR="00E66205" w:rsidRPr="00E66205" w:rsidRDefault="00E66205" w:rsidP="00E66205">
      <w:pPr>
        <w:spacing w:line="360" w:lineRule="auto"/>
        <w:jc w:val="both"/>
        <w:rPr>
          <w:rFonts w:ascii="Arial" w:eastAsia="Calibri" w:hAnsi="Arial" w:cs="Arial"/>
          <w:b/>
          <w:bCs/>
        </w:rPr>
      </w:pPr>
      <w:r w:rsidRPr="00E66205">
        <w:rPr>
          <w:rFonts w:ascii="Arial" w:hAnsi="Arial" w:cs="Arial"/>
          <w:b/>
          <w:bCs/>
          <w:iCs/>
        </w:rPr>
        <w:t xml:space="preserve">2.2.2 </w:t>
      </w:r>
      <w:r w:rsidRPr="00E66205">
        <w:rPr>
          <w:rFonts w:ascii="Arial" w:eastAsia="Calibri" w:hAnsi="Arial" w:cs="Arial"/>
          <w:b/>
          <w:bCs/>
        </w:rPr>
        <w:t>Drilling water</w:t>
      </w:r>
    </w:p>
    <w:p w14:paraId="09717E3B"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rPr>
        <w:t>The analysis of drilling water samples meets the need to determine the potability of groundwater at BUMIGEB and ONEA (National Office for Water and Sanitation). Samples were taken and analyzed in the laboratory using analytical techniques. Sampling took place over three months (November, December, and January) to ensure consistency of results. All samples were taken during the same period. Two samples were taken in each of the months of November and December, for a total of four. At the beginning of January, a final sample was taken, bringing the total to five.</w:t>
      </w:r>
    </w:p>
    <w:p w14:paraId="62046344" w14:textId="77777777" w:rsidR="00E66205" w:rsidRPr="00E66205" w:rsidRDefault="00E66205" w:rsidP="00E66205">
      <w:pPr>
        <w:spacing w:line="360" w:lineRule="auto"/>
        <w:jc w:val="both"/>
        <w:rPr>
          <w:rFonts w:ascii="Arial" w:eastAsia="Calibri" w:hAnsi="Arial" w:cs="Arial"/>
          <w:b/>
          <w:bCs/>
        </w:rPr>
      </w:pPr>
    </w:p>
    <w:p w14:paraId="5D610CA1" w14:textId="77777777" w:rsidR="00E66205" w:rsidRPr="00E66205" w:rsidRDefault="00E66205" w:rsidP="00E66205">
      <w:pPr>
        <w:spacing w:line="360" w:lineRule="auto"/>
        <w:jc w:val="both"/>
        <w:rPr>
          <w:rFonts w:ascii="Arial" w:eastAsia="Calibri" w:hAnsi="Arial" w:cs="Arial"/>
          <w:b/>
          <w:bCs/>
        </w:rPr>
      </w:pPr>
      <w:bookmarkStart w:id="5" w:name="_Toc197081441"/>
      <w:r w:rsidRPr="00E66205">
        <w:rPr>
          <w:rFonts w:ascii="Arial" w:hAnsi="Arial" w:cs="Arial"/>
          <w:b/>
          <w:bCs/>
          <w:iCs/>
        </w:rPr>
        <w:t xml:space="preserve">2.2.3 </w:t>
      </w:r>
      <w:r w:rsidRPr="00E66205">
        <w:rPr>
          <w:rFonts w:ascii="Arial" w:eastAsia="Calibri" w:hAnsi="Arial" w:cs="Arial"/>
          <w:b/>
          <w:bCs/>
        </w:rPr>
        <w:t xml:space="preserve">Soil </w:t>
      </w:r>
    </w:p>
    <w:p w14:paraId="6F2E7006"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rPr>
        <w:t>Soil sample analyses are necessary to determine soil contamination by measuring the concentration of certain heavy metals. All samples were taken on the same day but at different locations within the storage site for solid waste from lead smelting. The sampling method used in this study was selective sampling, which enabled us to collect 15 samples from the study area and one reference sample.</w:t>
      </w:r>
    </w:p>
    <w:p w14:paraId="2E2B8EBC" w14:textId="77777777" w:rsidR="00E66205" w:rsidRPr="00E66205" w:rsidRDefault="00E66205" w:rsidP="00E66205">
      <w:pPr>
        <w:spacing w:line="360" w:lineRule="auto"/>
        <w:jc w:val="both"/>
        <w:rPr>
          <w:rFonts w:ascii="Arial" w:hAnsi="Arial" w:cs="Arial"/>
          <w:b/>
          <w:bCs/>
          <w:iCs/>
        </w:rPr>
      </w:pPr>
    </w:p>
    <w:bookmarkEnd w:id="5"/>
    <w:p w14:paraId="580F85E2"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2.3 Laboratory analysis methodology</w:t>
      </w:r>
    </w:p>
    <w:p w14:paraId="669002CB"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analysis method used in the laboratory to conduct this study is the multi-element analysis method. Table 1 illustrates the different parameters to be determined.</w:t>
      </w:r>
    </w:p>
    <w:p w14:paraId="3DC821D4" w14:textId="77777777" w:rsidR="00E66205" w:rsidRPr="00E66205" w:rsidRDefault="00E66205" w:rsidP="00E66205">
      <w:pPr>
        <w:spacing w:line="360" w:lineRule="auto"/>
        <w:jc w:val="both"/>
        <w:rPr>
          <w:rFonts w:ascii="Arial" w:hAnsi="Arial" w:cs="Arial"/>
          <w:iCs/>
        </w:rPr>
      </w:pPr>
    </w:p>
    <w:p w14:paraId="41C69410"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Table 1. Parameters measured</w:t>
      </w:r>
    </w:p>
    <w:tbl>
      <w:tblPr>
        <w:tblStyle w:val="PlainTable2"/>
        <w:tblW w:w="0" w:type="auto"/>
        <w:tblLook w:val="04A0" w:firstRow="1" w:lastRow="0" w:firstColumn="1" w:lastColumn="0" w:noHBand="0" w:noVBand="1"/>
      </w:tblPr>
      <w:tblGrid>
        <w:gridCol w:w="3634"/>
        <w:gridCol w:w="4790"/>
      </w:tblGrid>
      <w:tr w:rsidR="00E66205" w:rsidRPr="00E66205" w14:paraId="2B51C9DE" w14:textId="77777777" w:rsidTr="003E2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2" w:type="dxa"/>
          </w:tcPr>
          <w:p w14:paraId="7A2AFFAD" w14:textId="77777777" w:rsidR="00E66205" w:rsidRPr="00E66205" w:rsidRDefault="00E66205" w:rsidP="003E2334">
            <w:pPr>
              <w:spacing w:line="360" w:lineRule="auto"/>
              <w:jc w:val="both"/>
              <w:rPr>
                <w:rFonts w:ascii="Arial" w:eastAsia="Calibri" w:hAnsi="Arial" w:cs="Arial"/>
                <w:sz w:val="20"/>
                <w:szCs w:val="20"/>
                <w:lang w:val="en-US"/>
              </w:rPr>
            </w:pPr>
          </w:p>
        </w:tc>
        <w:tc>
          <w:tcPr>
            <w:tcW w:w="5210" w:type="dxa"/>
          </w:tcPr>
          <w:p w14:paraId="5E9F9631"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E66205">
              <w:rPr>
                <w:rFonts w:ascii="Arial" w:eastAsia="Times New Roman" w:hAnsi="Arial" w:cs="Arial"/>
                <w:iCs/>
                <w:sz w:val="20"/>
                <w:szCs w:val="20"/>
                <w:lang w:val="en-US"/>
              </w:rPr>
              <w:t>Parameters</w:t>
            </w:r>
          </w:p>
        </w:tc>
      </w:tr>
      <w:tr w:rsidR="00E66205" w:rsidRPr="00E66205" w14:paraId="35734819" w14:textId="77777777" w:rsidTr="003E2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2" w:type="dxa"/>
          </w:tcPr>
          <w:p w14:paraId="7BBA0AFC" w14:textId="77777777" w:rsidR="00E66205" w:rsidRPr="00E66205" w:rsidRDefault="00E66205" w:rsidP="003E2334">
            <w:pPr>
              <w:spacing w:line="360" w:lineRule="auto"/>
              <w:jc w:val="both"/>
              <w:rPr>
                <w:rFonts w:ascii="Arial" w:eastAsia="Calibri" w:hAnsi="Arial" w:cs="Arial"/>
                <w:sz w:val="20"/>
                <w:szCs w:val="20"/>
                <w:lang w:val="en-US"/>
              </w:rPr>
            </w:pPr>
          </w:p>
          <w:p w14:paraId="2B444E60" w14:textId="77777777" w:rsidR="00E66205" w:rsidRPr="00E66205" w:rsidRDefault="00E66205" w:rsidP="003E2334">
            <w:pPr>
              <w:spacing w:line="360" w:lineRule="auto"/>
              <w:jc w:val="both"/>
              <w:rPr>
                <w:rFonts w:ascii="Arial" w:eastAsia="Calibri" w:hAnsi="Arial" w:cs="Arial"/>
                <w:sz w:val="20"/>
                <w:szCs w:val="20"/>
                <w:lang w:val="en-US"/>
              </w:rPr>
            </w:pPr>
            <w:r w:rsidRPr="00E66205">
              <w:rPr>
                <w:rFonts w:ascii="Arial" w:eastAsia="Calibri" w:hAnsi="Arial" w:cs="Arial"/>
                <w:sz w:val="20"/>
                <w:szCs w:val="20"/>
                <w:lang w:val="en-US"/>
              </w:rPr>
              <w:t>Physicochemical parameters</w:t>
            </w:r>
          </w:p>
        </w:tc>
        <w:tc>
          <w:tcPr>
            <w:tcW w:w="5210" w:type="dxa"/>
            <w:hideMark/>
          </w:tcPr>
          <w:p w14:paraId="767F70D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 xml:space="preserve">Temperature </w:t>
            </w:r>
          </w:p>
          <w:p w14:paraId="1219029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pH</w:t>
            </w:r>
          </w:p>
          <w:p w14:paraId="6485E3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 xml:space="preserve">Conductivity </w:t>
            </w:r>
          </w:p>
          <w:p w14:paraId="7F67354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 xml:space="preserve">Turbidity </w:t>
            </w:r>
          </w:p>
        </w:tc>
      </w:tr>
      <w:tr w:rsidR="00E66205" w:rsidRPr="00E66205" w14:paraId="3F59149F" w14:textId="77777777" w:rsidTr="003E2334">
        <w:tc>
          <w:tcPr>
            <w:cnfStyle w:val="001000000000" w:firstRow="0" w:lastRow="0" w:firstColumn="1" w:lastColumn="0" w:oddVBand="0" w:evenVBand="0" w:oddHBand="0" w:evenHBand="0" w:firstRowFirstColumn="0" w:firstRowLastColumn="0" w:lastRowFirstColumn="0" w:lastRowLastColumn="0"/>
            <w:tcW w:w="3852" w:type="dxa"/>
          </w:tcPr>
          <w:p w14:paraId="22A1AB32" w14:textId="77777777" w:rsidR="00E66205" w:rsidRPr="00E66205" w:rsidRDefault="00E66205" w:rsidP="003E2334">
            <w:pPr>
              <w:spacing w:line="360" w:lineRule="auto"/>
              <w:jc w:val="both"/>
              <w:rPr>
                <w:rFonts w:ascii="Arial" w:eastAsia="Calibri" w:hAnsi="Arial" w:cs="Arial"/>
                <w:sz w:val="20"/>
                <w:szCs w:val="20"/>
                <w:lang w:val="en-US"/>
              </w:rPr>
            </w:pPr>
          </w:p>
          <w:p w14:paraId="2F3154E9" w14:textId="77777777" w:rsidR="00E66205" w:rsidRPr="00E66205" w:rsidRDefault="00E66205" w:rsidP="003E2334">
            <w:pPr>
              <w:spacing w:line="360" w:lineRule="auto"/>
              <w:jc w:val="both"/>
              <w:rPr>
                <w:rFonts w:ascii="Arial" w:eastAsia="Calibri" w:hAnsi="Arial" w:cs="Arial"/>
                <w:sz w:val="20"/>
                <w:szCs w:val="20"/>
                <w:lang w:val="en-US"/>
              </w:rPr>
            </w:pPr>
            <w:r w:rsidRPr="00E66205">
              <w:rPr>
                <w:rFonts w:ascii="Arial" w:eastAsia="Calibri" w:hAnsi="Arial" w:cs="Arial"/>
                <w:sz w:val="20"/>
                <w:szCs w:val="20"/>
                <w:lang w:val="en-US"/>
              </w:rPr>
              <w:t>Nitrogen pollution parameter</w:t>
            </w:r>
          </w:p>
        </w:tc>
        <w:tc>
          <w:tcPr>
            <w:tcW w:w="5210" w:type="dxa"/>
            <w:hideMark/>
          </w:tcPr>
          <w:p w14:paraId="12934DE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381F856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Nitrites</w:t>
            </w:r>
          </w:p>
          <w:p w14:paraId="2C4DCA5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Nitrates</w:t>
            </w:r>
          </w:p>
        </w:tc>
      </w:tr>
      <w:tr w:rsidR="00E66205" w:rsidRPr="00E66205" w14:paraId="3D5BE77A" w14:textId="77777777" w:rsidTr="003E2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2" w:type="dxa"/>
            <w:hideMark/>
          </w:tcPr>
          <w:p w14:paraId="5778F280" w14:textId="77777777" w:rsidR="00E66205" w:rsidRPr="00E66205" w:rsidRDefault="00E66205" w:rsidP="003E2334">
            <w:pPr>
              <w:spacing w:line="360" w:lineRule="auto"/>
              <w:jc w:val="both"/>
              <w:rPr>
                <w:rFonts w:ascii="Arial" w:eastAsia="Calibri" w:hAnsi="Arial" w:cs="Arial"/>
                <w:sz w:val="20"/>
                <w:szCs w:val="20"/>
                <w:lang w:val="en-US"/>
              </w:rPr>
            </w:pPr>
            <w:r w:rsidRPr="00E66205">
              <w:rPr>
                <w:rFonts w:ascii="Arial" w:eastAsia="Calibri" w:hAnsi="Arial" w:cs="Arial"/>
                <w:sz w:val="20"/>
                <w:szCs w:val="20"/>
                <w:lang w:val="en-US"/>
              </w:rPr>
              <w:t xml:space="preserve">Metals  </w:t>
            </w:r>
          </w:p>
        </w:tc>
        <w:tc>
          <w:tcPr>
            <w:tcW w:w="5210" w:type="dxa"/>
            <w:hideMark/>
          </w:tcPr>
          <w:p w14:paraId="55FBF11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Total lead, total cadmium, total chromium, total arsenic, total copper, total aluminum, total iron, total zinc, total nickel, etc.</w:t>
            </w:r>
          </w:p>
        </w:tc>
      </w:tr>
    </w:tbl>
    <w:p w14:paraId="09CC060B" w14:textId="77777777" w:rsidR="00E66205" w:rsidRPr="00E66205" w:rsidRDefault="00E66205" w:rsidP="00E66205">
      <w:pPr>
        <w:spacing w:line="360" w:lineRule="auto"/>
        <w:jc w:val="both"/>
        <w:rPr>
          <w:rFonts w:ascii="Arial" w:eastAsia="Calibri" w:hAnsi="Arial" w:cs="Arial"/>
        </w:rPr>
      </w:pPr>
    </w:p>
    <w:p w14:paraId="73109BD9" w14:textId="77777777" w:rsidR="00E66205" w:rsidRPr="00E66205" w:rsidRDefault="00E66205" w:rsidP="00E66205">
      <w:pPr>
        <w:spacing w:line="360" w:lineRule="auto"/>
        <w:jc w:val="both"/>
        <w:rPr>
          <w:rFonts w:ascii="Arial" w:hAnsi="Arial" w:cs="Arial"/>
          <w:b/>
          <w:bCs/>
          <w:iCs/>
        </w:rPr>
      </w:pPr>
      <w:bookmarkStart w:id="6" w:name="_Toc197081444"/>
      <w:r w:rsidRPr="00E66205">
        <w:rPr>
          <w:rFonts w:ascii="Arial" w:hAnsi="Arial" w:cs="Arial"/>
          <w:b/>
          <w:bCs/>
          <w:iCs/>
        </w:rPr>
        <w:t xml:space="preserve">2.3.1 Analysis of wastewater and borehole water </w:t>
      </w:r>
    </w:p>
    <w:p w14:paraId="5F37DB73"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metals in the wastewater samples from the laboratory basins and borehole water were analyzed using ICP-OES (Inductively Coupled Plasma - Optical Emission Spectrometry). A multi-parameter device was also used to measure the physical and chemical parameters of the water.</w:t>
      </w:r>
    </w:p>
    <w:p w14:paraId="7CEAC249" w14:textId="77777777" w:rsidR="00E66205" w:rsidRPr="00E66205" w:rsidRDefault="00E66205" w:rsidP="00E66205">
      <w:pPr>
        <w:spacing w:line="360" w:lineRule="auto"/>
        <w:jc w:val="both"/>
        <w:rPr>
          <w:rFonts w:ascii="Arial" w:eastAsia="Calibri" w:hAnsi="Arial" w:cs="Arial"/>
        </w:rPr>
      </w:pPr>
    </w:p>
    <w:bookmarkEnd w:id="6"/>
    <w:p w14:paraId="552C5FDB"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2.3.2 Analysis of soil samples</w:t>
      </w:r>
    </w:p>
    <w:p w14:paraId="1FCD17A1" w14:textId="20FD7BC6" w:rsidR="00E66205" w:rsidRPr="00E66205" w:rsidRDefault="00E66205" w:rsidP="00E66205">
      <w:pPr>
        <w:spacing w:line="360" w:lineRule="auto"/>
        <w:jc w:val="both"/>
        <w:rPr>
          <w:rFonts w:ascii="Arial" w:hAnsi="Arial" w:cs="Arial"/>
          <w:iCs/>
        </w:rPr>
      </w:pPr>
      <w:r w:rsidRPr="00E66205">
        <w:rPr>
          <w:rFonts w:ascii="Arial" w:hAnsi="Arial" w:cs="Arial"/>
          <w:iCs/>
        </w:rPr>
        <w:t>The analysis of soil samples taken from the storage site for waste from the “Fire Assay” within BUMIGEB was carried out using the XRF analysis method.</w:t>
      </w:r>
    </w:p>
    <w:p w14:paraId="0F8EFD2E" w14:textId="77777777" w:rsidR="00E66205" w:rsidRPr="00FB3A86" w:rsidRDefault="00E66205" w:rsidP="00441B6F">
      <w:pPr>
        <w:pStyle w:val="Body"/>
        <w:spacing w:after="0"/>
        <w:rPr>
          <w:rFonts w:ascii="Arial" w:hAnsi="Arial" w:cs="Arial"/>
        </w:rPr>
      </w:pPr>
    </w:p>
    <w:p w14:paraId="3F9DC9B3"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bookmarkStart w:id="7" w:name="_GoBack"/>
      <w:r>
        <w:rPr>
          <w:rFonts w:ascii="Arial" w:hAnsi="Arial" w:cs="Arial"/>
        </w:rPr>
        <w:t>result</w:t>
      </w:r>
      <w:bookmarkEnd w:id="7"/>
      <w:r>
        <w:rPr>
          <w:rFonts w:ascii="Arial" w:hAnsi="Arial" w:cs="Arial"/>
        </w:rPr>
        <w:t>s and discussion</w:t>
      </w:r>
    </w:p>
    <w:p w14:paraId="234FA402" w14:textId="77777777" w:rsidR="00790ADA" w:rsidRPr="00FB3A86" w:rsidRDefault="00790ADA" w:rsidP="00441B6F">
      <w:pPr>
        <w:pStyle w:val="Head1"/>
        <w:spacing w:after="0"/>
        <w:jc w:val="both"/>
        <w:rPr>
          <w:rFonts w:ascii="Arial" w:hAnsi="Arial" w:cs="Arial"/>
        </w:rPr>
      </w:pPr>
    </w:p>
    <w:p w14:paraId="6FCF1D68"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 xml:space="preserve">3.1 Wastewater </w:t>
      </w:r>
    </w:p>
    <w:p w14:paraId="77A8202E"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 xml:space="preserve">3.1.1 Physicochemical parameters </w:t>
      </w:r>
    </w:p>
    <w:p w14:paraId="07E7793A" w14:textId="77777777" w:rsidR="00E66205" w:rsidRPr="00E66205" w:rsidRDefault="00E66205" w:rsidP="00E66205">
      <w:pPr>
        <w:spacing w:line="360" w:lineRule="auto"/>
        <w:jc w:val="both"/>
        <w:rPr>
          <w:rFonts w:ascii="Arial" w:hAnsi="Arial" w:cs="Arial"/>
        </w:rPr>
      </w:pPr>
      <w:r w:rsidRPr="00E66205">
        <w:rPr>
          <w:rFonts w:ascii="Arial" w:hAnsi="Arial" w:cs="Arial"/>
        </w:rPr>
        <w:t>Table 2 presents the results of the analysis of the physicochemical parameters of the samples taken from basin A (BA) and basin B (BB).</w:t>
      </w:r>
    </w:p>
    <w:p w14:paraId="56226AEE"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2. Results of the analysis of the physicochemical parameters of the wastewater</w:t>
      </w:r>
    </w:p>
    <w:tbl>
      <w:tblPr>
        <w:tblStyle w:val="ListTable2"/>
        <w:tblW w:w="4554" w:type="pct"/>
        <w:jc w:val="center"/>
        <w:tblInd w:w="0" w:type="dxa"/>
        <w:tblLook w:val="0660" w:firstRow="1" w:lastRow="1" w:firstColumn="0" w:lastColumn="0" w:noHBand="1" w:noVBand="1"/>
      </w:tblPr>
      <w:tblGrid>
        <w:gridCol w:w="1403"/>
        <w:gridCol w:w="846"/>
        <w:gridCol w:w="721"/>
        <w:gridCol w:w="1551"/>
        <w:gridCol w:w="1154"/>
        <w:gridCol w:w="968"/>
        <w:gridCol w:w="1030"/>
      </w:tblGrid>
      <w:tr w:rsidR="00E66205" w:rsidRPr="00E66205" w14:paraId="6A00736D" w14:textId="77777777" w:rsidTr="003E2334">
        <w:trPr>
          <w:cnfStyle w:val="100000000000" w:firstRow="1" w:lastRow="0" w:firstColumn="0" w:lastColumn="0" w:oddVBand="0" w:evenVBand="0" w:oddHBand="0" w:evenHBand="0" w:firstRowFirstColumn="0" w:firstRowLastColumn="0" w:lastRowFirstColumn="0" w:lastRowLastColumn="0"/>
          <w:trHeight w:val="753"/>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016D038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Sample</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4E2D2E6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pH</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365B0A6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T(°C)</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5DA9F71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Conductivity</w:t>
            </w:r>
          </w:p>
          <w:p w14:paraId="5C781A1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(µS/cm)</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68EF40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Turbidity</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35345F1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Nitrites</w:t>
            </w:r>
          </w:p>
          <w:p w14:paraId="35302E0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1462790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Nitrates</w:t>
            </w:r>
          </w:p>
          <w:p w14:paraId="20C96A5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r>
      <w:tr w:rsidR="00E66205" w:rsidRPr="00E66205" w14:paraId="2674528B" w14:textId="77777777" w:rsidTr="003E2334">
        <w:trPr>
          <w:trHeight w:val="505"/>
          <w:jc w:val="center"/>
        </w:trPr>
        <w:tc>
          <w:tcPr>
            <w:tcW w:w="5000" w:type="pct"/>
            <w:gridSpan w:val="7"/>
            <w:tcBorders>
              <w:top w:val="single" w:sz="4" w:space="0" w:color="666666" w:themeColor="text1" w:themeTint="99"/>
              <w:left w:val="nil"/>
              <w:bottom w:val="single" w:sz="4" w:space="0" w:color="666666" w:themeColor="text1" w:themeTint="99"/>
              <w:right w:val="nil"/>
            </w:tcBorders>
            <w:noWrap/>
            <w:vAlign w:val="center"/>
          </w:tcPr>
          <w:p w14:paraId="2E58F9CF"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Sample A</w:t>
            </w:r>
          </w:p>
        </w:tc>
      </w:tr>
      <w:tr w:rsidR="00E66205" w:rsidRPr="00E66205" w14:paraId="4DA06B09"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578F57E4"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BA1</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312BA4E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1.87</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72626BB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25.8</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44CC1D7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12520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6593E03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1.14</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750D3A0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3.76</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17770FA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351.9</w:t>
            </w:r>
          </w:p>
        </w:tc>
      </w:tr>
      <w:tr w:rsidR="00E66205" w:rsidRPr="00E66205" w14:paraId="2E78D5DA"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1E370B4B"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BA2</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40B8F99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1.94</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134CCCD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25.4</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0459F3B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11970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9E6CCF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0.64</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7652807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6.48</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56163EE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457.1</w:t>
            </w:r>
          </w:p>
        </w:tc>
      </w:tr>
      <w:tr w:rsidR="00E66205" w:rsidRPr="00E66205" w14:paraId="5B021F46" w14:textId="77777777" w:rsidTr="003E2334">
        <w:trPr>
          <w:trHeight w:val="49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6CB0D82C"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BA3</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5761F0D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1.91</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6362493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26.2</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4CA0AC2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11970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4AF881A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1.07</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3A937DD9"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6.90</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474FC9E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458</w:t>
            </w:r>
          </w:p>
        </w:tc>
      </w:tr>
      <w:tr w:rsidR="00E66205" w:rsidRPr="00E66205" w14:paraId="44936FBC"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7B76B7A3"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BA4</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146FE80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1.99</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2425C35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25.9</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57C3B62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11700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A30A07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0.87</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0688869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6.20</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3EA1144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246.7</w:t>
            </w:r>
          </w:p>
        </w:tc>
      </w:tr>
      <w:tr w:rsidR="00E66205" w:rsidRPr="00E66205" w14:paraId="13081494" w14:textId="77777777" w:rsidTr="003E2334">
        <w:trPr>
          <w:trHeight w:val="505"/>
          <w:jc w:val="center"/>
        </w:trPr>
        <w:tc>
          <w:tcPr>
            <w:tcW w:w="5000" w:type="pct"/>
            <w:gridSpan w:val="7"/>
            <w:tcBorders>
              <w:top w:val="single" w:sz="4" w:space="0" w:color="666666" w:themeColor="text1" w:themeTint="99"/>
              <w:left w:val="nil"/>
              <w:bottom w:val="single" w:sz="4" w:space="0" w:color="666666" w:themeColor="text1" w:themeTint="99"/>
              <w:right w:val="nil"/>
            </w:tcBorders>
            <w:noWrap/>
            <w:vAlign w:val="center"/>
          </w:tcPr>
          <w:p w14:paraId="673262E0"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Sample B</w:t>
            </w:r>
          </w:p>
        </w:tc>
      </w:tr>
      <w:tr w:rsidR="00E66205" w:rsidRPr="00E66205" w14:paraId="2FECA024"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380A2624"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BB1</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78660BA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2.34</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7DD9873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25.9</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1D26285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3280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5BE5A0B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2.25</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1352640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3.58</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5AD4C73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335.9</w:t>
            </w:r>
          </w:p>
        </w:tc>
      </w:tr>
      <w:tr w:rsidR="00E66205" w:rsidRPr="00E66205" w14:paraId="7E44A44C"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23C86045"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BB2</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5921ECB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2.37</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0583046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25.6</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0E4D51D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3110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47497E3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1.43</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697B1CE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3.84</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330FBFF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327.3</w:t>
            </w:r>
          </w:p>
        </w:tc>
      </w:tr>
      <w:tr w:rsidR="00E66205" w:rsidRPr="00E66205" w14:paraId="3448154F"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2A5FE694"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BB3</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3C1D960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2.57</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56126C3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25.9</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1BCDEDE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2668</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462D20D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1.17</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4C51DB7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4.20</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7B5CDAF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228.2</w:t>
            </w:r>
          </w:p>
        </w:tc>
      </w:tr>
      <w:tr w:rsidR="00E66205" w:rsidRPr="00E66205" w14:paraId="7BEC476B" w14:textId="77777777" w:rsidTr="003E2334">
        <w:trPr>
          <w:cnfStyle w:val="010000000000" w:firstRow="0" w:lastRow="1" w:firstColumn="0" w:lastColumn="0" w:oddVBand="0" w:evenVBand="0" w:oddHBand="0" w:evenHBand="0" w:firstRowFirstColumn="0" w:firstRowLastColumn="0" w:lastRowFirstColumn="0" w:lastRowLastColumn="0"/>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4C6655B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BB4</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0CF3E591"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2.44</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03BA9E1B"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25.6</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29502EA7"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2853</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41A8308"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1.39</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08216C87"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4.77</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054D2760"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442.6</w:t>
            </w:r>
          </w:p>
        </w:tc>
      </w:tr>
    </w:tbl>
    <w:p w14:paraId="327CC0E5" w14:textId="77777777" w:rsidR="00E66205" w:rsidRPr="00E66205" w:rsidRDefault="00E66205" w:rsidP="00E66205">
      <w:pPr>
        <w:spacing w:line="360" w:lineRule="auto"/>
        <w:jc w:val="both"/>
        <w:rPr>
          <w:rFonts w:ascii="Arial" w:hAnsi="Arial" w:cs="Arial"/>
        </w:rPr>
      </w:pPr>
    </w:p>
    <w:p w14:paraId="752F12A6" w14:textId="0E442307" w:rsidR="00E66205" w:rsidRPr="00E66205" w:rsidRDefault="00E66205" w:rsidP="00E66205">
      <w:pPr>
        <w:spacing w:line="360" w:lineRule="auto"/>
        <w:jc w:val="both"/>
        <w:rPr>
          <w:rFonts w:ascii="Arial" w:hAnsi="Arial" w:cs="Arial"/>
        </w:rPr>
      </w:pPr>
      <w:bookmarkStart w:id="8" w:name="_Toc184204005"/>
      <w:r w:rsidRPr="00E66205">
        <w:rPr>
          <w:rFonts w:ascii="Arial" w:hAnsi="Arial" w:cs="Arial"/>
        </w:rPr>
        <w:t>Analysis of the results in Table 2 shows low pH values, ranging from 1.87 to 2.57 in both ponds. This indicates a highly acidic environment. This parameter influences a large number of physical and chemical balances and may be due to activities related to lead smelting (</w:t>
      </w:r>
      <w:proofErr w:type="spellStart"/>
      <w:r w:rsidRPr="00E66205">
        <w:rPr>
          <w:rFonts w:ascii="Arial" w:hAnsi="Arial" w:cs="Arial"/>
        </w:rPr>
        <w:t>Mabowa</w:t>
      </w:r>
      <w:proofErr w:type="spellEnd"/>
      <w:r w:rsidRPr="00E66205">
        <w:rPr>
          <w:rFonts w:ascii="Arial" w:hAnsi="Arial" w:cs="Arial"/>
        </w:rPr>
        <w:t xml:space="preserve"> et al., 2024). The temperature values in the basins do not vary and are between 25 and 26.2 °C. These results show that the temperature values in the storage basins do not exceed the recommended standard of 30 °C. The electrical conductivity values vary between 2853 and 26680 µs/cm for basin A, and between 3110 and 11970 µS/cm for basin B. Conductivity is used to determine the ability of water to conduct electricity. It can be used to assess the number of dissolved salts in the water and to check for pollution in the water (</w:t>
      </w:r>
      <w:proofErr w:type="spellStart"/>
      <w:r w:rsidRPr="00E66205">
        <w:rPr>
          <w:rFonts w:ascii="Arial" w:hAnsi="Arial" w:cs="Arial"/>
        </w:rPr>
        <w:t>Mkhohlakali</w:t>
      </w:r>
      <w:proofErr w:type="spellEnd"/>
      <w:r w:rsidRPr="00E66205">
        <w:rPr>
          <w:rFonts w:ascii="Arial" w:hAnsi="Arial" w:cs="Arial"/>
        </w:rPr>
        <w:t xml:space="preserve"> et al., 2024). The results of the electrical conductivity analysis in both basins greatly exceed the recommended standard [2000 µS/cm]. Therefore, they are characterized </w:t>
      </w:r>
      <w:r w:rsidRPr="00E66205">
        <w:rPr>
          <w:rFonts w:ascii="Arial" w:hAnsi="Arial" w:cs="Arial"/>
        </w:rPr>
        <w:lastRenderedPageBreak/>
        <w:t>by very high mineralization. This also presents high levels of metallic elements. Similar results have been reported by Koomson et al. on fire assaying of gold. (Koomson et al., 2020)</w:t>
      </w:r>
    </w:p>
    <w:p w14:paraId="29EB6E1B" w14:textId="77777777" w:rsidR="00E66205" w:rsidRPr="00E66205" w:rsidRDefault="00E66205" w:rsidP="00E66205">
      <w:pPr>
        <w:spacing w:line="360" w:lineRule="auto"/>
        <w:jc w:val="both"/>
        <w:rPr>
          <w:rFonts w:ascii="Arial" w:hAnsi="Arial" w:cs="Arial"/>
        </w:rPr>
      </w:pPr>
      <w:r w:rsidRPr="00E66205">
        <w:rPr>
          <w:rFonts w:ascii="Arial" w:hAnsi="Arial" w:cs="Arial"/>
        </w:rPr>
        <w:t>Low turbidity for both basins, as confirmed by the clear appearance of the wastewater samples. These results also show high nitrate values, indicating a high presence of mineral salts, while nitrite values are low. This indicates low bacterial activity, which is due to the presence of oxidizing agents such as lead oxide in the wastewater. Many similar studies have been reported on the impact of oxidizing molecules in discharges. (Robles-Martínez et al., 2000; Gilmour et al., 2022)</w:t>
      </w:r>
    </w:p>
    <w:p w14:paraId="47EBC8C4" w14:textId="77777777" w:rsidR="00E66205" w:rsidRPr="00E66205" w:rsidRDefault="00E66205" w:rsidP="00E66205">
      <w:pPr>
        <w:spacing w:line="360" w:lineRule="auto"/>
        <w:jc w:val="both"/>
        <w:rPr>
          <w:rFonts w:ascii="Arial" w:hAnsi="Arial" w:cs="Arial"/>
          <w:b/>
          <w:bCs/>
        </w:rPr>
      </w:pPr>
    </w:p>
    <w:bookmarkEnd w:id="8"/>
    <w:p w14:paraId="3B81E191"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3.1.2 Metal parameters</w:t>
      </w:r>
    </w:p>
    <w:p w14:paraId="00B753C4" w14:textId="77777777" w:rsidR="00E66205" w:rsidRPr="00E66205" w:rsidRDefault="00E66205" w:rsidP="00E66205">
      <w:pPr>
        <w:spacing w:line="360" w:lineRule="auto"/>
        <w:jc w:val="both"/>
        <w:rPr>
          <w:rFonts w:ascii="Arial" w:hAnsi="Arial" w:cs="Arial"/>
        </w:rPr>
      </w:pPr>
      <w:r w:rsidRPr="00E66205">
        <w:rPr>
          <w:rFonts w:ascii="Arial" w:hAnsi="Arial" w:cs="Arial"/>
        </w:rPr>
        <w:t>The results of the metal content studies are presented for each sample. We have recorded the average concentrations for each metal analyzed in the water by sampling campaign (SC). The levels obtained are listed in Table 3 for basin A and Table 4 for basin B.</w:t>
      </w:r>
    </w:p>
    <w:p w14:paraId="141542C0" w14:textId="77777777" w:rsidR="00E66205" w:rsidRPr="00E66205" w:rsidRDefault="00E66205" w:rsidP="00E66205">
      <w:pPr>
        <w:spacing w:line="360" w:lineRule="auto"/>
        <w:jc w:val="both"/>
        <w:rPr>
          <w:rFonts w:ascii="Arial" w:hAnsi="Arial" w:cs="Arial"/>
          <w:b/>
          <w:bCs/>
        </w:rPr>
      </w:pPr>
    </w:p>
    <w:p w14:paraId="0EAE6A3D"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3. Results of metal measurements in basin A in ppm</w:t>
      </w:r>
    </w:p>
    <w:tbl>
      <w:tblPr>
        <w:tblStyle w:val="ListTable2"/>
        <w:tblW w:w="0" w:type="auto"/>
        <w:tblInd w:w="0" w:type="dxa"/>
        <w:tblLook w:val="04A0" w:firstRow="1" w:lastRow="0" w:firstColumn="1" w:lastColumn="0" w:noHBand="0" w:noVBand="1"/>
      </w:tblPr>
      <w:tblGrid>
        <w:gridCol w:w="1144"/>
        <w:gridCol w:w="1398"/>
        <w:gridCol w:w="1318"/>
        <w:gridCol w:w="1398"/>
        <w:gridCol w:w="1305"/>
        <w:gridCol w:w="1861"/>
      </w:tblGrid>
      <w:tr w:rsidR="00E66205" w:rsidRPr="00E66205" w14:paraId="6AB1C54F" w14:textId="77777777" w:rsidTr="003E2334">
        <w:trPr>
          <w:cnfStyle w:val="100000000000" w:firstRow="1" w:lastRow="0" w:firstColumn="0" w:lastColumn="0" w:oddVBand="0" w:evenVBand="0" w:oddHBand="0"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tcPr>
          <w:p w14:paraId="542E64C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 xml:space="preserve">Metal (ppm) </w:t>
            </w:r>
          </w:p>
        </w:tc>
        <w:tc>
          <w:tcPr>
            <w:tcW w:w="1661" w:type="dxa"/>
            <w:shd w:val="clear" w:color="auto" w:fill="FFFFFF" w:themeFill="background1"/>
            <w:hideMark/>
          </w:tcPr>
          <w:p w14:paraId="12DC70AF"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BA1</w:t>
            </w:r>
          </w:p>
        </w:tc>
        <w:tc>
          <w:tcPr>
            <w:tcW w:w="1616" w:type="dxa"/>
            <w:shd w:val="clear" w:color="auto" w:fill="FFFFFF" w:themeFill="background1"/>
            <w:hideMark/>
          </w:tcPr>
          <w:p w14:paraId="2DDBB1A8"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BA2</w:t>
            </w:r>
          </w:p>
          <w:p w14:paraId="603B49D4"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
        </w:tc>
        <w:tc>
          <w:tcPr>
            <w:tcW w:w="1661" w:type="dxa"/>
            <w:shd w:val="clear" w:color="auto" w:fill="FFFFFF" w:themeFill="background1"/>
            <w:hideMark/>
          </w:tcPr>
          <w:p w14:paraId="5D8C3503"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BA3</w:t>
            </w:r>
          </w:p>
        </w:tc>
        <w:tc>
          <w:tcPr>
            <w:tcW w:w="1465" w:type="dxa"/>
            <w:shd w:val="clear" w:color="auto" w:fill="FFFFFF" w:themeFill="background1"/>
            <w:hideMark/>
          </w:tcPr>
          <w:p w14:paraId="66DA9C9D"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BA4</w:t>
            </w:r>
          </w:p>
        </w:tc>
        <w:tc>
          <w:tcPr>
            <w:tcW w:w="1112" w:type="dxa"/>
            <w:shd w:val="clear" w:color="auto" w:fill="FFFFFF" w:themeFill="background1"/>
            <w:hideMark/>
          </w:tcPr>
          <w:p w14:paraId="6BB71BC8"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WHO standard/Burkina Faso</w:t>
            </w:r>
          </w:p>
        </w:tc>
      </w:tr>
      <w:tr w:rsidR="00E66205" w:rsidRPr="00E66205" w14:paraId="24351F18" w14:textId="77777777" w:rsidTr="003E2334">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40EB591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As</w:t>
            </w:r>
          </w:p>
        </w:tc>
        <w:tc>
          <w:tcPr>
            <w:tcW w:w="1661" w:type="dxa"/>
            <w:shd w:val="clear" w:color="auto" w:fill="FFFFFF" w:themeFill="background1"/>
            <w:hideMark/>
          </w:tcPr>
          <w:p w14:paraId="1FC4B43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eastAsia="Times New Roman" w:hAnsi="Arial" w:cs="Arial"/>
                <w:sz w:val="20"/>
                <w:szCs w:val="20"/>
                <w:lang w:val="en-US" w:eastAsia="fr-FR"/>
              </w:rPr>
              <w:t>155.59</w:t>
            </w:r>
          </w:p>
        </w:tc>
        <w:tc>
          <w:tcPr>
            <w:tcW w:w="1616" w:type="dxa"/>
            <w:shd w:val="clear" w:color="auto" w:fill="FFFFFF" w:themeFill="background1"/>
            <w:hideMark/>
          </w:tcPr>
          <w:p w14:paraId="5841C5E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eastAsia="Times New Roman" w:hAnsi="Arial" w:cs="Arial"/>
                <w:sz w:val="20"/>
                <w:szCs w:val="20"/>
                <w:lang w:val="en-US" w:eastAsia="fr-FR"/>
              </w:rPr>
              <w:t>48.04</w:t>
            </w:r>
          </w:p>
        </w:tc>
        <w:tc>
          <w:tcPr>
            <w:tcW w:w="1661" w:type="dxa"/>
            <w:shd w:val="clear" w:color="auto" w:fill="FFFFFF" w:themeFill="background1"/>
            <w:hideMark/>
          </w:tcPr>
          <w:p w14:paraId="6E51B2F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79.04</w:t>
            </w:r>
          </w:p>
        </w:tc>
        <w:tc>
          <w:tcPr>
            <w:tcW w:w="1465" w:type="dxa"/>
            <w:shd w:val="clear" w:color="auto" w:fill="FFFFFF" w:themeFill="background1"/>
            <w:hideMark/>
          </w:tcPr>
          <w:p w14:paraId="4F4B803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eastAsia="Times New Roman" w:hAnsi="Arial" w:cs="Arial"/>
                <w:sz w:val="20"/>
                <w:szCs w:val="20"/>
                <w:lang w:val="en-US" w:eastAsia="fr-FR"/>
              </w:rPr>
              <w:t>109.18</w:t>
            </w:r>
          </w:p>
        </w:tc>
        <w:tc>
          <w:tcPr>
            <w:tcW w:w="1112" w:type="dxa"/>
            <w:shd w:val="clear" w:color="auto" w:fill="FFFFFF" w:themeFill="background1"/>
            <w:hideMark/>
          </w:tcPr>
          <w:p w14:paraId="1E830A7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0.4</w:t>
            </w:r>
          </w:p>
        </w:tc>
      </w:tr>
      <w:tr w:rsidR="00E66205" w:rsidRPr="00E66205" w14:paraId="1F7CD62D" w14:textId="77777777" w:rsidTr="003E2334">
        <w:trPr>
          <w:trHeight w:val="692"/>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4F6A779"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Ba</w:t>
            </w:r>
          </w:p>
        </w:tc>
        <w:tc>
          <w:tcPr>
            <w:tcW w:w="1661" w:type="dxa"/>
            <w:shd w:val="clear" w:color="auto" w:fill="FFFFFF" w:themeFill="background1"/>
            <w:hideMark/>
          </w:tcPr>
          <w:p w14:paraId="258398F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68.3</w:t>
            </w:r>
          </w:p>
        </w:tc>
        <w:tc>
          <w:tcPr>
            <w:tcW w:w="1616" w:type="dxa"/>
            <w:shd w:val="clear" w:color="auto" w:fill="FFFFFF" w:themeFill="background1"/>
            <w:hideMark/>
          </w:tcPr>
          <w:p w14:paraId="448EE9B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43.88</w:t>
            </w:r>
          </w:p>
        </w:tc>
        <w:tc>
          <w:tcPr>
            <w:tcW w:w="1661" w:type="dxa"/>
            <w:shd w:val="clear" w:color="auto" w:fill="FFFFFF" w:themeFill="background1"/>
            <w:hideMark/>
          </w:tcPr>
          <w:p w14:paraId="39A8994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58.41</w:t>
            </w:r>
          </w:p>
        </w:tc>
        <w:tc>
          <w:tcPr>
            <w:tcW w:w="1465" w:type="dxa"/>
            <w:shd w:val="clear" w:color="auto" w:fill="FFFFFF" w:themeFill="background1"/>
            <w:hideMark/>
          </w:tcPr>
          <w:p w14:paraId="140CE81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76.28</w:t>
            </w:r>
          </w:p>
        </w:tc>
        <w:tc>
          <w:tcPr>
            <w:tcW w:w="1112" w:type="dxa"/>
            <w:shd w:val="clear" w:color="auto" w:fill="FFFFFF" w:themeFill="background1"/>
          </w:tcPr>
          <w:p w14:paraId="4E2FEBF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0458EFC0" w14:textId="77777777" w:rsidTr="003E2334">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13313599"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Be</w:t>
            </w:r>
          </w:p>
        </w:tc>
        <w:tc>
          <w:tcPr>
            <w:tcW w:w="1661" w:type="dxa"/>
            <w:shd w:val="clear" w:color="auto" w:fill="FFFFFF" w:themeFill="background1"/>
            <w:hideMark/>
          </w:tcPr>
          <w:p w14:paraId="61E1D95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0.011</w:t>
            </w:r>
          </w:p>
        </w:tc>
        <w:tc>
          <w:tcPr>
            <w:tcW w:w="1616" w:type="dxa"/>
            <w:shd w:val="clear" w:color="auto" w:fill="FFFFFF" w:themeFill="background1"/>
            <w:hideMark/>
          </w:tcPr>
          <w:p w14:paraId="305CBA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0.017</w:t>
            </w:r>
          </w:p>
        </w:tc>
        <w:tc>
          <w:tcPr>
            <w:tcW w:w="1661" w:type="dxa"/>
            <w:shd w:val="clear" w:color="auto" w:fill="FFFFFF" w:themeFill="background1"/>
            <w:hideMark/>
          </w:tcPr>
          <w:p w14:paraId="705D225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0.014</w:t>
            </w:r>
          </w:p>
        </w:tc>
        <w:tc>
          <w:tcPr>
            <w:tcW w:w="1465" w:type="dxa"/>
            <w:shd w:val="clear" w:color="auto" w:fill="FFFFFF" w:themeFill="background1"/>
            <w:hideMark/>
          </w:tcPr>
          <w:p w14:paraId="3FFB065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0.012</w:t>
            </w:r>
          </w:p>
        </w:tc>
        <w:tc>
          <w:tcPr>
            <w:tcW w:w="1112" w:type="dxa"/>
            <w:shd w:val="clear" w:color="auto" w:fill="FFFFFF" w:themeFill="background1"/>
          </w:tcPr>
          <w:p w14:paraId="1C304F2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15FB86F3" w14:textId="77777777" w:rsidTr="003E2334">
        <w:trPr>
          <w:trHeight w:val="66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2F239C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Cu</w:t>
            </w:r>
          </w:p>
        </w:tc>
        <w:tc>
          <w:tcPr>
            <w:tcW w:w="1661" w:type="dxa"/>
            <w:shd w:val="clear" w:color="auto" w:fill="FFFFFF" w:themeFill="background1"/>
            <w:hideMark/>
          </w:tcPr>
          <w:p w14:paraId="019FFE8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251.21</w:t>
            </w:r>
          </w:p>
        </w:tc>
        <w:tc>
          <w:tcPr>
            <w:tcW w:w="1616" w:type="dxa"/>
            <w:shd w:val="clear" w:color="auto" w:fill="FFFFFF" w:themeFill="background1"/>
            <w:hideMark/>
          </w:tcPr>
          <w:p w14:paraId="71F5774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220.31</w:t>
            </w:r>
          </w:p>
        </w:tc>
        <w:tc>
          <w:tcPr>
            <w:tcW w:w="1661" w:type="dxa"/>
            <w:shd w:val="clear" w:color="auto" w:fill="FFFFFF" w:themeFill="background1"/>
            <w:hideMark/>
          </w:tcPr>
          <w:p w14:paraId="70EEF6D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334.21</w:t>
            </w:r>
          </w:p>
        </w:tc>
        <w:tc>
          <w:tcPr>
            <w:tcW w:w="1465" w:type="dxa"/>
            <w:shd w:val="clear" w:color="auto" w:fill="FFFFFF" w:themeFill="background1"/>
            <w:hideMark/>
          </w:tcPr>
          <w:p w14:paraId="1A80F6D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 xml:space="preserve"> 433.65</w:t>
            </w:r>
          </w:p>
        </w:tc>
        <w:tc>
          <w:tcPr>
            <w:tcW w:w="1112" w:type="dxa"/>
            <w:shd w:val="clear" w:color="auto" w:fill="FFFFFF" w:themeFill="background1"/>
          </w:tcPr>
          <w:p w14:paraId="60897FD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42054B60" w14:textId="77777777" w:rsidTr="003E2334">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D74D23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Ce</w:t>
            </w:r>
          </w:p>
        </w:tc>
        <w:tc>
          <w:tcPr>
            <w:tcW w:w="1661" w:type="dxa"/>
            <w:shd w:val="clear" w:color="auto" w:fill="FFFFFF" w:themeFill="background1"/>
            <w:hideMark/>
          </w:tcPr>
          <w:p w14:paraId="35B0B1A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32.06</w:t>
            </w:r>
          </w:p>
        </w:tc>
        <w:tc>
          <w:tcPr>
            <w:tcW w:w="1616" w:type="dxa"/>
            <w:shd w:val="clear" w:color="auto" w:fill="FFFFFF" w:themeFill="background1"/>
            <w:hideMark/>
          </w:tcPr>
          <w:p w14:paraId="569C970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26.32</w:t>
            </w:r>
          </w:p>
        </w:tc>
        <w:tc>
          <w:tcPr>
            <w:tcW w:w="1661" w:type="dxa"/>
            <w:shd w:val="clear" w:color="auto" w:fill="FFFFFF" w:themeFill="background1"/>
            <w:hideMark/>
          </w:tcPr>
          <w:p w14:paraId="5059EFC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31.19</w:t>
            </w:r>
          </w:p>
        </w:tc>
        <w:tc>
          <w:tcPr>
            <w:tcW w:w="1465" w:type="dxa"/>
            <w:shd w:val="clear" w:color="auto" w:fill="FFFFFF" w:themeFill="background1"/>
            <w:hideMark/>
          </w:tcPr>
          <w:p w14:paraId="2551A80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38.72</w:t>
            </w:r>
          </w:p>
        </w:tc>
        <w:tc>
          <w:tcPr>
            <w:tcW w:w="1112" w:type="dxa"/>
            <w:shd w:val="clear" w:color="auto" w:fill="FFFFFF" w:themeFill="background1"/>
          </w:tcPr>
          <w:p w14:paraId="48A6CCA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0B992BEF" w14:textId="77777777" w:rsidTr="003E2334">
        <w:trPr>
          <w:trHeight w:val="685"/>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0298AA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Co</w:t>
            </w:r>
          </w:p>
        </w:tc>
        <w:tc>
          <w:tcPr>
            <w:tcW w:w="1661" w:type="dxa"/>
            <w:shd w:val="clear" w:color="auto" w:fill="FFFFFF" w:themeFill="background1"/>
            <w:hideMark/>
          </w:tcPr>
          <w:p w14:paraId="34B7F36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22.17</w:t>
            </w:r>
          </w:p>
        </w:tc>
        <w:tc>
          <w:tcPr>
            <w:tcW w:w="1616" w:type="dxa"/>
            <w:shd w:val="clear" w:color="auto" w:fill="FFFFFF" w:themeFill="background1"/>
            <w:hideMark/>
          </w:tcPr>
          <w:p w14:paraId="10021AC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19.46</w:t>
            </w:r>
          </w:p>
        </w:tc>
        <w:tc>
          <w:tcPr>
            <w:tcW w:w="1661" w:type="dxa"/>
            <w:shd w:val="clear" w:color="auto" w:fill="FFFFFF" w:themeFill="background1"/>
            <w:hideMark/>
          </w:tcPr>
          <w:p w14:paraId="3BCAF68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21.93</w:t>
            </w:r>
          </w:p>
        </w:tc>
        <w:tc>
          <w:tcPr>
            <w:tcW w:w="1465" w:type="dxa"/>
            <w:shd w:val="clear" w:color="auto" w:fill="FFFFFF" w:themeFill="background1"/>
            <w:hideMark/>
          </w:tcPr>
          <w:p w14:paraId="74605A8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28.88</w:t>
            </w:r>
          </w:p>
        </w:tc>
        <w:tc>
          <w:tcPr>
            <w:tcW w:w="1112" w:type="dxa"/>
            <w:shd w:val="clear" w:color="auto" w:fill="FFFFFF" w:themeFill="background1"/>
          </w:tcPr>
          <w:p w14:paraId="2F7DE3C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7E513C0C" w14:textId="77777777" w:rsidTr="003E233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0E3717F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Cr</w:t>
            </w:r>
          </w:p>
        </w:tc>
        <w:tc>
          <w:tcPr>
            <w:tcW w:w="1661" w:type="dxa"/>
            <w:shd w:val="clear" w:color="auto" w:fill="FFFFFF" w:themeFill="background1"/>
            <w:hideMark/>
          </w:tcPr>
          <w:p w14:paraId="72A0062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439.21</w:t>
            </w:r>
          </w:p>
        </w:tc>
        <w:tc>
          <w:tcPr>
            <w:tcW w:w="1616" w:type="dxa"/>
            <w:shd w:val="clear" w:color="auto" w:fill="FFFFFF" w:themeFill="background1"/>
            <w:hideMark/>
          </w:tcPr>
          <w:p w14:paraId="0019A7D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277.89</w:t>
            </w:r>
          </w:p>
        </w:tc>
        <w:tc>
          <w:tcPr>
            <w:tcW w:w="1661" w:type="dxa"/>
            <w:shd w:val="clear" w:color="auto" w:fill="FFFFFF" w:themeFill="background1"/>
            <w:hideMark/>
          </w:tcPr>
          <w:p w14:paraId="7348C5A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373.22</w:t>
            </w:r>
          </w:p>
        </w:tc>
        <w:tc>
          <w:tcPr>
            <w:tcW w:w="1465" w:type="dxa"/>
            <w:shd w:val="clear" w:color="auto" w:fill="FFFFFF" w:themeFill="background1"/>
            <w:hideMark/>
          </w:tcPr>
          <w:p w14:paraId="49D2D29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488.52</w:t>
            </w:r>
          </w:p>
        </w:tc>
        <w:tc>
          <w:tcPr>
            <w:tcW w:w="1112" w:type="dxa"/>
            <w:shd w:val="clear" w:color="auto" w:fill="FFFFFF" w:themeFill="background1"/>
          </w:tcPr>
          <w:p w14:paraId="37E599F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6CF24283" w14:textId="77777777" w:rsidTr="003E2334">
        <w:trPr>
          <w:trHeight w:val="682"/>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0D79A0F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Fe</w:t>
            </w:r>
          </w:p>
        </w:tc>
        <w:tc>
          <w:tcPr>
            <w:tcW w:w="1661" w:type="dxa"/>
            <w:shd w:val="clear" w:color="auto" w:fill="FFFFFF" w:themeFill="background1"/>
            <w:hideMark/>
          </w:tcPr>
          <w:p w14:paraId="0E208F9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70993.42</w:t>
            </w:r>
          </w:p>
        </w:tc>
        <w:tc>
          <w:tcPr>
            <w:tcW w:w="1616" w:type="dxa"/>
            <w:shd w:val="clear" w:color="auto" w:fill="FFFFFF" w:themeFill="background1"/>
            <w:hideMark/>
          </w:tcPr>
          <w:p w14:paraId="1230D99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50718.55</w:t>
            </w:r>
          </w:p>
        </w:tc>
        <w:tc>
          <w:tcPr>
            <w:tcW w:w="1661" w:type="dxa"/>
            <w:shd w:val="clear" w:color="auto" w:fill="FFFFFF" w:themeFill="background1"/>
            <w:hideMark/>
          </w:tcPr>
          <w:p w14:paraId="7717370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68210.1</w:t>
            </w:r>
          </w:p>
        </w:tc>
        <w:tc>
          <w:tcPr>
            <w:tcW w:w="1465" w:type="dxa"/>
            <w:shd w:val="clear" w:color="auto" w:fill="FFFFFF" w:themeFill="background1"/>
            <w:hideMark/>
          </w:tcPr>
          <w:p w14:paraId="50A655C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88381.3</w:t>
            </w:r>
          </w:p>
        </w:tc>
        <w:tc>
          <w:tcPr>
            <w:tcW w:w="1112" w:type="dxa"/>
            <w:shd w:val="clear" w:color="auto" w:fill="FFFFFF" w:themeFill="background1"/>
          </w:tcPr>
          <w:p w14:paraId="18360F3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03FBCAC0" w14:textId="77777777" w:rsidTr="003E2334">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4EE88C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lastRenderedPageBreak/>
              <w:t>Ga</w:t>
            </w:r>
          </w:p>
        </w:tc>
        <w:tc>
          <w:tcPr>
            <w:tcW w:w="1661" w:type="dxa"/>
            <w:shd w:val="clear" w:color="auto" w:fill="FFFFFF" w:themeFill="background1"/>
            <w:hideMark/>
          </w:tcPr>
          <w:p w14:paraId="6E016D5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75.27</w:t>
            </w:r>
          </w:p>
        </w:tc>
        <w:tc>
          <w:tcPr>
            <w:tcW w:w="1616" w:type="dxa"/>
            <w:shd w:val="clear" w:color="auto" w:fill="FFFFFF" w:themeFill="background1"/>
            <w:hideMark/>
          </w:tcPr>
          <w:p w14:paraId="47CC8DE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59.13</w:t>
            </w:r>
          </w:p>
        </w:tc>
        <w:tc>
          <w:tcPr>
            <w:tcW w:w="1661" w:type="dxa"/>
            <w:shd w:val="clear" w:color="auto" w:fill="FFFFFF" w:themeFill="background1"/>
            <w:hideMark/>
          </w:tcPr>
          <w:p w14:paraId="0D6CB4F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70.94</w:t>
            </w:r>
          </w:p>
        </w:tc>
        <w:tc>
          <w:tcPr>
            <w:tcW w:w="1465" w:type="dxa"/>
            <w:shd w:val="clear" w:color="auto" w:fill="FFFFFF" w:themeFill="background1"/>
            <w:hideMark/>
          </w:tcPr>
          <w:p w14:paraId="1E66CCE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88.85</w:t>
            </w:r>
          </w:p>
        </w:tc>
        <w:tc>
          <w:tcPr>
            <w:tcW w:w="1112" w:type="dxa"/>
            <w:shd w:val="clear" w:color="auto" w:fill="FFFFFF" w:themeFill="background1"/>
          </w:tcPr>
          <w:p w14:paraId="68CFB91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4BAD177D" w14:textId="77777777" w:rsidTr="003E2334">
        <w:trPr>
          <w:trHeight w:val="67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D9DC7B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Ge</w:t>
            </w:r>
          </w:p>
        </w:tc>
        <w:tc>
          <w:tcPr>
            <w:tcW w:w="1661" w:type="dxa"/>
            <w:shd w:val="clear" w:color="auto" w:fill="FFFFFF" w:themeFill="background1"/>
            <w:hideMark/>
          </w:tcPr>
          <w:p w14:paraId="5904B35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162.95</w:t>
            </w:r>
          </w:p>
        </w:tc>
        <w:tc>
          <w:tcPr>
            <w:tcW w:w="1616" w:type="dxa"/>
            <w:shd w:val="clear" w:color="auto" w:fill="FFFFFF" w:themeFill="background1"/>
            <w:hideMark/>
          </w:tcPr>
          <w:p w14:paraId="2461F3F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114.42</w:t>
            </w:r>
          </w:p>
        </w:tc>
        <w:tc>
          <w:tcPr>
            <w:tcW w:w="1661" w:type="dxa"/>
            <w:shd w:val="clear" w:color="auto" w:fill="FFFFFF" w:themeFill="background1"/>
            <w:hideMark/>
          </w:tcPr>
          <w:p w14:paraId="5CDA1EC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128.33</w:t>
            </w:r>
          </w:p>
        </w:tc>
        <w:tc>
          <w:tcPr>
            <w:tcW w:w="1465" w:type="dxa"/>
            <w:shd w:val="clear" w:color="auto" w:fill="FFFFFF" w:themeFill="background1"/>
            <w:hideMark/>
          </w:tcPr>
          <w:p w14:paraId="36DAB6E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139.48</w:t>
            </w:r>
          </w:p>
        </w:tc>
        <w:tc>
          <w:tcPr>
            <w:tcW w:w="1112" w:type="dxa"/>
            <w:shd w:val="clear" w:color="auto" w:fill="FFFFFF" w:themeFill="background1"/>
          </w:tcPr>
          <w:p w14:paraId="7FA72E6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69E88861" w14:textId="77777777" w:rsidTr="003E2334">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4A6AF50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Nb</w:t>
            </w:r>
          </w:p>
        </w:tc>
        <w:tc>
          <w:tcPr>
            <w:tcW w:w="1661" w:type="dxa"/>
            <w:shd w:val="clear" w:color="auto" w:fill="FFFFFF" w:themeFill="background1"/>
            <w:hideMark/>
          </w:tcPr>
          <w:p w14:paraId="044790A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11.32</w:t>
            </w:r>
          </w:p>
        </w:tc>
        <w:tc>
          <w:tcPr>
            <w:tcW w:w="1616" w:type="dxa"/>
            <w:shd w:val="clear" w:color="auto" w:fill="FFFFFF" w:themeFill="background1"/>
            <w:hideMark/>
          </w:tcPr>
          <w:p w14:paraId="4884E8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9.57</w:t>
            </w:r>
          </w:p>
        </w:tc>
        <w:tc>
          <w:tcPr>
            <w:tcW w:w="1661" w:type="dxa"/>
            <w:shd w:val="clear" w:color="auto" w:fill="FFFFFF" w:themeFill="background1"/>
            <w:hideMark/>
          </w:tcPr>
          <w:p w14:paraId="2DC9F9D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9.1</w:t>
            </w:r>
          </w:p>
        </w:tc>
        <w:tc>
          <w:tcPr>
            <w:tcW w:w="1465" w:type="dxa"/>
            <w:shd w:val="clear" w:color="auto" w:fill="FFFFFF" w:themeFill="background1"/>
            <w:hideMark/>
          </w:tcPr>
          <w:p w14:paraId="38820A9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12.39</w:t>
            </w:r>
          </w:p>
        </w:tc>
        <w:tc>
          <w:tcPr>
            <w:tcW w:w="1112" w:type="dxa"/>
            <w:shd w:val="clear" w:color="auto" w:fill="FFFFFF" w:themeFill="background1"/>
          </w:tcPr>
          <w:p w14:paraId="6FDC1A4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1FB2C3D1" w14:textId="77777777" w:rsidTr="003E2334">
        <w:trPr>
          <w:trHeight w:val="67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18C4DDD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Nd</w:t>
            </w:r>
          </w:p>
        </w:tc>
        <w:tc>
          <w:tcPr>
            <w:tcW w:w="1661" w:type="dxa"/>
            <w:shd w:val="clear" w:color="auto" w:fill="FFFFFF" w:themeFill="background1"/>
            <w:hideMark/>
          </w:tcPr>
          <w:p w14:paraId="537E2F9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17.19</w:t>
            </w:r>
          </w:p>
        </w:tc>
        <w:tc>
          <w:tcPr>
            <w:tcW w:w="1616" w:type="dxa"/>
            <w:shd w:val="clear" w:color="auto" w:fill="FFFFFF" w:themeFill="background1"/>
            <w:hideMark/>
          </w:tcPr>
          <w:p w14:paraId="2AF52C3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12.35</w:t>
            </w:r>
          </w:p>
        </w:tc>
        <w:tc>
          <w:tcPr>
            <w:tcW w:w="1661" w:type="dxa"/>
            <w:shd w:val="clear" w:color="auto" w:fill="FFFFFF" w:themeFill="background1"/>
            <w:hideMark/>
          </w:tcPr>
          <w:p w14:paraId="1AAF25A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15.58</w:t>
            </w:r>
          </w:p>
        </w:tc>
        <w:tc>
          <w:tcPr>
            <w:tcW w:w="1465" w:type="dxa"/>
            <w:shd w:val="clear" w:color="auto" w:fill="FFFFFF" w:themeFill="background1"/>
            <w:hideMark/>
          </w:tcPr>
          <w:p w14:paraId="4C45784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18.17</w:t>
            </w:r>
          </w:p>
        </w:tc>
        <w:tc>
          <w:tcPr>
            <w:tcW w:w="1112" w:type="dxa"/>
            <w:shd w:val="clear" w:color="auto" w:fill="FFFFFF" w:themeFill="background1"/>
          </w:tcPr>
          <w:p w14:paraId="2023FD2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1BAB4729" w14:textId="77777777" w:rsidTr="003E2334">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80EE0D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Pb</w:t>
            </w:r>
          </w:p>
        </w:tc>
        <w:tc>
          <w:tcPr>
            <w:tcW w:w="1661" w:type="dxa"/>
            <w:shd w:val="clear" w:color="auto" w:fill="FFFFFF" w:themeFill="background1"/>
            <w:hideMark/>
          </w:tcPr>
          <w:p w14:paraId="5DD3C57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3435.49</w:t>
            </w:r>
          </w:p>
        </w:tc>
        <w:tc>
          <w:tcPr>
            <w:tcW w:w="1616" w:type="dxa"/>
            <w:shd w:val="clear" w:color="auto" w:fill="FFFFFF" w:themeFill="background1"/>
            <w:hideMark/>
          </w:tcPr>
          <w:p w14:paraId="204B0C4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2458.65</w:t>
            </w:r>
          </w:p>
        </w:tc>
        <w:tc>
          <w:tcPr>
            <w:tcW w:w="1661" w:type="dxa"/>
            <w:shd w:val="clear" w:color="auto" w:fill="FFFFFF" w:themeFill="background1"/>
            <w:hideMark/>
          </w:tcPr>
          <w:p w14:paraId="7A237D9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3462.89</w:t>
            </w:r>
          </w:p>
        </w:tc>
        <w:tc>
          <w:tcPr>
            <w:tcW w:w="1465" w:type="dxa"/>
            <w:shd w:val="clear" w:color="auto" w:fill="FFFFFF" w:themeFill="background1"/>
            <w:hideMark/>
          </w:tcPr>
          <w:p w14:paraId="3E95528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3931.67</w:t>
            </w:r>
          </w:p>
        </w:tc>
        <w:tc>
          <w:tcPr>
            <w:tcW w:w="1112" w:type="dxa"/>
            <w:shd w:val="clear" w:color="auto" w:fill="FFFFFF" w:themeFill="background1"/>
          </w:tcPr>
          <w:p w14:paraId="018D0FF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76411F8D" w14:textId="77777777" w:rsidTr="003E2334">
        <w:trPr>
          <w:trHeight w:val="672"/>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14D5B91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w:t>
            </w:r>
          </w:p>
        </w:tc>
        <w:tc>
          <w:tcPr>
            <w:tcW w:w="1661" w:type="dxa"/>
            <w:shd w:val="clear" w:color="auto" w:fill="FFFFFF" w:themeFill="background1"/>
            <w:hideMark/>
          </w:tcPr>
          <w:p w14:paraId="662AEB2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588994.71</w:t>
            </w:r>
          </w:p>
        </w:tc>
        <w:tc>
          <w:tcPr>
            <w:tcW w:w="1616" w:type="dxa"/>
            <w:shd w:val="clear" w:color="auto" w:fill="FFFFFF" w:themeFill="background1"/>
            <w:hideMark/>
          </w:tcPr>
          <w:p w14:paraId="178D25E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447490.1</w:t>
            </w:r>
          </w:p>
        </w:tc>
        <w:tc>
          <w:tcPr>
            <w:tcW w:w="1661" w:type="dxa"/>
            <w:shd w:val="clear" w:color="auto" w:fill="FFFFFF" w:themeFill="background1"/>
            <w:hideMark/>
          </w:tcPr>
          <w:p w14:paraId="1CF3FD8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577821.83</w:t>
            </w:r>
          </w:p>
        </w:tc>
        <w:tc>
          <w:tcPr>
            <w:tcW w:w="1465" w:type="dxa"/>
            <w:shd w:val="clear" w:color="auto" w:fill="FFFFFF" w:themeFill="background1"/>
            <w:hideMark/>
          </w:tcPr>
          <w:p w14:paraId="5751685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665171.20</w:t>
            </w:r>
          </w:p>
        </w:tc>
        <w:tc>
          <w:tcPr>
            <w:tcW w:w="1112" w:type="dxa"/>
            <w:shd w:val="clear" w:color="auto" w:fill="FFFFFF" w:themeFill="background1"/>
          </w:tcPr>
          <w:p w14:paraId="691C1AE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0E5D371D" w14:textId="77777777" w:rsidTr="003E2334">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3B646C4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Sr</w:t>
            </w:r>
          </w:p>
        </w:tc>
        <w:tc>
          <w:tcPr>
            <w:tcW w:w="1661" w:type="dxa"/>
            <w:shd w:val="clear" w:color="auto" w:fill="FFFFFF" w:themeFill="background1"/>
            <w:hideMark/>
          </w:tcPr>
          <w:p w14:paraId="169B4DB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1066.13</w:t>
            </w:r>
          </w:p>
        </w:tc>
        <w:tc>
          <w:tcPr>
            <w:tcW w:w="1616" w:type="dxa"/>
            <w:shd w:val="clear" w:color="auto" w:fill="FFFFFF" w:themeFill="background1"/>
            <w:hideMark/>
          </w:tcPr>
          <w:p w14:paraId="5F004DF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838.51</w:t>
            </w:r>
          </w:p>
        </w:tc>
        <w:tc>
          <w:tcPr>
            <w:tcW w:w="1661" w:type="dxa"/>
            <w:shd w:val="clear" w:color="auto" w:fill="FFFFFF" w:themeFill="background1"/>
            <w:hideMark/>
          </w:tcPr>
          <w:p w14:paraId="29BC3F0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1039.24</w:t>
            </w:r>
          </w:p>
        </w:tc>
        <w:tc>
          <w:tcPr>
            <w:tcW w:w="1465" w:type="dxa"/>
            <w:shd w:val="clear" w:color="auto" w:fill="FFFFFF" w:themeFill="background1"/>
            <w:hideMark/>
          </w:tcPr>
          <w:p w14:paraId="35CA7C6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1189.73</w:t>
            </w:r>
          </w:p>
        </w:tc>
        <w:tc>
          <w:tcPr>
            <w:tcW w:w="1112" w:type="dxa"/>
            <w:shd w:val="clear" w:color="auto" w:fill="FFFFFF" w:themeFill="background1"/>
          </w:tcPr>
          <w:p w14:paraId="34146B1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01A58D49" w14:textId="77777777" w:rsidTr="003E2334">
        <w:trPr>
          <w:trHeight w:val="66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917FA4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Zn</w:t>
            </w:r>
          </w:p>
        </w:tc>
        <w:tc>
          <w:tcPr>
            <w:tcW w:w="1661" w:type="dxa"/>
            <w:shd w:val="clear" w:color="auto" w:fill="FFFFFF" w:themeFill="background1"/>
            <w:hideMark/>
          </w:tcPr>
          <w:p w14:paraId="17E925C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0.998</w:t>
            </w:r>
          </w:p>
        </w:tc>
        <w:tc>
          <w:tcPr>
            <w:tcW w:w="1616" w:type="dxa"/>
            <w:shd w:val="clear" w:color="auto" w:fill="FFFFFF" w:themeFill="background1"/>
            <w:hideMark/>
          </w:tcPr>
          <w:p w14:paraId="6659F3D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1.431</w:t>
            </w:r>
          </w:p>
        </w:tc>
        <w:tc>
          <w:tcPr>
            <w:tcW w:w="1661" w:type="dxa"/>
            <w:shd w:val="clear" w:color="auto" w:fill="FFFFFF" w:themeFill="background1"/>
            <w:hideMark/>
          </w:tcPr>
          <w:p w14:paraId="23EB743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2.031</w:t>
            </w:r>
          </w:p>
        </w:tc>
        <w:tc>
          <w:tcPr>
            <w:tcW w:w="1465" w:type="dxa"/>
            <w:shd w:val="clear" w:color="auto" w:fill="FFFFFF" w:themeFill="background1"/>
            <w:hideMark/>
          </w:tcPr>
          <w:p w14:paraId="1AD5386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1.7</w:t>
            </w:r>
          </w:p>
        </w:tc>
        <w:tc>
          <w:tcPr>
            <w:tcW w:w="1112" w:type="dxa"/>
            <w:shd w:val="clear" w:color="auto" w:fill="FFFFFF" w:themeFill="background1"/>
          </w:tcPr>
          <w:p w14:paraId="00E238B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391447E3" w14:textId="77777777" w:rsidTr="003E2334">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4729D8B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Cd</w:t>
            </w:r>
          </w:p>
        </w:tc>
        <w:tc>
          <w:tcPr>
            <w:tcW w:w="1661" w:type="dxa"/>
            <w:shd w:val="clear" w:color="auto" w:fill="FFFFFF" w:themeFill="background1"/>
            <w:hideMark/>
          </w:tcPr>
          <w:p w14:paraId="2B6C272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0.0032</w:t>
            </w:r>
          </w:p>
        </w:tc>
        <w:tc>
          <w:tcPr>
            <w:tcW w:w="1616" w:type="dxa"/>
            <w:shd w:val="clear" w:color="auto" w:fill="FFFFFF" w:themeFill="background1"/>
            <w:hideMark/>
          </w:tcPr>
          <w:p w14:paraId="6F27E58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0.0016</w:t>
            </w:r>
          </w:p>
        </w:tc>
        <w:tc>
          <w:tcPr>
            <w:tcW w:w="1661" w:type="dxa"/>
            <w:shd w:val="clear" w:color="auto" w:fill="FFFFFF" w:themeFill="background1"/>
            <w:hideMark/>
          </w:tcPr>
          <w:p w14:paraId="689C5EE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0.0047</w:t>
            </w:r>
          </w:p>
        </w:tc>
        <w:tc>
          <w:tcPr>
            <w:tcW w:w="1465" w:type="dxa"/>
            <w:shd w:val="clear" w:color="auto" w:fill="FFFFFF" w:themeFill="background1"/>
            <w:hideMark/>
          </w:tcPr>
          <w:p w14:paraId="51F0AF7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0.0041</w:t>
            </w:r>
          </w:p>
        </w:tc>
        <w:tc>
          <w:tcPr>
            <w:tcW w:w="1112" w:type="dxa"/>
            <w:shd w:val="clear" w:color="auto" w:fill="FFFFFF" w:themeFill="background1"/>
          </w:tcPr>
          <w:p w14:paraId="1989086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bl>
    <w:p w14:paraId="5A169B97" w14:textId="77777777" w:rsidR="00E66205" w:rsidRPr="00E66205" w:rsidRDefault="00E66205" w:rsidP="00E66205">
      <w:pPr>
        <w:spacing w:line="360" w:lineRule="auto"/>
        <w:jc w:val="both"/>
        <w:rPr>
          <w:rFonts w:ascii="Arial" w:hAnsi="Arial" w:cs="Arial"/>
        </w:rPr>
      </w:pPr>
    </w:p>
    <w:p w14:paraId="305BDEAD" w14:textId="77777777" w:rsidR="00E66205" w:rsidRPr="00E66205" w:rsidRDefault="00E66205" w:rsidP="00E66205">
      <w:pPr>
        <w:spacing w:line="360" w:lineRule="auto"/>
        <w:jc w:val="both"/>
        <w:rPr>
          <w:rFonts w:ascii="Arial" w:hAnsi="Arial" w:cs="Arial"/>
        </w:rPr>
      </w:pPr>
    </w:p>
    <w:p w14:paraId="4F7A5F20"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4. Results of metal analyses for basin B in ppm</w:t>
      </w:r>
    </w:p>
    <w:tbl>
      <w:tblPr>
        <w:tblStyle w:val="ListTable6Colorful"/>
        <w:tblW w:w="9214" w:type="dxa"/>
        <w:tblInd w:w="-142" w:type="dxa"/>
        <w:tblBorders>
          <w:insideH w:val="single" w:sz="4" w:space="0" w:color="auto"/>
        </w:tblBorders>
        <w:shd w:val="clear" w:color="auto" w:fill="FFFFFF" w:themeFill="background1"/>
        <w:tblLook w:val="04A0" w:firstRow="1" w:lastRow="0" w:firstColumn="1" w:lastColumn="0" w:noHBand="0" w:noVBand="1"/>
      </w:tblPr>
      <w:tblGrid>
        <w:gridCol w:w="1611"/>
        <w:gridCol w:w="1509"/>
        <w:gridCol w:w="1637"/>
        <w:gridCol w:w="1745"/>
        <w:gridCol w:w="1540"/>
        <w:gridCol w:w="1172"/>
      </w:tblGrid>
      <w:tr w:rsidR="00E66205" w:rsidRPr="00E66205" w14:paraId="1C703BC4" w14:textId="77777777" w:rsidTr="003E2334">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24A02505" w14:textId="77777777" w:rsidR="00E66205" w:rsidRPr="00E66205" w:rsidRDefault="00E66205" w:rsidP="003E2334">
            <w:pPr>
              <w:spacing w:line="360" w:lineRule="auto"/>
              <w:jc w:val="both"/>
              <w:rPr>
                <w:rFonts w:ascii="Arial" w:hAnsi="Arial" w:cs="Arial"/>
                <w:b w:val="0"/>
                <w:bCs w:val="0"/>
                <w:color w:val="auto"/>
                <w:sz w:val="20"/>
                <w:szCs w:val="20"/>
              </w:rPr>
            </w:pPr>
            <w:r w:rsidRPr="00E66205">
              <w:rPr>
                <w:rFonts w:ascii="Arial" w:hAnsi="Arial" w:cs="Arial"/>
                <w:color w:val="auto"/>
                <w:sz w:val="20"/>
                <w:szCs w:val="20"/>
              </w:rPr>
              <w:t>Metal (ppm)</w:t>
            </w:r>
          </w:p>
        </w:tc>
        <w:tc>
          <w:tcPr>
            <w:tcW w:w="1559" w:type="dxa"/>
            <w:shd w:val="clear" w:color="auto" w:fill="FFFFFF" w:themeFill="background1"/>
            <w:vAlign w:val="center"/>
            <w:hideMark/>
          </w:tcPr>
          <w:p w14:paraId="2EB8F4DA"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BB1</w:t>
            </w:r>
          </w:p>
        </w:tc>
        <w:tc>
          <w:tcPr>
            <w:tcW w:w="1701" w:type="dxa"/>
            <w:shd w:val="clear" w:color="auto" w:fill="FFFFFF" w:themeFill="background1"/>
            <w:vAlign w:val="center"/>
            <w:hideMark/>
          </w:tcPr>
          <w:p w14:paraId="08962657"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BB2</w:t>
            </w:r>
          </w:p>
        </w:tc>
        <w:tc>
          <w:tcPr>
            <w:tcW w:w="1833" w:type="dxa"/>
            <w:shd w:val="clear" w:color="auto" w:fill="FFFFFF" w:themeFill="background1"/>
            <w:vAlign w:val="center"/>
            <w:hideMark/>
          </w:tcPr>
          <w:p w14:paraId="0349949A"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BB3</w:t>
            </w:r>
          </w:p>
        </w:tc>
        <w:tc>
          <w:tcPr>
            <w:tcW w:w="1606" w:type="dxa"/>
            <w:shd w:val="clear" w:color="auto" w:fill="FFFFFF" w:themeFill="background1"/>
            <w:vAlign w:val="center"/>
            <w:hideMark/>
          </w:tcPr>
          <w:p w14:paraId="38D685E1"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BB4</w:t>
            </w:r>
          </w:p>
        </w:tc>
        <w:tc>
          <w:tcPr>
            <w:tcW w:w="813" w:type="dxa"/>
            <w:shd w:val="clear" w:color="auto" w:fill="FFFFFF" w:themeFill="background1"/>
            <w:vAlign w:val="center"/>
            <w:hideMark/>
          </w:tcPr>
          <w:p w14:paraId="18DAC97B"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WHO standards /Burkina Faso</w:t>
            </w:r>
          </w:p>
        </w:tc>
      </w:tr>
      <w:tr w:rsidR="00E66205" w:rsidRPr="00E66205" w14:paraId="15DC1CD4" w14:textId="77777777" w:rsidTr="003E2334">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8B19E01"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As</w:t>
            </w:r>
          </w:p>
        </w:tc>
        <w:tc>
          <w:tcPr>
            <w:tcW w:w="1559" w:type="dxa"/>
            <w:shd w:val="clear" w:color="auto" w:fill="FFFFFF" w:themeFill="background1"/>
            <w:vAlign w:val="center"/>
            <w:hideMark/>
          </w:tcPr>
          <w:p w14:paraId="710750F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eastAsia="Times New Roman" w:hAnsi="Arial" w:cs="Arial"/>
                <w:color w:val="auto"/>
                <w:sz w:val="20"/>
                <w:szCs w:val="20"/>
                <w:lang w:eastAsia="fr-FR"/>
              </w:rPr>
              <w:t>37.69</w:t>
            </w:r>
          </w:p>
        </w:tc>
        <w:tc>
          <w:tcPr>
            <w:tcW w:w="1701" w:type="dxa"/>
            <w:shd w:val="clear" w:color="auto" w:fill="FFFFFF" w:themeFill="background1"/>
            <w:vAlign w:val="center"/>
            <w:hideMark/>
          </w:tcPr>
          <w:p w14:paraId="40BB2F2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eastAsia="Times New Roman" w:hAnsi="Arial" w:cs="Arial"/>
                <w:color w:val="auto"/>
                <w:sz w:val="20"/>
                <w:szCs w:val="20"/>
                <w:lang w:eastAsia="fr-FR"/>
              </w:rPr>
              <w:t>40.75</w:t>
            </w:r>
          </w:p>
        </w:tc>
        <w:tc>
          <w:tcPr>
            <w:tcW w:w="1833" w:type="dxa"/>
            <w:shd w:val="clear" w:color="auto" w:fill="FFFFFF" w:themeFill="background1"/>
            <w:vAlign w:val="center"/>
            <w:hideMark/>
          </w:tcPr>
          <w:p w14:paraId="680D20B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39.45</w:t>
            </w:r>
          </w:p>
        </w:tc>
        <w:tc>
          <w:tcPr>
            <w:tcW w:w="1606" w:type="dxa"/>
            <w:shd w:val="clear" w:color="auto" w:fill="FFFFFF" w:themeFill="background1"/>
            <w:vAlign w:val="center"/>
            <w:hideMark/>
          </w:tcPr>
          <w:p w14:paraId="5AAD111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eastAsia="Times New Roman" w:hAnsi="Arial" w:cs="Arial"/>
                <w:color w:val="auto"/>
                <w:sz w:val="20"/>
                <w:szCs w:val="20"/>
                <w:lang w:eastAsia="fr-FR"/>
              </w:rPr>
              <w:t>42.24</w:t>
            </w:r>
          </w:p>
        </w:tc>
        <w:tc>
          <w:tcPr>
            <w:tcW w:w="813" w:type="dxa"/>
            <w:shd w:val="clear" w:color="auto" w:fill="FFFFFF" w:themeFill="background1"/>
            <w:vAlign w:val="center"/>
            <w:hideMark/>
          </w:tcPr>
          <w:p w14:paraId="3C75FF9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fr-FR"/>
              </w:rPr>
            </w:pPr>
            <w:r w:rsidRPr="00E66205">
              <w:rPr>
                <w:rFonts w:ascii="Arial" w:eastAsia="Times New Roman" w:hAnsi="Arial" w:cs="Arial"/>
                <w:color w:val="auto"/>
                <w:sz w:val="20"/>
                <w:szCs w:val="20"/>
                <w:lang w:eastAsia="fr-FR"/>
              </w:rPr>
              <w:t>1</w:t>
            </w:r>
          </w:p>
        </w:tc>
      </w:tr>
      <w:tr w:rsidR="00E66205" w:rsidRPr="00E66205" w14:paraId="7D928E2C" w14:textId="77777777" w:rsidTr="003E2334">
        <w:trPr>
          <w:trHeight w:val="606"/>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384AAEFB"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Ba</w:t>
            </w:r>
          </w:p>
        </w:tc>
        <w:tc>
          <w:tcPr>
            <w:tcW w:w="1559" w:type="dxa"/>
            <w:shd w:val="clear" w:color="auto" w:fill="FFFFFF" w:themeFill="background1"/>
            <w:vAlign w:val="center"/>
            <w:hideMark/>
          </w:tcPr>
          <w:p w14:paraId="2427B55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374.11</w:t>
            </w:r>
          </w:p>
        </w:tc>
        <w:tc>
          <w:tcPr>
            <w:tcW w:w="1701" w:type="dxa"/>
            <w:shd w:val="clear" w:color="auto" w:fill="FFFFFF" w:themeFill="background1"/>
            <w:vAlign w:val="center"/>
            <w:hideMark/>
          </w:tcPr>
          <w:p w14:paraId="2264A28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379.18</w:t>
            </w:r>
          </w:p>
        </w:tc>
        <w:tc>
          <w:tcPr>
            <w:tcW w:w="1833" w:type="dxa"/>
            <w:shd w:val="clear" w:color="auto" w:fill="FFFFFF" w:themeFill="background1"/>
            <w:vAlign w:val="center"/>
            <w:hideMark/>
          </w:tcPr>
          <w:p w14:paraId="09BABE7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379.97</w:t>
            </w:r>
          </w:p>
        </w:tc>
        <w:tc>
          <w:tcPr>
            <w:tcW w:w="1606" w:type="dxa"/>
            <w:shd w:val="clear" w:color="auto" w:fill="FFFFFF" w:themeFill="background1"/>
            <w:vAlign w:val="center"/>
            <w:hideMark/>
          </w:tcPr>
          <w:p w14:paraId="5C291339"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267.39</w:t>
            </w:r>
          </w:p>
        </w:tc>
        <w:tc>
          <w:tcPr>
            <w:tcW w:w="813" w:type="dxa"/>
            <w:shd w:val="clear" w:color="auto" w:fill="FFFFFF" w:themeFill="background1"/>
            <w:vAlign w:val="center"/>
          </w:tcPr>
          <w:p w14:paraId="2ED35C8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015AE2D2" w14:textId="77777777" w:rsidTr="003E2334">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7A651EF9"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Be</w:t>
            </w:r>
          </w:p>
        </w:tc>
        <w:tc>
          <w:tcPr>
            <w:tcW w:w="1559" w:type="dxa"/>
            <w:shd w:val="clear" w:color="auto" w:fill="FFFFFF" w:themeFill="background1"/>
            <w:vAlign w:val="center"/>
            <w:hideMark/>
          </w:tcPr>
          <w:p w14:paraId="1462335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0.01</w:t>
            </w:r>
          </w:p>
        </w:tc>
        <w:tc>
          <w:tcPr>
            <w:tcW w:w="1701" w:type="dxa"/>
            <w:shd w:val="clear" w:color="auto" w:fill="FFFFFF" w:themeFill="background1"/>
            <w:vAlign w:val="center"/>
            <w:hideMark/>
          </w:tcPr>
          <w:p w14:paraId="165948D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0.008</w:t>
            </w:r>
          </w:p>
        </w:tc>
        <w:tc>
          <w:tcPr>
            <w:tcW w:w="1833" w:type="dxa"/>
            <w:shd w:val="clear" w:color="auto" w:fill="FFFFFF" w:themeFill="background1"/>
            <w:vAlign w:val="center"/>
            <w:hideMark/>
          </w:tcPr>
          <w:p w14:paraId="7A4BE93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0.01</w:t>
            </w:r>
          </w:p>
        </w:tc>
        <w:tc>
          <w:tcPr>
            <w:tcW w:w="1606" w:type="dxa"/>
            <w:shd w:val="clear" w:color="auto" w:fill="FFFFFF" w:themeFill="background1"/>
            <w:vAlign w:val="center"/>
            <w:hideMark/>
          </w:tcPr>
          <w:p w14:paraId="4D3FF5D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0.01</w:t>
            </w:r>
          </w:p>
        </w:tc>
        <w:tc>
          <w:tcPr>
            <w:tcW w:w="813" w:type="dxa"/>
            <w:shd w:val="clear" w:color="auto" w:fill="FFFFFF" w:themeFill="background1"/>
            <w:vAlign w:val="center"/>
          </w:tcPr>
          <w:p w14:paraId="29C839B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2F068285" w14:textId="77777777" w:rsidTr="003E2334">
        <w:trPr>
          <w:trHeight w:val="584"/>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6BC54C1"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Cu</w:t>
            </w:r>
          </w:p>
        </w:tc>
        <w:tc>
          <w:tcPr>
            <w:tcW w:w="1559" w:type="dxa"/>
            <w:shd w:val="clear" w:color="auto" w:fill="FFFFFF" w:themeFill="background1"/>
            <w:vAlign w:val="center"/>
            <w:hideMark/>
          </w:tcPr>
          <w:p w14:paraId="520C280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306.41</w:t>
            </w:r>
          </w:p>
        </w:tc>
        <w:tc>
          <w:tcPr>
            <w:tcW w:w="1701" w:type="dxa"/>
            <w:shd w:val="clear" w:color="auto" w:fill="FFFFFF" w:themeFill="background1"/>
            <w:vAlign w:val="center"/>
            <w:hideMark/>
          </w:tcPr>
          <w:p w14:paraId="3767CD6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294.31</w:t>
            </w:r>
          </w:p>
        </w:tc>
        <w:tc>
          <w:tcPr>
            <w:tcW w:w="1833" w:type="dxa"/>
            <w:shd w:val="clear" w:color="auto" w:fill="FFFFFF" w:themeFill="background1"/>
            <w:vAlign w:val="center"/>
            <w:hideMark/>
          </w:tcPr>
          <w:p w14:paraId="243F9D2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251.29</w:t>
            </w:r>
          </w:p>
        </w:tc>
        <w:tc>
          <w:tcPr>
            <w:tcW w:w="1606" w:type="dxa"/>
            <w:shd w:val="clear" w:color="auto" w:fill="FFFFFF" w:themeFill="background1"/>
            <w:vAlign w:val="center"/>
            <w:hideMark/>
          </w:tcPr>
          <w:p w14:paraId="377D4FA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139.89</w:t>
            </w:r>
          </w:p>
        </w:tc>
        <w:tc>
          <w:tcPr>
            <w:tcW w:w="813" w:type="dxa"/>
            <w:shd w:val="clear" w:color="auto" w:fill="FFFFFF" w:themeFill="background1"/>
            <w:vAlign w:val="center"/>
            <w:hideMark/>
          </w:tcPr>
          <w:p w14:paraId="5D660CD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0.6</w:t>
            </w:r>
          </w:p>
        </w:tc>
      </w:tr>
      <w:tr w:rsidR="00E66205" w:rsidRPr="00E66205" w14:paraId="791583F0" w14:textId="77777777" w:rsidTr="003E233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27CA04EE"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Ce</w:t>
            </w:r>
          </w:p>
        </w:tc>
        <w:tc>
          <w:tcPr>
            <w:tcW w:w="1559" w:type="dxa"/>
            <w:shd w:val="clear" w:color="auto" w:fill="FFFFFF" w:themeFill="background1"/>
            <w:vAlign w:val="center"/>
            <w:hideMark/>
          </w:tcPr>
          <w:p w14:paraId="0C2BE56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6.14</w:t>
            </w:r>
          </w:p>
        </w:tc>
        <w:tc>
          <w:tcPr>
            <w:tcW w:w="1701" w:type="dxa"/>
            <w:shd w:val="clear" w:color="auto" w:fill="FFFFFF" w:themeFill="background1"/>
            <w:vAlign w:val="center"/>
            <w:hideMark/>
          </w:tcPr>
          <w:p w14:paraId="0B0D143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5.84</w:t>
            </w:r>
          </w:p>
        </w:tc>
        <w:tc>
          <w:tcPr>
            <w:tcW w:w="1833" w:type="dxa"/>
            <w:shd w:val="clear" w:color="auto" w:fill="FFFFFF" w:themeFill="background1"/>
            <w:vAlign w:val="center"/>
            <w:hideMark/>
          </w:tcPr>
          <w:p w14:paraId="0FCE1DE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4.4</w:t>
            </w:r>
          </w:p>
        </w:tc>
        <w:tc>
          <w:tcPr>
            <w:tcW w:w="1606" w:type="dxa"/>
            <w:shd w:val="clear" w:color="auto" w:fill="FFFFFF" w:themeFill="background1"/>
            <w:vAlign w:val="center"/>
            <w:hideMark/>
          </w:tcPr>
          <w:p w14:paraId="715D4A0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3.21</w:t>
            </w:r>
          </w:p>
        </w:tc>
        <w:tc>
          <w:tcPr>
            <w:tcW w:w="813" w:type="dxa"/>
            <w:shd w:val="clear" w:color="auto" w:fill="FFFFFF" w:themeFill="background1"/>
            <w:vAlign w:val="center"/>
          </w:tcPr>
          <w:p w14:paraId="22ECFF9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64A99B04" w14:textId="77777777" w:rsidTr="003E2334">
        <w:trPr>
          <w:trHeight w:val="602"/>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497390B6"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Co</w:t>
            </w:r>
          </w:p>
        </w:tc>
        <w:tc>
          <w:tcPr>
            <w:tcW w:w="1559" w:type="dxa"/>
            <w:shd w:val="clear" w:color="auto" w:fill="FFFFFF" w:themeFill="background1"/>
            <w:vAlign w:val="center"/>
            <w:hideMark/>
          </w:tcPr>
          <w:p w14:paraId="7183802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8.26</w:t>
            </w:r>
          </w:p>
        </w:tc>
        <w:tc>
          <w:tcPr>
            <w:tcW w:w="1701" w:type="dxa"/>
            <w:shd w:val="clear" w:color="auto" w:fill="FFFFFF" w:themeFill="background1"/>
            <w:vAlign w:val="center"/>
            <w:hideMark/>
          </w:tcPr>
          <w:p w14:paraId="5CD7BFB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9.62</w:t>
            </w:r>
          </w:p>
        </w:tc>
        <w:tc>
          <w:tcPr>
            <w:tcW w:w="1833" w:type="dxa"/>
            <w:shd w:val="clear" w:color="auto" w:fill="FFFFFF" w:themeFill="background1"/>
            <w:vAlign w:val="center"/>
            <w:hideMark/>
          </w:tcPr>
          <w:p w14:paraId="5BE3ADC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6.9</w:t>
            </w:r>
          </w:p>
        </w:tc>
        <w:tc>
          <w:tcPr>
            <w:tcW w:w="1606" w:type="dxa"/>
            <w:shd w:val="clear" w:color="auto" w:fill="FFFFFF" w:themeFill="background1"/>
            <w:vAlign w:val="center"/>
            <w:hideMark/>
          </w:tcPr>
          <w:p w14:paraId="488E3EE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6.96</w:t>
            </w:r>
          </w:p>
        </w:tc>
        <w:tc>
          <w:tcPr>
            <w:tcW w:w="813" w:type="dxa"/>
            <w:shd w:val="clear" w:color="auto" w:fill="FFFFFF" w:themeFill="background1"/>
            <w:vAlign w:val="center"/>
          </w:tcPr>
          <w:p w14:paraId="1410D43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1F381CD2" w14:textId="77777777" w:rsidTr="003E233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59ACD745"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lastRenderedPageBreak/>
              <w:t>Cr</w:t>
            </w:r>
          </w:p>
        </w:tc>
        <w:tc>
          <w:tcPr>
            <w:tcW w:w="1559" w:type="dxa"/>
            <w:shd w:val="clear" w:color="auto" w:fill="FFFFFF" w:themeFill="background1"/>
            <w:vAlign w:val="center"/>
            <w:hideMark/>
          </w:tcPr>
          <w:p w14:paraId="56CB64B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118.63</w:t>
            </w:r>
          </w:p>
        </w:tc>
        <w:tc>
          <w:tcPr>
            <w:tcW w:w="1701" w:type="dxa"/>
            <w:shd w:val="clear" w:color="auto" w:fill="FFFFFF" w:themeFill="background1"/>
            <w:vAlign w:val="center"/>
            <w:hideMark/>
          </w:tcPr>
          <w:p w14:paraId="53E34A2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119.21</w:t>
            </w:r>
          </w:p>
        </w:tc>
        <w:tc>
          <w:tcPr>
            <w:tcW w:w="1833" w:type="dxa"/>
            <w:shd w:val="clear" w:color="auto" w:fill="FFFFFF" w:themeFill="background1"/>
            <w:vAlign w:val="center"/>
            <w:hideMark/>
          </w:tcPr>
          <w:p w14:paraId="51A057D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103.5</w:t>
            </w:r>
          </w:p>
        </w:tc>
        <w:tc>
          <w:tcPr>
            <w:tcW w:w="1606" w:type="dxa"/>
            <w:shd w:val="clear" w:color="auto" w:fill="FFFFFF" w:themeFill="background1"/>
            <w:vAlign w:val="center"/>
            <w:hideMark/>
          </w:tcPr>
          <w:p w14:paraId="0F56AA4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55.63</w:t>
            </w:r>
          </w:p>
        </w:tc>
        <w:tc>
          <w:tcPr>
            <w:tcW w:w="813" w:type="dxa"/>
            <w:shd w:val="clear" w:color="auto" w:fill="FFFFFF" w:themeFill="background1"/>
            <w:vAlign w:val="center"/>
            <w:hideMark/>
          </w:tcPr>
          <w:p w14:paraId="0ACE163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0.1</w:t>
            </w:r>
          </w:p>
        </w:tc>
      </w:tr>
      <w:tr w:rsidR="00E66205" w:rsidRPr="00E66205" w14:paraId="1D1DB5BA" w14:textId="77777777" w:rsidTr="003E2334">
        <w:trPr>
          <w:trHeight w:val="598"/>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46B66507"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Fe</w:t>
            </w:r>
          </w:p>
        </w:tc>
        <w:tc>
          <w:tcPr>
            <w:tcW w:w="1559" w:type="dxa"/>
            <w:shd w:val="clear" w:color="auto" w:fill="FFFFFF" w:themeFill="background1"/>
            <w:vAlign w:val="center"/>
            <w:hideMark/>
          </w:tcPr>
          <w:p w14:paraId="5E4E94F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2434.09</w:t>
            </w:r>
          </w:p>
        </w:tc>
        <w:tc>
          <w:tcPr>
            <w:tcW w:w="1701" w:type="dxa"/>
            <w:shd w:val="clear" w:color="auto" w:fill="FFFFFF" w:themeFill="background1"/>
            <w:vAlign w:val="center"/>
            <w:hideMark/>
          </w:tcPr>
          <w:p w14:paraId="07B6606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3496.6</w:t>
            </w:r>
          </w:p>
        </w:tc>
        <w:tc>
          <w:tcPr>
            <w:tcW w:w="1833" w:type="dxa"/>
            <w:shd w:val="clear" w:color="auto" w:fill="FFFFFF" w:themeFill="background1"/>
            <w:vAlign w:val="center"/>
            <w:hideMark/>
          </w:tcPr>
          <w:p w14:paraId="7A9D865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2919.3</w:t>
            </w:r>
          </w:p>
        </w:tc>
        <w:tc>
          <w:tcPr>
            <w:tcW w:w="1606" w:type="dxa"/>
            <w:shd w:val="clear" w:color="auto" w:fill="FFFFFF" w:themeFill="background1"/>
            <w:vAlign w:val="center"/>
            <w:hideMark/>
          </w:tcPr>
          <w:p w14:paraId="0836BA0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1430.3</w:t>
            </w:r>
          </w:p>
        </w:tc>
        <w:tc>
          <w:tcPr>
            <w:tcW w:w="813" w:type="dxa"/>
            <w:shd w:val="clear" w:color="auto" w:fill="FFFFFF" w:themeFill="background1"/>
            <w:vAlign w:val="center"/>
            <w:hideMark/>
          </w:tcPr>
          <w:p w14:paraId="368B67E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206.0</w:t>
            </w:r>
          </w:p>
        </w:tc>
      </w:tr>
      <w:tr w:rsidR="00E66205" w:rsidRPr="00E66205" w14:paraId="33487AC0" w14:textId="77777777" w:rsidTr="003E23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7D16BE0"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Ga</w:t>
            </w:r>
          </w:p>
        </w:tc>
        <w:tc>
          <w:tcPr>
            <w:tcW w:w="1559" w:type="dxa"/>
            <w:shd w:val="clear" w:color="auto" w:fill="FFFFFF" w:themeFill="background1"/>
            <w:vAlign w:val="center"/>
            <w:hideMark/>
          </w:tcPr>
          <w:p w14:paraId="582438E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0.07</w:t>
            </w:r>
          </w:p>
        </w:tc>
        <w:tc>
          <w:tcPr>
            <w:tcW w:w="1701" w:type="dxa"/>
            <w:shd w:val="clear" w:color="auto" w:fill="FFFFFF" w:themeFill="background1"/>
            <w:vAlign w:val="center"/>
            <w:hideMark/>
          </w:tcPr>
          <w:p w14:paraId="00A7EF8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2.29</w:t>
            </w:r>
          </w:p>
        </w:tc>
        <w:tc>
          <w:tcPr>
            <w:tcW w:w="1833" w:type="dxa"/>
            <w:shd w:val="clear" w:color="auto" w:fill="FFFFFF" w:themeFill="background1"/>
            <w:vAlign w:val="center"/>
            <w:hideMark/>
          </w:tcPr>
          <w:p w14:paraId="459CE05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2.48</w:t>
            </w:r>
          </w:p>
        </w:tc>
        <w:tc>
          <w:tcPr>
            <w:tcW w:w="1606" w:type="dxa"/>
            <w:shd w:val="clear" w:color="auto" w:fill="FFFFFF" w:themeFill="background1"/>
            <w:vAlign w:val="center"/>
            <w:hideMark/>
          </w:tcPr>
          <w:p w14:paraId="2E5647D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1.5</w:t>
            </w:r>
          </w:p>
        </w:tc>
        <w:tc>
          <w:tcPr>
            <w:tcW w:w="813" w:type="dxa"/>
            <w:shd w:val="clear" w:color="auto" w:fill="FFFFFF" w:themeFill="background1"/>
            <w:vAlign w:val="center"/>
          </w:tcPr>
          <w:p w14:paraId="3F0EBBD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2D618ED0" w14:textId="77777777" w:rsidTr="003E2334">
        <w:trPr>
          <w:trHeight w:val="595"/>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7E99DD34"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Ge</w:t>
            </w:r>
          </w:p>
        </w:tc>
        <w:tc>
          <w:tcPr>
            <w:tcW w:w="1559" w:type="dxa"/>
            <w:shd w:val="clear" w:color="auto" w:fill="FFFFFF" w:themeFill="background1"/>
            <w:vAlign w:val="center"/>
            <w:hideMark/>
          </w:tcPr>
          <w:p w14:paraId="6FC822B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115.24</w:t>
            </w:r>
          </w:p>
        </w:tc>
        <w:tc>
          <w:tcPr>
            <w:tcW w:w="1701" w:type="dxa"/>
            <w:shd w:val="clear" w:color="auto" w:fill="FFFFFF" w:themeFill="background1"/>
            <w:vAlign w:val="center"/>
            <w:hideMark/>
          </w:tcPr>
          <w:p w14:paraId="6BE8355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17.82</w:t>
            </w:r>
          </w:p>
        </w:tc>
        <w:tc>
          <w:tcPr>
            <w:tcW w:w="1833" w:type="dxa"/>
            <w:shd w:val="clear" w:color="auto" w:fill="FFFFFF" w:themeFill="background1"/>
            <w:vAlign w:val="center"/>
            <w:hideMark/>
          </w:tcPr>
          <w:p w14:paraId="4652743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130.42</w:t>
            </w:r>
          </w:p>
        </w:tc>
        <w:tc>
          <w:tcPr>
            <w:tcW w:w="1606" w:type="dxa"/>
            <w:shd w:val="clear" w:color="auto" w:fill="FFFFFF" w:themeFill="background1"/>
            <w:vAlign w:val="center"/>
            <w:hideMark/>
          </w:tcPr>
          <w:p w14:paraId="64412B5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90.49</w:t>
            </w:r>
          </w:p>
        </w:tc>
        <w:tc>
          <w:tcPr>
            <w:tcW w:w="813" w:type="dxa"/>
            <w:shd w:val="clear" w:color="auto" w:fill="FFFFFF" w:themeFill="background1"/>
            <w:vAlign w:val="center"/>
          </w:tcPr>
          <w:p w14:paraId="3328556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3E1F81A0" w14:textId="77777777" w:rsidTr="003E233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2B08A19"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Nb</w:t>
            </w:r>
          </w:p>
        </w:tc>
        <w:tc>
          <w:tcPr>
            <w:tcW w:w="1559" w:type="dxa"/>
            <w:shd w:val="clear" w:color="auto" w:fill="FFFFFF" w:themeFill="background1"/>
            <w:vAlign w:val="center"/>
            <w:hideMark/>
          </w:tcPr>
          <w:p w14:paraId="19AE8DF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2.29</w:t>
            </w:r>
          </w:p>
        </w:tc>
        <w:tc>
          <w:tcPr>
            <w:tcW w:w="1701" w:type="dxa"/>
            <w:shd w:val="clear" w:color="auto" w:fill="FFFFFF" w:themeFill="background1"/>
            <w:vAlign w:val="center"/>
            <w:hideMark/>
          </w:tcPr>
          <w:p w14:paraId="58890F0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3.11</w:t>
            </w:r>
          </w:p>
        </w:tc>
        <w:tc>
          <w:tcPr>
            <w:tcW w:w="1833" w:type="dxa"/>
            <w:shd w:val="clear" w:color="auto" w:fill="FFFFFF" w:themeFill="background1"/>
            <w:vAlign w:val="center"/>
            <w:hideMark/>
          </w:tcPr>
          <w:p w14:paraId="1D115DC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2.48</w:t>
            </w:r>
          </w:p>
        </w:tc>
        <w:tc>
          <w:tcPr>
            <w:tcW w:w="1606" w:type="dxa"/>
            <w:shd w:val="clear" w:color="auto" w:fill="FFFFFF" w:themeFill="background1"/>
            <w:vAlign w:val="center"/>
            <w:hideMark/>
          </w:tcPr>
          <w:p w14:paraId="3E47488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3.84</w:t>
            </w:r>
          </w:p>
        </w:tc>
        <w:tc>
          <w:tcPr>
            <w:tcW w:w="813" w:type="dxa"/>
            <w:shd w:val="clear" w:color="auto" w:fill="FFFFFF" w:themeFill="background1"/>
            <w:vAlign w:val="center"/>
          </w:tcPr>
          <w:p w14:paraId="4FB717F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7D354B30" w14:textId="77777777" w:rsidTr="003E2334">
        <w:trPr>
          <w:trHeight w:val="593"/>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59BCAC9E"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Nd</w:t>
            </w:r>
          </w:p>
        </w:tc>
        <w:tc>
          <w:tcPr>
            <w:tcW w:w="1559" w:type="dxa"/>
            <w:shd w:val="clear" w:color="auto" w:fill="FFFFFF" w:themeFill="background1"/>
            <w:vAlign w:val="center"/>
            <w:hideMark/>
          </w:tcPr>
          <w:p w14:paraId="36370CE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2.03</w:t>
            </w:r>
          </w:p>
        </w:tc>
        <w:tc>
          <w:tcPr>
            <w:tcW w:w="1701" w:type="dxa"/>
            <w:shd w:val="clear" w:color="auto" w:fill="FFFFFF" w:themeFill="background1"/>
            <w:vAlign w:val="center"/>
            <w:hideMark/>
          </w:tcPr>
          <w:p w14:paraId="78F6DC2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2.61</w:t>
            </w:r>
          </w:p>
        </w:tc>
        <w:tc>
          <w:tcPr>
            <w:tcW w:w="1833" w:type="dxa"/>
            <w:shd w:val="clear" w:color="auto" w:fill="FFFFFF" w:themeFill="background1"/>
            <w:vAlign w:val="center"/>
            <w:hideMark/>
          </w:tcPr>
          <w:p w14:paraId="31687CA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2.49</w:t>
            </w:r>
          </w:p>
        </w:tc>
        <w:tc>
          <w:tcPr>
            <w:tcW w:w="1606" w:type="dxa"/>
            <w:shd w:val="clear" w:color="auto" w:fill="FFFFFF" w:themeFill="background1"/>
            <w:vAlign w:val="center"/>
            <w:hideMark/>
          </w:tcPr>
          <w:p w14:paraId="10835E1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3.09</w:t>
            </w:r>
          </w:p>
        </w:tc>
        <w:tc>
          <w:tcPr>
            <w:tcW w:w="813" w:type="dxa"/>
            <w:shd w:val="clear" w:color="auto" w:fill="FFFFFF" w:themeFill="background1"/>
            <w:vAlign w:val="center"/>
          </w:tcPr>
          <w:p w14:paraId="1ABDC4D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42932CF2" w14:textId="77777777" w:rsidTr="003E23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00925D8A"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Pb</w:t>
            </w:r>
          </w:p>
        </w:tc>
        <w:tc>
          <w:tcPr>
            <w:tcW w:w="1559" w:type="dxa"/>
            <w:shd w:val="clear" w:color="auto" w:fill="FFFFFF" w:themeFill="background1"/>
            <w:vAlign w:val="center"/>
            <w:hideMark/>
          </w:tcPr>
          <w:p w14:paraId="0A1B163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708.35</w:t>
            </w:r>
          </w:p>
        </w:tc>
        <w:tc>
          <w:tcPr>
            <w:tcW w:w="1701" w:type="dxa"/>
            <w:shd w:val="clear" w:color="auto" w:fill="FFFFFF" w:themeFill="background1"/>
            <w:vAlign w:val="center"/>
            <w:hideMark/>
          </w:tcPr>
          <w:p w14:paraId="4C30978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670.17</w:t>
            </w:r>
          </w:p>
        </w:tc>
        <w:tc>
          <w:tcPr>
            <w:tcW w:w="1833" w:type="dxa"/>
            <w:shd w:val="clear" w:color="auto" w:fill="FFFFFF" w:themeFill="background1"/>
            <w:vAlign w:val="center"/>
            <w:hideMark/>
          </w:tcPr>
          <w:p w14:paraId="7F31B69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565.49</w:t>
            </w:r>
          </w:p>
        </w:tc>
        <w:tc>
          <w:tcPr>
            <w:tcW w:w="1606" w:type="dxa"/>
            <w:shd w:val="clear" w:color="auto" w:fill="FFFFFF" w:themeFill="background1"/>
            <w:vAlign w:val="center"/>
            <w:hideMark/>
          </w:tcPr>
          <w:p w14:paraId="3136F5A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353.6</w:t>
            </w:r>
          </w:p>
        </w:tc>
        <w:tc>
          <w:tcPr>
            <w:tcW w:w="813" w:type="dxa"/>
            <w:shd w:val="clear" w:color="auto" w:fill="FFFFFF" w:themeFill="background1"/>
            <w:vAlign w:val="center"/>
            <w:hideMark/>
          </w:tcPr>
          <w:p w14:paraId="247BF5D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0.5</w:t>
            </w:r>
          </w:p>
        </w:tc>
      </w:tr>
      <w:tr w:rsidR="00E66205" w:rsidRPr="00E66205" w14:paraId="08A5A182" w14:textId="77777777" w:rsidTr="003E2334">
        <w:trPr>
          <w:trHeight w:val="589"/>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233012B6"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S</w:t>
            </w:r>
          </w:p>
        </w:tc>
        <w:tc>
          <w:tcPr>
            <w:tcW w:w="1559" w:type="dxa"/>
            <w:shd w:val="clear" w:color="auto" w:fill="FFFFFF" w:themeFill="background1"/>
            <w:vAlign w:val="center"/>
            <w:hideMark/>
          </w:tcPr>
          <w:p w14:paraId="064A9EF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13000.16</w:t>
            </w:r>
          </w:p>
        </w:tc>
        <w:tc>
          <w:tcPr>
            <w:tcW w:w="1701" w:type="dxa"/>
            <w:shd w:val="clear" w:color="auto" w:fill="FFFFFF" w:themeFill="background1"/>
            <w:vAlign w:val="center"/>
            <w:hideMark/>
          </w:tcPr>
          <w:p w14:paraId="77C060A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21534.02</w:t>
            </w:r>
          </w:p>
        </w:tc>
        <w:tc>
          <w:tcPr>
            <w:tcW w:w="1833" w:type="dxa"/>
            <w:shd w:val="clear" w:color="auto" w:fill="FFFFFF" w:themeFill="background1"/>
            <w:vAlign w:val="center"/>
            <w:hideMark/>
          </w:tcPr>
          <w:p w14:paraId="2A4A115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18483</w:t>
            </w:r>
          </w:p>
        </w:tc>
        <w:tc>
          <w:tcPr>
            <w:tcW w:w="1606" w:type="dxa"/>
            <w:shd w:val="clear" w:color="auto" w:fill="FFFFFF" w:themeFill="background1"/>
            <w:vAlign w:val="center"/>
            <w:hideMark/>
          </w:tcPr>
          <w:p w14:paraId="7686E7B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18121.5</w:t>
            </w:r>
          </w:p>
        </w:tc>
        <w:tc>
          <w:tcPr>
            <w:tcW w:w="813" w:type="dxa"/>
            <w:shd w:val="clear" w:color="auto" w:fill="FFFFFF" w:themeFill="background1"/>
            <w:vAlign w:val="center"/>
          </w:tcPr>
          <w:p w14:paraId="3074B73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2AD46B90" w14:textId="77777777" w:rsidTr="003E2334">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5531BA9D"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Sr</w:t>
            </w:r>
          </w:p>
        </w:tc>
        <w:tc>
          <w:tcPr>
            <w:tcW w:w="1559" w:type="dxa"/>
            <w:shd w:val="clear" w:color="auto" w:fill="FFFFFF" w:themeFill="background1"/>
            <w:vAlign w:val="center"/>
            <w:hideMark/>
          </w:tcPr>
          <w:p w14:paraId="6FD0F05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761.41</w:t>
            </w:r>
          </w:p>
        </w:tc>
        <w:tc>
          <w:tcPr>
            <w:tcW w:w="1701" w:type="dxa"/>
            <w:shd w:val="clear" w:color="auto" w:fill="FFFFFF" w:themeFill="background1"/>
            <w:vAlign w:val="center"/>
            <w:hideMark/>
          </w:tcPr>
          <w:p w14:paraId="3DA0917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740.79</w:t>
            </w:r>
          </w:p>
        </w:tc>
        <w:tc>
          <w:tcPr>
            <w:tcW w:w="1833" w:type="dxa"/>
            <w:shd w:val="clear" w:color="auto" w:fill="FFFFFF" w:themeFill="background1"/>
            <w:vAlign w:val="center"/>
            <w:hideMark/>
          </w:tcPr>
          <w:p w14:paraId="53F88E7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726.79</w:t>
            </w:r>
          </w:p>
        </w:tc>
        <w:tc>
          <w:tcPr>
            <w:tcW w:w="1606" w:type="dxa"/>
            <w:shd w:val="clear" w:color="auto" w:fill="FFFFFF" w:themeFill="background1"/>
            <w:vAlign w:val="center"/>
            <w:hideMark/>
          </w:tcPr>
          <w:p w14:paraId="017E531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506.17</w:t>
            </w:r>
          </w:p>
        </w:tc>
        <w:tc>
          <w:tcPr>
            <w:tcW w:w="813" w:type="dxa"/>
            <w:shd w:val="clear" w:color="auto" w:fill="FFFFFF" w:themeFill="background1"/>
            <w:vAlign w:val="center"/>
          </w:tcPr>
          <w:p w14:paraId="66461D0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6A03F2FF" w14:textId="77777777" w:rsidTr="003E2334">
        <w:trPr>
          <w:trHeight w:val="58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322F4656"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Zn</w:t>
            </w:r>
          </w:p>
        </w:tc>
        <w:tc>
          <w:tcPr>
            <w:tcW w:w="1559" w:type="dxa"/>
            <w:shd w:val="clear" w:color="auto" w:fill="FFFFFF" w:themeFill="background1"/>
            <w:vAlign w:val="center"/>
            <w:hideMark/>
          </w:tcPr>
          <w:p w14:paraId="5AAA0E9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0.55</w:t>
            </w:r>
          </w:p>
        </w:tc>
        <w:tc>
          <w:tcPr>
            <w:tcW w:w="1701" w:type="dxa"/>
            <w:shd w:val="clear" w:color="auto" w:fill="FFFFFF" w:themeFill="background1"/>
            <w:vAlign w:val="center"/>
            <w:hideMark/>
          </w:tcPr>
          <w:p w14:paraId="48FF477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1.75</w:t>
            </w:r>
          </w:p>
        </w:tc>
        <w:tc>
          <w:tcPr>
            <w:tcW w:w="1833" w:type="dxa"/>
            <w:shd w:val="clear" w:color="auto" w:fill="FFFFFF" w:themeFill="background1"/>
            <w:vAlign w:val="center"/>
            <w:hideMark/>
          </w:tcPr>
          <w:p w14:paraId="0464B2E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1.37</w:t>
            </w:r>
          </w:p>
        </w:tc>
        <w:tc>
          <w:tcPr>
            <w:tcW w:w="1606" w:type="dxa"/>
            <w:shd w:val="clear" w:color="auto" w:fill="FFFFFF" w:themeFill="background1"/>
            <w:vAlign w:val="center"/>
            <w:hideMark/>
          </w:tcPr>
          <w:p w14:paraId="26306DF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0.83</w:t>
            </w:r>
          </w:p>
        </w:tc>
        <w:tc>
          <w:tcPr>
            <w:tcW w:w="813" w:type="dxa"/>
            <w:shd w:val="clear" w:color="auto" w:fill="FFFFFF" w:themeFill="background1"/>
            <w:vAlign w:val="center"/>
            <w:hideMark/>
          </w:tcPr>
          <w:p w14:paraId="2AF73DA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1.2</w:t>
            </w:r>
          </w:p>
        </w:tc>
      </w:tr>
      <w:tr w:rsidR="00E66205" w:rsidRPr="00E66205" w14:paraId="52AF4FE5" w14:textId="77777777" w:rsidTr="003E2334">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348E129B"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Cd</w:t>
            </w:r>
          </w:p>
        </w:tc>
        <w:tc>
          <w:tcPr>
            <w:tcW w:w="1559" w:type="dxa"/>
            <w:shd w:val="clear" w:color="auto" w:fill="FFFFFF" w:themeFill="background1"/>
            <w:vAlign w:val="center"/>
            <w:hideMark/>
          </w:tcPr>
          <w:p w14:paraId="496C825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0.0021</w:t>
            </w:r>
          </w:p>
        </w:tc>
        <w:tc>
          <w:tcPr>
            <w:tcW w:w="1701" w:type="dxa"/>
            <w:shd w:val="clear" w:color="auto" w:fill="FFFFFF" w:themeFill="background1"/>
            <w:vAlign w:val="center"/>
            <w:hideMark/>
          </w:tcPr>
          <w:p w14:paraId="62D1797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0.0009</w:t>
            </w:r>
          </w:p>
        </w:tc>
        <w:tc>
          <w:tcPr>
            <w:tcW w:w="1833" w:type="dxa"/>
            <w:shd w:val="clear" w:color="auto" w:fill="FFFFFF" w:themeFill="background1"/>
            <w:vAlign w:val="center"/>
            <w:hideMark/>
          </w:tcPr>
          <w:p w14:paraId="192D514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0.00016</w:t>
            </w:r>
          </w:p>
        </w:tc>
        <w:tc>
          <w:tcPr>
            <w:tcW w:w="1606" w:type="dxa"/>
            <w:shd w:val="clear" w:color="auto" w:fill="FFFFFF" w:themeFill="background1"/>
            <w:vAlign w:val="center"/>
            <w:hideMark/>
          </w:tcPr>
          <w:p w14:paraId="7A93C71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0.00064</w:t>
            </w:r>
          </w:p>
        </w:tc>
        <w:tc>
          <w:tcPr>
            <w:tcW w:w="813" w:type="dxa"/>
            <w:shd w:val="clear" w:color="auto" w:fill="FFFFFF" w:themeFill="background1"/>
            <w:vAlign w:val="center"/>
          </w:tcPr>
          <w:p w14:paraId="124A97D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14:paraId="2A98E0A8" w14:textId="77777777" w:rsidR="00E66205" w:rsidRPr="00E66205" w:rsidRDefault="00E66205" w:rsidP="00E66205">
      <w:pPr>
        <w:spacing w:line="360" w:lineRule="auto"/>
        <w:jc w:val="both"/>
        <w:rPr>
          <w:rFonts w:ascii="Arial" w:hAnsi="Arial" w:cs="Arial"/>
          <w:lang w:eastAsia="fr-FR"/>
        </w:rPr>
      </w:pPr>
    </w:p>
    <w:p w14:paraId="45EF460D" w14:textId="77777777" w:rsidR="00E66205" w:rsidRPr="00E66205" w:rsidRDefault="00E66205" w:rsidP="00E66205">
      <w:pPr>
        <w:spacing w:line="360" w:lineRule="auto"/>
        <w:jc w:val="both"/>
        <w:rPr>
          <w:rFonts w:ascii="Arial" w:hAnsi="Arial" w:cs="Arial"/>
        </w:rPr>
      </w:pPr>
      <w:r w:rsidRPr="00E66205">
        <w:rPr>
          <w:rFonts w:ascii="Arial" w:hAnsi="Arial" w:cs="Arial"/>
        </w:rPr>
        <w:t>Table 3 shows high concentrations of metals such as lead, iron, arsenic, copper, and chromium. These results are consistent with the activities carried out in the laboratory.</w:t>
      </w:r>
    </w:p>
    <w:p w14:paraId="075F4355" w14:textId="77777777" w:rsidR="00E66205" w:rsidRPr="00E66205" w:rsidRDefault="00E66205" w:rsidP="00E66205">
      <w:pPr>
        <w:spacing w:line="360" w:lineRule="auto"/>
        <w:jc w:val="both"/>
        <w:rPr>
          <w:rFonts w:ascii="Arial" w:hAnsi="Arial" w:cs="Arial"/>
        </w:rPr>
      </w:pPr>
      <w:r w:rsidRPr="00E66205">
        <w:rPr>
          <w:rFonts w:ascii="Arial" w:hAnsi="Arial" w:cs="Arial"/>
        </w:rPr>
        <w:t xml:space="preserve">The metals measured are found in both basins. The values in basin A are mostly higher than those in basin B (Table 4), such as iron, lead, and copper, because basin A receives discharges from the biochemistry laboratory where minerals in solution are measured. The measurement of metals requires reagents and standards that also contain metals. The differences in results over time, i.e., between the first and fourth samples, can be explained by the activities taking place during sampling, as the discharges may contain very high concentrations of certain metals, thereby influencing the concentration in the basin into which they are discharged. </w:t>
      </w:r>
    </w:p>
    <w:p w14:paraId="6CA6C8DA" w14:textId="77777777" w:rsidR="00E66205" w:rsidRPr="00E66205" w:rsidRDefault="00E66205" w:rsidP="00E66205">
      <w:pPr>
        <w:spacing w:line="360" w:lineRule="auto"/>
        <w:jc w:val="both"/>
        <w:rPr>
          <w:rFonts w:ascii="Arial" w:hAnsi="Arial" w:cs="Arial"/>
        </w:rPr>
      </w:pPr>
      <w:r w:rsidRPr="00E66205">
        <w:rPr>
          <w:rFonts w:ascii="Arial" w:hAnsi="Arial" w:cs="Arial"/>
        </w:rPr>
        <w:t xml:space="preserve">  </w:t>
      </w:r>
      <w:bookmarkStart w:id="9" w:name="_Toc197081448"/>
    </w:p>
    <w:bookmarkEnd w:id="9"/>
    <w:p w14:paraId="55743D25"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3.2 Drilling water</w:t>
      </w:r>
    </w:p>
    <w:p w14:paraId="675A8849"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3.2.1 Physicochemical parameters</w:t>
      </w:r>
    </w:p>
    <w:p w14:paraId="172B3C2D" w14:textId="77777777" w:rsidR="00E66205" w:rsidRPr="00E66205" w:rsidRDefault="00E66205" w:rsidP="00E66205">
      <w:pPr>
        <w:spacing w:line="360" w:lineRule="auto"/>
        <w:jc w:val="both"/>
        <w:rPr>
          <w:rFonts w:ascii="Arial" w:hAnsi="Arial" w:cs="Arial"/>
        </w:rPr>
      </w:pPr>
      <w:r w:rsidRPr="00E66205">
        <w:rPr>
          <w:rFonts w:ascii="Arial" w:hAnsi="Arial" w:cs="Arial"/>
        </w:rPr>
        <w:t>The results of the analysis of the physicochemical parameters of the drilling water from BUMIGEB (BS, BC, BR, and BE) and ONEA (O) are shown in Table 5.</w:t>
      </w:r>
    </w:p>
    <w:p w14:paraId="379932C9" w14:textId="77777777" w:rsidR="00E66205" w:rsidRPr="00E66205" w:rsidRDefault="00E66205" w:rsidP="00E66205">
      <w:pPr>
        <w:spacing w:line="360" w:lineRule="auto"/>
        <w:jc w:val="both"/>
        <w:rPr>
          <w:rFonts w:ascii="Arial" w:hAnsi="Arial" w:cs="Arial"/>
        </w:rPr>
      </w:pPr>
    </w:p>
    <w:p w14:paraId="0B3E21F7"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lastRenderedPageBreak/>
        <w:t>Table 5. Results of the physicochemical parameters of the drilling water</w:t>
      </w:r>
    </w:p>
    <w:tbl>
      <w:tblPr>
        <w:tblStyle w:val="ListTable2"/>
        <w:tblW w:w="4627" w:type="pct"/>
        <w:jc w:val="center"/>
        <w:tblInd w:w="0" w:type="dxa"/>
        <w:tblLook w:val="0660" w:firstRow="1" w:lastRow="1" w:firstColumn="0" w:lastColumn="0" w:noHBand="1" w:noVBand="1"/>
      </w:tblPr>
      <w:tblGrid>
        <w:gridCol w:w="1402"/>
        <w:gridCol w:w="845"/>
        <w:gridCol w:w="845"/>
        <w:gridCol w:w="1551"/>
        <w:gridCol w:w="1154"/>
        <w:gridCol w:w="968"/>
        <w:gridCol w:w="1031"/>
      </w:tblGrid>
      <w:tr w:rsidR="00E66205" w:rsidRPr="00E66205" w14:paraId="5F88617E" w14:textId="77777777" w:rsidTr="003E2334">
        <w:trPr>
          <w:cnfStyle w:val="100000000000" w:firstRow="1" w:lastRow="0" w:firstColumn="0" w:lastColumn="0" w:oddVBand="0" w:evenVBand="0" w:oddHBand="0" w:evenHBand="0" w:firstRowFirstColumn="0" w:firstRowLastColumn="0" w:lastRowFirstColumn="0" w:lastRowLastColumn="0"/>
          <w:trHeight w:val="753"/>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69A9A52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Sample</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2C3160E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pH</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7D60077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T °C</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680B2FE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Conductivity</w:t>
            </w:r>
          </w:p>
          <w:p w14:paraId="1038A7E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(µS/cm)</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688D0DB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 xml:space="preserve">Turbidity </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06553C4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Nitrites</w:t>
            </w:r>
          </w:p>
          <w:p w14:paraId="0EF5DB6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8EF3BC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Nitrates</w:t>
            </w:r>
          </w:p>
          <w:p w14:paraId="5CD481E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r>
      <w:tr w:rsidR="00E66205" w:rsidRPr="00E66205" w14:paraId="2D6E5C10" w14:textId="77777777" w:rsidTr="003E2334">
        <w:trPr>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0E11122B"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BS</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3FF2A49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6.80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5AA1B5D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25.20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08CA93D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250</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5E9552B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0.54</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2192897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DAFD44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7.46</w:t>
            </w:r>
          </w:p>
        </w:tc>
      </w:tr>
      <w:tr w:rsidR="00E66205" w:rsidRPr="00E66205" w14:paraId="3722F990" w14:textId="77777777" w:rsidTr="003E2334">
        <w:trPr>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7DCEB038"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BC</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7D4B4F7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6.80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4D33D96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24.80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59280A2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240</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701B3E4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0.6</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60322DF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01B6CA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7.51</w:t>
            </w:r>
          </w:p>
        </w:tc>
      </w:tr>
      <w:tr w:rsidR="00E66205" w:rsidRPr="00E66205" w14:paraId="081FC63E" w14:textId="77777777" w:rsidTr="003E2334">
        <w:trPr>
          <w:trHeight w:val="49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53CCCF12"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BR</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7330D1E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7.00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32F0BDF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24.90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58B4981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215</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233C027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0.6</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5036C9E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60ED3BE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7.49</w:t>
            </w:r>
          </w:p>
        </w:tc>
      </w:tr>
      <w:tr w:rsidR="00E66205" w:rsidRPr="00E66205" w14:paraId="5EC3002C" w14:textId="77777777" w:rsidTr="003E2334">
        <w:trPr>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4604EA47"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BE</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459C70A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6.90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1D9A556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25.00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44CAA2F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265</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2CD9A13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0.5</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340A6E2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F30D0B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10.18</w:t>
            </w:r>
          </w:p>
        </w:tc>
      </w:tr>
      <w:tr w:rsidR="00E66205" w:rsidRPr="00E66205" w14:paraId="6E1AF098" w14:textId="77777777" w:rsidTr="003E2334">
        <w:trPr>
          <w:cnfStyle w:val="010000000000" w:firstRow="0" w:lastRow="1" w:firstColumn="0" w:lastColumn="0" w:oddVBand="0" w:evenVBand="0" w:oddHBand="0" w:evenHBand="0" w:firstRowFirstColumn="0" w:firstRowLastColumn="0" w:lastRowFirstColumn="0" w:lastRowLastColumn="0"/>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79EA8B1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O</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35E631BE"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7.30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5B0F17C5"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25.00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6D0FC0EC"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80</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10690E34"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1.24</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2952AD18"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63C74124"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1</w:t>
            </w:r>
          </w:p>
        </w:tc>
      </w:tr>
    </w:tbl>
    <w:p w14:paraId="1A8CF45A" w14:textId="77777777" w:rsidR="00E66205" w:rsidRPr="00E66205" w:rsidRDefault="00E66205" w:rsidP="00E66205">
      <w:pPr>
        <w:spacing w:line="360" w:lineRule="auto"/>
        <w:jc w:val="both"/>
        <w:rPr>
          <w:rFonts w:ascii="Arial" w:hAnsi="Arial" w:cs="Arial"/>
        </w:rPr>
      </w:pPr>
    </w:p>
    <w:p w14:paraId="2C86E15C" w14:textId="156EE132" w:rsidR="00E66205" w:rsidRPr="00E66205" w:rsidRDefault="00E66205" w:rsidP="00E66205">
      <w:pPr>
        <w:spacing w:line="360" w:lineRule="auto"/>
        <w:jc w:val="both"/>
        <w:rPr>
          <w:rFonts w:ascii="Arial" w:hAnsi="Arial" w:cs="Arial"/>
        </w:rPr>
      </w:pPr>
      <w:r w:rsidRPr="00E66205">
        <w:rPr>
          <w:rFonts w:ascii="Arial" w:hAnsi="Arial" w:cs="Arial"/>
        </w:rPr>
        <w:t xml:space="preserve">The pH values recorded in Table 5 indicate an average value of 6.96, meaning that the water from the BUMIGEB borehole is slightly acidic, which could be due to the presence of </w:t>
      </w:r>
      <w:r w:rsidRPr="005D3EF1">
        <w:rPr>
          <w:rFonts w:ascii="Arial" w:hAnsi="Arial" w:cs="Arial"/>
          <w:highlight w:val="yellow"/>
        </w:rPr>
        <w:t>sul</w:t>
      </w:r>
      <w:r w:rsidR="005D3EF1" w:rsidRPr="005D3EF1">
        <w:rPr>
          <w:rFonts w:ascii="Arial" w:hAnsi="Arial" w:cs="Arial"/>
          <w:highlight w:val="yellow"/>
        </w:rPr>
        <w:t>fate</w:t>
      </w:r>
      <w:r w:rsidRPr="005D3EF1">
        <w:rPr>
          <w:rFonts w:ascii="Arial" w:hAnsi="Arial" w:cs="Arial"/>
          <w:highlight w:val="yellow"/>
        </w:rPr>
        <w:t xml:space="preserve"> ions</w:t>
      </w:r>
      <w:r w:rsidRPr="00E66205">
        <w:rPr>
          <w:rFonts w:ascii="Arial" w:hAnsi="Arial" w:cs="Arial"/>
        </w:rPr>
        <w:t xml:space="preserve"> (</w:t>
      </w:r>
      <m:oMath>
        <m:sSubSup>
          <m:sSubSupPr>
            <m:ctrlPr>
              <w:rPr>
                <w:rFonts w:ascii="Cambria Math" w:hAnsi="Cambria Math" w:cs="Arial"/>
              </w:rPr>
            </m:ctrlPr>
          </m:sSubSupPr>
          <m:e>
            <m:r>
              <m:rPr>
                <m:sty m:val="p"/>
              </m:rPr>
              <w:rPr>
                <w:rFonts w:ascii="Cambria Math" w:hAnsi="Cambria Math" w:cs="Arial"/>
              </w:rPr>
              <m:t>SO</m:t>
            </m:r>
          </m:e>
          <m:sub>
            <m:r>
              <m:rPr>
                <m:sty m:val="p"/>
              </m:rPr>
              <w:rPr>
                <w:rFonts w:ascii="Cambria Math" w:hAnsi="Cambria Math" w:cs="Arial"/>
              </w:rPr>
              <m:t>4</m:t>
            </m:r>
          </m:sub>
          <m:sup>
            <m:r>
              <m:rPr>
                <m:sty m:val="p"/>
              </m:rPr>
              <w:rPr>
                <w:rFonts w:ascii="Cambria Math" w:hAnsi="Cambria Math" w:cs="Arial"/>
              </w:rPr>
              <m:t>2-</m:t>
            </m:r>
          </m:sup>
        </m:sSubSup>
      </m:oMath>
      <w:r w:rsidRPr="00E66205">
        <w:rPr>
          <w:rFonts w:ascii="Arial" w:hAnsi="Arial" w:cs="Arial"/>
        </w:rPr>
        <w:t xml:space="preserve">). Conductivity is unlimited, and the values found show that the water from BUMIGEB is fairly mineralized, with conductivities ranging from 200 to 265 µS/cm, while the water from ONEA has much lower values (70 to 85 µS/cm). This is consistent with the fact that groundwater is known to naturally contain high levels of minerals. (Kjøller, 2004; Sidibé et al., 2019 ; </w:t>
      </w:r>
      <w:proofErr w:type="spellStart"/>
      <w:r w:rsidRPr="00E66205">
        <w:rPr>
          <w:rFonts w:ascii="Arial" w:hAnsi="Arial" w:cs="Arial"/>
        </w:rPr>
        <w:t>Abaï</w:t>
      </w:r>
      <w:proofErr w:type="spellEnd"/>
      <w:r w:rsidRPr="00E66205">
        <w:rPr>
          <w:rFonts w:ascii="Arial" w:hAnsi="Arial" w:cs="Arial"/>
        </w:rPr>
        <w:t xml:space="preserve"> et al., 2024)</w:t>
      </w:r>
    </w:p>
    <w:p w14:paraId="4D8056E5" w14:textId="77777777" w:rsidR="00E66205" w:rsidRPr="00E66205" w:rsidRDefault="00E66205" w:rsidP="00E66205">
      <w:pPr>
        <w:spacing w:line="360" w:lineRule="auto"/>
        <w:jc w:val="both"/>
        <w:rPr>
          <w:rFonts w:ascii="Arial" w:hAnsi="Arial" w:cs="Arial"/>
        </w:rPr>
      </w:pPr>
    </w:p>
    <w:p w14:paraId="4F926C2D" w14:textId="77777777" w:rsidR="00E66205" w:rsidRPr="00E66205" w:rsidRDefault="00E66205" w:rsidP="00E66205">
      <w:pPr>
        <w:spacing w:line="360" w:lineRule="auto"/>
        <w:jc w:val="both"/>
        <w:rPr>
          <w:rFonts w:ascii="Arial" w:hAnsi="Arial" w:cs="Arial"/>
        </w:rPr>
      </w:pPr>
      <w:r w:rsidRPr="00E66205">
        <w:rPr>
          <w:rFonts w:ascii="Arial" w:hAnsi="Arial" w:cs="Arial"/>
        </w:rPr>
        <w:t>Figs. 3 and 4 show the average nitrate and nitrite levels in borehole water, respectively.</w:t>
      </w:r>
    </w:p>
    <w:p w14:paraId="3F4CE426" w14:textId="77777777" w:rsidR="00E66205" w:rsidRPr="00E66205" w:rsidRDefault="00E66205" w:rsidP="00E66205">
      <w:pPr>
        <w:spacing w:line="360" w:lineRule="auto"/>
        <w:jc w:val="both"/>
        <w:rPr>
          <w:rFonts w:ascii="Arial" w:hAnsi="Arial" w:cs="Arial"/>
        </w:rPr>
      </w:pPr>
      <w:r w:rsidRPr="00E66205">
        <w:rPr>
          <w:rFonts w:ascii="Arial" w:hAnsi="Arial" w:cs="Arial"/>
          <w:noProof/>
        </w:rPr>
        <w:drawing>
          <wp:inline distT="0" distB="0" distL="0" distR="0" wp14:anchorId="297E26F7" wp14:editId="67A99085">
            <wp:extent cx="5110480" cy="2001520"/>
            <wp:effectExtent l="0" t="0" r="13970" b="17780"/>
            <wp:docPr id="201829613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D94B91"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Fig. 3. Average nitrate results</w:t>
      </w:r>
    </w:p>
    <w:p w14:paraId="4234B146" w14:textId="77777777" w:rsidR="00E66205" w:rsidRPr="00E66205" w:rsidRDefault="00E66205" w:rsidP="00E66205">
      <w:pPr>
        <w:spacing w:line="360" w:lineRule="auto"/>
        <w:jc w:val="both"/>
        <w:rPr>
          <w:rFonts w:ascii="Arial" w:hAnsi="Arial" w:cs="Arial"/>
        </w:rPr>
      </w:pPr>
      <w:r w:rsidRPr="00E66205">
        <w:rPr>
          <w:rFonts w:ascii="Arial" w:hAnsi="Arial" w:cs="Arial"/>
          <w:noProof/>
        </w:rPr>
        <w:lastRenderedPageBreak/>
        <w:drawing>
          <wp:inline distT="0" distB="0" distL="0" distR="0" wp14:anchorId="6F1A2065" wp14:editId="5859B9FA">
            <wp:extent cx="5181600" cy="2174240"/>
            <wp:effectExtent l="0" t="0" r="0" b="16510"/>
            <wp:docPr id="85017975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819BB9"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Fig. 4. Average nitrite results</w:t>
      </w:r>
    </w:p>
    <w:p w14:paraId="59400B7B" w14:textId="77777777" w:rsidR="00E66205" w:rsidRPr="00E66205" w:rsidRDefault="00E66205" w:rsidP="00E66205">
      <w:pPr>
        <w:spacing w:line="360" w:lineRule="auto"/>
        <w:jc w:val="both"/>
        <w:rPr>
          <w:rFonts w:ascii="Arial" w:hAnsi="Arial" w:cs="Arial"/>
        </w:rPr>
      </w:pPr>
    </w:p>
    <w:p w14:paraId="09055085" w14:textId="6EE19794" w:rsidR="00E66205" w:rsidRPr="00E66205" w:rsidRDefault="00E66205" w:rsidP="00E66205">
      <w:pPr>
        <w:spacing w:line="360" w:lineRule="auto"/>
        <w:jc w:val="both"/>
        <w:rPr>
          <w:rFonts w:ascii="Arial" w:hAnsi="Arial" w:cs="Arial"/>
        </w:rPr>
      </w:pPr>
      <w:r w:rsidRPr="00E66205">
        <w:rPr>
          <w:rFonts w:ascii="Arial" w:hAnsi="Arial" w:cs="Arial"/>
        </w:rPr>
        <w:t>The nitrate and nitrite values obtained for the five samples clearly show that the values obtained are well below the WHO reference value (50 mg/L).</w:t>
      </w:r>
      <w:r w:rsidR="004059F9">
        <w:rPr>
          <w:rFonts w:ascii="Arial" w:hAnsi="Arial" w:cs="Arial"/>
        </w:rPr>
        <w:t xml:space="preserve"> </w:t>
      </w:r>
    </w:p>
    <w:p w14:paraId="2BEEA1D5" w14:textId="77777777" w:rsidR="00E66205" w:rsidRPr="00E66205" w:rsidRDefault="00E66205" w:rsidP="00E66205">
      <w:pPr>
        <w:spacing w:line="360" w:lineRule="auto"/>
        <w:jc w:val="both"/>
        <w:rPr>
          <w:rFonts w:ascii="Arial" w:hAnsi="Arial" w:cs="Arial"/>
          <w:b/>
          <w:bCs/>
        </w:rPr>
      </w:pPr>
    </w:p>
    <w:p w14:paraId="7CC345F6"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3.2.2 Metal parameters</w:t>
      </w:r>
    </w:p>
    <w:p w14:paraId="6A5FE98C" w14:textId="77777777" w:rsidR="00E66205" w:rsidRPr="00E66205" w:rsidRDefault="00E66205" w:rsidP="00E66205">
      <w:pPr>
        <w:spacing w:line="360" w:lineRule="auto"/>
        <w:jc w:val="both"/>
        <w:rPr>
          <w:rFonts w:ascii="Arial" w:hAnsi="Arial" w:cs="Arial"/>
        </w:rPr>
      </w:pPr>
      <w:r w:rsidRPr="00E66205">
        <w:rPr>
          <w:rFonts w:ascii="Arial" w:hAnsi="Arial" w:cs="Arial"/>
        </w:rPr>
        <w:t>Table 6 presents the results of analyses of the metal parameters in the drilling water.</w:t>
      </w:r>
    </w:p>
    <w:p w14:paraId="7C8F915F" w14:textId="77777777" w:rsidR="00E66205" w:rsidRPr="00E66205" w:rsidRDefault="00E66205" w:rsidP="00E66205">
      <w:pPr>
        <w:spacing w:line="360" w:lineRule="auto"/>
        <w:jc w:val="both"/>
        <w:rPr>
          <w:rFonts w:ascii="Arial" w:hAnsi="Arial" w:cs="Arial"/>
        </w:rPr>
      </w:pPr>
    </w:p>
    <w:p w14:paraId="2AC8F0D5"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6. Results of metal analyses of the drilling water</w:t>
      </w:r>
    </w:p>
    <w:tbl>
      <w:tblPr>
        <w:tblStyle w:val="ListTable2"/>
        <w:tblW w:w="8505" w:type="dxa"/>
        <w:jc w:val="center"/>
        <w:tblInd w:w="0" w:type="dxa"/>
        <w:tblLayout w:type="fixed"/>
        <w:tblLook w:val="04A0" w:firstRow="1" w:lastRow="0" w:firstColumn="1" w:lastColumn="0" w:noHBand="0" w:noVBand="1"/>
      </w:tblPr>
      <w:tblGrid>
        <w:gridCol w:w="1985"/>
        <w:gridCol w:w="992"/>
        <w:gridCol w:w="1276"/>
        <w:gridCol w:w="992"/>
        <w:gridCol w:w="1134"/>
        <w:gridCol w:w="851"/>
        <w:gridCol w:w="1275"/>
      </w:tblGrid>
      <w:tr w:rsidR="00E66205" w:rsidRPr="00E66205" w14:paraId="72CFF6D6" w14:textId="77777777" w:rsidTr="003E2334">
        <w:trPr>
          <w:cnfStyle w:val="100000000000" w:firstRow="1" w:lastRow="0" w:firstColumn="0" w:lastColumn="0" w:oddVBand="0" w:evenVBand="0" w:oddHBand="0"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79CBF703" w14:textId="77777777" w:rsidR="00E66205" w:rsidRPr="00E66205" w:rsidRDefault="00E66205" w:rsidP="003E2334">
            <w:pPr>
              <w:spacing w:line="360" w:lineRule="auto"/>
              <w:jc w:val="center"/>
              <w:rPr>
                <w:rFonts w:ascii="Arial" w:hAnsi="Arial" w:cs="Arial"/>
                <w:b w:val="0"/>
                <w:bCs w:val="0"/>
                <w:sz w:val="20"/>
                <w:szCs w:val="20"/>
                <w:lang w:val="en-US"/>
              </w:rPr>
            </w:pPr>
            <w:r w:rsidRPr="00E66205">
              <w:rPr>
                <w:rFonts w:ascii="Arial" w:hAnsi="Arial" w:cs="Arial"/>
                <w:sz w:val="20"/>
                <w:szCs w:val="20"/>
                <w:lang w:val="en-US"/>
              </w:rPr>
              <w:t>Parameters</w:t>
            </w:r>
          </w:p>
          <w:p w14:paraId="20D033E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(mg/L)</w:t>
            </w:r>
          </w:p>
        </w:tc>
        <w:tc>
          <w:tcPr>
            <w:tcW w:w="992" w:type="dxa"/>
            <w:hideMark/>
          </w:tcPr>
          <w:p w14:paraId="6E645B5E"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BS</w:t>
            </w:r>
          </w:p>
        </w:tc>
        <w:tc>
          <w:tcPr>
            <w:tcW w:w="1276" w:type="dxa"/>
            <w:hideMark/>
          </w:tcPr>
          <w:p w14:paraId="1B120A4E"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BC</w:t>
            </w:r>
          </w:p>
        </w:tc>
        <w:tc>
          <w:tcPr>
            <w:tcW w:w="992" w:type="dxa"/>
            <w:hideMark/>
          </w:tcPr>
          <w:p w14:paraId="1E220E35"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BR</w:t>
            </w:r>
          </w:p>
        </w:tc>
        <w:tc>
          <w:tcPr>
            <w:tcW w:w="1134" w:type="dxa"/>
            <w:hideMark/>
          </w:tcPr>
          <w:p w14:paraId="1B87BFC1"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BE</w:t>
            </w:r>
          </w:p>
        </w:tc>
        <w:tc>
          <w:tcPr>
            <w:tcW w:w="851" w:type="dxa"/>
            <w:hideMark/>
          </w:tcPr>
          <w:p w14:paraId="41D400F1"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O</w:t>
            </w:r>
          </w:p>
        </w:tc>
        <w:tc>
          <w:tcPr>
            <w:tcW w:w="1275" w:type="dxa"/>
          </w:tcPr>
          <w:p w14:paraId="7D34EF5E"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WHO standard: mg/L</w:t>
            </w:r>
          </w:p>
        </w:tc>
      </w:tr>
      <w:tr w:rsidR="00E66205" w:rsidRPr="00E66205" w14:paraId="7D7076B6"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2F3D5C2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Ca</w:t>
            </w:r>
            <w:r w:rsidRPr="00E66205">
              <w:rPr>
                <w:rFonts w:ascii="Arial" w:hAnsi="Arial" w:cs="Arial"/>
                <w:sz w:val="20"/>
                <w:szCs w:val="20"/>
                <w:vertAlign w:val="superscript"/>
                <w:lang w:val="en-US"/>
              </w:rPr>
              <w:t>2+</w:t>
            </w:r>
          </w:p>
        </w:tc>
        <w:tc>
          <w:tcPr>
            <w:tcW w:w="992" w:type="dxa"/>
            <w:shd w:val="clear" w:color="auto" w:fill="FFFFFF" w:themeFill="background1"/>
            <w:hideMark/>
          </w:tcPr>
          <w:p w14:paraId="60058AC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26.45</w:t>
            </w:r>
          </w:p>
        </w:tc>
        <w:tc>
          <w:tcPr>
            <w:tcW w:w="1276" w:type="dxa"/>
            <w:shd w:val="clear" w:color="auto" w:fill="FFFFFF" w:themeFill="background1"/>
            <w:hideMark/>
          </w:tcPr>
          <w:p w14:paraId="4FAAC89E"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27.25</w:t>
            </w:r>
          </w:p>
        </w:tc>
        <w:tc>
          <w:tcPr>
            <w:tcW w:w="992" w:type="dxa"/>
            <w:shd w:val="clear" w:color="auto" w:fill="FFFFFF" w:themeFill="background1"/>
            <w:hideMark/>
          </w:tcPr>
          <w:p w14:paraId="65DF2FA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26.45</w:t>
            </w:r>
          </w:p>
        </w:tc>
        <w:tc>
          <w:tcPr>
            <w:tcW w:w="1134" w:type="dxa"/>
            <w:shd w:val="clear" w:color="auto" w:fill="FFFFFF" w:themeFill="background1"/>
            <w:hideMark/>
          </w:tcPr>
          <w:p w14:paraId="3E35480E"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20.04</w:t>
            </w:r>
          </w:p>
        </w:tc>
        <w:tc>
          <w:tcPr>
            <w:tcW w:w="851" w:type="dxa"/>
            <w:shd w:val="clear" w:color="auto" w:fill="FFFFFF" w:themeFill="background1"/>
            <w:hideMark/>
          </w:tcPr>
          <w:p w14:paraId="1D1A281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12.02</w:t>
            </w:r>
          </w:p>
        </w:tc>
        <w:tc>
          <w:tcPr>
            <w:tcW w:w="1275" w:type="dxa"/>
            <w:shd w:val="clear" w:color="auto" w:fill="FFFFFF" w:themeFill="background1"/>
          </w:tcPr>
          <w:p w14:paraId="0F81B10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7C2E2CDC"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5E870DE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Mg</w:t>
            </w:r>
            <w:r w:rsidRPr="00E66205">
              <w:rPr>
                <w:rFonts w:ascii="Arial" w:hAnsi="Arial" w:cs="Arial"/>
                <w:sz w:val="20"/>
                <w:szCs w:val="20"/>
                <w:vertAlign w:val="superscript"/>
                <w:lang w:val="en-US"/>
              </w:rPr>
              <w:t>2+</w:t>
            </w:r>
          </w:p>
        </w:tc>
        <w:tc>
          <w:tcPr>
            <w:tcW w:w="992" w:type="dxa"/>
            <w:shd w:val="clear" w:color="auto" w:fill="FFFFFF" w:themeFill="background1"/>
            <w:hideMark/>
          </w:tcPr>
          <w:p w14:paraId="7E2DB62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16.01</w:t>
            </w:r>
          </w:p>
        </w:tc>
        <w:tc>
          <w:tcPr>
            <w:tcW w:w="1276" w:type="dxa"/>
            <w:shd w:val="clear" w:color="auto" w:fill="FFFFFF" w:themeFill="background1"/>
            <w:hideMark/>
          </w:tcPr>
          <w:p w14:paraId="3AB0EDF3"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16.50</w:t>
            </w:r>
          </w:p>
        </w:tc>
        <w:tc>
          <w:tcPr>
            <w:tcW w:w="992" w:type="dxa"/>
            <w:shd w:val="clear" w:color="auto" w:fill="FFFFFF" w:themeFill="background1"/>
            <w:hideMark/>
          </w:tcPr>
          <w:p w14:paraId="30A554B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15.04</w:t>
            </w:r>
          </w:p>
        </w:tc>
        <w:tc>
          <w:tcPr>
            <w:tcW w:w="1134" w:type="dxa"/>
            <w:shd w:val="clear" w:color="auto" w:fill="FFFFFF" w:themeFill="background1"/>
            <w:hideMark/>
          </w:tcPr>
          <w:p w14:paraId="51B0280E"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31.56</w:t>
            </w:r>
          </w:p>
        </w:tc>
        <w:tc>
          <w:tcPr>
            <w:tcW w:w="851" w:type="dxa"/>
            <w:shd w:val="clear" w:color="auto" w:fill="FFFFFF" w:themeFill="background1"/>
            <w:hideMark/>
          </w:tcPr>
          <w:p w14:paraId="6DFD7BA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2.42</w:t>
            </w:r>
          </w:p>
        </w:tc>
        <w:tc>
          <w:tcPr>
            <w:tcW w:w="1275" w:type="dxa"/>
            <w:shd w:val="clear" w:color="auto" w:fill="FFFFFF" w:themeFill="background1"/>
          </w:tcPr>
          <w:p w14:paraId="307E667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7B2F8748"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127BEC43" w14:textId="77777777" w:rsidR="00E66205" w:rsidRPr="00E66205" w:rsidRDefault="00E66205" w:rsidP="003E2334">
            <w:pPr>
              <w:spacing w:line="360" w:lineRule="auto"/>
              <w:jc w:val="center"/>
              <w:rPr>
                <w:rFonts w:ascii="Arial" w:hAnsi="Arial" w:cs="Arial"/>
                <w:b w:val="0"/>
                <w:bCs w:val="0"/>
                <w:sz w:val="20"/>
                <w:szCs w:val="20"/>
                <w:lang w:val="en-US"/>
              </w:rPr>
            </w:pPr>
            <w:r w:rsidRPr="00E66205">
              <w:rPr>
                <w:rFonts w:ascii="Arial" w:eastAsiaTheme="minorEastAsia" w:hAnsi="Arial" w:cs="Arial"/>
                <w:b w:val="0"/>
                <w:bCs w:val="0"/>
                <w:sz w:val="20"/>
                <w:szCs w:val="20"/>
                <w:lang w:val="en-US"/>
              </w:rPr>
              <w:t xml:space="preserve"> </w:t>
            </w:r>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NH</m:t>
                  </m:r>
                </m:e>
                <m:sub>
                  <m:r>
                    <m:rPr>
                      <m:sty m:val="b"/>
                    </m:rPr>
                    <w:rPr>
                      <w:rFonts w:ascii="Cambria Math" w:hAnsi="Cambria Math" w:cs="Arial"/>
                      <w:sz w:val="20"/>
                      <w:szCs w:val="20"/>
                      <w:lang w:val="en-US"/>
                    </w:rPr>
                    <m:t>4</m:t>
                  </m:r>
                </m:sub>
                <m:sup>
                  <m:r>
                    <m:rPr>
                      <m:sty m:val="b"/>
                    </m:rPr>
                    <w:rPr>
                      <w:rFonts w:ascii="Cambria Math" w:hAnsi="Cambria Math" w:cs="Arial"/>
                      <w:sz w:val="20"/>
                      <w:szCs w:val="20"/>
                      <w:lang w:val="en-US"/>
                    </w:rPr>
                    <m:t>+</m:t>
                  </m:r>
                </m:sup>
              </m:sSubSup>
            </m:oMath>
          </w:p>
        </w:tc>
        <w:tc>
          <w:tcPr>
            <w:tcW w:w="992" w:type="dxa"/>
            <w:shd w:val="clear" w:color="auto" w:fill="FFFFFF" w:themeFill="background1"/>
            <w:hideMark/>
          </w:tcPr>
          <w:p w14:paraId="37236F0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65672B38"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41F1EEB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795FC77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6A74B430"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1A31950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66F4505A"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965CF83" w14:textId="77777777" w:rsidR="00E66205" w:rsidRPr="00E66205" w:rsidRDefault="00904DD9"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NO</m:t>
                    </m:r>
                  </m:e>
                  <m:sub>
                    <m:r>
                      <m:rPr>
                        <m:sty m:val="b"/>
                      </m:rPr>
                      <w:rPr>
                        <w:rFonts w:ascii="Cambria Math" w:hAnsi="Cambria Math" w:cs="Arial"/>
                        <w:sz w:val="20"/>
                        <w:szCs w:val="20"/>
                        <w:lang w:val="en-US"/>
                      </w:rPr>
                      <m:t>2</m:t>
                    </m:r>
                  </m:sub>
                  <m:sup>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01D6C643"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1276" w:type="dxa"/>
            <w:shd w:val="clear" w:color="auto" w:fill="FFFFFF" w:themeFill="background1"/>
            <w:hideMark/>
          </w:tcPr>
          <w:p w14:paraId="27809A82"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992" w:type="dxa"/>
            <w:shd w:val="clear" w:color="auto" w:fill="FFFFFF" w:themeFill="background1"/>
            <w:hideMark/>
          </w:tcPr>
          <w:p w14:paraId="0BB4407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1134" w:type="dxa"/>
            <w:shd w:val="clear" w:color="auto" w:fill="FFFFFF" w:themeFill="background1"/>
            <w:hideMark/>
          </w:tcPr>
          <w:p w14:paraId="1D1A4B3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851" w:type="dxa"/>
            <w:shd w:val="clear" w:color="auto" w:fill="FFFFFF" w:themeFill="background1"/>
            <w:hideMark/>
          </w:tcPr>
          <w:p w14:paraId="14C4F82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0.06</w:t>
            </w:r>
          </w:p>
        </w:tc>
        <w:tc>
          <w:tcPr>
            <w:tcW w:w="1275" w:type="dxa"/>
            <w:shd w:val="clear" w:color="auto" w:fill="FFFFFF" w:themeFill="background1"/>
          </w:tcPr>
          <w:p w14:paraId="6370518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w:t>
            </w:r>
          </w:p>
        </w:tc>
      </w:tr>
      <w:tr w:rsidR="00E66205" w:rsidRPr="00E66205" w14:paraId="1FBA2B57"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5BB8242" w14:textId="77777777" w:rsidR="00E66205" w:rsidRPr="00E66205" w:rsidRDefault="00904DD9"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NO</m:t>
                    </m:r>
                  </m:e>
                  <m:sub>
                    <m:r>
                      <m:rPr>
                        <m:sty m:val="b"/>
                      </m:rPr>
                      <w:rPr>
                        <w:rFonts w:ascii="Cambria Math" w:hAnsi="Cambria Math" w:cs="Arial"/>
                        <w:sz w:val="20"/>
                        <w:szCs w:val="20"/>
                        <w:lang w:val="en-US"/>
                      </w:rPr>
                      <m:t>3</m:t>
                    </m:r>
                  </m:sub>
                  <m:sup>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4580F79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7.46</w:t>
            </w:r>
          </w:p>
        </w:tc>
        <w:tc>
          <w:tcPr>
            <w:tcW w:w="1276" w:type="dxa"/>
            <w:shd w:val="clear" w:color="auto" w:fill="FFFFFF" w:themeFill="background1"/>
            <w:hideMark/>
          </w:tcPr>
          <w:p w14:paraId="7FA73EF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7.56</w:t>
            </w:r>
          </w:p>
        </w:tc>
        <w:tc>
          <w:tcPr>
            <w:tcW w:w="992" w:type="dxa"/>
            <w:shd w:val="clear" w:color="auto" w:fill="FFFFFF" w:themeFill="background1"/>
            <w:hideMark/>
          </w:tcPr>
          <w:p w14:paraId="4E282F4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7.57</w:t>
            </w:r>
          </w:p>
        </w:tc>
        <w:tc>
          <w:tcPr>
            <w:tcW w:w="1134" w:type="dxa"/>
            <w:shd w:val="clear" w:color="auto" w:fill="FFFFFF" w:themeFill="background1"/>
            <w:hideMark/>
          </w:tcPr>
          <w:p w14:paraId="76AB6A39"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10.31</w:t>
            </w:r>
          </w:p>
        </w:tc>
        <w:tc>
          <w:tcPr>
            <w:tcW w:w="851" w:type="dxa"/>
            <w:shd w:val="clear" w:color="auto" w:fill="FFFFFF" w:themeFill="background1"/>
            <w:hideMark/>
          </w:tcPr>
          <w:p w14:paraId="2916F0F6"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1.00</w:t>
            </w:r>
          </w:p>
        </w:tc>
        <w:tc>
          <w:tcPr>
            <w:tcW w:w="1275" w:type="dxa"/>
            <w:shd w:val="clear" w:color="auto" w:fill="FFFFFF" w:themeFill="background1"/>
          </w:tcPr>
          <w:p w14:paraId="7026E8B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50</w:t>
            </w:r>
          </w:p>
        </w:tc>
      </w:tr>
      <w:tr w:rsidR="00E66205" w:rsidRPr="00E66205" w14:paraId="11B704EA"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41D7C73" w14:textId="77777777" w:rsidR="00E66205" w:rsidRPr="00E66205" w:rsidRDefault="00904DD9"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CO</m:t>
                    </m:r>
                  </m:e>
                  <m:sub>
                    <m:r>
                      <m:rPr>
                        <m:sty m:val="b"/>
                      </m:rPr>
                      <w:rPr>
                        <w:rFonts w:ascii="Cambria Math" w:hAnsi="Cambria Math" w:cs="Arial"/>
                        <w:sz w:val="20"/>
                        <w:szCs w:val="20"/>
                        <w:lang w:val="en-US"/>
                      </w:rPr>
                      <m:t>3</m:t>
                    </m:r>
                  </m:sub>
                  <m:sup>
                    <m:r>
                      <m:rPr>
                        <m:sty m:val="b"/>
                      </m:rPr>
                      <w:rPr>
                        <w:rFonts w:ascii="Cambria Math" w:hAnsi="Cambria Math" w:cs="Arial"/>
                        <w:sz w:val="20"/>
                        <w:szCs w:val="20"/>
                        <w:lang w:val="en-US"/>
                      </w:rPr>
                      <m:t>2</m:t>
                    </m:r>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3A3C2B6F"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315B0B21"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0CC6C79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40E45E4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14008808"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736F590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67BB5F2D" w14:textId="77777777" w:rsidTr="003E233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35442E4B" w14:textId="77777777" w:rsidR="00E66205" w:rsidRPr="00E66205" w:rsidRDefault="00904DD9"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HCO</m:t>
                    </m:r>
                  </m:e>
                  <m:sub>
                    <m:r>
                      <m:rPr>
                        <m:sty m:val="b"/>
                      </m:rPr>
                      <w:rPr>
                        <w:rFonts w:ascii="Cambria Math" w:hAnsi="Cambria Math" w:cs="Arial"/>
                        <w:sz w:val="20"/>
                        <w:szCs w:val="20"/>
                        <w:lang w:val="en-US"/>
                      </w:rPr>
                      <m:t>3</m:t>
                    </m:r>
                  </m:sub>
                  <m:sup>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13B0D04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141.52</w:t>
            </w:r>
          </w:p>
        </w:tc>
        <w:tc>
          <w:tcPr>
            <w:tcW w:w="1276" w:type="dxa"/>
            <w:shd w:val="clear" w:color="auto" w:fill="FFFFFF" w:themeFill="background1"/>
            <w:hideMark/>
          </w:tcPr>
          <w:p w14:paraId="0134311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141.52</w:t>
            </w:r>
          </w:p>
        </w:tc>
        <w:tc>
          <w:tcPr>
            <w:tcW w:w="992" w:type="dxa"/>
            <w:shd w:val="clear" w:color="auto" w:fill="FFFFFF" w:themeFill="background1"/>
            <w:hideMark/>
          </w:tcPr>
          <w:p w14:paraId="4A4C9A72"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126.88</w:t>
            </w:r>
          </w:p>
        </w:tc>
        <w:tc>
          <w:tcPr>
            <w:tcW w:w="1134" w:type="dxa"/>
            <w:shd w:val="clear" w:color="auto" w:fill="FFFFFF" w:themeFill="background1"/>
            <w:hideMark/>
          </w:tcPr>
          <w:p w14:paraId="77CDE5B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124.44</w:t>
            </w:r>
          </w:p>
        </w:tc>
        <w:tc>
          <w:tcPr>
            <w:tcW w:w="851" w:type="dxa"/>
            <w:shd w:val="clear" w:color="auto" w:fill="FFFFFF" w:themeFill="background1"/>
            <w:hideMark/>
          </w:tcPr>
          <w:p w14:paraId="30F3CFFE"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48.80</w:t>
            </w:r>
          </w:p>
        </w:tc>
        <w:tc>
          <w:tcPr>
            <w:tcW w:w="1275" w:type="dxa"/>
            <w:shd w:val="clear" w:color="auto" w:fill="FFFFFF" w:themeFill="background1"/>
          </w:tcPr>
          <w:p w14:paraId="147F03A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148C3233"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1A3F2ED2" w14:textId="77777777" w:rsidR="00E66205" w:rsidRPr="00E66205" w:rsidRDefault="00904DD9"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PO</m:t>
                    </m:r>
                  </m:e>
                  <m:sub>
                    <m:r>
                      <m:rPr>
                        <m:sty m:val="b"/>
                      </m:rPr>
                      <w:rPr>
                        <w:rFonts w:ascii="Cambria Math" w:hAnsi="Cambria Math" w:cs="Arial"/>
                        <w:sz w:val="20"/>
                        <w:szCs w:val="20"/>
                        <w:lang w:val="en-US"/>
                      </w:rPr>
                      <m:t>4</m:t>
                    </m:r>
                  </m:sub>
                  <m:sup>
                    <m:r>
                      <m:rPr>
                        <m:sty m:val="b"/>
                      </m:rPr>
                      <w:rPr>
                        <w:rFonts w:ascii="Cambria Math" w:hAnsi="Cambria Math" w:cs="Arial"/>
                        <w:sz w:val="20"/>
                        <w:szCs w:val="20"/>
                        <w:lang w:val="en-US"/>
                      </w:rPr>
                      <m:t>3</m:t>
                    </m:r>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04F3F03B"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1276" w:type="dxa"/>
            <w:shd w:val="clear" w:color="auto" w:fill="FFFFFF" w:themeFill="background1"/>
            <w:hideMark/>
          </w:tcPr>
          <w:p w14:paraId="1D53B4EB"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992" w:type="dxa"/>
            <w:shd w:val="clear" w:color="auto" w:fill="FFFFFF" w:themeFill="background1"/>
            <w:hideMark/>
          </w:tcPr>
          <w:p w14:paraId="2F5058A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1134" w:type="dxa"/>
            <w:shd w:val="clear" w:color="auto" w:fill="FFFFFF" w:themeFill="background1"/>
            <w:hideMark/>
          </w:tcPr>
          <w:p w14:paraId="38663B9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851" w:type="dxa"/>
            <w:shd w:val="clear" w:color="auto" w:fill="FFFFFF" w:themeFill="background1"/>
            <w:hideMark/>
          </w:tcPr>
          <w:p w14:paraId="4507D9EE"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5940586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bookmarkStart w:id="10" w:name="_Hlk205310309"/>
      <w:tr w:rsidR="00E66205" w:rsidRPr="00E66205" w14:paraId="3E5111A5"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16E8CA4" w14:textId="77777777" w:rsidR="00E66205" w:rsidRPr="00E66205" w:rsidRDefault="00904DD9"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SO</m:t>
                    </m:r>
                  </m:e>
                  <m:sub>
                    <m:r>
                      <m:rPr>
                        <m:sty m:val="b"/>
                      </m:rPr>
                      <w:rPr>
                        <w:rFonts w:ascii="Cambria Math" w:hAnsi="Cambria Math" w:cs="Arial"/>
                        <w:sz w:val="20"/>
                        <w:szCs w:val="20"/>
                        <w:lang w:val="en-US"/>
                      </w:rPr>
                      <m:t>4</m:t>
                    </m:r>
                  </m:sub>
                  <m:sup>
                    <m:r>
                      <m:rPr>
                        <m:sty m:val="b"/>
                      </m:rPr>
                      <w:rPr>
                        <w:rFonts w:ascii="Cambria Math" w:hAnsi="Cambria Math" w:cs="Arial"/>
                        <w:sz w:val="20"/>
                        <w:szCs w:val="20"/>
                        <w:lang w:val="en-US"/>
                      </w:rPr>
                      <m:t>2</m:t>
                    </m:r>
                    <m:r>
                      <m:rPr>
                        <m:sty m:val="b"/>
                      </m:rPr>
                      <w:rPr>
                        <w:rFonts w:ascii="Cambria Math" w:hAnsi="Cambria Math" w:cs="Arial"/>
                        <w:sz w:val="20"/>
                        <w:szCs w:val="20"/>
                        <w:lang w:val="en-US"/>
                      </w:rPr>
                      <m:t>-</m:t>
                    </m:r>
                  </m:sup>
                </m:sSubSup>
              </m:oMath>
            </m:oMathPara>
            <w:bookmarkEnd w:id="10"/>
          </w:p>
        </w:tc>
        <w:tc>
          <w:tcPr>
            <w:tcW w:w="992" w:type="dxa"/>
            <w:shd w:val="clear" w:color="auto" w:fill="FFFFFF" w:themeFill="background1"/>
            <w:hideMark/>
          </w:tcPr>
          <w:p w14:paraId="69165FA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3.00</w:t>
            </w:r>
          </w:p>
        </w:tc>
        <w:tc>
          <w:tcPr>
            <w:tcW w:w="1276" w:type="dxa"/>
            <w:shd w:val="clear" w:color="auto" w:fill="FFFFFF" w:themeFill="background1"/>
            <w:hideMark/>
          </w:tcPr>
          <w:p w14:paraId="1A61192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3.00</w:t>
            </w:r>
          </w:p>
        </w:tc>
        <w:tc>
          <w:tcPr>
            <w:tcW w:w="992" w:type="dxa"/>
            <w:shd w:val="clear" w:color="auto" w:fill="FFFFFF" w:themeFill="background1"/>
            <w:hideMark/>
          </w:tcPr>
          <w:p w14:paraId="1A0E0A6A"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2.00</w:t>
            </w:r>
          </w:p>
        </w:tc>
        <w:tc>
          <w:tcPr>
            <w:tcW w:w="1134" w:type="dxa"/>
            <w:shd w:val="clear" w:color="auto" w:fill="FFFFFF" w:themeFill="background1"/>
            <w:hideMark/>
          </w:tcPr>
          <w:p w14:paraId="27B24EEA"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1.00</w:t>
            </w:r>
          </w:p>
        </w:tc>
        <w:tc>
          <w:tcPr>
            <w:tcW w:w="851" w:type="dxa"/>
            <w:shd w:val="clear" w:color="auto" w:fill="FFFFFF" w:themeFill="background1"/>
            <w:hideMark/>
          </w:tcPr>
          <w:p w14:paraId="7E8A28A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1546204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3A8D9E96"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71EB637"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Cl</w:t>
            </w:r>
            <w:r w:rsidRPr="00E66205">
              <w:rPr>
                <w:rFonts w:ascii="Arial" w:hAnsi="Arial" w:cs="Arial"/>
                <w:sz w:val="20"/>
                <w:szCs w:val="20"/>
                <w:vertAlign w:val="superscript"/>
                <w:lang w:val="en-US"/>
              </w:rPr>
              <w:t>-</w:t>
            </w:r>
          </w:p>
        </w:tc>
        <w:tc>
          <w:tcPr>
            <w:tcW w:w="992" w:type="dxa"/>
            <w:shd w:val="clear" w:color="auto" w:fill="FFFFFF" w:themeFill="background1"/>
            <w:hideMark/>
          </w:tcPr>
          <w:p w14:paraId="00413C91"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61BD3F52"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343312EB"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2669995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3C2C5B8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w:t>
            </w:r>
          </w:p>
        </w:tc>
        <w:tc>
          <w:tcPr>
            <w:tcW w:w="1275" w:type="dxa"/>
            <w:shd w:val="clear" w:color="auto" w:fill="FFFFFF" w:themeFill="background1"/>
          </w:tcPr>
          <w:p w14:paraId="0CBFF102"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2778B33A"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609B78F"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F</w:t>
            </w:r>
            <w:r w:rsidRPr="00E66205">
              <w:rPr>
                <w:rFonts w:ascii="Arial" w:hAnsi="Arial" w:cs="Arial"/>
                <w:sz w:val="20"/>
                <w:szCs w:val="20"/>
                <w:vertAlign w:val="superscript"/>
                <w:lang w:val="en-US"/>
              </w:rPr>
              <w:t>-</w:t>
            </w:r>
          </w:p>
        </w:tc>
        <w:tc>
          <w:tcPr>
            <w:tcW w:w="992" w:type="dxa"/>
            <w:shd w:val="clear" w:color="auto" w:fill="FFFFFF" w:themeFill="background1"/>
            <w:hideMark/>
          </w:tcPr>
          <w:p w14:paraId="1DD3C55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60464CA8"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03F7AFC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501E8070"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3D323629"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4A5484D5"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1.5</w:t>
            </w:r>
          </w:p>
        </w:tc>
      </w:tr>
      <w:tr w:rsidR="00E66205" w:rsidRPr="00E66205" w14:paraId="2CAEB0D2"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5C80755C"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Fe</w:t>
            </w:r>
            <w:r w:rsidRPr="00E66205">
              <w:rPr>
                <w:rFonts w:ascii="Arial" w:hAnsi="Arial" w:cs="Arial"/>
                <w:sz w:val="20"/>
                <w:szCs w:val="20"/>
                <w:vertAlign w:val="superscript"/>
                <w:lang w:val="en-US"/>
              </w:rPr>
              <w:t>2+</w:t>
            </w:r>
          </w:p>
        </w:tc>
        <w:tc>
          <w:tcPr>
            <w:tcW w:w="992" w:type="dxa"/>
            <w:shd w:val="clear" w:color="auto" w:fill="FFFFFF" w:themeFill="background1"/>
            <w:hideMark/>
          </w:tcPr>
          <w:p w14:paraId="47233A9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0.10</w:t>
            </w:r>
          </w:p>
        </w:tc>
        <w:tc>
          <w:tcPr>
            <w:tcW w:w="1276" w:type="dxa"/>
            <w:shd w:val="clear" w:color="auto" w:fill="FFFFFF" w:themeFill="background1"/>
            <w:hideMark/>
          </w:tcPr>
          <w:p w14:paraId="2D8B8979"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0.08</w:t>
            </w:r>
          </w:p>
        </w:tc>
        <w:tc>
          <w:tcPr>
            <w:tcW w:w="992" w:type="dxa"/>
            <w:shd w:val="clear" w:color="auto" w:fill="FFFFFF" w:themeFill="background1"/>
            <w:hideMark/>
          </w:tcPr>
          <w:p w14:paraId="5D25BFE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0.03</w:t>
            </w:r>
          </w:p>
        </w:tc>
        <w:tc>
          <w:tcPr>
            <w:tcW w:w="1134" w:type="dxa"/>
            <w:shd w:val="clear" w:color="auto" w:fill="FFFFFF" w:themeFill="background1"/>
            <w:hideMark/>
          </w:tcPr>
          <w:p w14:paraId="0C3FA55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0.02</w:t>
            </w:r>
          </w:p>
        </w:tc>
        <w:tc>
          <w:tcPr>
            <w:tcW w:w="851" w:type="dxa"/>
            <w:shd w:val="clear" w:color="auto" w:fill="FFFFFF" w:themeFill="background1"/>
            <w:hideMark/>
          </w:tcPr>
          <w:p w14:paraId="00B6925D"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0.02</w:t>
            </w:r>
          </w:p>
        </w:tc>
        <w:tc>
          <w:tcPr>
            <w:tcW w:w="1275" w:type="dxa"/>
            <w:shd w:val="clear" w:color="auto" w:fill="FFFFFF" w:themeFill="background1"/>
          </w:tcPr>
          <w:p w14:paraId="77199D2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2D6CB98E"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4C22A9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lastRenderedPageBreak/>
              <w:t>SiO</w:t>
            </w:r>
            <w:r w:rsidRPr="00E66205">
              <w:rPr>
                <w:rFonts w:ascii="Arial" w:hAnsi="Arial" w:cs="Arial"/>
                <w:sz w:val="20"/>
                <w:szCs w:val="20"/>
                <w:vertAlign w:val="subscript"/>
                <w:lang w:val="en-US"/>
              </w:rPr>
              <w:t>2</w:t>
            </w:r>
          </w:p>
        </w:tc>
        <w:tc>
          <w:tcPr>
            <w:tcW w:w="992" w:type="dxa"/>
            <w:shd w:val="clear" w:color="auto" w:fill="FFFFFF" w:themeFill="background1"/>
            <w:hideMark/>
          </w:tcPr>
          <w:p w14:paraId="67E9264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766DF41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733AEE9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36DF68E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33C918C0"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44C7509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3EA22438"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3F17559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Mn</w:t>
            </w:r>
          </w:p>
        </w:tc>
        <w:tc>
          <w:tcPr>
            <w:tcW w:w="992" w:type="dxa"/>
            <w:shd w:val="clear" w:color="auto" w:fill="FFFFFF" w:themeFill="background1"/>
            <w:hideMark/>
          </w:tcPr>
          <w:p w14:paraId="7D3BC6B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794254A8"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00B6A1A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79643771"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14AFD79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38EEDD0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0.4</w:t>
            </w:r>
          </w:p>
        </w:tc>
      </w:tr>
      <w:tr w:rsidR="00E66205" w:rsidRPr="00E66205" w14:paraId="47E48B7A"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D54478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Cu</w:t>
            </w:r>
            <w:r w:rsidRPr="00E66205">
              <w:rPr>
                <w:rFonts w:ascii="Arial" w:hAnsi="Arial" w:cs="Arial"/>
                <w:sz w:val="20"/>
                <w:szCs w:val="20"/>
                <w:vertAlign w:val="superscript"/>
                <w:lang w:val="en-US"/>
              </w:rPr>
              <w:t>2+</w:t>
            </w:r>
          </w:p>
        </w:tc>
        <w:tc>
          <w:tcPr>
            <w:tcW w:w="992" w:type="dxa"/>
            <w:shd w:val="clear" w:color="auto" w:fill="FFFFFF" w:themeFill="background1"/>
            <w:hideMark/>
          </w:tcPr>
          <w:p w14:paraId="5549791C"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7EB80A4C"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757011B9"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6764D9D2"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2305319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194D5C8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w:t>
            </w:r>
          </w:p>
        </w:tc>
      </w:tr>
      <w:tr w:rsidR="00E66205" w:rsidRPr="00E66205" w14:paraId="6DD305F8"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25C7A3A2"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Na</w:t>
            </w:r>
            <w:r w:rsidRPr="00E66205">
              <w:rPr>
                <w:rFonts w:ascii="Arial" w:hAnsi="Arial" w:cs="Arial"/>
                <w:sz w:val="20"/>
                <w:szCs w:val="20"/>
                <w:vertAlign w:val="superscript"/>
                <w:lang w:val="en-US"/>
              </w:rPr>
              <w:t>+</w:t>
            </w:r>
          </w:p>
        </w:tc>
        <w:tc>
          <w:tcPr>
            <w:tcW w:w="992" w:type="dxa"/>
            <w:shd w:val="clear" w:color="auto" w:fill="FFFFFF" w:themeFill="background1"/>
            <w:hideMark/>
          </w:tcPr>
          <w:p w14:paraId="76DD4F4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18.04</w:t>
            </w:r>
          </w:p>
        </w:tc>
        <w:tc>
          <w:tcPr>
            <w:tcW w:w="1276" w:type="dxa"/>
            <w:shd w:val="clear" w:color="auto" w:fill="FFFFFF" w:themeFill="background1"/>
            <w:hideMark/>
          </w:tcPr>
          <w:p w14:paraId="2338017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23.13</w:t>
            </w:r>
          </w:p>
        </w:tc>
        <w:tc>
          <w:tcPr>
            <w:tcW w:w="992" w:type="dxa"/>
            <w:shd w:val="clear" w:color="auto" w:fill="FFFFFF" w:themeFill="background1"/>
            <w:hideMark/>
          </w:tcPr>
          <w:p w14:paraId="369CC03E"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18.34</w:t>
            </w:r>
          </w:p>
        </w:tc>
        <w:tc>
          <w:tcPr>
            <w:tcW w:w="1134" w:type="dxa"/>
            <w:shd w:val="clear" w:color="auto" w:fill="FFFFFF" w:themeFill="background1"/>
            <w:hideMark/>
          </w:tcPr>
          <w:p w14:paraId="3687E31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14.10</w:t>
            </w:r>
          </w:p>
        </w:tc>
        <w:tc>
          <w:tcPr>
            <w:tcW w:w="851" w:type="dxa"/>
            <w:shd w:val="clear" w:color="auto" w:fill="FFFFFF" w:themeFill="background1"/>
            <w:hideMark/>
          </w:tcPr>
          <w:p w14:paraId="161FB7A9"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18.08</w:t>
            </w:r>
          </w:p>
        </w:tc>
        <w:tc>
          <w:tcPr>
            <w:tcW w:w="1275" w:type="dxa"/>
            <w:shd w:val="clear" w:color="auto" w:fill="FFFFFF" w:themeFill="background1"/>
          </w:tcPr>
          <w:p w14:paraId="59D57AC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5398DC5A" w14:textId="77777777" w:rsidR="00E66205" w:rsidRPr="00E66205" w:rsidRDefault="00E66205" w:rsidP="00E66205">
      <w:pPr>
        <w:spacing w:line="360" w:lineRule="auto"/>
        <w:jc w:val="both"/>
        <w:rPr>
          <w:rFonts w:ascii="Arial" w:hAnsi="Arial" w:cs="Arial"/>
          <w:iCs/>
        </w:rPr>
      </w:pPr>
    </w:p>
    <w:p w14:paraId="2A4A39D8"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values observed in BUMIGEB water (Table 6) for sulfates in the range of 2 to 3 mg/L, compared to a total absence in ONEA water, are acceptable since there are no guideline values proposed on the basis of health considerations.</w:t>
      </w:r>
    </w:p>
    <w:p w14:paraId="7C99E271" w14:textId="77777777" w:rsidR="00E66205" w:rsidRPr="00E66205" w:rsidRDefault="00E66205" w:rsidP="00E66205">
      <w:pPr>
        <w:spacing w:line="360" w:lineRule="auto"/>
        <w:jc w:val="both"/>
        <w:rPr>
          <w:rFonts w:ascii="Arial" w:hAnsi="Arial" w:cs="Arial"/>
          <w:iCs/>
        </w:rPr>
      </w:pPr>
      <w:r w:rsidRPr="00E66205">
        <w:rPr>
          <w:rFonts w:ascii="Arial" w:hAnsi="Arial" w:cs="Arial"/>
          <w:iCs/>
        </w:rPr>
        <w:t>Phosphates are naturally occurring elements in groundwater. Their concentration in BUMIGEB water is very low (around 0.20 mg/L) and therefore poses no risk.</w:t>
      </w:r>
    </w:p>
    <w:p w14:paraId="3690F420" w14:textId="77777777" w:rsidR="00E66205" w:rsidRPr="00E66205" w:rsidRDefault="00E66205" w:rsidP="00E66205">
      <w:pPr>
        <w:spacing w:line="360" w:lineRule="auto"/>
        <w:jc w:val="both"/>
        <w:rPr>
          <w:rFonts w:ascii="Arial" w:hAnsi="Arial" w:cs="Arial"/>
          <w:iCs/>
        </w:rPr>
      </w:pPr>
      <w:r w:rsidRPr="00E66205">
        <w:rPr>
          <w:rFonts w:ascii="Arial" w:hAnsi="Arial" w:cs="Arial"/>
          <w:iCs/>
        </w:rPr>
        <w:t xml:space="preserve">Classified as low-carcinogenic to humans, chlorides are best known for their ability to affect the taste and smell of water. Experiments on humans and animals have shown no toxic effects with high levels of chlorinated water (up to 50 mg/L). BUMIGEB water does not contain chlorides. </w:t>
      </w:r>
    </w:p>
    <w:p w14:paraId="71F238D4" w14:textId="77777777" w:rsidR="00E66205" w:rsidRPr="00E66205" w:rsidRDefault="00E66205" w:rsidP="00E66205">
      <w:pPr>
        <w:spacing w:line="360" w:lineRule="auto"/>
        <w:jc w:val="both"/>
        <w:rPr>
          <w:rFonts w:ascii="Arial" w:hAnsi="Arial" w:cs="Arial"/>
          <w:iCs/>
        </w:rPr>
      </w:pPr>
      <w:r w:rsidRPr="00E66205">
        <w:rPr>
          <w:rFonts w:ascii="Arial" w:hAnsi="Arial" w:cs="Arial"/>
          <w:iCs/>
        </w:rPr>
        <w:t xml:space="preserve">There are no fluorides in the samples analyzed. As one of the most closely monitored chemicals in groundwater in terms of public health, their absence is a cause for relief. </w:t>
      </w:r>
    </w:p>
    <w:p w14:paraId="747B089C" w14:textId="77777777" w:rsidR="00E66205" w:rsidRPr="00E66205" w:rsidRDefault="00E66205" w:rsidP="00E66205">
      <w:pPr>
        <w:spacing w:line="360" w:lineRule="auto"/>
        <w:jc w:val="both"/>
        <w:rPr>
          <w:rFonts w:ascii="Arial" w:hAnsi="Arial" w:cs="Arial"/>
          <w:iCs/>
        </w:rPr>
      </w:pPr>
      <w:bookmarkStart w:id="11" w:name="_Toc197081449"/>
      <w:r w:rsidRPr="00E66205">
        <w:rPr>
          <w:rFonts w:ascii="Arial" w:hAnsi="Arial" w:cs="Arial"/>
          <w:iCs/>
        </w:rPr>
        <w:t xml:space="preserve">BUMIGEB water contains trace amounts of iron. It should be noted that copper in water is usually associated with the corrosive action of water, which releases it from copper pipes. The WHO sets the guideline value at 2 mg/L. Copper gives water an unpleasant color and bitter taste. Iron and manganese also give the water an unpleasant taste (Vargas et al., 2010). </w:t>
      </w:r>
    </w:p>
    <w:p w14:paraId="2F064295" w14:textId="77777777" w:rsidR="00E66205" w:rsidRPr="00E66205" w:rsidRDefault="00E66205" w:rsidP="00E66205">
      <w:pPr>
        <w:spacing w:line="360" w:lineRule="auto"/>
        <w:jc w:val="both"/>
        <w:rPr>
          <w:rFonts w:ascii="Arial" w:hAnsi="Arial" w:cs="Arial"/>
          <w:iCs/>
        </w:rPr>
      </w:pPr>
      <w:r w:rsidRPr="00E66205">
        <w:rPr>
          <w:rFonts w:ascii="Arial" w:hAnsi="Arial" w:cs="Arial"/>
          <w:iCs/>
        </w:rPr>
        <w:t>High levels of sodium in water can be harmful to individuals on a low-salt diet. The values obtained for BUMIGEB water are close to those for ONEA water (between 15 and 20 mg/L). These data are acceptable since the WHO has no guideline value but sets the detection threshold for this salt in water at around 200 mg/L.</w:t>
      </w:r>
    </w:p>
    <w:p w14:paraId="1E3515FD" w14:textId="77777777" w:rsidR="00E66205" w:rsidRPr="00E66205" w:rsidRDefault="00E66205" w:rsidP="00E66205">
      <w:pPr>
        <w:spacing w:line="360" w:lineRule="auto"/>
        <w:jc w:val="both"/>
        <w:rPr>
          <w:rFonts w:ascii="Arial" w:hAnsi="Arial" w:cs="Arial"/>
          <w:b/>
          <w:bCs/>
        </w:rPr>
      </w:pPr>
    </w:p>
    <w:p w14:paraId="759945CD" w14:textId="77777777" w:rsidR="00E66205" w:rsidRPr="00E66205" w:rsidRDefault="00E66205" w:rsidP="00E66205">
      <w:pPr>
        <w:spacing w:line="360" w:lineRule="auto"/>
        <w:jc w:val="both"/>
        <w:rPr>
          <w:rFonts w:ascii="Arial" w:hAnsi="Arial" w:cs="Arial"/>
          <w:b/>
          <w:bCs/>
        </w:rPr>
      </w:pPr>
      <w:bookmarkStart w:id="12" w:name="_Toc196128133"/>
      <w:bookmarkEnd w:id="11"/>
      <w:r w:rsidRPr="00E66205">
        <w:rPr>
          <w:rFonts w:ascii="Arial" w:hAnsi="Arial" w:cs="Arial"/>
          <w:b/>
          <w:bCs/>
        </w:rPr>
        <w:t>3.3 Soil</w:t>
      </w:r>
    </w:p>
    <w:p w14:paraId="1417C0D6" w14:textId="77777777" w:rsidR="00E66205" w:rsidRPr="00E66205" w:rsidRDefault="00E66205" w:rsidP="00E66205">
      <w:pPr>
        <w:spacing w:line="360" w:lineRule="auto"/>
        <w:jc w:val="both"/>
        <w:rPr>
          <w:rFonts w:ascii="Arial" w:hAnsi="Arial" w:cs="Arial"/>
        </w:rPr>
      </w:pPr>
      <w:r w:rsidRPr="00E66205">
        <w:rPr>
          <w:rFonts w:ascii="Arial" w:hAnsi="Arial" w:cs="Arial"/>
        </w:rPr>
        <w:t>The results of the variation in the concentrations of the metals studied are presented for each sample. We recorded the concentrations for each metal and calculated the average. The concentrations obtained are listed in Table 7 for the soil analysis.</w:t>
      </w:r>
    </w:p>
    <w:p w14:paraId="6E4D92DA" w14:textId="77777777" w:rsidR="00E66205" w:rsidRPr="00E66205" w:rsidRDefault="00E66205" w:rsidP="00E66205">
      <w:pPr>
        <w:spacing w:line="360" w:lineRule="auto"/>
        <w:jc w:val="both"/>
        <w:rPr>
          <w:rFonts w:ascii="Arial" w:hAnsi="Arial" w:cs="Arial"/>
        </w:rPr>
      </w:pPr>
    </w:p>
    <w:bookmarkEnd w:id="12"/>
    <w:p w14:paraId="3107AF7B"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7. Results of soil metal analysis</w:t>
      </w:r>
    </w:p>
    <w:tbl>
      <w:tblPr>
        <w:tblStyle w:val="ListTable2"/>
        <w:tblW w:w="8648" w:type="dxa"/>
        <w:jc w:val="center"/>
        <w:tblInd w:w="0" w:type="dxa"/>
        <w:tblBorders>
          <w:insideH w:val="single" w:sz="4" w:space="0" w:color="auto"/>
        </w:tblBorders>
        <w:tblLook w:val="04A0" w:firstRow="1" w:lastRow="0" w:firstColumn="1" w:lastColumn="0" w:noHBand="0" w:noVBand="1"/>
      </w:tblPr>
      <w:tblGrid>
        <w:gridCol w:w="1584"/>
        <w:gridCol w:w="1300"/>
        <w:gridCol w:w="1484"/>
        <w:gridCol w:w="1200"/>
        <w:gridCol w:w="1351"/>
        <w:gridCol w:w="1729"/>
      </w:tblGrid>
      <w:tr w:rsidR="00E66205" w:rsidRPr="00E66205" w14:paraId="1FB62BDA" w14:textId="77777777" w:rsidTr="003E233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0EE3C5F2"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Sample</w:t>
            </w:r>
          </w:p>
        </w:tc>
        <w:tc>
          <w:tcPr>
            <w:tcW w:w="1300" w:type="dxa"/>
            <w:shd w:val="clear" w:color="auto" w:fill="FFFFFF" w:themeFill="background1"/>
            <w:noWrap/>
            <w:hideMark/>
          </w:tcPr>
          <w:p w14:paraId="532D9A99"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Mode</w:t>
            </w:r>
          </w:p>
        </w:tc>
        <w:tc>
          <w:tcPr>
            <w:tcW w:w="1484" w:type="dxa"/>
            <w:shd w:val="clear" w:color="auto" w:fill="FFFFFF" w:themeFill="background1"/>
            <w:noWrap/>
            <w:hideMark/>
          </w:tcPr>
          <w:p w14:paraId="1790B694"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Si (ppm)</w:t>
            </w:r>
          </w:p>
        </w:tc>
        <w:tc>
          <w:tcPr>
            <w:tcW w:w="1200" w:type="dxa"/>
            <w:shd w:val="clear" w:color="auto" w:fill="FFFFFF" w:themeFill="background1"/>
            <w:noWrap/>
            <w:hideMark/>
          </w:tcPr>
          <w:p w14:paraId="25B8FAD3"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Si +/-</w:t>
            </w:r>
          </w:p>
        </w:tc>
        <w:tc>
          <w:tcPr>
            <w:tcW w:w="1351" w:type="dxa"/>
            <w:shd w:val="clear" w:color="auto" w:fill="FFFFFF" w:themeFill="background1"/>
            <w:noWrap/>
            <w:hideMark/>
          </w:tcPr>
          <w:p w14:paraId="447B26D3"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Pb (ppm)</w:t>
            </w:r>
          </w:p>
        </w:tc>
        <w:tc>
          <w:tcPr>
            <w:tcW w:w="1729" w:type="dxa"/>
            <w:shd w:val="clear" w:color="auto" w:fill="FFFFFF" w:themeFill="background1"/>
            <w:noWrap/>
            <w:hideMark/>
          </w:tcPr>
          <w:p w14:paraId="438D5301"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Pb +/-</w:t>
            </w:r>
          </w:p>
        </w:tc>
      </w:tr>
      <w:tr w:rsidR="00E66205" w:rsidRPr="00E66205" w14:paraId="45C651E7"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2ABCFF8C"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w:t>
            </w:r>
          </w:p>
        </w:tc>
        <w:tc>
          <w:tcPr>
            <w:tcW w:w="1300" w:type="dxa"/>
            <w:shd w:val="clear" w:color="auto" w:fill="FFFFFF" w:themeFill="background1"/>
            <w:noWrap/>
            <w:hideMark/>
          </w:tcPr>
          <w:p w14:paraId="2FA45DE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4FB40C3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229751.615</w:t>
            </w:r>
          </w:p>
        </w:tc>
        <w:tc>
          <w:tcPr>
            <w:tcW w:w="1200" w:type="dxa"/>
            <w:shd w:val="clear" w:color="auto" w:fill="FFFFFF" w:themeFill="background1"/>
            <w:noWrap/>
            <w:hideMark/>
          </w:tcPr>
          <w:p w14:paraId="4944650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776.86</w:t>
            </w:r>
          </w:p>
        </w:tc>
        <w:tc>
          <w:tcPr>
            <w:tcW w:w="1351" w:type="dxa"/>
            <w:shd w:val="clear" w:color="auto" w:fill="FFFFFF" w:themeFill="background1"/>
            <w:noWrap/>
            <w:hideMark/>
          </w:tcPr>
          <w:p w14:paraId="5FE4A45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1188.78</w:t>
            </w:r>
          </w:p>
        </w:tc>
        <w:tc>
          <w:tcPr>
            <w:tcW w:w="1729" w:type="dxa"/>
            <w:shd w:val="clear" w:color="auto" w:fill="FFFFFF" w:themeFill="background1"/>
            <w:noWrap/>
            <w:hideMark/>
          </w:tcPr>
          <w:p w14:paraId="6181A5E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7.29</w:t>
            </w:r>
          </w:p>
        </w:tc>
      </w:tr>
      <w:tr w:rsidR="00E66205" w:rsidRPr="00E66205" w14:paraId="52DD9DC6"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6440F397"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S2</w:t>
            </w:r>
          </w:p>
        </w:tc>
        <w:tc>
          <w:tcPr>
            <w:tcW w:w="1300" w:type="dxa"/>
            <w:shd w:val="clear" w:color="auto" w:fill="FFFFFF" w:themeFill="background1"/>
            <w:noWrap/>
            <w:hideMark/>
          </w:tcPr>
          <w:p w14:paraId="2ACDDE8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36DF498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177874.3</w:t>
            </w:r>
          </w:p>
        </w:tc>
        <w:tc>
          <w:tcPr>
            <w:tcW w:w="1200" w:type="dxa"/>
            <w:shd w:val="clear" w:color="auto" w:fill="FFFFFF" w:themeFill="background1"/>
            <w:noWrap/>
            <w:hideMark/>
          </w:tcPr>
          <w:p w14:paraId="2F154B8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558.54</w:t>
            </w:r>
          </w:p>
        </w:tc>
        <w:tc>
          <w:tcPr>
            <w:tcW w:w="1351" w:type="dxa"/>
            <w:shd w:val="clear" w:color="auto" w:fill="FFFFFF" w:themeFill="background1"/>
            <w:noWrap/>
            <w:hideMark/>
          </w:tcPr>
          <w:p w14:paraId="5EFFB22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629.91</w:t>
            </w:r>
          </w:p>
        </w:tc>
        <w:tc>
          <w:tcPr>
            <w:tcW w:w="1729" w:type="dxa"/>
            <w:shd w:val="clear" w:color="auto" w:fill="FFFFFF" w:themeFill="background1"/>
            <w:noWrap/>
            <w:hideMark/>
          </w:tcPr>
          <w:p w14:paraId="1261F41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4.14</w:t>
            </w:r>
          </w:p>
        </w:tc>
      </w:tr>
      <w:tr w:rsidR="00E66205" w:rsidRPr="00E66205" w14:paraId="252FB223"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AFA8E19"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lastRenderedPageBreak/>
              <w:t>S3</w:t>
            </w:r>
          </w:p>
        </w:tc>
        <w:tc>
          <w:tcPr>
            <w:tcW w:w="1300" w:type="dxa"/>
            <w:shd w:val="clear" w:color="auto" w:fill="FFFFFF" w:themeFill="background1"/>
            <w:noWrap/>
            <w:hideMark/>
          </w:tcPr>
          <w:p w14:paraId="192A0E6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7D775D8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152241.83</w:t>
            </w:r>
          </w:p>
        </w:tc>
        <w:tc>
          <w:tcPr>
            <w:tcW w:w="1200" w:type="dxa"/>
            <w:shd w:val="clear" w:color="auto" w:fill="FFFFFF" w:themeFill="background1"/>
            <w:noWrap/>
            <w:hideMark/>
          </w:tcPr>
          <w:p w14:paraId="674C1B9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527.605</w:t>
            </w:r>
          </w:p>
        </w:tc>
        <w:tc>
          <w:tcPr>
            <w:tcW w:w="1351" w:type="dxa"/>
            <w:shd w:val="clear" w:color="auto" w:fill="FFFFFF" w:themeFill="background1"/>
            <w:noWrap/>
            <w:hideMark/>
          </w:tcPr>
          <w:p w14:paraId="6DCC8E4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1100.825</w:t>
            </w:r>
          </w:p>
        </w:tc>
        <w:tc>
          <w:tcPr>
            <w:tcW w:w="1729" w:type="dxa"/>
            <w:shd w:val="clear" w:color="auto" w:fill="FFFFFF" w:themeFill="background1"/>
            <w:noWrap/>
            <w:hideMark/>
          </w:tcPr>
          <w:p w14:paraId="5B7B531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6.145</w:t>
            </w:r>
          </w:p>
        </w:tc>
      </w:tr>
      <w:tr w:rsidR="00E66205" w:rsidRPr="00E66205" w14:paraId="71D08CEA"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31D1AA34"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S4</w:t>
            </w:r>
          </w:p>
        </w:tc>
        <w:tc>
          <w:tcPr>
            <w:tcW w:w="1300" w:type="dxa"/>
            <w:shd w:val="clear" w:color="auto" w:fill="FFFFFF" w:themeFill="background1"/>
            <w:noWrap/>
            <w:hideMark/>
          </w:tcPr>
          <w:p w14:paraId="537B5D4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3EB6B5E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198188.885</w:t>
            </w:r>
          </w:p>
        </w:tc>
        <w:tc>
          <w:tcPr>
            <w:tcW w:w="1200" w:type="dxa"/>
            <w:shd w:val="clear" w:color="auto" w:fill="FFFFFF" w:themeFill="background1"/>
            <w:noWrap/>
            <w:hideMark/>
          </w:tcPr>
          <w:p w14:paraId="026D267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609.74</w:t>
            </w:r>
          </w:p>
        </w:tc>
        <w:tc>
          <w:tcPr>
            <w:tcW w:w="1351" w:type="dxa"/>
            <w:shd w:val="clear" w:color="auto" w:fill="FFFFFF" w:themeFill="background1"/>
            <w:noWrap/>
            <w:hideMark/>
          </w:tcPr>
          <w:p w14:paraId="3069DBB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763.8</w:t>
            </w:r>
          </w:p>
        </w:tc>
        <w:tc>
          <w:tcPr>
            <w:tcW w:w="1729" w:type="dxa"/>
            <w:shd w:val="clear" w:color="auto" w:fill="FFFFFF" w:themeFill="background1"/>
            <w:noWrap/>
            <w:hideMark/>
          </w:tcPr>
          <w:p w14:paraId="681E69D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4.935</w:t>
            </w:r>
          </w:p>
        </w:tc>
      </w:tr>
      <w:tr w:rsidR="00E66205" w:rsidRPr="00E66205" w14:paraId="2127C831"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68BAE557"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S5</w:t>
            </w:r>
          </w:p>
        </w:tc>
        <w:tc>
          <w:tcPr>
            <w:tcW w:w="1300" w:type="dxa"/>
            <w:shd w:val="clear" w:color="auto" w:fill="FFFFFF" w:themeFill="background1"/>
            <w:noWrap/>
            <w:hideMark/>
          </w:tcPr>
          <w:p w14:paraId="64FD300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6027FB7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130783.95</w:t>
            </w:r>
          </w:p>
        </w:tc>
        <w:tc>
          <w:tcPr>
            <w:tcW w:w="1200" w:type="dxa"/>
            <w:shd w:val="clear" w:color="auto" w:fill="FFFFFF" w:themeFill="background1"/>
            <w:noWrap/>
            <w:hideMark/>
          </w:tcPr>
          <w:p w14:paraId="78E7FC2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555.7</w:t>
            </w:r>
          </w:p>
        </w:tc>
        <w:tc>
          <w:tcPr>
            <w:tcW w:w="1351" w:type="dxa"/>
            <w:shd w:val="clear" w:color="auto" w:fill="FFFFFF" w:themeFill="background1"/>
            <w:noWrap/>
            <w:hideMark/>
          </w:tcPr>
          <w:p w14:paraId="76C0FC7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28073.245</w:t>
            </w:r>
          </w:p>
        </w:tc>
        <w:tc>
          <w:tcPr>
            <w:tcW w:w="1729" w:type="dxa"/>
            <w:shd w:val="clear" w:color="auto" w:fill="FFFFFF" w:themeFill="background1"/>
            <w:noWrap/>
            <w:hideMark/>
          </w:tcPr>
          <w:p w14:paraId="64A1758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105.26</w:t>
            </w:r>
          </w:p>
        </w:tc>
      </w:tr>
      <w:tr w:rsidR="00E66205" w:rsidRPr="00E66205" w14:paraId="2DF5DE5B"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0E37C018"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S6</w:t>
            </w:r>
          </w:p>
        </w:tc>
        <w:tc>
          <w:tcPr>
            <w:tcW w:w="1300" w:type="dxa"/>
            <w:shd w:val="clear" w:color="auto" w:fill="FFFFFF" w:themeFill="background1"/>
            <w:noWrap/>
            <w:hideMark/>
          </w:tcPr>
          <w:p w14:paraId="0BD1065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6CED75E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156434.915</w:t>
            </w:r>
          </w:p>
        </w:tc>
        <w:tc>
          <w:tcPr>
            <w:tcW w:w="1200" w:type="dxa"/>
            <w:shd w:val="clear" w:color="auto" w:fill="FFFFFF" w:themeFill="background1"/>
            <w:noWrap/>
            <w:hideMark/>
          </w:tcPr>
          <w:p w14:paraId="6CD1C6A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575.465</w:t>
            </w:r>
          </w:p>
        </w:tc>
        <w:tc>
          <w:tcPr>
            <w:tcW w:w="1351" w:type="dxa"/>
            <w:shd w:val="clear" w:color="auto" w:fill="FFFFFF" w:themeFill="background1"/>
            <w:noWrap/>
            <w:hideMark/>
          </w:tcPr>
          <w:p w14:paraId="46BF18D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6772.6</w:t>
            </w:r>
          </w:p>
        </w:tc>
        <w:tc>
          <w:tcPr>
            <w:tcW w:w="1729" w:type="dxa"/>
            <w:shd w:val="clear" w:color="auto" w:fill="FFFFFF" w:themeFill="background1"/>
            <w:noWrap/>
            <w:hideMark/>
          </w:tcPr>
          <w:p w14:paraId="2C28A2A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25.065</w:t>
            </w:r>
          </w:p>
        </w:tc>
      </w:tr>
      <w:tr w:rsidR="00E66205" w:rsidRPr="00E66205" w14:paraId="1F9E6B7E"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4C60072C"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S7</w:t>
            </w:r>
          </w:p>
        </w:tc>
        <w:tc>
          <w:tcPr>
            <w:tcW w:w="1300" w:type="dxa"/>
            <w:shd w:val="clear" w:color="auto" w:fill="FFFFFF" w:themeFill="background1"/>
            <w:noWrap/>
            <w:hideMark/>
          </w:tcPr>
          <w:p w14:paraId="1B00131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6CE8B5E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151465.09</w:t>
            </w:r>
          </w:p>
        </w:tc>
        <w:tc>
          <w:tcPr>
            <w:tcW w:w="1200" w:type="dxa"/>
            <w:shd w:val="clear" w:color="auto" w:fill="FFFFFF" w:themeFill="background1"/>
            <w:noWrap/>
            <w:hideMark/>
          </w:tcPr>
          <w:p w14:paraId="3697AF1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558.775</w:t>
            </w:r>
          </w:p>
        </w:tc>
        <w:tc>
          <w:tcPr>
            <w:tcW w:w="1351" w:type="dxa"/>
            <w:shd w:val="clear" w:color="auto" w:fill="FFFFFF" w:themeFill="background1"/>
            <w:noWrap/>
            <w:hideMark/>
          </w:tcPr>
          <w:p w14:paraId="7424101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3397.49</w:t>
            </w:r>
          </w:p>
        </w:tc>
        <w:tc>
          <w:tcPr>
            <w:tcW w:w="1729" w:type="dxa"/>
            <w:shd w:val="clear" w:color="auto" w:fill="FFFFFF" w:themeFill="background1"/>
            <w:noWrap/>
            <w:hideMark/>
          </w:tcPr>
          <w:p w14:paraId="268A384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14.16</w:t>
            </w:r>
          </w:p>
        </w:tc>
      </w:tr>
      <w:tr w:rsidR="00E66205" w:rsidRPr="00E66205" w14:paraId="544C67A5"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B8E76E0"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S8</w:t>
            </w:r>
          </w:p>
        </w:tc>
        <w:tc>
          <w:tcPr>
            <w:tcW w:w="1300" w:type="dxa"/>
            <w:shd w:val="clear" w:color="auto" w:fill="FFFFFF" w:themeFill="background1"/>
            <w:noWrap/>
            <w:hideMark/>
          </w:tcPr>
          <w:p w14:paraId="4373286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33E18D4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155599.79</w:t>
            </w:r>
          </w:p>
        </w:tc>
        <w:tc>
          <w:tcPr>
            <w:tcW w:w="1200" w:type="dxa"/>
            <w:shd w:val="clear" w:color="auto" w:fill="FFFFFF" w:themeFill="background1"/>
            <w:noWrap/>
            <w:hideMark/>
          </w:tcPr>
          <w:p w14:paraId="6EF677F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508.535</w:t>
            </w:r>
          </w:p>
        </w:tc>
        <w:tc>
          <w:tcPr>
            <w:tcW w:w="1351" w:type="dxa"/>
            <w:shd w:val="clear" w:color="auto" w:fill="FFFFFF" w:themeFill="background1"/>
            <w:noWrap/>
            <w:hideMark/>
          </w:tcPr>
          <w:p w14:paraId="006468D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515.18</w:t>
            </w:r>
          </w:p>
        </w:tc>
        <w:tc>
          <w:tcPr>
            <w:tcW w:w="1729" w:type="dxa"/>
            <w:shd w:val="clear" w:color="auto" w:fill="FFFFFF" w:themeFill="background1"/>
            <w:noWrap/>
            <w:hideMark/>
          </w:tcPr>
          <w:p w14:paraId="2717BA2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3.815</w:t>
            </w:r>
          </w:p>
        </w:tc>
      </w:tr>
      <w:tr w:rsidR="00E66205" w:rsidRPr="00E66205" w14:paraId="6F0A3694"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230FD23"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S9</w:t>
            </w:r>
          </w:p>
        </w:tc>
        <w:tc>
          <w:tcPr>
            <w:tcW w:w="1300" w:type="dxa"/>
            <w:shd w:val="clear" w:color="auto" w:fill="FFFFFF" w:themeFill="background1"/>
            <w:noWrap/>
            <w:hideMark/>
          </w:tcPr>
          <w:p w14:paraId="7C6BD32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4F91264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161840.295</w:t>
            </w:r>
          </w:p>
        </w:tc>
        <w:tc>
          <w:tcPr>
            <w:tcW w:w="1200" w:type="dxa"/>
            <w:shd w:val="clear" w:color="auto" w:fill="FFFFFF" w:themeFill="background1"/>
            <w:noWrap/>
            <w:hideMark/>
          </w:tcPr>
          <w:p w14:paraId="0E7791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544.545</w:t>
            </w:r>
          </w:p>
        </w:tc>
        <w:tc>
          <w:tcPr>
            <w:tcW w:w="1351" w:type="dxa"/>
            <w:shd w:val="clear" w:color="auto" w:fill="FFFFFF" w:themeFill="background1"/>
            <w:noWrap/>
            <w:hideMark/>
          </w:tcPr>
          <w:p w14:paraId="1C0725B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3249.855</w:t>
            </w:r>
          </w:p>
        </w:tc>
        <w:tc>
          <w:tcPr>
            <w:tcW w:w="1729" w:type="dxa"/>
            <w:shd w:val="clear" w:color="auto" w:fill="FFFFFF" w:themeFill="background1"/>
            <w:noWrap/>
            <w:hideMark/>
          </w:tcPr>
          <w:p w14:paraId="593F5E1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12.77</w:t>
            </w:r>
          </w:p>
        </w:tc>
      </w:tr>
      <w:tr w:rsidR="00E66205" w:rsidRPr="00E66205" w14:paraId="497B631B"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75DCC6DF"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S10</w:t>
            </w:r>
          </w:p>
        </w:tc>
        <w:tc>
          <w:tcPr>
            <w:tcW w:w="1300" w:type="dxa"/>
            <w:shd w:val="clear" w:color="auto" w:fill="FFFFFF" w:themeFill="background1"/>
            <w:noWrap/>
            <w:hideMark/>
          </w:tcPr>
          <w:p w14:paraId="31C643A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1E1D89F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161465.27</w:t>
            </w:r>
          </w:p>
        </w:tc>
        <w:tc>
          <w:tcPr>
            <w:tcW w:w="1200" w:type="dxa"/>
            <w:shd w:val="clear" w:color="auto" w:fill="FFFFFF" w:themeFill="background1"/>
            <w:noWrap/>
            <w:hideMark/>
          </w:tcPr>
          <w:p w14:paraId="6E42F36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530.69</w:t>
            </w:r>
          </w:p>
        </w:tc>
        <w:tc>
          <w:tcPr>
            <w:tcW w:w="1351" w:type="dxa"/>
            <w:shd w:val="clear" w:color="auto" w:fill="FFFFFF" w:themeFill="background1"/>
            <w:noWrap/>
            <w:hideMark/>
          </w:tcPr>
          <w:p w14:paraId="1981212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1709.435</w:t>
            </w:r>
          </w:p>
        </w:tc>
        <w:tc>
          <w:tcPr>
            <w:tcW w:w="1729" w:type="dxa"/>
            <w:shd w:val="clear" w:color="auto" w:fill="FFFFFF" w:themeFill="background1"/>
            <w:noWrap/>
            <w:hideMark/>
          </w:tcPr>
          <w:p w14:paraId="09E24B9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7.835</w:t>
            </w:r>
          </w:p>
        </w:tc>
      </w:tr>
      <w:tr w:rsidR="00E66205" w:rsidRPr="00E66205" w14:paraId="0CC19A26"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D95EEEF"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S11</w:t>
            </w:r>
          </w:p>
        </w:tc>
        <w:tc>
          <w:tcPr>
            <w:tcW w:w="1300" w:type="dxa"/>
            <w:shd w:val="clear" w:color="auto" w:fill="FFFFFF" w:themeFill="background1"/>
            <w:noWrap/>
            <w:hideMark/>
          </w:tcPr>
          <w:p w14:paraId="1BFBFE6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2D5C468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154419.48</w:t>
            </w:r>
          </w:p>
        </w:tc>
        <w:tc>
          <w:tcPr>
            <w:tcW w:w="1200" w:type="dxa"/>
            <w:shd w:val="clear" w:color="auto" w:fill="FFFFFF" w:themeFill="background1"/>
            <w:noWrap/>
            <w:hideMark/>
          </w:tcPr>
          <w:p w14:paraId="480AAC5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524.35</w:t>
            </w:r>
          </w:p>
        </w:tc>
        <w:tc>
          <w:tcPr>
            <w:tcW w:w="1351" w:type="dxa"/>
            <w:shd w:val="clear" w:color="auto" w:fill="FFFFFF" w:themeFill="background1"/>
            <w:noWrap/>
            <w:hideMark/>
          </w:tcPr>
          <w:p w14:paraId="5C81824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7595.445</w:t>
            </w:r>
          </w:p>
        </w:tc>
        <w:tc>
          <w:tcPr>
            <w:tcW w:w="1729" w:type="dxa"/>
            <w:shd w:val="clear" w:color="auto" w:fill="FFFFFF" w:themeFill="background1"/>
            <w:noWrap/>
            <w:hideMark/>
          </w:tcPr>
          <w:p w14:paraId="6F6EE7D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25.4</w:t>
            </w:r>
          </w:p>
        </w:tc>
      </w:tr>
      <w:tr w:rsidR="00E66205" w:rsidRPr="00E66205" w14:paraId="505F8415"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7A435255"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S12</w:t>
            </w:r>
          </w:p>
        </w:tc>
        <w:tc>
          <w:tcPr>
            <w:tcW w:w="1300" w:type="dxa"/>
            <w:shd w:val="clear" w:color="auto" w:fill="FFFFFF" w:themeFill="background1"/>
            <w:noWrap/>
            <w:hideMark/>
          </w:tcPr>
          <w:p w14:paraId="03BA7F5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24B4EFA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158707.19</w:t>
            </w:r>
          </w:p>
        </w:tc>
        <w:tc>
          <w:tcPr>
            <w:tcW w:w="1200" w:type="dxa"/>
            <w:shd w:val="clear" w:color="auto" w:fill="FFFFFF" w:themeFill="background1"/>
            <w:noWrap/>
            <w:hideMark/>
          </w:tcPr>
          <w:p w14:paraId="4C5982A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518.77</w:t>
            </w:r>
          </w:p>
        </w:tc>
        <w:tc>
          <w:tcPr>
            <w:tcW w:w="1351" w:type="dxa"/>
            <w:shd w:val="clear" w:color="auto" w:fill="FFFFFF" w:themeFill="background1"/>
            <w:noWrap/>
            <w:hideMark/>
          </w:tcPr>
          <w:p w14:paraId="20F5022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341.905</w:t>
            </w:r>
          </w:p>
        </w:tc>
        <w:tc>
          <w:tcPr>
            <w:tcW w:w="1729" w:type="dxa"/>
            <w:shd w:val="clear" w:color="auto" w:fill="FFFFFF" w:themeFill="background1"/>
            <w:noWrap/>
            <w:hideMark/>
          </w:tcPr>
          <w:p w14:paraId="725F62D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3.05</w:t>
            </w:r>
          </w:p>
        </w:tc>
      </w:tr>
      <w:tr w:rsidR="00E66205" w:rsidRPr="00E66205" w14:paraId="41E85A43"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7B5AF975"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S13</w:t>
            </w:r>
          </w:p>
        </w:tc>
        <w:tc>
          <w:tcPr>
            <w:tcW w:w="1300" w:type="dxa"/>
            <w:shd w:val="clear" w:color="auto" w:fill="FFFFFF" w:themeFill="background1"/>
            <w:noWrap/>
            <w:hideMark/>
          </w:tcPr>
          <w:p w14:paraId="6C2109E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4A86657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161347.96</w:t>
            </w:r>
          </w:p>
        </w:tc>
        <w:tc>
          <w:tcPr>
            <w:tcW w:w="1200" w:type="dxa"/>
            <w:shd w:val="clear" w:color="auto" w:fill="FFFFFF" w:themeFill="background1"/>
            <w:noWrap/>
            <w:hideMark/>
          </w:tcPr>
          <w:p w14:paraId="20F08CF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521.075</w:t>
            </w:r>
          </w:p>
        </w:tc>
        <w:tc>
          <w:tcPr>
            <w:tcW w:w="1351" w:type="dxa"/>
            <w:shd w:val="clear" w:color="auto" w:fill="FFFFFF" w:themeFill="background1"/>
            <w:noWrap/>
            <w:hideMark/>
          </w:tcPr>
          <w:p w14:paraId="475D5CD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1109.775</w:t>
            </w:r>
          </w:p>
        </w:tc>
        <w:tc>
          <w:tcPr>
            <w:tcW w:w="1729" w:type="dxa"/>
            <w:shd w:val="clear" w:color="auto" w:fill="FFFFFF" w:themeFill="background1"/>
            <w:noWrap/>
            <w:hideMark/>
          </w:tcPr>
          <w:p w14:paraId="63BF6DE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5.85</w:t>
            </w:r>
          </w:p>
        </w:tc>
      </w:tr>
      <w:tr w:rsidR="00E66205" w:rsidRPr="00E66205" w14:paraId="753710E2"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09DB9549"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S14</w:t>
            </w:r>
          </w:p>
        </w:tc>
        <w:tc>
          <w:tcPr>
            <w:tcW w:w="1300" w:type="dxa"/>
            <w:shd w:val="clear" w:color="auto" w:fill="FFFFFF" w:themeFill="background1"/>
            <w:noWrap/>
            <w:hideMark/>
          </w:tcPr>
          <w:p w14:paraId="47FAB5E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7822764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140226.03</w:t>
            </w:r>
          </w:p>
        </w:tc>
        <w:tc>
          <w:tcPr>
            <w:tcW w:w="1200" w:type="dxa"/>
            <w:shd w:val="clear" w:color="auto" w:fill="FFFFFF" w:themeFill="background1"/>
            <w:noWrap/>
            <w:hideMark/>
          </w:tcPr>
          <w:p w14:paraId="5D21581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469.47</w:t>
            </w:r>
          </w:p>
        </w:tc>
        <w:tc>
          <w:tcPr>
            <w:tcW w:w="1351" w:type="dxa"/>
            <w:shd w:val="clear" w:color="auto" w:fill="FFFFFF" w:themeFill="background1"/>
            <w:noWrap/>
            <w:hideMark/>
          </w:tcPr>
          <w:p w14:paraId="633C53D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1215.54</w:t>
            </w:r>
          </w:p>
        </w:tc>
        <w:tc>
          <w:tcPr>
            <w:tcW w:w="1729" w:type="dxa"/>
            <w:shd w:val="clear" w:color="auto" w:fill="FFFFFF" w:themeFill="background1"/>
            <w:noWrap/>
            <w:hideMark/>
          </w:tcPr>
          <w:p w14:paraId="1C68A2B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6.5</w:t>
            </w:r>
          </w:p>
        </w:tc>
      </w:tr>
      <w:tr w:rsidR="00E66205" w:rsidRPr="00E66205" w14:paraId="5ED1FBF9"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5C8F961A"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S15</w:t>
            </w:r>
          </w:p>
        </w:tc>
        <w:tc>
          <w:tcPr>
            <w:tcW w:w="1300" w:type="dxa"/>
            <w:shd w:val="clear" w:color="auto" w:fill="FFFFFF" w:themeFill="background1"/>
            <w:noWrap/>
            <w:hideMark/>
          </w:tcPr>
          <w:p w14:paraId="0B7E41C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05AE637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141235.34</w:t>
            </w:r>
          </w:p>
        </w:tc>
        <w:tc>
          <w:tcPr>
            <w:tcW w:w="1200" w:type="dxa"/>
            <w:shd w:val="clear" w:color="auto" w:fill="FFFFFF" w:themeFill="background1"/>
            <w:noWrap/>
            <w:hideMark/>
          </w:tcPr>
          <w:p w14:paraId="0E2961A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501.27</w:t>
            </w:r>
          </w:p>
        </w:tc>
        <w:tc>
          <w:tcPr>
            <w:tcW w:w="1351" w:type="dxa"/>
            <w:shd w:val="clear" w:color="auto" w:fill="FFFFFF" w:themeFill="background1"/>
            <w:noWrap/>
            <w:hideMark/>
          </w:tcPr>
          <w:p w14:paraId="6493423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1222.81</w:t>
            </w:r>
          </w:p>
        </w:tc>
        <w:tc>
          <w:tcPr>
            <w:tcW w:w="1729" w:type="dxa"/>
            <w:shd w:val="clear" w:color="auto" w:fill="FFFFFF" w:themeFill="background1"/>
            <w:noWrap/>
            <w:hideMark/>
          </w:tcPr>
          <w:p w14:paraId="005F307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6.695</w:t>
            </w:r>
          </w:p>
        </w:tc>
      </w:tr>
      <w:tr w:rsidR="00E66205" w:rsidRPr="00E66205" w14:paraId="62A737A9"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38BC5DA5"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S16</w:t>
            </w:r>
          </w:p>
        </w:tc>
        <w:tc>
          <w:tcPr>
            <w:tcW w:w="1300" w:type="dxa"/>
            <w:shd w:val="clear" w:color="auto" w:fill="FFFFFF" w:themeFill="background1"/>
            <w:noWrap/>
            <w:hideMark/>
          </w:tcPr>
          <w:p w14:paraId="2D61512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0973AA6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168276.77</w:t>
            </w:r>
          </w:p>
        </w:tc>
        <w:tc>
          <w:tcPr>
            <w:tcW w:w="1200" w:type="dxa"/>
            <w:shd w:val="clear" w:color="auto" w:fill="FFFFFF" w:themeFill="background1"/>
            <w:noWrap/>
            <w:hideMark/>
          </w:tcPr>
          <w:p w14:paraId="355BF0D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528.83</w:t>
            </w:r>
          </w:p>
        </w:tc>
        <w:tc>
          <w:tcPr>
            <w:tcW w:w="1351" w:type="dxa"/>
            <w:shd w:val="clear" w:color="auto" w:fill="FFFFFF" w:themeFill="background1"/>
            <w:noWrap/>
            <w:hideMark/>
          </w:tcPr>
          <w:p w14:paraId="2333BC1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198.58</w:t>
            </w:r>
          </w:p>
        </w:tc>
        <w:tc>
          <w:tcPr>
            <w:tcW w:w="1729" w:type="dxa"/>
            <w:shd w:val="clear" w:color="auto" w:fill="FFFFFF" w:themeFill="background1"/>
            <w:noWrap/>
            <w:hideMark/>
          </w:tcPr>
          <w:p w14:paraId="12C31FC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2.32</w:t>
            </w:r>
          </w:p>
        </w:tc>
      </w:tr>
    </w:tbl>
    <w:p w14:paraId="440F3FD6" w14:textId="77777777" w:rsidR="00E66205" w:rsidRPr="00E66205" w:rsidRDefault="00E66205" w:rsidP="00E66205">
      <w:pPr>
        <w:spacing w:line="360" w:lineRule="auto"/>
        <w:jc w:val="both"/>
        <w:rPr>
          <w:rFonts w:ascii="Arial" w:hAnsi="Arial" w:cs="Arial"/>
          <w:iCs/>
          <w:highlight w:val="yellow"/>
        </w:rPr>
      </w:pPr>
    </w:p>
    <w:p w14:paraId="1810CEBC"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values observed in Table 7 in the soil analysis for metals contained in fluxes, particularly lead and silica, are slightly more significant.</w:t>
      </w:r>
    </w:p>
    <w:p w14:paraId="57D7BB8A" w14:textId="77777777" w:rsidR="00E66205" w:rsidRPr="00E66205" w:rsidRDefault="00E66205" w:rsidP="00E66205">
      <w:pPr>
        <w:spacing w:line="360" w:lineRule="auto"/>
        <w:jc w:val="both"/>
        <w:rPr>
          <w:rFonts w:ascii="Arial" w:hAnsi="Arial" w:cs="Arial"/>
          <w:iCs/>
        </w:rPr>
      </w:pPr>
      <w:r w:rsidRPr="00E66205">
        <w:rPr>
          <w:rFonts w:ascii="Arial" w:hAnsi="Arial" w:cs="Arial"/>
          <w:iCs/>
        </w:rPr>
        <w:t>Fig. 5 illustrates the lead concentrations in each soil sample after analysis.</w:t>
      </w:r>
    </w:p>
    <w:p w14:paraId="4BB326C2" w14:textId="77777777" w:rsidR="00E66205" w:rsidRPr="00E66205" w:rsidRDefault="00E66205" w:rsidP="00E66205">
      <w:pPr>
        <w:spacing w:line="360" w:lineRule="auto"/>
        <w:jc w:val="both"/>
        <w:rPr>
          <w:rFonts w:ascii="Arial" w:hAnsi="Arial" w:cs="Arial"/>
          <w:iCs/>
        </w:rPr>
      </w:pPr>
    </w:p>
    <w:p w14:paraId="32E2C51B" w14:textId="77777777" w:rsidR="00E66205" w:rsidRPr="00E66205" w:rsidRDefault="00E66205" w:rsidP="00E66205">
      <w:pPr>
        <w:spacing w:line="360" w:lineRule="auto"/>
        <w:jc w:val="both"/>
        <w:rPr>
          <w:rFonts w:ascii="Arial" w:hAnsi="Arial" w:cs="Arial"/>
        </w:rPr>
      </w:pPr>
      <w:r w:rsidRPr="00E66205">
        <w:rPr>
          <w:rFonts w:ascii="Arial" w:hAnsi="Arial" w:cs="Arial"/>
          <w:noProof/>
        </w:rPr>
        <w:drawing>
          <wp:inline distT="0" distB="0" distL="0" distR="0" wp14:anchorId="05408C42" wp14:editId="18516AB0">
            <wp:extent cx="4572000" cy="2743200"/>
            <wp:effectExtent l="0" t="0" r="0" b="0"/>
            <wp:docPr id="343691009" name="Chart 1">
              <a:extLst xmlns:a="http://schemas.openxmlformats.org/drawingml/2006/main">
                <a:ext uri="{FF2B5EF4-FFF2-40B4-BE49-F238E27FC236}">
                  <a16:creationId xmlns:a16="http://schemas.microsoft.com/office/drawing/2014/main" id="{1BE9A12C-E7DF-4211-CAF8-1DF24938A4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B0747A"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Fig. 5. Average lead results</w:t>
      </w:r>
    </w:p>
    <w:p w14:paraId="4C7133BA" w14:textId="77777777" w:rsidR="00E66205" w:rsidRPr="00E66205" w:rsidRDefault="00E66205" w:rsidP="00E66205">
      <w:pPr>
        <w:spacing w:line="360" w:lineRule="auto"/>
        <w:jc w:val="both"/>
        <w:rPr>
          <w:rFonts w:ascii="Arial" w:hAnsi="Arial" w:cs="Arial"/>
          <w:iCs/>
        </w:rPr>
      </w:pPr>
    </w:p>
    <w:p w14:paraId="40C0CA80" w14:textId="5914A3F1" w:rsidR="002C5452" w:rsidRPr="002C5452" w:rsidRDefault="00E66205" w:rsidP="002C5452">
      <w:pPr>
        <w:pStyle w:val="Body"/>
        <w:spacing w:after="0"/>
        <w:rPr>
          <w:rFonts w:ascii="Arial" w:hAnsi="Arial" w:cs="Arial"/>
          <w:iCs/>
        </w:rPr>
      </w:pPr>
      <w:r w:rsidRPr="00E66205">
        <w:rPr>
          <w:rFonts w:ascii="Arial" w:hAnsi="Arial" w:cs="Arial"/>
          <w:iCs/>
        </w:rPr>
        <w:t xml:space="preserve">In terms of the results obtained for lead, the values range from 341.905 ppm to 28073.245 ppm, which is far above the limit of 2,500 ppm authorized in Burkina Faso for industrial use, </w:t>
      </w:r>
      <w:r w:rsidRPr="00E66205">
        <w:rPr>
          <w:rFonts w:ascii="Arial" w:hAnsi="Arial" w:cs="Arial"/>
          <w:iCs/>
        </w:rPr>
        <w:lastRenderedPageBreak/>
        <w:t>indicating pollution of the waste storage area. Similar results have been reported by several authors (</w:t>
      </w:r>
      <w:proofErr w:type="spellStart"/>
      <w:r w:rsidRPr="00E66205">
        <w:rPr>
          <w:rFonts w:ascii="Arial" w:hAnsi="Arial" w:cs="Arial"/>
          <w:iCs/>
        </w:rPr>
        <w:t>Cerceau</w:t>
      </w:r>
      <w:proofErr w:type="spellEnd"/>
      <w:r w:rsidRPr="00E66205">
        <w:rPr>
          <w:rFonts w:ascii="Arial" w:hAnsi="Arial" w:cs="Arial"/>
          <w:iCs/>
        </w:rPr>
        <w:t xml:space="preserve"> et al., 2016; </w:t>
      </w:r>
      <w:proofErr w:type="spellStart"/>
      <w:r w:rsidRPr="00E66205">
        <w:rPr>
          <w:rFonts w:ascii="Arial" w:hAnsi="Arial" w:cs="Arial"/>
          <w:iCs/>
        </w:rPr>
        <w:t>Baieta</w:t>
      </w:r>
      <w:proofErr w:type="spellEnd"/>
      <w:r w:rsidRPr="00E66205">
        <w:rPr>
          <w:rFonts w:ascii="Arial" w:hAnsi="Arial" w:cs="Arial"/>
          <w:iCs/>
        </w:rPr>
        <w:t xml:space="preserve"> et al., 2022). As there are currently no soil quality standards for silica, it will be considered neutral for the time being.</w:t>
      </w:r>
      <w:r w:rsidR="002C5452">
        <w:rPr>
          <w:rFonts w:ascii="Arial" w:hAnsi="Arial" w:cs="Arial"/>
          <w:iCs/>
        </w:rPr>
        <w:t xml:space="preserve"> Also, </w:t>
      </w:r>
      <w:r w:rsidR="002C5452" w:rsidRPr="002C5452">
        <w:rPr>
          <w:rFonts w:ascii="Arial" w:hAnsi="Arial" w:cs="Arial"/>
          <w:iCs/>
          <w:highlight w:val="yellow"/>
        </w:rPr>
        <w:t>Chaturvedi et al. (2022) reported similar results regarding the contamination of environmental matrices by heavy metals from mining, agriculture, and the nuclear sector.</w:t>
      </w:r>
    </w:p>
    <w:p w14:paraId="417B222A" w14:textId="3F2569F7" w:rsidR="00E053D0" w:rsidRPr="00E66205" w:rsidRDefault="00E053D0" w:rsidP="00E66205">
      <w:pPr>
        <w:pStyle w:val="Body"/>
        <w:spacing w:after="0"/>
        <w:rPr>
          <w:rFonts w:ascii="Arial" w:hAnsi="Arial" w:cs="Arial"/>
        </w:rPr>
      </w:pPr>
    </w:p>
    <w:p w14:paraId="2B76E0AF" w14:textId="77777777" w:rsidR="00E66205" w:rsidRDefault="00E66205" w:rsidP="00441B6F">
      <w:pPr>
        <w:pStyle w:val="Body"/>
        <w:spacing w:after="0"/>
        <w:rPr>
          <w:rFonts w:ascii="Arial" w:hAnsi="Arial" w:cs="Arial"/>
        </w:rPr>
      </w:pPr>
    </w:p>
    <w:p w14:paraId="2BDA76A2" w14:textId="77777777" w:rsidR="00790ADA" w:rsidRPr="00FB3A86" w:rsidRDefault="00790ADA" w:rsidP="00441B6F">
      <w:pPr>
        <w:pStyle w:val="Body"/>
        <w:spacing w:after="0"/>
        <w:rPr>
          <w:rFonts w:ascii="Arial" w:hAnsi="Arial" w:cs="Arial"/>
        </w:rPr>
      </w:pPr>
    </w:p>
    <w:p w14:paraId="7705E25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CA0EDC" w14:textId="77777777" w:rsidR="00790ADA" w:rsidRPr="00FB3A86" w:rsidRDefault="00790ADA" w:rsidP="00441B6F">
      <w:pPr>
        <w:pStyle w:val="ConcHead"/>
        <w:spacing w:after="0"/>
        <w:jc w:val="both"/>
        <w:rPr>
          <w:rFonts w:ascii="Arial" w:hAnsi="Arial" w:cs="Arial"/>
        </w:rPr>
      </w:pPr>
    </w:p>
    <w:p w14:paraId="20D566CE" w14:textId="41E8FD28" w:rsidR="00417728" w:rsidRPr="00417728" w:rsidRDefault="00417728" w:rsidP="00417728">
      <w:pPr>
        <w:spacing w:line="360" w:lineRule="auto"/>
        <w:jc w:val="both"/>
        <w:rPr>
          <w:rFonts w:ascii="Arial" w:hAnsi="Arial" w:cs="Arial"/>
        </w:rPr>
      </w:pPr>
      <w:r w:rsidRPr="00417728">
        <w:rPr>
          <w:rFonts w:ascii="Arial" w:hAnsi="Arial" w:cs="Arial"/>
        </w:rPr>
        <w:t xml:space="preserve">Waste from mines and mining laboratories is a major concern if we want to prevent potential environmental and health damage that could result from poor management. This study contributes to the effective management of this waste within a mining laboratory. It is within this framework that a methodology focused primarily on sample analysis has been developed. It has made it possible to characterize the various types of waste in question. The study of </w:t>
      </w:r>
      <w:r w:rsidRPr="005D3EF1">
        <w:rPr>
          <w:rFonts w:ascii="Arial" w:hAnsi="Arial" w:cs="Arial"/>
          <w:highlight w:val="yellow"/>
        </w:rPr>
        <w:t>physicochemical</w:t>
      </w:r>
      <w:r w:rsidRPr="00417728">
        <w:rPr>
          <w:rFonts w:ascii="Arial" w:hAnsi="Arial" w:cs="Arial"/>
        </w:rPr>
        <w:t xml:space="preserve"> parameters shows a high presence of mineral elements in basins A and B with acidic pH values (1.87-2.57), an average temperature of 26°C, and electrical conductivity exceeding 2000 </w:t>
      </w:r>
      <w:proofErr w:type="spellStart"/>
      <w:r w:rsidRPr="00417728">
        <w:rPr>
          <w:rFonts w:ascii="Arial" w:hAnsi="Arial" w:cs="Arial"/>
        </w:rPr>
        <w:t>μS</w:t>
      </w:r>
      <w:proofErr w:type="spellEnd"/>
      <w:r w:rsidRPr="00417728">
        <w:rPr>
          <w:rFonts w:ascii="Arial" w:hAnsi="Arial" w:cs="Arial"/>
        </w:rPr>
        <w:t>/cm, reflecting the high mineralization of the environment.</w:t>
      </w:r>
    </w:p>
    <w:p w14:paraId="35D59F57" w14:textId="77777777" w:rsidR="00417728" w:rsidRPr="00417728" w:rsidRDefault="00417728" w:rsidP="00417728">
      <w:pPr>
        <w:spacing w:line="360" w:lineRule="auto"/>
        <w:jc w:val="both"/>
        <w:rPr>
          <w:rFonts w:ascii="Arial" w:hAnsi="Arial" w:cs="Arial"/>
        </w:rPr>
      </w:pPr>
      <w:r w:rsidRPr="00417728">
        <w:rPr>
          <w:rFonts w:ascii="Arial" w:hAnsi="Arial" w:cs="Arial"/>
        </w:rPr>
        <w:t xml:space="preserve">Chemical analysis of the metals showed a high presence of heavy metals (Pb, As, Sr, Cr), which is effectively due to discharges from laboratory handling. </w:t>
      </w:r>
    </w:p>
    <w:p w14:paraId="5F4E9BEA" w14:textId="77777777" w:rsidR="00417728" w:rsidRPr="00417728" w:rsidRDefault="00417728" w:rsidP="00417728">
      <w:pPr>
        <w:spacing w:line="360" w:lineRule="auto"/>
        <w:jc w:val="both"/>
        <w:rPr>
          <w:rFonts w:ascii="Arial" w:hAnsi="Arial" w:cs="Arial"/>
        </w:rPr>
      </w:pPr>
      <w:r w:rsidRPr="00417728">
        <w:rPr>
          <w:rFonts w:ascii="Arial" w:hAnsi="Arial" w:cs="Arial"/>
        </w:rPr>
        <w:t>Analysis of water from boreholes (BUMIGEB and ONEA) showed that the water quality was good and that there was no contamination. Analysis of soil samples taken near the laboratory showed high lead levels ranging from 341.905 ppm to 28073.245 ppm, indicating contamination due to the storage of crucibles from lead smelting.</w:t>
      </w:r>
    </w:p>
    <w:p w14:paraId="65C0574B" w14:textId="77777777" w:rsidR="00417728" w:rsidRPr="00417728" w:rsidRDefault="00417728" w:rsidP="00417728">
      <w:pPr>
        <w:spacing w:line="360" w:lineRule="auto"/>
        <w:jc w:val="both"/>
        <w:rPr>
          <w:rFonts w:ascii="Arial" w:hAnsi="Arial" w:cs="Arial"/>
        </w:rPr>
      </w:pPr>
      <w:r w:rsidRPr="00417728">
        <w:rPr>
          <w:rFonts w:ascii="Arial" w:hAnsi="Arial" w:cs="Arial"/>
        </w:rPr>
        <w:t>It is therefore appropriate to consider how to treat these crucibles in order to meet the Millennium Development Goals and comply with sustainable development and environmental protection objectives.</w:t>
      </w:r>
    </w:p>
    <w:p w14:paraId="1EE1B8AE" w14:textId="77777777" w:rsidR="00417728" w:rsidRPr="00417728" w:rsidRDefault="00417728" w:rsidP="00417728">
      <w:pPr>
        <w:spacing w:line="360" w:lineRule="auto"/>
        <w:jc w:val="both"/>
        <w:rPr>
          <w:rFonts w:ascii="Arial" w:hAnsi="Arial" w:cs="Arial"/>
        </w:rPr>
      </w:pPr>
      <w:r w:rsidRPr="00417728">
        <w:rPr>
          <w:rFonts w:ascii="Arial" w:hAnsi="Arial" w:cs="Arial"/>
        </w:rPr>
        <w:t>In addition to treating these wastes, solutions have been proposed and recommendations made to remedy this poor waste management. Although theoretical, these recommendations offer much better prospects in terms of protecting the environment and matrices (water, soil) and also offer the best cost-effectiveness ratio.</w:t>
      </w:r>
    </w:p>
    <w:p w14:paraId="5F1198C8" w14:textId="77777777" w:rsidR="00417728" w:rsidRDefault="00417728" w:rsidP="00441B6F">
      <w:pPr>
        <w:pStyle w:val="Body"/>
        <w:spacing w:after="0"/>
        <w:rPr>
          <w:rFonts w:ascii="Arial" w:hAnsi="Arial" w:cs="Arial"/>
        </w:rPr>
      </w:pPr>
    </w:p>
    <w:p w14:paraId="79ADBC8A" w14:textId="1926F47E" w:rsidR="00742638" w:rsidRDefault="00742638" w:rsidP="00417728">
      <w:pPr>
        <w:spacing w:line="360" w:lineRule="auto"/>
        <w:jc w:val="both"/>
        <w:rPr>
          <w:rFonts w:ascii="Times New Roman" w:hAnsi="Times New Roman"/>
        </w:rPr>
      </w:pPr>
    </w:p>
    <w:p w14:paraId="36F934CC" w14:textId="42ABE532" w:rsidR="00742638" w:rsidRPr="005D3EF1" w:rsidRDefault="005D3EF1" w:rsidP="00742638">
      <w:pPr>
        <w:rPr>
          <w:b/>
          <w:bCs/>
          <w:highlight w:val="yellow"/>
        </w:rPr>
      </w:pPr>
      <w:r w:rsidRPr="005D3EF1">
        <w:rPr>
          <w:b/>
          <w:bCs/>
          <w:highlight w:val="yellow"/>
        </w:rPr>
        <w:t>DISCLAIMER (ARTIFICIAL INTELLIGENCE)</w:t>
      </w:r>
    </w:p>
    <w:p w14:paraId="116B495C" w14:textId="77777777" w:rsidR="00742638" w:rsidRPr="00270720" w:rsidRDefault="00742638" w:rsidP="00742638">
      <w:pPr>
        <w:rPr>
          <w:highlight w:val="yellow"/>
        </w:rPr>
      </w:pPr>
    </w:p>
    <w:p w14:paraId="3A35534A" w14:textId="77777777" w:rsidR="00742638" w:rsidRPr="00270720" w:rsidRDefault="00742638" w:rsidP="00742638">
      <w:pPr>
        <w:rPr>
          <w:highlight w:val="yellow"/>
        </w:rPr>
      </w:pPr>
    </w:p>
    <w:p w14:paraId="2AC91181" w14:textId="77777777" w:rsidR="00742638" w:rsidRPr="00270720" w:rsidRDefault="00742638" w:rsidP="0074263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67E5115" w14:textId="77777777" w:rsidR="00742638" w:rsidRPr="00417728" w:rsidRDefault="00742638" w:rsidP="00417728">
      <w:pPr>
        <w:spacing w:line="360" w:lineRule="auto"/>
        <w:jc w:val="both"/>
        <w:rPr>
          <w:rFonts w:ascii="Times New Roman" w:hAnsi="Times New Roman"/>
        </w:rPr>
      </w:pPr>
    </w:p>
    <w:p w14:paraId="29647883" w14:textId="77777777" w:rsidR="00860000" w:rsidRDefault="00860000" w:rsidP="00441B6F">
      <w:pPr>
        <w:pStyle w:val="ReferHead"/>
        <w:spacing w:after="0"/>
        <w:jc w:val="both"/>
        <w:rPr>
          <w:rFonts w:ascii="Arial" w:hAnsi="Arial" w:cs="Arial"/>
        </w:rPr>
      </w:pPr>
    </w:p>
    <w:p w14:paraId="1A94C6E9" w14:textId="20EDB817" w:rsidR="00417728" w:rsidRPr="00417728" w:rsidRDefault="00B01FCD" w:rsidP="00417728">
      <w:pPr>
        <w:pStyle w:val="ReferHead"/>
        <w:spacing w:after="0"/>
        <w:jc w:val="both"/>
        <w:rPr>
          <w:rFonts w:ascii="Arial" w:hAnsi="Arial" w:cs="Arial"/>
        </w:rPr>
      </w:pPr>
      <w:r w:rsidRPr="00FB3A86">
        <w:rPr>
          <w:rFonts w:ascii="Arial" w:hAnsi="Arial" w:cs="Arial"/>
        </w:rPr>
        <w:t>References</w:t>
      </w:r>
    </w:p>
    <w:p w14:paraId="68DB1F03" w14:textId="77777777" w:rsidR="00417728" w:rsidRDefault="00417728" w:rsidP="00441B6F">
      <w:pPr>
        <w:pStyle w:val="Body"/>
        <w:spacing w:after="0"/>
      </w:pPr>
    </w:p>
    <w:p w14:paraId="756E051E" w14:textId="77777777" w:rsidR="00417728" w:rsidRPr="00417728" w:rsidRDefault="00417728" w:rsidP="00417728">
      <w:pPr>
        <w:spacing w:line="360" w:lineRule="auto"/>
        <w:ind w:left="567" w:hanging="567"/>
        <w:jc w:val="both"/>
        <w:rPr>
          <w:rFonts w:ascii="Arial" w:hAnsi="Arial" w:cs="Arial"/>
          <w:i/>
          <w:iCs/>
          <w:noProof/>
        </w:rPr>
      </w:pPr>
      <w:r w:rsidRPr="00417728">
        <w:rPr>
          <w:rFonts w:ascii="Arial" w:hAnsi="Arial" w:cs="Arial"/>
          <w:noProof/>
        </w:rPr>
        <w:t xml:space="preserve">Abaï, Emmanuel Aguiza, Hugues Pahimi, Prosper Samba Koukouare, Guillaume Ewodo Mboudou, and Auguste Ombolo. (2024). “Hydrochemistry of Groundwater in the Rice Cultivation Area of Maga: Analysis of the Mineralization Process.” </w:t>
      </w:r>
      <w:r w:rsidRPr="00417728">
        <w:rPr>
          <w:rFonts w:ascii="Arial" w:hAnsi="Arial" w:cs="Arial"/>
          <w:i/>
          <w:iCs/>
          <w:noProof/>
        </w:rPr>
        <w:t>Journal of Geoscience and Environment Protection,</w:t>
      </w:r>
      <w:r w:rsidRPr="00417728">
        <w:rPr>
          <w:rFonts w:ascii="Arial" w:hAnsi="Arial" w:cs="Arial"/>
          <w:noProof/>
        </w:rPr>
        <w:t xml:space="preserve"> 12(09), 370–87. </w:t>
      </w:r>
      <w:hyperlink r:id="rId19" w:history="1">
        <w:r w:rsidRPr="00417728">
          <w:rPr>
            <w:rStyle w:val="Hyperlink"/>
            <w:rFonts w:ascii="Arial" w:hAnsi="Arial" w:cs="Arial"/>
            <w:noProof/>
          </w:rPr>
          <w:t>https://doi.org/10.4236/gep.2024.129019</w:t>
        </w:r>
      </w:hyperlink>
      <w:r w:rsidRPr="00417728">
        <w:rPr>
          <w:rFonts w:ascii="Arial" w:hAnsi="Arial" w:cs="Arial"/>
          <w:noProof/>
        </w:rPr>
        <w:t xml:space="preserve">. </w:t>
      </w:r>
    </w:p>
    <w:p w14:paraId="18C74996" w14:textId="77777777" w:rsidR="00417728" w:rsidRPr="00417728" w:rsidRDefault="00417728" w:rsidP="00417728">
      <w:pPr>
        <w:spacing w:line="360" w:lineRule="auto"/>
        <w:ind w:left="567" w:hanging="567"/>
        <w:jc w:val="both"/>
        <w:rPr>
          <w:rFonts w:ascii="Arial" w:hAnsi="Arial" w:cs="Arial"/>
          <w:lang w:val="fr-FR"/>
        </w:rPr>
      </w:pPr>
      <w:r w:rsidRPr="00417728">
        <w:rPr>
          <w:rFonts w:ascii="Arial" w:hAnsi="Arial" w:cs="Arial"/>
          <w:noProof/>
        </w:rPr>
        <w:t xml:space="preserve">Baieta, Rafael, Alda M.D. Vieira, Maria Vaňková, and Martin Mihaljevič. (2022). “Effects of Forest Fires on Soil Lead Elemental Contents and Isotopic Ratios.” </w:t>
      </w:r>
      <w:r w:rsidRPr="00417728">
        <w:rPr>
          <w:rFonts w:ascii="Arial" w:hAnsi="Arial" w:cs="Arial"/>
          <w:i/>
          <w:iCs/>
          <w:noProof/>
          <w:lang w:val="fr-FR"/>
        </w:rPr>
        <w:t>Geoderma,</w:t>
      </w:r>
      <w:r w:rsidRPr="00417728">
        <w:rPr>
          <w:rFonts w:ascii="Arial" w:hAnsi="Arial" w:cs="Arial"/>
          <w:noProof/>
          <w:lang w:val="fr-FR"/>
        </w:rPr>
        <w:t xml:space="preserve"> 414 (4): 115760. </w:t>
      </w:r>
      <w:hyperlink r:id="rId20" w:history="1">
        <w:r w:rsidRPr="00417728">
          <w:rPr>
            <w:rStyle w:val="Hyperlink"/>
            <w:rFonts w:ascii="Arial" w:hAnsi="Arial" w:cs="Arial"/>
            <w:noProof/>
            <w:lang w:val="fr-FR"/>
          </w:rPr>
          <w:t>https://doi.org/10.1016/j.geoderma.2022.115760</w:t>
        </w:r>
      </w:hyperlink>
      <w:r w:rsidRPr="00417728">
        <w:rPr>
          <w:rFonts w:ascii="Arial" w:hAnsi="Arial" w:cs="Arial"/>
          <w:noProof/>
          <w:lang w:val="fr-FR"/>
        </w:rPr>
        <w:t xml:space="preserve">. </w:t>
      </w:r>
    </w:p>
    <w:p w14:paraId="305EB25F" w14:textId="77777777" w:rsidR="00417728" w:rsidRPr="00417728" w:rsidRDefault="00417728" w:rsidP="00417728">
      <w:pPr>
        <w:spacing w:line="360" w:lineRule="auto"/>
        <w:ind w:left="567" w:hanging="567"/>
        <w:jc w:val="both"/>
        <w:rPr>
          <w:rFonts w:ascii="Arial" w:hAnsi="Arial" w:cs="Arial"/>
          <w:iCs/>
        </w:rPr>
      </w:pPr>
      <w:r w:rsidRPr="00417728">
        <w:rPr>
          <w:rFonts w:ascii="Arial" w:hAnsi="Arial" w:cs="Arial"/>
          <w:iCs/>
          <w:lang w:val="fr-FR"/>
        </w:rPr>
        <w:t xml:space="preserve">Beret </w:t>
      </w:r>
      <w:proofErr w:type="spellStart"/>
      <w:r w:rsidRPr="00417728">
        <w:rPr>
          <w:rFonts w:ascii="Arial" w:hAnsi="Arial" w:cs="Arial"/>
          <w:iCs/>
          <w:lang w:val="fr-FR"/>
        </w:rPr>
        <w:t>Rodríguez</w:t>
      </w:r>
      <w:proofErr w:type="spellEnd"/>
      <w:r w:rsidRPr="00417728">
        <w:rPr>
          <w:rFonts w:ascii="Arial" w:hAnsi="Arial" w:cs="Arial"/>
          <w:iCs/>
          <w:lang w:val="fr-FR"/>
        </w:rPr>
        <w:t xml:space="preserve">, M.J., Bernache Pérez, G. (2020). </w:t>
      </w:r>
      <w:r w:rsidRPr="00417728">
        <w:rPr>
          <w:rFonts w:ascii="Arial" w:hAnsi="Arial" w:cs="Arial"/>
          <w:iCs/>
        </w:rPr>
        <w:t xml:space="preserve">Urban Solid Waste Regularly Collected and Well Managed. In: Leal Filho, W., Marisa Azul, A., Brandli, L., </w:t>
      </w:r>
      <w:proofErr w:type="spellStart"/>
      <w:r w:rsidRPr="00417728">
        <w:rPr>
          <w:rFonts w:ascii="Arial" w:hAnsi="Arial" w:cs="Arial"/>
          <w:iCs/>
        </w:rPr>
        <w:t>Gökçin</w:t>
      </w:r>
      <w:proofErr w:type="spellEnd"/>
      <w:r w:rsidRPr="00417728">
        <w:rPr>
          <w:rFonts w:ascii="Arial" w:hAnsi="Arial" w:cs="Arial"/>
          <w:iCs/>
        </w:rPr>
        <w:t xml:space="preserve"> </w:t>
      </w:r>
      <w:proofErr w:type="spellStart"/>
      <w:r w:rsidRPr="00417728">
        <w:rPr>
          <w:rFonts w:ascii="Arial" w:hAnsi="Arial" w:cs="Arial"/>
          <w:iCs/>
        </w:rPr>
        <w:t>Özuyar</w:t>
      </w:r>
      <w:proofErr w:type="spellEnd"/>
      <w:r w:rsidRPr="00417728">
        <w:rPr>
          <w:rFonts w:ascii="Arial" w:hAnsi="Arial" w:cs="Arial"/>
          <w:iCs/>
        </w:rPr>
        <w:t xml:space="preserve">, P., Wall, T. (eds) Sustainable Cities and Communities. Encyclopedia of the UN Sustainable Development Goals. Springer, Cham. </w:t>
      </w:r>
      <w:hyperlink r:id="rId21" w:history="1">
        <w:r w:rsidRPr="00417728">
          <w:rPr>
            <w:rStyle w:val="Hyperlink"/>
            <w:rFonts w:ascii="Arial" w:hAnsi="Arial" w:cs="Arial"/>
            <w:iCs/>
          </w:rPr>
          <w:t>https://doi.org/10.1007/978-3-319-95717-3_43</w:t>
        </w:r>
      </w:hyperlink>
      <w:r w:rsidRPr="00417728">
        <w:rPr>
          <w:rFonts w:ascii="Arial" w:hAnsi="Arial" w:cs="Arial"/>
          <w:iCs/>
        </w:rPr>
        <w:t xml:space="preserve"> </w:t>
      </w:r>
    </w:p>
    <w:p w14:paraId="3BEDA6CD"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Bharat, Abhishek Pandey, Abhay Kumar Singh, and Mukesh Kumar Mahato. (2024). “Heavy Metal Geochemistry and Toxicity Assessment of Water Environment from Ib Valley Coalfield, India: Implications to Contaminant Source Apportionment and Human Health Risks.” </w:t>
      </w:r>
      <w:r w:rsidRPr="00417728">
        <w:rPr>
          <w:rFonts w:ascii="Arial" w:hAnsi="Arial" w:cs="Arial"/>
          <w:i/>
          <w:iCs/>
          <w:noProof/>
        </w:rPr>
        <w:t>Chemosphere,</w:t>
      </w:r>
      <w:r w:rsidRPr="00417728">
        <w:rPr>
          <w:rFonts w:ascii="Arial" w:hAnsi="Arial" w:cs="Arial"/>
          <w:noProof/>
        </w:rPr>
        <w:t xml:space="preserve"> 352(3), 141452. </w:t>
      </w:r>
    </w:p>
    <w:p w14:paraId="2724DA78" w14:textId="77777777" w:rsidR="00417728" w:rsidRPr="00417728" w:rsidRDefault="00904DD9" w:rsidP="00417728">
      <w:pPr>
        <w:spacing w:line="360" w:lineRule="auto"/>
        <w:ind w:left="567"/>
        <w:jc w:val="both"/>
        <w:rPr>
          <w:rFonts w:ascii="Arial" w:hAnsi="Arial" w:cs="Arial"/>
          <w:noProof/>
        </w:rPr>
      </w:pPr>
      <w:hyperlink r:id="rId22" w:history="1">
        <w:r w:rsidR="00417728" w:rsidRPr="00417728">
          <w:rPr>
            <w:rStyle w:val="Hyperlink"/>
            <w:rFonts w:ascii="Arial" w:hAnsi="Arial" w:cs="Arial"/>
            <w:noProof/>
          </w:rPr>
          <w:t>https://doi.org/10.1016/j.chemosphere.2024.141452</w:t>
        </w:r>
      </w:hyperlink>
      <w:r w:rsidR="00417728" w:rsidRPr="00417728">
        <w:rPr>
          <w:rFonts w:ascii="Arial" w:hAnsi="Arial" w:cs="Arial"/>
          <w:noProof/>
        </w:rPr>
        <w:t xml:space="preserve">. </w:t>
      </w:r>
    </w:p>
    <w:p w14:paraId="4BDDF8D2" w14:textId="77777777" w:rsid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Cerceau, Cristiane Isaac, Cornélio de Freitas Carvalho, Ana Carolina Silveira Rabelo, Cláudio Gouvea dos Santos, Sabrina Mayra Dias Gonçalves, and Eduardo Vinícius Vieira Varejão. (2016). “Recovering Lead from Cupel Waste Generated in Gold Analysis by Pb-Fire Assay.” </w:t>
      </w:r>
      <w:r w:rsidRPr="00417728">
        <w:rPr>
          <w:rFonts w:ascii="Arial" w:hAnsi="Arial" w:cs="Arial"/>
          <w:i/>
          <w:iCs/>
          <w:noProof/>
        </w:rPr>
        <w:t>Journal of Environmental Management,</w:t>
      </w:r>
      <w:r w:rsidRPr="00417728">
        <w:rPr>
          <w:rFonts w:ascii="Arial" w:hAnsi="Arial" w:cs="Arial"/>
          <w:noProof/>
        </w:rPr>
        <w:t xml:space="preserve"> 183, 771–76.</w:t>
      </w:r>
    </w:p>
    <w:p w14:paraId="6ECBE816" w14:textId="252B4E6D" w:rsidR="002C5452" w:rsidRDefault="00904DD9" w:rsidP="002C5452">
      <w:pPr>
        <w:spacing w:line="360" w:lineRule="auto"/>
        <w:ind w:left="567"/>
        <w:jc w:val="both"/>
        <w:rPr>
          <w:rFonts w:ascii="Arial" w:hAnsi="Arial" w:cs="Arial"/>
          <w:noProof/>
        </w:rPr>
      </w:pPr>
      <w:hyperlink r:id="rId23" w:history="1">
        <w:r w:rsidR="002C5452" w:rsidRPr="00417728">
          <w:rPr>
            <w:rStyle w:val="Hyperlink"/>
            <w:rFonts w:ascii="Arial" w:hAnsi="Arial" w:cs="Arial"/>
            <w:noProof/>
          </w:rPr>
          <w:t>https://doi.org/10.1016/j.jenvman.2016.08.052</w:t>
        </w:r>
      </w:hyperlink>
      <w:r w:rsidR="002C5452" w:rsidRPr="00417728">
        <w:rPr>
          <w:rFonts w:ascii="Arial" w:hAnsi="Arial" w:cs="Arial"/>
          <w:noProof/>
        </w:rPr>
        <w:t xml:space="preserve">. </w:t>
      </w:r>
    </w:p>
    <w:p w14:paraId="7FB9AB96" w14:textId="096C6512" w:rsidR="002C5452" w:rsidRPr="002C5452" w:rsidRDefault="002C5452" w:rsidP="002C5452">
      <w:pPr>
        <w:spacing w:line="360" w:lineRule="auto"/>
        <w:ind w:left="567" w:hanging="567"/>
        <w:jc w:val="both"/>
        <w:rPr>
          <w:rFonts w:ascii="Arial" w:hAnsi="Arial" w:cs="Arial"/>
          <w:noProof/>
          <w:highlight w:val="yellow"/>
        </w:rPr>
      </w:pPr>
      <w:r w:rsidRPr="002C5452">
        <w:rPr>
          <w:rFonts w:ascii="Arial" w:hAnsi="Arial" w:cs="Arial"/>
          <w:noProof/>
          <w:highlight w:val="yellow"/>
        </w:rPr>
        <w:t xml:space="preserve">Chaturvedi S, Khare A.(2022). Solid Wastes: Characteristics, Composition and Adverse Effects on Environment and Public Health. Asian J. Adv. Res. Rep, 16(7), 9-30. </w:t>
      </w:r>
    </w:p>
    <w:p w14:paraId="740CB7BD" w14:textId="1E6E233B" w:rsidR="002C5452" w:rsidRPr="00417728" w:rsidRDefault="002C5452" w:rsidP="002C5452">
      <w:pPr>
        <w:spacing w:line="360" w:lineRule="auto"/>
        <w:ind w:left="567" w:hanging="567"/>
        <w:jc w:val="both"/>
        <w:rPr>
          <w:rFonts w:ascii="Arial" w:hAnsi="Arial" w:cs="Arial"/>
          <w:noProof/>
        </w:rPr>
      </w:pPr>
      <w:r w:rsidRPr="002C5452">
        <w:rPr>
          <w:rFonts w:ascii="Arial" w:hAnsi="Arial" w:cs="Arial"/>
          <w:noProof/>
          <w:highlight w:val="yellow"/>
        </w:rPr>
        <w:t xml:space="preserve"> </w:t>
      </w:r>
      <w:r w:rsidRPr="002C5452">
        <w:rPr>
          <w:rFonts w:ascii="Arial" w:hAnsi="Arial" w:cs="Arial"/>
          <w:noProof/>
          <w:highlight w:val="yellow"/>
        </w:rPr>
        <w:tab/>
      </w:r>
      <w:hyperlink r:id="rId24" w:history="1">
        <w:r w:rsidRPr="002C5452">
          <w:rPr>
            <w:rStyle w:val="Hyperlink"/>
            <w:rFonts w:ascii="Arial" w:hAnsi="Arial" w:cs="Arial"/>
            <w:noProof/>
            <w:highlight w:val="yellow"/>
          </w:rPr>
          <w:t>https://journalajarr.com/index.php/AJARR/article/view/390</w:t>
        </w:r>
      </w:hyperlink>
      <w:r w:rsidRPr="002C5452">
        <w:rPr>
          <w:rFonts w:ascii="Arial" w:hAnsi="Arial" w:cs="Arial"/>
          <w:noProof/>
          <w:highlight w:val="yellow"/>
        </w:rPr>
        <w:t>.</w:t>
      </w:r>
      <w:r>
        <w:rPr>
          <w:rFonts w:ascii="Arial" w:hAnsi="Arial" w:cs="Arial"/>
          <w:noProof/>
        </w:rPr>
        <w:t xml:space="preserve"> </w:t>
      </w:r>
    </w:p>
    <w:p w14:paraId="09D3AD5A"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El-Sharkawy, Mahmoud, Modhi O. Alotaibi, Jian Li, Daolin Du, and Esawy Mahmoud. 2025. “Heavy Metal Pollution in Coastal Environments: Ecological Implications and Management Strategies: A Review.” </w:t>
      </w:r>
      <w:r w:rsidRPr="00417728">
        <w:rPr>
          <w:rFonts w:ascii="Arial" w:hAnsi="Arial" w:cs="Arial"/>
          <w:i/>
          <w:iCs/>
          <w:noProof/>
        </w:rPr>
        <w:t>Sustainability (Switzerland),</w:t>
      </w:r>
      <w:r w:rsidRPr="00417728">
        <w:rPr>
          <w:rFonts w:ascii="Arial" w:hAnsi="Arial" w:cs="Arial"/>
          <w:noProof/>
        </w:rPr>
        <w:t xml:space="preserve"> 17(2), 1–29.</w:t>
      </w:r>
    </w:p>
    <w:p w14:paraId="18AE013B" w14:textId="77777777" w:rsidR="00417728" w:rsidRPr="00417728" w:rsidRDefault="00904DD9" w:rsidP="00417728">
      <w:pPr>
        <w:spacing w:line="360" w:lineRule="auto"/>
        <w:ind w:left="567"/>
        <w:jc w:val="both"/>
        <w:rPr>
          <w:rFonts w:ascii="Arial" w:hAnsi="Arial" w:cs="Arial"/>
          <w:noProof/>
        </w:rPr>
      </w:pPr>
      <w:hyperlink r:id="rId25" w:history="1">
        <w:r w:rsidR="00417728" w:rsidRPr="00417728">
          <w:rPr>
            <w:rStyle w:val="Hyperlink"/>
            <w:rFonts w:ascii="Arial" w:hAnsi="Arial" w:cs="Arial"/>
            <w:noProof/>
          </w:rPr>
          <w:t>https://doi.org/10.3390/su17020701</w:t>
        </w:r>
      </w:hyperlink>
      <w:r w:rsidR="00417728" w:rsidRPr="00417728">
        <w:rPr>
          <w:rFonts w:ascii="Arial" w:hAnsi="Arial" w:cs="Arial"/>
          <w:noProof/>
        </w:rPr>
        <w:t xml:space="preserve">. </w:t>
      </w:r>
    </w:p>
    <w:p w14:paraId="6671FC5D" w14:textId="77777777" w:rsidR="00417728" w:rsidRPr="00417728" w:rsidRDefault="00417728" w:rsidP="00417728">
      <w:pPr>
        <w:spacing w:line="360" w:lineRule="auto"/>
        <w:ind w:left="567" w:hanging="567"/>
        <w:jc w:val="both"/>
        <w:rPr>
          <w:rFonts w:ascii="Arial" w:hAnsi="Arial" w:cs="Arial"/>
          <w:iCs/>
        </w:rPr>
      </w:pPr>
      <w:r w:rsidRPr="00417728">
        <w:rPr>
          <w:rFonts w:ascii="Arial" w:hAnsi="Arial" w:cs="Arial"/>
          <w:noProof/>
        </w:rPr>
        <w:t xml:space="preserve">Firincă, Cristina, Lucian Gabriel Zamfir, Mariana Constantin, Iuliana Răut, Maria Luiza Jecu, Mihaela Doni, Ana Maria Gurban, and Tatiana Eugenia Șesan. (2025). “Innovative Approaches and Evolving Strategies in Heavy Metal Bioremediation: Current </w:t>
      </w:r>
      <w:r w:rsidRPr="00417728">
        <w:rPr>
          <w:rFonts w:ascii="Arial" w:hAnsi="Arial" w:cs="Arial"/>
          <w:noProof/>
        </w:rPr>
        <w:lastRenderedPageBreak/>
        <w:t xml:space="preserve">Limitations and Future Opportunities.” </w:t>
      </w:r>
      <w:r w:rsidRPr="00417728">
        <w:rPr>
          <w:rFonts w:ascii="Arial" w:hAnsi="Arial" w:cs="Arial"/>
          <w:i/>
          <w:iCs/>
          <w:noProof/>
        </w:rPr>
        <w:t>Journal of Xenobiotics,</w:t>
      </w:r>
      <w:r w:rsidRPr="00417728">
        <w:rPr>
          <w:rFonts w:ascii="Arial" w:hAnsi="Arial" w:cs="Arial"/>
          <w:noProof/>
        </w:rPr>
        <w:t xml:space="preserve"> 15(3), 1–41. </w:t>
      </w:r>
      <w:hyperlink r:id="rId26" w:history="1">
        <w:r w:rsidRPr="00417728">
          <w:rPr>
            <w:rStyle w:val="Hyperlink"/>
            <w:rFonts w:ascii="Arial" w:hAnsi="Arial" w:cs="Arial"/>
            <w:noProof/>
          </w:rPr>
          <w:t>https://doi.org/10.3390/jox15030063</w:t>
        </w:r>
      </w:hyperlink>
      <w:r w:rsidRPr="00417728">
        <w:rPr>
          <w:rFonts w:ascii="Arial" w:hAnsi="Arial" w:cs="Arial"/>
          <w:noProof/>
        </w:rPr>
        <w:t xml:space="preserve">. </w:t>
      </w:r>
    </w:p>
    <w:p w14:paraId="3DEB6403"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Gilmour, Katie A., Colin T. Davie, and Neil Gray. (2022). “Survival and Activity of an Indigenous Iron-Reducing Microbial Community from MX80 Bentonite in High Temperature / Low Water Environments with Relevance to a Proposed Method of Nuclear Waste Disposal.” </w:t>
      </w:r>
      <w:r w:rsidRPr="00417728">
        <w:rPr>
          <w:rFonts w:ascii="Arial" w:hAnsi="Arial" w:cs="Arial"/>
          <w:i/>
          <w:iCs/>
          <w:noProof/>
        </w:rPr>
        <w:t>Science of the Total Environment,</w:t>
      </w:r>
      <w:r w:rsidRPr="00417728">
        <w:rPr>
          <w:rFonts w:ascii="Arial" w:hAnsi="Arial" w:cs="Arial"/>
          <w:noProof/>
        </w:rPr>
        <w:t xml:space="preserve"> 814,152660.</w:t>
      </w:r>
    </w:p>
    <w:p w14:paraId="0A6893F8"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 </w:t>
      </w:r>
      <w:r w:rsidRPr="00417728">
        <w:rPr>
          <w:rFonts w:ascii="Arial" w:hAnsi="Arial" w:cs="Arial"/>
          <w:noProof/>
        </w:rPr>
        <w:tab/>
      </w:r>
      <w:hyperlink r:id="rId27" w:history="1">
        <w:r w:rsidRPr="00417728">
          <w:rPr>
            <w:rStyle w:val="Hyperlink"/>
            <w:rFonts w:ascii="Arial" w:hAnsi="Arial" w:cs="Arial"/>
            <w:noProof/>
          </w:rPr>
          <w:t>https://doi.org/10.1016/j.scitotenv.2021.152660</w:t>
        </w:r>
      </w:hyperlink>
      <w:r w:rsidRPr="00417728">
        <w:rPr>
          <w:rFonts w:ascii="Arial" w:hAnsi="Arial" w:cs="Arial"/>
          <w:noProof/>
        </w:rPr>
        <w:t xml:space="preserve">. </w:t>
      </w:r>
    </w:p>
    <w:p w14:paraId="69015281"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Ja, Kim. (2023). “Journal of Heavy Metal Toxicity and Diseases Revolutionizing Environmental Health : Innovative Approaches to Remove Heavy Metals from Contaminated Sources”, 08(05), 6457.</w:t>
      </w:r>
    </w:p>
    <w:p w14:paraId="72C70EA7"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Kamagate, Mahamadou, Traore Lanciné, Kouadio Aya Nelly Berthe, Gone Droh Lanciné, Karim Kriaa, Amine Aymen Assadi, Jie Zhang, and Hichem Tahraoui. (2025). “Assessment of the Human Health Risks Associated with Heavy Metals in Surface Water Near Gold Mining Sites in Côte d’Ivoire.” </w:t>
      </w:r>
      <w:r w:rsidRPr="00417728">
        <w:rPr>
          <w:rFonts w:ascii="Arial" w:hAnsi="Arial" w:cs="Arial"/>
          <w:i/>
          <w:iCs/>
          <w:noProof/>
        </w:rPr>
        <w:t>Water (Switzerland),</w:t>
      </w:r>
      <w:r w:rsidRPr="00417728">
        <w:rPr>
          <w:rFonts w:ascii="Arial" w:hAnsi="Arial" w:cs="Arial"/>
          <w:noProof/>
        </w:rPr>
        <w:t xml:space="preserve"> 17(13), 1–13.</w:t>
      </w:r>
    </w:p>
    <w:p w14:paraId="598A1D2B" w14:textId="77777777" w:rsidR="00417728" w:rsidRPr="00417728" w:rsidRDefault="00904DD9" w:rsidP="00417728">
      <w:pPr>
        <w:spacing w:line="360" w:lineRule="auto"/>
        <w:ind w:left="567"/>
        <w:jc w:val="both"/>
        <w:rPr>
          <w:rFonts w:ascii="Arial" w:hAnsi="Arial" w:cs="Arial"/>
          <w:noProof/>
        </w:rPr>
      </w:pPr>
      <w:hyperlink r:id="rId28" w:history="1">
        <w:r w:rsidR="00417728" w:rsidRPr="00417728">
          <w:rPr>
            <w:rStyle w:val="Hyperlink"/>
            <w:rFonts w:ascii="Arial" w:hAnsi="Arial" w:cs="Arial"/>
            <w:noProof/>
          </w:rPr>
          <w:t>https://doi.org/10.3390/w17131891</w:t>
        </w:r>
      </w:hyperlink>
      <w:r w:rsidR="00417728" w:rsidRPr="00417728">
        <w:rPr>
          <w:rFonts w:ascii="Arial" w:hAnsi="Arial" w:cs="Arial"/>
          <w:noProof/>
        </w:rPr>
        <w:t>.</w:t>
      </w:r>
    </w:p>
    <w:p w14:paraId="228DE83E"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Kim, Soyeon, Ho Jang Kwon, Hae Kwan Cheong, Kyungho Choi, Jae Yeon Jang, Woo Chul Jeong, Dae Seon Kim, et al. (2008). “Investigation on Health Effects of an Abandoned Metal Mine.” </w:t>
      </w:r>
      <w:r w:rsidRPr="00417728">
        <w:rPr>
          <w:rFonts w:ascii="Arial" w:hAnsi="Arial" w:cs="Arial"/>
          <w:i/>
          <w:iCs/>
          <w:noProof/>
        </w:rPr>
        <w:t>Journal of Korean Medical Science,</w:t>
      </w:r>
      <w:r w:rsidRPr="00417728">
        <w:rPr>
          <w:rFonts w:ascii="Arial" w:hAnsi="Arial" w:cs="Arial"/>
          <w:noProof/>
        </w:rPr>
        <w:t xml:space="preserve"> 23 (3), 452–58.</w:t>
      </w:r>
    </w:p>
    <w:p w14:paraId="39136266" w14:textId="77777777" w:rsidR="00417728" w:rsidRPr="00417728" w:rsidRDefault="00904DD9" w:rsidP="00417728">
      <w:pPr>
        <w:spacing w:line="360" w:lineRule="auto"/>
        <w:ind w:left="567"/>
        <w:jc w:val="both"/>
        <w:rPr>
          <w:rFonts w:ascii="Arial" w:hAnsi="Arial" w:cs="Arial"/>
          <w:noProof/>
        </w:rPr>
      </w:pPr>
      <w:hyperlink r:id="rId29" w:history="1">
        <w:r w:rsidR="00417728" w:rsidRPr="00417728">
          <w:rPr>
            <w:rStyle w:val="Hyperlink"/>
            <w:rFonts w:ascii="Arial" w:hAnsi="Arial" w:cs="Arial"/>
            <w:noProof/>
          </w:rPr>
          <w:t>https://doi.org/10.3346/jkms.2008.23.3.452</w:t>
        </w:r>
      </w:hyperlink>
      <w:r w:rsidR="00417728" w:rsidRPr="00417728">
        <w:rPr>
          <w:rFonts w:ascii="Arial" w:hAnsi="Arial" w:cs="Arial"/>
          <w:noProof/>
        </w:rPr>
        <w:t xml:space="preserve">. </w:t>
      </w:r>
    </w:p>
    <w:p w14:paraId="37B2AEA8"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Kjøller, Claus, Dieke Postma, and Flemming Larsen. (2004). “Groundwater Acidification and the Mobilization of Trace Metals in a Sandy Aquifer.” </w:t>
      </w:r>
      <w:r w:rsidRPr="00417728">
        <w:rPr>
          <w:rFonts w:ascii="Arial" w:hAnsi="Arial" w:cs="Arial"/>
          <w:i/>
          <w:iCs/>
          <w:noProof/>
        </w:rPr>
        <w:t>Environmental Science and Technology,</w:t>
      </w:r>
      <w:r w:rsidRPr="00417728">
        <w:rPr>
          <w:rFonts w:ascii="Arial" w:hAnsi="Arial" w:cs="Arial"/>
          <w:noProof/>
        </w:rPr>
        <w:t xml:space="preserve"> 38 (10), 2829–35. </w:t>
      </w:r>
      <w:hyperlink r:id="rId30" w:history="1">
        <w:r w:rsidRPr="00417728">
          <w:rPr>
            <w:rStyle w:val="Hyperlink"/>
            <w:rFonts w:ascii="Arial" w:hAnsi="Arial" w:cs="Arial"/>
            <w:noProof/>
          </w:rPr>
          <w:t>https://doi.org/10.1021/es030133v</w:t>
        </w:r>
      </w:hyperlink>
      <w:r w:rsidRPr="00417728">
        <w:rPr>
          <w:rFonts w:ascii="Arial" w:hAnsi="Arial" w:cs="Arial"/>
          <w:noProof/>
        </w:rPr>
        <w:t xml:space="preserve">. </w:t>
      </w:r>
    </w:p>
    <w:p w14:paraId="5CE3476F"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Koomson, B, W Cudjoe, and R Nkrumah. (2020). “Ascertaining the Potential of Lead Mobilisation into the Geo-Environment by Spent Fire Assay Crucibles,” 8(2020), 103–6. </w:t>
      </w:r>
    </w:p>
    <w:p w14:paraId="16385674"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Mabowa, Happy Mothepane, Andile Mkhohlakali, Sam Mokoena, James Tshilongo, and Luke Chimuka. (2024). “Removal of Nickel from Nickel Sulfite-Fire Assay Dissolution Filtrate Through Precipitation.” </w:t>
      </w:r>
      <w:r w:rsidRPr="00417728">
        <w:rPr>
          <w:rFonts w:ascii="Arial" w:hAnsi="Arial" w:cs="Arial"/>
          <w:i/>
          <w:iCs/>
          <w:noProof/>
        </w:rPr>
        <w:t>ACS Omega,</w:t>
      </w:r>
      <w:r w:rsidRPr="00417728">
        <w:rPr>
          <w:rFonts w:ascii="Arial" w:hAnsi="Arial" w:cs="Arial"/>
          <w:noProof/>
        </w:rPr>
        <w:t xml:space="preserve"> 9(5), 5592–5600.</w:t>
      </w:r>
    </w:p>
    <w:p w14:paraId="0A594D8D" w14:textId="77777777" w:rsidR="00417728" w:rsidRPr="00417728" w:rsidRDefault="00904DD9" w:rsidP="00417728">
      <w:pPr>
        <w:spacing w:line="360" w:lineRule="auto"/>
        <w:ind w:left="567"/>
        <w:jc w:val="both"/>
        <w:rPr>
          <w:rFonts w:ascii="Arial" w:hAnsi="Arial" w:cs="Arial"/>
          <w:iCs/>
        </w:rPr>
      </w:pPr>
      <w:hyperlink r:id="rId31" w:history="1">
        <w:r w:rsidR="00417728" w:rsidRPr="00417728">
          <w:rPr>
            <w:rStyle w:val="Hyperlink"/>
            <w:rFonts w:ascii="Arial" w:hAnsi="Arial" w:cs="Arial"/>
            <w:noProof/>
          </w:rPr>
          <w:t>https://doi.org/10.1021/acsomega.3c07623</w:t>
        </w:r>
      </w:hyperlink>
      <w:r w:rsidR="00417728" w:rsidRPr="00417728">
        <w:rPr>
          <w:rFonts w:ascii="Arial" w:hAnsi="Arial" w:cs="Arial"/>
          <w:noProof/>
        </w:rPr>
        <w:t xml:space="preserve">. </w:t>
      </w:r>
    </w:p>
    <w:p w14:paraId="1F00D08C"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Marzluff, John M., Wilfried Endlicher, Gordon Bradley, Ute Simon, Eric Shulenberger, Marina Alberti, Clare Ryan, and Craig Zumbrunnen. (2008). “Urban Ecology: An International Perspective on the Interaction between Humans and Nature.” </w:t>
      </w:r>
      <w:r w:rsidRPr="00417728">
        <w:rPr>
          <w:rFonts w:ascii="Arial" w:hAnsi="Arial" w:cs="Arial"/>
          <w:i/>
          <w:iCs/>
          <w:noProof/>
        </w:rPr>
        <w:t>Urban Ecology: An International Perspective on the Interaction Between Humans and Nature</w:t>
      </w:r>
      <w:r w:rsidRPr="00417728">
        <w:rPr>
          <w:rFonts w:ascii="Arial" w:hAnsi="Arial" w:cs="Arial"/>
          <w:noProof/>
        </w:rPr>
        <w:t xml:space="preserve">, 1(2014), 1–807. </w:t>
      </w:r>
      <w:hyperlink r:id="rId32" w:history="1">
        <w:r w:rsidRPr="00417728">
          <w:rPr>
            <w:rStyle w:val="Hyperlink"/>
            <w:rFonts w:ascii="Arial" w:hAnsi="Arial" w:cs="Arial"/>
            <w:noProof/>
          </w:rPr>
          <w:t>https://doi.org/10.1007/978-0-387-73412-5</w:t>
        </w:r>
      </w:hyperlink>
      <w:r w:rsidRPr="00417728">
        <w:rPr>
          <w:rFonts w:ascii="Arial" w:hAnsi="Arial" w:cs="Arial"/>
          <w:noProof/>
        </w:rPr>
        <w:t xml:space="preserve">. </w:t>
      </w:r>
    </w:p>
    <w:p w14:paraId="7D4D58C8"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Mkhohlakali, Andile, Tshilidzi Ramfumedzi, Mokgehle Refiloe Letsoalo, Sivuyisiwe Mapukata, Mothepane Happy Mabowa, Dimakatso Mokgosi, James Sehata, Napo </w:t>
      </w:r>
      <w:r w:rsidRPr="00417728">
        <w:rPr>
          <w:rFonts w:ascii="Arial" w:hAnsi="Arial" w:cs="Arial"/>
          <w:noProof/>
        </w:rPr>
        <w:lastRenderedPageBreak/>
        <w:t xml:space="preserve">Ntsasa, and James Tshilongo. (2024). “Recycling, Analytical Quantification and Re-Purpose of Critical Minerals from Fire Assay Waste Streams.” </w:t>
      </w:r>
      <w:r w:rsidRPr="00417728">
        <w:rPr>
          <w:rFonts w:ascii="Arial" w:hAnsi="Arial" w:cs="Arial"/>
          <w:i/>
          <w:iCs/>
          <w:noProof/>
        </w:rPr>
        <w:t>Urban Pollution - Environmental Challenges in Healthy Modern Cities [Working Title]</w:t>
      </w:r>
      <w:r w:rsidRPr="00417728">
        <w:rPr>
          <w:rFonts w:ascii="Arial" w:hAnsi="Arial" w:cs="Arial"/>
          <w:noProof/>
        </w:rPr>
        <w:t>, 11.</w:t>
      </w:r>
    </w:p>
    <w:p w14:paraId="1B53ED44" w14:textId="77777777" w:rsidR="00417728" w:rsidRPr="00417728" w:rsidRDefault="00904DD9" w:rsidP="00417728">
      <w:pPr>
        <w:spacing w:line="360" w:lineRule="auto"/>
        <w:ind w:left="567"/>
        <w:jc w:val="both"/>
        <w:rPr>
          <w:rFonts w:ascii="Arial" w:hAnsi="Arial" w:cs="Arial"/>
          <w:noProof/>
        </w:rPr>
      </w:pPr>
      <w:hyperlink r:id="rId33" w:history="1">
        <w:r w:rsidR="00417728" w:rsidRPr="00417728">
          <w:rPr>
            <w:rStyle w:val="Hyperlink"/>
            <w:rFonts w:ascii="Arial" w:hAnsi="Arial" w:cs="Arial"/>
            <w:noProof/>
          </w:rPr>
          <w:t>https://doi.org/10.5772/intechopen.1007150</w:t>
        </w:r>
      </w:hyperlink>
      <w:r w:rsidR="00417728" w:rsidRPr="00417728">
        <w:rPr>
          <w:rFonts w:ascii="Arial" w:hAnsi="Arial" w:cs="Arial"/>
          <w:noProof/>
        </w:rPr>
        <w:t xml:space="preserve">. </w:t>
      </w:r>
    </w:p>
    <w:p w14:paraId="7DC1FFDF"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Nations, United, and Transboundary Air Pollution. (2015). “1998 Protocol on Heavy Metals, as Amended on 13 December 2012.” </w:t>
      </w:r>
      <w:r w:rsidRPr="00417728">
        <w:rPr>
          <w:rFonts w:ascii="Arial" w:hAnsi="Arial" w:cs="Arial"/>
          <w:i/>
          <w:iCs/>
          <w:noProof/>
        </w:rPr>
        <w:t>Updated Handbook for the 1979 Convention on Long-Range Transboundary Air Pollution and Its Protocols,</w:t>
      </w:r>
      <w:r w:rsidRPr="00417728">
        <w:rPr>
          <w:rFonts w:ascii="Arial" w:hAnsi="Arial" w:cs="Arial"/>
          <w:noProof/>
        </w:rPr>
        <w:t xml:space="preserve"> 17 (10), 121–43.</w:t>
      </w:r>
    </w:p>
    <w:p w14:paraId="16821ABB" w14:textId="77777777" w:rsidR="00417728" w:rsidRPr="00417728" w:rsidRDefault="00904DD9" w:rsidP="00417728">
      <w:pPr>
        <w:spacing w:line="360" w:lineRule="auto"/>
        <w:ind w:left="567"/>
        <w:jc w:val="both"/>
        <w:rPr>
          <w:rFonts w:ascii="Arial" w:hAnsi="Arial" w:cs="Arial"/>
          <w:iCs/>
        </w:rPr>
      </w:pPr>
      <w:hyperlink r:id="rId34" w:history="1">
        <w:r w:rsidR="00417728" w:rsidRPr="00417728">
          <w:rPr>
            <w:rStyle w:val="Hyperlink"/>
            <w:rFonts w:ascii="Arial" w:hAnsi="Arial" w:cs="Arial"/>
            <w:noProof/>
          </w:rPr>
          <w:t>https://doi.org/10.18356/476573ac-en</w:t>
        </w:r>
      </w:hyperlink>
      <w:r w:rsidR="00417728" w:rsidRPr="00417728">
        <w:rPr>
          <w:rFonts w:ascii="Arial" w:hAnsi="Arial" w:cs="Arial"/>
          <w:noProof/>
        </w:rPr>
        <w:t xml:space="preserve">. </w:t>
      </w:r>
    </w:p>
    <w:p w14:paraId="18483035"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Robles-Martínez, Fabian, and Rémy Gourdon. (2000). “Long-Term Behaviour of Baled Household Waste.” </w:t>
      </w:r>
      <w:r w:rsidRPr="00417728">
        <w:rPr>
          <w:rFonts w:ascii="Arial" w:hAnsi="Arial" w:cs="Arial"/>
          <w:i/>
          <w:iCs/>
          <w:noProof/>
        </w:rPr>
        <w:t>Bioresource Technology,</w:t>
      </w:r>
      <w:r w:rsidRPr="00417728">
        <w:rPr>
          <w:rFonts w:ascii="Arial" w:hAnsi="Arial" w:cs="Arial"/>
          <w:noProof/>
        </w:rPr>
        <w:t xml:space="preserve"> 72(2), 125–30. </w:t>
      </w:r>
      <w:hyperlink r:id="rId35" w:history="1">
        <w:r w:rsidRPr="00417728">
          <w:rPr>
            <w:rStyle w:val="Hyperlink"/>
            <w:rFonts w:ascii="Arial" w:hAnsi="Arial" w:cs="Arial"/>
            <w:noProof/>
          </w:rPr>
          <w:t>https://doi.org/10.1016/S0960-8524(99)90098-6</w:t>
        </w:r>
      </w:hyperlink>
      <w:r w:rsidRPr="00417728">
        <w:rPr>
          <w:rFonts w:ascii="Arial" w:hAnsi="Arial" w:cs="Arial"/>
          <w:noProof/>
        </w:rPr>
        <w:t xml:space="preserve">. </w:t>
      </w:r>
    </w:p>
    <w:p w14:paraId="246E248B"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Sidibé, Aboubacar Modibo, Xueyu Lin, and Sidi Koné. (2019). “Assessing Groundwater Mineralization Process, Quality, and Isotopic Recharge Origin in the Sahel Region in Africa.” </w:t>
      </w:r>
      <w:r w:rsidRPr="00417728">
        <w:rPr>
          <w:rFonts w:ascii="Arial" w:hAnsi="Arial" w:cs="Arial"/>
          <w:i/>
          <w:iCs/>
          <w:noProof/>
        </w:rPr>
        <w:t>Water (Switzerland)</w:t>
      </w:r>
      <w:r w:rsidRPr="00417728">
        <w:rPr>
          <w:rFonts w:ascii="Arial" w:hAnsi="Arial" w:cs="Arial"/>
          <w:noProof/>
        </w:rPr>
        <w:t xml:space="preserve">, 11(4). </w:t>
      </w:r>
      <w:hyperlink r:id="rId36" w:history="1">
        <w:r w:rsidRPr="00417728">
          <w:rPr>
            <w:rStyle w:val="Hyperlink"/>
            <w:rFonts w:ascii="Arial" w:hAnsi="Arial" w:cs="Arial"/>
            <w:noProof/>
          </w:rPr>
          <w:t>https://doi.org/10.3390/w11040789</w:t>
        </w:r>
      </w:hyperlink>
      <w:r w:rsidRPr="00417728">
        <w:rPr>
          <w:rFonts w:ascii="Arial" w:hAnsi="Arial" w:cs="Arial"/>
          <w:noProof/>
        </w:rPr>
        <w:t xml:space="preserve">. </w:t>
      </w:r>
    </w:p>
    <w:p w14:paraId="307CA052"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Tong, Xin, Tao Wang, Jinling Li, and Xuejun Wang. (2024). “Extended Producer Responsibility to Reconstruct the Circular Value Chain.” </w:t>
      </w:r>
      <w:r w:rsidRPr="00417728">
        <w:rPr>
          <w:rFonts w:ascii="Arial" w:hAnsi="Arial" w:cs="Arial"/>
          <w:i/>
          <w:iCs/>
          <w:noProof/>
        </w:rPr>
        <w:t>Circular Economy,</w:t>
      </w:r>
      <w:r w:rsidRPr="00417728">
        <w:rPr>
          <w:rFonts w:ascii="Arial" w:hAnsi="Arial" w:cs="Arial"/>
          <w:noProof/>
        </w:rPr>
        <w:t xml:space="preserve"> 3 (1), 100076. </w:t>
      </w:r>
      <w:hyperlink r:id="rId37" w:history="1">
        <w:r w:rsidRPr="00417728">
          <w:rPr>
            <w:rStyle w:val="Hyperlink"/>
            <w:rFonts w:ascii="Arial" w:hAnsi="Arial" w:cs="Arial"/>
            <w:noProof/>
          </w:rPr>
          <w:t>https://doi.org/10.1016/j.cec.2024.100076</w:t>
        </w:r>
      </w:hyperlink>
      <w:r w:rsidRPr="00417728">
        <w:rPr>
          <w:rFonts w:ascii="Arial" w:hAnsi="Arial" w:cs="Arial"/>
          <w:noProof/>
        </w:rPr>
        <w:t xml:space="preserve">. </w:t>
      </w:r>
    </w:p>
    <w:p w14:paraId="381F29A1"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Vargas, Ignacio T., Juan P. Pavissich, Tomás E. Olivares, Gustavo A. Jeria, Rodrigo A. Cienfuegos, Pablo A. Pastén, and Gonzalo E. Pizarro. (2010). “Increase of the Concentration of Dissolved Copper in Drinking Water Systems Due to Flow-Induced Nanoparticle Release from Surface Corrosion by-Products.” </w:t>
      </w:r>
      <w:r w:rsidRPr="00417728">
        <w:rPr>
          <w:rFonts w:ascii="Arial" w:hAnsi="Arial" w:cs="Arial"/>
          <w:i/>
          <w:iCs/>
          <w:noProof/>
        </w:rPr>
        <w:t>Corrosion Science,</w:t>
      </w:r>
      <w:r w:rsidRPr="00417728">
        <w:rPr>
          <w:rFonts w:ascii="Arial" w:hAnsi="Arial" w:cs="Arial"/>
          <w:noProof/>
        </w:rPr>
        <w:t xml:space="preserve"> 52(10), 3492–3503.</w:t>
      </w:r>
    </w:p>
    <w:p w14:paraId="1E8CD60A" w14:textId="77777777" w:rsidR="00417728" w:rsidRPr="00417728" w:rsidRDefault="00904DD9" w:rsidP="00417728">
      <w:pPr>
        <w:spacing w:line="360" w:lineRule="auto"/>
        <w:ind w:left="567"/>
        <w:jc w:val="both"/>
        <w:rPr>
          <w:rFonts w:ascii="Arial" w:hAnsi="Arial" w:cs="Arial"/>
          <w:noProof/>
        </w:rPr>
      </w:pPr>
      <w:hyperlink r:id="rId38" w:history="1">
        <w:r w:rsidR="00417728" w:rsidRPr="00417728">
          <w:rPr>
            <w:rStyle w:val="Hyperlink"/>
            <w:rFonts w:ascii="Arial" w:hAnsi="Arial" w:cs="Arial"/>
            <w:noProof/>
          </w:rPr>
          <w:t>https://doi.org/10.1016/j.corsci.2010.06.027</w:t>
        </w:r>
      </w:hyperlink>
      <w:r w:rsidR="00417728" w:rsidRPr="00417728">
        <w:rPr>
          <w:rFonts w:ascii="Arial" w:hAnsi="Arial" w:cs="Arial"/>
          <w:noProof/>
        </w:rPr>
        <w:t xml:space="preserve">. </w:t>
      </w:r>
    </w:p>
    <w:p w14:paraId="1BFBFB3A"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Vendrell-Puigmitja, Lidia, Meritxell Abril, Lorenzo Proia, Carmen Espinosa Angona, Marta Ricart, Darren L. Oatley-Radcliffe, Paul M. Williams, Mabrouk Zanain, and Laia Llenas. (2020). “Assessing the Effects of Metal Mining Effluents on Freshwater Ecosystems Using Biofilm as an Ecological Indicator: Comparison between Nanofiltration and Nanofiltration with Electrocoagulation Treatment Technologies.” </w:t>
      </w:r>
      <w:r w:rsidRPr="00417728">
        <w:rPr>
          <w:rFonts w:ascii="Arial" w:hAnsi="Arial" w:cs="Arial"/>
          <w:i/>
          <w:iCs/>
          <w:noProof/>
        </w:rPr>
        <w:t>Ecological Indicators</w:t>
      </w:r>
      <w:r w:rsidRPr="00417728">
        <w:rPr>
          <w:rFonts w:ascii="Arial" w:hAnsi="Arial" w:cs="Arial"/>
          <w:noProof/>
        </w:rPr>
        <w:t xml:space="preserve">. Elsevier. </w:t>
      </w:r>
      <w:hyperlink r:id="rId39" w:history="1">
        <w:r w:rsidRPr="00417728">
          <w:rPr>
            <w:rStyle w:val="Hyperlink"/>
            <w:rFonts w:ascii="Arial" w:hAnsi="Arial" w:cs="Arial"/>
            <w:noProof/>
          </w:rPr>
          <w:t>https://doi.org/10.1016/j.ecolind.2020.106213</w:t>
        </w:r>
      </w:hyperlink>
      <w:r w:rsidRPr="00417728">
        <w:rPr>
          <w:rFonts w:ascii="Arial" w:hAnsi="Arial" w:cs="Arial"/>
          <w:noProof/>
        </w:rPr>
        <w:t xml:space="preserve">. </w:t>
      </w:r>
    </w:p>
    <w:p w14:paraId="137ACDCD" w14:textId="77777777" w:rsid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Wang, Lawrence K., Mu Hao Sung Wang, Yung Tse Hung, and J. Paul Chen. (2025). </w:t>
      </w:r>
      <w:r w:rsidRPr="00417728">
        <w:rPr>
          <w:rFonts w:ascii="Arial" w:hAnsi="Arial" w:cs="Arial"/>
          <w:i/>
          <w:iCs/>
          <w:noProof/>
        </w:rPr>
        <w:t>Control of Heavy Metals in the Environment Advanced Methods and Strategies for Heavy Metal Remediation and Environmental Protection</w:t>
      </w:r>
      <w:r w:rsidRPr="00417728">
        <w:rPr>
          <w:rFonts w:ascii="Arial" w:hAnsi="Arial" w:cs="Arial"/>
          <w:noProof/>
        </w:rPr>
        <w:t xml:space="preserve">. </w:t>
      </w:r>
      <w:r w:rsidRPr="00417728">
        <w:rPr>
          <w:rFonts w:ascii="Arial" w:hAnsi="Arial" w:cs="Arial"/>
          <w:i/>
          <w:iCs/>
          <w:noProof/>
        </w:rPr>
        <w:t>Control of Heavy Metals in the Environment Advanced Methods and Strategies for Heavy Metal Remediation and Environmental Protection</w:t>
      </w:r>
      <w:r w:rsidRPr="00417728">
        <w:rPr>
          <w:rFonts w:ascii="Arial" w:hAnsi="Arial" w:cs="Arial"/>
          <w:noProof/>
        </w:rPr>
        <w:t xml:space="preserve">. Taylor and Francis. </w:t>
      </w:r>
    </w:p>
    <w:p w14:paraId="2CE19F63" w14:textId="30B125AF" w:rsidR="00417728" w:rsidRPr="00417728" w:rsidRDefault="00904DD9" w:rsidP="00417728">
      <w:pPr>
        <w:spacing w:line="360" w:lineRule="auto"/>
        <w:ind w:left="567"/>
        <w:jc w:val="both"/>
        <w:rPr>
          <w:rFonts w:ascii="Arial" w:hAnsi="Arial" w:cs="Arial"/>
        </w:rPr>
      </w:pPr>
      <w:hyperlink r:id="rId40" w:history="1">
        <w:r w:rsidR="00417728" w:rsidRPr="00820111">
          <w:rPr>
            <w:rStyle w:val="Hyperlink"/>
            <w:rFonts w:ascii="Arial" w:hAnsi="Arial" w:cs="Arial"/>
            <w:noProof/>
          </w:rPr>
          <w:t>https://doi.org/10.1201/9781003451754</w:t>
        </w:r>
      </w:hyperlink>
      <w:r w:rsidR="00417728" w:rsidRPr="00417728">
        <w:rPr>
          <w:rFonts w:ascii="Arial" w:hAnsi="Arial" w:cs="Arial"/>
          <w:noProof/>
        </w:rPr>
        <w:t xml:space="preserve">. </w:t>
      </w:r>
    </w:p>
    <w:p w14:paraId="797E4B12" w14:textId="77777777" w:rsidR="00417728" w:rsidRDefault="00417728" w:rsidP="00441B6F">
      <w:pPr>
        <w:pStyle w:val="Body"/>
        <w:spacing w:after="0"/>
      </w:pPr>
    </w:p>
    <w:p w14:paraId="2088E1D6" w14:textId="491EF5D2" w:rsidR="004D4277" w:rsidRPr="00FB3A86" w:rsidRDefault="004D4277" w:rsidP="00441B6F">
      <w:pPr>
        <w:pStyle w:val="Appendix"/>
        <w:spacing w:after="0"/>
        <w:jc w:val="both"/>
        <w:rPr>
          <w:rFonts w:ascii="Arial" w:hAnsi="Arial" w:cs="Arial"/>
          <w:b w:val="0"/>
        </w:rPr>
        <w:sectPr w:rsidR="004D4277" w:rsidRPr="00FB3A86" w:rsidSect="00337F18">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3E4C9254" w14:textId="77777777" w:rsidR="00B01FCD" w:rsidRPr="00FB3A86" w:rsidRDefault="00B01FCD" w:rsidP="00441B6F">
      <w:pPr>
        <w:pStyle w:val="Appendix"/>
        <w:spacing w:after="0"/>
        <w:jc w:val="both"/>
        <w:rPr>
          <w:rFonts w:ascii="Arial" w:hAnsi="Arial" w:cs="Arial"/>
          <w:b w:val="0"/>
        </w:rPr>
      </w:pPr>
    </w:p>
    <w:sectPr w:rsidR="00B01FCD" w:rsidRPr="00FB3A86" w:rsidSect="00337F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A5D5" w14:textId="77777777" w:rsidR="00904DD9" w:rsidRDefault="00904DD9" w:rsidP="00C37E61">
      <w:r>
        <w:separator/>
      </w:r>
    </w:p>
  </w:endnote>
  <w:endnote w:type="continuationSeparator" w:id="0">
    <w:p w14:paraId="0320391F" w14:textId="77777777" w:rsidR="00904DD9" w:rsidRDefault="00904D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DE56" w14:textId="77777777" w:rsidR="00337F18" w:rsidRDefault="00337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5926" w14:textId="77777777" w:rsidR="00337F18" w:rsidRDefault="00337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66D7" w14:textId="77777777" w:rsidR="009E048A" w:rsidRDefault="009E048A">
    <w:pPr>
      <w:pStyle w:val="Footer"/>
      <w:rPr>
        <w:rFonts w:ascii="Arial" w:hAnsi="Arial" w:cs="Arial"/>
        <w:sz w:val="16"/>
      </w:rPr>
    </w:pPr>
  </w:p>
  <w:p w14:paraId="05F0208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1D578D" w14:textId="77777777" w:rsidR="009E048A" w:rsidRDefault="009E048A">
    <w:pPr>
      <w:pStyle w:val="Footer"/>
      <w:rPr>
        <w:rFonts w:ascii="Arial" w:hAnsi="Arial" w:cs="Arial"/>
        <w:sz w:val="16"/>
      </w:rPr>
    </w:pPr>
  </w:p>
  <w:p w14:paraId="48B49B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7C3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7B54" w14:textId="77777777" w:rsidR="00904DD9" w:rsidRDefault="00904DD9" w:rsidP="00C37E61">
      <w:r>
        <w:separator/>
      </w:r>
    </w:p>
  </w:footnote>
  <w:footnote w:type="continuationSeparator" w:id="0">
    <w:p w14:paraId="5DF63E74" w14:textId="77777777" w:rsidR="00904DD9" w:rsidRDefault="00904D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9EDB5" w14:textId="242FD9CC" w:rsidR="00337F18" w:rsidRDefault="00904DD9">
    <w:pPr>
      <w:pStyle w:val="Header"/>
    </w:pPr>
    <w:r>
      <w:rPr>
        <w:noProof/>
      </w:rPr>
      <w:pict w14:anchorId="1BE11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0C2F" w14:textId="644F7B3F" w:rsidR="00337F18" w:rsidRDefault="00904DD9">
    <w:pPr>
      <w:pStyle w:val="Header"/>
    </w:pPr>
    <w:r>
      <w:rPr>
        <w:noProof/>
      </w:rPr>
      <w:pict w14:anchorId="08F2C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8172" w14:textId="08252F6C" w:rsidR="00296529" w:rsidRPr="00296529" w:rsidRDefault="00904DD9" w:rsidP="00296529">
    <w:pPr>
      <w:ind w:left="2160"/>
      <w:jc w:val="center"/>
      <w:rPr>
        <w:rFonts w:ascii="Times New Roman" w:eastAsia="Calibri" w:hAnsi="Times New Roman"/>
        <w:i/>
        <w:sz w:val="18"/>
        <w:szCs w:val="22"/>
      </w:rPr>
    </w:pPr>
    <w:r>
      <w:rPr>
        <w:noProof/>
      </w:rPr>
      <w:pict w14:anchorId="1EB10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16CD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E8C8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596C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A035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3290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D4CC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90C8" w14:textId="7235A85E" w:rsidR="00337F18" w:rsidRDefault="00904DD9">
    <w:pPr>
      <w:pStyle w:val="Header"/>
    </w:pPr>
    <w:r>
      <w:rPr>
        <w:noProof/>
      </w:rPr>
      <w:pict w14:anchorId="381E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6D7B" w14:textId="717A3A76" w:rsidR="00337F18" w:rsidRDefault="00904DD9">
    <w:pPr>
      <w:pStyle w:val="Header"/>
    </w:pPr>
    <w:r>
      <w:rPr>
        <w:noProof/>
      </w:rPr>
      <w:pict w14:anchorId="1042E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8CF3" w14:textId="7B928B1A" w:rsidR="00337F18" w:rsidRDefault="00904DD9">
    <w:pPr>
      <w:pStyle w:val="Header"/>
    </w:pPr>
    <w:r>
      <w:rPr>
        <w:noProof/>
      </w:rPr>
      <w:pict w14:anchorId="245F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434F9"/>
    <w:multiLevelType w:val="multilevel"/>
    <w:tmpl w:val="3BC8F81A"/>
    <w:styleLink w:val="Style1"/>
    <w:lvl w:ilvl="0">
      <w:start w:val="1"/>
      <w:numFmt w:val="upperRoman"/>
      <w:lvlText w:val="%1"/>
      <w:lvlJc w:val="left"/>
      <w:pPr>
        <w:ind w:left="2520" w:hanging="360"/>
      </w:pPr>
      <w:rPr>
        <w:rFonts w:ascii="Times New Roman" w:hAnsi="Times New Roman" w:hint="default"/>
        <w:color w:val="auto"/>
      </w:rPr>
    </w:lvl>
    <w:lvl w:ilvl="1">
      <w:start w:val="1"/>
      <w:numFmt w:val="decimal"/>
      <w:lvlText w:val="%2)"/>
      <w:lvlJc w:val="left"/>
      <w:pPr>
        <w:ind w:left="2880" w:hanging="360"/>
      </w:pPr>
      <w:rPr>
        <w:rFonts w:hint="default"/>
      </w:rPr>
    </w:lvl>
    <w:lvl w:ilvl="2">
      <w:start w:val="1"/>
      <w:numFmt w:val="decimal"/>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decimal"/>
      <w:lvlText w:val="(%5)"/>
      <w:lvlJc w:val="left"/>
      <w:pPr>
        <w:ind w:left="396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35E1"/>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75F"/>
    <w:rsid w:val="002460DC"/>
    <w:rsid w:val="00250985"/>
    <w:rsid w:val="002556F6"/>
    <w:rsid w:val="00283105"/>
    <w:rsid w:val="00284C4C"/>
    <w:rsid w:val="00287E68"/>
    <w:rsid w:val="00296529"/>
    <w:rsid w:val="002B27FB"/>
    <w:rsid w:val="002B685A"/>
    <w:rsid w:val="002C5452"/>
    <w:rsid w:val="002C57D2"/>
    <w:rsid w:val="002E0D56"/>
    <w:rsid w:val="00315186"/>
    <w:rsid w:val="0033343E"/>
    <w:rsid w:val="00337F18"/>
    <w:rsid w:val="003512C2"/>
    <w:rsid w:val="00371FB6"/>
    <w:rsid w:val="003763C1"/>
    <w:rsid w:val="00376BBE"/>
    <w:rsid w:val="0039224F"/>
    <w:rsid w:val="003A43A4"/>
    <w:rsid w:val="003A7E18"/>
    <w:rsid w:val="003C4C86"/>
    <w:rsid w:val="003C6258"/>
    <w:rsid w:val="003E2904"/>
    <w:rsid w:val="00401927"/>
    <w:rsid w:val="004059F9"/>
    <w:rsid w:val="0041027F"/>
    <w:rsid w:val="00412475"/>
    <w:rsid w:val="00417728"/>
    <w:rsid w:val="00423789"/>
    <w:rsid w:val="00440F43"/>
    <w:rsid w:val="00441B6F"/>
    <w:rsid w:val="00446221"/>
    <w:rsid w:val="00450E62"/>
    <w:rsid w:val="004539DB"/>
    <w:rsid w:val="00471A80"/>
    <w:rsid w:val="004D305E"/>
    <w:rsid w:val="004D4277"/>
    <w:rsid w:val="004E5EBE"/>
    <w:rsid w:val="00502516"/>
    <w:rsid w:val="00505F06"/>
    <w:rsid w:val="00506828"/>
    <w:rsid w:val="0053056E"/>
    <w:rsid w:val="00554FDA"/>
    <w:rsid w:val="00596A3B"/>
    <w:rsid w:val="005C784C"/>
    <w:rsid w:val="005D17F6"/>
    <w:rsid w:val="005D3EF1"/>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55C"/>
    <w:rsid w:val="006F11EC"/>
    <w:rsid w:val="0070082C"/>
    <w:rsid w:val="007369E6"/>
    <w:rsid w:val="00742638"/>
    <w:rsid w:val="00746E59"/>
    <w:rsid w:val="00754C9A"/>
    <w:rsid w:val="0075599A"/>
    <w:rsid w:val="00761D52"/>
    <w:rsid w:val="0077749E"/>
    <w:rsid w:val="00790ADA"/>
    <w:rsid w:val="007D2288"/>
    <w:rsid w:val="007E088F"/>
    <w:rsid w:val="007E6141"/>
    <w:rsid w:val="007F3B8A"/>
    <w:rsid w:val="007F7B32"/>
    <w:rsid w:val="00804BC2"/>
    <w:rsid w:val="0081431A"/>
    <w:rsid w:val="008144CE"/>
    <w:rsid w:val="0083216F"/>
    <w:rsid w:val="00860000"/>
    <w:rsid w:val="00863BD3"/>
    <w:rsid w:val="008641ED"/>
    <w:rsid w:val="00866D66"/>
    <w:rsid w:val="008671C6"/>
    <w:rsid w:val="00875803"/>
    <w:rsid w:val="008B459E"/>
    <w:rsid w:val="008E13AE"/>
    <w:rsid w:val="008E1506"/>
    <w:rsid w:val="008E44B8"/>
    <w:rsid w:val="008E710C"/>
    <w:rsid w:val="008F69D6"/>
    <w:rsid w:val="00902823"/>
    <w:rsid w:val="00904DD9"/>
    <w:rsid w:val="00915CA6"/>
    <w:rsid w:val="009207F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5B09"/>
    <w:rsid w:val="00B96BD9"/>
    <w:rsid w:val="00BA1B01"/>
    <w:rsid w:val="00BA1B85"/>
    <w:rsid w:val="00BA2641"/>
    <w:rsid w:val="00BB37AA"/>
    <w:rsid w:val="00BC53A0"/>
    <w:rsid w:val="00BE62AD"/>
    <w:rsid w:val="00BF121F"/>
    <w:rsid w:val="00BF1F80"/>
    <w:rsid w:val="00C166EF"/>
    <w:rsid w:val="00C17EB0"/>
    <w:rsid w:val="00C27F5F"/>
    <w:rsid w:val="00C30A0F"/>
    <w:rsid w:val="00C36AA3"/>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20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05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990D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6620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unhideWhenUsed/>
    <w:qFormat/>
    <w:rsid w:val="00E66205"/>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unhideWhenUsed/>
    <w:qFormat/>
    <w:rsid w:val="00E66205"/>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unhideWhenUsed/>
    <w:qFormat/>
    <w:rsid w:val="00E66205"/>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unhideWhenUsed/>
    <w:qFormat/>
    <w:rsid w:val="00E6620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E6620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E66205"/>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E66205"/>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E66205"/>
    <w:rPr>
      <w:rFonts w:asciiTheme="minorHAnsi" w:eastAsiaTheme="minorHAnsi" w:hAnsiTheme="minorHAnsi" w:cstheme="minorBidi"/>
      <w:kern w:val="2"/>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E66205"/>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E66205"/>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E66205"/>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rsid w:val="00E66205"/>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E66205"/>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66205"/>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66205"/>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66205"/>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E66205"/>
    <w:rPr>
      <w:rFonts w:ascii="Arial" w:hAnsi="Arial"/>
      <w:b/>
      <w:kern w:val="28"/>
      <w:sz w:val="28"/>
    </w:rPr>
  </w:style>
  <w:style w:type="character" w:customStyle="1" w:styleId="TitleChar">
    <w:name w:val="Title Char"/>
    <w:basedOn w:val="DefaultParagraphFont"/>
    <w:link w:val="Title"/>
    <w:uiPriority w:val="10"/>
    <w:rsid w:val="00E66205"/>
    <w:rPr>
      <w:rFonts w:ascii="Helvetica" w:hAnsi="Helvetica"/>
      <w:b/>
      <w:kern w:val="28"/>
      <w:sz w:val="36"/>
    </w:rPr>
  </w:style>
  <w:style w:type="paragraph" w:styleId="Subtitle">
    <w:name w:val="Subtitle"/>
    <w:basedOn w:val="Normal"/>
    <w:next w:val="Normal"/>
    <w:link w:val="SubtitleChar"/>
    <w:uiPriority w:val="11"/>
    <w:qFormat/>
    <w:rsid w:val="00E662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66205"/>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66205"/>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E66205"/>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E66205"/>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E66205"/>
    <w:rPr>
      <w:i/>
      <w:iCs/>
      <w:color w:val="365F91" w:themeColor="accent1" w:themeShade="BF"/>
    </w:rPr>
  </w:style>
  <w:style w:type="paragraph" w:styleId="IntenseQuote">
    <w:name w:val="Intense Quote"/>
    <w:basedOn w:val="Normal"/>
    <w:next w:val="Normal"/>
    <w:link w:val="IntenseQuoteChar"/>
    <w:uiPriority w:val="30"/>
    <w:qFormat/>
    <w:rsid w:val="00E6620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E66205"/>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E66205"/>
    <w:rPr>
      <w:b/>
      <w:bCs/>
      <w:smallCaps/>
      <w:color w:val="365F91" w:themeColor="accent1" w:themeShade="BF"/>
      <w:spacing w:val="5"/>
    </w:rPr>
  </w:style>
  <w:style w:type="table" w:customStyle="1" w:styleId="ListTable6Colorful1">
    <w:name w:val="List Table 6 Colorful1"/>
    <w:basedOn w:val="TableNormal"/>
    <w:next w:val="ListTable6Colorful"/>
    <w:uiPriority w:val="51"/>
    <w:rsid w:val="00E66205"/>
    <w:rPr>
      <w:rFonts w:asciiTheme="minorHAnsi" w:eastAsiaTheme="minorHAnsi" w:hAnsiTheme="minorHAnsi" w:cstheme="minorBidi"/>
      <w:color w:val="000000"/>
      <w:kern w:val="2"/>
      <w:sz w:val="22"/>
      <w:szCs w:val="22"/>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E66205"/>
    <w:rPr>
      <w:rFonts w:asciiTheme="minorHAnsi" w:eastAsiaTheme="minorHAnsi" w:hAnsiTheme="minorHAnsi" w:cstheme="minorBidi"/>
      <w:color w:val="000000" w:themeColor="text1"/>
      <w:kern w:val="2"/>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E66205"/>
    <w:pPr>
      <w:autoSpaceDE w:val="0"/>
      <w:autoSpaceDN w:val="0"/>
      <w:adjustRightInd w:val="0"/>
    </w:pPr>
    <w:rPr>
      <w:rFonts w:ascii="Arial" w:eastAsiaTheme="minorHAnsi" w:hAnsi="Arial" w:cs="Arial"/>
      <w:color w:val="000000"/>
      <w:sz w:val="24"/>
      <w:szCs w:val="24"/>
      <w:lang w:val="fr-FR"/>
    </w:rPr>
  </w:style>
  <w:style w:type="table" w:styleId="PlainTable3">
    <w:name w:val="Plain Table 3"/>
    <w:basedOn w:val="TableNormal"/>
    <w:uiPriority w:val="43"/>
    <w:rsid w:val="00E66205"/>
    <w:rPr>
      <w:rFonts w:asciiTheme="minorHAnsi" w:eastAsiaTheme="minorHAnsi" w:hAnsiTheme="minorHAnsi" w:cstheme="minorBidi"/>
      <w:kern w:val="2"/>
      <w:sz w:val="22"/>
      <w:szCs w:val="22"/>
      <w:lang w:val="fr-F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6">
    <w:name w:val="Grid Table 5 Dark Accent 6"/>
    <w:basedOn w:val="TableNormal"/>
    <w:uiPriority w:val="50"/>
    <w:rsid w:val="00E66205"/>
    <w:rPr>
      <w:rFonts w:asciiTheme="minorHAnsi" w:eastAsiaTheme="minorHAnsi" w:hAnsiTheme="minorHAnsi" w:cstheme="minorBidi"/>
      <w:kern w:val="2"/>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erChar">
    <w:name w:val="Header Char"/>
    <w:basedOn w:val="DefaultParagraphFont"/>
    <w:link w:val="Header"/>
    <w:uiPriority w:val="99"/>
    <w:rsid w:val="00E66205"/>
    <w:rPr>
      <w:rFonts w:ascii="Helvetica" w:hAnsi="Helvetica"/>
    </w:rPr>
  </w:style>
  <w:style w:type="character" w:customStyle="1" w:styleId="FooterChar">
    <w:name w:val="Footer Char"/>
    <w:basedOn w:val="DefaultParagraphFont"/>
    <w:link w:val="Footer"/>
    <w:uiPriority w:val="99"/>
    <w:rsid w:val="00E66205"/>
    <w:rPr>
      <w:rFonts w:ascii="Helvetica" w:hAnsi="Helvetica"/>
    </w:rPr>
  </w:style>
  <w:style w:type="paragraph" w:styleId="Caption">
    <w:name w:val="caption"/>
    <w:basedOn w:val="Normal"/>
    <w:next w:val="Normal"/>
    <w:uiPriority w:val="35"/>
    <w:unhideWhenUsed/>
    <w:qFormat/>
    <w:rsid w:val="00E66205"/>
    <w:pPr>
      <w:spacing w:after="200"/>
    </w:pPr>
    <w:rPr>
      <w:rFonts w:asciiTheme="minorHAnsi" w:eastAsiaTheme="minorHAnsi" w:hAnsiTheme="minorHAnsi" w:cstheme="minorBidi"/>
      <w:i/>
      <w:iCs/>
      <w:color w:val="1F497D" w:themeColor="text2"/>
      <w:sz w:val="18"/>
      <w:szCs w:val="18"/>
      <w:lang w:val="fr-FR"/>
    </w:rPr>
  </w:style>
  <w:style w:type="paragraph" w:customStyle="1" w:styleId="DecimalAligned">
    <w:name w:val="Decimal Aligned"/>
    <w:basedOn w:val="Normal"/>
    <w:uiPriority w:val="40"/>
    <w:qFormat/>
    <w:rsid w:val="00E66205"/>
    <w:pPr>
      <w:tabs>
        <w:tab w:val="decimal" w:pos="360"/>
      </w:tabs>
      <w:spacing w:after="200" w:line="276" w:lineRule="auto"/>
    </w:pPr>
    <w:rPr>
      <w:rFonts w:asciiTheme="minorHAnsi" w:eastAsiaTheme="minorEastAsia" w:hAnsiTheme="minorHAnsi"/>
      <w:sz w:val="22"/>
      <w:szCs w:val="22"/>
      <w:lang w:val="fr-FR" w:eastAsia="fr-FR"/>
    </w:rPr>
  </w:style>
  <w:style w:type="table" w:styleId="ListTable2">
    <w:name w:val="List Table 2"/>
    <w:basedOn w:val="TableNormal"/>
    <w:uiPriority w:val="47"/>
    <w:rsid w:val="00E66205"/>
    <w:rPr>
      <w:rFonts w:asciiTheme="minorHAnsi" w:eastAsiaTheme="minorHAnsi" w:hAnsiTheme="minorHAnsi" w:cstheme="minorBidi"/>
      <w:sz w:val="22"/>
      <w:szCs w:val="22"/>
      <w:lang w:val="fr-FR"/>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E66205"/>
    <w:rPr>
      <w:rFonts w:asciiTheme="minorHAnsi" w:eastAsiaTheme="minorHAnsi" w:hAnsiTheme="minorHAnsi" w:cstheme="minorBidi"/>
      <w:kern w:val="2"/>
      <w:sz w:val="22"/>
      <w:szCs w:val="22"/>
      <w:lang w:val="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E66205"/>
    <w:rPr>
      <w:rFonts w:asciiTheme="minorHAnsi" w:eastAsiaTheme="minorHAnsi" w:hAnsiTheme="minorHAnsi" w:cstheme="minorBidi"/>
      <w:color w:val="000000" w:themeColor="text1"/>
      <w:kern w:val="2"/>
      <w:sz w:val="22"/>
      <w:szCs w:val="22"/>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E66205"/>
    <w:pPr>
      <w:spacing w:before="100" w:beforeAutospacing="1" w:after="100" w:afterAutospacing="1"/>
    </w:pPr>
    <w:rPr>
      <w:rFonts w:ascii="Times New Roman" w:hAnsi="Times New Roman"/>
      <w:sz w:val="24"/>
      <w:szCs w:val="24"/>
      <w:lang w:val="fr-FR" w:eastAsia="fr-FR"/>
    </w:rPr>
  </w:style>
  <w:style w:type="numbering" w:customStyle="1" w:styleId="Style1">
    <w:name w:val="Style1"/>
    <w:uiPriority w:val="99"/>
    <w:rsid w:val="00E66205"/>
    <w:pPr>
      <w:numPr>
        <w:numId w:val="31"/>
      </w:numPr>
    </w:pPr>
  </w:style>
  <w:style w:type="paragraph" w:styleId="TableofFigures">
    <w:name w:val="table of figures"/>
    <w:basedOn w:val="Normal"/>
    <w:next w:val="Normal"/>
    <w:uiPriority w:val="99"/>
    <w:unhideWhenUsed/>
    <w:rsid w:val="00E66205"/>
    <w:pPr>
      <w:spacing w:line="259" w:lineRule="auto"/>
    </w:pPr>
    <w:rPr>
      <w:rFonts w:asciiTheme="minorHAnsi" w:eastAsiaTheme="minorHAnsi" w:hAnsiTheme="minorHAnsi" w:cstheme="minorBidi"/>
      <w:kern w:val="2"/>
      <w:sz w:val="22"/>
      <w:szCs w:val="22"/>
      <w:lang w:val="fr-BE"/>
    </w:rPr>
  </w:style>
  <w:style w:type="table" w:customStyle="1" w:styleId="TableGrid0">
    <w:name w:val="TableGrid"/>
    <w:rsid w:val="00E66205"/>
    <w:rPr>
      <w:rFonts w:asciiTheme="minorHAnsi" w:eastAsiaTheme="minorEastAsia" w:hAnsiTheme="minorHAnsi" w:cstheme="minorBidi"/>
      <w:kern w:val="2"/>
      <w:sz w:val="24"/>
      <w:szCs w:val="24"/>
      <w:lang w:val="fr-FR" w:eastAsia="fr-FR"/>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E66205"/>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fr-FR" w:eastAsia="fr-FR"/>
    </w:rPr>
  </w:style>
  <w:style w:type="paragraph" w:styleId="TOC1">
    <w:name w:val="toc 1"/>
    <w:basedOn w:val="Normal"/>
    <w:next w:val="Normal"/>
    <w:autoRedefine/>
    <w:uiPriority w:val="39"/>
    <w:unhideWhenUsed/>
    <w:rsid w:val="00E66205"/>
    <w:pPr>
      <w:spacing w:after="100" w:line="259" w:lineRule="auto"/>
    </w:pPr>
    <w:rPr>
      <w:rFonts w:asciiTheme="minorHAnsi" w:eastAsiaTheme="minorHAnsi" w:hAnsiTheme="minorHAnsi" w:cstheme="minorBidi"/>
      <w:kern w:val="2"/>
      <w:sz w:val="22"/>
      <w:szCs w:val="22"/>
      <w:lang w:val="fr-BE"/>
    </w:rPr>
  </w:style>
  <w:style w:type="paragraph" w:styleId="TOC2">
    <w:name w:val="toc 2"/>
    <w:basedOn w:val="Normal"/>
    <w:next w:val="Normal"/>
    <w:autoRedefine/>
    <w:uiPriority w:val="39"/>
    <w:unhideWhenUsed/>
    <w:rsid w:val="00E66205"/>
    <w:pPr>
      <w:spacing w:after="100" w:line="259" w:lineRule="auto"/>
      <w:ind w:left="220"/>
    </w:pPr>
    <w:rPr>
      <w:rFonts w:asciiTheme="minorHAnsi" w:eastAsiaTheme="minorHAnsi" w:hAnsiTheme="minorHAnsi" w:cstheme="minorBidi"/>
      <w:kern w:val="2"/>
      <w:sz w:val="22"/>
      <w:szCs w:val="22"/>
      <w:lang w:val="fr-BE"/>
    </w:rPr>
  </w:style>
  <w:style w:type="paragraph" w:styleId="TOC3">
    <w:name w:val="toc 3"/>
    <w:basedOn w:val="Normal"/>
    <w:next w:val="Normal"/>
    <w:autoRedefine/>
    <w:uiPriority w:val="39"/>
    <w:unhideWhenUsed/>
    <w:rsid w:val="00E66205"/>
    <w:pPr>
      <w:spacing w:after="100" w:line="259" w:lineRule="auto"/>
      <w:ind w:left="440"/>
    </w:pPr>
    <w:rPr>
      <w:rFonts w:asciiTheme="minorHAnsi" w:eastAsiaTheme="minorHAnsi" w:hAnsiTheme="minorHAnsi" w:cstheme="minorBidi"/>
      <w:kern w:val="2"/>
      <w:sz w:val="22"/>
      <w:szCs w:val="22"/>
      <w:lang w:val="fr-BE"/>
    </w:rPr>
  </w:style>
  <w:style w:type="character" w:styleId="PlaceholderText">
    <w:name w:val="Placeholder Text"/>
    <w:basedOn w:val="DefaultParagraphFont"/>
    <w:uiPriority w:val="99"/>
    <w:semiHidden/>
    <w:rsid w:val="00E66205"/>
    <w:rPr>
      <w:color w:val="666666"/>
    </w:rPr>
  </w:style>
  <w:style w:type="paragraph" w:customStyle="1" w:styleId="NormalWeb1">
    <w:name w:val="Normal (Web)1"/>
    <w:basedOn w:val="Normal"/>
    <w:next w:val="NormalWeb"/>
    <w:uiPriority w:val="99"/>
    <w:rsid w:val="00E66205"/>
    <w:pPr>
      <w:spacing w:after="160" w:line="259" w:lineRule="auto"/>
    </w:pPr>
    <w:rPr>
      <w:rFonts w:ascii="Times New Roman" w:eastAsia="Calibri" w:hAnsi="Times New Roman"/>
      <w:sz w:val="24"/>
      <w:szCs w:val="24"/>
      <w:lang w:val="fr-FR"/>
    </w:rPr>
  </w:style>
  <w:style w:type="paragraph" w:styleId="TOC4">
    <w:name w:val="toc 4"/>
    <w:basedOn w:val="Normal"/>
    <w:next w:val="Normal"/>
    <w:autoRedefine/>
    <w:uiPriority w:val="39"/>
    <w:unhideWhenUsed/>
    <w:rsid w:val="00E66205"/>
    <w:pPr>
      <w:spacing w:after="100" w:line="259" w:lineRule="auto"/>
      <w:ind w:left="660"/>
    </w:pPr>
    <w:rPr>
      <w:rFonts w:asciiTheme="minorHAnsi" w:eastAsiaTheme="minorHAnsi" w:hAnsiTheme="minorHAnsi" w:cstheme="minorBidi"/>
      <w:kern w:val="2"/>
      <w:sz w:val="22"/>
      <w:szCs w:val="22"/>
      <w:lang w:val="fr-BE"/>
    </w:rPr>
  </w:style>
  <w:style w:type="paragraph" w:styleId="TOC5">
    <w:name w:val="toc 5"/>
    <w:basedOn w:val="Normal"/>
    <w:next w:val="Normal"/>
    <w:autoRedefine/>
    <w:uiPriority w:val="39"/>
    <w:unhideWhenUsed/>
    <w:rsid w:val="00E66205"/>
    <w:pPr>
      <w:spacing w:after="100" w:line="259" w:lineRule="auto"/>
      <w:ind w:left="880"/>
    </w:pPr>
    <w:rPr>
      <w:rFonts w:asciiTheme="minorHAnsi" w:eastAsiaTheme="minorHAnsi" w:hAnsiTheme="minorHAnsi" w:cstheme="minorBidi"/>
      <w:kern w:val="2"/>
      <w:sz w:val="22"/>
      <w:szCs w:val="22"/>
      <w:lang w:val="fr-BE"/>
    </w:rPr>
  </w:style>
  <w:style w:type="paragraph" w:styleId="BodyText">
    <w:name w:val="Body Text"/>
    <w:basedOn w:val="Normal"/>
    <w:link w:val="BodyTextChar"/>
    <w:uiPriority w:val="1"/>
    <w:unhideWhenUsed/>
    <w:qFormat/>
    <w:rsid w:val="00E66205"/>
    <w:pPr>
      <w:widowControl w:val="0"/>
      <w:autoSpaceDE w:val="0"/>
      <w:autoSpaceDN w:val="0"/>
    </w:pPr>
    <w:rPr>
      <w:rFonts w:ascii="Times New Roman" w:hAnsi="Times New Roman"/>
      <w:sz w:val="24"/>
      <w:szCs w:val="24"/>
      <w:lang w:val="fr-FR"/>
    </w:rPr>
  </w:style>
  <w:style w:type="character" w:customStyle="1" w:styleId="BodyTextChar">
    <w:name w:val="Body Text Char"/>
    <w:basedOn w:val="DefaultParagraphFont"/>
    <w:link w:val="BodyText"/>
    <w:uiPriority w:val="1"/>
    <w:rsid w:val="00E66205"/>
    <w:rPr>
      <w:sz w:val="24"/>
      <w:szCs w:val="24"/>
      <w:lang w:val="fr-FR"/>
    </w:rPr>
  </w:style>
  <w:style w:type="table" w:styleId="TableGridLight">
    <w:name w:val="Grid Table Light"/>
    <w:basedOn w:val="TableNormal"/>
    <w:uiPriority w:val="40"/>
    <w:rsid w:val="00E66205"/>
    <w:rPr>
      <w:rFonts w:asciiTheme="minorHAnsi" w:eastAsiaTheme="minorHAnsi" w:hAnsiTheme="minorHAnsi" w:cstheme="minorBidi"/>
      <w:kern w:val="2"/>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C5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3390/jox15030063" TargetMode="External"/><Relationship Id="rId39" Type="http://schemas.openxmlformats.org/officeDocument/2006/relationships/hyperlink" Target="https://doi.org/10.1016/j.ecolind.2020.106213" TargetMode="External"/><Relationship Id="rId21" Type="http://schemas.openxmlformats.org/officeDocument/2006/relationships/hyperlink" Target="https://doi.org/10.1007/978-3-319-95717-3_43" TargetMode="External"/><Relationship Id="rId34" Type="http://schemas.openxmlformats.org/officeDocument/2006/relationships/hyperlink" Target="https://doi.org/10.18356/476573ac-en"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3346/jkms.2008.23.3.4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ajarr.com/index.php/AJARR/article/view/390" TargetMode="External"/><Relationship Id="rId32" Type="http://schemas.openxmlformats.org/officeDocument/2006/relationships/hyperlink" Target="https://doi.org/10.1007/978-0-387-73412-5" TargetMode="External"/><Relationship Id="rId37" Type="http://schemas.openxmlformats.org/officeDocument/2006/relationships/hyperlink" Target="https://doi.org/10.1016/j.cec.2024.100076" TargetMode="External"/><Relationship Id="rId40" Type="http://schemas.openxmlformats.org/officeDocument/2006/relationships/hyperlink" Target="https://doi.org/10.1201/978100345175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envman.2016.08.052" TargetMode="External"/><Relationship Id="rId28" Type="http://schemas.openxmlformats.org/officeDocument/2006/relationships/hyperlink" Target="https://doi.org/10.3390/w17131891" TargetMode="External"/><Relationship Id="rId36" Type="http://schemas.openxmlformats.org/officeDocument/2006/relationships/hyperlink" Target="https://doi.org/10.3390/w11040789" TargetMode="External"/><Relationship Id="rId10" Type="http://schemas.openxmlformats.org/officeDocument/2006/relationships/footer" Target="footer1.xml"/><Relationship Id="rId19" Type="http://schemas.openxmlformats.org/officeDocument/2006/relationships/hyperlink" Target="https://doi.org/10.4236/gep.2024.129019" TargetMode="External"/><Relationship Id="rId31" Type="http://schemas.openxmlformats.org/officeDocument/2006/relationships/hyperlink" Target="https://doi.org/10.1021/acsomega.3c07623"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chemosphere.2024.141452" TargetMode="External"/><Relationship Id="rId27" Type="http://schemas.openxmlformats.org/officeDocument/2006/relationships/hyperlink" Target="https://doi.org/10.1016/j.scitotenv.2021.152660" TargetMode="External"/><Relationship Id="rId30" Type="http://schemas.openxmlformats.org/officeDocument/2006/relationships/hyperlink" Target="https://doi.org/10.1021/es030133v" TargetMode="External"/><Relationship Id="rId35" Type="http://schemas.openxmlformats.org/officeDocument/2006/relationships/hyperlink" Target="https://doi.org/10.1016/S0960-8524(99)90098-6"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390/su17020701" TargetMode="External"/><Relationship Id="rId33" Type="http://schemas.openxmlformats.org/officeDocument/2006/relationships/hyperlink" Target="https://doi.org/10.5772/intechopen.1007150" TargetMode="External"/><Relationship Id="rId38" Type="http://schemas.openxmlformats.org/officeDocument/2006/relationships/hyperlink" Target="https://doi.org/10.1016/j.corsci.2010.06.027" TargetMode="External"/><Relationship Id="rId46" Type="http://schemas.openxmlformats.org/officeDocument/2006/relationships/theme" Target="theme/theme1.xml"/><Relationship Id="rId20" Type="http://schemas.openxmlformats.org/officeDocument/2006/relationships/hyperlink" Target="https://doi.org/10.1016/j.geoderma.2022.115760"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565441993707051E-2"/>
          <c:y val="6.9796954314720813E-2"/>
          <c:w val="0.94043455800629294"/>
          <c:h val="0.63785922698748954"/>
        </c:manualLayout>
      </c:layout>
      <c:bar3DChart>
        <c:barDir val="col"/>
        <c:grouping val="clustered"/>
        <c:varyColors val="0"/>
        <c:ser>
          <c:idx val="0"/>
          <c:order val="0"/>
          <c:tx>
            <c:strRef>
              <c:f>Feuil1!$B$1</c:f>
              <c:strCache>
                <c:ptCount val="1"/>
                <c:pt idx="0">
                  <c:v>valeur moyenne des cinq prelèvements</c:v>
                </c:pt>
              </c:strCache>
            </c:strRef>
          </c:tx>
          <c:spPr>
            <a:solidFill>
              <a:schemeClr val="accent1"/>
            </a:solidFill>
            <a:ln>
              <a:noFill/>
            </a:ln>
            <a:effectLst/>
            <a:sp3d/>
          </c:spPr>
          <c:invertIfNegative val="0"/>
          <c:dPt>
            <c:idx val="5"/>
            <c:invertIfNegative val="0"/>
            <c:bubble3D val="0"/>
            <c:spPr>
              <a:solidFill>
                <a:srgbClr val="EE0000"/>
              </a:solidFill>
              <a:ln>
                <a:noFill/>
              </a:ln>
              <a:effectLst/>
              <a:sp3d/>
            </c:spPr>
            <c:extLst>
              <c:ext xmlns:c16="http://schemas.microsoft.com/office/drawing/2014/chart" uri="{C3380CC4-5D6E-409C-BE32-E72D297353CC}">
                <c16:uniqueId val="{00000001-321B-4C1B-AC7C-C6C3FE2BBA28}"/>
              </c:ext>
            </c:extLst>
          </c:dPt>
          <c:cat>
            <c:strRef>
              <c:f>Feuil1!$A$2:$A$7</c:f>
              <c:strCache>
                <c:ptCount val="6"/>
                <c:pt idx="0">
                  <c:v>BS</c:v>
                </c:pt>
                <c:pt idx="1">
                  <c:v>BC</c:v>
                </c:pt>
                <c:pt idx="2">
                  <c:v>BR</c:v>
                </c:pt>
                <c:pt idx="3">
                  <c:v>BE</c:v>
                </c:pt>
                <c:pt idx="4">
                  <c:v>O</c:v>
                </c:pt>
                <c:pt idx="5">
                  <c:v>WHO standard</c:v>
                </c:pt>
              </c:strCache>
            </c:strRef>
          </c:cat>
          <c:val>
            <c:numRef>
              <c:f>Feuil1!$B$2:$B$7</c:f>
              <c:numCache>
                <c:formatCode>General</c:formatCode>
                <c:ptCount val="6"/>
                <c:pt idx="0">
                  <c:v>7.46</c:v>
                </c:pt>
                <c:pt idx="1">
                  <c:v>7.51</c:v>
                </c:pt>
                <c:pt idx="2">
                  <c:v>7.49</c:v>
                </c:pt>
                <c:pt idx="3">
                  <c:v>10.18</c:v>
                </c:pt>
                <c:pt idx="4">
                  <c:v>1</c:v>
                </c:pt>
                <c:pt idx="5">
                  <c:v>50</c:v>
                </c:pt>
              </c:numCache>
            </c:numRef>
          </c:val>
          <c:shape val="cylinder"/>
          <c:extLst>
            <c:ext xmlns:c16="http://schemas.microsoft.com/office/drawing/2014/chart" uri="{C3380CC4-5D6E-409C-BE32-E72D297353CC}">
              <c16:uniqueId val="{00000002-321B-4C1B-AC7C-C6C3FE2BBA28}"/>
            </c:ext>
          </c:extLst>
        </c:ser>
        <c:dLbls>
          <c:showLegendKey val="0"/>
          <c:showVal val="0"/>
          <c:showCatName val="0"/>
          <c:showSerName val="0"/>
          <c:showPercent val="0"/>
          <c:showBubbleSize val="0"/>
        </c:dLbls>
        <c:gapWidth val="150"/>
        <c:shape val="box"/>
        <c:axId val="284443471"/>
        <c:axId val="284442639"/>
        <c:axId val="0"/>
      </c:bar3DChart>
      <c:catAx>
        <c:axId val="284443471"/>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2639"/>
        <c:crosses val="autoZero"/>
        <c:auto val="1"/>
        <c:lblAlgn val="ctr"/>
        <c:lblOffset val="100"/>
        <c:noMultiLvlLbl val="0"/>
      </c:catAx>
      <c:valAx>
        <c:axId val="284442639"/>
        <c:scaling>
          <c:orientation val="minMax"/>
        </c:scaling>
        <c:delete val="0"/>
        <c:axPos val="l"/>
        <c:title>
          <c:layout>
            <c:manualLayout>
              <c:xMode val="edge"/>
              <c:yMode val="edge"/>
              <c:x val="1.7192905558773345E-2"/>
              <c:y val="0.352354210799792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3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396465581505442E-2"/>
          <c:y val="6.4252336448598124E-2"/>
          <c:w val="0.89219365541138462"/>
          <c:h val="0.66662741923614688"/>
        </c:manualLayout>
      </c:layout>
      <c:bar3DChart>
        <c:barDir val="col"/>
        <c:grouping val="clustered"/>
        <c:varyColors val="0"/>
        <c:ser>
          <c:idx val="0"/>
          <c:order val="0"/>
          <c:tx>
            <c:strRef>
              <c:f>Feuil1!$B$1</c:f>
              <c:strCache>
                <c:ptCount val="1"/>
                <c:pt idx="0">
                  <c:v>valeur moyenne des cinq prelèvements</c:v>
                </c:pt>
              </c:strCache>
            </c:strRef>
          </c:tx>
          <c:spPr>
            <a:solidFill>
              <a:schemeClr val="accent1"/>
            </a:solidFill>
            <a:ln>
              <a:noFill/>
            </a:ln>
            <a:effectLst/>
            <a:sp3d/>
          </c:spPr>
          <c:invertIfNegative val="0"/>
          <c:dPt>
            <c:idx val="5"/>
            <c:invertIfNegative val="0"/>
            <c:bubble3D val="0"/>
            <c:spPr>
              <a:solidFill>
                <a:srgbClr val="C00000"/>
              </a:solidFill>
              <a:ln>
                <a:solidFill>
                  <a:srgbClr val="C00000"/>
                </a:solidFill>
              </a:ln>
              <a:effectLst/>
              <a:sp3d>
                <a:contourClr>
                  <a:srgbClr val="C00000"/>
                </a:contourClr>
              </a:sp3d>
            </c:spPr>
            <c:extLst>
              <c:ext xmlns:c16="http://schemas.microsoft.com/office/drawing/2014/chart" uri="{C3380CC4-5D6E-409C-BE32-E72D297353CC}">
                <c16:uniqueId val="{00000001-BF2D-4B82-B31D-A4D2CE36995C}"/>
              </c:ext>
            </c:extLst>
          </c:dPt>
          <c:cat>
            <c:strRef>
              <c:f>Feuil1!$A$2:$A$7</c:f>
              <c:strCache>
                <c:ptCount val="6"/>
                <c:pt idx="0">
                  <c:v>BS</c:v>
                </c:pt>
                <c:pt idx="1">
                  <c:v>BC</c:v>
                </c:pt>
                <c:pt idx="2">
                  <c:v>BR</c:v>
                </c:pt>
                <c:pt idx="3">
                  <c:v>BE</c:v>
                </c:pt>
                <c:pt idx="4">
                  <c:v>O</c:v>
                </c:pt>
                <c:pt idx="5">
                  <c:v>WHO standard</c:v>
                </c:pt>
              </c:strCache>
            </c:strRef>
          </c:cat>
          <c:val>
            <c:numRef>
              <c:f>Feuil1!$B$2:$B$7</c:f>
              <c:numCache>
                <c:formatCode>General</c:formatCode>
                <c:ptCount val="6"/>
                <c:pt idx="0">
                  <c:v>0.05</c:v>
                </c:pt>
                <c:pt idx="1">
                  <c:v>0.05</c:v>
                </c:pt>
                <c:pt idx="2">
                  <c:v>0.05</c:v>
                </c:pt>
                <c:pt idx="3">
                  <c:v>0.05</c:v>
                </c:pt>
                <c:pt idx="4">
                  <c:v>0.05</c:v>
                </c:pt>
                <c:pt idx="5">
                  <c:v>3</c:v>
                </c:pt>
              </c:numCache>
            </c:numRef>
          </c:val>
          <c:shape val="cylinder"/>
          <c:extLst>
            <c:ext xmlns:c16="http://schemas.microsoft.com/office/drawing/2014/chart" uri="{C3380CC4-5D6E-409C-BE32-E72D297353CC}">
              <c16:uniqueId val="{00000002-BF2D-4B82-B31D-A4D2CE36995C}"/>
            </c:ext>
          </c:extLst>
        </c:ser>
        <c:dLbls>
          <c:showLegendKey val="0"/>
          <c:showVal val="0"/>
          <c:showCatName val="0"/>
          <c:showSerName val="0"/>
          <c:showPercent val="0"/>
          <c:showBubbleSize val="0"/>
        </c:dLbls>
        <c:gapWidth val="150"/>
        <c:shape val="box"/>
        <c:axId val="284443471"/>
        <c:axId val="284442639"/>
        <c:axId val="0"/>
      </c:bar3DChart>
      <c:catAx>
        <c:axId val="284443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2639"/>
        <c:crosses val="autoZero"/>
        <c:auto val="1"/>
        <c:lblAlgn val="ctr"/>
        <c:lblOffset val="100"/>
        <c:noMultiLvlLbl val="0"/>
      </c:catAx>
      <c:valAx>
        <c:axId val="2844426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3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70603674540682"/>
          <c:y val="4.1666666666666664E-2"/>
          <c:w val="0.86429396325459318"/>
          <c:h val="0.60695173519976675"/>
        </c:manualLayout>
      </c:layout>
      <c:bar3DChart>
        <c:barDir val="col"/>
        <c:grouping val="clustered"/>
        <c:varyColors val="0"/>
        <c:ser>
          <c:idx val="0"/>
          <c:order val="0"/>
          <c:spPr>
            <a:solidFill>
              <a:schemeClr val="accent1"/>
            </a:solidFill>
            <a:ln>
              <a:noFill/>
            </a:ln>
            <a:effectLst/>
            <a:sp3d/>
          </c:spPr>
          <c:invertIfNegative val="0"/>
          <c:dPt>
            <c:idx val="16"/>
            <c:invertIfNegative val="0"/>
            <c:bubble3D val="0"/>
            <c:spPr>
              <a:solidFill>
                <a:srgbClr val="EE0000"/>
              </a:solidFill>
              <a:ln>
                <a:noFill/>
              </a:ln>
              <a:effectLst/>
              <a:sp3d/>
            </c:spPr>
            <c:extLst>
              <c:ext xmlns:c16="http://schemas.microsoft.com/office/drawing/2014/chart" uri="{C3380CC4-5D6E-409C-BE32-E72D297353CC}">
                <c16:uniqueId val="{00000001-FACC-4954-BDF2-7BBBA32FC4B0}"/>
              </c:ext>
            </c:extLst>
          </c:dPt>
          <c:cat>
            <c:strRef>
              <c:f>Sheet1!$K$10:$K$26</c:f>
              <c:strCache>
                <c:ptCount val="17"/>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Burkina standard</c:v>
                </c:pt>
              </c:strCache>
            </c:strRef>
          </c:cat>
          <c:val>
            <c:numRef>
              <c:f>Sheet1!$L$10:$L$26</c:f>
              <c:numCache>
                <c:formatCode>General</c:formatCode>
                <c:ptCount val="17"/>
                <c:pt idx="0">
                  <c:v>1188.78</c:v>
                </c:pt>
                <c:pt idx="1">
                  <c:v>629.91</c:v>
                </c:pt>
                <c:pt idx="2">
                  <c:v>1100.825</c:v>
                </c:pt>
                <c:pt idx="3">
                  <c:v>763.8</c:v>
                </c:pt>
                <c:pt idx="4">
                  <c:v>28073.244999999999</c:v>
                </c:pt>
                <c:pt idx="5">
                  <c:v>6772.6</c:v>
                </c:pt>
                <c:pt idx="6">
                  <c:v>3397.49</c:v>
                </c:pt>
                <c:pt idx="7">
                  <c:v>515.17999999999995</c:v>
                </c:pt>
                <c:pt idx="8">
                  <c:v>3249.855</c:v>
                </c:pt>
                <c:pt idx="9">
                  <c:v>1709.4349999999999</c:v>
                </c:pt>
                <c:pt idx="10">
                  <c:v>7595.4449999999997</c:v>
                </c:pt>
                <c:pt idx="11">
                  <c:v>341.90499999999997</c:v>
                </c:pt>
                <c:pt idx="12">
                  <c:v>1109.7750000000001</c:v>
                </c:pt>
                <c:pt idx="13">
                  <c:v>1215.54</c:v>
                </c:pt>
                <c:pt idx="14">
                  <c:v>1222.81</c:v>
                </c:pt>
                <c:pt idx="15">
                  <c:v>198.58</c:v>
                </c:pt>
                <c:pt idx="16">
                  <c:v>2500</c:v>
                </c:pt>
              </c:numCache>
            </c:numRef>
          </c:val>
          <c:shape val="cylinder"/>
          <c:extLst>
            <c:ext xmlns:c16="http://schemas.microsoft.com/office/drawing/2014/chart" uri="{C3380CC4-5D6E-409C-BE32-E72D297353CC}">
              <c16:uniqueId val="{00000002-FACC-4954-BDF2-7BBBA32FC4B0}"/>
            </c:ext>
          </c:extLst>
        </c:ser>
        <c:dLbls>
          <c:showLegendKey val="0"/>
          <c:showVal val="0"/>
          <c:showCatName val="0"/>
          <c:showSerName val="0"/>
          <c:showPercent val="0"/>
          <c:showBubbleSize val="0"/>
        </c:dLbls>
        <c:gapWidth val="150"/>
        <c:shape val="box"/>
        <c:axId val="1894731679"/>
        <c:axId val="1894728799"/>
        <c:axId val="0"/>
      </c:bar3DChart>
      <c:catAx>
        <c:axId val="189473167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Sample</a:t>
                </a:r>
              </a:p>
            </c:rich>
          </c:tx>
          <c:layout>
            <c:manualLayout>
              <c:xMode val="edge"/>
              <c:yMode val="edge"/>
              <c:x val="0.47929199475065615"/>
              <c:y val="0.763583770778652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sx="1000" sy="1000" algn="ctr" rotWithShape="0">
              <a:srgbClr val="000000">
                <a:alpha val="43137"/>
              </a:srgbClr>
            </a:outerShdw>
            <a:softEdge rad="0"/>
          </a:effectLst>
        </c:spPr>
        <c:txPr>
          <a:bodyPr rot="-5400000" spcFirstLastPara="1" vertOverflow="ellipsis" wrap="square" anchor="ctr" anchorCtr="0"/>
          <a:lstStyle/>
          <a:p>
            <a:pPr>
              <a:defRPr sz="900" b="0" i="0" u="none" strike="noStrike" kern="1200" baseline="0">
                <a:solidFill>
                  <a:sysClr val="windowText" lastClr="000000"/>
                </a:solidFill>
                <a:latin typeface="+mn-lt"/>
                <a:ea typeface="+mn-ea"/>
                <a:cs typeface="+mn-cs"/>
              </a:defRPr>
            </a:pPr>
            <a:endParaRPr lang="en-US"/>
          </a:p>
        </c:txPr>
        <c:crossAx val="1894728799"/>
        <c:crosses val="autoZero"/>
        <c:auto val="0"/>
        <c:lblAlgn val="ctr"/>
        <c:lblOffset val="100"/>
        <c:noMultiLvlLbl val="0"/>
      </c:catAx>
      <c:valAx>
        <c:axId val="18947287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Plomb</a:t>
                </a:r>
                <a:r>
                  <a:rPr lang="en-US" baseline="0">
                    <a:solidFill>
                      <a:sysClr val="windowText" lastClr="000000"/>
                    </a:solidFill>
                  </a:rPr>
                  <a:t> concentration (ppm)</a:t>
                </a:r>
                <a:endParaRPr lang="en-US">
                  <a:solidFill>
                    <a:sysClr val="windowText" lastClr="000000"/>
                  </a:solidFill>
                </a:endParaRPr>
              </a:p>
            </c:rich>
          </c:tx>
          <c:layout>
            <c:manualLayout>
              <c:xMode val="edge"/>
              <c:yMode val="edge"/>
              <c:x val="1.3565835520559932E-2"/>
              <c:y val="0.120049941673957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94731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2447-F93D-4F27-8F63-77294382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18</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15</cp:revision>
  <cp:lastPrinted>1999-07-06T11:00:00Z</cp:lastPrinted>
  <dcterms:created xsi:type="dcterms:W3CDTF">2014-10-25T14:34:00Z</dcterms:created>
  <dcterms:modified xsi:type="dcterms:W3CDTF">2025-08-23T13:08:00Z</dcterms:modified>
</cp:coreProperties>
</file>