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5637" w14:textId="6330AC5B" w:rsidR="00250303" w:rsidRDefault="00185790">
      <w:pPr>
        <w:pStyle w:val="Title"/>
        <w:spacing w:after="0"/>
        <w:jc w:val="both"/>
        <w:rPr>
          <w:rFonts w:ascii="Arial" w:eastAsia="Arial" w:hAnsi="Arial" w:cs="Arial"/>
        </w:rPr>
      </w:pPr>
      <w:r>
        <w:rPr>
          <w:rFonts w:ascii="Arial" w:eastAsia="Arial" w:hAnsi="Arial" w:cs="Arial"/>
        </w:rPr>
        <w:t>Case report</w:t>
      </w:r>
    </w:p>
    <w:p w14:paraId="0AAC743E" w14:textId="77777777" w:rsidR="00250303" w:rsidRDefault="00250303">
      <w:pPr>
        <w:pStyle w:val="Title"/>
        <w:spacing w:after="0"/>
        <w:jc w:val="both"/>
        <w:rPr>
          <w:rFonts w:ascii="Arial" w:eastAsia="Arial" w:hAnsi="Arial" w:cs="Arial"/>
        </w:rPr>
      </w:pPr>
    </w:p>
    <w:p w14:paraId="77D9E85D" w14:textId="1854826C" w:rsidR="00250303" w:rsidRDefault="0093430C">
      <w:pPr>
        <w:pStyle w:val="Author"/>
        <w:spacing w:line="240" w:lineRule="auto"/>
        <w:rPr>
          <w:rFonts w:ascii="Arial" w:eastAsia="Arial" w:hAnsi="Arial" w:cs="Arial"/>
        </w:rPr>
      </w:pPr>
      <w:r w:rsidRPr="0093430C">
        <w:rPr>
          <w:rFonts w:ascii="Arial" w:hAnsi="Arial"/>
          <w:kern w:val="28"/>
          <w:sz w:val="36"/>
          <w:szCs w:val="36"/>
          <w:lang w:val="en-GB"/>
        </w:rPr>
        <w:t>DIAGNOSTIC AND MANAGEMENT CHALLENGES OF MYOCARDIAL INFARCTION IN A NIGERIAN PRIMARY HEALTH CARE CENTRE: A CASE REPORT</w:t>
      </w:r>
    </w:p>
    <w:p w14:paraId="7DB42B05" w14:textId="77777777" w:rsidR="00250303" w:rsidRDefault="00250303">
      <w:pPr>
        <w:pStyle w:val="Affiliation"/>
        <w:spacing w:after="0" w:line="240" w:lineRule="auto"/>
        <w:jc w:val="both"/>
        <w:rPr>
          <w:rFonts w:ascii="Arial" w:eastAsia="Arial" w:hAnsi="Arial" w:cs="Arial"/>
        </w:rPr>
      </w:pPr>
    </w:p>
    <w:p w14:paraId="03E36D1C" w14:textId="77777777" w:rsidR="00250303" w:rsidRDefault="00185790">
      <w:pPr>
        <w:pStyle w:val="Copyright"/>
        <w:spacing w:after="0" w:line="240" w:lineRule="auto"/>
        <w:jc w:val="both"/>
        <w:rPr>
          <w:rFonts w:ascii="Arial" w:eastAsia="Arial" w:hAnsi="Arial" w:cs="Arial"/>
        </w:rPr>
        <w:sectPr w:rsidR="00250303">
          <w:headerReference w:type="even" r:id="rId7"/>
          <w:headerReference w:type="default" r:id="rId8"/>
          <w:footerReference w:type="even" r:id="rId9"/>
          <w:footerReference w:type="default" r:id="rId10"/>
          <w:headerReference w:type="first" r:id="rId11"/>
          <w:footerReference w:type="first" r:id="rId12"/>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14:anchorId="63BD3DDD" wp14:editId="6DFB3F78">
                <wp:extent cx="5211953" cy="0"/>
                <wp:effectExtent l="0" t="0" r="0" b="0"/>
                <wp:docPr id="1073741825" name="officeArt object"/>
                <wp:cNvGraphicFramePr/>
                <a:graphic xmlns:a="http://schemas.openxmlformats.org/drawingml/2006/main">
                  <a:graphicData uri="http://schemas.microsoft.com/office/word/2010/wordprocessingShape">
                    <wps:wsp>
                      <wps:cNvCnPr/>
                      <wps:spPr>
                        <a:xfrm>
                          <a:off x="0" y="0"/>
                          <a:ext cx="5211953" cy="0"/>
                        </a:xfrm>
                        <a:prstGeom prst="line">
                          <a:avLst/>
                        </a:prstGeom>
                        <a:noFill/>
                        <a:ln w="19050" cap="flat">
                          <a:solidFill>
                            <a:srgbClr val="000000"/>
                          </a:solidFill>
                          <a:prstDash val="solid"/>
                          <a:round/>
                        </a:ln>
                        <a:effectLst/>
                      </wps:spPr>
                      <wps:bodyPr/>
                    </wps:wsp>
                  </a:graphicData>
                </a:graphic>
              </wp:inline>
            </w:drawing>
          </mc:Choice>
          <mc:Fallback>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r>
        <w:rPr>
          <w:rFonts w:ascii="Arial" w:hAnsi="Arial"/>
        </w:rPr>
        <w:t>.</w:t>
      </w:r>
    </w:p>
    <w:p w14:paraId="46DD7C40" w14:textId="77777777" w:rsidR="00250303" w:rsidRDefault="00250303">
      <w:pPr>
        <w:pStyle w:val="AbstHead"/>
        <w:spacing w:after="0"/>
      </w:pP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24"/>
      </w:tblGrid>
      <w:tr w:rsidR="00250303" w14:paraId="0B40ED3B" w14:textId="77777777" w:rsidTr="0073756D">
        <w:trPr>
          <w:trHeight w:val="6443"/>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9F47C1E" w14:textId="77777777" w:rsidR="00250303" w:rsidRDefault="00185790">
            <w:pPr>
              <w:pStyle w:val="Body"/>
              <w:spacing w:line="480" w:lineRule="auto"/>
              <w:jc w:val="both"/>
              <w:rPr>
                <w:rFonts w:ascii="Times New Roman" w:hAnsi="Times New Roman"/>
                <w:b/>
                <w:bCs/>
                <w:sz w:val="24"/>
                <w:szCs w:val="24"/>
              </w:rPr>
            </w:pPr>
            <w:r>
              <w:rPr>
                <w:rFonts w:ascii="Times New Roman" w:hAnsi="Times New Roman"/>
                <w:b/>
                <w:bCs/>
                <w:sz w:val="24"/>
                <w:szCs w:val="24"/>
              </w:rPr>
              <w:t>Abstract</w:t>
            </w:r>
          </w:p>
          <w:p w14:paraId="734A4EB5" w14:textId="77777777" w:rsidR="00250303" w:rsidRDefault="00185790">
            <w:pPr>
              <w:pStyle w:val="Body"/>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Background:</w:t>
            </w:r>
          </w:p>
          <w:p w14:paraId="04BA5E5C" w14:textId="299271C0" w:rsidR="00250303" w:rsidRDefault="00185790">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Myocardial infarction is becoming more prevalent in low and middle income countries (LAMIC</w:t>
            </w:r>
            <w:r w:rsidR="00E2369B">
              <w:rPr>
                <w:rFonts w:ascii="Times New Roman" w:hAnsi="Times New Roman"/>
                <w:sz w:val="24"/>
                <w:szCs w:val="24"/>
              </w:rPr>
              <w:t>s</w:t>
            </w:r>
            <w:r>
              <w:rPr>
                <w:rFonts w:ascii="Times New Roman" w:hAnsi="Times New Roman"/>
                <w:sz w:val="24"/>
                <w:szCs w:val="24"/>
              </w:rPr>
              <w:t xml:space="preserve">). The presentation of MI is occasionally obfuscated by other diseases such as dyspepsia and peptic ulcer disease. Moreover, management in LAMIC is complicated by poor diagnostic and therapeutic options as well as delays in seeking and instituting health care intervention. This results in relatively high disease burden with a corresponding increase in mortality and morbidity. </w:t>
            </w:r>
          </w:p>
          <w:p w14:paraId="7CC29269" w14:textId="77777777" w:rsidR="00250303" w:rsidRDefault="00185790">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Aim: </w:t>
            </w:r>
            <w:r>
              <w:rPr>
                <w:rFonts w:ascii="Times New Roman" w:hAnsi="Times New Roman"/>
                <w:sz w:val="24"/>
                <w:szCs w:val="24"/>
              </w:rPr>
              <w:t xml:space="preserve">The aim of this case report was therefore to describe the challenges associated with diagnosis and management of myocardial infarction in a primary health </w:t>
            </w:r>
            <w:proofErr w:type="spellStart"/>
            <w:r>
              <w:rPr>
                <w:rFonts w:ascii="Times New Roman" w:hAnsi="Times New Roman"/>
                <w:sz w:val="24"/>
                <w:szCs w:val="24"/>
              </w:rPr>
              <w:t>centre</w:t>
            </w:r>
            <w:proofErr w:type="spellEnd"/>
            <w:r>
              <w:rPr>
                <w:rFonts w:ascii="Times New Roman" w:hAnsi="Times New Roman"/>
                <w:sz w:val="24"/>
                <w:szCs w:val="24"/>
              </w:rPr>
              <w:t xml:space="preserve"> (PHC) in Nigeria. </w:t>
            </w:r>
          </w:p>
          <w:p w14:paraId="4F77BFAD" w14:textId="54691DDB" w:rsidR="00250303" w:rsidRDefault="00185790">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Case Presentation: </w:t>
            </w:r>
            <w:r>
              <w:rPr>
                <w:rFonts w:ascii="Times New Roman" w:hAnsi="Times New Roman"/>
                <w:sz w:val="24"/>
                <w:szCs w:val="24"/>
              </w:rPr>
              <w:t xml:space="preserve">A 34 year old female patient who presented with a 6 month history of recurrent epigastric pain, exacerbated in the immediate 1 week period prior to presentation and managed as an inpatient at a primary health care </w:t>
            </w:r>
            <w:proofErr w:type="spellStart"/>
            <w:r>
              <w:rPr>
                <w:rFonts w:ascii="Times New Roman" w:hAnsi="Times New Roman"/>
                <w:sz w:val="24"/>
                <w:szCs w:val="24"/>
              </w:rPr>
              <w:t>centre</w:t>
            </w:r>
            <w:proofErr w:type="spellEnd"/>
            <w:r>
              <w:rPr>
                <w:rFonts w:ascii="Times New Roman" w:hAnsi="Times New Roman"/>
                <w:sz w:val="24"/>
                <w:szCs w:val="24"/>
              </w:rPr>
              <w:t xml:space="preserve"> in Nigeria. She was stabilized and investigated for MI using a full blood count and lipid profile,</w:t>
            </w:r>
            <w:r w:rsidR="00E2369B">
              <w:rPr>
                <w:rFonts w:ascii="Times New Roman" w:hAnsi="Times New Roman"/>
                <w:sz w:val="24"/>
                <w:szCs w:val="24"/>
              </w:rPr>
              <w:t xml:space="preserve"> as </w:t>
            </w:r>
            <w:r w:rsidR="00E2369B" w:rsidRPr="00E2369B">
              <w:rPr>
                <w:rFonts w:ascii="Times New Roman" w:hAnsi="Times New Roman"/>
                <w:sz w:val="24"/>
                <w:szCs w:val="24"/>
              </w:rPr>
              <w:t>certain vital investigation modalities such as ECG and other biochemical investigations such as troponins, CKMB or other cardiac biomarkers of MI</w:t>
            </w:r>
            <w:r w:rsidR="00BD54F7">
              <w:rPr>
                <w:rFonts w:ascii="Times New Roman" w:hAnsi="Times New Roman"/>
                <w:sz w:val="24"/>
                <w:szCs w:val="24"/>
              </w:rPr>
              <w:t xml:space="preserve"> were not </w:t>
            </w:r>
            <w:r w:rsidR="00BD54F7">
              <w:rPr>
                <w:rFonts w:ascii="Times New Roman" w:hAnsi="Times New Roman"/>
                <w:sz w:val="24"/>
                <w:szCs w:val="24"/>
              </w:rPr>
              <w:lastRenderedPageBreak/>
              <w:t xml:space="preserve">readily accessible, </w:t>
            </w:r>
            <w:r>
              <w:rPr>
                <w:rFonts w:ascii="Times New Roman" w:hAnsi="Times New Roman"/>
                <w:sz w:val="24"/>
                <w:szCs w:val="24"/>
              </w:rPr>
              <w:t>before a presumptive diagnosis was made and ultimate referral to a tertiary health care facility done.</w:t>
            </w:r>
            <w:r w:rsidR="00A2426E">
              <w:rPr>
                <w:rFonts w:ascii="Times New Roman" w:hAnsi="Times New Roman"/>
                <w:sz w:val="24"/>
                <w:szCs w:val="24"/>
              </w:rPr>
              <w:t xml:space="preserve"> Patient did very well</w:t>
            </w:r>
            <w:r w:rsidR="0073756D">
              <w:rPr>
                <w:rFonts w:ascii="Times New Roman" w:hAnsi="Times New Roman"/>
                <w:sz w:val="24"/>
                <w:szCs w:val="24"/>
              </w:rPr>
              <w:t xml:space="preserve"> on treatment,</w:t>
            </w:r>
            <w:r w:rsidR="00A2426E">
              <w:rPr>
                <w:rFonts w:ascii="Times New Roman" w:hAnsi="Times New Roman"/>
                <w:sz w:val="24"/>
                <w:szCs w:val="24"/>
              </w:rPr>
              <w:t xml:space="preserve"> and was counter-referred to the PHC six months later on basis of proximity, with follow-up instructions </w:t>
            </w:r>
            <w:r w:rsidR="00A2426E" w:rsidRPr="00A2426E">
              <w:rPr>
                <w:rFonts w:ascii="Times New Roman" w:hAnsi="Times New Roman"/>
                <w:sz w:val="24"/>
                <w:szCs w:val="24"/>
              </w:rPr>
              <w:t xml:space="preserve">suggestive of confirmation of diagnosis and management of MI. </w:t>
            </w:r>
            <w:r>
              <w:rPr>
                <w:rFonts w:ascii="Times New Roman" w:hAnsi="Times New Roman"/>
                <w:sz w:val="24"/>
                <w:szCs w:val="24"/>
              </w:rPr>
              <w:t>We discuss the epidemiology, diagnostic limitations and delays, as well as differential diagnoses of MI in a PHC setting. We further highlight the need</w:t>
            </w:r>
            <w:r w:rsidR="00856656">
              <w:rPr>
                <w:rFonts w:ascii="Times New Roman" w:hAnsi="Times New Roman"/>
                <w:sz w:val="24"/>
                <w:szCs w:val="24"/>
              </w:rPr>
              <w:t xml:space="preserve"> for</w:t>
            </w:r>
            <w:r>
              <w:rPr>
                <w:rFonts w:ascii="Times New Roman" w:hAnsi="Times New Roman"/>
                <w:sz w:val="24"/>
                <w:szCs w:val="24"/>
              </w:rPr>
              <w:t xml:space="preserve"> availability of affordable and efficacious therapeutic or preventive options for management of MI in LAMIC</w:t>
            </w:r>
            <w:r w:rsidR="005D2224">
              <w:rPr>
                <w:rFonts w:ascii="Times New Roman" w:hAnsi="Times New Roman"/>
                <w:sz w:val="24"/>
                <w:szCs w:val="24"/>
              </w:rPr>
              <w:t>s</w:t>
            </w:r>
            <w:r>
              <w:rPr>
                <w:rFonts w:ascii="Times New Roman" w:hAnsi="Times New Roman"/>
                <w:sz w:val="24"/>
                <w:szCs w:val="24"/>
              </w:rPr>
              <w:t>.</w:t>
            </w:r>
          </w:p>
          <w:p w14:paraId="400141AA" w14:textId="6E5D0ABA" w:rsidR="00250303" w:rsidRDefault="00185790">
            <w:pPr>
              <w:pStyle w:val="Body"/>
              <w:spacing w:after="160" w:line="480" w:lineRule="auto"/>
              <w:jc w:val="both"/>
            </w:pPr>
            <w:r>
              <w:rPr>
                <w:rFonts w:ascii="Times New Roman" w:hAnsi="Times New Roman"/>
                <w:b/>
                <w:bCs/>
                <w:sz w:val="24"/>
                <w:szCs w:val="24"/>
              </w:rPr>
              <w:t>Conclusion:</w:t>
            </w:r>
            <w:r>
              <w:rPr>
                <w:rFonts w:ascii="Times New Roman" w:hAnsi="Times New Roman"/>
                <w:sz w:val="24"/>
                <w:szCs w:val="24"/>
              </w:rPr>
              <w:t xml:space="preserve"> Management of MI in a LAMIC is challenging. </w:t>
            </w:r>
            <w:r w:rsidR="00477093" w:rsidRPr="00477093">
              <w:rPr>
                <w:rFonts w:ascii="Times New Roman" w:hAnsi="Times New Roman"/>
                <w:sz w:val="24"/>
                <w:szCs w:val="24"/>
              </w:rPr>
              <w:t>With an increasing incidence, it is incumbent upon primary care physicians to diagnose, stabilize and refer such patients to appropriate levels of care.</w:t>
            </w:r>
            <w:r w:rsidR="00477093">
              <w:rPr>
                <w:rFonts w:ascii="Times New Roman" w:hAnsi="Times New Roman"/>
                <w:sz w:val="24"/>
                <w:szCs w:val="24"/>
              </w:rPr>
              <w:t xml:space="preserve"> </w:t>
            </w:r>
            <w:r>
              <w:rPr>
                <w:rFonts w:ascii="Times New Roman" w:hAnsi="Times New Roman"/>
                <w:sz w:val="24"/>
                <w:szCs w:val="24"/>
              </w:rPr>
              <w:t xml:space="preserve">The index case was managed as a case of MI and ultimately referred to a tertiary care </w:t>
            </w:r>
            <w:proofErr w:type="spellStart"/>
            <w:r>
              <w:rPr>
                <w:rFonts w:ascii="Times New Roman" w:hAnsi="Times New Roman"/>
                <w:sz w:val="24"/>
                <w:szCs w:val="24"/>
              </w:rPr>
              <w:t>centre</w:t>
            </w:r>
            <w:proofErr w:type="spellEnd"/>
            <w:r>
              <w:rPr>
                <w:rFonts w:ascii="Times New Roman" w:hAnsi="Times New Roman"/>
                <w:sz w:val="24"/>
                <w:szCs w:val="24"/>
              </w:rPr>
              <w:t xml:space="preserve"> after a brief stay in the PHC.</w:t>
            </w:r>
          </w:p>
        </w:tc>
      </w:tr>
    </w:tbl>
    <w:p w14:paraId="54D99513" w14:textId="77777777" w:rsidR="00250303" w:rsidRDefault="00250303">
      <w:pPr>
        <w:pStyle w:val="BodyA"/>
        <w:spacing w:after="0"/>
        <w:rPr>
          <w:rFonts w:ascii="Arial" w:eastAsia="Arial" w:hAnsi="Arial" w:cs="Arial"/>
          <w:i/>
          <w:iCs/>
        </w:rPr>
      </w:pPr>
    </w:p>
    <w:p w14:paraId="3A38CCEC" w14:textId="77777777" w:rsidR="00250303" w:rsidRDefault="00185790">
      <w:pPr>
        <w:pStyle w:val="BodyA"/>
        <w:spacing w:after="0"/>
        <w:rPr>
          <w:rFonts w:ascii="Arial" w:eastAsia="Arial" w:hAnsi="Arial" w:cs="Arial"/>
          <w:i/>
          <w:iCs/>
        </w:rPr>
      </w:pPr>
      <w:r>
        <w:rPr>
          <w:rFonts w:ascii="Arial" w:hAnsi="Arial"/>
          <w:i/>
          <w:iCs/>
        </w:rPr>
        <w:t xml:space="preserve">Keywords: Myocardial infarction; atypical presentation, white cell count; primary health care </w:t>
      </w:r>
      <w:proofErr w:type="spellStart"/>
      <w:r>
        <w:rPr>
          <w:rFonts w:ascii="Arial" w:hAnsi="Arial"/>
          <w:i/>
          <w:iCs/>
        </w:rPr>
        <w:t>centre</w:t>
      </w:r>
      <w:proofErr w:type="spellEnd"/>
      <w:r>
        <w:rPr>
          <w:rFonts w:ascii="Arial" w:hAnsi="Arial"/>
          <w:i/>
          <w:iCs/>
        </w:rPr>
        <w:t>; troponins; resource poor setting</w:t>
      </w:r>
    </w:p>
    <w:p w14:paraId="301A5D77" w14:textId="77777777" w:rsidR="00250303" w:rsidRDefault="00250303">
      <w:pPr>
        <w:pStyle w:val="BodyA"/>
        <w:spacing w:after="0"/>
        <w:rPr>
          <w:rFonts w:ascii="Arial" w:eastAsia="Arial" w:hAnsi="Arial" w:cs="Arial"/>
          <w:i/>
          <w:iCs/>
          <w:sz w:val="18"/>
          <w:szCs w:val="18"/>
        </w:rPr>
      </w:pPr>
    </w:p>
    <w:p w14:paraId="7E806F00" w14:textId="270C7891" w:rsidR="0073756D" w:rsidRDefault="0073756D">
      <w:pPr>
        <w:rPr>
          <w:rFonts w:ascii="Arial" w:eastAsia="Arial" w:hAnsi="Arial" w:cs="Arial"/>
          <w:i/>
          <w:iCs/>
          <w:color w:val="000000"/>
          <w:sz w:val="20"/>
          <w:szCs w:val="20"/>
          <w:u w:color="000000"/>
          <w:lang w:eastAsia="en-GB"/>
          <w14:textOutline w14:w="0" w14:cap="flat" w14:cmpd="sng" w14:algn="ctr">
            <w14:noFill/>
            <w14:prstDash w14:val="solid"/>
            <w14:bevel/>
          </w14:textOutline>
        </w:rPr>
      </w:pPr>
      <w:r>
        <w:rPr>
          <w:rFonts w:ascii="Arial" w:eastAsia="Arial" w:hAnsi="Arial" w:cs="Arial"/>
          <w:i/>
          <w:iCs/>
        </w:rPr>
        <w:br w:type="page"/>
      </w:r>
    </w:p>
    <w:p w14:paraId="202F4BDD" w14:textId="77777777" w:rsidR="00250303" w:rsidRDefault="00185790">
      <w:pPr>
        <w:pStyle w:val="AbstHead"/>
        <w:spacing w:after="0"/>
        <w:jc w:val="both"/>
        <w:rPr>
          <w:rFonts w:ascii="Arial" w:eastAsia="Arial" w:hAnsi="Arial" w:cs="Arial"/>
        </w:rPr>
      </w:pPr>
      <w:r>
        <w:rPr>
          <w:rFonts w:ascii="Arial" w:hAnsi="Arial"/>
        </w:rPr>
        <w:lastRenderedPageBreak/>
        <w:t>1. INTRODUCTION</w:t>
      </w:r>
    </w:p>
    <w:p w14:paraId="517E1050" w14:textId="77777777" w:rsidR="00250303" w:rsidRDefault="00250303">
      <w:pPr>
        <w:pStyle w:val="AbstHead"/>
        <w:spacing w:after="0"/>
        <w:jc w:val="both"/>
        <w:rPr>
          <w:rFonts w:ascii="Arial" w:eastAsia="Arial" w:hAnsi="Arial" w:cs="Arial"/>
        </w:rPr>
      </w:pPr>
    </w:p>
    <w:p w14:paraId="6C449B49" w14:textId="559C2541" w:rsidR="00250303" w:rsidRDefault="00185790">
      <w:pPr>
        <w:pStyle w:val="BodyA"/>
        <w:spacing w:after="0"/>
        <w:rPr>
          <w:rFonts w:ascii="Arial" w:eastAsia="Arial" w:hAnsi="Arial" w:cs="Arial"/>
        </w:rPr>
      </w:pPr>
      <w:r>
        <w:rPr>
          <w:rFonts w:ascii="Arial" w:hAnsi="Arial"/>
        </w:rPr>
        <w:t xml:space="preserve">Myocardial infarction (MI) is a clinical (or pathologic) event in the setting of myocardial </w:t>
      </w:r>
      <w:r w:rsidR="00DA431B">
        <w:rPr>
          <w:rFonts w:ascii="Arial" w:hAnsi="Arial"/>
        </w:rPr>
        <w:t>ischemia</w:t>
      </w:r>
      <w:r>
        <w:rPr>
          <w:rFonts w:ascii="Arial" w:hAnsi="Arial"/>
        </w:rPr>
        <w:t xml:space="preserve"> in which there is evidence of myocardial cell death (</w:t>
      </w:r>
      <w:proofErr w:type="spellStart"/>
      <w:r>
        <w:rPr>
          <w:rFonts w:ascii="Arial" w:hAnsi="Arial"/>
        </w:rPr>
        <w:t>Thygessen</w:t>
      </w:r>
      <w:proofErr w:type="spellEnd"/>
      <w:r>
        <w:rPr>
          <w:rFonts w:ascii="Arial" w:hAnsi="Arial"/>
        </w:rPr>
        <w:t xml:space="preserve"> et al., 2018). Acute Myocardial Infarction (AMI), the most severe manifestation of coronary artery disease (CAD) is a major cause of death and disability worldwide (Thygesen et al., 2007; Seo et al., 2015). Global prevalence of MI among those aged 60 and above is put at 3.8% as per a systematic review carried out by Salari et al., (2023). Prevalence of MI in Nigeria and </w:t>
      </w:r>
      <w:r w:rsidR="00D427B8">
        <w:rPr>
          <w:rFonts w:ascii="Arial" w:hAnsi="Arial"/>
        </w:rPr>
        <w:t>Sub-Saharan</w:t>
      </w:r>
      <w:r>
        <w:rPr>
          <w:rFonts w:ascii="Arial" w:hAnsi="Arial"/>
        </w:rPr>
        <w:t xml:space="preserve"> Africa (SSA) is generally thought to be low, but with the increased incidence of risk factors such as hypertension, diabetes mellitus and dyslipidemia, there are signs it is on the increase. A study by Kolo et al., (2013) where 14 cases of MI were seen in the University of Ilorin Teaching Hospital within between 2006 and 2009 (and interval of about 3 years 6 months) compared with 10 cases seen over ten years in 1990s. This study by Kolo et al., (2013) correlates slightly with another retrospective study carried out in University of Port Harcourt in 2016 which found that AMI was responsible for 1.6% of admissions over a </w:t>
      </w:r>
      <w:r w:rsidR="00737F07">
        <w:rPr>
          <w:rFonts w:ascii="Arial" w:hAnsi="Arial"/>
        </w:rPr>
        <w:t>2-year</w:t>
      </w:r>
      <w:r>
        <w:rPr>
          <w:rFonts w:ascii="Arial" w:hAnsi="Arial"/>
        </w:rPr>
        <w:t xml:space="preserve"> period (Nwafor and </w:t>
      </w:r>
      <w:proofErr w:type="spellStart"/>
      <w:r>
        <w:rPr>
          <w:rFonts w:ascii="Arial" w:hAnsi="Arial"/>
        </w:rPr>
        <w:t>Alikor</w:t>
      </w:r>
      <w:proofErr w:type="spellEnd"/>
      <w:r>
        <w:rPr>
          <w:rFonts w:ascii="Arial" w:hAnsi="Arial"/>
        </w:rPr>
        <w:t>, 2016). Moreover, Ferreira-González (2014) states that developing countries display considerable variability in the incidence of CAD and that the globalization of Western diet and increased sedentary lifestyle will dramatically increase the number of those living with CAD in these nations.</w:t>
      </w:r>
    </w:p>
    <w:p w14:paraId="1F0631A3" w14:textId="494E5FEC" w:rsidR="00250303" w:rsidRDefault="00185790">
      <w:pPr>
        <w:pStyle w:val="BodyA"/>
        <w:spacing w:after="0"/>
        <w:rPr>
          <w:rFonts w:ascii="Arial" w:eastAsia="Arial" w:hAnsi="Arial" w:cs="Arial"/>
        </w:rPr>
      </w:pPr>
      <w:r>
        <w:rPr>
          <w:rFonts w:ascii="Arial" w:hAnsi="Arial"/>
        </w:rPr>
        <w:t>Standard protocols for diagnosis include clinical (history and physical examination) and biochemical evaluation (troponins, creatine kinase MB, lactate dehydrogenase) (Thygesen et al., 2017). Detectable increases in cardiac biomarkers are indicative of myocardial injury, but not exclusively so. Differential diagnosis of increased cardiac biomarkers include</w:t>
      </w:r>
      <w:r w:rsidR="004A79F3">
        <w:rPr>
          <w:rFonts w:ascii="Arial" w:hAnsi="Arial"/>
        </w:rPr>
        <w:t>s</w:t>
      </w:r>
      <w:r>
        <w:rPr>
          <w:rFonts w:ascii="Arial" w:hAnsi="Arial"/>
        </w:rPr>
        <w:t xml:space="preserve"> sepsis, congestive heart failure, pulmonary embolism, myocarditis, intracranial </w:t>
      </w:r>
      <w:proofErr w:type="spellStart"/>
      <w:r>
        <w:rPr>
          <w:rFonts w:ascii="Arial" w:hAnsi="Arial"/>
        </w:rPr>
        <w:t>haemorrhage</w:t>
      </w:r>
      <w:proofErr w:type="spellEnd"/>
      <w:r>
        <w:rPr>
          <w:rFonts w:ascii="Arial" w:hAnsi="Arial"/>
        </w:rPr>
        <w:t xml:space="preserve"> and renal failure. Acute MI should be diagnosed when cardiac biomarkers are abnormal and the clinical setting is consistent with MI (Chung and Brown, 2018). Imaging modalities where available, have also been known to play a role in diagnosis (DeFilippis et al., 2019). Most of these diagnostic options are not available in LAMIC and much less so in PHCs. Prognosis and complications of MI could be quite devastating and account for the significantly increased morbidity and mortality associated with the disease. The incidence of mechanical complications of acute myocardial infarction (AMI) has gone down to less than 1% since the advent of percutaneous coronary intervention, but although mortality resulting from AMI has gone down in recent years, the burden remains high. Mechanical complications of AMI include cardiogenic shock, free wall rupture, ventricular septal rupture, acute mitral regurgitation, and right ventricular infarction (Bajaj et al., 2015).</w:t>
      </w:r>
    </w:p>
    <w:p w14:paraId="4BAB0644" w14:textId="03C3F099" w:rsidR="00250303" w:rsidRDefault="00185790">
      <w:pPr>
        <w:pStyle w:val="BodyA"/>
        <w:spacing w:after="0"/>
        <w:rPr>
          <w:rFonts w:ascii="Arial" w:eastAsia="Arial" w:hAnsi="Arial" w:cs="Arial"/>
        </w:rPr>
      </w:pPr>
      <w:r>
        <w:rPr>
          <w:rFonts w:ascii="Arial" w:hAnsi="Arial"/>
        </w:rPr>
        <w:t>Be it through pharmacotherapy (antiplatelets, streptokinase) or surgery [percutaneous coronary intervention (PCI), coronary artery bypass graft (CABG)} or a combination of both (primary PCI with new-generation drug-eluting stents), early and efficient coronary reperfusion is the main therapeutic goal in acute MI</w:t>
      </w:r>
      <w:r w:rsidR="00C24697">
        <w:rPr>
          <w:rFonts w:ascii="Arial" w:hAnsi="Arial"/>
        </w:rPr>
        <w:t xml:space="preserve"> (Matter </w:t>
      </w:r>
      <w:r w:rsidR="00C24697">
        <w:rPr>
          <w:rFonts w:ascii="Arial" w:hAnsi="Arial"/>
          <w:i/>
          <w:iCs/>
        </w:rPr>
        <w:t>et al</w:t>
      </w:r>
      <w:r w:rsidR="00C24697">
        <w:rPr>
          <w:rFonts w:ascii="Arial" w:hAnsi="Arial"/>
        </w:rPr>
        <w:t>., 2024)</w:t>
      </w:r>
      <w:r>
        <w:rPr>
          <w:rFonts w:ascii="Arial" w:hAnsi="Arial"/>
        </w:rPr>
        <w:t>. If the diagnostic options are scarce in LAMIC, the treatment strategies are even more so. This places some pressure on practicing physicians at the primary care level in LAMIC, to work within the limitations while still providing optimal diagnostic and therapeutic care.</w:t>
      </w:r>
    </w:p>
    <w:p w14:paraId="7B1C468D" w14:textId="77777777" w:rsidR="00250303" w:rsidRDefault="00250303">
      <w:pPr>
        <w:pStyle w:val="BodyA"/>
        <w:spacing w:after="0"/>
        <w:rPr>
          <w:rFonts w:ascii="Arial" w:eastAsia="Arial" w:hAnsi="Arial" w:cs="Arial"/>
        </w:rPr>
      </w:pPr>
    </w:p>
    <w:p w14:paraId="06CB85FD" w14:textId="77777777" w:rsidR="00250303" w:rsidRDefault="00185790">
      <w:pPr>
        <w:pStyle w:val="AbstHead"/>
        <w:spacing w:after="0"/>
        <w:jc w:val="both"/>
        <w:rPr>
          <w:rFonts w:ascii="Arial" w:eastAsia="Arial" w:hAnsi="Arial" w:cs="Arial"/>
        </w:rPr>
      </w:pPr>
      <w:r>
        <w:rPr>
          <w:rFonts w:ascii="Arial" w:hAnsi="Arial"/>
        </w:rPr>
        <w:t>2. Case presentation</w:t>
      </w:r>
    </w:p>
    <w:p w14:paraId="48DFEAA4" w14:textId="77777777" w:rsidR="00250303" w:rsidRDefault="00250303">
      <w:pPr>
        <w:pStyle w:val="AbstHead"/>
        <w:spacing w:after="0"/>
        <w:jc w:val="both"/>
        <w:rPr>
          <w:rFonts w:ascii="Arial" w:eastAsia="Arial" w:hAnsi="Arial" w:cs="Arial"/>
        </w:rPr>
      </w:pPr>
    </w:p>
    <w:p w14:paraId="5139641A" w14:textId="77777777" w:rsidR="00250303" w:rsidRDefault="00185790">
      <w:pPr>
        <w:pStyle w:val="BodyA"/>
        <w:spacing w:after="0"/>
        <w:rPr>
          <w:rFonts w:ascii="Arial" w:eastAsia="Arial" w:hAnsi="Arial" w:cs="Arial"/>
        </w:rPr>
      </w:pPr>
      <w:r>
        <w:rPr>
          <w:rFonts w:ascii="Arial" w:hAnsi="Arial"/>
        </w:rPr>
        <w:t>Case presentation</w:t>
      </w:r>
    </w:p>
    <w:p w14:paraId="21C22113" w14:textId="4A7E57ED" w:rsidR="00250303" w:rsidRDefault="00185790">
      <w:pPr>
        <w:pStyle w:val="BodyA"/>
        <w:spacing w:after="0"/>
        <w:rPr>
          <w:rFonts w:ascii="Arial" w:eastAsia="Arial" w:hAnsi="Arial" w:cs="Arial"/>
        </w:rPr>
      </w:pPr>
      <w:r>
        <w:rPr>
          <w:rFonts w:ascii="Arial" w:hAnsi="Arial"/>
        </w:rPr>
        <w:t xml:space="preserve">A </w:t>
      </w:r>
      <w:r w:rsidR="00737F07">
        <w:rPr>
          <w:rFonts w:ascii="Arial" w:hAnsi="Arial"/>
        </w:rPr>
        <w:t>34-year-old</w:t>
      </w:r>
      <w:r>
        <w:rPr>
          <w:rFonts w:ascii="Arial" w:hAnsi="Arial"/>
        </w:rPr>
        <w:t xml:space="preserve"> post graduate female student presented to the emergency room of the University Health Centre, Delta State University</w:t>
      </w:r>
      <w:r w:rsidR="0045384C">
        <w:rPr>
          <w:rFonts w:ascii="Arial" w:hAnsi="Arial"/>
        </w:rPr>
        <w:t>,</w:t>
      </w:r>
      <w:r>
        <w:rPr>
          <w:rFonts w:ascii="Arial" w:hAnsi="Arial"/>
        </w:rPr>
        <w:t xml:space="preserve"> with complaints of severe weakness, recurrent epigastric pain radiating to the back, fatigue, headaches, upper back pain, fever, chills and dizziness. She also had 1 episode of vomiting prior to presentation. She admitted she was a peptic ulcer disease patient and that she occasionally had exacerbation of symptoms similar to some of which she was presently experiencing. She had ingested about 15 </w:t>
      </w:r>
      <w:proofErr w:type="spellStart"/>
      <w:r>
        <w:rPr>
          <w:rFonts w:ascii="Arial" w:hAnsi="Arial"/>
        </w:rPr>
        <w:t>mLs</w:t>
      </w:r>
      <w:proofErr w:type="spellEnd"/>
      <w:r>
        <w:rPr>
          <w:rFonts w:ascii="Arial" w:hAnsi="Arial"/>
        </w:rPr>
        <w:t xml:space="preserve"> of an unnamed antacid prior to presentation, but epigastric pains had not subsided. She however complained of severe discomfort in her left shoulder. Although she was not known to be hypertensive or diabetic, she had a strong family history of hypertension and diabetes. On examination, she was in painful distress, acutely ill looking, weak, mildly pale and dehydrated with cold extremities. She was also febrile with a temperature of 39.1</w:t>
      </w:r>
      <w:r w:rsidRPr="0045384C">
        <w:rPr>
          <w:rFonts w:ascii="Arial" w:hAnsi="Arial"/>
          <w:vertAlign w:val="superscript"/>
        </w:rPr>
        <w:t>o</w:t>
      </w:r>
      <w:r>
        <w:rPr>
          <w:rFonts w:ascii="Arial" w:hAnsi="Arial"/>
        </w:rPr>
        <w:t xml:space="preserve">C. She was also obese with a body weight of 110 kg and a BMI of 31 Kg/m2. Abdomen was flat and non-tender. Respiratory rate was 30 cycles per </w:t>
      </w:r>
      <w:r w:rsidR="001D4EF5">
        <w:rPr>
          <w:rFonts w:ascii="Arial" w:hAnsi="Arial"/>
        </w:rPr>
        <w:t>minute;</w:t>
      </w:r>
      <w:r>
        <w:rPr>
          <w:rFonts w:ascii="Arial" w:hAnsi="Arial"/>
        </w:rPr>
        <w:t xml:space="preserve"> pulse rate and blood pressure were 122 beats per minutes and 150/80 mm/Hg. Chest was otherwise clear and other systems were </w:t>
      </w:r>
      <w:r>
        <w:rPr>
          <w:rFonts w:ascii="Arial" w:hAnsi="Arial"/>
        </w:rPr>
        <w:lastRenderedPageBreak/>
        <w:t>unremarkable on examination. A bed side rapid diagnostic test for malaria parasite revealed ++ malaria while random blood glucose was 117 mg/dl. She was admitted to the ward and nursed in cardiac position. Intravenous access was secured and samples taken for a full blood count and differentials, serum electrolytes, urea and creatinine. A fasting lipid profile and liver function test were requested the next morning.</w:t>
      </w:r>
    </w:p>
    <w:p w14:paraId="2F7B9166" w14:textId="77777777" w:rsidR="00250303" w:rsidRDefault="00185790">
      <w:pPr>
        <w:pStyle w:val="BodyA"/>
        <w:spacing w:after="0"/>
        <w:rPr>
          <w:rFonts w:ascii="Arial" w:eastAsia="Arial" w:hAnsi="Arial" w:cs="Arial"/>
        </w:rPr>
      </w:pPr>
      <w:r>
        <w:rPr>
          <w:rFonts w:ascii="Arial" w:hAnsi="Arial"/>
        </w:rPr>
        <w:t>She was managed as a case of severe malaria with prostration, on a background of exacerbation of PUD with a plan to rule out myocardial infarction. She was subsequently placed on intranasal oxygen (100%), rehydrated with normal saline and dextrose saline as well as treated for malaria with injection artesunate. Relevant results of investigations are as follows:</w:t>
      </w:r>
    </w:p>
    <w:p w14:paraId="3285B213" w14:textId="77777777" w:rsidR="00250303" w:rsidRDefault="00185790">
      <w:pPr>
        <w:pStyle w:val="BodyA"/>
        <w:spacing w:after="0"/>
        <w:rPr>
          <w:rFonts w:ascii="Arial" w:eastAsia="Arial" w:hAnsi="Arial" w:cs="Arial"/>
        </w:rPr>
      </w:pPr>
      <w:r>
        <w:rPr>
          <w:rFonts w:ascii="Arial" w:hAnsi="Arial"/>
        </w:rPr>
        <w:t>PCV-30%; Hb-11.1g/dl; WBC-11,400; Neutrophils-72%; Lymphocytes-28%; Platelets- 650,000 platelets/</w:t>
      </w:r>
      <w:proofErr w:type="spellStart"/>
      <w:r>
        <w:rPr>
          <w:rFonts w:ascii="Arial" w:hAnsi="Arial"/>
        </w:rPr>
        <w:t>μL</w:t>
      </w:r>
      <w:proofErr w:type="spellEnd"/>
      <w:r>
        <w:rPr>
          <w:rFonts w:ascii="Arial" w:hAnsi="Arial"/>
        </w:rPr>
        <w:t>; Total cholesterol-253 mg/dl; LDL cholesterol-160 mg/dL; Triglycerides-206 mg/dL; HDL cholesterol- 41mg/dL.</w:t>
      </w:r>
    </w:p>
    <w:p w14:paraId="4E0D4956" w14:textId="20FFFEBC" w:rsidR="00250303" w:rsidRDefault="00185790">
      <w:pPr>
        <w:pStyle w:val="BodyA"/>
        <w:spacing w:after="0"/>
        <w:rPr>
          <w:rFonts w:ascii="Arial" w:eastAsia="Arial" w:hAnsi="Arial" w:cs="Arial"/>
        </w:rPr>
      </w:pPr>
      <w:r>
        <w:rPr>
          <w:rFonts w:ascii="Arial" w:hAnsi="Arial"/>
        </w:rPr>
        <w:t xml:space="preserve">Following the release of her investigation results, she was placed on oral isosorbide dinitrate 20 mg bd, Aspirin 150 mg stat and then 75 mg daily, and oral Amlodipine 10 mg daily. She was further subsequently referred to a tertiary health </w:t>
      </w:r>
      <w:proofErr w:type="spellStart"/>
      <w:r>
        <w:rPr>
          <w:rFonts w:ascii="Arial" w:hAnsi="Arial"/>
        </w:rPr>
        <w:t>centre</w:t>
      </w:r>
      <w:proofErr w:type="spellEnd"/>
      <w:r>
        <w:rPr>
          <w:rFonts w:ascii="Arial" w:hAnsi="Arial"/>
        </w:rPr>
        <w:t xml:space="preserve"> for further management. Six months later, she was counter-referred to the primary care </w:t>
      </w:r>
      <w:proofErr w:type="spellStart"/>
      <w:r>
        <w:rPr>
          <w:rFonts w:ascii="Arial" w:hAnsi="Arial"/>
        </w:rPr>
        <w:t>centre</w:t>
      </w:r>
      <w:proofErr w:type="spellEnd"/>
      <w:r>
        <w:rPr>
          <w:rFonts w:ascii="Arial" w:hAnsi="Arial"/>
        </w:rPr>
        <w:t xml:space="preserve"> with follow up instructions suggestive of confirmation of diagnosis and management of MI.</w:t>
      </w:r>
      <w:r w:rsidR="001024D1">
        <w:rPr>
          <w:rFonts w:ascii="Arial" w:hAnsi="Arial"/>
        </w:rPr>
        <w:t xml:space="preserve"> </w:t>
      </w:r>
    </w:p>
    <w:p w14:paraId="6EC33830" w14:textId="77777777" w:rsidR="00250303" w:rsidRDefault="00250303">
      <w:pPr>
        <w:pStyle w:val="BodyA"/>
        <w:spacing w:after="0"/>
        <w:rPr>
          <w:rFonts w:ascii="Arial" w:eastAsia="Arial" w:hAnsi="Arial" w:cs="Arial"/>
        </w:rPr>
      </w:pPr>
    </w:p>
    <w:p w14:paraId="524F825F" w14:textId="77777777" w:rsidR="00250303" w:rsidRDefault="00250303">
      <w:pPr>
        <w:pStyle w:val="BodyA"/>
        <w:spacing w:after="0"/>
        <w:rPr>
          <w:rFonts w:ascii="Arial" w:eastAsia="Arial" w:hAnsi="Arial" w:cs="Arial"/>
        </w:rPr>
      </w:pPr>
    </w:p>
    <w:p w14:paraId="4F4956F2" w14:textId="77777777" w:rsidR="00250303" w:rsidRDefault="00185790">
      <w:pPr>
        <w:pStyle w:val="Head1"/>
        <w:spacing w:after="0"/>
        <w:jc w:val="both"/>
        <w:rPr>
          <w:rFonts w:ascii="Arial" w:eastAsia="Arial" w:hAnsi="Arial" w:cs="Arial"/>
        </w:rPr>
      </w:pPr>
      <w:r>
        <w:rPr>
          <w:rFonts w:ascii="Arial" w:hAnsi="Arial"/>
        </w:rPr>
        <w:t>3. discussion</w:t>
      </w:r>
    </w:p>
    <w:p w14:paraId="4B9952FC" w14:textId="77777777" w:rsidR="00250303" w:rsidRDefault="00250303">
      <w:pPr>
        <w:pStyle w:val="Head1"/>
        <w:spacing w:after="0"/>
        <w:jc w:val="both"/>
        <w:rPr>
          <w:rFonts w:ascii="Arial" w:eastAsia="Arial" w:hAnsi="Arial" w:cs="Arial"/>
        </w:rPr>
      </w:pPr>
    </w:p>
    <w:p w14:paraId="54117BEA" w14:textId="60F7E1D7" w:rsidR="00250303" w:rsidRDefault="00185790">
      <w:pPr>
        <w:pStyle w:val="BodyA"/>
        <w:spacing w:after="0"/>
        <w:rPr>
          <w:rFonts w:ascii="Arial" w:eastAsia="Arial" w:hAnsi="Arial" w:cs="Arial"/>
        </w:rPr>
      </w:pPr>
      <w:r>
        <w:rPr>
          <w:rFonts w:ascii="Arial" w:hAnsi="Arial"/>
        </w:rPr>
        <w:t>Myocardial infarction is commonly known as heart attack and is fraught with a high mortality and morbidity rate</w:t>
      </w:r>
      <w:r w:rsidR="00416EE0">
        <w:rPr>
          <w:rFonts w:ascii="Arial" w:hAnsi="Arial"/>
        </w:rPr>
        <w:t xml:space="preserve"> (</w:t>
      </w:r>
      <w:proofErr w:type="spellStart"/>
      <w:r w:rsidR="00416EE0">
        <w:rPr>
          <w:rFonts w:ascii="Arial" w:hAnsi="Arial"/>
        </w:rPr>
        <w:t>Krittanawong</w:t>
      </w:r>
      <w:proofErr w:type="spellEnd"/>
      <w:r w:rsidR="00416EE0">
        <w:rPr>
          <w:rFonts w:ascii="Arial" w:hAnsi="Arial"/>
        </w:rPr>
        <w:t xml:space="preserve"> </w:t>
      </w:r>
      <w:r w:rsidR="00416EE0">
        <w:rPr>
          <w:rFonts w:ascii="Arial" w:hAnsi="Arial"/>
          <w:i/>
          <w:iCs/>
        </w:rPr>
        <w:t>et al</w:t>
      </w:r>
      <w:r w:rsidR="00416EE0">
        <w:rPr>
          <w:rFonts w:ascii="Arial" w:hAnsi="Arial"/>
        </w:rPr>
        <w:t>., 2023)</w:t>
      </w:r>
      <w:r>
        <w:rPr>
          <w:rFonts w:ascii="Arial" w:hAnsi="Arial"/>
        </w:rPr>
        <w:t xml:space="preserve">. A quick diagnosis is vital to management and subsequent survival. With an increasing incidence, it is incumbent upon primary care physicians to diagnose, stabilize and refer such patients to appropriate levels of care. This is naturally challenging in a PHC setting and made infinitely worse on a background of relatively low resources.  The diagnosis of AMI usually employs the classic criteria requiring that at least two of the following conditions be present: a) a history of </w:t>
      </w:r>
      <w:proofErr w:type="spellStart"/>
      <w:r>
        <w:rPr>
          <w:rFonts w:ascii="Arial" w:hAnsi="Arial"/>
        </w:rPr>
        <w:t>ischaemic</w:t>
      </w:r>
      <w:proofErr w:type="spellEnd"/>
      <w:r>
        <w:rPr>
          <w:rFonts w:ascii="Arial" w:hAnsi="Arial"/>
        </w:rPr>
        <w:t xml:space="preserve">-type chest discomfort, b) evolutionary changes in serially obtained ECG tracings, and c) a rise and fall in serum cardiac markers (Thygesen et al., 2018). Consequently, the primary care physician must improvise within the scope of what is available to optimize patient care. </w:t>
      </w:r>
    </w:p>
    <w:p w14:paraId="3DCBAF34" w14:textId="31269DDA" w:rsidR="00250303" w:rsidRDefault="00185790">
      <w:pPr>
        <w:pStyle w:val="BodyA"/>
        <w:spacing w:after="0"/>
        <w:rPr>
          <w:rFonts w:ascii="Arial" w:eastAsia="Arial" w:hAnsi="Arial" w:cs="Arial"/>
        </w:rPr>
      </w:pPr>
      <w:r>
        <w:rPr>
          <w:rFonts w:ascii="Arial" w:hAnsi="Arial"/>
        </w:rPr>
        <w:t>The index patient presented with epigastric pain which while a known feature of MI, has also been known to occur in peptic ulcer disease (</w:t>
      </w:r>
      <w:proofErr w:type="spellStart"/>
      <w:r>
        <w:rPr>
          <w:rFonts w:ascii="Arial" w:hAnsi="Arial"/>
        </w:rPr>
        <w:t>Jolobe</w:t>
      </w:r>
      <w:proofErr w:type="spellEnd"/>
      <w:r>
        <w:rPr>
          <w:rFonts w:ascii="Arial" w:hAnsi="Arial"/>
        </w:rPr>
        <w:t>, 2021). Epidemiologically, peptic ulcer disease is more likely in this setting than MI. Moreover, with absence of certain vital investigation modalities such as ECG and other biochemical investigations such as troponins, CKMB or other cardiac biomarkers of MI, making the diagnosis proved a challenge. In support of MI however, patient was obese with a family history of hypertension and diabetes. Although she was not previously known to be hypertensive, her admitting blood pressure was elevated. Taha et al (2024) documents that the primary predisposing risk factors to coronary artery disease/myocardial infarction include hyperlipidemia/dyslipidemia, obesity, systemic hypertension, sedentary lifestyle, tobacco use and DM and they are suspected to be contributing factors to the incidence of a significant proportion of first MI in African patients. Another study by Essien et al. (2014), found that CAD was identified in 13 (1.6%) of 747 autopsies. The subjects were primarily male, urban dwellers, and of elevated socioeconomic status, exhibiting a combination of CVD risk factors including hypertension, alcohol consumption, DM, tobacco use, sedentary lifestyle and obesity. Strengthening the case for MI in the index patient was the dyslipidemia finding. An upward trend in CAD and MI has been detected over the years with the rise in atherosclerosis (Chen et al., 2023). While not diagnostic, the white blood cell and platelet count</w:t>
      </w:r>
      <w:r w:rsidR="001024D1">
        <w:rPr>
          <w:rFonts w:ascii="Arial" w:hAnsi="Arial"/>
        </w:rPr>
        <w:t>s,</w:t>
      </w:r>
      <w:r>
        <w:rPr>
          <w:rFonts w:ascii="Arial" w:hAnsi="Arial"/>
        </w:rPr>
        <w:t xml:space="preserve"> played a role in the need for immediate referral once a presumptive diagnosis of MI was made. There is evidence as to the use of the neutrophil/lymphocyte ratio in the prediction of severity in subjects with MI. The study by </w:t>
      </w:r>
      <w:proofErr w:type="spellStart"/>
      <w:r>
        <w:rPr>
          <w:rFonts w:ascii="Arial" w:hAnsi="Arial"/>
        </w:rPr>
        <w:t>Tudurachi</w:t>
      </w:r>
      <w:proofErr w:type="spellEnd"/>
      <w:r>
        <w:rPr>
          <w:rFonts w:ascii="Arial" w:hAnsi="Arial"/>
        </w:rPr>
        <w:t xml:space="preserve"> et al. (2005), investigated the predictive value of the neutrophil to lymphocyte ratio (NLR) and platelet-to-lymphocyte ratio (PLR) in MI. A high NLR indicates systemic inflammation and is said to be a major predictor of poor clinical outcomes. High NLR and PLR values are associated with increased risk of complications such as heart failure and mortality after acute MI. The index patient appeared to have a high PLR and NLR values. White blood cell </w:t>
      </w:r>
      <w:r w:rsidR="001D4EF5">
        <w:rPr>
          <w:rFonts w:ascii="Arial" w:hAnsi="Arial"/>
        </w:rPr>
        <w:t>counts</w:t>
      </w:r>
      <w:r>
        <w:rPr>
          <w:rFonts w:ascii="Arial" w:hAnsi="Arial"/>
        </w:rPr>
        <w:t xml:space="preserve"> and differentials are some of the most commonly available biochemical tests available regardless of the level of care and could be well used by primary care physicians in making the decision to refer in such situations. Furthermore, the index patient, with a PCV of </w:t>
      </w:r>
      <w:r>
        <w:rPr>
          <w:rFonts w:ascii="Arial" w:hAnsi="Arial"/>
        </w:rPr>
        <w:lastRenderedPageBreak/>
        <w:t xml:space="preserve">30% was </w:t>
      </w:r>
      <w:proofErr w:type="spellStart"/>
      <w:r>
        <w:rPr>
          <w:rFonts w:ascii="Arial" w:hAnsi="Arial"/>
        </w:rPr>
        <w:t>anaemic</w:t>
      </w:r>
      <w:proofErr w:type="spellEnd"/>
      <w:r>
        <w:rPr>
          <w:rFonts w:ascii="Arial" w:hAnsi="Arial"/>
        </w:rPr>
        <w:t xml:space="preserve">. A review by Feng et al. (2011), reveals that </w:t>
      </w:r>
      <w:proofErr w:type="spellStart"/>
      <w:r>
        <w:rPr>
          <w:rFonts w:ascii="Arial" w:hAnsi="Arial"/>
        </w:rPr>
        <w:t>anaemia</w:t>
      </w:r>
      <w:proofErr w:type="spellEnd"/>
      <w:r>
        <w:rPr>
          <w:rFonts w:ascii="Arial" w:hAnsi="Arial"/>
        </w:rPr>
        <w:t xml:space="preserve"> has the potential to worsen the myocardial </w:t>
      </w:r>
      <w:proofErr w:type="spellStart"/>
      <w:r>
        <w:rPr>
          <w:rFonts w:ascii="Arial" w:hAnsi="Arial"/>
        </w:rPr>
        <w:t>ischaemic</w:t>
      </w:r>
      <w:proofErr w:type="spellEnd"/>
      <w:r>
        <w:rPr>
          <w:rFonts w:ascii="Arial" w:hAnsi="Arial"/>
        </w:rPr>
        <w:t xml:space="preserve"> insult in AMI, both by decreasing the oxygen content of the blood supplied to the jeopardized myocardium and by increasing myocardial oxygen consumption through increased cardia metabolic activity. Feng et al. therefore suggests that low </w:t>
      </w:r>
      <w:proofErr w:type="spellStart"/>
      <w:r>
        <w:rPr>
          <w:rFonts w:ascii="Arial" w:hAnsi="Arial"/>
        </w:rPr>
        <w:t>haemoglobin</w:t>
      </w:r>
      <w:proofErr w:type="spellEnd"/>
      <w:r>
        <w:rPr>
          <w:rFonts w:ascii="Arial" w:hAnsi="Arial"/>
        </w:rPr>
        <w:t xml:space="preserve"> (Hb) concentrations at presentations convey a worse prognosis in patients with MI. Again</w:t>
      </w:r>
      <w:r w:rsidR="002E6F08">
        <w:rPr>
          <w:rFonts w:ascii="Arial" w:hAnsi="Arial"/>
        </w:rPr>
        <w:t>,</w:t>
      </w:r>
      <w:r>
        <w:rPr>
          <w:rFonts w:ascii="Arial" w:hAnsi="Arial"/>
        </w:rPr>
        <w:t xml:space="preserve"> in this case, whereas the patient improved slightly with oxygen therapy and isosorbide dinitrate, the possibility of poor prognosis determined by the </w:t>
      </w:r>
      <w:proofErr w:type="spellStart"/>
      <w:r>
        <w:rPr>
          <w:rFonts w:ascii="Arial" w:hAnsi="Arial"/>
        </w:rPr>
        <w:t>anaemia</w:t>
      </w:r>
      <w:proofErr w:type="spellEnd"/>
      <w:r>
        <w:rPr>
          <w:rFonts w:ascii="Arial" w:hAnsi="Arial"/>
        </w:rPr>
        <w:t xml:space="preserve">, PLR and NLR ratios, along with the uncertainty of the diagnosis, demanded an immediate referral to a tertiary health </w:t>
      </w:r>
      <w:proofErr w:type="spellStart"/>
      <w:r>
        <w:rPr>
          <w:rFonts w:ascii="Arial" w:hAnsi="Arial"/>
        </w:rPr>
        <w:t>centre</w:t>
      </w:r>
      <w:proofErr w:type="spellEnd"/>
      <w:r>
        <w:rPr>
          <w:rFonts w:ascii="Arial" w:hAnsi="Arial"/>
        </w:rPr>
        <w:t xml:space="preserve">. </w:t>
      </w:r>
    </w:p>
    <w:p w14:paraId="4A0D26A5" w14:textId="77777777" w:rsidR="00250303" w:rsidRDefault="00185790">
      <w:pPr>
        <w:pStyle w:val="BodyA"/>
        <w:spacing w:after="0"/>
        <w:rPr>
          <w:rFonts w:ascii="Arial" w:eastAsia="Arial" w:hAnsi="Arial" w:cs="Arial"/>
        </w:rPr>
      </w:pPr>
      <w:r>
        <w:rPr>
          <w:rFonts w:ascii="Arial" w:hAnsi="Arial"/>
        </w:rPr>
        <w:t xml:space="preserve"> </w:t>
      </w:r>
    </w:p>
    <w:p w14:paraId="75907017" w14:textId="77777777" w:rsidR="00250303" w:rsidRDefault="00250303">
      <w:pPr>
        <w:pStyle w:val="BodyA"/>
        <w:spacing w:after="0"/>
        <w:rPr>
          <w:rFonts w:ascii="Arial" w:eastAsia="Arial" w:hAnsi="Arial" w:cs="Arial"/>
        </w:rPr>
      </w:pPr>
    </w:p>
    <w:p w14:paraId="41290EA1" w14:textId="77777777" w:rsidR="00250303" w:rsidRDefault="00250303">
      <w:pPr>
        <w:pStyle w:val="BodyA"/>
        <w:spacing w:after="0"/>
        <w:rPr>
          <w:rFonts w:ascii="Arial" w:eastAsia="Arial" w:hAnsi="Arial" w:cs="Arial"/>
        </w:rPr>
      </w:pPr>
    </w:p>
    <w:p w14:paraId="5F22FC18" w14:textId="77777777" w:rsidR="00250303" w:rsidRDefault="00185790">
      <w:pPr>
        <w:pStyle w:val="ConcHead"/>
        <w:spacing w:after="0"/>
        <w:jc w:val="both"/>
        <w:rPr>
          <w:rFonts w:ascii="Arial" w:eastAsia="Arial" w:hAnsi="Arial" w:cs="Arial"/>
        </w:rPr>
      </w:pPr>
      <w:r>
        <w:rPr>
          <w:rFonts w:ascii="Arial" w:hAnsi="Arial"/>
        </w:rPr>
        <w:t>4. Conclusion</w:t>
      </w:r>
    </w:p>
    <w:p w14:paraId="5C2E1B1B" w14:textId="77777777" w:rsidR="00250303" w:rsidRDefault="00250303">
      <w:pPr>
        <w:pStyle w:val="ConcHead"/>
        <w:spacing w:after="0"/>
        <w:jc w:val="both"/>
        <w:rPr>
          <w:rFonts w:ascii="Arial" w:eastAsia="Arial" w:hAnsi="Arial" w:cs="Arial"/>
        </w:rPr>
      </w:pPr>
    </w:p>
    <w:p w14:paraId="6FD2B458" w14:textId="77777777" w:rsidR="00250303" w:rsidRDefault="00185790">
      <w:pPr>
        <w:pStyle w:val="BodyA"/>
        <w:spacing w:after="0"/>
        <w:rPr>
          <w:rFonts w:ascii="Arial" w:eastAsia="Arial" w:hAnsi="Arial" w:cs="Arial"/>
        </w:rPr>
      </w:pPr>
      <w:r>
        <w:rPr>
          <w:rFonts w:ascii="Arial" w:hAnsi="Arial"/>
        </w:rPr>
        <w:t>The role of a PHC in many cases of MI is to quickly diagnose, stabilize and refer. Management of the patient in this case report was severely limited by the unavailability of optimal diagnostic options due to the level of care in a resource poor setting. Other available indices were thus utilized in making a presumptive diagnosis, initial management and subsequent referral of the patient. The increasing prevalence of MI and other non-communicable cardiovascular diseases demands a high index of suspicion and innovation/ improvisation from the primary care physician in management of such cases.</w:t>
      </w:r>
    </w:p>
    <w:p w14:paraId="015D967F" w14:textId="77777777" w:rsidR="00250303" w:rsidRDefault="00250303">
      <w:pPr>
        <w:pStyle w:val="AcknHead"/>
        <w:spacing w:after="0"/>
        <w:jc w:val="both"/>
        <w:rPr>
          <w:rFonts w:ascii="Arial" w:eastAsia="Arial" w:hAnsi="Arial" w:cs="Arial"/>
        </w:rPr>
      </w:pPr>
    </w:p>
    <w:p w14:paraId="7E6349CB" w14:textId="77777777" w:rsidR="00250303" w:rsidRDefault="00250303">
      <w:pPr>
        <w:pStyle w:val="ReferHead"/>
        <w:spacing w:after="0"/>
        <w:jc w:val="both"/>
        <w:rPr>
          <w:rFonts w:ascii="Arial" w:eastAsia="Arial" w:hAnsi="Arial" w:cs="Arial"/>
          <w:b w:val="0"/>
          <w:bCs w:val="0"/>
          <w:caps w:val="0"/>
          <w:sz w:val="20"/>
          <w:szCs w:val="20"/>
        </w:rPr>
      </w:pPr>
    </w:p>
    <w:p w14:paraId="4212F1C6" w14:textId="77777777" w:rsidR="00250303" w:rsidRDefault="00185790">
      <w:pPr>
        <w:pStyle w:val="ReferHead"/>
        <w:spacing w:after="0"/>
        <w:jc w:val="both"/>
        <w:rPr>
          <w:rFonts w:ascii="Arial" w:eastAsia="Arial" w:hAnsi="Arial" w:cs="Arial"/>
        </w:rPr>
      </w:pPr>
      <w:r>
        <w:rPr>
          <w:rFonts w:ascii="Arial" w:hAnsi="Arial"/>
        </w:rPr>
        <w:t>Consent (where ever applicable)</w:t>
      </w:r>
    </w:p>
    <w:p w14:paraId="6BD21610" w14:textId="77777777" w:rsidR="00250303" w:rsidRDefault="00250303">
      <w:pPr>
        <w:pStyle w:val="ReferHead"/>
        <w:spacing w:after="0"/>
        <w:jc w:val="both"/>
        <w:rPr>
          <w:rFonts w:ascii="Arial" w:eastAsia="Arial" w:hAnsi="Arial" w:cs="Arial"/>
        </w:rPr>
      </w:pPr>
    </w:p>
    <w:p w14:paraId="75A55B8C" w14:textId="77777777" w:rsidR="00250303" w:rsidRDefault="0018579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 on request</w:t>
      </w:r>
    </w:p>
    <w:p w14:paraId="63B5EDE3" w14:textId="77777777" w:rsidR="00250303" w:rsidRDefault="00250303">
      <w:pPr>
        <w:pStyle w:val="ReferHead"/>
        <w:spacing w:after="0"/>
        <w:jc w:val="both"/>
        <w:rPr>
          <w:rFonts w:ascii="Arial" w:eastAsia="Arial" w:hAnsi="Arial" w:cs="Arial"/>
          <w:caps w:val="0"/>
        </w:rPr>
      </w:pPr>
    </w:p>
    <w:p w14:paraId="55740A2F" w14:textId="77777777" w:rsidR="00250303" w:rsidRDefault="00185790">
      <w:pPr>
        <w:pStyle w:val="ReferHead"/>
        <w:spacing w:after="0"/>
        <w:jc w:val="both"/>
        <w:rPr>
          <w:rFonts w:ascii="Arial" w:eastAsia="Arial" w:hAnsi="Arial" w:cs="Arial"/>
        </w:rPr>
      </w:pPr>
      <w:r>
        <w:rPr>
          <w:rFonts w:ascii="Arial" w:hAnsi="Arial"/>
        </w:rPr>
        <w:t>Ethical approval (where ever applicable)</w:t>
      </w:r>
    </w:p>
    <w:p w14:paraId="5FB79C6B" w14:textId="77777777" w:rsidR="00250303" w:rsidRDefault="00250303">
      <w:pPr>
        <w:pStyle w:val="ReferHead"/>
        <w:spacing w:after="0"/>
        <w:jc w:val="both"/>
        <w:rPr>
          <w:rFonts w:ascii="Arial" w:eastAsia="Arial" w:hAnsi="Arial" w:cs="Arial"/>
          <w:b w:val="0"/>
          <w:bCs w:val="0"/>
          <w:caps w:val="0"/>
          <w:sz w:val="20"/>
          <w:szCs w:val="20"/>
          <w:u w:val="single"/>
        </w:rPr>
      </w:pPr>
    </w:p>
    <w:p w14:paraId="21F88B91" w14:textId="77777777" w:rsidR="00250303" w:rsidRDefault="0018579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necessary approvals were obtained and are available for review by the editorial board on request</w:t>
      </w:r>
    </w:p>
    <w:p w14:paraId="570EF338" w14:textId="77777777" w:rsidR="00250303" w:rsidRDefault="00250303">
      <w:pPr>
        <w:pStyle w:val="ReferHead"/>
        <w:spacing w:after="0"/>
        <w:jc w:val="both"/>
        <w:rPr>
          <w:rFonts w:ascii="Arial" w:eastAsia="Arial" w:hAnsi="Arial" w:cs="Arial"/>
        </w:rPr>
      </w:pPr>
    </w:p>
    <w:p w14:paraId="7395985D" w14:textId="77777777" w:rsidR="00250303" w:rsidRDefault="00250303">
      <w:pPr>
        <w:pStyle w:val="ReferHead"/>
        <w:spacing w:after="0"/>
        <w:jc w:val="both"/>
        <w:rPr>
          <w:rFonts w:ascii="Arial" w:eastAsia="Arial" w:hAnsi="Arial" w:cs="Arial"/>
        </w:rPr>
      </w:pPr>
    </w:p>
    <w:p w14:paraId="4D030CA3" w14:textId="77777777" w:rsidR="00250303" w:rsidRDefault="00250303">
      <w:pPr>
        <w:pStyle w:val="ReferHead"/>
        <w:spacing w:after="0"/>
        <w:jc w:val="both"/>
        <w:rPr>
          <w:rFonts w:ascii="Arial" w:eastAsia="Arial" w:hAnsi="Arial" w:cs="Arial"/>
        </w:rPr>
      </w:pPr>
    </w:p>
    <w:p w14:paraId="0908B5F1" w14:textId="77777777" w:rsidR="001E0959" w:rsidRPr="00FE7640" w:rsidRDefault="00185790" w:rsidP="001E0959">
      <w:pPr>
        <w:rPr>
          <w:rFonts w:ascii="Calibri" w:eastAsia="Calibri" w:hAnsi="Calibri"/>
          <w:kern w:val="2"/>
          <w:highlight w:val="yellow"/>
        </w:rPr>
      </w:pPr>
      <w:r>
        <w:rPr>
          <w:rFonts w:ascii="Arial Unicode MS" w:hAnsi="Arial Unicode MS"/>
        </w:rPr>
        <w:br w:type="page"/>
      </w:r>
      <w:bookmarkStart w:id="0" w:name="_Hlk201835975"/>
      <w:bookmarkStart w:id="1" w:name="_Hlk193540946"/>
      <w:bookmarkStart w:id="2" w:name="_Hlk180402183"/>
      <w:bookmarkStart w:id="3" w:name="_Hlk183680988"/>
      <w:bookmarkStart w:id="4" w:name="_Hlk197173371"/>
      <w:r w:rsidR="001E0959" w:rsidRPr="00FE7640">
        <w:rPr>
          <w:rFonts w:ascii="Calibri" w:eastAsia="Calibri" w:hAnsi="Calibri"/>
          <w:kern w:val="2"/>
          <w:highlight w:val="yellow"/>
        </w:rPr>
        <w:lastRenderedPageBreak/>
        <w:t>Disclaimer (Artificial intelligence)</w:t>
      </w:r>
    </w:p>
    <w:p w14:paraId="2E38812B"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 xml:space="preserve">Option 1: </w:t>
      </w:r>
    </w:p>
    <w:p w14:paraId="48C02550"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0E644DF9"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 xml:space="preserve">Option 2: </w:t>
      </w:r>
    </w:p>
    <w:p w14:paraId="3910101D"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470D64"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8D97B8A"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1.</w:t>
      </w:r>
    </w:p>
    <w:p w14:paraId="6A65182D" w14:textId="77777777" w:rsidR="001E0959" w:rsidRPr="009C5487" w:rsidRDefault="001E0959" w:rsidP="001E0959">
      <w:pPr>
        <w:rPr>
          <w:rFonts w:ascii="Calibri" w:eastAsia="Calibri" w:hAnsi="Calibri"/>
          <w:kern w:val="2"/>
          <w:highlight w:val="yellow"/>
        </w:rPr>
      </w:pPr>
      <w:r w:rsidRPr="009C5487">
        <w:rPr>
          <w:rFonts w:ascii="Calibri" w:eastAsia="Calibri" w:hAnsi="Calibri"/>
          <w:kern w:val="2"/>
          <w:highlight w:val="yellow"/>
        </w:rPr>
        <w:t>2.</w:t>
      </w:r>
      <w:bookmarkEnd w:id="0"/>
    </w:p>
    <w:p w14:paraId="435D5548" w14:textId="77777777" w:rsidR="001E0959" w:rsidRPr="009C5487" w:rsidRDefault="001E0959" w:rsidP="001E0959">
      <w:pPr>
        <w:rPr>
          <w:rFonts w:ascii="Calibri" w:eastAsia="Calibri" w:hAnsi="Calibri"/>
          <w:kern w:val="2"/>
        </w:rPr>
      </w:pPr>
      <w:r w:rsidRPr="009C5487">
        <w:rPr>
          <w:rFonts w:ascii="Calibri" w:eastAsia="Calibri" w:hAnsi="Calibri"/>
          <w:kern w:val="2"/>
          <w:highlight w:val="yellow"/>
        </w:rPr>
        <w:t>3.</w:t>
      </w:r>
      <w:bookmarkEnd w:id="1"/>
    </w:p>
    <w:bookmarkEnd w:id="2"/>
    <w:bookmarkEnd w:id="3"/>
    <w:bookmarkEnd w:id="4"/>
    <w:p w14:paraId="6E9D8A50" w14:textId="77777777" w:rsidR="00250303" w:rsidRDefault="00250303">
      <w:pPr>
        <w:pStyle w:val="ReferHead"/>
        <w:spacing w:after="0"/>
        <w:jc w:val="both"/>
      </w:pPr>
    </w:p>
    <w:p w14:paraId="2CD01321" w14:textId="77777777" w:rsidR="00250303" w:rsidRDefault="00185790">
      <w:pPr>
        <w:pStyle w:val="ReferHead"/>
        <w:spacing w:after="0"/>
        <w:jc w:val="both"/>
        <w:rPr>
          <w:rFonts w:ascii="Arial" w:eastAsia="Arial" w:hAnsi="Arial" w:cs="Arial"/>
        </w:rPr>
      </w:pPr>
      <w:r>
        <w:rPr>
          <w:rFonts w:ascii="Arial" w:hAnsi="Arial"/>
        </w:rPr>
        <w:t>References</w:t>
      </w:r>
    </w:p>
    <w:p w14:paraId="457A9A67" w14:textId="77777777" w:rsidR="00250303" w:rsidRDefault="00250303">
      <w:pPr>
        <w:pStyle w:val="ReferHead"/>
        <w:spacing w:after="0"/>
        <w:jc w:val="both"/>
        <w:rPr>
          <w:rFonts w:ascii="Arial" w:eastAsia="Arial" w:hAnsi="Arial" w:cs="Arial"/>
        </w:rPr>
      </w:pPr>
    </w:p>
    <w:p w14:paraId="0B822ADA" w14:textId="77777777" w:rsidR="00250303" w:rsidRDefault="00185790">
      <w:pPr>
        <w:pStyle w:val="BodyA"/>
        <w:numPr>
          <w:ilvl w:val="0"/>
          <w:numId w:val="4"/>
        </w:numPr>
        <w:spacing w:after="0"/>
      </w:pPr>
      <w:r>
        <w:t xml:space="preserve">Thygesen, K., Alpert, J. S., Jaffe, A. S., </w:t>
      </w:r>
      <w:proofErr w:type="spellStart"/>
      <w:r>
        <w:t>Chaitman</w:t>
      </w:r>
      <w:proofErr w:type="spellEnd"/>
      <w:r>
        <w:t>, B. R., Bax, J. J., Morrow, D. A., ... &amp; Executive Group on behalf of the Joint European Society of Cardiology (ESC)/American College of Cardiology (ACC)/American Heart Association (AHA)/World Heart Federation (WHF) Task Force for the Universal Definition of Myocardial Infarction. (2018). Fourth universal definition of myocardial infarction (2018). Circulation, 138(20), e618-e651</w:t>
      </w:r>
    </w:p>
    <w:p w14:paraId="1BB2A0F9" w14:textId="77777777" w:rsidR="00250303" w:rsidRDefault="00185790">
      <w:pPr>
        <w:pStyle w:val="BodyA"/>
        <w:numPr>
          <w:ilvl w:val="0"/>
          <w:numId w:val="4"/>
        </w:numPr>
        <w:spacing w:after="0"/>
      </w:pPr>
      <w:r>
        <w:t>Thygesen, K., Alpert, J. S., White, H. D., TASK FORCE MEMBERS: Chairpersons: Kristian Thygesen (Denmark), Joseph S. Alpert (USA)*, Harvey D. White (New Zealand)*, Biomarker Group: Allan S. Jaffe, Coordinator (USA), Fred S. Apple (USA), Marcello Galvani (Italy), Hugo A. Katus (Germany), L. Kristin Newby (USA), Jan Ravkilde (Denmark), ECG Group: Bernard Chaitman, Co-</w:t>
      </w:r>
      <w:proofErr w:type="spellStart"/>
      <w:r>
        <w:t>ordinator</w:t>
      </w:r>
      <w:proofErr w:type="spellEnd"/>
      <w:r>
        <w:t xml:space="preserve"> (USA), Peter M. Clemmensen (Denmark), Mikael </w:t>
      </w:r>
      <w:proofErr w:type="spellStart"/>
      <w:r>
        <w:t>Dellborg</w:t>
      </w:r>
      <w:proofErr w:type="spellEnd"/>
      <w:r>
        <w:t xml:space="preserve"> (Sweden), Hanoch Hod (Israel), Pekka </w:t>
      </w:r>
      <w:proofErr w:type="spellStart"/>
      <w:r>
        <w:t>Porela</w:t>
      </w:r>
      <w:proofErr w:type="spellEnd"/>
      <w:r>
        <w:t xml:space="preserve"> (Finland), ... &amp; DOCUMENT REVIEWERS. (2007). Universal definition of myocardial infarction. circulation, 116(22), 2634-2653.</w:t>
      </w:r>
    </w:p>
    <w:p w14:paraId="2ED637A4" w14:textId="77777777" w:rsidR="00250303" w:rsidRDefault="00185790">
      <w:pPr>
        <w:pStyle w:val="BodyA"/>
        <w:numPr>
          <w:ilvl w:val="0"/>
          <w:numId w:val="4"/>
        </w:numPr>
        <w:spacing w:after="0"/>
      </w:pPr>
      <w:r>
        <w:t xml:space="preserve">Seo, H., Yoon, S. J., Yoon, J., Kim, D., Gong, Y., Kim, A. R., ... &amp; Lee, Y. H. (2015). Recent trends in economic burden of acute myocardial infarction in South Korea. </w:t>
      </w:r>
      <w:proofErr w:type="spellStart"/>
      <w:r>
        <w:t>PLoS</w:t>
      </w:r>
      <w:proofErr w:type="spellEnd"/>
      <w:r>
        <w:t xml:space="preserve"> One, 10(2), e0117446.</w:t>
      </w:r>
    </w:p>
    <w:p w14:paraId="6B21577B" w14:textId="77777777" w:rsidR="00250303" w:rsidRDefault="00185790">
      <w:pPr>
        <w:pStyle w:val="BodyA"/>
        <w:numPr>
          <w:ilvl w:val="0"/>
          <w:numId w:val="4"/>
        </w:numPr>
        <w:spacing w:after="0"/>
      </w:pPr>
      <w:r>
        <w:t xml:space="preserve">Salari, N., </w:t>
      </w:r>
      <w:proofErr w:type="spellStart"/>
      <w:r>
        <w:t>Morddarvanjoghi</w:t>
      </w:r>
      <w:proofErr w:type="spellEnd"/>
      <w:r>
        <w:t xml:space="preserve">, F., Abdolmaleki, A., </w:t>
      </w:r>
      <w:proofErr w:type="spellStart"/>
      <w:r>
        <w:t>Rasoulpoor</w:t>
      </w:r>
      <w:proofErr w:type="spellEnd"/>
      <w:r>
        <w:t xml:space="preserve">, S., Khaleghi, A. A., </w:t>
      </w:r>
      <w:proofErr w:type="spellStart"/>
      <w:r>
        <w:t>Hezarkhani</w:t>
      </w:r>
      <w:proofErr w:type="spellEnd"/>
      <w:r>
        <w:t>, L. A., ... &amp; Mohammadi, M. (2023). The global prevalence of myocardial infarction: a systematic review and meta-analysis. BMC cardiovascular disorders, 23(1), 206.</w:t>
      </w:r>
    </w:p>
    <w:p w14:paraId="7925FFC4" w14:textId="77777777" w:rsidR="00250303" w:rsidRDefault="00185790">
      <w:pPr>
        <w:pStyle w:val="BodyA"/>
        <w:numPr>
          <w:ilvl w:val="0"/>
          <w:numId w:val="4"/>
        </w:numPr>
        <w:spacing w:after="0"/>
      </w:pPr>
      <w:r>
        <w:t xml:space="preserve">Kolo, P. M., Fasae, A. J., </w:t>
      </w:r>
      <w:proofErr w:type="spellStart"/>
      <w:r>
        <w:t>Aigbe</w:t>
      </w:r>
      <w:proofErr w:type="spellEnd"/>
      <w:r>
        <w:t xml:space="preserve">, I. F., </w:t>
      </w:r>
      <w:proofErr w:type="spellStart"/>
      <w:r>
        <w:t>Ogunmodede</w:t>
      </w:r>
      <w:proofErr w:type="spellEnd"/>
      <w:r>
        <w:t>, J. A., &amp; Omotoso, A. B. (2013). Changing trend in the incidence of myocardial infarction among medical admissions in Ilorin, north-central Nigeria. Nigerian Postgraduate Medical Journal, 20(1), 5-8.</w:t>
      </w:r>
    </w:p>
    <w:p w14:paraId="41D20C99" w14:textId="77777777" w:rsidR="00250303" w:rsidRDefault="00185790">
      <w:pPr>
        <w:pStyle w:val="BodyA"/>
        <w:numPr>
          <w:ilvl w:val="0"/>
          <w:numId w:val="4"/>
        </w:numPr>
        <w:spacing w:after="0"/>
      </w:pPr>
      <w:r>
        <w:t xml:space="preserve">Nwafor, C. E., &amp; </w:t>
      </w:r>
      <w:proofErr w:type="spellStart"/>
      <w:r>
        <w:t>Alikor</w:t>
      </w:r>
      <w:proofErr w:type="spellEnd"/>
      <w:r>
        <w:t>, C. A. (2016). Pattern of cardiovascular disease admissions in the medical wards of the University of Port Harcourt Teaching Hospital: a retrospective review. Nigerian Health Journal, 16(2)</w:t>
      </w:r>
    </w:p>
    <w:p w14:paraId="323A0FF1" w14:textId="77777777" w:rsidR="00250303" w:rsidRDefault="00185790">
      <w:pPr>
        <w:pStyle w:val="BodyA"/>
        <w:numPr>
          <w:ilvl w:val="0"/>
          <w:numId w:val="4"/>
        </w:numPr>
        <w:spacing w:after="0"/>
      </w:pPr>
      <w:r>
        <w:t xml:space="preserve">Ferreira-González, I. (2014). The epidemiology of coronary heart disease. </w:t>
      </w:r>
      <w:proofErr w:type="spellStart"/>
      <w:r>
        <w:t>Revista</w:t>
      </w:r>
      <w:proofErr w:type="spellEnd"/>
      <w:r>
        <w:t xml:space="preserve"> Española de </w:t>
      </w:r>
      <w:proofErr w:type="spellStart"/>
      <w:r>
        <w:t>Cardiología</w:t>
      </w:r>
      <w:proofErr w:type="spellEnd"/>
      <w:r>
        <w:t xml:space="preserve"> (English Edition), 67(2), 139-144.</w:t>
      </w:r>
    </w:p>
    <w:p w14:paraId="78825987" w14:textId="77777777" w:rsidR="00250303" w:rsidRDefault="00185790">
      <w:pPr>
        <w:pStyle w:val="BodyA"/>
        <w:numPr>
          <w:ilvl w:val="0"/>
          <w:numId w:val="4"/>
        </w:numPr>
        <w:spacing w:after="0"/>
      </w:pPr>
      <w:r>
        <w:t>Chung, M. J., &amp; Brown, D. L. (2018). Diagnosis of acute myocardial infarction. Cardiac Intensive Care-E-Book, 90, 296.</w:t>
      </w:r>
    </w:p>
    <w:p w14:paraId="3BB18D19" w14:textId="77777777" w:rsidR="00250303" w:rsidRDefault="00185790">
      <w:pPr>
        <w:pStyle w:val="BodyA"/>
        <w:numPr>
          <w:ilvl w:val="0"/>
          <w:numId w:val="4"/>
        </w:numPr>
        <w:spacing w:after="0"/>
      </w:pPr>
      <w:r>
        <w:t>DeFilippis, A. P., Chapman, A. R., Mills, N. L., De Lemos, J. A., Arbab-Zadeh, A., Newby, L. K., &amp; Morrow, D. A. (2019). Assessment and treatment of patients with type 2 myocardial infarction and acute nonischemic myocardial injury. Circulation, 140(20), 1661-1678.</w:t>
      </w:r>
    </w:p>
    <w:p w14:paraId="257ED811" w14:textId="77777777" w:rsidR="00250303" w:rsidRDefault="00185790">
      <w:pPr>
        <w:pStyle w:val="BodyA"/>
        <w:numPr>
          <w:ilvl w:val="0"/>
          <w:numId w:val="4"/>
        </w:numPr>
        <w:spacing w:after="0"/>
      </w:pPr>
      <w:r>
        <w:t xml:space="preserve">Bajaj, A., Sethi, A., Rathor, P., </w:t>
      </w:r>
      <w:proofErr w:type="spellStart"/>
      <w:r>
        <w:t>Suppogu</w:t>
      </w:r>
      <w:proofErr w:type="spellEnd"/>
      <w:r>
        <w:t>, N., &amp; Sethi, A. (2015). Acute complications of myocardial infarction in the current era: diagnosis and management. Journal of investigative medicine, 63(7), 844-855.</w:t>
      </w:r>
    </w:p>
    <w:p w14:paraId="0E33D1CE" w14:textId="77777777" w:rsidR="00250303" w:rsidRDefault="00185790">
      <w:pPr>
        <w:pStyle w:val="BodyA"/>
        <w:numPr>
          <w:ilvl w:val="0"/>
          <w:numId w:val="4"/>
        </w:numPr>
        <w:spacing w:after="0"/>
      </w:pPr>
      <w:proofErr w:type="spellStart"/>
      <w:r>
        <w:t>Jolobe</w:t>
      </w:r>
      <w:proofErr w:type="spellEnd"/>
      <w:r>
        <w:t>, O. M. (2021). Differential diagnosis of the association of gastrointestinal symptoms and ST segment elevation, in the absence of chest pain. The American Journal of Emergency Medicine, 49, 137-141.</w:t>
      </w:r>
    </w:p>
    <w:p w14:paraId="75048634" w14:textId="77777777" w:rsidR="00250303" w:rsidRDefault="00185790">
      <w:pPr>
        <w:pStyle w:val="BodyA"/>
        <w:numPr>
          <w:ilvl w:val="0"/>
          <w:numId w:val="4"/>
        </w:numPr>
        <w:spacing w:after="0"/>
      </w:pPr>
      <w:r>
        <w:lastRenderedPageBreak/>
        <w:t>Taha, A. M., Roshdy, M. R., Mostafa, H. A. A., &amp; Abdelazeem, B. (2023). Ischemic heart disease in Africa: An overnight epidemiological transition. Current Problems in Cardiology, 102337.</w:t>
      </w:r>
    </w:p>
    <w:p w14:paraId="499D65D6" w14:textId="77777777" w:rsidR="00250303" w:rsidRDefault="00185790">
      <w:pPr>
        <w:pStyle w:val="BodyA"/>
        <w:numPr>
          <w:ilvl w:val="0"/>
          <w:numId w:val="4"/>
        </w:numPr>
        <w:spacing w:after="0"/>
      </w:pPr>
      <w:r>
        <w:t xml:space="preserve">Essien, O. E., Andy, J., Ansa, V., Otu, A. A., &amp; Udoh, A. (2014). Coronary artery disease and the profile of cardiovascular risk factors in South </w:t>
      </w:r>
      <w:proofErr w:type="spellStart"/>
      <w:r>
        <w:t>South</w:t>
      </w:r>
      <w:proofErr w:type="spellEnd"/>
      <w:r>
        <w:t xml:space="preserve"> Nigeria: a clinical and autopsy study. Cardiology Research and Practice, 2014(1), 804751.</w:t>
      </w:r>
    </w:p>
    <w:p w14:paraId="3658A0C7" w14:textId="77777777" w:rsidR="00250303" w:rsidRDefault="00185790">
      <w:pPr>
        <w:pStyle w:val="BodyA"/>
        <w:numPr>
          <w:ilvl w:val="0"/>
          <w:numId w:val="4"/>
        </w:numPr>
        <w:spacing w:after="0"/>
      </w:pPr>
      <w:r>
        <w:t>Chen, W., Li, Z., Zhao, Y., Chen, Y., &amp; Huang, R. (2023). Global and national burden of atherosclerosis from 1990 to 2019: trend analysis based on the Global Burden of Disease Study 2019. Chinese Medical Journal, 136(20), 2442-2450.</w:t>
      </w:r>
    </w:p>
    <w:p w14:paraId="011CCA90" w14:textId="77777777" w:rsidR="00250303" w:rsidRDefault="00185790">
      <w:pPr>
        <w:pStyle w:val="BodyA"/>
        <w:numPr>
          <w:ilvl w:val="0"/>
          <w:numId w:val="4"/>
        </w:numPr>
        <w:spacing w:after="0"/>
      </w:pPr>
      <w:proofErr w:type="spellStart"/>
      <w:r>
        <w:t>Tudurachi</w:t>
      </w:r>
      <w:proofErr w:type="spellEnd"/>
      <w:r>
        <w:t xml:space="preserve">, B. S., Anghel, L., </w:t>
      </w:r>
      <w:proofErr w:type="spellStart"/>
      <w:r>
        <w:t>Tudurachi</w:t>
      </w:r>
      <w:proofErr w:type="spellEnd"/>
      <w:r>
        <w:t xml:space="preserve">, A., </w:t>
      </w:r>
      <w:proofErr w:type="spellStart"/>
      <w:r>
        <w:t>Sascău</w:t>
      </w:r>
      <w:proofErr w:type="spellEnd"/>
      <w:r>
        <w:t xml:space="preserve">, R. A., &amp; </w:t>
      </w:r>
      <w:proofErr w:type="spellStart"/>
      <w:r>
        <w:t>Stătescu</w:t>
      </w:r>
      <w:proofErr w:type="spellEnd"/>
      <w:r>
        <w:t>, C. (2023). Assessment of inflammatory hematological ratios (NLR, PLR, MLR, LMR and Monocyte/HDL–Cholesterol Ratio) in acute myocardial infarction and particularities in young patients. International Journal of Molecular Sciences, 24(18), 14378.</w:t>
      </w:r>
    </w:p>
    <w:p w14:paraId="4893A8BD" w14:textId="209FD3F8" w:rsidR="00250303" w:rsidRDefault="00185790">
      <w:pPr>
        <w:pStyle w:val="BodyA"/>
        <w:numPr>
          <w:ilvl w:val="0"/>
          <w:numId w:val="4"/>
        </w:numPr>
        <w:spacing w:after="0"/>
      </w:pPr>
      <w:r>
        <w:t xml:space="preserve">Feng, Q. Z., Zhao, Y. S., &amp; Li, Y. F. (2011). Effect of </w:t>
      </w:r>
      <w:proofErr w:type="spellStart"/>
      <w:r>
        <w:t>haemoglobin</w:t>
      </w:r>
      <w:proofErr w:type="spellEnd"/>
      <w:r>
        <w:t xml:space="preserve"> concentration on the clinical outcomes in patients with acute myocardial infarction and the factors related to </w:t>
      </w:r>
      <w:proofErr w:type="spellStart"/>
      <w:r>
        <w:t>haemoglobin</w:t>
      </w:r>
      <w:proofErr w:type="spellEnd"/>
      <w:r>
        <w:t>. BMC research notes, 4, 1-8.</w:t>
      </w:r>
    </w:p>
    <w:p w14:paraId="6C12698E" w14:textId="0E203DF1" w:rsidR="00416EE0" w:rsidRDefault="00416EE0">
      <w:pPr>
        <w:pStyle w:val="BodyA"/>
        <w:numPr>
          <w:ilvl w:val="0"/>
          <w:numId w:val="4"/>
        </w:numPr>
        <w:spacing w:after="0"/>
      </w:pPr>
      <w:proofErr w:type="spellStart"/>
      <w:r w:rsidRPr="00416EE0">
        <w:t>Krittanawong</w:t>
      </w:r>
      <w:proofErr w:type="spellEnd"/>
      <w:r w:rsidRPr="00416EE0">
        <w:t>, C., Khawaja, M., Tamis</w:t>
      </w:r>
      <w:r w:rsidRPr="00416EE0">
        <w:rPr>
          <w:rFonts w:ascii="Cambria Math" w:hAnsi="Cambria Math" w:cs="Cambria Math"/>
        </w:rPr>
        <w:t>‐</w:t>
      </w:r>
      <w:r w:rsidRPr="00416EE0">
        <w:t>Holland, J.E., Girotra, S. and Rao, S.V., 2023. Acute myocardial infarction: etiologies and mimickers in young patients. </w:t>
      </w:r>
      <w:r w:rsidRPr="00416EE0">
        <w:rPr>
          <w:i/>
          <w:iCs/>
        </w:rPr>
        <w:t>Journal of the American Heart Association</w:t>
      </w:r>
      <w:r w:rsidRPr="00416EE0">
        <w:t>, </w:t>
      </w:r>
      <w:r w:rsidRPr="00416EE0">
        <w:rPr>
          <w:i/>
          <w:iCs/>
        </w:rPr>
        <w:t>12</w:t>
      </w:r>
      <w:r w:rsidRPr="00416EE0">
        <w:t>(18), p.e029971.</w:t>
      </w:r>
    </w:p>
    <w:p w14:paraId="3B32FE74" w14:textId="545FC866" w:rsidR="00416EE0" w:rsidRDefault="00C24697">
      <w:pPr>
        <w:pStyle w:val="BodyA"/>
        <w:numPr>
          <w:ilvl w:val="0"/>
          <w:numId w:val="4"/>
        </w:numPr>
        <w:spacing w:after="0"/>
      </w:pPr>
      <w:r w:rsidRPr="00C24697">
        <w:t xml:space="preserve">Matter, M.A., </w:t>
      </w:r>
      <w:proofErr w:type="spellStart"/>
      <w:r w:rsidRPr="00C24697">
        <w:t>Paneni</w:t>
      </w:r>
      <w:proofErr w:type="spellEnd"/>
      <w:r w:rsidRPr="00C24697">
        <w:t xml:space="preserve">, F., Libby, P., Frantz, S., </w:t>
      </w:r>
      <w:proofErr w:type="spellStart"/>
      <w:r w:rsidRPr="00C24697">
        <w:t>Stähli</w:t>
      </w:r>
      <w:proofErr w:type="spellEnd"/>
      <w:r w:rsidRPr="00C24697">
        <w:t xml:space="preserve">, B.E., Templin, C., Mengozzi, A., Wang, Y.J., </w:t>
      </w:r>
      <w:proofErr w:type="spellStart"/>
      <w:r w:rsidRPr="00C24697">
        <w:t>Kündig</w:t>
      </w:r>
      <w:proofErr w:type="spellEnd"/>
      <w:r w:rsidRPr="00C24697">
        <w:t xml:space="preserve">, T.M., </w:t>
      </w:r>
      <w:proofErr w:type="spellStart"/>
      <w:r w:rsidRPr="00C24697">
        <w:t>Räber</w:t>
      </w:r>
      <w:proofErr w:type="spellEnd"/>
      <w:r w:rsidRPr="00C24697">
        <w:t>, L. and Ruschitzka, F., 2024. Inflammation in acute myocardial infarction: the good, the bad and the ugly. </w:t>
      </w:r>
      <w:r w:rsidRPr="00C24697">
        <w:rPr>
          <w:i/>
          <w:iCs/>
        </w:rPr>
        <w:t>European heart journal</w:t>
      </w:r>
      <w:r w:rsidRPr="00C24697">
        <w:t>, </w:t>
      </w:r>
      <w:r w:rsidRPr="00C24697">
        <w:rPr>
          <w:i/>
          <w:iCs/>
        </w:rPr>
        <w:t>45</w:t>
      </w:r>
      <w:r w:rsidRPr="00C24697">
        <w:t>(2), pp.89-103.</w:t>
      </w:r>
    </w:p>
    <w:sectPr w:rsidR="00416EE0">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165A" w14:textId="77777777" w:rsidR="004A41EC" w:rsidRDefault="004A41EC">
      <w:r>
        <w:separator/>
      </w:r>
    </w:p>
  </w:endnote>
  <w:endnote w:type="continuationSeparator" w:id="0">
    <w:p w14:paraId="5EBF2E41" w14:textId="77777777" w:rsidR="004A41EC" w:rsidRDefault="004A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142C" w14:textId="77777777" w:rsidR="000D46B6" w:rsidRDefault="000D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54B1" w14:textId="77777777" w:rsidR="000D46B6" w:rsidRDefault="000D4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19F1" w14:textId="77777777" w:rsidR="000D46B6" w:rsidRDefault="000D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E930" w14:textId="77777777" w:rsidR="004A41EC" w:rsidRDefault="004A41EC">
      <w:r>
        <w:separator/>
      </w:r>
    </w:p>
  </w:footnote>
  <w:footnote w:type="continuationSeparator" w:id="0">
    <w:p w14:paraId="2CAC4336" w14:textId="77777777" w:rsidR="004A41EC" w:rsidRDefault="004A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F640" w14:textId="77777777" w:rsidR="000D46B6" w:rsidRDefault="00000000">
    <w:pPr>
      <w:pStyle w:val="Header"/>
    </w:pPr>
    <w:r>
      <w:rPr>
        <w:noProof/>
      </w:rPr>
      <w:pict w14:anchorId="3C756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4E82" w14:textId="77777777" w:rsidR="000D46B6" w:rsidRDefault="00000000">
    <w:pPr>
      <w:pStyle w:val="Header"/>
    </w:pPr>
    <w:r>
      <w:rPr>
        <w:noProof/>
      </w:rPr>
      <w:pict w14:anchorId="7E7FA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97A1" w14:textId="77777777" w:rsidR="000D46B6" w:rsidRDefault="00000000">
    <w:pPr>
      <w:pStyle w:val="Header"/>
    </w:pPr>
    <w:r>
      <w:rPr>
        <w:noProof/>
      </w:rPr>
      <w:pict w14:anchorId="01EA9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0"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A7750"/>
    <w:multiLevelType w:val="hybridMultilevel"/>
    <w:tmpl w:val="087CBD68"/>
    <w:styleLink w:val="Numbered0"/>
    <w:lvl w:ilvl="0" w:tplc="BAFE3C66">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A48E1BC">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6A2C79AA">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E260FE4C">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571AF84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434C4750">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206293E4">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19308650">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16261BAA">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D00A8E"/>
    <w:multiLevelType w:val="hybridMultilevel"/>
    <w:tmpl w:val="087CBD68"/>
    <w:numStyleLink w:val="Numbered0"/>
  </w:abstractNum>
  <w:abstractNum w:abstractNumId="2" w15:restartNumberingAfterBreak="0">
    <w:nsid w:val="49115C52"/>
    <w:multiLevelType w:val="hybridMultilevel"/>
    <w:tmpl w:val="9BD81D10"/>
    <w:numStyleLink w:val="Numbered"/>
  </w:abstractNum>
  <w:abstractNum w:abstractNumId="3" w15:restartNumberingAfterBreak="0">
    <w:nsid w:val="60E16699"/>
    <w:multiLevelType w:val="hybridMultilevel"/>
    <w:tmpl w:val="9BD81D10"/>
    <w:styleLink w:val="Numbered"/>
    <w:lvl w:ilvl="0" w:tplc="5B22AD82">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EC7A912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6604E4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D92E7B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FE2A9F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A20CD3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43EE32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B94CEF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4D6CCC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64416595">
    <w:abstractNumId w:val="3"/>
  </w:num>
  <w:num w:numId="2" w16cid:durableId="1382366778">
    <w:abstractNumId w:val="2"/>
  </w:num>
  <w:num w:numId="3" w16cid:durableId="2110079534">
    <w:abstractNumId w:val="0"/>
  </w:num>
  <w:num w:numId="4" w16cid:durableId="50864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03"/>
    <w:rsid w:val="000A13B8"/>
    <w:rsid w:val="000D46B6"/>
    <w:rsid w:val="001024D1"/>
    <w:rsid w:val="00185790"/>
    <w:rsid w:val="001D4EF5"/>
    <w:rsid w:val="001E0959"/>
    <w:rsid w:val="00250303"/>
    <w:rsid w:val="002E6F08"/>
    <w:rsid w:val="00416EE0"/>
    <w:rsid w:val="00452189"/>
    <w:rsid w:val="0045384C"/>
    <w:rsid w:val="00477093"/>
    <w:rsid w:val="004A41EC"/>
    <w:rsid w:val="004A79F3"/>
    <w:rsid w:val="004B6C61"/>
    <w:rsid w:val="00514AE1"/>
    <w:rsid w:val="005C2ED3"/>
    <w:rsid w:val="005D2224"/>
    <w:rsid w:val="0073756D"/>
    <w:rsid w:val="00737F07"/>
    <w:rsid w:val="00856656"/>
    <w:rsid w:val="0093430C"/>
    <w:rsid w:val="009542D0"/>
    <w:rsid w:val="00A2426E"/>
    <w:rsid w:val="00A8503B"/>
    <w:rsid w:val="00AF2CAC"/>
    <w:rsid w:val="00B24C2E"/>
    <w:rsid w:val="00BD54F7"/>
    <w:rsid w:val="00C24697"/>
    <w:rsid w:val="00C74022"/>
    <w:rsid w:val="00D427B8"/>
    <w:rsid w:val="00DA431B"/>
    <w:rsid w:val="00E2369B"/>
    <w:rsid w:val="00F54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ED692"/>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lang w:val="en-US"/>
    </w:rPr>
  </w:style>
  <w:style w:type="paragraph" w:styleId="Title">
    <w:name w:val="Title"/>
    <w:uiPriority w:val="10"/>
    <w:qFormat/>
    <w:pPr>
      <w:spacing w:after="360"/>
      <w:jc w:val="right"/>
    </w:pPr>
    <w:rPr>
      <w:rFonts w:ascii="Helvetica" w:eastAsia="Helvetica" w:hAnsi="Helvetica" w:cs="Helvetica"/>
      <w:b/>
      <w:bCs/>
      <w:color w:val="000000"/>
      <w:kern w:val="28"/>
      <w:sz w:val="36"/>
      <w:szCs w:val="36"/>
      <w:u w:color="000000"/>
      <w:lang w:val="en-US"/>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lang w:val="en-US"/>
    </w:rPr>
  </w:style>
  <w:style w:type="paragraph" w:customStyle="1" w:styleId="Body">
    <w:name w:val="Body"/>
    <w:rPr>
      <w:rFonts w:ascii="Helvetica" w:hAnsi="Helvetica" w:cs="Arial Unicode MS"/>
      <w:color w:val="000000"/>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Affiliation">
    <w:name w:val="Affiliation"/>
    <w:pPr>
      <w:spacing w:after="240" w:line="240" w:lineRule="exact"/>
      <w:jc w:val="right"/>
    </w:pPr>
    <w:rPr>
      <w:rFonts w:ascii="Helvetica" w:eastAsia="Helvetica" w:hAnsi="Helvetica" w:cs="Helvetica"/>
      <w:color w:val="000000"/>
      <w:u w:color="000000"/>
      <w:lang w:val="en-US"/>
    </w:rPr>
  </w:style>
  <w:style w:type="paragraph" w:customStyle="1" w:styleId="Copyright">
    <w:name w:val="Copyright"/>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pPr>
      <w:keepNext/>
      <w:spacing w:after="240"/>
    </w:pPr>
    <w:rPr>
      <w:rFonts w:ascii="Helvetica" w:eastAsia="Helvetica" w:hAnsi="Helvetica" w:cs="Helvetica"/>
      <w:b/>
      <w:bCs/>
      <w:caps/>
      <w:color w:val="000000"/>
      <w:sz w:val="22"/>
      <w:szCs w:val="22"/>
      <w:u w:color="000000"/>
      <w:lang w:val="en-US"/>
    </w:rPr>
  </w:style>
  <w:style w:type="paragraph" w:customStyle="1" w:styleId="BodyA">
    <w:name w:val="Body A"/>
    <w:pPr>
      <w:spacing w:after="240"/>
      <w:jc w:val="both"/>
    </w:pPr>
    <w:rPr>
      <w:rFonts w:ascii="Helvetica" w:eastAsia="Helvetica" w:hAnsi="Helvetica" w:cs="Helvetica"/>
      <w:color w:val="000000"/>
      <w:u w:color="000000"/>
      <w:lang w:val="en-US"/>
      <w14:textOutline w14:w="0" w14:cap="flat" w14:cmpd="sng" w14:algn="ctr">
        <w14:noFill/>
        <w14:prstDash w14:val="solid"/>
        <w14:bevel/>
      </w14:textOutline>
    </w:rPr>
  </w:style>
  <w:style w:type="paragraph" w:customStyle="1" w:styleId="Head1">
    <w:name w:val="Head1"/>
    <w:pPr>
      <w:keepNext/>
      <w:spacing w:after="240"/>
    </w:pPr>
    <w:rPr>
      <w:rFonts w:ascii="Helvetica" w:hAnsi="Helvetica" w:cs="Arial Unicode MS"/>
      <w:b/>
      <w:bCs/>
      <w:caps/>
      <w:color w:val="000000"/>
      <w:sz w:val="22"/>
      <w:szCs w:val="22"/>
      <w:u w:color="000000"/>
      <w:lang w:val="en-US"/>
    </w:rPr>
  </w:style>
  <w:style w:type="paragraph" w:customStyle="1" w:styleId="ConcHead">
    <w:name w:val="Conc Head"/>
    <w:pPr>
      <w:keepNext/>
      <w:spacing w:after="240"/>
    </w:pPr>
    <w:rPr>
      <w:rFonts w:ascii="Helvetica" w:hAnsi="Helvetica" w:cs="Arial Unicode MS"/>
      <w:b/>
      <w:bCs/>
      <w:caps/>
      <w:color w:val="000000"/>
      <w:sz w:val="22"/>
      <w:szCs w:val="22"/>
      <w:u w:color="000000"/>
      <w:lang w:val="en-US"/>
    </w:rPr>
  </w:style>
  <w:style w:type="paragraph" w:customStyle="1" w:styleId="AcknHead">
    <w:name w:val="Ackn Head"/>
    <w:pPr>
      <w:keepNext/>
      <w:spacing w:after="240"/>
    </w:pPr>
    <w:rPr>
      <w:rFonts w:ascii="Helvetica" w:eastAsia="Helvetica" w:hAnsi="Helvetica" w:cs="Helvetica"/>
      <w:b/>
      <w:bCs/>
      <w:caps/>
      <w:color w:val="000000"/>
      <w:sz w:val="22"/>
      <w:szCs w:val="22"/>
      <w:u w:color="000000"/>
      <w:lang w:val="en-US"/>
    </w:rPr>
  </w:style>
  <w:style w:type="paragraph" w:customStyle="1" w:styleId="ReferHead">
    <w:name w:val="Refer Head"/>
    <w:pPr>
      <w:keepNext/>
      <w:spacing w:after="240"/>
    </w:pPr>
    <w:rPr>
      <w:rFonts w:ascii="Helvetica" w:hAnsi="Helvetica" w:cs="Arial Unicode MS"/>
      <w:b/>
      <w:bCs/>
      <w:caps/>
      <w:color w:val="000000"/>
      <w:sz w:val="22"/>
      <w:szCs w:val="22"/>
      <w:u w:color="000000"/>
      <w:lang w:val="en-US"/>
    </w:rPr>
  </w:style>
  <w:style w:type="numbering" w:customStyle="1" w:styleId="Numbered0">
    <w:name w:val="Numbered.0"/>
    <w:pPr>
      <w:numPr>
        <w:numId w:val="3"/>
      </w:numPr>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OGHENEKPAROBOR ELIJAH</cp:lastModifiedBy>
  <cp:revision>19</cp:revision>
  <dcterms:created xsi:type="dcterms:W3CDTF">2025-08-16T04:27:00Z</dcterms:created>
  <dcterms:modified xsi:type="dcterms:W3CDTF">2025-08-22T12:12:00Z</dcterms:modified>
</cp:coreProperties>
</file>