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886A4" w14:textId="0AB359EF" w:rsidR="00D50CC8" w:rsidRDefault="005E5F73" w:rsidP="001C50BE">
      <w:pPr>
        <w:jc w:val="both"/>
        <w:rPr>
          <w:rFonts w:ascii="Times New Roman" w:hAnsi="Times New Roman" w:cs="Times New Roman"/>
          <w:b/>
          <w:bCs/>
          <w:sz w:val="22"/>
          <w:szCs w:val="22"/>
        </w:rPr>
      </w:pPr>
      <w:r w:rsidRPr="000D05DB">
        <w:rPr>
          <w:rFonts w:ascii="Times New Roman" w:hAnsi="Times New Roman" w:cs="Times New Roman"/>
          <w:b/>
          <w:bCs/>
          <w:sz w:val="22"/>
          <w:szCs w:val="22"/>
        </w:rPr>
        <w:t>The Effectiveness of Diabetes Management Methods in Africa: A Systematic Review</w:t>
      </w:r>
    </w:p>
    <w:p w14:paraId="1A214C54" w14:textId="77777777" w:rsidR="00716F6D" w:rsidRPr="000D05DB" w:rsidRDefault="00716F6D" w:rsidP="001C50BE">
      <w:pPr>
        <w:jc w:val="both"/>
        <w:rPr>
          <w:rFonts w:ascii="Times New Roman" w:hAnsi="Times New Roman" w:cs="Times New Roman"/>
          <w:b/>
          <w:bCs/>
          <w:sz w:val="22"/>
          <w:szCs w:val="22"/>
        </w:rPr>
      </w:pPr>
    </w:p>
    <w:p w14:paraId="61AF47F8" w14:textId="77777777" w:rsidR="005029BF" w:rsidRPr="000D05DB" w:rsidRDefault="005029BF" w:rsidP="001C50BE">
      <w:pPr>
        <w:jc w:val="both"/>
        <w:rPr>
          <w:rFonts w:ascii="Times New Roman" w:hAnsi="Times New Roman" w:cs="Times New Roman"/>
          <w:sz w:val="22"/>
          <w:szCs w:val="22"/>
        </w:rPr>
      </w:pPr>
      <w:bookmarkStart w:id="0" w:name="_Toc145762994"/>
      <w:bookmarkStart w:id="1" w:name="_Toc145790014"/>
      <w:bookmarkStart w:id="2" w:name="_Toc154152564"/>
    </w:p>
    <w:p w14:paraId="5DECD1C6" w14:textId="0299CF38" w:rsidR="005029BF" w:rsidRPr="000D05DB" w:rsidRDefault="005029BF" w:rsidP="001C50BE">
      <w:pPr>
        <w:jc w:val="both"/>
        <w:rPr>
          <w:rFonts w:ascii="Times New Roman" w:hAnsi="Times New Roman" w:cs="Times New Roman"/>
          <w:b/>
          <w:bCs/>
          <w:sz w:val="22"/>
          <w:szCs w:val="22"/>
          <w:lang w:val="en-GB" w:eastAsia="en-GB"/>
        </w:rPr>
      </w:pPr>
      <w:r w:rsidRPr="000D05DB">
        <w:rPr>
          <w:rFonts w:ascii="Times New Roman" w:hAnsi="Times New Roman" w:cs="Times New Roman"/>
          <w:b/>
          <w:bCs/>
          <w:sz w:val="22"/>
          <w:szCs w:val="22"/>
        </w:rPr>
        <w:t>ABSTRACT</w:t>
      </w:r>
      <w:bookmarkEnd w:id="0"/>
      <w:bookmarkEnd w:id="1"/>
      <w:bookmarkEnd w:id="2"/>
    </w:p>
    <w:p w14:paraId="7A18FB3E" w14:textId="7E74D88E" w:rsidR="005029BF" w:rsidRPr="00B7432E" w:rsidRDefault="005029BF" w:rsidP="001C50BE">
      <w:pPr>
        <w:spacing w:line="24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A chronic illness that has spread like an epidemic around the world is diabetes mellitus. It has also grown to be a significant public health issue in Africa, a continent beset by underdeveloped healthcare systems that are unable to manage the combined consequences of infectious and chronic diseases. This study aimed to explore the effectiveness of public health programs targeted towards controlling and reducing the prevalence of diabetes mellitus in Africa. A systematic review approach was used for the study. For pertinent keywords that encapsulate ideas related to "Diabetes," "Intervention," and "Africa," searches were conducted across four scientific databases: PubMed, </w:t>
      </w:r>
      <w:r w:rsidRPr="00B7432E">
        <w:rPr>
          <w:rFonts w:ascii="Times New Roman" w:eastAsia="Arial" w:hAnsi="Times New Roman" w:cs="Times New Roman"/>
          <w:sz w:val="22"/>
          <w:szCs w:val="22"/>
          <w:highlight w:val="yellow"/>
        </w:rPr>
        <w:t xml:space="preserve">Cochrane, </w:t>
      </w:r>
      <w:r w:rsidR="005E5F73" w:rsidRPr="00B7432E">
        <w:rPr>
          <w:rFonts w:ascii="Times New Roman" w:eastAsia="Arial" w:hAnsi="Times New Roman" w:cs="Times New Roman"/>
          <w:sz w:val="22"/>
          <w:szCs w:val="22"/>
          <w:highlight w:val="yellow"/>
        </w:rPr>
        <w:t>CINAHL</w:t>
      </w:r>
      <w:r w:rsidRPr="00B7432E">
        <w:rPr>
          <w:rFonts w:ascii="Times New Roman" w:eastAsia="Arial" w:hAnsi="Times New Roman" w:cs="Times New Roman"/>
          <w:sz w:val="22"/>
          <w:szCs w:val="22"/>
          <w:highlight w:val="yellow"/>
        </w:rPr>
        <w:t xml:space="preserve">, </w:t>
      </w:r>
      <w:r w:rsidRPr="000D05DB">
        <w:rPr>
          <w:rFonts w:ascii="Times New Roman" w:eastAsia="Arial" w:hAnsi="Times New Roman" w:cs="Times New Roman"/>
          <w:sz w:val="22"/>
          <w:szCs w:val="22"/>
        </w:rPr>
        <w:t xml:space="preserve">and Web of Science between January 2023 and October 2023. COVIDENCE was used to combine resources from several databases, and then deduplication and screening were carried out. </w:t>
      </w:r>
      <w:r w:rsidR="005E5F73" w:rsidRPr="00B7432E">
        <w:rPr>
          <w:rFonts w:ascii="Times New Roman" w:hAnsi="Times New Roman" w:cs="Times New Roman"/>
          <w:sz w:val="22"/>
          <w:szCs w:val="22"/>
          <w:highlight w:val="yellow"/>
        </w:rPr>
        <w:t>Following a full text screening procedure, 13 papers were selected from the remaining 92 articles.  An extra search of references produced two (2) more articles.</w:t>
      </w:r>
      <w:r w:rsidR="005E5F73" w:rsidRPr="000D05DB">
        <w:rPr>
          <w:rFonts w:ascii="Times New Roman" w:hAnsi="Times New Roman" w:cs="Times New Roman"/>
          <w:sz w:val="22"/>
          <w:szCs w:val="22"/>
        </w:rPr>
        <w:t xml:space="preserve"> </w:t>
      </w:r>
      <w:r w:rsidRPr="000D05DB">
        <w:rPr>
          <w:rFonts w:ascii="Times New Roman" w:eastAsia="Arial" w:hAnsi="Times New Roman" w:cs="Times New Roman"/>
          <w:sz w:val="22"/>
          <w:szCs w:val="22"/>
        </w:rPr>
        <w:t xml:space="preserve">A total of </w:t>
      </w:r>
      <w:r w:rsidRPr="00B7432E">
        <w:rPr>
          <w:rFonts w:ascii="Times New Roman" w:eastAsia="Arial" w:hAnsi="Times New Roman" w:cs="Times New Roman"/>
          <w:sz w:val="22"/>
          <w:szCs w:val="22"/>
          <w:highlight w:val="yellow"/>
        </w:rPr>
        <w:t xml:space="preserve">fifteen </w:t>
      </w:r>
      <w:r w:rsidR="00912E91" w:rsidRPr="00B7432E">
        <w:rPr>
          <w:rFonts w:ascii="Times New Roman" w:eastAsia="Arial" w:hAnsi="Times New Roman" w:cs="Times New Roman"/>
          <w:sz w:val="22"/>
          <w:szCs w:val="22"/>
          <w:highlight w:val="yellow"/>
        </w:rPr>
        <w:t xml:space="preserve">(15) </w:t>
      </w:r>
      <w:r w:rsidRPr="00B7432E">
        <w:rPr>
          <w:rFonts w:ascii="Times New Roman" w:eastAsia="Arial" w:hAnsi="Times New Roman" w:cs="Times New Roman"/>
          <w:sz w:val="22"/>
          <w:szCs w:val="22"/>
          <w:highlight w:val="yellow"/>
        </w:rPr>
        <w:t>papers</w:t>
      </w:r>
      <w:r w:rsidRPr="000D05DB">
        <w:rPr>
          <w:rFonts w:ascii="Times New Roman" w:eastAsia="Arial" w:hAnsi="Times New Roman" w:cs="Times New Roman"/>
          <w:sz w:val="22"/>
          <w:szCs w:val="22"/>
        </w:rPr>
        <w:t xml:space="preserve"> met the inclusion criteria. The review's conclusions showed that couple-focused person-based interventions, hospital-based patient education programs, community-based patient education programs, mobile communication/ICT-based patient education programs, and nutritional education programs are the most often </w:t>
      </w:r>
      <w:r w:rsidR="005E5F73" w:rsidRPr="00B7432E">
        <w:rPr>
          <w:rFonts w:ascii="Times New Roman" w:eastAsia="Arial" w:hAnsi="Times New Roman" w:cs="Times New Roman"/>
          <w:sz w:val="22"/>
          <w:szCs w:val="22"/>
          <w:highlight w:val="yellow"/>
        </w:rPr>
        <w:t xml:space="preserve">utilised </w:t>
      </w:r>
      <w:r w:rsidRPr="00B7432E">
        <w:rPr>
          <w:rFonts w:ascii="Times New Roman" w:eastAsia="Arial" w:hAnsi="Times New Roman" w:cs="Times New Roman"/>
          <w:sz w:val="22"/>
          <w:szCs w:val="22"/>
          <w:highlight w:val="yellow"/>
        </w:rPr>
        <w:t xml:space="preserve">diabetes </w:t>
      </w:r>
      <w:r w:rsidRPr="000D05DB">
        <w:rPr>
          <w:rFonts w:ascii="Times New Roman" w:eastAsia="Arial" w:hAnsi="Times New Roman" w:cs="Times New Roman"/>
          <w:sz w:val="22"/>
          <w:szCs w:val="22"/>
        </w:rPr>
        <w:t>management interventions in Africa. The results of this analysis demonstrated that despite significant obstacles and difficulties, these interventions have been successful in helping persons with diabetes achieve glycemic control and boost their sense of self-efficacy. Socioeconomic position, cultural sensitivity, and limited access to technology are a few of the issues noted.</w:t>
      </w:r>
      <w:r w:rsidRPr="000D05DB">
        <w:rPr>
          <w:rFonts w:ascii="Times New Roman" w:eastAsia="Arial" w:hAnsi="Times New Roman" w:cs="Times New Roman"/>
          <w:b/>
          <w:sz w:val="22"/>
          <w:szCs w:val="22"/>
        </w:rPr>
        <w:t xml:space="preserve"> </w:t>
      </w:r>
      <w:r w:rsidRPr="000D05DB">
        <w:rPr>
          <w:rFonts w:ascii="Times New Roman" w:eastAsia="Arial" w:hAnsi="Times New Roman" w:cs="Times New Roman"/>
          <w:sz w:val="22"/>
          <w:szCs w:val="22"/>
        </w:rPr>
        <w:t xml:space="preserve">Despite the fact that these interventions were successful in controlling diabetes, it is still necessary to increase access to intervention programs by focusing on the communities </w:t>
      </w:r>
      <w:r w:rsidR="005E5F73" w:rsidRPr="00B7432E">
        <w:rPr>
          <w:rFonts w:ascii="Times New Roman" w:eastAsia="Arial" w:hAnsi="Times New Roman" w:cs="Times New Roman"/>
          <w:sz w:val="22"/>
          <w:szCs w:val="22"/>
          <w:highlight w:val="yellow"/>
        </w:rPr>
        <w:t xml:space="preserve">that </w:t>
      </w:r>
      <w:r w:rsidRPr="00B7432E">
        <w:rPr>
          <w:rFonts w:ascii="Times New Roman" w:eastAsia="Arial" w:hAnsi="Times New Roman" w:cs="Times New Roman"/>
          <w:sz w:val="22"/>
          <w:szCs w:val="22"/>
          <w:highlight w:val="yellow"/>
        </w:rPr>
        <w:t xml:space="preserve">are most </w:t>
      </w:r>
      <w:r w:rsidRPr="000D05DB">
        <w:rPr>
          <w:rFonts w:ascii="Times New Roman" w:eastAsia="Arial" w:hAnsi="Times New Roman" w:cs="Times New Roman"/>
          <w:sz w:val="22"/>
          <w:szCs w:val="22"/>
        </w:rPr>
        <w:t>disadvantaged. Additionally, the nation's technological disparity must be closed by making sufficient infrastructural investments. To ensure effectiveness, the cultural dynamics of individual communication must also be taken into account while creating an intervention.</w:t>
      </w:r>
    </w:p>
    <w:p w14:paraId="7ED72316" w14:textId="10159AF8" w:rsidR="005029BF" w:rsidRPr="000D05DB" w:rsidRDefault="005029BF" w:rsidP="001C50BE">
      <w:pPr>
        <w:jc w:val="both"/>
        <w:rPr>
          <w:rFonts w:ascii="Times New Roman" w:hAnsi="Times New Roman" w:cs="Times New Roman"/>
          <w:i/>
          <w:iCs/>
          <w:sz w:val="22"/>
          <w:szCs w:val="22"/>
        </w:rPr>
      </w:pPr>
      <w:r w:rsidRPr="000D05DB">
        <w:rPr>
          <w:rFonts w:ascii="Times New Roman" w:hAnsi="Times New Roman" w:cs="Times New Roman"/>
          <w:b/>
          <w:bCs/>
          <w:sz w:val="22"/>
          <w:szCs w:val="22"/>
        </w:rPr>
        <w:t xml:space="preserve">Keywords: </w:t>
      </w:r>
      <w:r w:rsidR="00751BE8" w:rsidRPr="000D05DB">
        <w:rPr>
          <w:rFonts w:ascii="Times New Roman" w:hAnsi="Times New Roman" w:cs="Times New Roman"/>
          <w:i/>
          <w:iCs/>
          <w:sz w:val="22"/>
          <w:szCs w:val="22"/>
        </w:rPr>
        <w:t xml:space="preserve">Africa, </w:t>
      </w:r>
      <w:r w:rsidR="00221DAB" w:rsidRPr="000D05DB">
        <w:rPr>
          <w:rFonts w:ascii="Times New Roman" w:hAnsi="Times New Roman" w:cs="Times New Roman"/>
          <w:i/>
          <w:iCs/>
          <w:sz w:val="22"/>
          <w:szCs w:val="22"/>
        </w:rPr>
        <w:t>d</w:t>
      </w:r>
      <w:r w:rsidR="00751BE8" w:rsidRPr="000D05DB">
        <w:rPr>
          <w:rFonts w:ascii="Times New Roman" w:hAnsi="Times New Roman" w:cs="Times New Roman"/>
          <w:i/>
          <w:iCs/>
          <w:sz w:val="22"/>
          <w:szCs w:val="22"/>
        </w:rPr>
        <w:t>iabetes management, d</w:t>
      </w:r>
      <w:r w:rsidRPr="000D05DB">
        <w:rPr>
          <w:rFonts w:ascii="Times New Roman" w:hAnsi="Times New Roman" w:cs="Times New Roman"/>
          <w:i/>
          <w:iCs/>
          <w:sz w:val="22"/>
          <w:szCs w:val="22"/>
        </w:rPr>
        <w:t xml:space="preserve">iabetes mellitus, </w:t>
      </w:r>
      <w:r w:rsidR="00751BE8" w:rsidRPr="000D05DB">
        <w:rPr>
          <w:rFonts w:ascii="Times New Roman" w:hAnsi="Times New Roman" w:cs="Times New Roman"/>
          <w:i/>
          <w:iCs/>
          <w:sz w:val="22"/>
          <w:szCs w:val="22"/>
        </w:rPr>
        <w:t>public health</w:t>
      </w:r>
      <w:r w:rsidR="00221DAB" w:rsidRPr="000D05DB">
        <w:rPr>
          <w:rFonts w:ascii="Times New Roman" w:hAnsi="Times New Roman" w:cs="Times New Roman"/>
          <w:i/>
          <w:iCs/>
          <w:sz w:val="22"/>
          <w:szCs w:val="22"/>
        </w:rPr>
        <w:t>.</w:t>
      </w:r>
    </w:p>
    <w:p w14:paraId="5ECF6D87" w14:textId="77777777" w:rsidR="00221DAB" w:rsidRPr="000D05DB" w:rsidRDefault="00221DAB" w:rsidP="001C50BE">
      <w:pPr>
        <w:jc w:val="both"/>
        <w:rPr>
          <w:rFonts w:ascii="Times New Roman" w:hAnsi="Times New Roman" w:cs="Times New Roman"/>
          <w:i/>
          <w:iCs/>
          <w:sz w:val="22"/>
          <w:szCs w:val="22"/>
        </w:rPr>
      </w:pPr>
    </w:p>
    <w:p w14:paraId="2D1553CB" w14:textId="77777777" w:rsidR="001C50BE" w:rsidRPr="000D05DB" w:rsidRDefault="001C50BE" w:rsidP="001C50BE">
      <w:pPr>
        <w:jc w:val="both"/>
        <w:rPr>
          <w:rFonts w:ascii="Times New Roman" w:hAnsi="Times New Roman" w:cs="Times New Roman"/>
          <w:i/>
          <w:iCs/>
          <w:sz w:val="22"/>
          <w:szCs w:val="22"/>
        </w:rPr>
      </w:pPr>
    </w:p>
    <w:p w14:paraId="7616140F" w14:textId="77777777" w:rsidR="001C50BE" w:rsidRPr="000D05DB" w:rsidRDefault="001C50BE" w:rsidP="001C50BE">
      <w:pPr>
        <w:jc w:val="both"/>
        <w:rPr>
          <w:rFonts w:ascii="Times New Roman" w:hAnsi="Times New Roman" w:cs="Times New Roman"/>
          <w:i/>
          <w:iCs/>
          <w:sz w:val="22"/>
          <w:szCs w:val="22"/>
        </w:rPr>
      </w:pPr>
    </w:p>
    <w:p w14:paraId="2265B7F4" w14:textId="77777777" w:rsidR="001C50BE" w:rsidRPr="000D05DB" w:rsidRDefault="001C50BE" w:rsidP="001C50BE">
      <w:pPr>
        <w:jc w:val="both"/>
        <w:rPr>
          <w:rFonts w:ascii="Times New Roman" w:hAnsi="Times New Roman" w:cs="Times New Roman"/>
          <w:i/>
          <w:iCs/>
          <w:sz w:val="22"/>
          <w:szCs w:val="22"/>
        </w:rPr>
      </w:pPr>
    </w:p>
    <w:p w14:paraId="7085025E" w14:textId="54E97D44" w:rsidR="001C50BE" w:rsidRDefault="001C50BE" w:rsidP="001C50BE">
      <w:pPr>
        <w:jc w:val="both"/>
        <w:rPr>
          <w:rFonts w:ascii="Times New Roman" w:hAnsi="Times New Roman" w:cs="Times New Roman"/>
          <w:i/>
          <w:iCs/>
          <w:sz w:val="22"/>
          <w:szCs w:val="22"/>
        </w:rPr>
      </w:pPr>
    </w:p>
    <w:p w14:paraId="1C7786A7" w14:textId="466D1746" w:rsidR="00DA4E43" w:rsidRDefault="00DA4E43" w:rsidP="001C50BE">
      <w:pPr>
        <w:jc w:val="both"/>
        <w:rPr>
          <w:rFonts w:ascii="Times New Roman" w:hAnsi="Times New Roman" w:cs="Times New Roman"/>
          <w:i/>
          <w:iCs/>
          <w:sz w:val="22"/>
          <w:szCs w:val="22"/>
        </w:rPr>
      </w:pPr>
    </w:p>
    <w:p w14:paraId="6222A5D4" w14:textId="6640A834" w:rsidR="00DA4E43" w:rsidRDefault="00DA4E43" w:rsidP="001C50BE">
      <w:pPr>
        <w:jc w:val="both"/>
        <w:rPr>
          <w:rFonts w:ascii="Times New Roman" w:hAnsi="Times New Roman" w:cs="Times New Roman"/>
          <w:i/>
          <w:iCs/>
          <w:sz w:val="22"/>
          <w:szCs w:val="22"/>
        </w:rPr>
      </w:pPr>
    </w:p>
    <w:p w14:paraId="5981CC33" w14:textId="63839D49" w:rsidR="00DA4E43" w:rsidRDefault="00DA4E43" w:rsidP="001C50BE">
      <w:pPr>
        <w:jc w:val="both"/>
        <w:rPr>
          <w:rFonts w:ascii="Times New Roman" w:hAnsi="Times New Roman" w:cs="Times New Roman"/>
          <w:i/>
          <w:iCs/>
          <w:sz w:val="22"/>
          <w:szCs w:val="22"/>
        </w:rPr>
      </w:pPr>
    </w:p>
    <w:p w14:paraId="4B35F4C7" w14:textId="77777777" w:rsidR="00DA4E43" w:rsidRPr="000D05DB" w:rsidRDefault="00DA4E43" w:rsidP="001C50BE">
      <w:pPr>
        <w:jc w:val="both"/>
        <w:rPr>
          <w:rFonts w:ascii="Times New Roman" w:hAnsi="Times New Roman" w:cs="Times New Roman"/>
          <w:i/>
          <w:iCs/>
          <w:sz w:val="22"/>
          <w:szCs w:val="22"/>
        </w:rPr>
      </w:pPr>
    </w:p>
    <w:p w14:paraId="0066124F" w14:textId="77777777" w:rsidR="001C50BE" w:rsidRDefault="001C50BE" w:rsidP="001C50BE">
      <w:pPr>
        <w:jc w:val="both"/>
        <w:rPr>
          <w:rFonts w:ascii="Times New Roman" w:hAnsi="Times New Roman" w:cs="Times New Roman"/>
          <w:i/>
          <w:iCs/>
          <w:sz w:val="22"/>
          <w:szCs w:val="22"/>
        </w:rPr>
      </w:pPr>
    </w:p>
    <w:p w14:paraId="469766A9" w14:textId="77777777" w:rsidR="000D05DB" w:rsidRDefault="000D05DB" w:rsidP="001C50BE">
      <w:pPr>
        <w:jc w:val="both"/>
        <w:rPr>
          <w:rFonts w:ascii="Times New Roman" w:hAnsi="Times New Roman" w:cs="Times New Roman"/>
          <w:i/>
          <w:iCs/>
          <w:sz w:val="22"/>
          <w:szCs w:val="22"/>
        </w:rPr>
      </w:pPr>
    </w:p>
    <w:p w14:paraId="09121941" w14:textId="77777777" w:rsidR="00483E5B" w:rsidRPr="000D05DB" w:rsidRDefault="00483E5B" w:rsidP="001C50BE">
      <w:pPr>
        <w:jc w:val="both"/>
        <w:rPr>
          <w:rFonts w:ascii="Times New Roman" w:hAnsi="Times New Roman" w:cs="Times New Roman"/>
          <w:i/>
          <w:iCs/>
          <w:sz w:val="22"/>
          <w:szCs w:val="22"/>
        </w:rPr>
      </w:pPr>
    </w:p>
    <w:p w14:paraId="18F74FFF" w14:textId="565C792B" w:rsidR="00221DAB" w:rsidRPr="000D05DB" w:rsidRDefault="001C50BE" w:rsidP="001C50BE">
      <w:pPr>
        <w:jc w:val="both"/>
        <w:rPr>
          <w:rFonts w:ascii="Times New Roman" w:hAnsi="Times New Roman" w:cs="Times New Roman"/>
          <w:b/>
          <w:bCs/>
          <w:sz w:val="22"/>
          <w:szCs w:val="22"/>
        </w:rPr>
      </w:pPr>
      <w:r w:rsidRPr="000D05DB">
        <w:rPr>
          <w:rFonts w:ascii="Times New Roman" w:hAnsi="Times New Roman" w:cs="Times New Roman"/>
          <w:b/>
          <w:bCs/>
          <w:sz w:val="22"/>
          <w:szCs w:val="22"/>
        </w:rPr>
        <w:t>Introduction</w:t>
      </w:r>
    </w:p>
    <w:p w14:paraId="62C4A248" w14:textId="63A4BD04" w:rsidR="00221DAB" w:rsidRPr="000D05DB" w:rsidRDefault="00221DAB"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One of the most prevalent </w:t>
      </w:r>
      <w:r w:rsidR="005E5F73" w:rsidRPr="00B7432E">
        <w:rPr>
          <w:rFonts w:ascii="Times New Roman" w:hAnsi="Times New Roman" w:cs="Times New Roman"/>
          <w:sz w:val="22"/>
          <w:szCs w:val="22"/>
          <w:highlight w:val="yellow"/>
        </w:rPr>
        <w:t>non-communicable</w:t>
      </w:r>
      <w:r w:rsidRPr="000D05DB">
        <w:rPr>
          <w:rFonts w:ascii="Times New Roman" w:hAnsi="Times New Roman" w:cs="Times New Roman"/>
          <w:sz w:val="22"/>
          <w:szCs w:val="22"/>
        </w:rPr>
        <w:t xml:space="preserve"> diseases that has reached epidemic proportions globally is diabetes, which has overwhelmed the healthcare system worldwide (Mirahmadizadeh et al., 2023). Studies based on projections from 2019 have reported that 1.1 million children and 463 million adults (aged 20 to 79) are estimated to have diabetes globally, and this number is projected to rise to 700 million by 2045 (Mirahmadizadeh et al., 2023). Individuals with type 2 diabetes mellitus (T2DM) require ongoing medical treatment to avoid micro- and macro-vascular problems, as is the case with many chronic disorders (Mirahmadizadeh et al., 2019). </w:t>
      </w:r>
    </w:p>
    <w:p w14:paraId="2C928A49" w14:textId="41F41EFD" w:rsidR="00221DAB" w:rsidRPr="000D05DB" w:rsidRDefault="00202371" w:rsidP="000D05DB">
      <w:pPr>
        <w:spacing w:line="360" w:lineRule="auto"/>
        <w:jc w:val="both"/>
        <w:rPr>
          <w:rFonts w:ascii="Times New Roman" w:hAnsi="Times New Roman" w:cs="Times New Roman"/>
          <w:sz w:val="22"/>
          <w:szCs w:val="22"/>
        </w:rPr>
      </w:pPr>
      <w:r w:rsidRPr="00B7432E">
        <w:rPr>
          <w:rFonts w:ascii="Times New Roman" w:hAnsi="Times New Roman" w:cs="Times New Roman"/>
          <w:sz w:val="22"/>
          <w:szCs w:val="22"/>
          <w:highlight w:val="yellow"/>
        </w:rPr>
        <w:t xml:space="preserve">Obesity, central adiposity and body mass index (BMI) play a pivotal role in the pathophysiology of T2DM, a chronic metabolic disease characterised by hyperglycaemia and associated with insulin resistance and/or </w:t>
      </w:r>
      <w:r>
        <w:rPr>
          <w:rFonts w:ascii="Times New Roman" w:hAnsi="Times New Roman" w:cs="Times New Roman"/>
          <w:sz w:val="22"/>
          <w:szCs w:val="22"/>
          <w:highlight w:val="yellow"/>
        </w:rPr>
        <w:t>insufficient</w:t>
      </w:r>
      <w:r w:rsidRPr="00B7432E">
        <w:rPr>
          <w:rFonts w:ascii="Times New Roman" w:hAnsi="Times New Roman" w:cs="Times New Roman"/>
          <w:sz w:val="22"/>
          <w:szCs w:val="22"/>
          <w:highlight w:val="yellow"/>
        </w:rPr>
        <w:t xml:space="preserve"> pancreatic insulin production</w:t>
      </w:r>
      <w:r w:rsidRPr="00B7432E">
        <w:rPr>
          <w:rFonts w:ascii="Times New Roman" w:hAnsi="Times New Roman" w:cs="Times New Roman"/>
          <w:sz w:val="22"/>
          <w:szCs w:val="22"/>
          <w:highlight w:val="yellow"/>
        </w:rPr>
        <w:t xml:space="preserve"> (</w:t>
      </w:r>
      <w:r w:rsidR="00361BA8" w:rsidRPr="00361BA8">
        <w:rPr>
          <w:rFonts w:ascii="Times New Roman" w:eastAsia="Arial" w:hAnsi="Times New Roman" w:cs="Times New Roman"/>
          <w:sz w:val="22"/>
          <w:szCs w:val="22"/>
          <w:highlight w:val="yellow"/>
        </w:rPr>
        <w:t>Cunningham</w:t>
      </w:r>
      <w:r w:rsidR="00361BA8" w:rsidRPr="00B7432E">
        <w:rPr>
          <w:rFonts w:ascii="Times New Roman" w:eastAsia="Arial" w:hAnsi="Times New Roman" w:cs="Times New Roman"/>
          <w:sz w:val="22"/>
          <w:szCs w:val="22"/>
          <w:highlight w:val="yellow"/>
        </w:rPr>
        <w:t xml:space="preserve"> et al., 2021; </w:t>
      </w:r>
      <w:r w:rsidR="00EC2E3D" w:rsidRPr="00744CC3">
        <w:rPr>
          <w:rFonts w:ascii="Times New Roman" w:eastAsia="Arial" w:hAnsi="Times New Roman" w:cs="Times New Roman"/>
          <w:sz w:val="22"/>
          <w:szCs w:val="22"/>
          <w:highlight w:val="yellow"/>
        </w:rPr>
        <w:t>Affi</w:t>
      </w:r>
      <w:r w:rsidR="00EC2E3D">
        <w:rPr>
          <w:rFonts w:ascii="Times New Roman" w:eastAsia="Arial" w:hAnsi="Times New Roman" w:cs="Times New Roman"/>
          <w:sz w:val="22"/>
          <w:szCs w:val="22"/>
          <w:highlight w:val="yellow"/>
        </w:rPr>
        <w:t xml:space="preserve"> et al., 2018</w:t>
      </w:r>
      <w:r w:rsidRPr="00B7432E">
        <w:rPr>
          <w:rFonts w:ascii="Times New Roman" w:hAnsi="Times New Roman" w:cs="Times New Roman"/>
          <w:sz w:val="22"/>
          <w:szCs w:val="22"/>
          <w:highlight w:val="yellow"/>
        </w:rPr>
        <w:t>).</w:t>
      </w:r>
      <w:r>
        <w:rPr>
          <w:rFonts w:ascii="Times New Roman" w:hAnsi="Times New Roman" w:cs="Times New Roman"/>
          <w:sz w:val="22"/>
          <w:szCs w:val="22"/>
        </w:rPr>
        <w:t xml:space="preserve"> </w:t>
      </w:r>
      <w:r w:rsidR="00221DAB" w:rsidRPr="000D05DB">
        <w:rPr>
          <w:rFonts w:ascii="Times New Roman" w:hAnsi="Times New Roman" w:cs="Times New Roman"/>
          <w:sz w:val="22"/>
          <w:szCs w:val="22"/>
        </w:rPr>
        <w:t xml:space="preserve">The global obesity epidemic, </w:t>
      </w:r>
      <w:r w:rsidR="005E5F73" w:rsidRPr="00B7432E">
        <w:rPr>
          <w:rFonts w:ascii="Times New Roman" w:hAnsi="Times New Roman" w:cs="Times New Roman"/>
          <w:sz w:val="22"/>
          <w:szCs w:val="22"/>
          <w:highlight w:val="yellow"/>
        </w:rPr>
        <w:t xml:space="preserve">ageing </w:t>
      </w:r>
      <w:r w:rsidR="00221DAB" w:rsidRPr="00B7432E">
        <w:rPr>
          <w:rFonts w:ascii="Times New Roman" w:hAnsi="Times New Roman" w:cs="Times New Roman"/>
          <w:sz w:val="22"/>
          <w:szCs w:val="22"/>
          <w:highlight w:val="yellow"/>
        </w:rPr>
        <w:t>population, and</w:t>
      </w:r>
      <w:r w:rsidR="00221DAB" w:rsidRPr="000D05DB">
        <w:rPr>
          <w:rFonts w:ascii="Times New Roman" w:hAnsi="Times New Roman" w:cs="Times New Roman"/>
          <w:sz w:val="22"/>
          <w:szCs w:val="22"/>
        </w:rPr>
        <w:t xml:space="preserve"> population expansion are all contributing factors to the rise in type 2 diabetes mellitus (T2DM) incidence and prevalence (Karachaliou et al., 2020). The long-term nature of diabetes and its associated macrovascular and microvascular problems makes it an expensive disease that places significant financial strain on both the individuals who have it and the health care systems that serve them, especially in low- and middle-income countries (LMICs) (Karachaliou et al., 2020). When compared to upper-middle income nations (51%) and </w:t>
      </w:r>
      <w:r w:rsidR="001C50BE" w:rsidRPr="000D05DB">
        <w:rPr>
          <w:rFonts w:ascii="Times New Roman" w:hAnsi="Times New Roman" w:cs="Times New Roman"/>
          <w:sz w:val="22"/>
          <w:szCs w:val="22"/>
        </w:rPr>
        <w:t>high-income</w:t>
      </w:r>
      <w:r w:rsidR="00221DAB" w:rsidRPr="000D05DB">
        <w:rPr>
          <w:rFonts w:ascii="Times New Roman" w:hAnsi="Times New Roman" w:cs="Times New Roman"/>
          <w:sz w:val="22"/>
          <w:szCs w:val="22"/>
        </w:rPr>
        <w:t xml:space="preserve"> countries (28%), the prevalence of T2DM is expected to climb to 108% in poor- and middle-income countries, where over 70% of those with the disease currently reside (Karachaliou et al., 2020).</w:t>
      </w:r>
      <w:r w:rsidR="004319CD">
        <w:rPr>
          <w:rFonts w:ascii="Times New Roman" w:hAnsi="Times New Roman" w:cs="Times New Roman"/>
          <w:sz w:val="22"/>
          <w:szCs w:val="22"/>
        </w:rPr>
        <w:t xml:space="preserve"> </w:t>
      </w:r>
      <w:r w:rsidR="004319CD" w:rsidRPr="00B7432E">
        <w:rPr>
          <w:rFonts w:ascii="Times New Roman" w:hAnsi="Times New Roman" w:cs="Times New Roman"/>
          <w:sz w:val="22"/>
          <w:szCs w:val="22"/>
          <w:highlight w:val="yellow"/>
        </w:rPr>
        <w:t>Pharmacotherapy in T2DM typically starts with non-insulin medications, primarily as oral therapeutics, such as metformin, sodium–glucose cotransporter 2 inhibitors (SGLT2i), dipeptidyl peptidase 4 inhibitors and injectable glucagon-like peptide 1 receptor agonists (GLP1RAs)</w:t>
      </w:r>
      <w:r w:rsidR="004319CD">
        <w:rPr>
          <w:rFonts w:ascii="Times New Roman" w:hAnsi="Times New Roman" w:cs="Times New Roman"/>
          <w:sz w:val="22"/>
          <w:szCs w:val="22"/>
          <w:highlight w:val="yellow"/>
        </w:rPr>
        <w:t xml:space="preserve">. </w:t>
      </w:r>
      <w:r w:rsidR="004319CD" w:rsidRPr="004319CD">
        <w:rPr>
          <w:rFonts w:ascii="Times New Roman" w:hAnsi="Times New Roman" w:cs="Times New Roman"/>
          <w:sz w:val="22"/>
          <w:szCs w:val="22"/>
          <w:highlight w:val="yellow"/>
        </w:rPr>
        <w:t xml:space="preserve">These medications are initially </w:t>
      </w:r>
      <w:r w:rsidR="004319CD">
        <w:rPr>
          <w:rFonts w:ascii="Times New Roman" w:hAnsi="Times New Roman" w:cs="Times New Roman"/>
          <w:sz w:val="22"/>
          <w:szCs w:val="22"/>
          <w:highlight w:val="yellow"/>
        </w:rPr>
        <w:t>utilised</w:t>
      </w:r>
      <w:r w:rsidR="004319CD" w:rsidRPr="004319CD">
        <w:rPr>
          <w:rFonts w:ascii="Times New Roman" w:hAnsi="Times New Roman" w:cs="Times New Roman"/>
          <w:sz w:val="22"/>
          <w:szCs w:val="22"/>
          <w:highlight w:val="yellow"/>
        </w:rPr>
        <w:t xml:space="preserve"> as monotherapy</w:t>
      </w:r>
      <w:r w:rsidR="004319CD">
        <w:rPr>
          <w:rFonts w:ascii="Times New Roman" w:hAnsi="Times New Roman" w:cs="Times New Roman"/>
          <w:sz w:val="22"/>
          <w:szCs w:val="22"/>
          <w:highlight w:val="yellow"/>
        </w:rPr>
        <w:t>,</w:t>
      </w:r>
      <w:r w:rsidR="004319CD" w:rsidRPr="004319CD">
        <w:rPr>
          <w:rFonts w:ascii="Times New Roman" w:hAnsi="Times New Roman" w:cs="Times New Roman"/>
          <w:sz w:val="22"/>
          <w:szCs w:val="22"/>
          <w:highlight w:val="yellow"/>
        </w:rPr>
        <w:t xml:space="preserve"> then combination therapies, before moving to basal insulin for daily glucose control and subsequently progressing to multiple daily injections (MDI) if necessary</w:t>
      </w:r>
      <w:r w:rsidR="004319CD">
        <w:rPr>
          <w:rFonts w:ascii="Times New Roman" w:hAnsi="Times New Roman" w:cs="Times New Roman"/>
          <w:sz w:val="22"/>
          <w:szCs w:val="22"/>
          <w:highlight w:val="yellow"/>
        </w:rPr>
        <w:t xml:space="preserve"> (Ajjan et al., 2024)</w:t>
      </w:r>
      <w:r w:rsidR="004319CD" w:rsidRPr="00B7432E">
        <w:rPr>
          <w:rFonts w:ascii="Times New Roman" w:hAnsi="Times New Roman" w:cs="Times New Roman"/>
          <w:sz w:val="22"/>
          <w:szCs w:val="22"/>
          <w:highlight w:val="yellow"/>
        </w:rPr>
        <w:t>.</w:t>
      </w:r>
    </w:p>
    <w:p w14:paraId="0CCFDC1A" w14:textId="04485BE0" w:rsidR="00221DAB" w:rsidRPr="000D05DB" w:rsidRDefault="00221DAB"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In addition to medical treatments catered to each patient's unique social and living circumstances, managing type 2 diabetes involves the consistent availability of medications, laboratory facilities, data gathering instruments, skilled medical personnel, and informed and empowered patients (Correia et al., 2019). Endocrinology specialists, the health care of related subspecialties, the ability to pay for drugs and glucose monitors, and the resources to support diabetes research and public health campaigns are all present in high-income countries, helping to lower the incidence of these diseases (Karachaliou et al., 2020). However, a lot of LMICs face challenges such </w:t>
      </w:r>
      <w:r w:rsidR="005E5F73">
        <w:rPr>
          <w:rFonts w:ascii="Times New Roman" w:hAnsi="Times New Roman" w:cs="Times New Roman"/>
          <w:sz w:val="22"/>
          <w:szCs w:val="22"/>
        </w:rPr>
        <w:t xml:space="preserve">as </w:t>
      </w:r>
      <w:r w:rsidRPr="000D05DB">
        <w:rPr>
          <w:rFonts w:ascii="Times New Roman" w:hAnsi="Times New Roman" w:cs="Times New Roman"/>
          <w:sz w:val="22"/>
          <w:szCs w:val="22"/>
        </w:rPr>
        <w:t>inadequate laboratory facilities, a paucity of endocrinology specialists and clinical staff, and restricted access to diabetes supplies and treatments</w:t>
      </w:r>
      <w:r w:rsidR="005451B1" w:rsidRPr="000D05DB">
        <w:rPr>
          <w:rFonts w:ascii="Times New Roman" w:hAnsi="Times New Roman" w:cs="Times New Roman"/>
          <w:sz w:val="22"/>
          <w:szCs w:val="22"/>
        </w:rPr>
        <w:t xml:space="preserve"> (Shoge et al., 2021)</w:t>
      </w:r>
      <w:r w:rsidRPr="000D05DB">
        <w:rPr>
          <w:rFonts w:ascii="Times New Roman" w:hAnsi="Times New Roman" w:cs="Times New Roman"/>
          <w:sz w:val="22"/>
          <w:szCs w:val="22"/>
        </w:rPr>
        <w:t xml:space="preserve">. The general </w:t>
      </w:r>
      <w:r w:rsidRPr="000D05DB">
        <w:rPr>
          <w:rFonts w:ascii="Times New Roman" w:hAnsi="Times New Roman" w:cs="Times New Roman"/>
          <w:sz w:val="22"/>
          <w:szCs w:val="22"/>
        </w:rPr>
        <w:lastRenderedPageBreak/>
        <w:t>public's ignorance of diabetes and related co-morbidities has an impact on patients' use of healthcare services and compliance with treatment recommendations</w:t>
      </w:r>
      <w:r w:rsidR="005451B1" w:rsidRPr="000D05DB">
        <w:rPr>
          <w:rFonts w:ascii="Times New Roman" w:hAnsi="Times New Roman" w:cs="Times New Roman"/>
          <w:sz w:val="22"/>
          <w:szCs w:val="22"/>
        </w:rPr>
        <w:t xml:space="preserve"> (Shoge et al., 2021)</w:t>
      </w:r>
      <w:r w:rsidRPr="000D05DB">
        <w:rPr>
          <w:rFonts w:ascii="Times New Roman" w:hAnsi="Times New Roman" w:cs="Times New Roman"/>
          <w:sz w:val="22"/>
          <w:szCs w:val="22"/>
        </w:rPr>
        <w:t>. Patients' results in low- and middle-income countries (LMICs) are also impacted by economic hardships and the challenge of many patients' inability to buy prescription drugs and medical supplies (Karachaliou et al., 2020).</w:t>
      </w:r>
    </w:p>
    <w:p w14:paraId="1D3B9329" w14:textId="39A79354" w:rsidR="00221DAB" w:rsidRPr="000D05DB" w:rsidRDefault="00221DAB" w:rsidP="000D05DB">
      <w:pPr>
        <w:spacing w:line="360" w:lineRule="auto"/>
        <w:jc w:val="both"/>
        <w:rPr>
          <w:rFonts w:ascii="Times New Roman" w:hAnsi="Times New Roman" w:cs="Times New Roman"/>
          <w:b/>
          <w:bCs/>
          <w:sz w:val="22"/>
          <w:szCs w:val="22"/>
        </w:rPr>
      </w:pPr>
      <w:r w:rsidRPr="000D05DB">
        <w:rPr>
          <w:rFonts w:ascii="Times New Roman" w:hAnsi="Times New Roman" w:cs="Times New Roman"/>
          <w:b/>
          <w:bCs/>
          <w:sz w:val="22"/>
          <w:szCs w:val="22"/>
        </w:rPr>
        <w:t>Problem Statement</w:t>
      </w:r>
    </w:p>
    <w:p w14:paraId="11894AD6" w14:textId="257CA312" w:rsidR="00221DAB" w:rsidRPr="000D05DB" w:rsidRDefault="00221DAB"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Predictions indicate a concerning perspective of the progressively rising prevalence of T2DM in sub-Saharan Africa. In 2010, </w:t>
      </w:r>
      <w:r w:rsidR="005E5F73">
        <w:rPr>
          <w:rFonts w:ascii="Times New Roman" w:hAnsi="Times New Roman" w:cs="Times New Roman"/>
          <w:sz w:val="22"/>
          <w:szCs w:val="22"/>
        </w:rPr>
        <w:t>it</w:t>
      </w:r>
      <w:r w:rsidR="005E5F73" w:rsidRPr="000D05DB">
        <w:rPr>
          <w:rFonts w:ascii="Times New Roman" w:hAnsi="Times New Roman" w:cs="Times New Roman"/>
          <w:sz w:val="22"/>
          <w:szCs w:val="22"/>
        </w:rPr>
        <w:t xml:space="preserve"> </w:t>
      </w:r>
      <w:r w:rsidRPr="000D05DB">
        <w:rPr>
          <w:rFonts w:ascii="Times New Roman" w:hAnsi="Times New Roman" w:cs="Times New Roman"/>
          <w:sz w:val="22"/>
          <w:szCs w:val="22"/>
        </w:rPr>
        <w:t xml:space="preserve">was estimated that 12.1 million people had type 2 diabetes and 26.9 million had impaired glucose tolerance. By 2030, these numbers were expected to rise to 23.9 million and 47.3 million, respectively (Ojuka and Goyaram, 2014). The rising incidence of type 2 diabetes has been primarily linked to a more sedentary lifestyle, altered eating habits with elevated intake of added sugar, salt, and total and saturated fat, and systemic elements including </w:t>
      </w:r>
      <w:r w:rsidR="005E5F73" w:rsidRPr="00B7432E">
        <w:rPr>
          <w:rFonts w:ascii="Times New Roman" w:hAnsi="Times New Roman" w:cs="Times New Roman"/>
          <w:sz w:val="22"/>
          <w:szCs w:val="22"/>
          <w:highlight w:val="yellow"/>
        </w:rPr>
        <w:t>urbanisation</w:t>
      </w:r>
      <w:r w:rsidRPr="00B7432E">
        <w:rPr>
          <w:rFonts w:ascii="Times New Roman" w:hAnsi="Times New Roman" w:cs="Times New Roman"/>
          <w:sz w:val="22"/>
          <w:szCs w:val="22"/>
          <w:highlight w:val="yellow"/>
        </w:rPr>
        <w:t>, industriali</w:t>
      </w:r>
      <w:r w:rsidR="005E5F73" w:rsidRPr="00B7432E">
        <w:rPr>
          <w:rFonts w:ascii="Times New Roman" w:hAnsi="Times New Roman" w:cs="Times New Roman"/>
          <w:sz w:val="22"/>
          <w:szCs w:val="22"/>
          <w:highlight w:val="yellow"/>
        </w:rPr>
        <w:t>s</w:t>
      </w:r>
      <w:r w:rsidRPr="00B7432E">
        <w:rPr>
          <w:rFonts w:ascii="Times New Roman" w:hAnsi="Times New Roman" w:cs="Times New Roman"/>
          <w:sz w:val="22"/>
          <w:szCs w:val="22"/>
          <w:highlight w:val="yellow"/>
        </w:rPr>
        <w:t>ation, and</w:t>
      </w:r>
      <w:r w:rsidRPr="000D05DB">
        <w:rPr>
          <w:rFonts w:ascii="Times New Roman" w:hAnsi="Times New Roman" w:cs="Times New Roman"/>
          <w:sz w:val="22"/>
          <w:szCs w:val="22"/>
        </w:rPr>
        <w:t xml:space="preserve"> growing food </w:t>
      </w:r>
      <w:r w:rsidR="005E5F73" w:rsidRPr="00B7432E">
        <w:rPr>
          <w:rFonts w:ascii="Times New Roman" w:hAnsi="Times New Roman" w:cs="Times New Roman"/>
          <w:sz w:val="22"/>
          <w:szCs w:val="22"/>
          <w:highlight w:val="yellow"/>
        </w:rPr>
        <w:t xml:space="preserve">globalisation </w:t>
      </w:r>
      <w:r w:rsidRPr="00B7432E">
        <w:rPr>
          <w:rFonts w:ascii="Times New Roman" w:hAnsi="Times New Roman" w:cs="Times New Roman"/>
          <w:sz w:val="22"/>
          <w:szCs w:val="22"/>
          <w:highlight w:val="yellow"/>
        </w:rPr>
        <w:t xml:space="preserve">(Debussche </w:t>
      </w:r>
      <w:r w:rsidRPr="000D05DB">
        <w:rPr>
          <w:rFonts w:ascii="Times New Roman" w:hAnsi="Times New Roman" w:cs="Times New Roman"/>
          <w:sz w:val="22"/>
          <w:szCs w:val="22"/>
        </w:rPr>
        <w:t xml:space="preserve">et al., 2018).  </w:t>
      </w:r>
    </w:p>
    <w:p w14:paraId="5B08BD65" w14:textId="3988C122" w:rsidR="00221DAB" w:rsidRPr="000D05DB" w:rsidRDefault="00221DAB"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Diabetes has a significant impact on the health system and people in Africa, although this issue is rarely addressed in medical research</w:t>
      </w:r>
      <w:r w:rsidR="00D7577B" w:rsidRPr="000D05DB">
        <w:rPr>
          <w:rFonts w:ascii="Times New Roman" w:hAnsi="Times New Roman" w:cs="Times New Roman"/>
          <w:sz w:val="22"/>
          <w:szCs w:val="22"/>
        </w:rPr>
        <w:t xml:space="preserve"> (Shoge et al., 2021)</w:t>
      </w:r>
      <w:r w:rsidRPr="000D05DB">
        <w:rPr>
          <w:rFonts w:ascii="Times New Roman" w:hAnsi="Times New Roman" w:cs="Times New Roman"/>
          <w:sz w:val="22"/>
          <w:szCs w:val="22"/>
        </w:rPr>
        <w:t>. This is made worse by insufficient health systems that cannot handle the combined effects of chronic and infectious illnesses (Debussche et al., 2018). Consequently, it is discernible to envisage that diabetes has a profound social and economic impact on the area</w:t>
      </w:r>
      <w:r w:rsidR="005E5F73">
        <w:rPr>
          <w:rFonts w:ascii="Times New Roman" w:hAnsi="Times New Roman" w:cs="Times New Roman"/>
          <w:sz w:val="22"/>
          <w:szCs w:val="22"/>
        </w:rPr>
        <w:t>,</w:t>
      </w:r>
      <w:r w:rsidR="005E5F73" w:rsidRPr="000D05DB">
        <w:rPr>
          <w:rFonts w:ascii="Times New Roman" w:hAnsi="Times New Roman" w:cs="Times New Roman"/>
          <w:sz w:val="22"/>
          <w:szCs w:val="22"/>
        </w:rPr>
        <w:t xml:space="preserve"> </w:t>
      </w:r>
      <w:r w:rsidRPr="000D05DB">
        <w:rPr>
          <w:rFonts w:ascii="Times New Roman" w:hAnsi="Times New Roman" w:cs="Times New Roman"/>
          <w:sz w:val="22"/>
          <w:szCs w:val="22"/>
        </w:rPr>
        <w:t>having an influence on employers and national economies through the loss of productivity (Nuche-Berenguer and Kupfer, 2018).</w:t>
      </w:r>
    </w:p>
    <w:p w14:paraId="7956BABB" w14:textId="4E65F5CA" w:rsidR="00221DAB" w:rsidRPr="000D05DB" w:rsidRDefault="00221DAB"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The combination of factors that accounts for the lack of necessary epidemiological data complicates patient tracking, and makes it difficult to forecast future pharmaceutical and human resource needs</w:t>
      </w:r>
      <w:r w:rsidR="005E5F73">
        <w:rPr>
          <w:rFonts w:ascii="Times New Roman" w:hAnsi="Times New Roman" w:cs="Times New Roman"/>
          <w:sz w:val="22"/>
          <w:szCs w:val="22"/>
        </w:rPr>
        <w:t>,</w:t>
      </w:r>
      <w:r w:rsidRPr="000D05DB">
        <w:rPr>
          <w:rFonts w:ascii="Times New Roman" w:hAnsi="Times New Roman" w:cs="Times New Roman"/>
          <w:sz w:val="22"/>
          <w:szCs w:val="22"/>
        </w:rPr>
        <w:t xml:space="preserve"> including the availability of diagnostic facilities, access to diabetes treatment, seasoned medical workers, and limited emergency management response (Nuche-Berenguer and Kupfer, 2018</w:t>
      </w:r>
      <w:r w:rsidR="005E5F73">
        <w:rPr>
          <w:rFonts w:ascii="Times New Roman" w:hAnsi="Times New Roman" w:cs="Times New Roman"/>
          <w:sz w:val="22"/>
          <w:szCs w:val="22"/>
        </w:rPr>
        <w:t xml:space="preserve">; </w:t>
      </w:r>
      <w:r w:rsidR="000112BB" w:rsidRPr="00DD47C9">
        <w:rPr>
          <w:rFonts w:ascii="Times New Roman" w:eastAsia="Arial" w:hAnsi="Times New Roman" w:cs="Times New Roman"/>
          <w:sz w:val="22"/>
          <w:szCs w:val="22"/>
        </w:rPr>
        <w:t>Abdullateef</w:t>
      </w:r>
      <w:r w:rsidR="00BF5DFE">
        <w:rPr>
          <w:rFonts w:ascii="Times New Roman" w:eastAsia="Arial" w:hAnsi="Times New Roman" w:cs="Times New Roman"/>
          <w:sz w:val="22"/>
          <w:szCs w:val="22"/>
        </w:rPr>
        <w:t xml:space="preserve"> et al., 2021</w:t>
      </w:r>
      <w:r w:rsidRPr="000D05DB">
        <w:rPr>
          <w:rFonts w:ascii="Times New Roman" w:hAnsi="Times New Roman" w:cs="Times New Roman"/>
          <w:sz w:val="22"/>
          <w:szCs w:val="22"/>
        </w:rPr>
        <w:t>). The management of the disease and the reduction of its prevalence and incidence in many areas of the world have been found to benefit from interventions like task alteration and rotation of medical personnel, lowering expenses for access to care, guaranteeing a consistent supply of medication, increasing diagnostic capacity, developing, releasing, and refining practical clinical recommendations; incorporating diabetes modules into EMR systems; and educating both patients and healthcare providers, with a focus on disadvantaged populations (Nuche-Berenguer and Kupfer, 2018).</w:t>
      </w:r>
    </w:p>
    <w:p w14:paraId="45EDEF5E" w14:textId="0D5E9AD3" w:rsidR="00221DAB" w:rsidRPr="000D05DB" w:rsidRDefault="00221DAB"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Therefore, this research </w:t>
      </w:r>
      <w:r w:rsidRPr="00B7432E">
        <w:rPr>
          <w:rFonts w:ascii="Times New Roman" w:hAnsi="Times New Roman" w:cs="Times New Roman"/>
          <w:sz w:val="22"/>
          <w:szCs w:val="22"/>
          <w:highlight w:val="yellow"/>
        </w:rPr>
        <w:t xml:space="preserve">aimed to know </w:t>
      </w:r>
      <w:r w:rsidRPr="000D05DB">
        <w:rPr>
          <w:rFonts w:ascii="Times New Roman" w:hAnsi="Times New Roman" w:cs="Times New Roman"/>
          <w:sz w:val="22"/>
          <w:szCs w:val="22"/>
        </w:rPr>
        <w:t xml:space="preserve">how effective </w:t>
      </w:r>
      <w:r w:rsidR="005E5F73" w:rsidRPr="00B7432E">
        <w:rPr>
          <w:rFonts w:ascii="Times New Roman" w:hAnsi="Times New Roman" w:cs="Times New Roman"/>
          <w:sz w:val="22"/>
          <w:szCs w:val="22"/>
          <w:highlight w:val="yellow"/>
        </w:rPr>
        <w:t>non-clinical interventions are</w:t>
      </w:r>
      <w:r w:rsidRPr="00B7432E">
        <w:rPr>
          <w:rFonts w:ascii="Times New Roman" w:hAnsi="Times New Roman" w:cs="Times New Roman"/>
          <w:sz w:val="22"/>
          <w:szCs w:val="22"/>
          <w:highlight w:val="yellow"/>
        </w:rPr>
        <w:t xml:space="preserve"> in improving </w:t>
      </w:r>
      <w:r w:rsidRPr="000D05DB">
        <w:rPr>
          <w:rFonts w:ascii="Times New Roman" w:hAnsi="Times New Roman" w:cs="Times New Roman"/>
          <w:sz w:val="22"/>
          <w:szCs w:val="22"/>
        </w:rPr>
        <w:t>the health and well-being of adults with T2DM in Africa</w:t>
      </w:r>
      <w:r w:rsidR="005E5F73">
        <w:rPr>
          <w:rFonts w:ascii="Times New Roman" w:hAnsi="Times New Roman" w:cs="Times New Roman"/>
          <w:sz w:val="22"/>
          <w:szCs w:val="22"/>
        </w:rPr>
        <w:t>.</w:t>
      </w:r>
    </w:p>
    <w:p w14:paraId="44733731" w14:textId="76D8AE2C" w:rsidR="00221DAB" w:rsidRPr="000D05DB" w:rsidRDefault="00221DAB" w:rsidP="000D05DB">
      <w:pPr>
        <w:spacing w:line="360" w:lineRule="auto"/>
        <w:jc w:val="both"/>
        <w:rPr>
          <w:rFonts w:ascii="Times New Roman" w:hAnsi="Times New Roman" w:cs="Times New Roman"/>
          <w:b/>
          <w:bCs/>
          <w:sz w:val="22"/>
          <w:szCs w:val="22"/>
        </w:rPr>
      </w:pPr>
      <w:r w:rsidRPr="000D05DB">
        <w:rPr>
          <w:rFonts w:ascii="Times New Roman" w:hAnsi="Times New Roman" w:cs="Times New Roman"/>
          <w:b/>
          <w:bCs/>
          <w:sz w:val="22"/>
          <w:szCs w:val="22"/>
        </w:rPr>
        <w:t>Research Design</w:t>
      </w:r>
    </w:p>
    <w:p w14:paraId="1319393B" w14:textId="77777777" w:rsidR="00221DAB" w:rsidRPr="000D05DB" w:rsidRDefault="00221DAB" w:rsidP="000D05DB">
      <w:pPr>
        <w:spacing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lastRenderedPageBreak/>
        <w:t>The current investigation entails a thorough examination of the available body of literature, using a systematic review approach. The study employs the Preferred Reporting Items for Systematic Reviews and Meta-Analyses (PRISMA) guidelines.</w:t>
      </w:r>
    </w:p>
    <w:p w14:paraId="49B54B86" w14:textId="7BC6B415" w:rsidR="00221DAB" w:rsidRPr="000D05DB" w:rsidRDefault="00221DAB" w:rsidP="000D05DB">
      <w:pPr>
        <w:spacing w:line="360" w:lineRule="auto"/>
        <w:jc w:val="both"/>
        <w:rPr>
          <w:rFonts w:ascii="Times New Roman" w:hAnsi="Times New Roman" w:cs="Times New Roman"/>
          <w:b/>
          <w:bCs/>
          <w:sz w:val="22"/>
          <w:szCs w:val="22"/>
        </w:rPr>
      </w:pPr>
      <w:bookmarkStart w:id="3" w:name="_3znysh7" w:colFirst="0" w:colLast="0"/>
      <w:bookmarkStart w:id="4" w:name="_Toc154152578"/>
      <w:bookmarkEnd w:id="3"/>
      <w:r w:rsidRPr="000D05DB">
        <w:rPr>
          <w:rFonts w:ascii="Times New Roman" w:hAnsi="Times New Roman" w:cs="Times New Roman"/>
          <w:b/>
          <w:bCs/>
          <w:sz w:val="22"/>
          <w:szCs w:val="22"/>
        </w:rPr>
        <w:t>Research Questions</w:t>
      </w:r>
      <w:bookmarkEnd w:id="4"/>
    </w:p>
    <w:p w14:paraId="4B1F2B45" w14:textId="49E37396" w:rsidR="00221DAB" w:rsidRPr="000D05DB" w:rsidRDefault="00221DAB"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As shown </w:t>
      </w:r>
      <w:r w:rsidRPr="00B7432E">
        <w:rPr>
          <w:rFonts w:ascii="Times New Roman" w:hAnsi="Times New Roman" w:cs="Times New Roman"/>
          <w:sz w:val="22"/>
          <w:szCs w:val="22"/>
          <w:highlight w:val="yellow"/>
        </w:rPr>
        <w:t xml:space="preserve">in </w:t>
      </w:r>
      <w:r w:rsidR="005E5F73" w:rsidRPr="00B7432E">
        <w:rPr>
          <w:rFonts w:ascii="Times New Roman" w:hAnsi="Times New Roman" w:cs="Times New Roman"/>
          <w:sz w:val="22"/>
          <w:szCs w:val="22"/>
          <w:highlight w:val="yellow"/>
        </w:rPr>
        <w:t xml:space="preserve">the </w:t>
      </w:r>
      <w:r w:rsidRPr="00B7432E">
        <w:rPr>
          <w:rFonts w:ascii="Times New Roman" w:hAnsi="Times New Roman" w:cs="Times New Roman"/>
          <w:sz w:val="22"/>
          <w:szCs w:val="22"/>
          <w:highlight w:val="yellow"/>
        </w:rPr>
        <w:t>Table</w:t>
      </w:r>
      <w:r w:rsidR="005E5F73">
        <w:rPr>
          <w:rFonts w:ascii="Times New Roman" w:hAnsi="Times New Roman" w:cs="Times New Roman"/>
          <w:sz w:val="22"/>
          <w:szCs w:val="22"/>
        </w:rPr>
        <w:t>,</w:t>
      </w:r>
      <w:r w:rsidRPr="000D05DB">
        <w:rPr>
          <w:rFonts w:ascii="Times New Roman" w:hAnsi="Times New Roman" w:cs="Times New Roman"/>
          <w:sz w:val="22"/>
          <w:szCs w:val="22"/>
        </w:rPr>
        <w:t xml:space="preserve"> this study’s research questions were formulated with the use of the PICO guidelines, which </w:t>
      </w:r>
      <w:r w:rsidR="005E5F73" w:rsidRPr="00B7432E">
        <w:rPr>
          <w:rFonts w:ascii="Times New Roman" w:hAnsi="Times New Roman" w:cs="Times New Roman"/>
          <w:sz w:val="22"/>
          <w:szCs w:val="22"/>
          <w:highlight w:val="yellow"/>
        </w:rPr>
        <w:t xml:space="preserve">stand </w:t>
      </w:r>
      <w:r w:rsidRPr="00B7432E">
        <w:rPr>
          <w:rFonts w:ascii="Times New Roman" w:hAnsi="Times New Roman" w:cs="Times New Roman"/>
          <w:sz w:val="22"/>
          <w:szCs w:val="22"/>
          <w:highlight w:val="yellow"/>
        </w:rPr>
        <w:t xml:space="preserve">for Population, </w:t>
      </w:r>
      <w:r w:rsidR="005E5F73" w:rsidRPr="00B7432E">
        <w:rPr>
          <w:rFonts w:ascii="Times New Roman" w:hAnsi="Times New Roman" w:cs="Times New Roman"/>
          <w:sz w:val="22"/>
          <w:szCs w:val="22"/>
          <w:highlight w:val="yellow"/>
        </w:rPr>
        <w:t>Intervention</w:t>
      </w:r>
      <w:r w:rsidRPr="000D05DB">
        <w:rPr>
          <w:rFonts w:ascii="Times New Roman" w:hAnsi="Times New Roman" w:cs="Times New Roman"/>
          <w:sz w:val="22"/>
          <w:szCs w:val="22"/>
        </w:rPr>
        <w:t>, Comparison, and Outcome. Researchers use this framework to organise their queries and develop search strategies that align with the study's pertinent notions (Page et al., 2020). Essential pieces of scientific evidence relevant to the inquiry were extracted using the aforementioned approach.</w:t>
      </w:r>
    </w:p>
    <w:p w14:paraId="05CBDCDF" w14:textId="77777777" w:rsidR="00221DAB" w:rsidRPr="000D05DB" w:rsidRDefault="00221DAB" w:rsidP="000D05DB">
      <w:pPr>
        <w:spacing w:line="360" w:lineRule="auto"/>
        <w:jc w:val="both"/>
        <w:rPr>
          <w:rFonts w:ascii="Times New Roman" w:hAnsi="Times New Roman" w:cs="Times New Roman"/>
          <w:b/>
          <w:sz w:val="22"/>
          <w:szCs w:val="22"/>
        </w:rPr>
      </w:pPr>
      <w:r w:rsidRPr="00C36943">
        <w:rPr>
          <w:rFonts w:ascii="Times New Roman" w:hAnsi="Times New Roman" w:cs="Times New Roman"/>
          <w:b/>
          <w:bCs/>
          <w:sz w:val="22"/>
          <w:szCs w:val="22"/>
        </w:rPr>
        <w:t>Table 1</w:t>
      </w:r>
      <w:r w:rsidRPr="000D05DB">
        <w:rPr>
          <w:rFonts w:ascii="Times New Roman" w:hAnsi="Times New Roman" w:cs="Times New Roman"/>
          <w:sz w:val="22"/>
          <w:szCs w:val="22"/>
        </w:rPr>
        <w:t>: PICO research framework</w:t>
      </w:r>
    </w:p>
    <w:tbl>
      <w:tblPr>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3"/>
        <w:gridCol w:w="1763"/>
        <w:gridCol w:w="2003"/>
        <w:gridCol w:w="1966"/>
        <w:gridCol w:w="2897"/>
      </w:tblGrid>
      <w:tr w:rsidR="00221DAB" w:rsidRPr="000D05DB" w14:paraId="6CCD5107" w14:textId="77777777" w:rsidTr="00A13E50">
        <w:tc>
          <w:tcPr>
            <w:tcW w:w="613" w:type="dxa"/>
          </w:tcPr>
          <w:p w14:paraId="78E51294" w14:textId="77777777" w:rsidR="00221DAB" w:rsidRPr="000D05DB" w:rsidRDefault="00221DAB" w:rsidP="000D05DB">
            <w:pPr>
              <w:spacing w:after="200" w:line="360" w:lineRule="auto"/>
              <w:jc w:val="both"/>
              <w:rPr>
                <w:rFonts w:ascii="Times New Roman" w:eastAsia="Arial" w:hAnsi="Times New Roman" w:cs="Times New Roman"/>
                <w:sz w:val="22"/>
                <w:szCs w:val="22"/>
              </w:rPr>
            </w:pPr>
          </w:p>
        </w:tc>
        <w:tc>
          <w:tcPr>
            <w:tcW w:w="1763" w:type="dxa"/>
          </w:tcPr>
          <w:p w14:paraId="0706A11E"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POPULATION</w:t>
            </w:r>
          </w:p>
        </w:tc>
        <w:tc>
          <w:tcPr>
            <w:tcW w:w="2003" w:type="dxa"/>
          </w:tcPr>
          <w:p w14:paraId="245FBE5D"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INTERVENTION</w:t>
            </w:r>
          </w:p>
        </w:tc>
        <w:tc>
          <w:tcPr>
            <w:tcW w:w="1966" w:type="dxa"/>
          </w:tcPr>
          <w:p w14:paraId="0816ADAF"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COMPARISON</w:t>
            </w:r>
          </w:p>
        </w:tc>
        <w:tc>
          <w:tcPr>
            <w:tcW w:w="2897" w:type="dxa"/>
          </w:tcPr>
          <w:p w14:paraId="6911D961"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OUTCOME</w:t>
            </w:r>
          </w:p>
        </w:tc>
      </w:tr>
      <w:tr w:rsidR="00221DAB" w:rsidRPr="000D05DB" w14:paraId="18FD60F0" w14:textId="77777777" w:rsidTr="00A13E50">
        <w:tc>
          <w:tcPr>
            <w:tcW w:w="613" w:type="dxa"/>
          </w:tcPr>
          <w:p w14:paraId="1BAA5DE0"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1.</w:t>
            </w:r>
          </w:p>
        </w:tc>
        <w:tc>
          <w:tcPr>
            <w:tcW w:w="1763" w:type="dxa"/>
          </w:tcPr>
          <w:p w14:paraId="71E0163D"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Adult T2DM patients in Africa</w:t>
            </w:r>
          </w:p>
        </w:tc>
        <w:tc>
          <w:tcPr>
            <w:tcW w:w="2003" w:type="dxa"/>
          </w:tcPr>
          <w:p w14:paraId="3CC22762"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Non-clinical T2DM management intervention</w:t>
            </w:r>
          </w:p>
        </w:tc>
        <w:tc>
          <w:tcPr>
            <w:tcW w:w="1966" w:type="dxa"/>
          </w:tcPr>
          <w:p w14:paraId="7F6DB2F0" w14:textId="77777777" w:rsidR="00221DAB" w:rsidRPr="000D05DB" w:rsidRDefault="00221DAB" w:rsidP="000D05DB">
            <w:pPr>
              <w:spacing w:after="200" w:line="360" w:lineRule="auto"/>
              <w:jc w:val="both"/>
              <w:rPr>
                <w:rFonts w:ascii="Times New Roman" w:eastAsia="Arial" w:hAnsi="Times New Roman" w:cs="Times New Roman"/>
                <w:sz w:val="22"/>
                <w:szCs w:val="22"/>
              </w:rPr>
            </w:pPr>
          </w:p>
        </w:tc>
        <w:tc>
          <w:tcPr>
            <w:tcW w:w="2897" w:type="dxa"/>
          </w:tcPr>
          <w:p w14:paraId="2E76A750"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Prevalence, treatment outcomes </w:t>
            </w:r>
          </w:p>
        </w:tc>
      </w:tr>
      <w:tr w:rsidR="00221DAB" w:rsidRPr="000D05DB" w14:paraId="1EEB9C38" w14:textId="77777777" w:rsidTr="00A13E50">
        <w:tc>
          <w:tcPr>
            <w:tcW w:w="613" w:type="dxa"/>
          </w:tcPr>
          <w:p w14:paraId="4B7C857E"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2. </w:t>
            </w:r>
          </w:p>
        </w:tc>
        <w:tc>
          <w:tcPr>
            <w:tcW w:w="1763" w:type="dxa"/>
          </w:tcPr>
          <w:p w14:paraId="031A165B"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Adult T2DM patients in Africa</w:t>
            </w:r>
          </w:p>
        </w:tc>
        <w:tc>
          <w:tcPr>
            <w:tcW w:w="2003" w:type="dxa"/>
          </w:tcPr>
          <w:p w14:paraId="1AD863E6"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Non-clinical T2DM management interventions</w:t>
            </w:r>
          </w:p>
        </w:tc>
        <w:tc>
          <w:tcPr>
            <w:tcW w:w="1966" w:type="dxa"/>
          </w:tcPr>
          <w:p w14:paraId="7A7D22EE"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No T2DM intervention</w:t>
            </w:r>
          </w:p>
        </w:tc>
        <w:tc>
          <w:tcPr>
            <w:tcW w:w="2897" w:type="dxa"/>
          </w:tcPr>
          <w:p w14:paraId="2DB1F408"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Efficacy, Hospitalisation rate, mortality rate, treatment outcomes</w:t>
            </w:r>
          </w:p>
        </w:tc>
      </w:tr>
      <w:tr w:rsidR="00221DAB" w:rsidRPr="000D05DB" w14:paraId="7B77D093" w14:textId="77777777" w:rsidTr="00A13E50">
        <w:tc>
          <w:tcPr>
            <w:tcW w:w="613" w:type="dxa"/>
          </w:tcPr>
          <w:p w14:paraId="4FD4C47E"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3.</w:t>
            </w:r>
          </w:p>
        </w:tc>
        <w:tc>
          <w:tcPr>
            <w:tcW w:w="1763" w:type="dxa"/>
          </w:tcPr>
          <w:p w14:paraId="3082FFCC"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Adult T2DM patients in Africa</w:t>
            </w:r>
          </w:p>
        </w:tc>
        <w:tc>
          <w:tcPr>
            <w:tcW w:w="2003" w:type="dxa"/>
          </w:tcPr>
          <w:p w14:paraId="2C9C0FC6"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Non-clinical T2DM management interventions</w:t>
            </w:r>
          </w:p>
        </w:tc>
        <w:tc>
          <w:tcPr>
            <w:tcW w:w="1966" w:type="dxa"/>
          </w:tcPr>
          <w:p w14:paraId="7A15F086"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Barriers and Facilitators</w:t>
            </w:r>
          </w:p>
        </w:tc>
        <w:tc>
          <w:tcPr>
            <w:tcW w:w="2897" w:type="dxa"/>
          </w:tcPr>
          <w:p w14:paraId="36B93D77"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Prevalence, treatment outcomes, hospitalisation rate, mortality rate</w:t>
            </w:r>
          </w:p>
        </w:tc>
      </w:tr>
    </w:tbl>
    <w:p w14:paraId="3E898925" w14:textId="77777777" w:rsidR="00221DAB" w:rsidRPr="000D05DB" w:rsidRDefault="00221DAB" w:rsidP="000D05DB">
      <w:pPr>
        <w:spacing w:line="360" w:lineRule="auto"/>
        <w:jc w:val="both"/>
        <w:rPr>
          <w:rFonts w:ascii="Times New Roman" w:eastAsia="Arial" w:hAnsi="Times New Roman" w:cs="Times New Roman"/>
          <w:b/>
          <w:sz w:val="22"/>
          <w:szCs w:val="22"/>
        </w:rPr>
      </w:pPr>
      <w:bookmarkStart w:id="5" w:name="_2et92p0" w:colFirst="0" w:colLast="0"/>
      <w:bookmarkEnd w:id="5"/>
    </w:p>
    <w:p w14:paraId="3D5F2017" w14:textId="4280E395" w:rsidR="00221DAB" w:rsidRPr="000D05DB" w:rsidRDefault="00221DAB" w:rsidP="000D05DB">
      <w:pPr>
        <w:spacing w:line="360" w:lineRule="auto"/>
        <w:jc w:val="both"/>
        <w:rPr>
          <w:rFonts w:ascii="Times New Roman" w:hAnsi="Times New Roman" w:cs="Times New Roman"/>
          <w:b/>
          <w:bCs/>
          <w:sz w:val="22"/>
          <w:szCs w:val="22"/>
        </w:rPr>
      </w:pPr>
      <w:bookmarkStart w:id="6" w:name="_Toc154152579"/>
      <w:r w:rsidRPr="000D05DB">
        <w:rPr>
          <w:rFonts w:ascii="Times New Roman" w:hAnsi="Times New Roman" w:cs="Times New Roman"/>
          <w:b/>
          <w:bCs/>
          <w:sz w:val="22"/>
          <w:szCs w:val="22"/>
        </w:rPr>
        <w:t>Literature Search</w:t>
      </w:r>
      <w:bookmarkEnd w:id="6"/>
    </w:p>
    <w:p w14:paraId="055EEF6C" w14:textId="66E2870A" w:rsidR="00221DAB" w:rsidRPr="000D05DB" w:rsidRDefault="00221DAB" w:rsidP="000D05DB">
      <w:pPr>
        <w:spacing w:line="360" w:lineRule="auto"/>
        <w:jc w:val="both"/>
        <w:rPr>
          <w:rFonts w:ascii="Times New Roman" w:hAnsi="Times New Roman" w:cs="Times New Roman"/>
          <w:b/>
          <w:bCs/>
          <w:sz w:val="22"/>
          <w:szCs w:val="22"/>
        </w:rPr>
      </w:pPr>
      <w:bookmarkStart w:id="7" w:name="_tyjcwt" w:colFirst="0" w:colLast="0"/>
      <w:bookmarkStart w:id="8" w:name="_Toc154152580"/>
      <w:bookmarkEnd w:id="7"/>
      <w:r w:rsidRPr="000D05DB">
        <w:rPr>
          <w:rFonts w:ascii="Times New Roman" w:hAnsi="Times New Roman" w:cs="Times New Roman"/>
          <w:b/>
          <w:bCs/>
          <w:sz w:val="22"/>
          <w:szCs w:val="22"/>
        </w:rPr>
        <w:t>Databases used</w:t>
      </w:r>
      <w:bookmarkEnd w:id="8"/>
    </w:p>
    <w:p w14:paraId="2613A647" w14:textId="77777777" w:rsidR="00221DAB" w:rsidRPr="000D05DB" w:rsidRDefault="00221DAB" w:rsidP="000D05DB">
      <w:pPr>
        <w:spacing w:line="360" w:lineRule="auto"/>
        <w:jc w:val="both"/>
        <w:rPr>
          <w:rFonts w:ascii="Times New Roman" w:hAnsi="Times New Roman" w:cs="Times New Roman"/>
          <w:b/>
          <w:sz w:val="22"/>
          <w:szCs w:val="22"/>
        </w:rPr>
      </w:pPr>
      <w:bookmarkStart w:id="9" w:name="_3dy6vkm" w:colFirst="0" w:colLast="0"/>
      <w:bookmarkEnd w:id="9"/>
      <w:r w:rsidRPr="000D05DB">
        <w:rPr>
          <w:rFonts w:ascii="Times New Roman" w:hAnsi="Times New Roman" w:cs="Times New Roman"/>
          <w:sz w:val="22"/>
          <w:szCs w:val="22"/>
        </w:rPr>
        <w:t xml:space="preserve">The literature for this research was obtained using an extensive search in four academic journal databases: CINAHL, PubMed, Web of Science, and Cochrane. The databases that were chosen had a significant correlation to the research problems that were being studied. </w:t>
      </w:r>
    </w:p>
    <w:p w14:paraId="5ADEB36E" w14:textId="77777777" w:rsidR="00221DAB" w:rsidRPr="000D05DB" w:rsidRDefault="00221DAB"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In addition, a secondary search was carried out to find any papers or articles that may have been missed in the first electronic database search. This was done to make sure that all relevant material was covered. </w:t>
      </w:r>
      <w:r w:rsidRPr="000D05DB">
        <w:rPr>
          <w:rFonts w:ascii="Times New Roman" w:hAnsi="Times New Roman" w:cs="Times New Roman"/>
          <w:sz w:val="22"/>
          <w:szCs w:val="22"/>
        </w:rPr>
        <w:lastRenderedPageBreak/>
        <w:t>Specifically, this included looking for relevant systematic reviews that weren't part of this study and all of the references used in the research found in the databases.</w:t>
      </w:r>
    </w:p>
    <w:p w14:paraId="2C96614C" w14:textId="7E3DBA46" w:rsidR="00221DAB" w:rsidRPr="000D05DB" w:rsidRDefault="00221DAB" w:rsidP="000D05DB">
      <w:pPr>
        <w:spacing w:line="360" w:lineRule="auto"/>
        <w:jc w:val="both"/>
        <w:rPr>
          <w:rFonts w:ascii="Times New Roman" w:hAnsi="Times New Roman" w:cs="Times New Roman"/>
          <w:b/>
          <w:bCs/>
          <w:sz w:val="22"/>
          <w:szCs w:val="22"/>
        </w:rPr>
      </w:pPr>
      <w:bookmarkStart w:id="10" w:name="_Toc154152581"/>
      <w:r w:rsidRPr="000D05DB">
        <w:rPr>
          <w:rFonts w:ascii="Times New Roman" w:hAnsi="Times New Roman" w:cs="Times New Roman"/>
          <w:b/>
          <w:bCs/>
          <w:sz w:val="22"/>
          <w:szCs w:val="22"/>
        </w:rPr>
        <w:t>Search terms</w:t>
      </w:r>
      <w:bookmarkEnd w:id="10"/>
    </w:p>
    <w:p w14:paraId="201F6E63" w14:textId="35D61BD2" w:rsidR="00221DAB" w:rsidRPr="000D05DB" w:rsidRDefault="00221DAB"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In order to begin the research process, an initial investigation was conducted on Google Scholar to get insights into relevant subjects and conversations within the area of study that required additional investigation in this study. To include a broad spectrum of pertinent material, keywords such as "Diabetes", "intervention", "effectiveness", "efficacy", and "Africa" were used, as shown in </w:t>
      </w:r>
      <w:r w:rsidR="005E5F73" w:rsidRPr="00B7432E">
        <w:rPr>
          <w:rFonts w:ascii="Times New Roman" w:hAnsi="Times New Roman" w:cs="Times New Roman"/>
          <w:sz w:val="22"/>
          <w:szCs w:val="22"/>
          <w:highlight w:val="yellow"/>
        </w:rPr>
        <w:t xml:space="preserve">Table </w:t>
      </w:r>
      <w:r w:rsidRPr="00B7432E">
        <w:rPr>
          <w:rFonts w:ascii="Times New Roman" w:hAnsi="Times New Roman" w:cs="Times New Roman"/>
          <w:sz w:val="22"/>
          <w:szCs w:val="22"/>
          <w:highlight w:val="yellow"/>
        </w:rPr>
        <w:t>2.</w:t>
      </w:r>
      <w:r w:rsidRPr="000D05DB">
        <w:rPr>
          <w:rFonts w:ascii="Times New Roman" w:hAnsi="Times New Roman" w:cs="Times New Roman"/>
          <w:sz w:val="22"/>
          <w:szCs w:val="22"/>
        </w:rPr>
        <w:t xml:space="preserve">  </w:t>
      </w:r>
    </w:p>
    <w:p w14:paraId="70DA9445" w14:textId="011FA7E9" w:rsidR="00221DAB" w:rsidRPr="000D05DB" w:rsidRDefault="00221DAB"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The investigation was adjusted as required </w:t>
      </w:r>
      <w:r w:rsidRPr="00B7432E">
        <w:rPr>
          <w:rFonts w:ascii="Times New Roman" w:hAnsi="Times New Roman" w:cs="Times New Roman"/>
          <w:sz w:val="22"/>
          <w:szCs w:val="22"/>
          <w:highlight w:val="yellow"/>
        </w:rPr>
        <w:t xml:space="preserve">by </w:t>
      </w:r>
      <w:r w:rsidR="005E5F73" w:rsidRPr="00B7432E">
        <w:rPr>
          <w:rFonts w:ascii="Times New Roman" w:hAnsi="Times New Roman" w:cs="Times New Roman"/>
          <w:sz w:val="22"/>
          <w:szCs w:val="22"/>
          <w:highlight w:val="yellow"/>
        </w:rPr>
        <w:t xml:space="preserve">the </w:t>
      </w:r>
      <w:r w:rsidRPr="00B7432E">
        <w:rPr>
          <w:rFonts w:ascii="Times New Roman" w:hAnsi="Times New Roman" w:cs="Times New Roman"/>
          <w:sz w:val="22"/>
          <w:szCs w:val="22"/>
          <w:highlight w:val="yellow"/>
        </w:rPr>
        <w:t>use of</w:t>
      </w:r>
      <w:r w:rsidRPr="000D05DB">
        <w:rPr>
          <w:rFonts w:ascii="Times New Roman" w:hAnsi="Times New Roman" w:cs="Times New Roman"/>
          <w:sz w:val="22"/>
          <w:szCs w:val="22"/>
        </w:rPr>
        <w:t xml:space="preserve"> Boolean operators ('OR', 'AND', 'NOT') to either widen or limit the range. The use of the Boolean operator 'AND' enabled the combination of several concepts, resulting in a more focused search that included only relevant resources addressing all the investigated topics. In contrast, the 'OR' operator merged MeSH words inside each concept specified in the PICO framework. This allowed for a thorough evaluation of every conceivable manifestation or representation of the concept being investigated. Database-specific terminology and filtering choices were used as necessary. The utilisation of MeSH keywords from the database was used to identify the pertinent categories of publications, if appropriate</w:t>
      </w:r>
      <w:r w:rsidR="005E5F73">
        <w:rPr>
          <w:rFonts w:ascii="Times New Roman" w:hAnsi="Times New Roman" w:cs="Times New Roman"/>
          <w:sz w:val="22"/>
          <w:szCs w:val="22"/>
        </w:rPr>
        <w:t>,</w:t>
      </w:r>
      <w:r w:rsidRPr="000D05DB">
        <w:rPr>
          <w:rFonts w:ascii="Times New Roman" w:hAnsi="Times New Roman" w:cs="Times New Roman"/>
          <w:sz w:val="22"/>
          <w:szCs w:val="22"/>
        </w:rPr>
        <w:t xml:space="preserve"> effectively.</w:t>
      </w:r>
    </w:p>
    <w:p w14:paraId="0C76FFC6" w14:textId="77777777" w:rsidR="00221DAB" w:rsidRPr="000D05DB" w:rsidRDefault="00221DAB"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br w:type="page"/>
      </w:r>
    </w:p>
    <w:p w14:paraId="4C3F0733" w14:textId="2B9F254D" w:rsidR="00221DAB" w:rsidRPr="000D05DB" w:rsidRDefault="00221DAB" w:rsidP="000D05DB">
      <w:pPr>
        <w:spacing w:line="360" w:lineRule="auto"/>
        <w:jc w:val="both"/>
        <w:rPr>
          <w:rFonts w:ascii="Times New Roman" w:hAnsi="Times New Roman" w:cs="Times New Roman"/>
          <w:b/>
          <w:sz w:val="22"/>
          <w:szCs w:val="22"/>
        </w:rPr>
      </w:pPr>
      <w:r w:rsidRPr="000D05DB">
        <w:rPr>
          <w:rFonts w:ascii="Times New Roman" w:hAnsi="Times New Roman" w:cs="Times New Roman"/>
          <w:b/>
          <w:sz w:val="22"/>
          <w:szCs w:val="22"/>
        </w:rPr>
        <w:lastRenderedPageBreak/>
        <w:t xml:space="preserve">Table 2: </w:t>
      </w:r>
      <w:r w:rsidR="00C36943">
        <w:rPr>
          <w:rFonts w:ascii="Times New Roman" w:hAnsi="Times New Roman" w:cs="Times New Roman"/>
          <w:bCs/>
          <w:sz w:val="22"/>
          <w:szCs w:val="22"/>
        </w:rPr>
        <w:t>S</w:t>
      </w:r>
      <w:r w:rsidRPr="00C36943">
        <w:rPr>
          <w:rFonts w:ascii="Times New Roman" w:hAnsi="Times New Roman" w:cs="Times New Roman"/>
          <w:bCs/>
          <w:sz w:val="22"/>
          <w:szCs w:val="22"/>
        </w:rPr>
        <w:t>earch terms</w:t>
      </w:r>
    </w:p>
    <w:tbl>
      <w:tblPr>
        <w:tblW w:w="95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3"/>
        <w:gridCol w:w="1703"/>
        <w:gridCol w:w="1843"/>
        <w:gridCol w:w="1985"/>
        <w:gridCol w:w="1750"/>
        <w:gridCol w:w="1585"/>
      </w:tblGrid>
      <w:tr w:rsidR="00221DAB" w:rsidRPr="000D05DB" w14:paraId="2CC4B304" w14:textId="77777777" w:rsidTr="00A13E50">
        <w:trPr>
          <w:trHeight w:val="824"/>
        </w:trPr>
        <w:tc>
          <w:tcPr>
            <w:tcW w:w="673" w:type="dxa"/>
            <w:tcBorders>
              <w:top w:val="single" w:sz="4" w:space="0" w:color="000000"/>
              <w:left w:val="single" w:sz="4" w:space="0" w:color="000000"/>
              <w:bottom w:val="single" w:sz="4" w:space="0" w:color="000000"/>
              <w:right w:val="single" w:sz="4" w:space="0" w:color="000000"/>
            </w:tcBorders>
          </w:tcPr>
          <w:p w14:paraId="2904192E" w14:textId="77777777" w:rsidR="00221DAB" w:rsidRPr="000D05DB" w:rsidRDefault="00221DAB" w:rsidP="000D05DB">
            <w:pPr>
              <w:spacing w:after="200" w:line="360" w:lineRule="auto"/>
              <w:jc w:val="both"/>
              <w:rPr>
                <w:rFonts w:ascii="Times New Roman" w:eastAsia="Arial" w:hAnsi="Times New Roman" w:cs="Times New Roman"/>
                <w:sz w:val="22"/>
                <w:szCs w:val="22"/>
              </w:rPr>
            </w:pPr>
          </w:p>
        </w:tc>
        <w:tc>
          <w:tcPr>
            <w:tcW w:w="1703" w:type="dxa"/>
            <w:tcBorders>
              <w:top w:val="single" w:sz="4" w:space="0" w:color="000000"/>
              <w:left w:val="single" w:sz="4" w:space="0" w:color="000000"/>
              <w:bottom w:val="single" w:sz="4" w:space="0" w:color="000000"/>
              <w:right w:val="single" w:sz="4" w:space="0" w:color="000000"/>
            </w:tcBorders>
          </w:tcPr>
          <w:p w14:paraId="1D46B189" w14:textId="77777777" w:rsidR="00221DAB" w:rsidRPr="000D05DB" w:rsidRDefault="00221DAB" w:rsidP="000D05DB">
            <w:pPr>
              <w:spacing w:after="200" w:line="360" w:lineRule="auto"/>
              <w:jc w:val="both"/>
              <w:rPr>
                <w:rFonts w:ascii="Times New Roman" w:eastAsia="Arial" w:hAnsi="Times New Roman" w:cs="Times New Roman"/>
                <w:b/>
                <w:sz w:val="22"/>
                <w:szCs w:val="22"/>
              </w:rPr>
            </w:pPr>
            <w:r w:rsidRPr="000D05DB">
              <w:rPr>
                <w:rFonts w:ascii="Times New Roman" w:eastAsia="Arial" w:hAnsi="Times New Roman" w:cs="Times New Roman"/>
                <w:b/>
                <w:sz w:val="22"/>
                <w:szCs w:val="22"/>
              </w:rPr>
              <w:t>Concept 1: Population</w:t>
            </w:r>
          </w:p>
        </w:tc>
        <w:tc>
          <w:tcPr>
            <w:tcW w:w="1843" w:type="dxa"/>
            <w:tcBorders>
              <w:top w:val="single" w:sz="4" w:space="0" w:color="000000"/>
              <w:left w:val="single" w:sz="4" w:space="0" w:color="000000"/>
              <w:bottom w:val="single" w:sz="4" w:space="0" w:color="000000"/>
              <w:right w:val="single" w:sz="4" w:space="0" w:color="000000"/>
            </w:tcBorders>
          </w:tcPr>
          <w:p w14:paraId="3C15949C" w14:textId="77777777" w:rsidR="00221DAB" w:rsidRPr="000D05DB" w:rsidRDefault="00221DAB" w:rsidP="000D05DB">
            <w:pPr>
              <w:spacing w:after="200" w:line="360" w:lineRule="auto"/>
              <w:jc w:val="both"/>
              <w:rPr>
                <w:rFonts w:ascii="Times New Roman" w:eastAsia="Arial" w:hAnsi="Times New Roman" w:cs="Times New Roman"/>
                <w:b/>
                <w:sz w:val="22"/>
                <w:szCs w:val="22"/>
              </w:rPr>
            </w:pPr>
            <w:r w:rsidRPr="000D05DB">
              <w:rPr>
                <w:rFonts w:ascii="Times New Roman" w:eastAsia="Arial" w:hAnsi="Times New Roman" w:cs="Times New Roman"/>
                <w:b/>
                <w:sz w:val="22"/>
                <w:szCs w:val="22"/>
              </w:rPr>
              <w:t>Concept 2: issue</w:t>
            </w:r>
          </w:p>
        </w:tc>
        <w:tc>
          <w:tcPr>
            <w:tcW w:w="1985" w:type="dxa"/>
            <w:tcBorders>
              <w:top w:val="single" w:sz="4" w:space="0" w:color="000000"/>
              <w:left w:val="single" w:sz="4" w:space="0" w:color="000000"/>
              <w:bottom w:val="single" w:sz="4" w:space="0" w:color="000000"/>
              <w:right w:val="single" w:sz="4" w:space="0" w:color="000000"/>
            </w:tcBorders>
          </w:tcPr>
          <w:p w14:paraId="22F2F539" w14:textId="77777777" w:rsidR="00221DAB" w:rsidRPr="000D05DB" w:rsidRDefault="00221DAB" w:rsidP="000D05DB">
            <w:pPr>
              <w:spacing w:after="200" w:line="360" w:lineRule="auto"/>
              <w:jc w:val="both"/>
              <w:rPr>
                <w:rFonts w:ascii="Times New Roman" w:eastAsia="Arial" w:hAnsi="Times New Roman" w:cs="Times New Roman"/>
                <w:b/>
                <w:sz w:val="22"/>
                <w:szCs w:val="22"/>
              </w:rPr>
            </w:pPr>
            <w:r w:rsidRPr="000D05DB">
              <w:rPr>
                <w:rFonts w:ascii="Times New Roman" w:eastAsia="Arial" w:hAnsi="Times New Roman" w:cs="Times New Roman"/>
                <w:b/>
                <w:sz w:val="22"/>
                <w:szCs w:val="22"/>
              </w:rPr>
              <w:t>Concept 3: intervention</w:t>
            </w:r>
          </w:p>
        </w:tc>
        <w:tc>
          <w:tcPr>
            <w:tcW w:w="1750" w:type="dxa"/>
            <w:tcBorders>
              <w:top w:val="single" w:sz="4" w:space="0" w:color="000000"/>
              <w:left w:val="single" w:sz="4" w:space="0" w:color="000000"/>
              <w:bottom w:val="single" w:sz="4" w:space="0" w:color="000000"/>
              <w:right w:val="single" w:sz="4" w:space="0" w:color="000000"/>
            </w:tcBorders>
          </w:tcPr>
          <w:p w14:paraId="5DB6494C" w14:textId="77777777" w:rsidR="00221DAB" w:rsidRPr="000D05DB" w:rsidRDefault="00221DAB" w:rsidP="000D05DB">
            <w:pPr>
              <w:spacing w:after="200" w:line="360" w:lineRule="auto"/>
              <w:jc w:val="both"/>
              <w:rPr>
                <w:rFonts w:ascii="Times New Roman" w:eastAsia="Arial" w:hAnsi="Times New Roman" w:cs="Times New Roman"/>
                <w:b/>
                <w:sz w:val="22"/>
                <w:szCs w:val="22"/>
              </w:rPr>
            </w:pPr>
            <w:r w:rsidRPr="000D05DB">
              <w:rPr>
                <w:rFonts w:ascii="Times New Roman" w:eastAsia="Arial" w:hAnsi="Times New Roman" w:cs="Times New Roman"/>
                <w:b/>
                <w:sz w:val="22"/>
                <w:szCs w:val="22"/>
              </w:rPr>
              <w:t>Concept 4: Outcome</w:t>
            </w:r>
          </w:p>
        </w:tc>
        <w:tc>
          <w:tcPr>
            <w:tcW w:w="1585" w:type="dxa"/>
            <w:tcBorders>
              <w:top w:val="single" w:sz="4" w:space="0" w:color="000000"/>
              <w:left w:val="single" w:sz="4" w:space="0" w:color="000000"/>
              <w:bottom w:val="single" w:sz="4" w:space="0" w:color="000000"/>
              <w:right w:val="single" w:sz="4" w:space="0" w:color="000000"/>
            </w:tcBorders>
          </w:tcPr>
          <w:p w14:paraId="3526CE4A" w14:textId="77777777" w:rsidR="00221DAB" w:rsidRPr="000D05DB" w:rsidRDefault="00221DAB" w:rsidP="000D05DB">
            <w:pPr>
              <w:spacing w:line="360" w:lineRule="auto"/>
              <w:jc w:val="both"/>
              <w:rPr>
                <w:rFonts w:ascii="Times New Roman" w:eastAsia="Arial" w:hAnsi="Times New Roman" w:cs="Times New Roman"/>
                <w:b/>
                <w:sz w:val="22"/>
                <w:szCs w:val="22"/>
              </w:rPr>
            </w:pPr>
            <w:r w:rsidRPr="000D05DB">
              <w:rPr>
                <w:rFonts w:ascii="Times New Roman" w:eastAsia="Arial" w:hAnsi="Times New Roman" w:cs="Times New Roman"/>
                <w:b/>
                <w:sz w:val="22"/>
                <w:szCs w:val="22"/>
              </w:rPr>
              <w:t xml:space="preserve">Context </w:t>
            </w:r>
          </w:p>
        </w:tc>
      </w:tr>
      <w:tr w:rsidR="00221DAB" w:rsidRPr="000D05DB" w14:paraId="1FCCEAF5" w14:textId="77777777" w:rsidTr="00A13E50">
        <w:trPr>
          <w:trHeight w:val="416"/>
        </w:trPr>
        <w:tc>
          <w:tcPr>
            <w:tcW w:w="673" w:type="dxa"/>
            <w:tcBorders>
              <w:top w:val="single" w:sz="4" w:space="0" w:color="000000"/>
              <w:left w:val="single" w:sz="4" w:space="0" w:color="000000"/>
              <w:bottom w:val="single" w:sz="4" w:space="0" w:color="000000"/>
              <w:right w:val="single" w:sz="4" w:space="0" w:color="000000"/>
            </w:tcBorders>
          </w:tcPr>
          <w:p w14:paraId="11147AE5" w14:textId="77777777" w:rsidR="00221DAB" w:rsidRPr="000D05DB" w:rsidRDefault="00221DAB" w:rsidP="000D05DB">
            <w:pPr>
              <w:numPr>
                <w:ilvl w:val="0"/>
                <w:numId w:val="1"/>
              </w:numPr>
              <w:spacing w:after="200" w:line="360" w:lineRule="auto"/>
              <w:jc w:val="both"/>
              <w:rPr>
                <w:rFonts w:ascii="Times New Roman" w:eastAsia="Arial" w:hAnsi="Times New Roman" w:cs="Times New Roman"/>
                <w:sz w:val="22"/>
                <w:szCs w:val="22"/>
              </w:rPr>
            </w:pPr>
          </w:p>
        </w:tc>
        <w:tc>
          <w:tcPr>
            <w:tcW w:w="1703" w:type="dxa"/>
            <w:tcBorders>
              <w:top w:val="single" w:sz="4" w:space="0" w:color="000000"/>
              <w:left w:val="single" w:sz="4" w:space="0" w:color="000000"/>
              <w:bottom w:val="single" w:sz="4" w:space="0" w:color="000000"/>
              <w:right w:val="single" w:sz="4" w:space="0" w:color="000000"/>
            </w:tcBorders>
          </w:tcPr>
          <w:p w14:paraId="59BB5FE2"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Adult* OR middle-age* OR older adult*</w:t>
            </w:r>
          </w:p>
        </w:tc>
        <w:tc>
          <w:tcPr>
            <w:tcW w:w="1843" w:type="dxa"/>
            <w:tcBorders>
              <w:top w:val="single" w:sz="4" w:space="0" w:color="000000"/>
              <w:left w:val="single" w:sz="4" w:space="0" w:color="000000"/>
              <w:bottom w:val="single" w:sz="4" w:space="0" w:color="000000"/>
              <w:right w:val="single" w:sz="4" w:space="0" w:color="000000"/>
            </w:tcBorders>
          </w:tcPr>
          <w:p w14:paraId="045A3FE4"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Diabetes OR Diabetes mellitus OR type 2 Diabetes OR type II diabetes OR T2DM </w:t>
            </w:r>
          </w:p>
        </w:tc>
        <w:tc>
          <w:tcPr>
            <w:tcW w:w="1985" w:type="dxa"/>
            <w:tcBorders>
              <w:top w:val="single" w:sz="4" w:space="0" w:color="000000"/>
              <w:left w:val="single" w:sz="4" w:space="0" w:color="000000"/>
              <w:bottom w:val="single" w:sz="4" w:space="0" w:color="000000"/>
              <w:right w:val="single" w:sz="4" w:space="0" w:color="000000"/>
            </w:tcBorders>
          </w:tcPr>
          <w:p w14:paraId="1551B8B1"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Intervention OR health intervention OR program* OR programme* OR initiative OR promotion OR health promotion OR behavioural OR lifestyle OR behavioural intervention* OR lifestyle modification</w:t>
            </w:r>
          </w:p>
        </w:tc>
        <w:tc>
          <w:tcPr>
            <w:tcW w:w="1750" w:type="dxa"/>
            <w:tcBorders>
              <w:top w:val="single" w:sz="4" w:space="0" w:color="000000"/>
              <w:left w:val="single" w:sz="4" w:space="0" w:color="000000"/>
              <w:bottom w:val="single" w:sz="4" w:space="0" w:color="000000"/>
              <w:right w:val="single" w:sz="4" w:space="0" w:color="000000"/>
            </w:tcBorders>
          </w:tcPr>
          <w:p w14:paraId="7B270DE1"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Remission OR weight OR Weight management OR incidence OR Hospitalisation</w:t>
            </w:r>
          </w:p>
        </w:tc>
        <w:tc>
          <w:tcPr>
            <w:tcW w:w="1585" w:type="dxa"/>
            <w:tcBorders>
              <w:top w:val="single" w:sz="4" w:space="0" w:color="000000"/>
              <w:left w:val="single" w:sz="4" w:space="0" w:color="000000"/>
              <w:bottom w:val="single" w:sz="4" w:space="0" w:color="000000"/>
              <w:right w:val="single" w:sz="4" w:space="0" w:color="000000"/>
            </w:tcBorders>
          </w:tcPr>
          <w:p w14:paraId="244C57B1" w14:textId="77777777" w:rsidR="00221DAB" w:rsidRPr="000D05DB" w:rsidRDefault="00221DAB" w:rsidP="000D05DB">
            <w:pPr>
              <w:spacing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Africa OR African OR African Countries</w:t>
            </w:r>
          </w:p>
        </w:tc>
      </w:tr>
    </w:tbl>
    <w:p w14:paraId="1CF50192" w14:textId="77777777" w:rsidR="00221DAB" w:rsidRPr="000D05DB" w:rsidRDefault="00221DAB" w:rsidP="000D05DB">
      <w:pPr>
        <w:pStyle w:val="Heading3"/>
        <w:spacing w:line="360" w:lineRule="auto"/>
        <w:jc w:val="both"/>
        <w:rPr>
          <w:rFonts w:ascii="Times New Roman" w:hAnsi="Times New Roman" w:cs="Times New Roman"/>
          <w:sz w:val="22"/>
          <w:szCs w:val="22"/>
        </w:rPr>
      </w:pPr>
      <w:bookmarkStart w:id="11" w:name="_1t3h5sf" w:colFirst="0" w:colLast="0"/>
      <w:bookmarkStart w:id="12" w:name="_Toc154152582"/>
      <w:bookmarkEnd w:id="11"/>
    </w:p>
    <w:p w14:paraId="135E81B0" w14:textId="30FAB4C0" w:rsidR="00221DAB" w:rsidRPr="000D05DB" w:rsidRDefault="00221DAB" w:rsidP="000D05DB">
      <w:pPr>
        <w:spacing w:line="360" w:lineRule="auto"/>
        <w:jc w:val="both"/>
        <w:rPr>
          <w:rFonts w:ascii="Times New Roman" w:hAnsi="Times New Roman" w:cs="Times New Roman"/>
          <w:b/>
          <w:bCs/>
          <w:sz w:val="22"/>
          <w:szCs w:val="22"/>
        </w:rPr>
      </w:pPr>
      <w:r w:rsidRPr="000D05DB">
        <w:rPr>
          <w:rFonts w:ascii="Times New Roman" w:hAnsi="Times New Roman" w:cs="Times New Roman"/>
          <w:b/>
          <w:bCs/>
          <w:sz w:val="22"/>
          <w:szCs w:val="22"/>
        </w:rPr>
        <w:t>Eligibility criteria</w:t>
      </w:r>
      <w:bookmarkEnd w:id="12"/>
    </w:p>
    <w:p w14:paraId="2BA1F7C2" w14:textId="2B9A40FD" w:rsidR="00221DAB" w:rsidRPr="00B7432E" w:rsidRDefault="00221DAB" w:rsidP="000D05DB">
      <w:pPr>
        <w:spacing w:line="360" w:lineRule="auto"/>
        <w:jc w:val="both"/>
        <w:rPr>
          <w:rFonts w:ascii="Times New Roman" w:eastAsia="Arial" w:hAnsi="Times New Roman" w:cs="Times New Roman"/>
          <w:sz w:val="22"/>
          <w:szCs w:val="22"/>
          <w:highlight w:val="yellow"/>
        </w:rPr>
      </w:pPr>
      <w:r w:rsidRPr="000D05DB">
        <w:rPr>
          <w:rFonts w:ascii="Times New Roman" w:eastAsia="Arial" w:hAnsi="Times New Roman" w:cs="Times New Roman"/>
          <w:sz w:val="22"/>
          <w:szCs w:val="22"/>
        </w:rPr>
        <w:t xml:space="preserve">The selection process for publications used for this </w:t>
      </w:r>
      <w:r w:rsidRPr="00B7432E">
        <w:rPr>
          <w:rFonts w:ascii="Times New Roman" w:eastAsia="Arial" w:hAnsi="Times New Roman" w:cs="Times New Roman"/>
          <w:sz w:val="22"/>
          <w:szCs w:val="22"/>
          <w:highlight w:val="yellow"/>
        </w:rPr>
        <w:t xml:space="preserve">research </w:t>
      </w:r>
      <w:r w:rsidR="005E5F73" w:rsidRPr="00B7432E">
        <w:rPr>
          <w:rFonts w:ascii="Times New Roman" w:eastAsia="Arial" w:hAnsi="Times New Roman" w:cs="Times New Roman"/>
          <w:sz w:val="22"/>
          <w:szCs w:val="22"/>
          <w:highlight w:val="yellow"/>
        </w:rPr>
        <w:t xml:space="preserve">was </w:t>
      </w:r>
      <w:r w:rsidRPr="00B7432E">
        <w:rPr>
          <w:rFonts w:ascii="Times New Roman" w:eastAsia="Arial" w:hAnsi="Times New Roman" w:cs="Times New Roman"/>
          <w:sz w:val="22"/>
          <w:szCs w:val="22"/>
          <w:highlight w:val="yellow"/>
        </w:rPr>
        <w:t xml:space="preserve">sufficiently </w:t>
      </w:r>
      <w:r w:rsidRPr="000D05DB">
        <w:rPr>
          <w:rFonts w:ascii="Times New Roman" w:eastAsia="Arial" w:hAnsi="Times New Roman" w:cs="Times New Roman"/>
          <w:sz w:val="22"/>
          <w:szCs w:val="22"/>
        </w:rPr>
        <w:t xml:space="preserve">flexible to accommodate various study techniques, while still being appropriately rigorous in determining their relevance and disposition, as shown </w:t>
      </w:r>
      <w:r w:rsidRPr="00B7432E">
        <w:rPr>
          <w:rFonts w:ascii="Times New Roman" w:eastAsia="Arial" w:hAnsi="Times New Roman" w:cs="Times New Roman"/>
          <w:sz w:val="22"/>
          <w:szCs w:val="22"/>
          <w:highlight w:val="yellow"/>
        </w:rPr>
        <w:t xml:space="preserve">in </w:t>
      </w:r>
      <w:r w:rsidR="005E5F73" w:rsidRPr="00B7432E">
        <w:rPr>
          <w:rFonts w:ascii="Times New Roman" w:eastAsia="Arial" w:hAnsi="Times New Roman" w:cs="Times New Roman"/>
          <w:sz w:val="22"/>
          <w:szCs w:val="22"/>
          <w:highlight w:val="yellow"/>
        </w:rPr>
        <w:t xml:space="preserve">Table </w:t>
      </w:r>
      <w:r w:rsidRPr="00B7432E">
        <w:rPr>
          <w:rFonts w:ascii="Times New Roman" w:eastAsia="Arial" w:hAnsi="Times New Roman" w:cs="Times New Roman"/>
          <w:sz w:val="22"/>
          <w:szCs w:val="22"/>
          <w:highlight w:val="yellow"/>
        </w:rPr>
        <w:t xml:space="preserve">3. All </w:t>
      </w:r>
      <w:r w:rsidR="005E5F73" w:rsidRPr="00B7432E">
        <w:rPr>
          <w:rFonts w:ascii="Times New Roman" w:eastAsia="Arial" w:hAnsi="Times New Roman" w:cs="Times New Roman"/>
          <w:sz w:val="22"/>
          <w:szCs w:val="22"/>
          <w:highlight w:val="yellow"/>
        </w:rPr>
        <w:t xml:space="preserve">publications </w:t>
      </w:r>
      <w:r w:rsidRPr="00B7432E">
        <w:rPr>
          <w:rFonts w:ascii="Times New Roman" w:eastAsia="Arial" w:hAnsi="Times New Roman" w:cs="Times New Roman"/>
          <w:sz w:val="22"/>
          <w:szCs w:val="22"/>
          <w:highlight w:val="yellow"/>
        </w:rPr>
        <w:t xml:space="preserve">identified </w:t>
      </w:r>
      <w:r w:rsidRPr="000D05DB">
        <w:rPr>
          <w:rFonts w:ascii="Times New Roman" w:eastAsia="Arial" w:hAnsi="Times New Roman" w:cs="Times New Roman"/>
          <w:sz w:val="22"/>
          <w:szCs w:val="22"/>
        </w:rPr>
        <w:t xml:space="preserve">from the primary database searches satisfied the inclusion standards </w:t>
      </w:r>
      <w:r w:rsidR="005E5F73" w:rsidRPr="00B7432E">
        <w:rPr>
          <w:rFonts w:ascii="Times New Roman" w:eastAsia="Arial" w:hAnsi="Times New Roman" w:cs="Times New Roman"/>
          <w:sz w:val="22"/>
          <w:szCs w:val="22"/>
          <w:highlight w:val="yellow"/>
        </w:rPr>
        <w:t xml:space="preserve">outlined </w:t>
      </w:r>
      <w:r w:rsidRPr="00B7432E">
        <w:rPr>
          <w:rFonts w:ascii="Times New Roman" w:eastAsia="Arial" w:hAnsi="Times New Roman" w:cs="Times New Roman"/>
          <w:sz w:val="22"/>
          <w:szCs w:val="22"/>
          <w:highlight w:val="yellow"/>
        </w:rPr>
        <w:t>below:</w:t>
      </w:r>
    </w:p>
    <w:p w14:paraId="7FAA9781" w14:textId="77777777" w:rsidR="00221DAB" w:rsidRPr="000D05DB" w:rsidRDefault="00221DAB" w:rsidP="000D05DB">
      <w:pPr>
        <w:spacing w:line="360" w:lineRule="auto"/>
        <w:jc w:val="both"/>
        <w:rPr>
          <w:rFonts w:ascii="Times New Roman" w:hAnsi="Times New Roman" w:cs="Times New Roman"/>
          <w:b/>
          <w:sz w:val="22"/>
          <w:szCs w:val="22"/>
        </w:rPr>
      </w:pPr>
      <w:r w:rsidRPr="000D05DB">
        <w:rPr>
          <w:rFonts w:ascii="Times New Roman" w:hAnsi="Times New Roman" w:cs="Times New Roman"/>
          <w:b/>
          <w:sz w:val="22"/>
          <w:szCs w:val="22"/>
        </w:rPr>
        <w:br w:type="page"/>
      </w:r>
    </w:p>
    <w:p w14:paraId="4E831B63" w14:textId="77777777" w:rsidR="00221DAB" w:rsidRPr="000D05DB" w:rsidRDefault="00221DAB" w:rsidP="000D05DB">
      <w:pPr>
        <w:spacing w:line="360" w:lineRule="auto"/>
        <w:jc w:val="both"/>
        <w:rPr>
          <w:rFonts w:ascii="Times New Roman" w:eastAsia="Arial" w:hAnsi="Times New Roman" w:cs="Times New Roman"/>
          <w:b/>
          <w:sz w:val="22"/>
          <w:szCs w:val="22"/>
        </w:rPr>
      </w:pPr>
      <w:r w:rsidRPr="000D05DB">
        <w:rPr>
          <w:rFonts w:ascii="Times New Roman" w:hAnsi="Times New Roman" w:cs="Times New Roman"/>
          <w:b/>
          <w:sz w:val="22"/>
          <w:szCs w:val="22"/>
        </w:rPr>
        <w:lastRenderedPageBreak/>
        <w:t>Table 3: Eligibility Criteria</w:t>
      </w:r>
    </w:p>
    <w:tbl>
      <w:tblPr>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8"/>
        <w:gridCol w:w="5320"/>
        <w:gridCol w:w="3404"/>
      </w:tblGrid>
      <w:tr w:rsidR="00221DAB" w:rsidRPr="000D05DB" w14:paraId="024981F1" w14:textId="77777777" w:rsidTr="00A13E50">
        <w:trPr>
          <w:trHeight w:val="510"/>
        </w:trPr>
        <w:tc>
          <w:tcPr>
            <w:tcW w:w="518" w:type="dxa"/>
          </w:tcPr>
          <w:p w14:paraId="16BE719F" w14:textId="77777777" w:rsidR="00221DAB" w:rsidRPr="000D05DB" w:rsidRDefault="00221DAB" w:rsidP="000D05DB">
            <w:pPr>
              <w:spacing w:after="200" w:line="360" w:lineRule="auto"/>
              <w:jc w:val="both"/>
              <w:rPr>
                <w:rFonts w:ascii="Times New Roman" w:eastAsia="Arial" w:hAnsi="Times New Roman" w:cs="Times New Roman"/>
                <w:b/>
                <w:sz w:val="22"/>
                <w:szCs w:val="22"/>
              </w:rPr>
            </w:pPr>
          </w:p>
        </w:tc>
        <w:tc>
          <w:tcPr>
            <w:tcW w:w="5320" w:type="dxa"/>
          </w:tcPr>
          <w:p w14:paraId="23198D45" w14:textId="77777777" w:rsidR="00221DAB" w:rsidRPr="000D05DB" w:rsidRDefault="00221DAB" w:rsidP="000D05DB">
            <w:pPr>
              <w:spacing w:after="200" w:line="360" w:lineRule="auto"/>
              <w:jc w:val="both"/>
              <w:rPr>
                <w:rFonts w:ascii="Times New Roman" w:eastAsia="Arial" w:hAnsi="Times New Roman" w:cs="Times New Roman"/>
                <w:b/>
                <w:sz w:val="22"/>
                <w:szCs w:val="22"/>
              </w:rPr>
            </w:pPr>
            <w:r w:rsidRPr="000D05DB">
              <w:rPr>
                <w:rFonts w:ascii="Times New Roman" w:eastAsia="Arial" w:hAnsi="Times New Roman" w:cs="Times New Roman"/>
                <w:b/>
                <w:sz w:val="22"/>
                <w:szCs w:val="22"/>
              </w:rPr>
              <w:t>Inclusion criteria</w:t>
            </w:r>
          </w:p>
        </w:tc>
        <w:tc>
          <w:tcPr>
            <w:tcW w:w="3404" w:type="dxa"/>
          </w:tcPr>
          <w:p w14:paraId="264D65DC" w14:textId="77777777" w:rsidR="00221DAB" w:rsidRPr="000D05DB" w:rsidRDefault="00221DAB" w:rsidP="000D05DB">
            <w:pPr>
              <w:spacing w:after="200" w:line="360" w:lineRule="auto"/>
              <w:jc w:val="both"/>
              <w:rPr>
                <w:rFonts w:ascii="Times New Roman" w:eastAsia="Arial" w:hAnsi="Times New Roman" w:cs="Times New Roman"/>
                <w:b/>
                <w:sz w:val="22"/>
                <w:szCs w:val="22"/>
              </w:rPr>
            </w:pPr>
            <w:r w:rsidRPr="000D05DB">
              <w:rPr>
                <w:rFonts w:ascii="Times New Roman" w:eastAsia="Arial" w:hAnsi="Times New Roman" w:cs="Times New Roman"/>
                <w:b/>
                <w:sz w:val="22"/>
                <w:szCs w:val="22"/>
              </w:rPr>
              <w:t>Exclusion criteria</w:t>
            </w:r>
          </w:p>
        </w:tc>
      </w:tr>
      <w:tr w:rsidR="00221DAB" w:rsidRPr="000D05DB" w14:paraId="4E5DBC22" w14:textId="77777777" w:rsidTr="00A13E50">
        <w:trPr>
          <w:trHeight w:val="510"/>
        </w:trPr>
        <w:tc>
          <w:tcPr>
            <w:tcW w:w="518" w:type="dxa"/>
          </w:tcPr>
          <w:p w14:paraId="590AA5EF" w14:textId="77777777" w:rsidR="00221DAB" w:rsidRPr="000D05DB" w:rsidRDefault="00221DAB" w:rsidP="000D05DB">
            <w:pPr>
              <w:numPr>
                <w:ilvl w:val="0"/>
                <w:numId w:val="3"/>
              </w:numPr>
              <w:spacing w:after="200" w:line="360" w:lineRule="auto"/>
              <w:jc w:val="both"/>
              <w:rPr>
                <w:rFonts w:ascii="Times New Roman" w:eastAsia="Arial" w:hAnsi="Times New Roman" w:cs="Times New Roman"/>
                <w:sz w:val="22"/>
                <w:szCs w:val="22"/>
              </w:rPr>
            </w:pPr>
          </w:p>
        </w:tc>
        <w:tc>
          <w:tcPr>
            <w:tcW w:w="5320" w:type="dxa"/>
          </w:tcPr>
          <w:p w14:paraId="088CA230" w14:textId="57BBEE9E"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Quantitative, Qualitative </w:t>
            </w:r>
            <w:r w:rsidRPr="00B7432E">
              <w:rPr>
                <w:rFonts w:ascii="Times New Roman" w:eastAsia="Arial" w:hAnsi="Times New Roman" w:cs="Times New Roman"/>
                <w:sz w:val="22"/>
                <w:szCs w:val="22"/>
                <w:highlight w:val="yellow"/>
              </w:rPr>
              <w:t xml:space="preserve">and </w:t>
            </w:r>
            <w:r w:rsidR="005E5F73" w:rsidRPr="00B7432E">
              <w:rPr>
                <w:rFonts w:ascii="Times New Roman" w:eastAsia="Arial" w:hAnsi="Times New Roman" w:cs="Times New Roman"/>
                <w:sz w:val="22"/>
                <w:szCs w:val="22"/>
                <w:highlight w:val="yellow"/>
              </w:rPr>
              <w:t>mixed-method</w:t>
            </w:r>
            <w:r w:rsidRPr="00B7432E">
              <w:rPr>
                <w:rFonts w:ascii="Times New Roman" w:eastAsia="Arial" w:hAnsi="Times New Roman" w:cs="Times New Roman"/>
                <w:sz w:val="22"/>
                <w:szCs w:val="22"/>
                <w:highlight w:val="yellow"/>
              </w:rPr>
              <w:t xml:space="preserve"> </w:t>
            </w:r>
            <w:r w:rsidRPr="000D05DB">
              <w:rPr>
                <w:rFonts w:ascii="Times New Roman" w:eastAsia="Arial" w:hAnsi="Times New Roman" w:cs="Times New Roman"/>
                <w:sz w:val="22"/>
                <w:szCs w:val="22"/>
              </w:rPr>
              <w:t>research</w:t>
            </w:r>
          </w:p>
        </w:tc>
        <w:tc>
          <w:tcPr>
            <w:tcW w:w="3404" w:type="dxa"/>
          </w:tcPr>
          <w:p w14:paraId="1636C62F" w14:textId="19E79976"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Review articles and </w:t>
            </w:r>
            <w:r w:rsidR="005E5F73" w:rsidRPr="00B7432E">
              <w:rPr>
                <w:rFonts w:ascii="Times New Roman" w:eastAsia="Arial" w:hAnsi="Times New Roman" w:cs="Times New Roman"/>
                <w:sz w:val="22"/>
                <w:szCs w:val="22"/>
                <w:highlight w:val="yellow"/>
              </w:rPr>
              <w:t>meta-analyses</w:t>
            </w:r>
          </w:p>
        </w:tc>
      </w:tr>
      <w:tr w:rsidR="00221DAB" w:rsidRPr="000D05DB" w14:paraId="3E0CC56F" w14:textId="77777777" w:rsidTr="00A13E50">
        <w:trPr>
          <w:trHeight w:val="510"/>
        </w:trPr>
        <w:tc>
          <w:tcPr>
            <w:tcW w:w="518" w:type="dxa"/>
          </w:tcPr>
          <w:p w14:paraId="7D0753FE" w14:textId="77777777" w:rsidR="00221DAB" w:rsidRPr="000D05DB" w:rsidRDefault="00221DAB" w:rsidP="000D05DB">
            <w:pPr>
              <w:numPr>
                <w:ilvl w:val="0"/>
                <w:numId w:val="3"/>
              </w:numPr>
              <w:spacing w:after="200" w:line="360" w:lineRule="auto"/>
              <w:jc w:val="both"/>
              <w:rPr>
                <w:rFonts w:ascii="Times New Roman" w:eastAsia="Arial" w:hAnsi="Times New Roman" w:cs="Times New Roman"/>
                <w:sz w:val="22"/>
                <w:szCs w:val="22"/>
              </w:rPr>
            </w:pPr>
          </w:p>
        </w:tc>
        <w:tc>
          <w:tcPr>
            <w:tcW w:w="5320" w:type="dxa"/>
          </w:tcPr>
          <w:p w14:paraId="1D2E29D7" w14:textId="299B8CCF"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Articles published in </w:t>
            </w:r>
            <w:r w:rsidR="005E5F73">
              <w:rPr>
                <w:rFonts w:ascii="Times New Roman" w:eastAsia="Arial" w:hAnsi="Times New Roman" w:cs="Times New Roman"/>
                <w:sz w:val="22"/>
                <w:szCs w:val="22"/>
              </w:rPr>
              <w:t xml:space="preserve">the </w:t>
            </w:r>
            <w:r w:rsidRPr="000D05DB">
              <w:rPr>
                <w:rFonts w:ascii="Times New Roman" w:eastAsia="Arial" w:hAnsi="Times New Roman" w:cs="Times New Roman"/>
                <w:sz w:val="22"/>
                <w:szCs w:val="22"/>
              </w:rPr>
              <w:t>English language</w:t>
            </w:r>
          </w:p>
        </w:tc>
        <w:tc>
          <w:tcPr>
            <w:tcW w:w="3404" w:type="dxa"/>
          </w:tcPr>
          <w:p w14:paraId="0F07EC9C"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Conference papers</w:t>
            </w:r>
          </w:p>
        </w:tc>
      </w:tr>
      <w:tr w:rsidR="00221DAB" w:rsidRPr="000D05DB" w14:paraId="64713A07" w14:textId="77777777" w:rsidTr="00A13E50">
        <w:trPr>
          <w:trHeight w:val="510"/>
        </w:trPr>
        <w:tc>
          <w:tcPr>
            <w:tcW w:w="518" w:type="dxa"/>
          </w:tcPr>
          <w:p w14:paraId="0AFF05F9" w14:textId="77777777" w:rsidR="00221DAB" w:rsidRPr="000D05DB" w:rsidRDefault="00221DAB" w:rsidP="000D05DB">
            <w:pPr>
              <w:numPr>
                <w:ilvl w:val="0"/>
                <w:numId w:val="3"/>
              </w:numPr>
              <w:spacing w:after="200" w:line="360" w:lineRule="auto"/>
              <w:jc w:val="both"/>
              <w:rPr>
                <w:rFonts w:ascii="Times New Roman" w:eastAsia="Arial" w:hAnsi="Times New Roman" w:cs="Times New Roman"/>
                <w:sz w:val="22"/>
                <w:szCs w:val="22"/>
              </w:rPr>
            </w:pPr>
          </w:p>
        </w:tc>
        <w:tc>
          <w:tcPr>
            <w:tcW w:w="5320" w:type="dxa"/>
          </w:tcPr>
          <w:p w14:paraId="7494E258" w14:textId="64F6F52B" w:rsidR="00221DAB" w:rsidRPr="000D05DB" w:rsidRDefault="00221DAB" w:rsidP="000D05DB">
            <w:pPr>
              <w:tabs>
                <w:tab w:val="center" w:pos="2552"/>
              </w:tabs>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Only </w:t>
            </w:r>
            <w:r w:rsidR="005E5F73" w:rsidRPr="00B7432E">
              <w:rPr>
                <w:rFonts w:ascii="Times New Roman" w:eastAsia="Arial" w:hAnsi="Times New Roman" w:cs="Times New Roman"/>
                <w:sz w:val="22"/>
                <w:szCs w:val="22"/>
                <w:highlight w:val="yellow"/>
              </w:rPr>
              <w:t>full-text</w:t>
            </w:r>
            <w:r w:rsidRPr="00B7432E">
              <w:rPr>
                <w:rFonts w:ascii="Times New Roman" w:eastAsia="Arial" w:hAnsi="Times New Roman" w:cs="Times New Roman"/>
                <w:sz w:val="22"/>
                <w:szCs w:val="22"/>
                <w:highlight w:val="yellow"/>
              </w:rPr>
              <w:t xml:space="preserve"> article</w:t>
            </w:r>
            <w:r w:rsidRPr="000D05DB">
              <w:rPr>
                <w:rFonts w:ascii="Times New Roman" w:eastAsia="Arial" w:hAnsi="Times New Roman" w:cs="Times New Roman"/>
                <w:sz w:val="22"/>
                <w:szCs w:val="22"/>
              </w:rPr>
              <w:tab/>
            </w:r>
          </w:p>
        </w:tc>
        <w:tc>
          <w:tcPr>
            <w:tcW w:w="3404" w:type="dxa"/>
          </w:tcPr>
          <w:p w14:paraId="0EBC2F5A"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Book chapters</w:t>
            </w:r>
          </w:p>
        </w:tc>
      </w:tr>
      <w:tr w:rsidR="00221DAB" w:rsidRPr="000D05DB" w14:paraId="25AC369B" w14:textId="77777777" w:rsidTr="00A13E50">
        <w:trPr>
          <w:trHeight w:val="510"/>
        </w:trPr>
        <w:tc>
          <w:tcPr>
            <w:tcW w:w="518" w:type="dxa"/>
          </w:tcPr>
          <w:p w14:paraId="66CC106F" w14:textId="77777777" w:rsidR="00221DAB" w:rsidRPr="000D05DB" w:rsidRDefault="00221DAB" w:rsidP="000D05DB">
            <w:pPr>
              <w:numPr>
                <w:ilvl w:val="0"/>
                <w:numId w:val="3"/>
              </w:numPr>
              <w:spacing w:after="200" w:line="360" w:lineRule="auto"/>
              <w:jc w:val="both"/>
              <w:rPr>
                <w:rFonts w:ascii="Times New Roman" w:eastAsia="Arial" w:hAnsi="Times New Roman" w:cs="Times New Roman"/>
                <w:sz w:val="22"/>
                <w:szCs w:val="22"/>
              </w:rPr>
            </w:pPr>
          </w:p>
        </w:tc>
        <w:tc>
          <w:tcPr>
            <w:tcW w:w="5320" w:type="dxa"/>
          </w:tcPr>
          <w:p w14:paraId="3D9F4FC3" w14:textId="71286063"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Articles published in the last 10 years (2014 -2023)</w:t>
            </w:r>
          </w:p>
        </w:tc>
        <w:tc>
          <w:tcPr>
            <w:tcW w:w="3404" w:type="dxa"/>
          </w:tcPr>
          <w:p w14:paraId="23C3B2B9"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Articles not published in English</w:t>
            </w:r>
          </w:p>
        </w:tc>
      </w:tr>
      <w:tr w:rsidR="00221DAB" w:rsidRPr="000D05DB" w14:paraId="3BF99FC3" w14:textId="77777777" w:rsidTr="00A13E50">
        <w:trPr>
          <w:trHeight w:val="510"/>
        </w:trPr>
        <w:tc>
          <w:tcPr>
            <w:tcW w:w="518" w:type="dxa"/>
          </w:tcPr>
          <w:p w14:paraId="5AB79227" w14:textId="77777777" w:rsidR="00221DAB" w:rsidRPr="000D05DB" w:rsidRDefault="00221DAB" w:rsidP="000D05DB">
            <w:pPr>
              <w:numPr>
                <w:ilvl w:val="0"/>
                <w:numId w:val="3"/>
              </w:numPr>
              <w:spacing w:after="200" w:line="360" w:lineRule="auto"/>
              <w:jc w:val="both"/>
              <w:rPr>
                <w:rFonts w:ascii="Times New Roman" w:eastAsia="Arial" w:hAnsi="Times New Roman" w:cs="Times New Roman"/>
                <w:sz w:val="22"/>
                <w:szCs w:val="22"/>
              </w:rPr>
            </w:pPr>
          </w:p>
        </w:tc>
        <w:tc>
          <w:tcPr>
            <w:tcW w:w="5320" w:type="dxa"/>
          </w:tcPr>
          <w:p w14:paraId="4F6EC4B3" w14:textId="14D8CBBF"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Articles relevant to research objectives</w:t>
            </w:r>
            <w:r w:rsidR="005E5F73">
              <w:rPr>
                <w:rFonts w:ascii="Times New Roman" w:eastAsia="Arial" w:hAnsi="Times New Roman" w:cs="Times New Roman"/>
                <w:sz w:val="22"/>
                <w:szCs w:val="22"/>
              </w:rPr>
              <w:t>,</w:t>
            </w:r>
            <w:r w:rsidRPr="000D05DB">
              <w:rPr>
                <w:rFonts w:ascii="Times New Roman" w:eastAsia="Arial" w:hAnsi="Times New Roman" w:cs="Times New Roman"/>
                <w:sz w:val="22"/>
                <w:szCs w:val="22"/>
              </w:rPr>
              <w:t xml:space="preserve"> i.e. those that address Diabetes treatment practices</w:t>
            </w:r>
          </w:p>
        </w:tc>
        <w:tc>
          <w:tcPr>
            <w:tcW w:w="3404" w:type="dxa"/>
          </w:tcPr>
          <w:p w14:paraId="677CDB65" w14:textId="77777777" w:rsidR="00221DAB" w:rsidRPr="000D05DB" w:rsidRDefault="00221DAB" w:rsidP="000D05DB">
            <w:pPr>
              <w:spacing w:after="200" w:line="360" w:lineRule="auto"/>
              <w:jc w:val="both"/>
              <w:rPr>
                <w:rFonts w:ascii="Times New Roman" w:eastAsia="Arial" w:hAnsi="Times New Roman" w:cs="Times New Roman"/>
                <w:sz w:val="22"/>
                <w:szCs w:val="22"/>
              </w:rPr>
            </w:pPr>
          </w:p>
        </w:tc>
      </w:tr>
      <w:tr w:rsidR="00221DAB" w:rsidRPr="000D05DB" w14:paraId="70D8F63A" w14:textId="77777777" w:rsidTr="00A13E50">
        <w:trPr>
          <w:trHeight w:val="510"/>
        </w:trPr>
        <w:tc>
          <w:tcPr>
            <w:tcW w:w="518" w:type="dxa"/>
          </w:tcPr>
          <w:p w14:paraId="7272CF28" w14:textId="77777777" w:rsidR="00221DAB" w:rsidRPr="000D05DB" w:rsidRDefault="00221DAB" w:rsidP="000D05DB">
            <w:pPr>
              <w:numPr>
                <w:ilvl w:val="0"/>
                <w:numId w:val="3"/>
              </w:numPr>
              <w:spacing w:after="200" w:line="360" w:lineRule="auto"/>
              <w:jc w:val="both"/>
              <w:rPr>
                <w:rFonts w:ascii="Times New Roman" w:eastAsia="Arial" w:hAnsi="Times New Roman" w:cs="Times New Roman"/>
                <w:sz w:val="22"/>
                <w:szCs w:val="22"/>
              </w:rPr>
            </w:pPr>
          </w:p>
        </w:tc>
        <w:tc>
          <w:tcPr>
            <w:tcW w:w="5320" w:type="dxa"/>
          </w:tcPr>
          <w:p w14:paraId="39823123"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Only research conducted in Africa</w:t>
            </w:r>
          </w:p>
        </w:tc>
        <w:tc>
          <w:tcPr>
            <w:tcW w:w="3404" w:type="dxa"/>
          </w:tcPr>
          <w:p w14:paraId="52A3CC14" w14:textId="77777777" w:rsidR="00221DAB" w:rsidRPr="000D05DB" w:rsidRDefault="00221DAB" w:rsidP="000D05DB">
            <w:pPr>
              <w:spacing w:after="200" w:line="360" w:lineRule="auto"/>
              <w:jc w:val="both"/>
              <w:rPr>
                <w:rFonts w:ascii="Times New Roman" w:eastAsia="Arial" w:hAnsi="Times New Roman" w:cs="Times New Roman"/>
                <w:sz w:val="22"/>
                <w:szCs w:val="22"/>
              </w:rPr>
            </w:pPr>
          </w:p>
        </w:tc>
      </w:tr>
    </w:tbl>
    <w:p w14:paraId="4E6AFC8A" w14:textId="77777777" w:rsidR="00221DAB" w:rsidRPr="000D05DB" w:rsidRDefault="00221DAB" w:rsidP="000D05DB">
      <w:pPr>
        <w:spacing w:line="360" w:lineRule="auto"/>
        <w:jc w:val="both"/>
        <w:rPr>
          <w:rFonts w:ascii="Times New Roman" w:eastAsia="Arial" w:hAnsi="Times New Roman" w:cs="Times New Roman"/>
          <w:b/>
          <w:sz w:val="22"/>
          <w:szCs w:val="22"/>
        </w:rPr>
      </w:pPr>
    </w:p>
    <w:p w14:paraId="79672281" w14:textId="24D0B952" w:rsidR="00221DAB" w:rsidRPr="000D05DB" w:rsidRDefault="00221DAB" w:rsidP="000D05DB">
      <w:pPr>
        <w:spacing w:line="360" w:lineRule="auto"/>
        <w:jc w:val="both"/>
        <w:rPr>
          <w:rFonts w:ascii="Times New Roman" w:hAnsi="Times New Roman" w:cs="Times New Roman"/>
          <w:b/>
          <w:bCs/>
          <w:sz w:val="22"/>
          <w:szCs w:val="22"/>
        </w:rPr>
      </w:pPr>
      <w:bookmarkStart w:id="13" w:name="_4d34og8" w:colFirst="0" w:colLast="0"/>
      <w:bookmarkStart w:id="14" w:name="_Toc154152583"/>
      <w:bookmarkEnd w:id="13"/>
      <w:r w:rsidRPr="000D05DB">
        <w:rPr>
          <w:rFonts w:ascii="Times New Roman" w:hAnsi="Times New Roman" w:cs="Times New Roman"/>
          <w:b/>
          <w:bCs/>
          <w:sz w:val="22"/>
          <w:szCs w:val="22"/>
        </w:rPr>
        <w:t>Screening and selection of papers</w:t>
      </w:r>
      <w:bookmarkEnd w:id="14"/>
    </w:p>
    <w:p w14:paraId="04A3B00B" w14:textId="77777777" w:rsidR="00221DAB" w:rsidRPr="000D05DB" w:rsidRDefault="00221DAB" w:rsidP="000D05DB">
      <w:pPr>
        <w:spacing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The investigation results underwent deduplication using COVIDENCE and a two-stage screening technique to refine the preference to the most relevant articles. The use of this screening strategy was implemented to ensure that the chosen articles sufficiently addressed the main research question. The procedure of screening and selecting articles was facilitated by the use of COVIDENCE, a screening and data extraction programme formulated for performing systematic analyses. The use of this technology enables the process of screening to become more efficient and readily traceable.</w:t>
      </w:r>
    </w:p>
    <w:p w14:paraId="16A54F2B" w14:textId="77777777" w:rsidR="00221DAB" w:rsidRPr="000D05DB" w:rsidRDefault="00221DAB" w:rsidP="000D05DB">
      <w:pPr>
        <w:spacing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The first stage was the screening of topics and abstracts. The papers underwent an initial evaluation procedure in which their topics and abstracts were scanned to get a thorough understanding of the content and determine their relevance. The screening questions used in this study were as follows:</w:t>
      </w:r>
    </w:p>
    <w:p w14:paraId="5EDAEECC" w14:textId="77777777" w:rsidR="00221DAB" w:rsidRPr="000D05DB" w:rsidRDefault="00221DAB" w:rsidP="000D05DB">
      <w:pPr>
        <w:pStyle w:val="ListParagraph"/>
        <w:numPr>
          <w:ilvl w:val="0"/>
          <w:numId w:val="2"/>
        </w:numPr>
        <w:spacing w:after="200" w:line="360" w:lineRule="auto"/>
        <w:contextualSpacing w:val="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What are the prevailing diabetes management services and interventions in Africa?</w:t>
      </w:r>
    </w:p>
    <w:p w14:paraId="10080192" w14:textId="3506BA24" w:rsidR="00221DAB" w:rsidRPr="000D05DB" w:rsidRDefault="00221DAB" w:rsidP="000D05DB">
      <w:pPr>
        <w:pStyle w:val="ListParagraph"/>
        <w:numPr>
          <w:ilvl w:val="0"/>
          <w:numId w:val="2"/>
        </w:numPr>
        <w:spacing w:after="200" w:line="360" w:lineRule="auto"/>
        <w:contextualSpacing w:val="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How effective are the diabetes management </w:t>
      </w:r>
      <w:r w:rsidR="005E5F73" w:rsidRPr="00B7432E">
        <w:rPr>
          <w:rFonts w:ascii="Times New Roman" w:eastAsia="Arial" w:hAnsi="Times New Roman" w:cs="Times New Roman"/>
          <w:sz w:val="22"/>
          <w:szCs w:val="22"/>
          <w:highlight w:val="yellow"/>
        </w:rPr>
        <w:t xml:space="preserve">interventions </w:t>
      </w:r>
      <w:r w:rsidRPr="00B7432E">
        <w:rPr>
          <w:rFonts w:ascii="Times New Roman" w:eastAsia="Arial" w:hAnsi="Times New Roman" w:cs="Times New Roman"/>
          <w:sz w:val="22"/>
          <w:szCs w:val="22"/>
          <w:highlight w:val="yellow"/>
        </w:rPr>
        <w:t xml:space="preserve">in addressing </w:t>
      </w:r>
      <w:r w:rsidRPr="000D05DB">
        <w:rPr>
          <w:rFonts w:ascii="Times New Roman" w:eastAsia="Arial" w:hAnsi="Times New Roman" w:cs="Times New Roman"/>
          <w:sz w:val="22"/>
          <w:szCs w:val="22"/>
        </w:rPr>
        <w:t>T2DM among adults in Africa</w:t>
      </w:r>
    </w:p>
    <w:p w14:paraId="1E310260" w14:textId="77777777" w:rsidR="00221DAB" w:rsidRPr="000D05DB" w:rsidRDefault="00221DAB" w:rsidP="000D05DB">
      <w:pPr>
        <w:pStyle w:val="ListParagraph"/>
        <w:numPr>
          <w:ilvl w:val="0"/>
          <w:numId w:val="2"/>
        </w:numPr>
        <w:spacing w:after="200" w:line="360" w:lineRule="auto"/>
        <w:contextualSpacing w:val="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What are the impediments and facilitators to diabetes management among adults in Africa?</w:t>
      </w:r>
    </w:p>
    <w:p w14:paraId="5934E987" w14:textId="5E1FBA70" w:rsidR="00221DAB" w:rsidRPr="000D05DB" w:rsidRDefault="00221DAB" w:rsidP="000D05DB">
      <w:pPr>
        <w:spacing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The second stage included a comprehensive examination of the texts, with the purpose of evaluating the extent to which they conformed with the specified expectations and objectives of the current study.  After </w:t>
      </w:r>
      <w:r w:rsidRPr="00B7432E">
        <w:rPr>
          <w:rFonts w:ascii="Times New Roman" w:eastAsia="Arial" w:hAnsi="Times New Roman" w:cs="Times New Roman"/>
          <w:sz w:val="22"/>
          <w:szCs w:val="22"/>
          <w:highlight w:val="yellow"/>
        </w:rPr>
        <w:lastRenderedPageBreak/>
        <w:t xml:space="preserve">the </w:t>
      </w:r>
      <w:r w:rsidR="005E5F73" w:rsidRPr="00B7432E">
        <w:rPr>
          <w:rFonts w:ascii="Times New Roman" w:eastAsia="Arial" w:hAnsi="Times New Roman" w:cs="Times New Roman"/>
          <w:sz w:val="22"/>
          <w:szCs w:val="22"/>
          <w:highlight w:val="yellow"/>
        </w:rPr>
        <w:t xml:space="preserve">fulfilment </w:t>
      </w:r>
      <w:r w:rsidRPr="00B7432E">
        <w:rPr>
          <w:rFonts w:ascii="Times New Roman" w:eastAsia="Arial" w:hAnsi="Times New Roman" w:cs="Times New Roman"/>
          <w:sz w:val="22"/>
          <w:szCs w:val="22"/>
          <w:highlight w:val="yellow"/>
        </w:rPr>
        <w:t xml:space="preserve">of </w:t>
      </w:r>
      <w:r w:rsidRPr="000D05DB">
        <w:rPr>
          <w:rFonts w:ascii="Times New Roman" w:eastAsia="Arial" w:hAnsi="Times New Roman" w:cs="Times New Roman"/>
          <w:sz w:val="22"/>
          <w:szCs w:val="22"/>
        </w:rPr>
        <w:t xml:space="preserve">the selection procedure, information gathering and the examination of its quality were initiated (Arksey and O'Malley, 2005; Okpalauwaekwe et al., 2017). </w:t>
      </w:r>
    </w:p>
    <w:p w14:paraId="5DEFB2EA" w14:textId="0C21BA18" w:rsidR="00221DAB" w:rsidRPr="000D05DB" w:rsidRDefault="00221DAB" w:rsidP="000D05DB">
      <w:pPr>
        <w:spacing w:line="360" w:lineRule="auto"/>
        <w:jc w:val="both"/>
        <w:rPr>
          <w:rFonts w:ascii="Times New Roman" w:hAnsi="Times New Roman" w:cs="Times New Roman"/>
          <w:b/>
          <w:bCs/>
          <w:sz w:val="22"/>
          <w:szCs w:val="22"/>
        </w:rPr>
      </w:pPr>
      <w:bookmarkStart w:id="15" w:name="_2s8eyo1" w:colFirst="0" w:colLast="0"/>
      <w:bookmarkStart w:id="16" w:name="_Toc154152584"/>
      <w:bookmarkEnd w:id="15"/>
      <w:r w:rsidRPr="000D05DB">
        <w:rPr>
          <w:rFonts w:ascii="Times New Roman" w:hAnsi="Times New Roman" w:cs="Times New Roman"/>
          <w:b/>
          <w:bCs/>
          <w:sz w:val="22"/>
          <w:szCs w:val="22"/>
        </w:rPr>
        <w:t>Quality Appraisal</w:t>
      </w:r>
      <w:bookmarkEnd w:id="16"/>
      <w:r w:rsidRPr="000D05DB">
        <w:rPr>
          <w:rFonts w:ascii="Times New Roman" w:hAnsi="Times New Roman" w:cs="Times New Roman"/>
          <w:b/>
          <w:bCs/>
          <w:sz w:val="22"/>
          <w:szCs w:val="22"/>
        </w:rPr>
        <w:t xml:space="preserve"> </w:t>
      </w:r>
    </w:p>
    <w:p w14:paraId="4FAF90CD" w14:textId="77777777" w:rsidR="00221DAB" w:rsidRPr="000D05DB" w:rsidRDefault="00221DAB" w:rsidP="000D05DB">
      <w:pPr>
        <w:spacing w:line="360" w:lineRule="auto"/>
        <w:jc w:val="both"/>
        <w:rPr>
          <w:rFonts w:ascii="Times New Roman" w:hAnsi="Times New Roman" w:cs="Times New Roman"/>
          <w:sz w:val="22"/>
          <w:szCs w:val="22"/>
        </w:rPr>
      </w:pPr>
      <w:bookmarkStart w:id="17" w:name="_17dp8vu" w:colFirst="0" w:colLast="0"/>
      <w:bookmarkEnd w:id="17"/>
      <w:r w:rsidRPr="000D05DB">
        <w:rPr>
          <w:rFonts w:ascii="Times New Roman" w:hAnsi="Times New Roman" w:cs="Times New Roman"/>
          <w:sz w:val="22"/>
          <w:szCs w:val="22"/>
        </w:rPr>
        <w:t xml:space="preserve">According to Page et al. (2020), chosen articles for a systematic review must adhere to certain quality indicators. Evaluating the academic value of publications used as foundational support in determining the final results is quite important. According to Okoli and Schabram (2010), using a uniformised format is the most optimal method for evaluating the standard of a research publication. </w:t>
      </w:r>
    </w:p>
    <w:p w14:paraId="1D52E17D" w14:textId="77777777" w:rsidR="00221DAB" w:rsidRPr="000D05DB" w:rsidRDefault="00221DAB"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This study employed the Critical Appraisal Skill Programme (CASP) for Randomised Control Trials (refer to Appendix A), the CASP review checklist for Qualitative studies (Appendix B), and the JBI Appraisal tool for Quasi-experimental studies (refer to Appendix C) to assess the methodologies and findings of the selected publications. </w:t>
      </w:r>
    </w:p>
    <w:p w14:paraId="0FA14A29" w14:textId="77777777" w:rsidR="00221DAB" w:rsidRPr="000D05DB" w:rsidRDefault="00221DAB"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A checklist was used in this research to assess the methodological aspects of the selected articles. The articles were allocated a score of 1 on the checklist if they provided a favourable answer to the assessment questions, whilst a score of 0 was given if the response was unfavourable or if there was inadequate information to draw a judgement. The cumulative scores were gathered and communicated as percentages. Articles scoring 70% or above were classified as high quality, while those scoring between 40% and 69% were classified as fair. Publications with a score below 40% were considered to be of inferior quality.</w:t>
      </w:r>
    </w:p>
    <w:p w14:paraId="39A6C0E4" w14:textId="46229330" w:rsidR="00221DAB" w:rsidRPr="000D05DB" w:rsidRDefault="00221DAB" w:rsidP="000D05DB">
      <w:pPr>
        <w:spacing w:line="360" w:lineRule="auto"/>
        <w:jc w:val="both"/>
        <w:rPr>
          <w:rFonts w:ascii="Times New Roman" w:hAnsi="Times New Roman" w:cs="Times New Roman"/>
          <w:b/>
          <w:bCs/>
          <w:sz w:val="22"/>
          <w:szCs w:val="22"/>
        </w:rPr>
      </w:pPr>
      <w:bookmarkStart w:id="18" w:name="_Toc154152585"/>
      <w:r w:rsidRPr="000D05DB">
        <w:rPr>
          <w:rFonts w:ascii="Times New Roman" w:hAnsi="Times New Roman" w:cs="Times New Roman"/>
          <w:b/>
          <w:bCs/>
          <w:sz w:val="22"/>
          <w:szCs w:val="22"/>
        </w:rPr>
        <w:t>Data Extraction</w:t>
      </w:r>
      <w:bookmarkEnd w:id="18"/>
      <w:r w:rsidRPr="000D05DB">
        <w:rPr>
          <w:rFonts w:ascii="Times New Roman" w:hAnsi="Times New Roman" w:cs="Times New Roman"/>
          <w:b/>
          <w:bCs/>
          <w:sz w:val="22"/>
          <w:szCs w:val="22"/>
        </w:rPr>
        <w:t xml:space="preserve"> </w:t>
      </w:r>
    </w:p>
    <w:p w14:paraId="4D42B4EF" w14:textId="77777777" w:rsidR="00221DAB" w:rsidRPr="000D05DB" w:rsidRDefault="00221DAB"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After conducting an in-depth investigation and achieving a sufficient representation of each document, a summarised articulation of the retrieved data was produced using Microsoft Excel. </w:t>
      </w:r>
      <w:bookmarkStart w:id="19" w:name="_3rdcrjn" w:colFirst="0" w:colLast="0"/>
      <w:bookmarkEnd w:id="19"/>
      <w:r w:rsidRPr="000D05DB">
        <w:rPr>
          <w:rFonts w:ascii="Times New Roman" w:hAnsi="Times New Roman" w:cs="Times New Roman"/>
          <w:sz w:val="22"/>
          <w:szCs w:val="22"/>
        </w:rPr>
        <w:t>The data extraction approach adhered to the methodology described by Braun and Clarke (2006) and Retat et al. (2019). The data was extracted and organised into several categories, such as Author (Year), Title, Aim, Study Design, Sample Size, and Key Findings (including Identified Themes).</w:t>
      </w:r>
    </w:p>
    <w:p w14:paraId="132400F4" w14:textId="4135E29D" w:rsidR="00221DAB" w:rsidRPr="000D05DB" w:rsidRDefault="00221DAB" w:rsidP="000D05DB">
      <w:pPr>
        <w:spacing w:line="360" w:lineRule="auto"/>
        <w:jc w:val="both"/>
        <w:rPr>
          <w:rFonts w:ascii="Times New Roman" w:hAnsi="Times New Roman" w:cs="Times New Roman"/>
          <w:b/>
          <w:bCs/>
          <w:sz w:val="22"/>
          <w:szCs w:val="22"/>
        </w:rPr>
      </w:pPr>
      <w:bookmarkStart w:id="20" w:name="_Toc154152586"/>
      <w:r w:rsidRPr="000D05DB">
        <w:rPr>
          <w:rFonts w:ascii="Times New Roman" w:hAnsi="Times New Roman" w:cs="Times New Roman"/>
          <w:b/>
          <w:bCs/>
          <w:sz w:val="22"/>
          <w:szCs w:val="22"/>
        </w:rPr>
        <w:t>Data Synthesis and Analysis</w:t>
      </w:r>
      <w:bookmarkEnd w:id="20"/>
      <w:r w:rsidRPr="000D05DB">
        <w:rPr>
          <w:rFonts w:ascii="Times New Roman" w:hAnsi="Times New Roman" w:cs="Times New Roman"/>
          <w:b/>
          <w:bCs/>
          <w:sz w:val="22"/>
          <w:szCs w:val="22"/>
        </w:rPr>
        <w:t xml:space="preserve"> </w:t>
      </w:r>
    </w:p>
    <w:p w14:paraId="67455918" w14:textId="02403FD8" w:rsidR="00221DAB" w:rsidRPr="000D05DB" w:rsidRDefault="00221DAB" w:rsidP="000D05DB">
      <w:pPr>
        <w:spacing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The objective of this step, as per the proposals made by Arksey and O'Malley (2005), is to incorporate numerical overviews with theme analysis to formulate a coherent framework based on the findings of the systematic review. The information was organised in a data-charting manner to simplify comparison and guarantee consistency in the methodology (Arksey and O'Malley, 2005). The data was classified into themes by synthesising the results and evaluating studies that presented pertinent findings. The results were thereafter deliberated and further assessed using a comparative analysis with the current body of research</w:t>
      </w:r>
      <w:r w:rsidR="004C17BC" w:rsidRPr="000D05DB">
        <w:rPr>
          <w:rFonts w:ascii="Times New Roman" w:eastAsia="Arial" w:hAnsi="Times New Roman" w:cs="Times New Roman"/>
          <w:sz w:val="22"/>
          <w:szCs w:val="22"/>
        </w:rPr>
        <w:t xml:space="preserve"> (Owoade et al., 2019)</w:t>
      </w:r>
      <w:r w:rsidRPr="000D05DB">
        <w:rPr>
          <w:rFonts w:ascii="Times New Roman" w:eastAsia="Arial" w:hAnsi="Times New Roman" w:cs="Times New Roman"/>
          <w:sz w:val="22"/>
          <w:szCs w:val="22"/>
        </w:rPr>
        <w:t xml:space="preserve">. Using these data, a thematic analysis was conducted to provide suggestions that </w:t>
      </w:r>
      <w:r w:rsidRPr="000D05DB">
        <w:rPr>
          <w:rFonts w:ascii="Times New Roman" w:eastAsia="Arial" w:hAnsi="Times New Roman" w:cs="Times New Roman"/>
          <w:sz w:val="22"/>
          <w:szCs w:val="22"/>
        </w:rPr>
        <w:lastRenderedPageBreak/>
        <w:t xml:space="preserve">might enhance </w:t>
      </w:r>
      <w:r w:rsidR="005E5F73" w:rsidRPr="00B7432E">
        <w:rPr>
          <w:rFonts w:ascii="Times New Roman" w:eastAsia="Arial" w:hAnsi="Times New Roman" w:cs="Times New Roman"/>
          <w:sz w:val="22"/>
          <w:szCs w:val="22"/>
          <w:highlight w:val="yellow"/>
        </w:rPr>
        <w:t xml:space="preserve">investigators' </w:t>
      </w:r>
      <w:r w:rsidRPr="00B7432E">
        <w:rPr>
          <w:rFonts w:ascii="Times New Roman" w:eastAsia="Arial" w:hAnsi="Times New Roman" w:cs="Times New Roman"/>
          <w:sz w:val="22"/>
          <w:szCs w:val="22"/>
          <w:highlight w:val="yellow"/>
        </w:rPr>
        <w:t>and decision</w:t>
      </w:r>
      <w:r w:rsidRPr="000D05DB">
        <w:rPr>
          <w:rFonts w:ascii="Times New Roman" w:eastAsia="Arial" w:hAnsi="Times New Roman" w:cs="Times New Roman"/>
          <w:sz w:val="22"/>
          <w:szCs w:val="22"/>
        </w:rPr>
        <w:t>-makers' comprehension of the likelihood of future policy and practice.</w:t>
      </w:r>
    </w:p>
    <w:p w14:paraId="48676809" w14:textId="77777777" w:rsidR="001C50BE" w:rsidRPr="000D05DB" w:rsidRDefault="001C50BE" w:rsidP="000D05DB">
      <w:pPr>
        <w:spacing w:line="360" w:lineRule="auto"/>
        <w:jc w:val="both"/>
        <w:rPr>
          <w:rFonts w:ascii="Times New Roman" w:hAnsi="Times New Roman" w:cs="Times New Roman"/>
          <w:b/>
          <w:bCs/>
          <w:sz w:val="22"/>
          <w:szCs w:val="22"/>
        </w:rPr>
      </w:pPr>
      <w:r w:rsidRPr="000D05DB">
        <w:rPr>
          <w:rFonts w:ascii="Times New Roman" w:hAnsi="Times New Roman" w:cs="Times New Roman"/>
          <w:b/>
          <w:bCs/>
          <w:sz w:val="22"/>
          <w:szCs w:val="22"/>
        </w:rPr>
        <w:t>Overview of Included Studies</w:t>
      </w:r>
    </w:p>
    <w:p w14:paraId="420F0646" w14:textId="77777777"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The four databases/search engines that were used to compile the materials were PubMed, CINAHL, Web of Science, and Cochrane. 312 articles in all were found using the databases and search engine; these were sent to Covidence so that duplicate articles could be removed. There were 122 duplicate items removed in total. Following a thorough examination of the 190 papers that were still present, 98 papers were found to be unnecessary based on the inclusion and exclusion criteria. Following a full text screening procedure, 13 papers were selected from the remaining 92 articles.  An extra search of references produced two (2) more articles, making the total number of papers included in this review fifteen (15). The PRISMA flow diagram that is given below highlights the procedures that were followed in article selection.</w:t>
      </w:r>
    </w:p>
    <w:p w14:paraId="55707F93" w14:textId="77777777"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w:t>
      </w:r>
    </w:p>
    <w:p w14:paraId="57DB0391" w14:textId="77777777" w:rsidR="001C50BE" w:rsidRPr="000D05DB" w:rsidRDefault="001C50BE" w:rsidP="000D05DB">
      <w:pPr>
        <w:spacing w:line="360" w:lineRule="auto"/>
        <w:jc w:val="both"/>
        <w:rPr>
          <w:rFonts w:ascii="Times New Roman" w:hAnsi="Times New Roman" w:cs="Times New Roman"/>
          <w:sz w:val="22"/>
          <w:szCs w:val="22"/>
        </w:rPr>
      </w:pPr>
    </w:p>
    <w:p w14:paraId="0824B15D" w14:textId="77777777" w:rsidR="001C50BE" w:rsidRPr="000D05DB" w:rsidRDefault="001C50BE" w:rsidP="000D05DB">
      <w:pPr>
        <w:spacing w:line="360" w:lineRule="auto"/>
        <w:jc w:val="both"/>
        <w:rPr>
          <w:rFonts w:ascii="Times New Roman" w:hAnsi="Times New Roman" w:cs="Times New Roman"/>
          <w:sz w:val="22"/>
          <w:szCs w:val="22"/>
        </w:rPr>
      </w:pPr>
    </w:p>
    <w:p w14:paraId="02B4EE8B" w14:textId="77777777" w:rsidR="001C50BE" w:rsidRPr="000D05DB" w:rsidRDefault="001C50BE" w:rsidP="000D05DB">
      <w:pPr>
        <w:spacing w:line="360" w:lineRule="auto"/>
        <w:jc w:val="both"/>
        <w:rPr>
          <w:rFonts w:ascii="Times New Roman" w:hAnsi="Times New Roman" w:cs="Times New Roman"/>
          <w:sz w:val="22"/>
          <w:szCs w:val="22"/>
        </w:rPr>
      </w:pPr>
    </w:p>
    <w:p w14:paraId="722FEEFC" w14:textId="77777777" w:rsidR="001C50BE" w:rsidRPr="000D05DB" w:rsidRDefault="001C50BE" w:rsidP="000D05DB">
      <w:pPr>
        <w:spacing w:line="360" w:lineRule="auto"/>
        <w:jc w:val="both"/>
        <w:rPr>
          <w:rFonts w:ascii="Times New Roman" w:hAnsi="Times New Roman" w:cs="Times New Roman"/>
          <w:sz w:val="22"/>
          <w:szCs w:val="22"/>
        </w:rPr>
      </w:pPr>
    </w:p>
    <w:p w14:paraId="33F024FF" w14:textId="77777777" w:rsidR="001C50BE" w:rsidRPr="000D05DB" w:rsidRDefault="001C50BE" w:rsidP="000D05DB">
      <w:pPr>
        <w:spacing w:line="360" w:lineRule="auto"/>
        <w:jc w:val="both"/>
        <w:rPr>
          <w:rFonts w:ascii="Times New Roman" w:hAnsi="Times New Roman" w:cs="Times New Roman"/>
          <w:sz w:val="22"/>
          <w:szCs w:val="22"/>
        </w:rPr>
      </w:pPr>
    </w:p>
    <w:p w14:paraId="1EC82753" w14:textId="77777777" w:rsidR="001C50BE" w:rsidRPr="000D05DB" w:rsidRDefault="001C50BE" w:rsidP="000D05DB">
      <w:pPr>
        <w:spacing w:line="360" w:lineRule="auto"/>
        <w:jc w:val="both"/>
        <w:rPr>
          <w:rFonts w:ascii="Times New Roman" w:hAnsi="Times New Roman" w:cs="Times New Roman"/>
          <w:sz w:val="22"/>
          <w:szCs w:val="22"/>
        </w:rPr>
      </w:pPr>
    </w:p>
    <w:p w14:paraId="7F996913" w14:textId="77777777" w:rsidR="001C50BE" w:rsidRPr="000D05DB" w:rsidRDefault="001C50BE" w:rsidP="000D05DB">
      <w:pPr>
        <w:spacing w:line="360" w:lineRule="auto"/>
        <w:jc w:val="both"/>
        <w:rPr>
          <w:rFonts w:ascii="Times New Roman" w:hAnsi="Times New Roman" w:cs="Times New Roman"/>
          <w:sz w:val="22"/>
          <w:szCs w:val="22"/>
        </w:rPr>
      </w:pPr>
    </w:p>
    <w:p w14:paraId="3B60FA82" w14:textId="77777777" w:rsidR="001C50BE" w:rsidRPr="000D05DB" w:rsidRDefault="001C50BE" w:rsidP="000D05DB">
      <w:pPr>
        <w:spacing w:line="360" w:lineRule="auto"/>
        <w:jc w:val="both"/>
        <w:rPr>
          <w:rFonts w:ascii="Times New Roman" w:hAnsi="Times New Roman" w:cs="Times New Roman"/>
          <w:sz w:val="22"/>
          <w:szCs w:val="22"/>
        </w:rPr>
      </w:pPr>
    </w:p>
    <w:p w14:paraId="127729C4" w14:textId="77777777" w:rsidR="001C50BE" w:rsidRPr="000D05DB" w:rsidRDefault="001C50BE" w:rsidP="000D05DB">
      <w:pPr>
        <w:spacing w:line="360" w:lineRule="auto"/>
        <w:jc w:val="both"/>
        <w:rPr>
          <w:rFonts w:ascii="Times New Roman" w:hAnsi="Times New Roman" w:cs="Times New Roman"/>
          <w:sz w:val="22"/>
          <w:szCs w:val="22"/>
        </w:rPr>
      </w:pPr>
    </w:p>
    <w:p w14:paraId="008A0432" w14:textId="77777777" w:rsidR="001C50BE" w:rsidRPr="000D05DB" w:rsidRDefault="001C50BE" w:rsidP="000D05DB">
      <w:pPr>
        <w:spacing w:line="360" w:lineRule="auto"/>
        <w:jc w:val="both"/>
        <w:rPr>
          <w:rFonts w:ascii="Times New Roman" w:hAnsi="Times New Roman" w:cs="Times New Roman"/>
          <w:sz w:val="22"/>
          <w:szCs w:val="22"/>
        </w:rPr>
      </w:pPr>
    </w:p>
    <w:p w14:paraId="49CFAA49" w14:textId="77777777" w:rsidR="001C50BE" w:rsidRPr="000D05DB" w:rsidRDefault="001C50BE" w:rsidP="000D05DB">
      <w:pPr>
        <w:spacing w:line="360" w:lineRule="auto"/>
        <w:jc w:val="both"/>
        <w:rPr>
          <w:rFonts w:ascii="Times New Roman" w:hAnsi="Times New Roman" w:cs="Times New Roman"/>
          <w:sz w:val="22"/>
          <w:szCs w:val="22"/>
        </w:rPr>
      </w:pPr>
    </w:p>
    <w:p w14:paraId="3EC48E3C" w14:textId="77777777" w:rsidR="001C50BE" w:rsidRPr="000D05DB" w:rsidRDefault="001C50BE" w:rsidP="000D05DB">
      <w:pPr>
        <w:spacing w:line="360" w:lineRule="auto"/>
        <w:jc w:val="both"/>
        <w:rPr>
          <w:rFonts w:ascii="Times New Roman" w:hAnsi="Times New Roman" w:cs="Times New Roman"/>
          <w:sz w:val="22"/>
          <w:szCs w:val="22"/>
        </w:rPr>
      </w:pPr>
    </w:p>
    <w:p w14:paraId="605DCCA0" w14:textId="5FB1B981" w:rsidR="001C50BE" w:rsidRPr="000D05DB" w:rsidRDefault="00A460AA" w:rsidP="000D05DB">
      <w:pPr>
        <w:spacing w:line="360" w:lineRule="auto"/>
        <w:jc w:val="both"/>
        <w:rPr>
          <w:rFonts w:ascii="Times New Roman" w:hAnsi="Times New Roman" w:cs="Times New Roman"/>
          <w:sz w:val="22"/>
          <w:szCs w:val="22"/>
        </w:rPr>
      </w:pPr>
      <w:r w:rsidRPr="000D05DB">
        <w:rPr>
          <w:rFonts w:ascii="Times New Roman" w:hAnsi="Times New Roman" w:cs="Times New Roman"/>
          <w:noProof/>
          <w:sz w:val="22"/>
          <w:szCs w:val="22"/>
        </w:rPr>
        <w:lastRenderedPageBreak/>
        <w:drawing>
          <wp:inline distT="0" distB="0" distL="0" distR="0" wp14:anchorId="7611F1F4" wp14:editId="2ED5FC53">
            <wp:extent cx="4978400" cy="4419599"/>
            <wp:effectExtent l="0" t="0" r="0" b="635"/>
            <wp:docPr id="917703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703752" name=""/>
                    <pic:cNvPicPr/>
                  </pic:nvPicPr>
                  <pic:blipFill>
                    <a:blip r:embed="rId7"/>
                    <a:stretch>
                      <a:fillRect/>
                    </a:stretch>
                  </pic:blipFill>
                  <pic:spPr>
                    <a:xfrm>
                      <a:off x="0" y="0"/>
                      <a:ext cx="4987235" cy="4427442"/>
                    </a:xfrm>
                    <a:prstGeom prst="rect">
                      <a:avLst/>
                    </a:prstGeom>
                  </pic:spPr>
                </pic:pic>
              </a:graphicData>
            </a:graphic>
          </wp:inline>
        </w:drawing>
      </w:r>
    </w:p>
    <w:p w14:paraId="097FF669" w14:textId="745358CF"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b/>
          <w:bCs/>
          <w:sz w:val="22"/>
          <w:szCs w:val="22"/>
        </w:rPr>
        <w:t xml:space="preserve">Figure </w:t>
      </w:r>
      <w:r w:rsidR="00246184">
        <w:rPr>
          <w:rFonts w:ascii="Times New Roman" w:hAnsi="Times New Roman" w:cs="Times New Roman"/>
          <w:b/>
          <w:bCs/>
          <w:sz w:val="22"/>
          <w:szCs w:val="22"/>
        </w:rPr>
        <w:t>1</w:t>
      </w:r>
      <w:r w:rsidRPr="000D05DB">
        <w:rPr>
          <w:rFonts w:ascii="Times New Roman" w:hAnsi="Times New Roman" w:cs="Times New Roman"/>
          <w:b/>
          <w:bCs/>
          <w:sz w:val="22"/>
          <w:szCs w:val="22"/>
        </w:rPr>
        <w:t>:</w:t>
      </w:r>
      <w:r w:rsidRPr="000D05DB">
        <w:rPr>
          <w:rFonts w:ascii="Times New Roman" w:hAnsi="Times New Roman" w:cs="Times New Roman"/>
          <w:sz w:val="22"/>
          <w:szCs w:val="22"/>
        </w:rPr>
        <w:t xml:space="preserve"> PRISMA flow diagram of selection process</w:t>
      </w:r>
    </w:p>
    <w:p w14:paraId="0D1CDD49" w14:textId="442361D3" w:rsidR="001C50BE" w:rsidRPr="000D05DB" w:rsidRDefault="001C50BE" w:rsidP="000D05DB">
      <w:pPr>
        <w:spacing w:line="360" w:lineRule="auto"/>
        <w:jc w:val="both"/>
        <w:rPr>
          <w:rFonts w:ascii="Times New Roman" w:hAnsi="Times New Roman" w:cs="Times New Roman"/>
          <w:b/>
          <w:bCs/>
          <w:sz w:val="22"/>
          <w:szCs w:val="22"/>
        </w:rPr>
      </w:pPr>
      <w:r w:rsidRPr="000D05DB">
        <w:rPr>
          <w:rFonts w:ascii="Times New Roman" w:hAnsi="Times New Roman" w:cs="Times New Roman"/>
          <w:b/>
          <w:bCs/>
          <w:sz w:val="22"/>
          <w:szCs w:val="22"/>
        </w:rPr>
        <w:t>Study Characteristics</w:t>
      </w:r>
    </w:p>
    <w:p w14:paraId="2761E368" w14:textId="6046EB5C"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This review included fifteen articles that all fulfilled the study's aim and objectives (see Appendix D). All of Africa's areas were studied, with the exception of North Africa. Five publications, four from South Africa (Mash et al., 2015; Muchiri et al., 2016; Smith et al., 2023; Whittington et al., 2023) and one from a joint publication between Malawi and South Africa (Leon et al., 2021), made up the largest publishing count for Southern Africa. Four publications were produced in West Africa (two from Nigeria (Essien et al., 2017; Okafor et al., 2023), one from Mali (Debussche et al., 2018), and one from Senegal (Wargny et al., 2018)). Three publications from East Africa were contributed (two from Kenya (Githinji et al., 2022; Theuri et al., 2023) and one from Rwanda (Amendezo et al., 2017)). There were two publications from Cameroon (Assah et al., 2015) and Congo (Takenga et al., 2014) in Central Africa. One publication was produced in a partnership between South Africa and Uganda (Guwatudde et al., 2022), two countries in Southern and East Africa.</w:t>
      </w:r>
    </w:p>
    <w:p w14:paraId="715DD4DC" w14:textId="5854CDE6"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lastRenderedPageBreak/>
        <w:t xml:space="preserve">The review's source publications used a variety of study designs. Eleven of the articles used the randomized control trial in different forms of adaptation; open-label randomized control trial (Debussche et al., 2018), parallel-group individual randomized control trial (Essien et al., 2017), cluster randomized control trial (Githinji et al., 2022; Guwatudde et al., 2022; Mash et al., 2015; Whittington et al., 2023), open controlled clinical trials with randomized time allocation (Wargny et al., 2018), and the regular randomized control trial (Amendezo et al., 2017; Muchiri et al., 2016; Takenga et al., 2014; Theuri et al., 2023) study designs. A quasi-experimental study was </w:t>
      </w:r>
      <w:r w:rsidR="00915217">
        <w:rPr>
          <w:rFonts w:ascii="Times New Roman" w:hAnsi="Times New Roman" w:cs="Times New Roman"/>
          <w:sz w:val="22"/>
          <w:szCs w:val="22"/>
        </w:rPr>
        <w:t>utilised</w:t>
      </w:r>
      <w:r w:rsidR="00915217" w:rsidRPr="000D05DB">
        <w:rPr>
          <w:rFonts w:ascii="Times New Roman" w:hAnsi="Times New Roman" w:cs="Times New Roman"/>
          <w:sz w:val="22"/>
          <w:szCs w:val="22"/>
        </w:rPr>
        <w:t xml:space="preserve"> </w:t>
      </w:r>
      <w:r w:rsidRPr="000D05DB">
        <w:rPr>
          <w:rFonts w:ascii="Times New Roman" w:hAnsi="Times New Roman" w:cs="Times New Roman"/>
          <w:sz w:val="22"/>
          <w:szCs w:val="22"/>
        </w:rPr>
        <w:t xml:space="preserve">in one publication (Okafor et al., 2023), a qualitative research study was carried out in two papers (Leon et al., 2021; Smith et al., 2023), and a non-randomised control trial study design was used in one publication (Assah et al., 2015). A variety of statistical techniques were used by the various studies to gather and </w:t>
      </w:r>
      <w:r w:rsidR="00915217">
        <w:rPr>
          <w:rFonts w:ascii="Times New Roman" w:hAnsi="Times New Roman" w:cs="Times New Roman"/>
          <w:sz w:val="22"/>
          <w:szCs w:val="22"/>
        </w:rPr>
        <w:t>analyse</w:t>
      </w:r>
      <w:r w:rsidR="00915217" w:rsidRPr="000D05DB">
        <w:rPr>
          <w:rFonts w:ascii="Times New Roman" w:hAnsi="Times New Roman" w:cs="Times New Roman"/>
          <w:sz w:val="22"/>
          <w:szCs w:val="22"/>
        </w:rPr>
        <w:t xml:space="preserve"> </w:t>
      </w:r>
      <w:r w:rsidRPr="000D05DB">
        <w:rPr>
          <w:rFonts w:ascii="Times New Roman" w:hAnsi="Times New Roman" w:cs="Times New Roman"/>
          <w:sz w:val="22"/>
          <w:szCs w:val="22"/>
        </w:rPr>
        <w:t xml:space="preserve">their data, including Fisher's exact test, the student </w:t>
      </w:r>
      <w:r w:rsidRPr="00B7432E">
        <w:rPr>
          <w:rFonts w:ascii="Times New Roman" w:hAnsi="Times New Roman" w:cs="Times New Roman"/>
          <w:sz w:val="22"/>
          <w:szCs w:val="22"/>
          <w:highlight w:val="yellow"/>
        </w:rPr>
        <w:t xml:space="preserve">t-test, </w:t>
      </w:r>
      <w:r w:rsidR="00915217" w:rsidRPr="00B7432E">
        <w:rPr>
          <w:rFonts w:ascii="Times New Roman" w:hAnsi="Times New Roman" w:cs="Times New Roman"/>
          <w:sz w:val="22"/>
          <w:szCs w:val="22"/>
          <w:highlight w:val="yellow"/>
        </w:rPr>
        <w:t xml:space="preserve">Pearson </w:t>
      </w:r>
      <w:r w:rsidRPr="00B7432E">
        <w:rPr>
          <w:rFonts w:ascii="Times New Roman" w:hAnsi="Times New Roman" w:cs="Times New Roman"/>
          <w:sz w:val="22"/>
          <w:szCs w:val="22"/>
          <w:highlight w:val="yellow"/>
        </w:rPr>
        <w:t xml:space="preserve">chi-square, inductive and deductive analysis, modified </w:t>
      </w:r>
      <w:r w:rsidR="00915217" w:rsidRPr="00B7432E">
        <w:rPr>
          <w:rFonts w:ascii="Times New Roman" w:hAnsi="Times New Roman" w:cs="Times New Roman"/>
          <w:sz w:val="22"/>
          <w:szCs w:val="22"/>
          <w:highlight w:val="yellow"/>
        </w:rPr>
        <w:t xml:space="preserve">Poisson </w:t>
      </w:r>
      <w:r w:rsidRPr="00B7432E">
        <w:rPr>
          <w:rFonts w:ascii="Times New Roman" w:hAnsi="Times New Roman" w:cs="Times New Roman"/>
          <w:sz w:val="22"/>
          <w:szCs w:val="22"/>
          <w:highlight w:val="yellow"/>
        </w:rPr>
        <w:t xml:space="preserve">regression </w:t>
      </w:r>
      <w:r w:rsidR="00915217" w:rsidRPr="00B7432E">
        <w:rPr>
          <w:rFonts w:ascii="Times New Roman" w:hAnsi="Times New Roman" w:cs="Times New Roman"/>
          <w:sz w:val="22"/>
          <w:szCs w:val="22"/>
          <w:highlight w:val="yellow"/>
        </w:rPr>
        <w:t xml:space="preserve">modelling </w:t>
      </w:r>
      <w:r w:rsidRPr="00B7432E">
        <w:rPr>
          <w:rFonts w:ascii="Times New Roman" w:hAnsi="Times New Roman" w:cs="Times New Roman"/>
          <w:sz w:val="22"/>
          <w:szCs w:val="22"/>
          <w:highlight w:val="yellow"/>
        </w:rPr>
        <w:t>analysis</w:t>
      </w:r>
      <w:r w:rsidRPr="000D05DB">
        <w:rPr>
          <w:rFonts w:ascii="Times New Roman" w:hAnsi="Times New Roman" w:cs="Times New Roman"/>
          <w:sz w:val="22"/>
          <w:szCs w:val="22"/>
        </w:rPr>
        <w:t xml:space="preserve"> of co-variance (ANOVA), multivariate linear regression, </w:t>
      </w:r>
      <w:r w:rsidR="00915217">
        <w:rPr>
          <w:rFonts w:ascii="Times New Roman" w:hAnsi="Times New Roman" w:cs="Times New Roman"/>
          <w:sz w:val="22"/>
          <w:szCs w:val="22"/>
        </w:rPr>
        <w:t>Markov</w:t>
      </w:r>
      <w:r w:rsidR="00915217" w:rsidRPr="000D05DB">
        <w:rPr>
          <w:rFonts w:ascii="Times New Roman" w:hAnsi="Times New Roman" w:cs="Times New Roman"/>
          <w:sz w:val="22"/>
          <w:szCs w:val="22"/>
        </w:rPr>
        <w:t xml:space="preserve"> </w:t>
      </w:r>
      <w:r w:rsidRPr="000D05DB">
        <w:rPr>
          <w:rFonts w:ascii="Times New Roman" w:hAnsi="Times New Roman" w:cs="Times New Roman"/>
          <w:sz w:val="22"/>
          <w:szCs w:val="22"/>
        </w:rPr>
        <w:t>micro simulation model, and descriptive statistics.</w:t>
      </w:r>
    </w:p>
    <w:p w14:paraId="37BBF216" w14:textId="506CE7EA" w:rsidR="001C50BE" w:rsidRPr="00C36943" w:rsidRDefault="001C50BE" w:rsidP="000D05DB">
      <w:pPr>
        <w:spacing w:line="360" w:lineRule="auto"/>
        <w:jc w:val="both"/>
        <w:rPr>
          <w:rFonts w:ascii="Times New Roman" w:hAnsi="Times New Roman" w:cs="Times New Roman"/>
          <w:b/>
          <w:bCs/>
          <w:sz w:val="22"/>
          <w:szCs w:val="22"/>
        </w:rPr>
      </w:pPr>
      <w:r w:rsidRPr="00C36943">
        <w:rPr>
          <w:rFonts w:ascii="Times New Roman" w:hAnsi="Times New Roman" w:cs="Times New Roman"/>
          <w:b/>
          <w:bCs/>
          <w:sz w:val="22"/>
          <w:szCs w:val="22"/>
        </w:rPr>
        <w:t>Quality Appraisal of Selected Papers</w:t>
      </w:r>
    </w:p>
    <w:p w14:paraId="4042FAB4" w14:textId="77777777"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A critical appraisal of the selected papers revealed scores ranging between 46.1% and 90%. Eight of the selected papers (Essien et al., 2017; Mash et al., 2015; Debussche et al., 2018; Muchiri et al., 2016; Githinji et al., 2022; Whittington et al., 2023; Takenga et al., 2014; Amendezo et al., 2017) were considered of moderate (fair) quality, scoring between 46.1% and 69.2% while 7 papers (Guwatudde et al., 2022; Theuri et al., 2023; Wargny et al., 2018; Okafor et al., 2023; Assah et al., 2015; Smith et al., 2023; Leon et al., 2021) were of high (good) quality, scoring between 76.9% and 90%. </w:t>
      </w:r>
    </w:p>
    <w:p w14:paraId="64989485" w14:textId="77777777"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A total of 11 papers (Debussche et al., 2018; Whittington et al., 2023; Guwatudde et al., 2022; Muchiri et al., 2016; Essien et al., 2017; Mash et al., 2015; Githinji et al., 2022; Theuri et al., 2023; Wargny et al., 2018; Takenga et al., 2014; Amendezo et al., 2017) selected for this review used the randomized control trial method. The studies uniformly demonstrated a clear focus on well-defined research questions and employed random assignment of participants to interventions. This adherence to fundamental principles of RCT design contributes to the internal validity of the studies, ensuring a robust foundation for investigating the effects of the interventions. Furthermore, the proper accounting for all participants at the study's conclusion reflects a commitment to data integrity and strengthens the reliability of the reported outcomes.</w:t>
      </w:r>
    </w:p>
    <w:p w14:paraId="4C8696F2" w14:textId="6B45EA98"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While blinding of participants was generally reported across the studies, there were instances where this information was not provided ('Can't Tell') (Debussche et al., 2018; Whittington et al., 2023; Essien et al., 2017; Mash et al., 2015; Githinji et al., 2022; Theuri et al., 2023; Wargny et al., 2018; Takenga et al., 2014; Amendezo et al., 2017). This lack of transparency raises concerns about potential bias introduced by </w:t>
      </w:r>
      <w:r w:rsidRPr="000D05DB">
        <w:rPr>
          <w:rFonts w:ascii="Times New Roman" w:hAnsi="Times New Roman" w:cs="Times New Roman"/>
          <w:sz w:val="22"/>
          <w:szCs w:val="22"/>
        </w:rPr>
        <w:lastRenderedPageBreak/>
        <w:t xml:space="preserve">participant expectations. Additionally, the variability in blinding of investigators and outcome assessors underscores the importance of methodological </w:t>
      </w:r>
      <w:r w:rsidR="00992BE7" w:rsidRPr="00B7432E">
        <w:rPr>
          <w:rFonts w:ascii="Times New Roman" w:hAnsi="Times New Roman" w:cs="Times New Roman"/>
          <w:sz w:val="22"/>
          <w:szCs w:val="22"/>
          <w:highlight w:val="yellow"/>
        </w:rPr>
        <w:t xml:space="preserve">rigour </w:t>
      </w:r>
      <w:r w:rsidRPr="00B7432E">
        <w:rPr>
          <w:rFonts w:ascii="Times New Roman" w:hAnsi="Times New Roman" w:cs="Times New Roman"/>
          <w:sz w:val="22"/>
          <w:szCs w:val="22"/>
          <w:highlight w:val="yellow"/>
        </w:rPr>
        <w:t xml:space="preserve">in </w:t>
      </w:r>
      <w:r w:rsidR="00992BE7" w:rsidRPr="00B7432E">
        <w:rPr>
          <w:rFonts w:ascii="Times New Roman" w:hAnsi="Times New Roman" w:cs="Times New Roman"/>
          <w:sz w:val="22"/>
          <w:szCs w:val="22"/>
          <w:highlight w:val="yellow"/>
        </w:rPr>
        <w:t xml:space="preserve">minimising </w:t>
      </w:r>
      <w:r w:rsidRPr="00B7432E">
        <w:rPr>
          <w:rFonts w:ascii="Times New Roman" w:hAnsi="Times New Roman" w:cs="Times New Roman"/>
          <w:sz w:val="22"/>
          <w:szCs w:val="22"/>
          <w:highlight w:val="yellow"/>
        </w:rPr>
        <w:t>the risk of bias. The</w:t>
      </w:r>
      <w:r w:rsidRPr="000D05DB">
        <w:rPr>
          <w:rFonts w:ascii="Times New Roman" w:hAnsi="Times New Roman" w:cs="Times New Roman"/>
          <w:sz w:val="22"/>
          <w:szCs w:val="22"/>
        </w:rPr>
        <w:t xml:space="preserve"> reported baseline similarity of study groups is a positive aspect, although the absence of this information in some studies ('Can't Tell') necessitates cautious interpretation of results. Notably, the equal treatment of study groups is an area where several studies fell short, potentially introducing confounding variables and compromising internal validity (Debussche et al., 2018; Whittington et al., 2023; Essien et al., 2017; Mash et al., 2015; Githinji et al., 2022; Takenga et al., 2014).</w:t>
      </w:r>
    </w:p>
    <w:p w14:paraId="62599994" w14:textId="77777777"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Comprehensive reporting of intervention effects was a strength across the studies (Debussche et al., 2018; Whittington et al., 2023; Guwatudde et al., 2022; Muchiri et al., 2016; Essien et al., 2017; Mash et al., 2015; Githinji et al., 2022; Theuri et al., 2023; Wargny et al., 2018; Takenga et al., 2014; Amendezo et al., 2017). This contributes to the transparency and interpretability of the findings. However, the inconsistent reporting of the precision of intervention effects and the balance between benefits, harms, and costs raises concerns about the completeness of information (Debussche et al., 2018; Whittington et al., 2023; Essien et al., 2017; Mash et al., 2015; Githinji et al., 2022; Theuri et al., 2023). Precision is crucial for understanding the reliability of reported results, and the absence of this information can limit the ability to gauge the clinical significance of interventions.</w:t>
      </w:r>
    </w:p>
    <w:p w14:paraId="2265B08A" w14:textId="77777777"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The majority of studies were deemed applicable to local populations or contexts, suggesting potential generalizability (Debussche et al., 2018; Whittington et al., 2023; Guwatudde et al., 2022; Muchiri et al., 2016; Essien et al., 2017; Mash et al., 2015; Theuri et al., 2023; Wargny et al., 2018; Takenga et al., 2014; Amendezo et al., 2017). However, the 'Can't Tell' designations in some cases indicate a lack of sufficient information for a definitive judgment on local applicability (Githinji et al., 2022). Assessing the value of the experimental interventions compared to existing practices is crucial for informed decision-making, and the positive evaluations across most studies suggest a perceived benefit in patient care (Debussche et al., 2018; Whittington et al., 2023; Guwatudde et al., 2022; Muchiri et al., 2016; Essien et al., 2017; Githinji et al., 2022; Theuri et al., 2023; Wargny et al., 2018; Takenga et al., 2014; Amendezo et al., 2017).</w:t>
      </w:r>
    </w:p>
    <w:p w14:paraId="32325595" w14:textId="7445AB39"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In general, the critical appraisal highlights both strengths and weaknesses across the evaluated RCTs. Adherence to fundamental RCT principles, comprehensive reporting, and perceived value in patient care are positive aspects. However, inconsistencies in blinding, potential confounding variables, and gaps in reporting precision </w:t>
      </w:r>
      <w:r w:rsidR="00992BE7">
        <w:rPr>
          <w:rFonts w:ascii="Times New Roman" w:hAnsi="Times New Roman" w:cs="Times New Roman"/>
          <w:sz w:val="22"/>
          <w:szCs w:val="22"/>
        </w:rPr>
        <w:t>emphasise</w:t>
      </w:r>
      <w:r w:rsidR="00992BE7" w:rsidRPr="000D05DB">
        <w:rPr>
          <w:rFonts w:ascii="Times New Roman" w:hAnsi="Times New Roman" w:cs="Times New Roman"/>
          <w:sz w:val="22"/>
          <w:szCs w:val="22"/>
        </w:rPr>
        <w:t xml:space="preserve"> </w:t>
      </w:r>
      <w:r w:rsidRPr="000D05DB">
        <w:rPr>
          <w:rFonts w:ascii="Times New Roman" w:hAnsi="Times New Roman" w:cs="Times New Roman"/>
          <w:sz w:val="22"/>
          <w:szCs w:val="22"/>
        </w:rPr>
        <w:t xml:space="preserve">the need for careful interpretation. </w:t>
      </w:r>
    </w:p>
    <w:p w14:paraId="5009F87D" w14:textId="77777777"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Furthermore, qualitative research methods were employed by 2 of the selected papers (Smith et al., 2023 and Leon et al., 2021). Both studies excel in providing a clear statement of their research aims, aligning them with their respective qualitative methodologies and research designs. The appropriateness of data </w:t>
      </w:r>
      <w:r w:rsidRPr="000D05DB">
        <w:rPr>
          <w:rFonts w:ascii="Times New Roman" w:hAnsi="Times New Roman" w:cs="Times New Roman"/>
          <w:sz w:val="22"/>
          <w:szCs w:val="22"/>
        </w:rPr>
        <w:lastRenderedPageBreak/>
        <w:t>collection methods in addressing the research issues is evident in both studies. However, concerns arise regarding the researcher-participant relationship in Smith et al. (2023) and the recruitment strategy in both studies. The lack of clarity in the assessment of the recruitment strategy for Smith et al. (2023) and the researcher-participant relationship in Leon et al. (2021) calls for a nuanced interpretation of these aspects.</w:t>
      </w:r>
    </w:p>
    <w:p w14:paraId="298EB891" w14:textId="77777777"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While both studies share similarities in their methodological strengths, differences in the consideration of the researcher-participant relationship and recruitment strategy emerge. The lack of clarity in the recruitment strategy in Smith et al. (2023) and the unaddressed relationship dynamics in Leon et al. (2021) indicate areas for improvement. These variations highlight the need for a nuanced interpretation of the results and suggest potential avenues for refining future qualitative research methodologies.</w:t>
      </w:r>
    </w:p>
    <w:p w14:paraId="634B4E64" w14:textId="03CB28DF"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Finally, two papers (Assah et al., 2015 and Okafor et al., 2023) used the quasi-experimental research method. One strength </w:t>
      </w:r>
      <w:r w:rsidR="00992BE7" w:rsidRPr="00B7432E">
        <w:rPr>
          <w:rFonts w:ascii="Times New Roman" w:hAnsi="Times New Roman" w:cs="Times New Roman"/>
          <w:sz w:val="22"/>
          <w:szCs w:val="22"/>
          <w:highlight w:val="yellow"/>
        </w:rPr>
        <w:t xml:space="preserve">of </w:t>
      </w:r>
      <w:r w:rsidRPr="00B7432E">
        <w:rPr>
          <w:rFonts w:ascii="Times New Roman" w:hAnsi="Times New Roman" w:cs="Times New Roman"/>
          <w:sz w:val="22"/>
          <w:szCs w:val="22"/>
          <w:highlight w:val="yellow"/>
        </w:rPr>
        <w:t xml:space="preserve">the research </w:t>
      </w:r>
      <w:r w:rsidRPr="000D05DB">
        <w:rPr>
          <w:rFonts w:ascii="Times New Roman" w:hAnsi="Times New Roman" w:cs="Times New Roman"/>
          <w:sz w:val="22"/>
          <w:szCs w:val="22"/>
        </w:rPr>
        <w:t xml:space="preserve">is that participants included in comparisons are similar. This </w:t>
      </w:r>
      <w:r w:rsidR="00992BE7" w:rsidRPr="00B7432E">
        <w:rPr>
          <w:rFonts w:ascii="Times New Roman" w:hAnsi="Times New Roman" w:cs="Times New Roman"/>
          <w:sz w:val="22"/>
          <w:szCs w:val="22"/>
          <w:highlight w:val="yellow"/>
        </w:rPr>
        <w:t xml:space="preserve">minimises </w:t>
      </w:r>
      <w:r w:rsidRPr="00B7432E">
        <w:rPr>
          <w:rFonts w:ascii="Times New Roman" w:hAnsi="Times New Roman" w:cs="Times New Roman"/>
          <w:sz w:val="22"/>
          <w:szCs w:val="22"/>
          <w:highlight w:val="yellow"/>
        </w:rPr>
        <w:t xml:space="preserve">potential </w:t>
      </w:r>
      <w:r w:rsidRPr="000D05DB">
        <w:rPr>
          <w:rFonts w:ascii="Times New Roman" w:hAnsi="Times New Roman" w:cs="Times New Roman"/>
          <w:sz w:val="22"/>
          <w:szCs w:val="22"/>
        </w:rPr>
        <w:t xml:space="preserve">confounding variables, bolstering internal validity and instilling confidence in the study's findings. Participants included in comparisons are reported to receive similar treatment/care, aside from the intervention of interest. This further fortifies internal validity by isolating the impact of the intervention from other external influences. The inclusion of a control group also marks a significant strength in quasi-experimental design. This aspect allows for more robust comparisons, enhancing the internal validity and reliability of the study. A limitation arises from the absence of multiple measurements of the </w:t>
      </w:r>
      <w:r w:rsidRPr="00B7432E">
        <w:rPr>
          <w:rFonts w:ascii="Times New Roman" w:hAnsi="Times New Roman" w:cs="Times New Roman"/>
          <w:sz w:val="22"/>
          <w:szCs w:val="22"/>
          <w:highlight w:val="yellow"/>
        </w:rPr>
        <w:t xml:space="preserve">outcome </w:t>
      </w:r>
      <w:r w:rsidR="00992BE7" w:rsidRPr="00B7432E">
        <w:rPr>
          <w:rFonts w:ascii="Times New Roman" w:hAnsi="Times New Roman" w:cs="Times New Roman"/>
          <w:sz w:val="22"/>
          <w:szCs w:val="22"/>
          <w:highlight w:val="yellow"/>
        </w:rPr>
        <w:t xml:space="preserve">pre- </w:t>
      </w:r>
      <w:r w:rsidRPr="00B7432E">
        <w:rPr>
          <w:rFonts w:ascii="Times New Roman" w:hAnsi="Times New Roman" w:cs="Times New Roman"/>
          <w:sz w:val="22"/>
          <w:szCs w:val="22"/>
          <w:highlight w:val="yellow"/>
        </w:rPr>
        <w:t xml:space="preserve">and </w:t>
      </w:r>
      <w:r w:rsidR="00992BE7" w:rsidRPr="00B7432E">
        <w:rPr>
          <w:rFonts w:ascii="Times New Roman" w:hAnsi="Times New Roman" w:cs="Times New Roman"/>
          <w:sz w:val="22"/>
          <w:szCs w:val="22"/>
          <w:highlight w:val="yellow"/>
        </w:rPr>
        <w:t>post-intervention</w:t>
      </w:r>
      <w:r w:rsidRPr="00B7432E">
        <w:rPr>
          <w:rFonts w:ascii="Times New Roman" w:hAnsi="Times New Roman" w:cs="Times New Roman"/>
          <w:sz w:val="22"/>
          <w:szCs w:val="22"/>
          <w:highlight w:val="yellow"/>
        </w:rPr>
        <w:t xml:space="preserve">. </w:t>
      </w:r>
      <w:r w:rsidRPr="000D05DB">
        <w:rPr>
          <w:rFonts w:ascii="Times New Roman" w:hAnsi="Times New Roman" w:cs="Times New Roman"/>
          <w:sz w:val="22"/>
          <w:szCs w:val="22"/>
        </w:rPr>
        <w:t xml:space="preserve">This limitation diminishes the study's ability to capture changes over time comprehensively, highlighting an area for improvement in future research. </w:t>
      </w:r>
    </w:p>
    <w:p w14:paraId="5B0B499D" w14:textId="77777777" w:rsidR="001C50BE" w:rsidRPr="00546194" w:rsidRDefault="001C50BE" w:rsidP="000D05DB">
      <w:pPr>
        <w:spacing w:line="360" w:lineRule="auto"/>
        <w:jc w:val="both"/>
        <w:rPr>
          <w:rFonts w:ascii="Times New Roman" w:hAnsi="Times New Roman" w:cs="Times New Roman"/>
          <w:b/>
          <w:bCs/>
          <w:sz w:val="22"/>
          <w:szCs w:val="22"/>
        </w:rPr>
      </w:pPr>
    </w:p>
    <w:p w14:paraId="5B13EC77" w14:textId="5C10A524" w:rsidR="001C50BE" w:rsidRPr="00546194" w:rsidRDefault="001C50BE" w:rsidP="000D05DB">
      <w:pPr>
        <w:spacing w:line="360" w:lineRule="auto"/>
        <w:jc w:val="both"/>
        <w:rPr>
          <w:rFonts w:ascii="Times New Roman" w:hAnsi="Times New Roman" w:cs="Times New Roman"/>
          <w:b/>
          <w:bCs/>
          <w:sz w:val="22"/>
          <w:szCs w:val="22"/>
        </w:rPr>
      </w:pPr>
      <w:r w:rsidRPr="00546194">
        <w:rPr>
          <w:rFonts w:ascii="Times New Roman" w:hAnsi="Times New Roman" w:cs="Times New Roman"/>
          <w:b/>
          <w:bCs/>
          <w:sz w:val="22"/>
          <w:szCs w:val="22"/>
        </w:rPr>
        <w:t>Research Findings</w:t>
      </w:r>
    </w:p>
    <w:p w14:paraId="266388AB" w14:textId="2F4EDAFA" w:rsidR="001C50BE" w:rsidRPr="00546194" w:rsidRDefault="001C50BE" w:rsidP="000D05DB">
      <w:pPr>
        <w:spacing w:line="360" w:lineRule="auto"/>
        <w:jc w:val="both"/>
        <w:rPr>
          <w:rFonts w:ascii="Times New Roman" w:hAnsi="Times New Roman" w:cs="Times New Roman"/>
          <w:b/>
          <w:bCs/>
          <w:sz w:val="22"/>
          <w:szCs w:val="22"/>
        </w:rPr>
      </w:pPr>
      <w:r w:rsidRPr="00546194">
        <w:rPr>
          <w:rFonts w:ascii="Times New Roman" w:hAnsi="Times New Roman" w:cs="Times New Roman"/>
          <w:b/>
          <w:bCs/>
          <w:sz w:val="22"/>
          <w:szCs w:val="22"/>
        </w:rPr>
        <w:t>Community-Based Patient Education</w:t>
      </w:r>
    </w:p>
    <w:p w14:paraId="537ED020" w14:textId="23EB9435"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Of the fifteen studies analyzed for this study, seven discuss how well community-based patient education works for managing diabetes mellitus. (Amendezo et al., 2017; Assah et al., 2015; Debussche et al., 2018; Githinji et al., 2022; Guwatudde et al., 2022; Mash et al., 2015; Whittington et al., 2023) all provided evidence that community-based patient education was beneficial in raising glycemic control, lowering HbA1C, and enhancing quality-adjusted life years and retention in treatment for individuals with diabetes mellitus. These programs, which were tailored to each country's unique circumstances, became vital resources for tackling the widespread problem of diabetes mellitus and its treatment in a resource-constrained African setting. The programs are intended to inform, educate, and increase awareness about various lifestyle strategies that can be used in the management or prevention of diabetes mellitus among </w:t>
      </w:r>
      <w:r w:rsidRPr="000D05DB">
        <w:rPr>
          <w:rFonts w:ascii="Times New Roman" w:hAnsi="Times New Roman" w:cs="Times New Roman"/>
          <w:sz w:val="22"/>
          <w:szCs w:val="22"/>
        </w:rPr>
        <w:lastRenderedPageBreak/>
        <w:t xml:space="preserve">individuals with the disease as well as groups at risk. The core of these initiatives is the accurate dissemination of information regarding the role that physical activity, a healthy diet, and routine hospital check-ups have in the prevention and treatment of diabetes mellitus. Participants receive education on controlling blood sugar and insulin, managing their diet, exercising, and reducing their risk of cardiovascular disease. Additionally, the participants' understanding of hypo-hyperglycemia, diabetes complications, anti-diabetic medication, exercise, food, and foot care is affected. These programs use interactive teaching techniques to get participants actively involved. To guarantee ongoing involvement and follow-up, this frequently entails peer-led instruction, </w:t>
      </w:r>
      <w:r w:rsidRPr="00B7432E">
        <w:rPr>
          <w:rFonts w:ascii="Times New Roman" w:hAnsi="Times New Roman" w:cs="Times New Roman"/>
          <w:sz w:val="22"/>
          <w:szCs w:val="22"/>
          <w:highlight w:val="yellow"/>
        </w:rPr>
        <w:t xml:space="preserve">the </w:t>
      </w:r>
      <w:r w:rsidR="00AC712A" w:rsidRPr="00B7432E">
        <w:rPr>
          <w:rFonts w:ascii="Times New Roman" w:hAnsi="Times New Roman" w:cs="Times New Roman"/>
          <w:sz w:val="22"/>
          <w:szCs w:val="22"/>
          <w:highlight w:val="yellow"/>
        </w:rPr>
        <w:t xml:space="preserve">utilisation </w:t>
      </w:r>
      <w:r w:rsidRPr="000D05DB">
        <w:rPr>
          <w:rFonts w:ascii="Times New Roman" w:hAnsi="Times New Roman" w:cs="Times New Roman"/>
          <w:sz w:val="22"/>
          <w:szCs w:val="22"/>
        </w:rPr>
        <w:t>of educational resources, and mobile communication. Certain programs include peer-led activities, making use of peer influence. Trained community mentors provide a supportive network of people with comparable experiences and obstacles by educating their peers about diabetes mellitus.</w:t>
      </w:r>
    </w:p>
    <w:p w14:paraId="43034AD2" w14:textId="1FA17AA4"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According to (Amendezo et al., 2017; Assah et al., 2015; Debussche et al., 2018), patients with diabetes or those at risk for the disease showed improvements in </w:t>
      </w:r>
      <w:r w:rsidRPr="00B7432E">
        <w:rPr>
          <w:rFonts w:ascii="Times New Roman" w:hAnsi="Times New Roman" w:cs="Times New Roman"/>
          <w:sz w:val="22"/>
          <w:szCs w:val="22"/>
          <w:highlight w:val="yellow"/>
        </w:rPr>
        <w:t xml:space="preserve">both </w:t>
      </w:r>
      <w:r w:rsidR="00AC712A" w:rsidRPr="00B7432E">
        <w:rPr>
          <w:rFonts w:ascii="Times New Roman" w:hAnsi="Times New Roman" w:cs="Times New Roman"/>
          <w:sz w:val="22"/>
          <w:szCs w:val="22"/>
          <w:highlight w:val="yellow"/>
        </w:rPr>
        <w:t xml:space="preserve">anthropometric </w:t>
      </w:r>
      <w:r w:rsidRPr="00B7432E">
        <w:rPr>
          <w:rFonts w:ascii="Times New Roman" w:hAnsi="Times New Roman" w:cs="Times New Roman"/>
          <w:sz w:val="22"/>
          <w:szCs w:val="22"/>
          <w:highlight w:val="yellow"/>
        </w:rPr>
        <w:t xml:space="preserve">parameters </w:t>
      </w:r>
      <w:r w:rsidRPr="000D05DB">
        <w:rPr>
          <w:rFonts w:ascii="Times New Roman" w:hAnsi="Times New Roman" w:cs="Times New Roman"/>
          <w:sz w:val="22"/>
          <w:szCs w:val="22"/>
        </w:rPr>
        <w:t>and diabetic management when they received community-based patient education that included peer support. (Mash et al., 2015; Whittington et al., 2023) also pointed out that diabetes education provided by community health workers was efficient and economical in terms of raising quality-adjusted life years and glycemic control, respectively. (Githinji et al., 2022) claims that when a community-based intervention is tailored to participants' cultural sensitivity, it can enhance diabetes awareness and improve health attitudes in those who have the disease or are at risk for it.</w:t>
      </w:r>
    </w:p>
    <w:p w14:paraId="705A230B" w14:textId="54EA8158" w:rsidR="001C50BE" w:rsidRPr="00546194" w:rsidRDefault="001C50BE" w:rsidP="000D05DB">
      <w:pPr>
        <w:spacing w:line="360" w:lineRule="auto"/>
        <w:jc w:val="both"/>
        <w:rPr>
          <w:rFonts w:ascii="Times New Roman" w:hAnsi="Times New Roman" w:cs="Times New Roman"/>
          <w:b/>
          <w:bCs/>
          <w:sz w:val="22"/>
          <w:szCs w:val="22"/>
        </w:rPr>
      </w:pPr>
      <w:r w:rsidRPr="00546194">
        <w:rPr>
          <w:rFonts w:ascii="Times New Roman" w:hAnsi="Times New Roman" w:cs="Times New Roman"/>
          <w:b/>
          <w:bCs/>
          <w:sz w:val="22"/>
          <w:szCs w:val="22"/>
        </w:rPr>
        <w:t>Hospital-Based Patient Education</w:t>
      </w:r>
    </w:p>
    <w:p w14:paraId="4CFF4525" w14:textId="1BF044E5"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This intervention entails hospital staff members (nurses or doctors) educating people in a medical context. Peer support is not a part of it, which sets it apart from community-based patient education. In actuality, individuals may receive separate care at times in order to reduce bias and participant comparison of results</w:t>
      </w:r>
      <w:r w:rsidR="00011CB2">
        <w:rPr>
          <w:rFonts w:ascii="Times New Roman" w:hAnsi="Times New Roman" w:cs="Times New Roman"/>
          <w:sz w:val="22"/>
          <w:szCs w:val="22"/>
        </w:rPr>
        <w:t xml:space="preserve"> (</w:t>
      </w:r>
      <w:r w:rsidR="00011CB2" w:rsidRPr="00DD47C9">
        <w:rPr>
          <w:rFonts w:ascii="Times New Roman" w:eastAsia="Arial" w:hAnsi="Times New Roman" w:cs="Times New Roman"/>
          <w:sz w:val="22"/>
          <w:szCs w:val="22"/>
        </w:rPr>
        <w:t>Abdullateef</w:t>
      </w:r>
      <w:r w:rsidR="00011CB2">
        <w:rPr>
          <w:rFonts w:ascii="Times New Roman" w:eastAsia="Arial" w:hAnsi="Times New Roman" w:cs="Times New Roman"/>
          <w:sz w:val="22"/>
          <w:szCs w:val="22"/>
        </w:rPr>
        <w:t xml:space="preserve"> et al., 2021)</w:t>
      </w:r>
      <w:r w:rsidRPr="000D05DB">
        <w:rPr>
          <w:rFonts w:ascii="Times New Roman" w:hAnsi="Times New Roman" w:cs="Times New Roman"/>
          <w:sz w:val="22"/>
          <w:szCs w:val="22"/>
        </w:rPr>
        <w:t>. Along with general diabetes management, which includes foot care, regular blood pressure monitoring, identifying the symptoms of hypo- and hyperglycemia, eye exams, and stress management, it also entails educating patients and those who are at risk about daily physical activity, adherence to diet therapy, daily glucose monitoring, and more. To guarantee adherence and reduce follow-up loss, educational resources and mobile communication are also used.</w:t>
      </w:r>
    </w:p>
    <w:p w14:paraId="780C88DC" w14:textId="1423B292"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The significance of hospital-based patient education in the management of diabetes mellitus is highlighted in two of the studies (Essien et al., 2017; Okafor et al., 2023) for this review. (Essien et al., 2017) conducted a comparative analysis of two patient education approaches: intensive patient education, which was an adaptation of the highly </w:t>
      </w:r>
      <w:r w:rsidR="00B3036D" w:rsidRPr="000D05DB">
        <w:rPr>
          <w:rFonts w:ascii="Times New Roman" w:hAnsi="Times New Roman" w:cs="Times New Roman"/>
          <w:sz w:val="22"/>
          <w:szCs w:val="22"/>
        </w:rPr>
        <w:t>successful United</w:t>
      </w:r>
      <w:r w:rsidRPr="000D05DB">
        <w:rPr>
          <w:rFonts w:ascii="Times New Roman" w:hAnsi="Times New Roman" w:cs="Times New Roman"/>
          <w:sz w:val="22"/>
          <w:szCs w:val="22"/>
        </w:rPr>
        <w:t xml:space="preserve"> </w:t>
      </w:r>
      <w:r w:rsidR="000E153E">
        <w:rPr>
          <w:rFonts w:ascii="Times New Roman" w:hAnsi="Times New Roman" w:cs="Times New Roman"/>
          <w:sz w:val="22"/>
          <w:szCs w:val="22"/>
        </w:rPr>
        <w:t>K</w:t>
      </w:r>
      <w:r w:rsidRPr="000D05DB">
        <w:rPr>
          <w:rFonts w:ascii="Times New Roman" w:hAnsi="Times New Roman" w:cs="Times New Roman"/>
          <w:sz w:val="22"/>
          <w:szCs w:val="22"/>
        </w:rPr>
        <w:t xml:space="preserve">ingdom's Health Educator Desk Guide of the COMDIS-HSD </w:t>
      </w:r>
      <w:r w:rsidRPr="000D05DB">
        <w:rPr>
          <w:rFonts w:ascii="Times New Roman" w:hAnsi="Times New Roman" w:cs="Times New Roman"/>
          <w:sz w:val="22"/>
          <w:szCs w:val="22"/>
        </w:rPr>
        <w:lastRenderedPageBreak/>
        <w:t>group to the Nigerian setting, and conventional patient education. Twelve two-hour structured training sessions</w:t>
      </w:r>
      <w:r w:rsidR="00AC712A">
        <w:rPr>
          <w:rFonts w:ascii="Times New Roman" w:hAnsi="Times New Roman" w:cs="Times New Roman"/>
          <w:sz w:val="22"/>
          <w:szCs w:val="22"/>
        </w:rPr>
        <w:t>,</w:t>
      </w:r>
      <w:r w:rsidRPr="000D05DB">
        <w:rPr>
          <w:rFonts w:ascii="Times New Roman" w:hAnsi="Times New Roman" w:cs="Times New Roman"/>
          <w:sz w:val="22"/>
          <w:szCs w:val="22"/>
        </w:rPr>
        <w:t xml:space="preserve"> including topics such as diet and nutrition, exercise, foot care, glucose monitoring, medication compliance, and mechanism of action</w:t>
      </w:r>
      <w:r w:rsidR="00AC712A">
        <w:rPr>
          <w:rFonts w:ascii="Times New Roman" w:hAnsi="Times New Roman" w:cs="Times New Roman"/>
          <w:sz w:val="22"/>
          <w:szCs w:val="22"/>
        </w:rPr>
        <w:t>,</w:t>
      </w:r>
      <w:r w:rsidRPr="000D05DB">
        <w:rPr>
          <w:rFonts w:ascii="Times New Roman" w:hAnsi="Times New Roman" w:cs="Times New Roman"/>
          <w:sz w:val="22"/>
          <w:szCs w:val="22"/>
        </w:rPr>
        <w:t xml:space="preserve"> were part of the intensive patient education program. The participants' regular hospital appointments do not coincide with the instructional sessions, which take place outside of the endocrinology department. In the endocrinology department, the conventional patient education was given in addition to routine hospital visits. (Essien et al., 2017) subsequently found that the intense patient education greatly enhanced the glycemic management of diabetics. In addition, Okafor et al</w:t>
      </w:r>
      <w:r w:rsidR="00AC712A" w:rsidRPr="000D05DB">
        <w:rPr>
          <w:rFonts w:ascii="Times New Roman" w:hAnsi="Times New Roman" w:cs="Times New Roman"/>
          <w:sz w:val="22"/>
          <w:szCs w:val="22"/>
        </w:rPr>
        <w:t>.</w:t>
      </w:r>
      <w:r w:rsidR="00AC712A">
        <w:rPr>
          <w:rFonts w:ascii="Times New Roman" w:hAnsi="Times New Roman" w:cs="Times New Roman"/>
          <w:sz w:val="22"/>
          <w:szCs w:val="22"/>
        </w:rPr>
        <w:t xml:space="preserve"> (</w:t>
      </w:r>
      <w:r w:rsidRPr="000D05DB">
        <w:rPr>
          <w:rFonts w:ascii="Times New Roman" w:hAnsi="Times New Roman" w:cs="Times New Roman"/>
          <w:sz w:val="22"/>
          <w:szCs w:val="22"/>
        </w:rPr>
        <w:t>2023) showed how a hospital-based patient education program enhanced participants' self-efficacy as lifestyle modifications were noted. Participants also showed greater awareness of hypo- and hyperglycemia symptoms, as well as improved stress and depression management skills.</w:t>
      </w:r>
    </w:p>
    <w:p w14:paraId="13EB59C2" w14:textId="193505EE" w:rsidR="001C50BE" w:rsidRPr="004F4C8A" w:rsidRDefault="001C50BE" w:rsidP="000D05DB">
      <w:pPr>
        <w:spacing w:line="360" w:lineRule="auto"/>
        <w:jc w:val="both"/>
        <w:rPr>
          <w:rFonts w:ascii="Times New Roman" w:hAnsi="Times New Roman" w:cs="Times New Roman"/>
          <w:b/>
          <w:bCs/>
          <w:sz w:val="22"/>
          <w:szCs w:val="22"/>
        </w:rPr>
      </w:pPr>
      <w:r w:rsidRPr="004F4C8A">
        <w:rPr>
          <w:rFonts w:ascii="Times New Roman" w:hAnsi="Times New Roman" w:cs="Times New Roman"/>
          <w:b/>
          <w:bCs/>
          <w:sz w:val="22"/>
          <w:szCs w:val="22"/>
        </w:rPr>
        <w:t>Mobile Phone Communication/ICT-Based Intervention</w:t>
      </w:r>
    </w:p>
    <w:p w14:paraId="46DF2870" w14:textId="11471D8F"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The usefulness of ICT-based mobile communication interventions in the treatment of diabetes mellitus was demonstrated in four of the publications included in this review (Leon et al., 2021; Takenga et al., 2014; Theuri et al., 2023; Wargny et al., 2018). According to research by (Theuri et al., 2023)</w:t>
      </w:r>
      <w:r w:rsidR="00AC712A">
        <w:rPr>
          <w:rFonts w:ascii="Times New Roman" w:hAnsi="Times New Roman" w:cs="Times New Roman"/>
          <w:sz w:val="22"/>
          <w:szCs w:val="22"/>
        </w:rPr>
        <w:t>,</w:t>
      </w:r>
      <w:r w:rsidRPr="000D05DB">
        <w:rPr>
          <w:rFonts w:ascii="Times New Roman" w:hAnsi="Times New Roman" w:cs="Times New Roman"/>
          <w:sz w:val="22"/>
          <w:szCs w:val="22"/>
        </w:rPr>
        <w:t xml:space="preserve"> patients with diabetes who would not typically think to stick to a certain diet plan and meal times showed better adherence to prescribed dietary practices when they used mobile phone communication, particularly when it came to meal planning and frequency of meals. (Wargny et al., 2018</w:t>
      </w:r>
      <w:r w:rsidRPr="00B7432E">
        <w:rPr>
          <w:rFonts w:ascii="Times New Roman" w:hAnsi="Times New Roman" w:cs="Times New Roman"/>
          <w:sz w:val="22"/>
          <w:szCs w:val="22"/>
          <w:highlight w:val="yellow"/>
        </w:rPr>
        <w:t>) discovered</w:t>
      </w:r>
      <w:r w:rsidRPr="000D05DB">
        <w:rPr>
          <w:rFonts w:ascii="Times New Roman" w:hAnsi="Times New Roman" w:cs="Times New Roman"/>
          <w:sz w:val="22"/>
          <w:szCs w:val="22"/>
        </w:rPr>
        <w:t xml:space="preserve"> that the use of SMS improved glycemic control in people living with diabetes, a benefit that persisted three months after the program's end. The SMS reminded participants of their dietary restrictions, meal schedules, and medications, as well as to be alert for any potential complications' symptoms. Though brief messaging is useful for raising awareness and serving as a reminder to follow certain guidelines, (Leon et al., 2021) pointed out that brief text messaging may not have been enough to improve health outcomes due to the complex context in which patients take their diabetes medication, which includes a variety of routinized, partial diabetes care adherence behaviors shaped by complex and interacting individual, social, and health service factors. The extent of the need for health services support and self-management indicates that digital communication interventions should be used in conjunction with other types of self-management assistance and a strengthened health system. (Takenga et al., 2014) claims that the Mobil Diab system, an ICT-based intervention, improved clinical results by reducing blood glucose and improving HbA1C. It accomplishes this by using a completely integrated provider-patient system. It allows patients to move about freely and assists with routine data entry, which makes it simpler for medical professionals to use the imputed data for </w:t>
      </w:r>
      <w:r w:rsidR="00AC712A" w:rsidRPr="00B7432E">
        <w:rPr>
          <w:rFonts w:ascii="Times New Roman" w:hAnsi="Times New Roman" w:cs="Times New Roman"/>
          <w:sz w:val="22"/>
          <w:szCs w:val="22"/>
          <w:highlight w:val="yellow"/>
        </w:rPr>
        <w:t xml:space="preserve">individualised </w:t>
      </w:r>
      <w:r w:rsidRPr="00B7432E">
        <w:rPr>
          <w:rFonts w:ascii="Times New Roman" w:hAnsi="Times New Roman" w:cs="Times New Roman"/>
          <w:sz w:val="22"/>
          <w:szCs w:val="22"/>
          <w:highlight w:val="yellow"/>
        </w:rPr>
        <w:t>treatment</w:t>
      </w:r>
      <w:r w:rsidRPr="000D05DB">
        <w:rPr>
          <w:rFonts w:ascii="Times New Roman" w:hAnsi="Times New Roman" w:cs="Times New Roman"/>
          <w:sz w:val="22"/>
          <w:szCs w:val="22"/>
        </w:rPr>
        <w:t xml:space="preserve"> and reduces errors.</w:t>
      </w:r>
    </w:p>
    <w:p w14:paraId="65A1A4A1" w14:textId="77777777" w:rsidR="004F4C8A" w:rsidRDefault="004F4C8A" w:rsidP="000D05DB">
      <w:pPr>
        <w:spacing w:line="360" w:lineRule="auto"/>
        <w:jc w:val="both"/>
        <w:rPr>
          <w:rFonts w:ascii="Times New Roman" w:hAnsi="Times New Roman" w:cs="Times New Roman"/>
          <w:sz w:val="22"/>
          <w:szCs w:val="22"/>
        </w:rPr>
      </w:pPr>
    </w:p>
    <w:p w14:paraId="7A1F3D08" w14:textId="63AFAD8B" w:rsidR="001C50BE" w:rsidRPr="004F4C8A" w:rsidRDefault="001C50BE" w:rsidP="000D05DB">
      <w:pPr>
        <w:spacing w:line="360" w:lineRule="auto"/>
        <w:jc w:val="both"/>
        <w:rPr>
          <w:rFonts w:ascii="Times New Roman" w:hAnsi="Times New Roman" w:cs="Times New Roman"/>
          <w:b/>
          <w:bCs/>
          <w:sz w:val="22"/>
          <w:szCs w:val="22"/>
        </w:rPr>
      </w:pPr>
      <w:r w:rsidRPr="004F4C8A">
        <w:rPr>
          <w:rFonts w:ascii="Times New Roman" w:hAnsi="Times New Roman" w:cs="Times New Roman"/>
          <w:b/>
          <w:bCs/>
          <w:sz w:val="22"/>
          <w:szCs w:val="22"/>
        </w:rPr>
        <w:lastRenderedPageBreak/>
        <w:t>Couple-Focused Intervention</w:t>
      </w:r>
    </w:p>
    <w:p w14:paraId="1B754EC6" w14:textId="77777777"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In a particular intervention, couples with one member having diabetes were given a couple-focused intervention. This relationship-focused solution views the disease as a shared problem, which encourages communal coping. In this type of coping, partners share expectations about each other's health and work together to achieve desired results. For improved comprehension and communication necessary for efficient treatment, both spouses attend diabetes education training. According to the study, this intervention was successful in controlling meal timings, eating habits, exercise routines, medication use, and awareness in the event of difficulties (Smith et al., 2023).</w:t>
      </w:r>
    </w:p>
    <w:p w14:paraId="7E5BC6EF" w14:textId="070AB649" w:rsidR="001C50BE" w:rsidRPr="004F4C8A" w:rsidRDefault="001C50BE" w:rsidP="000D05DB">
      <w:pPr>
        <w:spacing w:line="360" w:lineRule="auto"/>
        <w:jc w:val="both"/>
        <w:rPr>
          <w:rFonts w:ascii="Times New Roman" w:hAnsi="Times New Roman" w:cs="Times New Roman"/>
          <w:b/>
          <w:bCs/>
          <w:sz w:val="22"/>
          <w:szCs w:val="22"/>
        </w:rPr>
      </w:pPr>
      <w:r w:rsidRPr="004F4C8A">
        <w:rPr>
          <w:rFonts w:ascii="Times New Roman" w:hAnsi="Times New Roman" w:cs="Times New Roman"/>
          <w:b/>
          <w:bCs/>
          <w:sz w:val="22"/>
          <w:szCs w:val="22"/>
        </w:rPr>
        <w:t>Nutritional Education Intervention</w:t>
      </w:r>
    </w:p>
    <w:p w14:paraId="21EBCA31" w14:textId="3D34976C"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This review included a study that looked at the intervention of nutritional education. In order to manage diabetes, this intervention uses diet education and nutrition. In order to help the patients better comprehend the disease and make healthier dietary choices, it entails educating and training them. In-depth instruction on the disease's </w:t>
      </w:r>
      <w:r w:rsidR="00AC712A" w:rsidRPr="00B7432E">
        <w:rPr>
          <w:rFonts w:ascii="Times New Roman" w:hAnsi="Times New Roman" w:cs="Times New Roman"/>
          <w:sz w:val="22"/>
          <w:szCs w:val="22"/>
          <w:highlight w:val="yellow"/>
        </w:rPr>
        <w:t>aetiology</w:t>
      </w:r>
      <w:r w:rsidRPr="00B7432E">
        <w:rPr>
          <w:rFonts w:ascii="Times New Roman" w:hAnsi="Times New Roman" w:cs="Times New Roman"/>
          <w:sz w:val="22"/>
          <w:szCs w:val="22"/>
          <w:highlight w:val="yellow"/>
        </w:rPr>
        <w:t xml:space="preserve">, risk </w:t>
      </w:r>
      <w:r w:rsidRPr="000D05DB">
        <w:rPr>
          <w:rFonts w:ascii="Times New Roman" w:hAnsi="Times New Roman" w:cs="Times New Roman"/>
          <w:sz w:val="22"/>
          <w:szCs w:val="22"/>
        </w:rPr>
        <w:t xml:space="preserve">factors, symptoms, and complications is part of it, along with a demonstration of vegetable gardening. This intervention's main focus is on healthy eating practices, which </w:t>
      </w:r>
      <w:r w:rsidR="00AC712A" w:rsidRPr="00B7432E">
        <w:rPr>
          <w:rFonts w:ascii="Times New Roman" w:hAnsi="Times New Roman" w:cs="Times New Roman"/>
          <w:sz w:val="22"/>
          <w:szCs w:val="22"/>
          <w:highlight w:val="yellow"/>
        </w:rPr>
        <w:t xml:space="preserve">emphasise </w:t>
      </w:r>
      <w:r w:rsidRPr="00B7432E">
        <w:rPr>
          <w:rFonts w:ascii="Times New Roman" w:hAnsi="Times New Roman" w:cs="Times New Roman"/>
          <w:sz w:val="22"/>
          <w:szCs w:val="22"/>
          <w:highlight w:val="yellow"/>
        </w:rPr>
        <w:t xml:space="preserve">diversity </w:t>
      </w:r>
      <w:r w:rsidRPr="000D05DB">
        <w:rPr>
          <w:rFonts w:ascii="Times New Roman" w:hAnsi="Times New Roman" w:cs="Times New Roman"/>
          <w:sz w:val="22"/>
          <w:szCs w:val="22"/>
        </w:rPr>
        <w:t>and a balanced diet. This intervention's other nutrition-related focal areas include meal planning on a tight budget and increasing vegetable supply through gardening. It was discovered that the intervention was successful in enhancing dietary habits and awareness of diabetes (Muchiri et al., 2016).</w:t>
      </w:r>
    </w:p>
    <w:p w14:paraId="6DB88DF1" w14:textId="4D4C0170" w:rsidR="001C50BE" w:rsidRPr="004F4C8A" w:rsidRDefault="001C50BE" w:rsidP="000D05DB">
      <w:pPr>
        <w:spacing w:line="360" w:lineRule="auto"/>
        <w:jc w:val="both"/>
        <w:rPr>
          <w:rFonts w:ascii="Times New Roman" w:hAnsi="Times New Roman" w:cs="Times New Roman"/>
          <w:b/>
          <w:bCs/>
          <w:sz w:val="22"/>
          <w:szCs w:val="22"/>
        </w:rPr>
      </w:pPr>
      <w:r w:rsidRPr="004F4C8A">
        <w:rPr>
          <w:rFonts w:ascii="Times New Roman" w:hAnsi="Times New Roman" w:cs="Times New Roman"/>
          <w:b/>
          <w:bCs/>
          <w:sz w:val="22"/>
          <w:szCs w:val="22"/>
        </w:rPr>
        <w:t>Facilitators to the Success of Interventions</w:t>
      </w:r>
    </w:p>
    <w:p w14:paraId="5C2A5614" w14:textId="25A1EA5F"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Numerous interventions reviewed in this research were shown to be highly effective in managing diabetes, particularly </w:t>
      </w:r>
      <w:r w:rsidRPr="00B7432E">
        <w:rPr>
          <w:rFonts w:ascii="Times New Roman" w:hAnsi="Times New Roman" w:cs="Times New Roman"/>
          <w:sz w:val="22"/>
          <w:szCs w:val="22"/>
          <w:highlight w:val="yellow"/>
        </w:rPr>
        <w:t xml:space="preserve">when </w:t>
      </w:r>
      <w:r w:rsidR="00AC712A" w:rsidRPr="00B7432E">
        <w:rPr>
          <w:rFonts w:ascii="Times New Roman" w:hAnsi="Times New Roman" w:cs="Times New Roman"/>
          <w:sz w:val="22"/>
          <w:szCs w:val="22"/>
          <w:highlight w:val="yellow"/>
        </w:rPr>
        <w:t xml:space="preserve">they </w:t>
      </w:r>
      <w:r w:rsidRPr="00B7432E">
        <w:rPr>
          <w:rFonts w:ascii="Times New Roman" w:hAnsi="Times New Roman" w:cs="Times New Roman"/>
          <w:sz w:val="22"/>
          <w:szCs w:val="22"/>
          <w:highlight w:val="yellow"/>
        </w:rPr>
        <w:t xml:space="preserve">involved </w:t>
      </w:r>
      <w:r w:rsidRPr="000D05DB">
        <w:rPr>
          <w:rFonts w:ascii="Times New Roman" w:hAnsi="Times New Roman" w:cs="Times New Roman"/>
          <w:sz w:val="22"/>
          <w:szCs w:val="22"/>
        </w:rPr>
        <w:t>changing one's lifestyle, adhering to medication schedules, and scheduling hospital visits. Psychosocial characteristics, cultural adaptability, and accessibility are a few of the elements linked to the effectiveness of these interventions.</w:t>
      </w:r>
    </w:p>
    <w:p w14:paraId="5F351D19" w14:textId="28C88173" w:rsidR="001C50BE" w:rsidRPr="0051129C" w:rsidRDefault="001C50BE" w:rsidP="000D05DB">
      <w:pPr>
        <w:spacing w:line="360" w:lineRule="auto"/>
        <w:jc w:val="both"/>
        <w:rPr>
          <w:rFonts w:ascii="Times New Roman" w:hAnsi="Times New Roman" w:cs="Times New Roman"/>
          <w:b/>
          <w:bCs/>
          <w:sz w:val="22"/>
          <w:szCs w:val="22"/>
        </w:rPr>
      </w:pPr>
      <w:r w:rsidRPr="0051129C">
        <w:rPr>
          <w:rFonts w:ascii="Times New Roman" w:hAnsi="Times New Roman" w:cs="Times New Roman"/>
          <w:b/>
          <w:bCs/>
          <w:sz w:val="22"/>
          <w:szCs w:val="22"/>
        </w:rPr>
        <w:t>Psychosocial Characteristics</w:t>
      </w:r>
    </w:p>
    <w:p w14:paraId="13AA2E23" w14:textId="4FA8F3B6"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Group therapy and peer-led interventions have been shown to be useful in managing a variety of diseases, including diabetes mellitus. This has been seen in numerous instances. The review incorporated three studies that highlighted the significance of psychosocial characteristics in the effectiveness of diabetes treatment regimens (Debussche et al., 2018; Githinji et al., 2022; Mash et al., 2015). A major contributor to the success of its structured peer-led diabetes self-management and support intervention, according to (Debussche et al., 2018)</w:t>
      </w:r>
      <w:r w:rsidR="00AC712A">
        <w:rPr>
          <w:rFonts w:ascii="Times New Roman" w:hAnsi="Times New Roman" w:cs="Times New Roman"/>
          <w:sz w:val="22"/>
          <w:szCs w:val="22"/>
        </w:rPr>
        <w:t>,</w:t>
      </w:r>
      <w:r w:rsidRPr="000D05DB">
        <w:rPr>
          <w:rFonts w:ascii="Times New Roman" w:hAnsi="Times New Roman" w:cs="Times New Roman"/>
          <w:sz w:val="22"/>
          <w:szCs w:val="22"/>
        </w:rPr>
        <w:t xml:space="preserve"> is the learning next approach, which combines peer education and interaction with the capacity to corporately monitor and modify </w:t>
      </w:r>
      <w:r w:rsidR="00AC712A" w:rsidRPr="00B7432E">
        <w:rPr>
          <w:rFonts w:ascii="Times New Roman" w:hAnsi="Times New Roman" w:cs="Times New Roman"/>
          <w:sz w:val="22"/>
          <w:szCs w:val="22"/>
          <w:highlight w:val="yellow"/>
        </w:rPr>
        <w:t>behavioural</w:t>
      </w:r>
      <w:r w:rsidR="00AC712A" w:rsidRPr="000D05DB">
        <w:rPr>
          <w:rFonts w:ascii="Times New Roman" w:hAnsi="Times New Roman" w:cs="Times New Roman"/>
          <w:sz w:val="22"/>
          <w:szCs w:val="22"/>
        </w:rPr>
        <w:t xml:space="preserve"> </w:t>
      </w:r>
      <w:r w:rsidRPr="000D05DB">
        <w:rPr>
          <w:rFonts w:ascii="Times New Roman" w:hAnsi="Times New Roman" w:cs="Times New Roman"/>
          <w:sz w:val="22"/>
          <w:szCs w:val="22"/>
        </w:rPr>
        <w:t xml:space="preserve">strategies like exercise, diet, and medication adherence. (Mash et al., 2015) also mentioned how crucial and affordable community group support may </w:t>
      </w:r>
      <w:r w:rsidRPr="000D05DB">
        <w:rPr>
          <w:rFonts w:ascii="Times New Roman" w:hAnsi="Times New Roman" w:cs="Times New Roman"/>
          <w:sz w:val="22"/>
          <w:szCs w:val="22"/>
        </w:rPr>
        <w:lastRenderedPageBreak/>
        <w:t>be for individuals with diabetes in enhancing their quality-adjusted life years during a community-based intervention. (Githinji et al., 2022) asserts that the intervention's success was greatly attributed to the participants' ability to establish trust with the community health care providers, whose accessibility within the community allowed the program to be both scalable and sustainable.</w:t>
      </w:r>
    </w:p>
    <w:p w14:paraId="02B8B755" w14:textId="03745F7A" w:rsidR="001C50BE" w:rsidRPr="006C487E" w:rsidRDefault="001C50BE" w:rsidP="000D05DB">
      <w:pPr>
        <w:spacing w:line="360" w:lineRule="auto"/>
        <w:jc w:val="both"/>
        <w:rPr>
          <w:rFonts w:ascii="Times New Roman" w:hAnsi="Times New Roman" w:cs="Times New Roman"/>
          <w:b/>
          <w:bCs/>
          <w:sz w:val="22"/>
          <w:szCs w:val="22"/>
        </w:rPr>
      </w:pPr>
      <w:r w:rsidRPr="006C487E">
        <w:rPr>
          <w:rFonts w:ascii="Times New Roman" w:hAnsi="Times New Roman" w:cs="Times New Roman"/>
          <w:b/>
          <w:bCs/>
          <w:sz w:val="22"/>
          <w:szCs w:val="22"/>
        </w:rPr>
        <w:t>Adaptation to Culture</w:t>
      </w:r>
    </w:p>
    <w:p w14:paraId="035DD75A" w14:textId="1CF92997" w:rsidR="001C50BE" w:rsidRPr="00B7432E" w:rsidRDefault="001C50BE" w:rsidP="000D05DB">
      <w:pPr>
        <w:spacing w:line="360" w:lineRule="auto"/>
        <w:jc w:val="both"/>
        <w:rPr>
          <w:rFonts w:ascii="Times New Roman" w:hAnsi="Times New Roman" w:cs="Times New Roman"/>
          <w:sz w:val="22"/>
          <w:szCs w:val="22"/>
          <w:highlight w:val="yellow"/>
        </w:rPr>
      </w:pPr>
      <w:r w:rsidRPr="000D05DB">
        <w:rPr>
          <w:rFonts w:ascii="Times New Roman" w:hAnsi="Times New Roman" w:cs="Times New Roman"/>
          <w:sz w:val="22"/>
          <w:szCs w:val="22"/>
        </w:rPr>
        <w:t xml:space="preserve">Certain interventions' success has been linked to their ability to adapt culturally to the context and culture of the nation and region. In this review, three </w:t>
      </w:r>
      <w:r w:rsidR="00AC712A" w:rsidRPr="00B7432E">
        <w:rPr>
          <w:rFonts w:ascii="Times New Roman" w:hAnsi="Times New Roman" w:cs="Times New Roman"/>
          <w:sz w:val="22"/>
          <w:szCs w:val="22"/>
          <w:highlight w:val="yellow"/>
        </w:rPr>
        <w:t xml:space="preserve">studies emphasised </w:t>
      </w:r>
      <w:r w:rsidRPr="000D05DB">
        <w:rPr>
          <w:rFonts w:ascii="Times New Roman" w:hAnsi="Times New Roman" w:cs="Times New Roman"/>
          <w:sz w:val="22"/>
          <w:szCs w:val="22"/>
        </w:rPr>
        <w:t>how crucial an intervention's capacity for cultural adaptation is to its effectiveness (Amendezo et al., 2017; Debussche et al., 2018; Githinji et al., 2022). (Debussche et al., 2018</w:t>
      </w:r>
      <w:r w:rsidR="00AC712A">
        <w:rPr>
          <w:rFonts w:ascii="Times New Roman" w:hAnsi="Times New Roman" w:cs="Times New Roman"/>
          <w:sz w:val="22"/>
          <w:szCs w:val="22"/>
        </w:rPr>
        <w:t xml:space="preserve">; </w:t>
      </w:r>
      <w:r w:rsidR="00246145">
        <w:rPr>
          <w:rFonts w:ascii="Times New Roman" w:hAnsi="Times New Roman" w:cs="Times New Roman"/>
          <w:sz w:val="22"/>
          <w:szCs w:val="22"/>
        </w:rPr>
        <w:t>Soori et al., 2025)</w:t>
      </w:r>
      <w:r w:rsidRPr="000D05DB">
        <w:rPr>
          <w:rFonts w:ascii="Times New Roman" w:hAnsi="Times New Roman" w:cs="Times New Roman"/>
          <w:sz w:val="22"/>
          <w:szCs w:val="22"/>
        </w:rPr>
        <w:t xml:space="preserve"> pointed out that a key element in the success of the ST2EP intervention is the way it was </w:t>
      </w:r>
      <w:r w:rsidR="00AC712A" w:rsidRPr="00B7432E">
        <w:rPr>
          <w:rFonts w:ascii="Times New Roman" w:hAnsi="Times New Roman" w:cs="Times New Roman"/>
          <w:sz w:val="22"/>
          <w:szCs w:val="22"/>
          <w:highlight w:val="yellow"/>
        </w:rPr>
        <w:t xml:space="preserve">customised </w:t>
      </w:r>
      <w:r w:rsidRPr="00B7432E">
        <w:rPr>
          <w:rFonts w:ascii="Times New Roman" w:hAnsi="Times New Roman" w:cs="Times New Roman"/>
          <w:sz w:val="22"/>
          <w:szCs w:val="22"/>
          <w:highlight w:val="yellow"/>
        </w:rPr>
        <w:t>t</w:t>
      </w:r>
      <w:r w:rsidRPr="000D05DB">
        <w:rPr>
          <w:rFonts w:ascii="Times New Roman" w:hAnsi="Times New Roman" w:cs="Times New Roman"/>
          <w:sz w:val="22"/>
          <w:szCs w:val="22"/>
        </w:rPr>
        <w:t xml:space="preserve">o the cultural context of the community through the joint efforts of patients, medical professionals, and local peer educators. (Amendezo et al., 2017) added that a key factor in the program's success was training and educating the facilitators of its lifestyle education initiative to meet the cultural needs of the participants. (Githinji et al., 2022) added that participants' self-efficacy and nutritional intake improved, and their awareness of perceived susceptibility rose as a result of the intervention's </w:t>
      </w:r>
      <w:r w:rsidRPr="00B7432E">
        <w:rPr>
          <w:rFonts w:ascii="Times New Roman" w:hAnsi="Times New Roman" w:cs="Times New Roman"/>
          <w:sz w:val="22"/>
          <w:szCs w:val="22"/>
          <w:highlight w:val="yellow"/>
        </w:rPr>
        <w:t xml:space="preserve">cultural </w:t>
      </w:r>
      <w:r w:rsidR="00AC712A" w:rsidRPr="00B7432E">
        <w:rPr>
          <w:rFonts w:ascii="Times New Roman" w:hAnsi="Times New Roman" w:cs="Times New Roman"/>
          <w:sz w:val="22"/>
          <w:szCs w:val="22"/>
          <w:highlight w:val="yellow"/>
        </w:rPr>
        <w:t>adaptation</w:t>
      </w:r>
      <w:r w:rsidRPr="00B7432E">
        <w:rPr>
          <w:rFonts w:ascii="Times New Roman" w:hAnsi="Times New Roman" w:cs="Times New Roman"/>
          <w:sz w:val="22"/>
          <w:szCs w:val="22"/>
          <w:highlight w:val="yellow"/>
        </w:rPr>
        <w:t>.</w:t>
      </w:r>
    </w:p>
    <w:p w14:paraId="421B5643" w14:textId="4E1C7AC7" w:rsidR="001C50BE" w:rsidRPr="000D05DB" w:rsidRDefault="001C50BE" w:rsidP="000D05DB">
      <w:pPr>
        <w:spacing w:line="360" w:lineRule="auto"/>
        <w:jc w:val="both"/>
        <w:rPr>
          <w:rFonts w:ascii="Times New Roman" w:hAnsi="Times New Roman" w:cs="Times New Roman"/>
          <w:b/>
          <w:bCs/>
          <w:sz w:val="22"/>
          <w:szCs w:val="22"/>
        </w:rPr>
      </w:pPr>
      <w:r w:rsidRPr="000D05DB">
        <w:rPr>
          <w:rFonts w:ascii="Times New Roman" w:hAnsi="Times New Roman" w:cs="Times New Roman"/>
          <w:b/>
          <w:bCs/>
          <w:sz w:val="22"/>
          <w:szCs w:val="22"/>
        </w:rPr>
        <w:t>Barriers and Challenges to Successful Diabetes Interventions in Africa</w:t>
      </w:r>
    </w:p>
    <w:p w14:paraId="2DC92C83" w14:textId="77777777"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The degree of progress made on the continent in terms of diabetes treatment shows that, despite the numerous successes reported in many of these interventions, there are still certain obstacles or difficulties that prevent the full success of some of these interventions. </w:t>
      </w:r>
    </w:p>
    <w:p w14:paraId="19BD6287" w14:textId="65D3DA77" w:rsidR="001C50BE" w:rsidRPr="000D05DB" w:rsidRDefault="001C50BE" w:rsidP="000D05DB">
      <w:pPr>
        <w:spacing w:line="360" w:lineRule="auto"/>
        <w:jc w:val="both"/>
        <w:rPr>
          <w:rFonts w:ascii="Times New Roman" w:hAnsi="Times New Roman" w:cs="Times New Roman"/>
          <w:b/>
          <w:bCs/>
          <w:sz w:val="22"/>
          <w:szCs w:val="22"/>
        </w:rPr>
      </w:pPr>
      <w:r w:rsidRPr="000D05DB">
        <w:rPr>
          <w:rFonts w:ascii="Times New Roman" w:hAnsi="Times New Roman" w:cs="Times New Roman"/>
          <w:b/>
          <w:bCs/>
          <w:sz w:val="22"/>
          <w:szCs w:val="22"/>
        </w:rPr>
        <w:t>Socio-economic Barriers</w:t>
      </w:r>
    </w:p>
    <w:p w14:paraId="11798CB8" w14:textId="516AA2F8"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The socioeconomic barrier is one element that has posed a significant obstacle to the effectiveness of diabetic therapies. Four studies in this review (Githinji et al., 2022; Mash et al., 2015; Smith et al., 2023; Theuri et al., 2023) </w:t>
      </w:r>
      <w:r w:rsidR="00AC712A" w:rsidRPr="00B7432E">
        <w:rPr>
          <w:rFonts w:ascii="Times New Roman" w:hAnsi="Times New Roman" w:cs="Times New Roman"/>
          <w:sz w:val="22"/>
          <w:szCs w:val="22"/>
          <w:highlight w:val="yellow"/>
        </w:rPr>
        <w:t xml:space="preserve">emphasised </w:t>
      </w:r>
      <w:r w:rsidRPr="00B7432E">
        <w:rPr>
          <w:rFonts w:ascii="Times New Roman" w:hAnsi="Times New Roman" w:cs="Times New Roman"/>
          <w:sz w:val="22"/>
          <w:szCs w:val="22"/>
          <w:highlight w:val="yellow"/>
        </w:rPr>
        <w:t xml:space="preserve">the </w:t>
      </w:r>
      <w:r w:rsidRPr="000D05DB">
        <w:rPr>
          <w:rFonts w:ascii="Times New Roman" w:hAnsi="Times New Roman" w:cs="Times New Roman"/>
          <w:sz w:val="22"/>
          <w:szCs w:val="22"/>
        </w:rPr>
        <w:t xml:space="preserve">difficulty that socioeconomic barriers present for treatments to be successful. (Theuri et al., 2023) pointed out that the low consumption of fruits and vegetables and poor meal variety that some participants reported can be linked to economic constraints, which also make it difficult to follow basic dietary guidelines for the management of diabetes. According to couples using a couple-based approach intervention (Smith et al., 2023) also found that one of the main obstacles to the success of diabetes management interventions is poverty and unemployment. (Mash et al., 2015) also mentioned this socioeconomic barrier, citing reports that many study participants were too poor to have functioning cell phones, making it </w:t>
      </w:r>
      <w:r w:rsidR="00AC712A" w:rsidRPr="00B7432E">
        <w:rPr>
          <w:rFonts w:ascii="Times New Roman" w:hAnsi="Times New Roman" w:cs="Times New Roman"/>
          <w:sz w:val="22"/>
          <w:szCs w:val="22"/>
          <w:highlight w:val="yellow"/>
        </w:rPr>
        <w:t xml:space="preserve">impossible </w:t>
      </w:r>
      <w:r w:rsidRPr="00B7432E">
        <w:rPr>
          <w:rFonts w:ascii="Times New Roman" w:hAnsi="Times New Roman" w:cs="Times New Roman"/>
          <w:sz w:val="22"/>
          <w:szCs w:val="22"/>
          <w:highlight w:val="yellow"/>
        </w:rPr>
        <w:t xml:space="preserve">to </w:t>
      </w:r>
      <w:r w:rsidRPr="000D05DB">
        <w:rPr>
          <w:rFonts w:ascii="Times New Roman" w:hAnsi="Times New Roman" w:cs="Times New Roman"/>
          <w:sz w:val="22"/>
          <w:szCs w:val="22"/>
        </w:rPr>
        <w:t xml:space="preserve">follow up with them. (Githinji et al., 2022) also stated that </w:t>
      </w:r>
      <w:r w:rsidRPr="000D05DB">
        <w:rPr>
          <w:rFonts w:ascii="Times New Roman" w:hAnsi="Times New Roman" w:cs="Times New Roman"/>
          <w:sz w:val="22"/>
          <w:szCs w:val="22"/>
        </w:rPr>
        <w:lastRenderedPageBreak/>
        <w:t>obstacles to the effectiveness of diabetes control interventions include financial constraints, social influences from friends and family, poverty, and insecurity.</w:t>
      </w:r>
    </w:p>
    <w:p w14:paraId="7F1820BE" w14:textId="388B43A4" w:rsidR="001C50BE" w:rsidRPr="000D05DB" w:rsidRDefault="001C50BE" w:rsidP="000D05DB">
      <w:pPr>
        <w:spacing w:line="360" w:lineRule="auto"/>
        <w:jc w:val="both"/>
        <w:rPr>
          <w:rFonts w:ascii="Times New Roman" w:hAnsi="Times New Roman" w:cs="Times New Roman"/>
          <w:b/>
          <w:bCs/>
          <w:sz w:val="22"/>
          <w:szCs w:val="22"/>
        </w:rPr>
      </w:pPr>
      <w:r w:rsidRPr="000D05DB">
        <w:rPr>
          <w:rFonts w:ascii="Times New Roman" w:hAnsi="Times New Roman" w:cs="Times New Roman"/>
          <w:b/>
          <w:bCs/>
          <w:sz w:val="22"/>
          <w:szCs w:val="22"/>
        </w:rPr>
        <w:t>Cultural Perception</w:t>
      </w:r>
    </w:p>
    <w:p w14:paraId="5BAD182D" w14:textId="70096A00"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The way a culture views a particular food, disease, or diet can have an impact on how well diabetic interventions work. Another cultural barrier to the efficacy of diabetes management interventions is the inflexibility of some cultural customs and people's resistance to change or adapt to new ways of doing things. (Theuri et al., 2023) discovered that even while fruits were readily available during the study period, many participants showed </w:t>
      </w:r>
      <w:r w:rsidR="00AC712A" w:rsidRPr="00B7432E">
        <w:rPr>
          <w:rFonts w:ascii="Times New Roman" w:hAnsi="Times New Roman" w:cs="Times New Roman"/>
          <w:sz w:val="22"/>
          <w:szCs w:val="22"/>
          <w:highlight w:val="yellow"/>
        </w:rPr>
        <w:t xml:space="preserve">scepticism </w:t>
      </w:r>
      <w:r w:rsidRPr="00B7432E">
        <w:rPr>
          <w:rFonts w:ascii="Times New Roman" w:hAnsi="Times New Roman" w:cs="Times New Roman"/>
          <w:sz w:val="22"/>
          <w:szCs w:val="22"/>
          <w:highlight w:val="yellow"/>
        </w:rPr>
        <w:t xml:space="preserve">about </w:t>
      </w:r>
      <w:r w:rsidRPr="000D05DB">
        <w:rPr>
          <w:rFonts w:ascii="Times New Roman" w:hAnsi="Times New Roman" w:cs="Times New Roman"/>
          <w:sz w:val="22"/>
          <w:szCs w:val="22"/>
        </w:rPr>
        <w:t xml:space="preserve">consuming them or did not consume any at all because of the cultural belief that fruits are sweet and hence unhealthy for people with diabetes. (Leon et al., 2021) claims that some of the obstacles to the effectiveness of an SMS-based intervention are adherence to deeply ingrained cultural customs and </w:t>
      </w:r>
      <w:r w:rsidR="00AC712A" w:rsidRPr="00B7432E">
        <w:rPr>
          <w:rFonts w:ascii="Times New Roman" w:hAnsi="Times New Roman" w:cs="Times New Roman"/>
          <w:sz w:val="22"/>
          <w:szCs w:val="22"/>
          <w:highlight w:val="yellow"/>
        </w:rPr>
        <w:t>behaviours</w:t>
      </w:r>
      <w:r w:rsidRPr="00B7432E">
        <w:rPr>
          <w:rFonts w:ascii="Times New Roman" w:hAnsi="Times New Roman" w:cs="Times New Roman"/>
          <w:sz w:val="22"/>
          <w:szCs w:val="22"/>
          <w:highlight w:val="yellow"/>
        </w:rPr>
        <w:t>.</w:t>
      </w:r>
      <w:r w:rsidRPr="000D05DB">
        <w:rPr>
          <w:rFonts w:ascii="Times New Roman" w:hAnsi="Times New Roman" w:cs="Times New Roman"/>
          <w:sz w:val="22"/>
          <w:szCs w:val="22"/>
        </w:rPr>
        <w:t xml:space="preserve"> Smith also pointed out that a barrier to the intervention's success is couples using a person-based approach's lack of understanding of the illness and self-management practices.</w:t>
      </w:r>
    </w:p>
    <w:p w14:paraId="1A8559A1" w14:textId="69C3A9B1" w:rsidR="001C50BE" w:rsidRPr="000D05DB" w:rsidRDefault="001C50BE" w:rsidP="000D05DB">
      <w:pPr>
        <w:spacing w:line="360" w:lineRule="auto"/>
        <w:jc w:val="both"/>
        <w:rPr>
          <w:rFonts w:ascii="Times New Roman" w:hAnsi="Times New Roman" w:cs="Times New Roman"/>
          <w:b/>
          <w:bCs/>
          <w:sz w:val="22"/>
          <w:szCs w:val="22"/>
        </w:rPr>
      </w:pPr>
      <w:r w:rsidRPr="000D05DB">
        <w:rPr>
          <w:rFonts w:ascii="Times New Roman" w:hAnsi="Times New Roman" w:cs="Times New Roman"/>
          <w:b/>
          <w:bCs/>
          <w:sz w:val="22"/>
          <w:szCs w:val="22"/>
        </w:rPr>
        <w:t>Staff Shortage</w:t>
      </w:r>
    </w:p>
    <w:p w14:paraId="08CC42D1" w14:textId="53FDE48E"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A further obstacle to the success of intervention is the lack of </w:t>
      </w:r>
      <w:r w:rsidR="00AC712A" w:rsidRPr="00B7432E">
        <w:rPr>
          <w:rFonts w:ascii="Times New Roman" w:hAnsi="Times New Roman" w:cs="Times New Roman"/>
          <w:sz w:val="22"/>
          <w:szCs w:val="22"/>
          <w:highlight w:val="yellow"/>
        </w:rPr>
        <w:t>healthcare</w:t>
      </w:r>
      <w:r w:rsidRPr="00B7432E">
        <w:rPr>
          <w:rFonts w:ascii="Times New Roman" w:hAnsi="Times New Roman" w:cs="Times New Roman"/>
          <w:sz w:val="22"/>
          <w:szCs w:val="22"/>
          <w:highlight w:val="yellow"/>
        </w:rPr>
        <w:t xml:space="preserve"> </w:t>
      </w:r>
      <w:r w:rsidRPr="000D05DB">
        <w:rPr>
          <w:rFonts w:ascii="Times New Roman" w:hAnsi="Times New Roman" w:cs="Times New Roman"/>
          <w:sz w:val="22"/>
          <w:szCs w:val="22"/>
        </w:rPr>
        <w:t xml:space="preserve">workers. (Guwatudde et al., 2022) noted that the SMART2D pragmatic implementation trial's execution was insufficient. Rapid staff turnover, </w:t>
      </w:r>
      <w:r w:rsidR="003B45B6" w:rsidRPr="00B7432E">
        <w:rPr>
          <w:rFonts w:ascii="Times New Roman" w:hAnsi="Times New Roman" w:cs="Times New Roman"/>
          <w:sz w:val="22"/>
          <w:szCs w:val="22"/>
          <w:highlight w:val="yellow"/>
        </w:rPr>
        <w:t xml:space="preserve">organisational </w:t>
      </w:r>
      <w:r w:rsidRPr="00B7432E">
        <w:rPr>
          <w:rFonts w:ascii="Times New Roman" w:hAnsi="Times New Roman" w:cs="Times New Roman"/>
          <w:sz w:val="22"/>
          <w:szCs w:val="22"/>
          <w:highlight w:val="yellow"/>
        </w:rPr>
        <w:t>change</w:t>
      </w:r>
      <w:r w:rsidRPr="000D05DB">
        <w:rPr>
          <w:rFonts w:ascii="Times New Roman" w:hAnsi="Times New Roman" w:cs="Times New Roman"/>
          <w:sz w:val="22"/>
          <w:szCs w:val="22"/>
        </w:rPr>
        <w:t xml:space="preserve">, and inadequate supervision of community health workers were linked to this poor implementation. (Essien et al., 2017) further stated that a hindrance to the effectiveness of hospital-based educational intervention is the lack of physicians and nurses. Additionally, it was noted that while many physicians and </w:t>
      </w:r>
      <w:r w:rsidRPr="00B7432E">
        <w:rPr>
          <w:rFonts w:ascii="Times New Roman" w:hAnsi="Times New Roman" w:cs="Times New Roman"/>
          <w:sz w:val="22"/>
          <w:szCs w:val="22"/>
          <w:highlight w:val="yellow"/>
        </w:rPr>
        <w:t xml:space="preserve">nurses </w:t>
      </w:r>
      <w:r w:rsidR="003B45B6" w:rsidRPr="00B7432E">
        <w:rPr>
          <w:rFonts w:ascii="Times New Roman" w:hAnsi="Times New Roman" w:cs="Times New Roman"/>
          <w:sz w:val="22"/>
          <w:szCs w:val="22"/>
          <w:highlight w:val="yellow"/>
        </w:rPr>
        <w:t xml:space="preserve">favour </w:t>
      </w:r>
      <w:r w:rsidRPr="00B7432E">
        <w:rPr>
          <w:rFonts w:ascii="Times New Roman" w:hAnsi="Times New Roman" w:cs="Times New Roman"/>
          <w:sz w:val="22"/>
          <w:szCs w:val="22"/>
          <w:highlight w:val="yellow"/>
        </w:rPr>
        <w:t xml:space="preserve">the intervention's </w:t>
      </w:r>
      <w:r w:rsidRPr="000D05DB">
        <w:rPr>
          <w:rFonts w:ascii="Times New Roman" w:hAnsi="Times New Roman" w:cs="Times New Roman"/>
          <w:sz w:val="22"/>
          <w:szCs w:val="22"/>
        </w:rPr>
        <w:t>implementation, hiring educators and other professionals will come at a cost, which will act as a barrier</w:t>
      </w:r>
      <w:r w:rsidR="00DC0575">
        <w:rPr>
          <w:rFonts w:ascii="Times New Roman" w:hAnsi="Times New Roman" w:cs="Times New Roman"/>
          <w:sz w:val="22"/>
          <w:szCs w:val="22"/>
        </w:rPr>
        <w:t xml:space="preserve"> (Soori et al., 2025)</w:t>
      </w:r>
      <w:r w:rsidRPr="000D05DB">
        <w:rPr>
          <w:rFonts w:ascii="Times New Roman" w:hAnsi="Times New Roman" w:cs="Times New Roman"/>
          <w:sz w:val="22"/>
          <w:szCs w:val="22"/>
        </w:rPr>
        <w:t>.</w:t>
      </w:r>
    </w:p>
    <w:p w14:paraId="1F2C10CA" w14:textId="18FCC5BA" w:rsidR="001C50BE" w:rsidRPr="000D05DB" w:rsidRDefault="001C50BE" w:rsidP="000D05DB">
      <w:pPr>
        <w:spacing w:line="360" w:lineRule="auto"/>
        <w:jc w:val="both"/>
        <w:rPr>
          <w:rFonts w:ascii="Times New Roman" w:hAnsi="Times New Roman" w:cs="Times New Roman"/>
          <w:b/>
          <w:bCs/>
          <w:sz w:val="22"/>
          <w:szCs w:val="22"/>
        </w:rPr>
      </w:pPr>
      <w:r w:rsidRPr="000D05DB">
        <w:rPr>
          <w:rFonts w:ascii="Times New Roman" w:hAnsi="Times New Roman" w:cs="Times New Roman"/>
          <w:b/>
          <w:bCs/>
          <w:sz w:val="22"/>
          <w:szCs w:val="22"/>
        </w:rPr>
        <w:t>Limited Access to Technology</w:t>
      </w:r>
    </w:p>
    <w:p w14:paraId="214B4C27" w14:textId="2BE033BF"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For intervention programs, navigating Nigeria's technological world offers both a difficulty and an opportunity. Though technology can increase access, there is still a problem with the digital divide. (Takenga et al., 2014) highlights how underprivileged communities are excluded from digital initiatives because they have restricted access to the internet.  Initiatives for digital inclusion run by governmental and non-governmental </w:t>
      </w:r>
      <w:r w:rsidR="003B45B6" w:rsidRPr="00B7432E">
        <w:rPr>
          <w:rFonts w:ascii="Times New Roman" w:hAnsi="Times New Roman" w:cs="Times New Roman"/>
          <w:sz w:val="22"/>
          <w:szCs w:val="22"/>
          <w:highlight w:val="yellow"/>
        </w:rPr>
        <w:t xml:space="preserve">organisations </w:t>
      </w:r>
      <w:r w:rsidRPr="000D05DB">
        <w:rPr>
          <w:rFonts w:ascii="Times New Roman" w:hAnsi="Times New Roman" w:cs="Times New Roman"/>
          <w:sz w:val="22"/>
          <w:szCs w:val="22"/>
        </w:rPr>
        <w:t xml:space="preserve">can offer instruction in digital literacy. This gives the underprivileged population the ability to use technology and access online resources for intervention. Interventions can also have an offline-first design, which guarantees accessibility in places with spotty internet access. By </w:t>
      </w:r>
      <w:r w:rsidR="003B45B6" w:rsidRPr="00B7432E">
        <w:rPr>
          <w:rFonts w:ascii="Times New Roman" w:hAnsi="Times New Roman" w:cs="Times New Roman"/>
          <w:sz w:val="22"/>
          <w:szCs w:val="22"/>
          <w:highlight w:val="yellow"/>
        </w:rPr>
        <w:t xml:space="preserve">utilising </w:t>
      </w:r>
      <w:r w:rsidRPr="000D05DB">
        <w:rPr>
          <w:rFonts w:ascii="Times New Roman" w:hAnsi="Times New Roman" w:cs="Times New Roman"/>
          <w:sz w:val="22"/>
          <w:szCs w:val="22"/>
        </w:rPr>
        <w:t xml:space="preserve">the widespread use of mobile phones, </w:t>
      </w:r>
      <w:r w:rsidRPr="00B7432E">
        <w:rPr>
          <w:rFonts w:ascii="Times New Roman" w:hAnsi="Times New Roman" w:cs="Times New Roman"/>
          <w:sz w:val="22"/>
          <w:szCs w:val="22"/>
          <w:highlight w:val="yellow"/>
        </w:rPr>
        <w:t xml:space="preserve">telephone </w:t>
      </w:r>
      <w:r w:rsidR="003B45B6" w:rsidRPr="00B7432E">
        <w:rPr>
          <w:rFonts w:ascii="Times New Roman" w:hAnsi="Times New Roman" w:cs="Times New Roman"/>
          <w:sz w:val="22"/>
          <w:szCs w:val="22"/>
          <w:highlight w:val="yellow"/>
        </w:rPr>
        <w:t xml:space="preserve">counselling </w:t>
      </w:r>
      <w:r w:rsidRPr="00B7432E">
        <w:rPr>
          <w:rFonts w:ascii="Times New Roman" w:hAnsi="Times New Roman" w:cs="Times New Roman"/>
          <w:sz w:val="22"/>
          <w:szCs w:val="22"/>
          <w:highlight w:val="yellow"/>
        </w:rPr>
        <w:t>can</w:t>
      </w:r>
      <w:r w:rsidRPr="000D05DB">
        <w:rPr>
          <w:rFonts w:ascii="Times New Roman" w:hAnsi="Times New Roman" w:cs="Times New Roman"/>
          <w:sz w:val="22"/>
          <w:szCs w:val="22"/>
        </w:rPr>
        <w:t xml:space="preserve"> be integrated to provide support to even the most remote areas with limited internet connection.</w:t>
      </w:r>
    </w:p>
    <w:p w14:paraId="339F6508" w14:textId="77777777" w:rsidR="006C487E" w:rsidRDefault="006C487E" w:rsidP="000D05DB">
      <w:pPr>
        <w:spacing w:line="360" w:lineRule="auto"/>
        <w:jc w:val="both"/>
        <w:rPr>
          <w:rFonts w:ascii="Times New Roman" w:hAnsi="Times New Roman" w:cs="Times New Roman"/>
          <w:b/>
          <w:bCs/>
          <w:sz w:val="22"/>
          <w:szCs w:val="22"/>
        </w:rPr>
      </w:pPr>
    </w:p>
    <w:p w14:paraId="4B981661" w14:textId="6F1C8175" w:rsidR="001C50BE" w:rsidRPr="000D05DB" w:rsidRDefault="001C50BE" w:rsidP="000D05DB">
      <w:pPr>
        <w:spacing w:line="360" w:lineRule="auto"/>
        <w:jc w:val="both"/>
        <w:rPr>
          <w:rFonts w:ascii="Times New Roman" w:hAnsi="Times New Roman" w:cs="Times New Roman"/>
          <w:b/>
          <w:bCs/>
          <w:sz w:val="22"/>
          <w:szCs w:val="22"/>
        </w:rPr>
      </w:pPr>
      <w:r w:rsidRPr="000D05DB">
        <w:rPr>
          <w:rFonts w:ascii="Times New Roman" w:hAnsi="Times New Roman" w:cs="Times New Roman"/>
          <w:b/>
          <w:bCs/>
          <w:sz w:val="22"/>
          <w:szCs w:val="22"/>
        </w:rPr>
        <w:t>Individual Accountability</w:t>
      </w:r>
    </w:p>
    <w:p w14:paraId="249F5FBB" w14:textId="263EA915" w:rsidR="001C50BE"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A key component of any therapeutic program's success is the patients' individual accountability. Even with education and reminders via text messaging, some people did not take the initiative to put the knowledge they had learned into practice, thus the influence was not observed at all in them, according to Muchiri et al</w:t>
      </w:r>
      <w:r w:rsidR="003B45B6" w:rsidRPr="000D05DB">
        <w:rPr>
          <w:rFonts w:ascii="Times New Roman" w:hAnsi="Times New Roman" w:cs="Times New Roman"/>
          <w:sz w:val="22"/>
          <w:szCs w:val="22"/>
        </w:rPr>
        <w:t>.</w:t>
      </w:r>
      <w:r w:rsidR="003B45B6">
        <w:rPr>
          <w:rFonts w:ascii="Times New Roman" w:hAnsi="Times New Roman" w:cs="Times New Roman"/>
          <w:sz w:val="22"/>
          <w:szCs w:val="22"/>
        </w:rPr>
        <w:t xml:space="preserve"> (</w:t>
      </w:r>
      <w:r w:rsidRPr="000D05DB">
        <w:rPr>
          <w:rFonts w:ascii="Times New Roman" w:hAnsi="Times New Roman" w:cs="Times New Roman"/>
          <w:sz w:val="22"/>
          <w:szCs w:val="22"/>
        </w:rPr>
        <w:t>2016)</w:t>
      </w:r>
      <w:r w:rsidR="003B45B6">
        <w:rPr>
          <w:rFonts w:ascii="Times New Roman" w:hAnsi="Times New Roman" w:cs="Times New Roman"/>
          <w:sz w:val="22"/>
          <w:szCs w:val="22"/>
        </w:rPr>
        <w:t>,</w:t>
      </w:r>
      <w:r w:rsidRPr="000D05DB">
        <w:rPr>
          <w:rFonts w:ascii="Times New Roman" w:hAnsi="Times New Roman" w:cs="Times New Roman"/>
          <w:sz w:val="22"/>
          <w:szCs w:val="22"/>
        </w:rPr>
        <w:t xml:space="preserve"> who stated that the nutrition education intervention did not produce the necessary outcome.</w:t>
      </w:r>
    </w:p>
    <w:p w14:paraId="0128C074" w14:textId="77777777" w:rsidR="00057BF2" w:rsidRPr="000D05DB" w:rsidRDefault="00057BF2" w:rsidP="000D05DB">
      <w:pPr>
        <w:spacing w:line="360" w:lineRule="auto"/>
        <w:jc w:val="both"/>
        <w:rPr>
          <w:rFonts w:ascii="Times New Roman" w:hAnsi="Times New Roman" w:cs="Times New Roman"/>
          <w:sz w:val="22"/>
          <w:szCs w:val="22"/>
        </w:rPr>
      </w:pPr>
    </w:p>
    <w:p w14:paraId="49B94A7F" w14:textId="1F41B2DB" w:rsidR="00B46C1C" w:rsidRPr="000D05DB" w:rsidRDefault="00B46C1C" w:rsidP="000D05DB">
      <w:pPr>
        <w:spacing w:line="360" w:lineRule="auto"/>
        <w:jc w:val="both"/>
        <w:rPr>
          <w:rFonts w:ascii="Times New Roman" w:hAnsi="Times New Roman" w:cs="Times New Roman"/>
          <w:b/>
          <w:bCs/>
          <w:sz w:val="22"/>
          <w:szCs w:val="22"/>
        </w:rPr>
      </w:pPr>
      <w:r w:rsidRPr="000D05DB">
        <w:rPr>
          <w:rFonts w:ascii="Times New Roman" w:hAnsi="Times New Roman" w:cs="Times New Roman"/>
          <w:b/>
          <w:bCs/>
          <w:sz w:val="22"/>
          <w:szCs w:val="22"/>
        </w:rPr>
        <w:t xml:space="preserve">CONCLUSION </w:t>
      </w:r>
    </w:p>
    <w:p w14:paraId="646BCA31" w14:textId="4CE947C5" w:rsidR="00B46C1C" w:rsidRPr="000D05DB" w:rsidRDefault="00B46C1C"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The research covered in this </w:t>
      </w:r>
      <w:r w:rsidRPr="00B7432E">
        <w:rPr>
          <w:rFonts w:ascii="Times New Roman" w:hAnsi="Times New Roman" w:cs="Times New Roman"/>
          <w:sz w:val="22"/>
          <w:szCs w:val="22"/>
          <w:highlight w:val="yellow"/>
        </w:rPr>
        <w:t xml:space="preserve">review </w:t>
      </w:r>
      <w:r w:rsidR="003B45B6" w:rsidRPr="00B7432E">
        <w:rPr>
          <w:rFonts w:ascii="Times New Roman" w:hAnsi="Times New Roman" w:cs="Times New Roman"/>
          <w:sz w:val="22"/>
          <w:szCs w:val="22"/>
          <w:highlight w:val="yellow"/>
        </w:rPr>
        <w:t>shows</w:t>
      </w:r>
      <w:r w:rsidR="003B45B6" w:rsidRPr="000D05DB">
        <w:rPr>
          <w:rFonts w:ascii="Times New Roman" w:hAnsi="Times New Roman" w:cs="Times New Roman"/>
          <w:sz w:val="22"/>
          <w:szCs w:val="22"/>
        </w:rPr>
        <w:t xml:space="preserve"> </w:t>
      </w:r>
      <w:r w:rsidRPr="000D05DB">
        <w:rPr>
          <w:rFonts w:ascii="Times New Roman" w:hAnsi="Times New Roman" w:cs="Times New Roman"/>
          <w:sz w:val="22"/>
          <w:szCs w:val="22"/>
        </w:rPr>
        <w:t xml:space="preserve">the effectiveness of many intervention programs designed to control diabetes mellitus that have been implemented in numerous African nations, as well as the ongoing difficulties they face. This study has revealed a number of significant findings and roadblocks that demonstrate the difficulties or barriers to the effective application of diabetes control treatments. </w:t>
      </w:r>
    </w:p>
    <w:p w14:paraId="1638B4C3" w14:textId="77777777" w:rsidR="00B46C1C" w:rsidRPr="000D05DB" w:rsidRDefault="00B46C1C"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First off, a number of the effective interventions are community-based, demonstrating that peer instructors leading community education groups can significantly improve members' attitudes and understanding about diabetes. These findings demonstrate the importance of diabetes education in empowering individuals with the disease to make informed decisions about their food and way of life. Second, hospital-based treatments that teach patients how to use medical professionals in a hospital context can also help patients with diabetes manage their diabetes and feel more confident in themselves. A couple-focused person-based strategy that offers a dyadic viewpoint to support and assist couples in setting health objectives and cooperating to achieve them for better outcomes is one of the additional interventions mentioned in this review. Another extremely helpful intervention is mobile communication and ICT-based therapy, which is especially helpful for time-constrained working people since it allows users to maintain their health management without the need for frequent hospital visits.</w:t>
      </w:r>
    </w:p>
    <w:p w14:paraId="187B5317" w14:textId="77777777" w:rsidR="00B46C1C" w:rsidRPr="000D05DB" w:rsidRDefault="00B46C1C"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Socioeconomic disparities continue to be a major obstacle to the effectiveness of diabetes control treatments. Research indicates that a person's access to financial and educational resources may have an impact on their incapacity to follow intervention guidelines or manage their diabetes appropriately. Low socioeconomic position can make it more difficult to access healthcare and educational opportunities, which lowers the effectiveness of therapies. Therefore, closing these inequalities and guaranteeing that everyone has equitable access to resources are crucial components of a comprehensive diabetes treatment plan. The availability of infrastructure and technology has an impact on the effectiveness of interventions. Access to healthcare facilities and technology may be restricted, which could potentially hinder the effectiveness and </w:t>
      </w:r>
      <w:r w:rsidRPr="000D05DB">
        <w:rPr>
          <w:rFonts w:ascii="Times New Roman" w:hAnsi="Times New Roman" w:cs="Times New Roman"/>
          <w:sz w:val="22"/>
          <w:szCs w:val="22"/>
        </w:rPr>
        <w:lastRenderedPageBreak/>
        <w:t>scope of therapies. Consequently, innovative projects that leverage technology and community-based strategies might be able to overcome these challenges and reach a larger audience. Lastly, cultural factors present unique challenges for diabetes care strategies. Cultural customs, values, and practices may support or undermine efforts to manage diabetes. Interventions need to be culturally aware and respectful of local customs and norms in order to be successful and acceptable within certain communities.</w:t>
      </w:r>
    </w:p>
    <w:p w14:paraId="0A8EB76E" w14:textId="45508205" w:rsidR="00B46C1C" w:rsidRPr="000D05DB" w:rsidRDefault="00B46C1C" w:rsidP="000D05DB">
      <w:pPr>
        <w:spacing w:line="360" w:lineRule="auto"/>
        <w:jc w:val="both"/>
        <w:rPr>
          <w:rFonts w:ascii="Times New Roman" w:hAnsi="Times New Roman" w:cs="Times New Roman"/>
          <w:b/>
          <w:bCs/>
          <w:sz w:val="22"/>
          <w:szCs w:val="22"/>
        </w:rPr>
      </w:pPr>
      <w:r w:rsidRPr="000D05DB">
        <w:rPr>
          <w:rFonts w:ascii="Times New Roman" w:hAnsi="Times New Roman" w:cs="Times New Roman"/>
          <w:b/>
          <w:bCs/>
          <w:sz w:val="22"/>
          <w:szCs w:val="22"/>
        </w:rPr>
        <w:t>Recommendations</w:t>
      </w:r>
    </w:p>
    <w:p w14:paraId="201FACB0" w14:textId="77777777" w:rsidR="00B46C1C" w:rsidRPr="000D05DB" w:rsidRDefault="00B46C1C"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1. Multifaceted intervention strategy: Considering the range of challenges the research uncovered, a multifaceted intervention plan is needed. Programs ought to integrate hospital-based education, mobile communication/ICT-based intervention, and community-based empowerment and education. This comprehensive approach may address multiple challenges concurrently and raise the likelihood of success.</w:t>
      </w:r>
    </w:p>
    <w:p w14:paraId="7A30987A" w14:textId="2C7332CD" w:rsidR="00B46C1C" w:rsidRPr="000D05DB" w:rsidRDefault="00B46C1C"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2. Cultural Adaptability: It's critical that treatments </w:t>
      </w:r>
      <w:r w:rsidRPr="00B7432E">
        <w:rPr>
          <w:rFonts w:ascii="Times New Roman" w:hAnsi="Times New Roman" w:cs="Times New Roman"/>
          <w:sz w:val="22"/>
          <w:szCs w:val="22"/>
          <w:highlight w:val="yellow"/>
        </w:rPr>
        <w:t>are customi</w:t>
      </w:r>
      <w:r w:rsidR="003B45B6" w:rsidRPr="00B7432E">
        <w:rPr>
          <w:rFonts w:ascii="Times New Roman" w:hAnsi="Times New Roman" w:cs="Times New Roman"/>
          <w:sz w:val="22"/>
          <w:szCs w:val="22"/>
          <w:highlight w:val="yellow"/>
        </w:rPr>
        <w:t>s</w:t>
      </w:r>
      <w:r w:rsidRPr="00B7432E">
        <w:rPr>
          <w:rFonts w:ascii="Times New Roman" w:hAnsi="Times New Roman" w:cs="Times New Roman"/>
          <w:sz w:val="22"/>
          <w:szCs w:val="22"/>
          <w:highlight w:val="yellow"/>
        </w:rPr>
        <w:t>ed to</w:t>
      </w:r>
      <w:r w:rsidRPr="000D05DB">
        <w:rPr>
          <w:rFonts w:ascii="Times New Roman" w:hAnsi="Times New Roman" w:cs="Times New Roman"/>
          <w:sz w:val="22"/>
          <w:szCs w:val="22"/>
        </w:rPr>
        <w:t xml:space="preserve"> the target demographics and cultural contexts. Since cultural factors have a significant impact on behavior and attitudes, it is crucial for the effectiveness of treatments to comprehend and navigate area norms and values.</w:t>
      </w:r>
    </w:p>
    <w:p w14:paraId="190033A8" w14:textId="77777777" w:rsidR="00B46C1C" w:rsidRDefault="00B46C1C"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3. Constant Message Innovation: For prevention of message fatigue, communications provided to individuals with diabetes should be funny, inventive, and updated often in order to maintain their attention.</w:t>
      </w:r>
    </w:p>
    <w:p w14:paraId="57F266F9" w14:textId="77777777" w:rsidR="00246184" w:rsidRDefault="00246184" w:rsidP="000D05DB">
      <w:pPr>
        <w:spacing w:line="360" w:lineRule="auto"/>
        <w:jc w:val="both"/>
        <w:rPr>
          <w:rFonts w:ascii="Times New Roman" w:hAnsi="Times New Roman" w:cs="Times New Roman"/>
          <w:sz w:val="22"/>
          <w:szCs w:val="22"/>
        </w:rPr>
      </w:pPr>
    </w:p>
    <w:p w14:paraId="2D3EF3C0" w14:textId="77777777" w:rsidR="00246184" w:rsidRPr="00246184" w:rsidRDefault="00246184" w:rsidP="00246184">
      <w:pPr>
        <w:spacing w:after="200" w:line="276" w:lineRule="auto"/>
        <w:jc w:val="both"/>
        <w:outlineLvl w:val="0"/>
        <w:rPr>
          <w:rFonts w:ascii="Arial" w:eastAsia="Times New Roman" w:hAnsi="Arial" w:cs="Arial"/>
          <w:kern w:val="0"/>
          <w:sz w:val="22"/>
          <w:szCs w:val="22"/>
          <w:lang w:val="en-GB" w:eastAsia="en-GB"/>
          <w14:ligatures w14:val="none"/>
        </w:rPr>
      </w:pPr>
      <w:r w:rsidRPr="00246184">
        <w:rPr>
          <w:rFonts w:ascii="Arial" w:eastAsia="Times New Roman" w:hAnsi="Arial" w:cs="Arial"/>
          <w:b/>
          <w:bCs/>
          <w:kern w:val="0"/>
          <w:sz w:val="22"/>
          <w:szCs w:val="22"/>
          <w:lang w:val="en-GB" w:eastAsia="en-GB"/>
          <w14:ligatures w14:val="none"/>
        </w:rPr>
        <w:t>COMPETING INTERESTS DISCLAIMER:</w:t>
      </w:r>
    </w:p>
    <w:p w14:paraId="6319D0DC" w14:textId="77777777" w:rsidR="00246184" w:rsidRPr="00246184" w:rsidRDefault="00246184" w:rsidP="00246184">
      <w:pPr>
        <w:spacing w:after="200" w:line="276" w:lineRule="auto"/>
        <w:rPr>
          <w:rFonts w:ascii="Calibri" w:eastAsia="Times New Roman" w:hAnsi="Calibri" w:cs="Times New Roman"/>
          <w:kern w:val="0"/>
          <w:sz w:val="22"/>
          <w:szCs w:val="22"/>
          <w:lang w:val="en-GB" w:eastAsia="en-GB"/>
          <w14:ligatures w14:val="none"/>
        </w:rPr>
      </w:pPr>
      <w:r w:rsidRPr="00246184">
        <w:rPr>
          <w:rFonts w:ascii="Calibri" w:eastAsia="Times New Roman" w:hAnsi="Calibri" w:cs="Times New Roman"/>
          <w:kern w:val="0"/>
          <w:sz w:val="22"/>
          <w:szCs w:val="22"/>
          <w:lang w:val="en-GB" w:eastAsia="en-GB"/>
          <w14:ligatures w14:val="none"/>
        </w:rPr>
        <w:t>Authors have declared that they have no known competing financial interests OR non-financial interests OR personal relationships that could have appeared to influence the work reported in this paper.</w:t>
      </w:r>
    </w:p>
    <w:p w14:paraId="706E6607" w14:textId="7EEC7FBB" w:rsidR="00246184" w:rsidRDefault="00246184" w:rsidP="00246184">
      <w:pPr>
        <w:spacing w:after="200" w:line="276" w:lineRule="auto"/>
        <w:rPr>
          <w:rFonts w:ascii="Calibri" w:eastAsia="Times New Roman" w:hAnsi="Calibri" w:cs="Times New Roman"/>
          <w:kern w:val="0"/>
          <w:sz w:val="22"/>
          <w:szCs w:val="22"/>
          <w:lang w:val="en-GB" w:eastAsia="en-GB"/>
          <w14:ligatures w14:val="none"/>
        </w:rPr>
      </w:pPr>
    </w:p>
    <w:p w14:paraId="12FF4D80" w14:textId="77777777" w:rsidR="00BC6AD7" w:rsidRPr="00FE7640" w:rsidRDefault="00BC6AD7" w:rsidP="00BC6AD7">
      <w:pPr>
        <w:rPr>
          <w:rFonts w:ascii="Calibri" w:eastAsia="Calibri" w:hAnsi="Calibri" w:cs="Times New Roman"/>
          <w:highlight w:val="yellow"/>
        </w:rPr>
      </w:pPr>
      <w:bookmarkStart w:id="21" w:name="_Hlk201835975"/>
      <w:bookmarkStart w:id="22" w:name="_Hlk193540946"/>
      <w:bookmarkStart w:id="23" w:name="_Hlk180402183"/>
      <w:bookmarkStart w:id="24" w:name="_Hlk183680988"/>
      <w:bookmarkStart w:id="25" w:name="_Hlk197173371"/>
      <w:r w:rsidRPr="00FE7640">
        <w:rPr>
          <w:rFonts w:ascii="Calibri" w:eastAsia="Calibri" w:hAnsi="Calibri" w:cs="Times New Roman"/>
          <w:highlight w:val="yellow"/>
        </w:rPr>
        <w:t>Disclaimer (Artificial intelligence)</w:t>
      </w:r>
    </w:p>
    <w:p w14:paraId="674CEBAF" w14:textId="77777777" w:rsidR="00BC6AD7" w:rsidRPr="009C5487" w:rsidRDefault="00BC6AD7" w:rsidP="00BC6AD7">
      <w:pPr>
        <w:rPr>
          <w:rFonts w:ascii="Calibri" w:eastAsia="Calibri" w:hAnsi="Calibri" w:cs="Times New Roman"/>
          <w:highlight w:val="yellow"/>
        </w:rPr>
      </w:pPr>
      <w:r w:rsidRPr="009C5487">
        <w:rPr>
          <w:rFonts w:ascii="Calibri" w:eastAsia="Calibri" w:hAnsi="Calibri" w:cs="Times New Roman"/>
          <w:highlight w:val="yellow"/>
        </w:rPr>
        <w:t xml:space="preserve">Option 1: </w:t>
      </w:r>
    </w:p>
    <w:p w14:paraId="0CFA7DA8" w14:textId="77777777" w:rsidR="00BC6AD7" w:rsidRPr="009C5487" w:rsidRDefault="00BC6AD7" w:rsidP="00BC6AD7">
      <w:pPr>
        <w:rPr>
          <w:rFonts w:ascii="Calibri" w:eastAsia="Calibri" w:hAnsi="Calibri" w:cs="Times New Roman"/>
          <w:highlight w:val="yellow"/>
        </w:rPr>
      </w:pPr>
      <w:r w:rsidRPr="009C5487">
        <w:rPr>
          <w:rFonts w:ascii="Calibri" w:eastAsia="Calibri" w:hAnsi="Calibri" w:cs="Times New Roman"/>
          <w:highlight w:val="yellow"/>
        </w:rPr>
        <w:t xml:space="preserve">Author(s) hereby declare that NO generative AI technologies such as Large Language Models (ChatGPT, manuscript. </w:t>
      </w:r>
    </w:p>
    <w:p w14:paraId="00B34AC9" w14:textId="77777777" w:rsidR="00BC6AD7" w:rsidRPr="009C5487" w:rsidRDefault="00BC6AD7" w:rsidP="00BC6AD7">
      <w:pPr>
        <w:rPr>
          <w:rFonts w:ascii="Calibri" w:eastAsia="Calibri" w:hAnsi="Calibri" w:cs="Times New Roman"/>
          <w:highlight w:val="yellow"/>
        </w:rPr>
      </w:pPr>
      <w:r w:rsidRPr="009C5487">
        <w:rPr>
          <w:rFonts w:ascii="Calibri" w:eastAsia="Calibri" w:hAnsi="Calibri" w:cs="Times New Roman"/>
          <w:highlight w:val="yellow"/>
        </w:rPr>
        <w:t xml:space="preserve">Option 2: </w:t>
      </w:r>
    </w:p>
    <w:p w14:paraId="7948AFB2" w14:textId="77777777" w:rsidR="00BC6AD7" w:rsidRPr="009C5487" w:rsidRDefault="00BC6AD7" w:rsidP="00BC6AD7">
      <w:pPr>
        <w:rPr>
          <w:rFonts w:ascii="Calibri" w:eastAsia="Calibri" w:hAnsi="Calibri" w:cs="Times New Roman"/>
          <w:highlight w:val="yellow"/>
        </w:rPr>
      </w:pPr>
      <w:r w:rsidRPr="009C5487">
        <w:rPr>
          <w:rFonts w:ascii="Calibri" w:eastAsia="Calibri" w:hAnsi="Calibri"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4894615" w14:textId="77777777" w:rsidR="00BC6AD7" w:rsidRPr="009C5487" w:rsidRDefault="00BC6AD7" w:rsidP="00BC6AD7">
      <w:pPr>
        <w:rPr>
          <w:rFonts w:ascii="Calibri" w:eastAsia="Calibri" w:hAnsi="Calibri" w:cs="Times New Roman"/>
          <w:highlight w:val="yellow"/>
        </w:rPr>
      </w:pPr>
      <w:r w:rsidRPr="009C5487">
        <w:rPr>
          <w:rFonts w:ascii="Calibri" w:eastAsia="Calibri" w:hAnsi="Calibri" w:cs="Times New Roman"/>
          <w:highlight w:val="yellow"/>
        </w:rPr>
        <w:lastRenderedPageBreak/>
        <w:t>Details of the AI usage are given below:</w:t>
      </w:r>
    </w:p>
    <w:p w14:paraId="51529A20" w14:textId="77777777" w:rsidR="00BC6AD7" w:rsidRPr="005E5F73" w:rsidRDefault="00BC6AD7" w:rsidP="00BC6AD7">
      <w:pPr>
        <w:rPr>
          <w:rFonts w:ascii="Calibri" w:eastAsia="Calibri" w:hAnsi="Calibri" w:cs="Times New Roman"/>
          <w:highlight w:val="yellow"/>
          <w:lang w:val="es-US"/>
        </w:rPr>
      </w:pPr>
      <w:r w:rsidRPr="005E5F73">
        <w:rPr>
          <w:rFonts w:ascii="Calibri" w:eastAsia="Calibri" w:hAnsi="Calibri" w:cs="Times New Roman"/>
          <w:highlight w:val="yellow"/>
          <w:lang w:val="es-US"/>
        </w:rPr>
        <w:t>1.</w:t>
      </w:r>
    </w:p>
    <w:p w14:paraId="68EF9943" w14:textId="77777777" w:rsidR="00BC6AD7" w:rsidRPr="005E5F73" w:rsidRDefault="00BC6AD7" w:rsidP="00BC6AD7">
      <w:pPr>
        <w:rPr>
          <w:rFonts w:ascii="Calibri" w:eastAsia="Calibri" w:hAnsi="Calibri" w:cs="Times New Roman"/>
          <w:highlight w:val="yellow"/>
          <w:lang w:val="es-US"/>
        </w:rPr>
      </w:pPr>
      <w:r w:rsidRPr="005E5F73">
        <w:rPr>
          <w:rFonts w:ascii="Calibri" w:eastAsia="Calibri" w:hAnsi="Calibri" w:cs="Times New Roman"/>
          <w:highlight w:val="yellow"/>
          <w:lang w:val="es-US"/>
        </w:rPr>
        <w:t>2.</w:t>
      </w:r>
      <w:bookmarkEnd w:id="21"/>
    </w:p>
    <w:p w14:paraId="4AD77ECC" w14:textId="77777777" w:rsidR="00BC6AD7" w:rsidRPr="005E5F73" w:rsidRDefault="00BC6AD7" w:rsidP="00BC6AD7">
      <w:pPr>
        <w:rPr>
          <w:rFonts w:ascii="Calibri" w:eastAsia="Calibri" w:hAnsi="Calibri" w:cs="Times New Roman"/>
          <w:lang w:val="es-US"/>
        </w:rPr>
      </w:pPr>
      <w:r w:rsidRPr="005E5F73">
        <w:rPr>
          <w:rFonts w:ascii="Calibri" w:eastAsia="Calibri" w:hAnsi="Calibri" w:cs="Times New Roman"/>
          <w:highlight w:val="yellow"/>
          <w:lang w:val="es-US"/>
        </w:rPr>
        <w:t>3.</w:t>
      </w:r>
      <w:bookmarkEnd w:id="22"/>
    </w:p>
    <w:bookmarkEnd w:id="23"/>
    <w:bookmarkEnd w:id="24"/>
    <w:bookmarkEnd w:id="25"/>
    <w:p w14:paraId="51ED2DB5" w14:textId="77777777" w:rsidR="00BC6AD7" w:rsidRPr="005E5F73" w:rsidRDefault="00BC6AD7" w:rsidP="00246184">
      <w:pPr>
        <w:spacing w:after="200" w:line="276" w:lineRule="auto"/>
        <w:rPr>
          <w:rFonts w:ascii="Calibri" w:eastAsia="Times New Roman" w:hAnsi="Calibri" w:cs="Times New Roman"/>
          <w:kern w:val="0"/>
          <w:sz w:val="22"/>
          <w:szCs w:val="22"/>
          <w:lang w:val="es-US" w:eastAsia="en-GB"/>
          <w14:ligatures w14:val="none"/>
        </w:rPr>
      </w:pPr>
    </w:p>
    <w:p w14:paraId="02C0CCC2" w14:textId="77777777" w:rsidR="00057BF2" w:rsidRPr="005E5F73" w:rsidRDefault="00057BF2" w:rsidP="00B46C1C">
      <w:pPr>
        <w:jc w:val="both"/>
        <w:rPr>
          <w:rFonts w:ascii="Times New Roman" w:hAnsi="Times New Roman" w:cs="Times New Roman"/>
          <w:sz w:val="22"/>
          <w:szCs w:val="22"/>
          <w:lang w:val="es-US"/>
        </w:rPr>
      </w:pPr>
    </w:p>
    <w:p w14:paraId="440F69CE" w14:textId="77777777" w:rsidR="00B46C1C" w:rsidRPr="005E5F73" w:rsidRDefault="00B46C1C" w:rsidP="00B46C1C">
      <w:pPr>
        <w:rPr>
          <w:rFonts w:ascii="Times New Roman" w:hAnsi="Times New Roman" w:cs="Times New Roman"/>
          <w:b/>
          <w:bCs/>
          <w:sz w:val="22"/>
          <w:szCs w:val="22"/>
          <w:lang w:val="es-US"/>
        </w:rPr>
      </w:pPr>
      <w:bookmarkStart w:id="26" w:name="_Toc154152626"/>
      <w:r w:rsidRPr="005E5F73">
        <w:rPr>
          <w:rFonts w:ascii="Times New Roman" w:hAnsi="Times New Roman" w:cs="Times New Roman"/>
          <w:b/>
          <w:bCs/>
          <w:sz w:val="22"/>
          <w:szCs w:val="22"/>
          <w:lang w:val="es-US"/>
        </w:rPr>
        <w:t>REFERENCES</w:t>
      </w:r>
      <w:bookmarkEnd w:id="26"/>
    </w:p>
    <w:p w14:paraId="21DFCC0F" w14:textId="6A00A2E2" w:rsidR="00DD47C9" w:rsidRDefault="00DD47C9"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5E5F73">
        <w:rPr>
          <w:rFonts w:ascii="Times New Roman" w:eastAsia="Arial" w:hAnsi="Times New Roman" w:cs="Times New Roman"/>
          <w:sz w:val="22"/>
          <w:szCs w:val="22"/>
          <w:lang w:val="es-US"/>
        </w:rPr>
        <w:t xml:space="preserve">Abdullateef, A., Olajide, R. A., Emmanuel, E., Bolanle, M. K., &amp; Umaru, K. (2021). </w:t>
      </w:r>
      <w:r w:rsidRPr="00DD47C9">
        <w:rPr>
          <w:rFonts w:ascii="Times New Roman" w:eastAsia="Arial" w:hAnsi="Times New Roman" w:cs="Times New Roman"/>
          <w:sz w:val="22"/>
          <w:szCs w:val="22"/>
        </w:rPr>
        <w:t>Changes in Antioxidants in the Brain of Fluoride-Treated Rats. </w:t>
      </w:r>
      <w:r w:rsidRPr="00DD47C9">
        <w:rPr>
          <w:rFonts w:ascii="Times New Roman" w:eastAsia="Arial" w:hAnsi="Times New Roman" w:cs="Times New Roman"/>
          <w:i/>
          <w:iCs/>
          <w:sz w:val="22"/>
          <w:szCs w:val="22"/>
        </w:rPr>
        <w:t>Asian Journal of Research in Medical and Pharmaceutical Sciences</w:t>
      </w:r>
      <w:r w:rsidRPr="00DD47C9">
        <w:rPr>
          <w:rFonts w:ascii="Times New Roman" w:eastAsia="Arial" w:hAnsi="Times New Roman" w:cs="Times New Roman"/>
          <w:sz w:val="22"/>
          <w:szCs w:val="22"/>
        </w:rPr>
        <w:t>, 41–48. https://doi.org/10.9734/ajrimps/2021/v10i130157</w:t>
      </w:r>
    </w:p>
    <w:p w14:paraId="1E5AE4CC" w14:textId="2048BF4E"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5E5F73">
        <w:rPr>
          <w:rFonts w:ascii="Times New Roman" w:eastAsia="Arial" w:hAnsi="Times New Roman" w:cs="Times New Roman"/>
          <w:sz w:val="22"/>
          <w:szCs w:val="22"/>
          <w:lang w:val="es-US"/>
        </w:rPr>
        <w:t xml:space="preserve">Aceti, V.M., Santoro, R.V., Velarde, L.G.C., Brandão, D.N., da Cruz, R.A., Taboada, G.F., 2021. </w:t>
      </w:r>
      <w:r w:rsidRPr="000D05DB">
        <w:rPr>
          <w:rFonts w:ascii="Times New Roman" w:eastAsia="Arial" w:hAnsi="Times New Roman" w:cs="Times New Roman"/>
          <w:sz w:val="22"/>
          <w:szCs w:val="22"/>
        </w:rPr>
        <w:t>Educating diabetic patients through an SMS intervention: a randomized controlled trial at a Brazilian public hospital. Arch. Endocrinol. Metab. 65, 695–703. https://doi.org/10.20945/2359-3997000000390</w:t>
      </w:r>
    </w:p>
    <w:p w14:paraId="20081B3C"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Adhikari, M., Devkota, H.R., Cesuroglu, T., 2021. Barriers to and facilitators of diabetes self-management practices in Rupandehi, Nepal- multiple stakeholders’ perspective. BMC Public Health 21, 1269. https://doi.org/10.1186/s12889-021-11308-4</w:t>
      </w:r>
    </w:p>
    <w:p w14:paraId="72099E51"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Alam, S., Hasan, M.K., Neaz, S., Hussain, N., Hossain, M.F., Rahman, T., 2021. Diabetes Mellitus: Insights from Epidemiology, Biochemistry, Risk Factors, Diagnosis, Complications and Comprehensive Management. Diabetology 2, 36–50. https://doi.org/10.3390/diabetology2020004</w:t>
      </w:r>
    </w:p>
    <w:p w14:paraId="760B7B3D"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Alam, U., Asghar, O., Azmi, S., Malik, R.A., 2014. Chapter 15 - General aspects of diabetes mellitus, in: Zochodne, D.W., Malik, R.A. (Eds.), Handbook of Clinical Neurology, Diabetes and the Nervous System. Elsevier, pp. 211–222. https://doi.org/10.1016/B978-0-444-53480-4.00015-1</w:t>
      </w:r>
    </w:p>
    <w:p w14:paraId="3183D011"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Alaofè, H., Yeo, S., Okechukwu, A., Magrath, P., Hounkpatin, W.A., Ehiri, J., Rosales, C., 2021. Cultural Considerations for the Adaptation of a Diabetes Self-Management Education Program in Cotonou, Benin: Lessons Learned from a Qualitative Study. Int. J. Environ. Res. Public. Health 18. https://doi.org/10.3390/ijerph18168376</w:t>
      </w:r>
    </w:p>
    <w:p w14:paraId="28D1EE39"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Amendezo, E., Timothy, D.W., Karamuka, V., Robinson, B., Kavabushi, P., Ntirenganya, C., Uwiragiye, J., Mukantagwabira, D., Bisimwa, J., Marie, H.U., Umulisa, H., Niyomwungeri, S., Ndayambaje, B., Dusabejambo, V., Bavuma, C., 2017. Effects of a lifestyle education program on glycemic control among patients with diabetes at Kigali University Hospital, Rwanda: A randomized controlled trial. Diabetes Res. Clin. Pract. 126, 129–137. https://doi.org/10.1016/j.diabres.2017.02.001</w:t>
      </w:r>
    </w:p>
    <w:p w14:paraId="18ACD694"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lastRenderedPageBreak/>
        <w:t>Assah, F.K., Atanga, E.N., Enoru, S., Sobngwi, E., Mbanya, J.C., 2015. Community-based peer support significantly improves metabolic control in people with Type 2 diabetes in Yaoundé, Cameroon. Diabet. Med. 32, 886–889. https://doi.org/10.1111/dme.12720</w:t>
      </w:r>
    </w:p>
    <w:p w14:paraId="39B0A563"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Banday, M.Z., Sameer, A.S., Nissar, S., 2020. Pathophysiology of diabetes: An overview. Avicenna J. Med. 10, 174–188. https://doi.org/10.4103/ajm.ajm_53_20</w:t>
      </w:r>
    </w:p>
    <w:p w14:paraId="48C59497" w14:textId="77777777" w:rsidR="00B46C1C" w:rsidRPr="005E5F73"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lang w:val="es-US"/>
        </w:rPr>
      </w:pPr>
      <w:r w:rsidRPr="000D05DB">
        <w:rPr>
          <w:rFonts w:ascii="Times New Roman" w:eastAsia="Arial" w:hAnsi="Times New Roman" w:cs="Times New Roman"/>
          <w:sz w:val="22"/>
          <w:szCs w:val="22"/>
        </w:rPr>
        <w:t xml:space="preserve">Bekele, H., Asefa, A., Getachew, B., Belete, A.M., 2020. Barriers and Strategies to Lifestyle and Dietary Pattern Interventions for Prevention and Management of TYPE-2 Diabetes in Africa, Systematic Review. </w:t>
      </w:r>
      <w:r w:rsidRPr="005E5F73">
        <w:rPr>
          <w:rFonts w:ascii="Times New Roman" w:eastAsia="Arial" w:hAnsi="Times New Roman" w:cs="Times New Roman"/>
          <w:sz w:val="22"/>
          <w:szCs w:val="22"/>
          <w:lang w:val="es-US"/>
        </w:rPr>
        <w:t>J. Diabetes Res. 2020, e7948712. https://doi.org/10.1155/2020/7948712</w:t>
      </w:r>
    </w:p>
    <w:p w14:paraId="5EE24596"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5E5F73">
        <w:rPr>
          <w:rFonts w:ascii="Times New Roman" w:eastAsia="Arial" w:hAnsi="Times New Roman" w:cs="Times New Roman"/>
          <w:sz w:val="22"/>
          <w:szCs w:val="22"/>
          <w:lang w:val="es-US"/>
        </w:rPr>
        <w:t xml:space="preserve">Carbone, S., Del Buono, M.G., Ozemek, C., Lavie, C.J., 2019. </w:t>
      </w:r>
      <w:r w:rsidRPr="000D05DB">
        <w:rPr>
          <w:rFonts w:ascii="Times New Roman" w:eastAsia="Arial" w:hAnsi="Times New Roman" w:cs="Times New Roman"/>
          <w:sz w:val="22"/>
          <w:szCs w:val="22"/>
        </w:rPr>
        <w:t>Obesity, risk of diabetes and role of physical activity, exercise training and cardiorespiratory fitness. Prog. Cardiovasc. Dis. 62, 327–333. https://doi.org/10.1016/j.pcad.2019.08.004</w:t>
      </w:r>
    </w:p>
    <w:p w14:paraId="29947871"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Chavez, S., Fedele, D., Guo, Y., Bernier, A., Smith, M., Warnick, J., Modave, F., 2017. Mobile Apps for the Management of Diabetes. Diabetes Care 40, e145–e146. https://doi.org/10.2337/dc17-0853</w:t>
      </w:r>
    </w:p>
    <w:p w14:paraId="3FDD3E93"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5E5F73">
        <w:rPr>
          <w:rFonts w:ascii="Times New Roman" w:eastAsia="Arial" w:hAnsi="Times New Roman" w:cs="Times New Roman"/>
          <w:sz w:val="22"/>
          <w:szCs w:val="22"/>
          <w:lang w:val="es-US"/>
        </w:rPr>
        <w:t xml:space="preserve">Cole, J.B., Florez, J.C., 2020. </w:t>
      </w:r>
      <w:r w:rsidRPr="000D05DB">
        <w:rPr>
          <w:rFonts w:ascii="Times New Roman" w:eastAsia="Arial" w:hAnsi="Times New Roman" w:cs="Times New Roman"/>
          <w:sz w:val="22"/>
          <w:szCs w:val="22"/>
        </w:rPr>
        <w:t>Genetics of diabetes mellitus and diabetes complications. Nat. Rev. Nephrol. 16, 377–390. https://doi.org/10.1038/s41581-020-0278-5</w:t>
      </w:r>
    </w:p>
    <w:p w14:paraId="25B657BC"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Correia, J.C., Lachat, S., Lagger, G., Chappuis, F., Golay, A., Beran, D., Beran, D., Miranda, J., Damasceno, A., Somerville, C., Suggs, L.S., On behalf of the COHESION Project, 2019. Interventions targeting hypertension and diabetes mellitus at community and primary healthcare level in low- and middle-income countries:a scoping review. BMC Public Health 19, 1542. https://doi.org/10.1186/s12889-019-7842-6</w:t>
      </w:r>
    </w:p>
    <w:p w14:paraId="5F5081F7"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da Rocha Fernandes, J., Ogurtsova, K., Linnenkamp, U., Guariguata, L., Seuring, T., Zhang, P., Cavan, D., Makaroff, L.E., 2016. IDF Diabetes Atlas estimates of 2014 global health expenditures on diabetes. Diabetes Res. Clin. Pract. 117, 48–54. https://doi.org/10.1016/j.diabres.2016.04.016</w:t>
      </w:r>
    </w:p>
    <w:p w14:paraId="2E96C330"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Dal Canto, E., Ceriello, A., Rydén, L., Ferrini, M., Hansen, T.B., Schnell, O., Standl, E., Beulens, J.W., 2019. Diabetes as a cardiovascular risk factor: An overview of global trends of macro and micro vascular complications. Eur. J. Prev. Cardiol. 26, 25–32. https://doi.org/10.1177/2047487319878371</w:t>
      </w:r>
    </w:p>
    <w:p w14:paraId="68CAD5D6"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Debussche, X., Besançon, S., Balcou-Debussche, M., Ferdynus, C., Delisle, H., Huiart, L., Sidibe, A.T., 2018. Structured peer-led diabetes self-management and support in a low-income country: The ST2EP randomised controlled trial in Mali. PLOS ONE 13, e0191262. https://doi.org/10.1371/journal.pone.0191262</w:t>
      </w:r>
    </w:p>
    <w:p w14:paraId="487A64EF"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Demaio, A.R., Kragelund Nielsen, K., Pinkowski Tersbøl, B., Kallestrup, P., Meyrowitsch, D.W., 2014. Primary Health Care: a strategic framework for the prevention and control of chronic non-communicable disease. Glob. Health Action 7, 24504. https://doi.org/10.3402/gha.v7.24504</w:t>
      </w:r>
    </w:p>
    <w:p w14:paraId="1A7EF7C6"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lastRenderedPageBreak/>
        <w:t>Dessie, G., Mulugeta, H., Amare, D., Negesse, A., Wagnew, F., Getaneh, T., Endalamew, A., Adamu, Y.W., Tadesse, G., Workineh, A., Lebu, S., 2020. A systematic analysis on prevalence and sub-regional distribution of undiagnosed diabetes mellitus among adults in African countries. J. Diabetes Metab. Disord. 19, 1931–1941. https://doi.org/10.1007/s40200-020-00635-9</w:t>
      </w:r>
    </w:p>
    <w:p w14:paraId="13F41D55"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Eshete, A., Lambebo, A., Mohammed, S., Shewasinad, S., Assefa, Y., 2023. Effect of nutritional promotion intervention on dietary adherence among type II diabetes patients in North Shoa Zone Amhara Region: quasi-experimental study. J. Health Popul. Nutr. 42, 49. https://doi.org/10.1186/s41043-023-00393-3</w:t>
      </w:r>
    </w:p>
    <w:p w14:paraId="1715F46A"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Essien, O., Otu, A., Umoh, V., Enang, O., Hicks, J.P., Walley, J., 2017. Intensive Patient Education Improves Glycaemic Control in Diabetes Compared to Conventional Education: A Randomised Controlled Trial in a Nigerian Tertiary Care Hospital. PLOS ONE 12, e0168835. https://doi.org/10.1371/journal.pone.0168835</w:t>
      </w:r>
    </w:p>
    <w:p w14:paraId="404E3244"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Frommer, L., Kahaly, G.J., 2020. Type 1 diabetes and associated autoimmune diseases. World J. Diabetes 11, 527–539. https://doi.org/10.4239/wjd.v11.i11.527</w:t>
      </w:r>
    </w:p>
    <w:p w14:paraId="12EB378B"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Githinji, P., Dawson, J.A., Appiah, D., Rethorst, C.D., 2022. A Culturally Sensitive and Theory-Based Intervention on Prevention and Management of Diabetes: A Cluster Randomized Control Trial. Nutrients 14, 5126. https://doi.org/10.3390/nu14235126</w:t>
      </w:r>
    </w:p>
    <w:p w14:paraId="64BE84FE"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Gupta, N., Mansoor, S., Sharma, A., Sapkal, A., Sheth, J., Falatoonzadeh, P., Kuppermann, B., Kenney, M., 2013. Diabetic retinopathy and VEGF. Open Ophthalmol. J. 7, 4–10. https://doi.org/10.2174/1874364101307010004</w:t>
      </w:r>
    </w:p>
    <w:p w14:paraId="7C00F8A2"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Guwatudde, D., Delobelle, P., Absetz, P., Van, J.O., Mayega, R.W., Kasujja, F.X., Man, J.D., Hassen, M., Kiracho, E.E., Kiguli, J., Puoane, T., Ostenson, C.-G., Peterson, S., Daivadanam, M., Consortium, S., 2022. Prevention and management of type 2 diabetes mellitus in Uganda and South Africa: Findings from the SMART2D pragmatic implementation trial. PLOS Glob. Public Health 2, e0000425. https://doi.org/10.1371/journal.pgph.0000425</w:t>
      </w:r>
    </w:p>
    <w:p w14:paraId="4C4F626D"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Iwelunmor, J., Blackstone, S., Veira, D., Nwaozuru, U., Airhihenbuwa, C., Munodawafa, D., Kalipeni, E., Jutal, A., Shelley, D., Ogedegbe, G., 2016. Erratum to: ‘Toward the sustainability of health interventions implemented in sub-Saharan Africa: a systematic review and conceptual framework.’ Implement. Sci. IS 11, 53. https://doi.org/10.1186/s13012-016-0415-5</w:t>
      </w:r>
    </w:p>
    <w:p w14:paraId="1C7FC7F1" w14:textId="77777777" w:rsidR="00B46C1C" w:rsidRPr="005E5F73"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lang w:val="es-US"/>
        </w:rPr>
      </w:pPr>
      <w:r w:rsidRPr="000D05DB">
        <w:rPr>
          <w:rFonts w:ascii="Times New Roman" w:eastAsia="Arial" w:hAnsi="Times New Roman" w:cs="Times New Roman"/>
          <w:sz w:val="22"/>
          <w:szCs w:val="22"/>
        </w:rPr>
        <w:t xml:space="preserve">Kahaly, G.J., Hansen, M.P., 2016. Type 1 diabetes associated autoimmunity. Autoimmun. </w:t>
      </w:r>
      <w:r w:rsidRPr="005E5F73">
        <w:rPr>
          <w:rFonts w:ascii="Times New Roman" w:eastAsia="Arial" w:hAnsi="Times New Roman" w:cs="Times New Roman"/>
          <w:sz w:val="22"/>
          <w:szCs w:val="22"/>
          <w:lang w:val="es-US"/>
        </w:rPr>
        <w:t>Rev. 15, 644–648. https://doi.org/10.1016/j.autrev.2016.02.017</w:t>
      </w:r>
    </w:p>
    <w:p w14:paraId="6D2621F2"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5E5F73">
        <w:rPr>
          <w:rFonts w:ascii="Times New Roman" w:eastAsia="Arial" w:hAnsi="Times New Roman" w:cs="Times New Roman"/>
          <w:sz w:val="22"/>
          <w:szCs w:val="22"/>
          <w:lang w:val="es-US"/>
        </w:rPr>
        <w:t xml:space="preserve">Karachaliou, F., Simatos, G., Simatou, A., 2020. </w:t>
      </w:r>
      <w:r w:rsidRPr="000D05DB">
        <w:rPr>
          <w:rFonts w:ascii="Times New Roman" w:eastAsia="Arial" w:hAnsi="Times New Roman" w:cs="Times New Roman"/>
          <w:sz w:val="22"/>
          <w:szCs w:val="22"/>
        </w:rPr>
        <w:t>The Challenges in the Development of Diabetes Prevention and Care Models in Low-Income Settings. Front. Endocrinol. 11.</w:t>
      </w:r>
    </w:p>
    <w:p w14:paraId="6AF11FFF"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lastRenderedPageBreak/>
        <w:t>Kato, M., Natarajan, R., 2015. MicroRNAs in diabetic nephropathy: functions, biomarkers, and therapeutic targets. Ann. N. Y. Acad. Sci. 1353, 72–88. https://doi.org/10.1111/nyas.12758</w:t>
      </w:r>
    </w:p>
    <w:p w14:paraId="3F6566CF"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Kaul, K., Tarr, J.M., Ahmad, S.I., Kohner, E.M., Chibber, R., 2013. Introduction to Diabetes Mellitus, in: Ahmad, S.I. (Ed.), Diabetes: An Old Disease, a New Insight, Advances in Experimental Medicine and Biology. Springer, New York, NY, pp. 1–11. https://doi.org/10.1007/978-1-4614-5441-0_1</w:t>
      </w:r>
    </w:p>
    <w:p w14:paraId="3025DFB4"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Kim, J., Hur, M.-H., 2021. The Effects of Dietary Education Interventions on Individuals with Type 2 Diabetes: A Systematic Review and Meta-Analysis. Int. J. Environ. Res. Public. Health 18, 8439. https://doi.org/10.3390/ijerph18168439</w:t>
      </w:r>
    </w:p>
    <w:p w14:paraId="3803C153"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Lamprinos, I., Demski, H., Mantwill, S., Kabak, Y., Hildebrand, C., Ploessnig, M., 2016. Modular ICT-based patient empowerment framework for self-management of diabetes: Design perspectives and validation results. Int. J. Med. Inf. 91, 31–43. https://doi.org/10.1016/j.ijmedinf.2016.04.006</w:t>
      </w:r>
    </w:p>
    <w:p w14:paraId="031C6B31"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Leon, N., Namadingo, H., Cooper, S., Bobrow, K., Mwantisi, C., Nyasulu, M., Sicwebu, N., Crampin, A., Levitt, N., Farmer, A., 2021. Process evaluation of a brief messaging intervention to improve diabetes treatment adherence in sub-Saharan Africa. BMC Public Health 21, 1576. https://doi.org/10.1186/s12889-021-11552-8</w:t>
      </w:r>
    </w:p>
    <w:p w14:paraId="7448E8B3"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Li, D.-W., Lu, T.-F., Hua, X.-W., Dai, H.-J., Cui, X.-L., Zhang, J.-J., Xia, Q., 2015. Risk factors for new onset diabetes mellitus after liver transplantation: A meta-analysis. World J. Gastroenterol. WJG 21, 6329–6340. https://doi.org/10.3748/wjg.v21.i20.6329</w:t>
      </w:r>
    </w:p>
    <w:p w14:paraId="2C141A2F"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Liu, Y., Xiao, X., Peng, C., Zhao, T., Wu, Y., Yu, W., Ou, L., Chen, X., Wu, X., Xu, D.R., Liao, J., 2021. Development and Implementation of Couple-Based Collaborative Management Model of Type 2 Diabetes Mellitus for Community-Dwelling Chinese Older Adults: A Pilot Randomized Trial. Front. Public Health 9, 686282. https://doi.org/10.3389/fpubh.2021.686282</w:t>
      </w:r>
    </w:p>
    <w:p w14:paraId="1A3D50EC"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Liyanage, T., Ninomiya, T., Jha, V., Neal, B., Patrice, H.M., Okpechi, I., Zhao, M., Lv, J., Garg, A.X., Knight, J., Rodgers, A., Gallagher, M., Kotwal, S., Cass, A., Perkovic, V., 2015. Worldwide access to treatment for end-stage kidney disease: a systematic review. Lancet Lond. Engl. 385, 1975–1982. https://doi.org/10.1016/S0140-6736(14)61601-9</w:t>
      </w:r>
    </w:p>
    <w:p w14:paraId="3D562B07" w14:textId="77777777" w:rsidR="00B46C1C" w:rsidRPr="000D05DB" w:rsidRDefault="00B46C1C" w:rsidP="00B46C1C">
      <w:pPr>
        <w:spacing w:line="360" w:lineRule="auto"/>
        <w:ind w:left="720" w:hanging="720"/>
        <w:jc w:val="both"/>
        <w:rPr>
          <w:rFonts w:ascii="Times New Roman" w:hAnsi="Times New Roman" w:cs="Times New Roman"/>
          <w:sz w:val="22"/>
          <w:szCs w:val="22"/>
        </w:rPr>
      </w:pPr>
      <w:r w:rsidRPr="000D05DB">
        <w:rPr>
          <w:rFonts w:ascii="Times New Roman" w:hAnsi="Times New Roman" w:cs="Times New Roman"/>
          <w:sz w:val="22"/>
          <w:szCs w:val="22"/>
        </w:rPr>
        <w:t>Long, H.A., French, D.P. and Brooks, J.M., 2020. Optimising the value of the critical appraisal skills programme (CASP) tool for quality appraisal in qualitative evidence synthesis. </w:t>
      </w:r>
      <w:r w:rsidRPr="000D05DB">
        <w:rPr>
          <w:rFonts w:ascii="Times New Roman" w:hAnsi="Times New Roman" w:cs="Times New Roman"/>
          <w:i/>
          <w:iCs/>
          <w:sz w:val="22"/>
          <w:szCs w:val="22"/>
        </w:rPr>
        <w:t>Research Methods in Medicine &amp; Health Sciences</w:t>
      </w:r>
      <w:r w:rsidRPr="000D05DB">
        <w:rPr>
          <w:rFonts w:ascii="Times New Roman" w:hAnsi="Times New Roman" w:cs="Times New Roman"/>
          <w:sz w:val="22"/>
          <w:szCs w:val="22"/>
        </w:rPr>
        <w:t>, </w:t>
      </w:r>
      <w:r w:rsidRPr="000D05DB">
        <w:rPr>
          <w:rFonts w:ascii="Times New Roman" w:hAnsi="Times New Roman" w:cs="Times New Roman"/>
          <w:i/>
          <w:iCs/>
          <w:sz w:val="22"/>
          <w:szCs w:val="22"/>
        </w:rPr>
        <w:t>1</w:t>
      </w:r>
      <w:r w:rsidRPr="000D05DB">
        <w:rPr>
          <w:rFonts w:ascii="Times New Roman" w:hAnsi="Times New Roman" w:cs="Times New Roman"/>
          <w:sz w:val="22"/>
          <w:szCs w:val="22"/>
        </w:rPr>
        <w:t>(1), pp.31-42.</w:t>
      </w:r>
    </w:p>
    <w:p w14:paraId="2DBD7559"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Mash, R., Kroukamp, R., Gaziano, T., Levitt, N., 2015. Cost-effectiveness of a diabetes group education program delivered by health promoters with a guiding style in underserved communities in Cape Town, South Africa. Patient Educ. Couns. 98, 622–626. https://doi.org/10.1016/j.pec.2015.01.005</w:t>
      </w:r>
    </w:p>
    <w:p w14:paraId="584BADF3" w14:textId="77777777" w:rsidR="00B46C1C" w:rsidRPr="000D05DB" w:rsidRDefault="00B46C1C" w:rsidP="00B46C1C">
      <w:pPr>
        <w:spacing w:line="360" w:lineRule="auto"/>
        <w:ind w:left="720" w:hanging="720"/>
        <w:jc w:val="both"/>
        <w:rPr>
          <w:rFonts w:ascii="Times New Roman" w:hAnsi="Times New Roman" w:cs="Times New Roman"/>
          <w:sz w:val="22"/>
          <w:szCs w:val="22"/>
        </w:rPr>
      </w:pPr>
      <w:r w:rsidRPr="000D05DB">
        <w:rPr>
          <w:rFonts w:ascii="Times New Roman" w:hAnsi="Times New Roman" w:cs="Times New Roman"/>
          <w:sz w:val="22"/>
          <w:szCs w:val="22"/>
        </w:rPr>
        <w:lastRenderedPageBreak/>
        <w:t>McKechnie, D. and Fisher, M.J., 2020. Quality appraisal of the research literature in healthcare: A discussion on quality appraisal tools. </w:t>
      </w:r>
      <w:r w:rsidRPr="000D05DB">
        <w:rPr>
          <w:rFonts w:ascii="Times New Roman" w:hAnsi="Times New Roman" w:cs="Times New Roman"/>
          <w:i/>
          <w:iCs/>
          <w:sz w:val="22"/>
          <w:szCs w:val="22"/>
        </w:rPr>
        <w:t>Journal of the Australasian Rehabilitation Nurses Association</w:t>
      </w:r>
      <w:r w:rsidRPr="000D05DB">
        <w:rPr>
          <w:rFonts w:ascii="Times New Roman" w:hAnsi="Times New Roman" w:cs="Times New Roman"/>
          <w:sz w:val="22"/>
          <w:szCs w:val="22"/>
        </w:rPr>
        <w:t>, </w:t>
      </w:r>
      <w:r w:rsidRPr="000D05DB">
        <w:rPr>
          <w:rFonts w:ascii="Times New Roman" w:hAnsi="Times New Roman" w:cs="Times New Roman"/>
          <w:i/>
          <w:iCs/>
          <w:sz w:val="22"/>
          <w:szCs w:val="22"/>
        </w:rPr>
        <w:t>23</w:t>
      </w:r>
      <w:r w:rsidRPr="000D05DB">
        <w:rPr>
          <w:rFonts w:ascii="Times New Roman" w:hAnsi="Times New Roman" w:cs="Times New Roman"/>
          <w:sz w:val="22"/>
          <w:szCs w:val="22"/>
        </w:rPr>
        <w:t>(2), pp.25-34.</w:t>
      </w:r>
    </w:p>
    <w:p w14:paraId="6A5D1C37"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Merakou, K., Knithaki, A., Karageorgos, G., Theodoridis, D., Barbouni, A., 2015. Group patient education: effectiveness of a brief intervention in people with type 2 diabetes mellitus in primary health care in Greece: a clinically controlled trial. Health Educ. Res. 30, 223–232. https://doi.org/10.1093/her/cyv001</w:t>
      </w:r>
    </w:p>
    <w:p w14:paraId="11105B20"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Mirahmadizadeh, A., Delam, H., Seif, M., Banihashemi, S.A., Tabatabaee, H., 2019. Factors Affecting Insulin Compliance in Patients with Type 2 Diabetes in South Iran, 2017: We Are Faced with Insulin Phobia. Iran. J. Med. Sci. 44, 204–213.</w:t>
      </w:r>
    </w:p>
    <w:p w14:paraId="3B8498BE"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Mirahmadizadeh, A., Sharifi, M.H., Hassanzadeh, J., Heiran, A., Ardekani, F.M., Hadizadeh, N., Sharafi, M., Abnavi, M.M., 2023. The effect of COVID-19 pandemic on diabetes care indices in Southern Iran: an interrupted time series analysis. BMC Health Serv. Res. 23, 148. https://doi.org/10.1186/s12913-023-09158-4</w:t>
      </w:r>
    </w:p>
    <w:p w14:paraId="68E47AC0"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Mobasseri, M., Shirmohammadi, M., Amiri, T., Vahed, N., Hosseini Fard, H., Ghojazadeh, M., 2020. Prevalence and incidence of type 1 diabetes in the world: a systematic review and meta-analysis. Health Promot. Perspect. 10, 98–115. https://doi.org/10.34172/hpp.2020.18</w:t>
      </w:r>
    </w:p>
    <w:p w14:paraId="20460DC4"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Muchiri, J., Gericke, G., Rheeder, P., 2016. Impact of nutrition education on diabetes knowledge and attitudes of adults with type 2 diabetes living in a resource-limited setting in South Africa: a randomised controlled trial. J. Endocrinol. Metab. Diabetes South Afr. 21, 26–34. https://doi.org/10.1080/16089677.2016.1200324</w:t>
      </w:r>
    </w:p>
    <w:p w14:paraId="3A8ACEE7"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Mutyambizi, C., Pavlova, M., Chola, L., Hongoro, C., Groot, W., 2018. Cost of diabetes mellitus in Africa: a systematic review of existing literature. Glob. Health 14, 3. https://doi.org/10.1186/s12992-017-0318-5</w:t>
      </w:r>
    </w:p>
    <w:p w14:paraId="7A303E52" w14:textId="77777777" w:rsidR="00B46C1C" w:rsidRPr="005E5F73"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lang w:val="es-US"/>
        </w:rPr>
      </w:pPr>
      <w:r w:rsidRPr="000D05DB">
        <w:rPr>
          <w:rFonts w:ascii="Times New Roman" w:eastAsia="Arial" w:hAnsi="Times New Roman" w:cs="Times New Roman"/>
          <w:sz w:val="22"/>
          <w:szCs w:val="22"/>
        </w:rPr>
        <w:t xml:space="preserve">Nuche-Berenguer, B., Kupfer, L.E., 2018. Readiness of Sub-Saharan Africa Healthcare Systems for the New Pandemic, Diabetes: A Systematic Review. </w:t>
      </w:r>
      <w:r w:rsidRPr="005E5F73">
        <w:rPr>
          <w:rFonts w:ascii="Times New Roman" w:eastAsia="Arial" w:hAnsi="Times New Roman" w:cs="Times New Roman"/>
          <w:sz w:val="22"/>
          <w:szCs w:val="22"/>
          <w:lang w:val="es-US"/>
        </w:rPr>
        <w:t>J. Diabetes Res. 2018, e9262395. https://doi.org/10.1155/2018/9262395</w:t>
      </w:r>
    </w:p>
    <w:p w14:paraId="27D3B7CB"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5E5F73">
        <w:rPr>
          <w:rFonts w:ascii="Times New Roman" w:eastAsia="Arial" w:hAnsi="Times New Roman" w:cs="Times New Roman"/>
          <w:sz w:val="22"/>
          <w:szCs w:val="22"/>
          <w:lang w:val="es-US"/>
        </w:rPr>
        <w:t xml:space="preserve">Ojuka, E.O., Goyaram, V., 2014. </w:t>
      </w:r>
      <w:r w:rsidRPr="000D05DB">
        <w:rPr>
          <w:rFonts w:ascii="Times New Roman" w:eastAsia="Arial" w:hAnsi="Times New Roman" w:cs="Times New Roman"/>
          <w:sz w:val="22"/>
          <w:szCs w:val="22"/>
        </w:rPr>
        <w:t>Increasing Prevalence of Type 2 Diabetes in Sub-Saharan Africa: Not Only a Case of Inadequate Physical Activity. https://doi.org/10.1159/000357333</w:t>
      </w:r>
    </w:p>
    <w:p w14:paraId="003E9EB9"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Okafor, C.N., Onyenekwe, C.C., Okonkwo, U.P., Umunnah, J.O., Okoro, C.C., Mbanuzuru, A.V., Agunwah, U.E., Odira, C.C., Makata, E.N., Nwankwo, C.M., 2023. Effect of Educational Intervention Program on Self-Efficacy of Individuals with Type 2 Diabetes Mellitus in South-East, Nigeria. Nutr. Metab. Insights 16, 11786388231181964. https://doi.org/10.1177/11786388231181965</w:t>
      </w:r>
    </w:p>
    <w:p w14:paraId="7D5BC69E"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lastRenderedPageBreak/>
        <w:t>Okoroafor, S.C., Christmals, C.D., 2023. Barriers, promoters, and strategies for improving task shifting and task sharing implementation in Nigeria: qualitative perspectives of policymakers. J. Glob. Health Rep. 7, e2023069. https://doi.org/10.29392/001c.88110</w:t>
      </w:r>
    </w:p>
    <w:p w14:paraId="44DF8A12"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Oluchina, S., 2022. The effectiveness of an education intervention based on self-care model on diabetes self-management behaviors and glycemic control. Int. J. Afr. Nurs. Sci. 17, 100505. https://doi.org/10.1016/j.ijans.2022.100505</w:t>
      </w:r>
    </w:p>
    <w:p w14:paraId="4EC0A157" w14:textId="56F1BD0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Onyango, E.M., Onyango, B.M., 2018. The Rise of Noncommunicable Diseases in Kenya: An Examination of the Time Trends and Contribution of the Changes in Diet and Physical Inactivity. J. Epidemiol. Glob. Health 8, 1–7. </w:t>
      </w:r>
      <w:hyperlink r:id="rId8" w:history="1">
        <w:r w:rsidR="00AE0C44" w:rsidRPr="000D05DB">
          <w:rPr>
            <w:rStyle w:val="Hyperlink"/>
            <w:rFonts w:ascii="Times New Roman" w:eastAsia="Arial" w:hAnsi="Times New Roman" w:cs="Times New Roman"/>
            <w:sz w:val="22"/>
            <w:szCs w:val="22"/>
          </w:rPr>
          <w:t>https://doi.org/10.2991/j.jegh.2017.11.004</w:t>
        </w:r>
      </w:hyperlink>
    </w:p>
    <w:p w14:paraId="7F20FD87" w14:textId="36CAFC15" w:rsidR="00AE0C44" w:rsidRPr="000D05DB" w:rsidRDefault="00AE0C44"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Owoade, A. O., Abdullateef, A., Adetutu, A., Adetutu, A., &amp; Olorunnisola, O. S. (2019). Codeine-mediated Haematoxicity, Hepatotoxicity and Nephrotoxicity in Male Albino Rats. </w:t>
      </w:r>
      <w:r w:rsidRPr="000D05DB">
        <w:rPr>
          <w:rFonts w:ascii="Times New Roman" w:eastAsia="Arial" w:hAnsi="Times New Roman" w:cs="Times New Roman"/>
          <w:i/>
          <w:iCs/>
          <w:sz w:val="22"/>
          <w:szCs w:val="22"/>
        </w:rPr>
        <w:t>Asian Journal of Research in Medical and Pharmaceutical Sciences</w:t>
      </w:r>
      <w:r w:rsidRPr="000D05DB">
        <w:rPr>
          <w:rFonts w:ascii="Times New Roman" w:eastAsia="Arial" w:hAnsi="Times New Roman" w:cs="Times New Roman"/>
          <w:sz w:val="22"/>
          <w:szCs w:val="22"/>
        </w:rPr>
        <w:t>, 1–10. https://doi.org/10.9734/ajrimps/2019/v6i330102</w:t>
      </w:r>
    </w:p>
    <w:p w14:paraId="4EFA676A"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5E5F73">
        <w:rPr>
          <w:rFonts w:ascii="Times New Roman" w:eastAsia="Arial" w:hAnsi="Times New Roman" w:cs="Times New Roman"/>
          <w:sz w:val="22"/>
          <w:szCs w:val="22"/>
          <w:lang w:val="es-US"/>
        </w:rPr>
        <w:t xml:space="preserve">Panunzi, S., Carlsson, L., De Gaetano, A., Peltonen, M., Rice, T., Sjöström, L., Mingrone, G., Dixon, J.B., 2016. </w:t>
      </w:r>
      <w:r w:rsidRPr="000D05DB">
        <w:rPr>
          <w:rFonts w:ascii="Times New Roman" w:eastAsia="Arial" w:hAnsi="Times New Roman" w:cs="Times New Roman"/>
          <w:sz w:val="22"/>
          <w:szCs w:val="22"/>
        </w:rPr>
        <w:t>Determinants of Diabetes Remission and Glycemic Control After Bariatric Surgery. Diabetes Care 39, 166–174. https://doi.org/10.2337/dc15-0575</w:t>
      </w:r>
    </w:p>
    <w:p w14:paraId="775E1B0E"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Qi, L., Liu, Q., Qi, X., Wu, N., Tang, W., Xiong, H., 2015. Effectiveness of peer support for improving glycaemic control in patients with type 2 diabetes: a meta-analysis of randomized controlled trials. BMC Public Health 15, 471. https://doi.org/10.1186/s12889-015-1798-y</w:t>
      </w:r>
    </w:p>
    <w:p w14:paraId="7040E836"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Rifkin, S.B., 2018. Alma Ata after 40 years: Primary Health Care and Health for All—from consensus to complexity. BMJ Glob. Health 3, e001188. https://doi.org/10.1136/bmjgh-2018-001188</w:t>
      </w:r>
    </w:p>
    <w:p w14:paraId="051950D6"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Rodriguez, B.S.Q., Mahdy, H., 2023. Gestational Diabetes, in: StatPearls [Internet]. StatPearls Publishing.</w:t>
      </w:r>
    </w:p>
    <w:p w14:paraId="373EE6E7"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Saeedi, P., Petersohn, I., Salpea, P., Malanda, B., Karuranga, S., Unwin, N., Colagiuri, S., Guariguata, L., Motala, A.A., Ogurtsova, K., Shaw, J.E., Bright, D., Williams, R., IDF Diabetes Atlas Committee, 2019. Global and regional diabetes prevalence estimates for 2019 and projections for 2030 and 2045: Results from the International Diabetes Federation Diabetes Atlas, 9th edition. Diabetes Res. Clin. Pract. 157, 107843. https://doi.org/10.1016/j.diabres.2019.107843</w:t>
      </w:r>
    </w:p>
    <w:p w14:paraId="032CF880" w14:textId="78BCCE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Sampath Kumar, A., Maiya, A.G., Shastry, B.A., Vaishali, K., Ravishankar, N., Hazari, A., Gundmi, S., Jadhav, R., 2019. Exercise and insulin resistance in type 2 diabetes mellitus: A systematic review and meta-analysis. Ann. Phys. Rehabil. Med. 62, 98–103. </w:t>
      </w:r>
      <w:hyperlink r:id="rId9" w:history="1">
        <w:r w:rsidR="00B324A8" w:rsidRPr="000D05DB">
          <w:rPr>
            <w:rStyle w:val="Hyperlink"/>
            <w:rFonts w:ascii="Times New Roman" w:eastAsia="Arial" w:hAnsi="Times New Roman" w:cs="Times New Roman"/>
            <w:sz w:val="22"/>
            <w:szCs w:val="22"/>
          </w:rPr>
          <w:t>https://doi.org/10.1016/j.rehab.2018.11.001</w:t>
        </w:r>
      </w:hyperlink>
    </w:p>
    <w:p w14:paraId="70C6AD63" w14:textId="6FC73908" w:rsidR="00B324A8" w:rsidRPr="000D05DB" w:rsidRDefault="00B324A8"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Shoge, M., Abdullateef, A., Ozioko, E. N., Muhammad, A., &amp; Lawal, H. A. (2021). Evaluation of Heavy Metals and Antimicrobial Efficacy of Four Hand Sanitizers Used during COVID-19 in AFIT , Kaduna . </w:t>
      </w:r>
      <w:r w:rsidRPr="000D05DB">
        <w:rPr>
          <w:rFonts w:ascii="Times New Roman" w:eastAsia="Arial" w:hAnsi="Times New Roman" w:cs="Times New Roman"/>
          <w:i/>
          <w:iCs/>
          <w:sz w:val="22"/>
          <w:szCs w:val="22"/>
        </w:rPr>
        <w:t>The International Journal of Engineering and Science (IJES)</w:t>
      </w:r>
      <w:r w:rsidRPr="000D05DB">
        <w:rPr>
          <w:rFonts w:ascii="Times New Roman" w:eastAsia="Arial" w:hAnsi="Times New Roman" w:cs="Times New Roman"/>
          <w:sz w:val="22"/>
          <w:szCs w:val="22"/>
        </w:rPr>
        <w:t>, </w:t>
      </w:r>
      <w:r w:rsidRPr="000D05DB">
        <w:rPr>
          <w:rFonts w:ascii="Times New Roman" w:eastAsia="Arial" w:hAnsi="Times New Roman" w:cs="Times New Roman"/>
          <w:i/>
          <w:iCs/>
          <w:sz w:val="22"/>
          <w:szCs w:val="22"/>
        </w:rPr>
        <w:t>1</w:t>
      </w:r>
      <w:r w:rsidRPr="000D05DB">
        <w:rPr>
          <w:rFonts w:ascii="Times New Roman" w:eastAsia="Arial" w:hAnsi="Times New Roman" w:cs="Times New Roman"/>
          <w:sz w:val="22"/>
          <w:szCs w:val="22"/>
        </w:rPr>
        <w:t>(1), 24–27.</w:t>
      </w:r>
    </w:p>
    <w:p w14:paraId="6F45EC09" w14:textId="28D24E65" w:rsidR="00B46C1C"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lastRenderedPageBreak/>
        <w:t xml:space="preserve">Smith, K.A., Pinxteren, M.V., Mbokazi, N., Majikela-Dlangamandla, B., Delobelle, P., Levitt, N., McGrath, N., 2023. Intervention development of ‘Diabetes Together’ using the person-based approach: a couples-focused intervention to support self-management of type 2 diabetes in South Africa. BMJ Open 13, e069982. </w:t>
      </w:r>
      <w:hyperlink r:id="rId10" w:history="1">
        <w:r w:rsidR="00100BBE" w:rsidRPr="00425C7A">
          <w:rPr>
            <w:rStyle w:val="Hyperlink"/>
            <w:rFonts w:ascii="Times New Roman" w:eastAsia="Arial" w:hAnsi="Times New Roman" w:cs="Times New Roman"/>
            <w:sz w:val="22"/>
            <w:szCs w:val="22"/>
          </w:rPr>
          <w:t>https://doi.org/10.1136/bmjopen-2022-069982</w:t>
        </w:r>
      </w:hyperlink>
    </w:p>
    <w:p w14:paraId="7BB0B945" w14:textId="05235371" w:rsidR="00100BBE" w:rsidRPr="000D05DB" w:rsidRDefault="00100BBE"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100BBE">
        <w:rPr>
          <w:rFonts w:ascii="Times New Roman" w:eastAsia="Arial" w:hAnsi="Times New Roman" w:cs="Times New Roman"/>
          <w:sz w:val="22"/>
          <w:szCs w:val="22"/>
        </w:rPr>
        <w:t>Soori, H., Abdullateef, A., Mashood, L. O., &amp; Apietu, K. A. (2025). A Case Series Analysis of 1200 Breast Cancer Patients with 12 Years Follow-Up from a Single Hospital in Iran. </w:t>
      </w:r>
      <w:r w:rsidRPr="00100BBE">
        <w:rPr>
          <w:rFonts w:ascii="Times New Roman" w:eastAsia="Arial" w:hAnsi="Times New Roman" w:cs="Times New Roman"/>
          <w:i/>
          <w:iCs/>
          <w:sz w:val="22"/>
          <w:szCs w:val="22"/>
        </w:rPr>
        <w:t>Indian Journal of Surgery</w:t>
      </w:r>
      <w:r w:rsidRPr="00100BBE">
        <w:rPr>
          <w:rFonts w:ascii="Times New Roman" w:eastAsia="Arial" w:hAnsi="Times New Roman" w:cs="Times New Roman"/>
          <w:sz w:val="22"/>
          <w:szCs w:val="22"/>
        </w:rPr>
        <w:t>. https://doi.org/10.1007/s12262-025-04352-6</w:t>
      </w:r>
    </w:p>
    <w:p w14:paraId="687D158C"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Takenga, C., Berndt, R.-D., Musongya, O., Kitero, J., Katoke, R., Molo, K., Kazingufu, B., Meni, M., Vikandy, M., Takenga, H., 2014. An ICT-Based Diabetes Management System Tested for Health Care Delivery in the African Context. Int. J. Telemed. Appl. 2014, e437307. https://doi.org/10.1155/2014/437307</w:t>
      </w:r>
    </w:p>
    <w:p w14:paraId="21B08B94"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Theuri, A.W., Makokha, A., Kyallo, F., Gichure, J.N., 2023. Effect of using mobile phone communication on dietary management of Type 2 Diabetes Mellitus patients in Kenya. J. Diabetes Metab. Disord. 22, 367–374. https://doi.org/10.1007/s40200-022-01153-6</w:t>
      </w:r>
    </w:p>
    <w:p w14:paraId="0CE77FF1"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Timpel, P., Harst, L., Reifegerste, D., Weihrauch-Blüher, S., Schwarz, P.E.H., 2019. What should governments be doing to prevent diabetes throughout the life course? Diabetologia 62, 1842–1853. https://doi.org/10.1007/s00125-019-4941-y</w:t>
      </w:r>
    </w:p>
    <w:p w14:paraId="2823E57E"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Victor-ikoh, M., 2022. Existential Risk Prediction Models for Diabetes Mellitus. Br. J. Comput. Netw. Inf. Technol. 5, 144–157. https://doi.org/10.52589/BJCNIT-PM3CRE7I</w:t>
      </w:r>
    </w:p>
    <w:p w14:paraId="0427DB4F"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Wargny, M., Kleinebreil, L., Diop, S.N., Ndour-Mbaye, M., Ba, M., Balkau, B., Simon, D., 2018. SMS-based intervention in type 2 diabetes: clinical trial in Senegal. BMJ Innov. 4. https://doi.org/10.1136/bmjinnov-2018-000278</w:t>
      </w:r>
    </w:p>
    <w:p w14:paraId="08151296"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Whittington, M.D., Goggin, K., Tsolekile, L., Puoane, T., Fox, A.T., Resnicow, K., Fleming, K.K., Smyth, J.M., Materia, F.T., Hurley, E.A., Vitolins, M.Z., Lambert, E.V., Levitt, N.S., Catley, D., 2023. Cost-effectiveness of Lifestyle Africa: an adaptation of the diabetes prevention programme for delivery by community health workers in urban South Africa. Glob. Health Action 16, 2212952. https://doi.org/10.1080/16549716.2023.2212952</w:t>
      </w:r>
    </w:p>
    <w:p w14:paraId="2B76B067" w14:textId="77777777" w:rsidR="00B46C1C" w:rsidRPr="000D05DB" w:rsidRDefault="00B46C1C" w:rsidP="00B46C1C">
      <w:pP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World Health Organization (WHO), 2020, COVID-19 significantly impacts health services for noncommunicable diseases, Who.int, World Health Organization: WHO, viewed 9 September 2023, &lt;https://www.who.int/news/item/01-06-2020-covid-19-significantly-impacts-health-services-for-noncommunicable-diseases&gt;.</w:t>
      </w:r>
    </w:p>
    <w:p w14:paraId="035A23D5" w14:textId="77777777" w:rsidR="00B46C1C" w:rsidRPr="000D05DB" w:rsidRDefault="00B46C1C" w:rsidP="00B46C1C">
      <w:pPr>
        <w:spacing w:after="0" w:line="360" w:lineRule="auto"/>
        <w:ind w:left="720" w:hanging="720"/>
        <w:jc w:val="both"/>
        <w:rPr>
          <w:rFonts w:ascii="Times New Roman" w:hAnsi="Times New Roman" w:cs="Times New Roman"/>
          <w:sz w:val="22"/>
          <w:szCs w:val="22"/>
        </w:rPr>
      </w:pPr>
      <w:r w:rsidRPr="000D05DB">
        <w:rPr>
          <w:rFonts w:ascii="Times New Roman" w:eastAsia="Arial" w:hAnsi="Times New Roman" w:cs="Times New Roman"/>
          <w:sz w:val="22"/>
          <w:szCs w:val="22"/>
        </w:rPr>
        <w:t>World Health Organization (WHO), 2022. African region tops world in undiagnosed diabetes: WHO analysis 2022, WHO | Regional Office for Africa, viewed 10 September 2023, &lt;https://www.afro.who.int/news/african-region-tops-world-undiagnosed-diabetes-who-analysis&gt;.</w:t>
      </w:r>
    </w:p>
    <w:p w14:paraId="341D4FA3" w14:textId="77777777" w:rsidR="00B46C1C" w:rsidRDefault="00B46C1C" w:rsidP="00B46C1C">
      <w:pPr>
        <w:pBdr>
          <w:top w:val="nil"/>
          <w:left w:val="nil"/>
          <w:bottom w:val="nil"/>
          <w:right w:val="nil"/>
          <w:between w:val="nil"/>
        </w:pBdr>
        <w:spacing w:after="0" w:line="360" w:lineRule="auto"/>
        <w:ind w:left="720" w:hanging="720"/>
        <w:jc w:val="both"/>
      </w:pPr>
      <w:r w:rsidRPr="000D05DB">
        <w:rPr>
          <w:rFonts w:ascii="Times New Roman" w:eastAsia="Arial" w:hAnsi="Times New Roman" w:cs="Times New Roman"/>
          <w:sz w:val="22"/>
          <w:szCs w:val="22"/>
        </w:rPr>
        <w:lastRenderedPageBreak/>
        <w:t xml:space="preserve">Zhang, X., Yang, S., Sun, K., Fisher, E.B., Sun, X., 2016. How to achieve better effect of peer support among adults with type 2 diabetes: A meta-analysis of randomized clinical trials. Patient Educ. Couns. 99, 186–197. </w:t>
      </w:r>
      <w:hyperlink r:id="rId11" w:history="1">
        <w:r w:rsidRPr="000D05DB">
          <w:rPr>
            <w:rStyle w:val="Hyperlink"/>
            <w:rFonts w:ascii="Times New Roman" w:eastAsia="Arial" w:hAnsi="Times New Roman" w:cs="Times New Roman"/>
            <w:sz w:val="22"/>
            <w:szCs w:val="22"/>
          </w:rPr>
          <w:t>https://doi.org/10.1016/j.pec.2015.09.006</w:t>
        </w:r>
      </w:hyperlink>
    </w:p>
    <w:p w14:paraId="11019771" w14:textId="13022F35" w:rsidR="004319CD" w:rsidRDefault="004319CD"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B7432E">
        <w:rPr>
          <w:rFonts w:ascii="Times New Roman" w:eastAsia="Arial" w:hAnsi="Times New Roman" w:cs="Times New Roman"/>
          <w:sz w:val="22"/>
          <w:szCs w:val="22"/>
          <w:highlight w:val="yellow"/>
          <w:lang w:val="es-US"/>
        </w:rPr>
        <w:t xml:space="preserve">Ajjan, R. A., Battelino, T., Cos, X., Del Prato, S., Philips, J. C., Meyer, L., ... </w:t>
      </w:r>
      <w:r w:rsidRPr="00B7432E">
        <w:rPr>
          <w:rFonts w:ascii="Times New Roman" w:eastAsia="Arial" w:hAnsi="Times New Roman" w:cs="Times New Roman"/>
          <w:sz w:val="22"/>
          <w:szCs w:val="22"/>
          <w:highlight w:val="yellow"/>
        </w:rPr>
        <w:t>&amp; Seidu, S. (2024). Continuous glucose monitoring for the routine care of type 2 diabetes mellitus. </w:t>
      </w:r>
      <w:r w:rsidRPr="00B7432E">
        <w:rPr>
          <w:rFonts w:ascii="Times New Roman" w:eastAsia="Arial" w:hAnsi="Times New Roman" w:cs="Times New Roman"/>
          <w:i/>
          <w:iCs/>
          <w:sz w:val="22"/>
          <w:szCs w:val="22"/>
          <w:highlight w:val="yellow"/>
        </w:rPr>
        <w:t>Nature Reviews Endocrinology</w:t>
      </w:r>
      <w:r w:rsidRPr="00B7432E">
        <w:rPr>
          <w:rFonts w:ascii="Times New Roman" w:eastAsia="Arial" w:hAnsi="Times New Roman" w:cs="Times New Roman"/>
          <w:sz w:val="22"/>
          <w:szCs w:val="22"/>
          <w:highlight w:val="yellow"/>
        </w:rPr>
        <w:t>, </w:t>
      </w:r>
      <w:r w:rsidRPr="00B7432E">
        <w:rPr>
          <w:rFonts w:ascii="Times New Roman" w:eastAsia="Arial" w:hAnsi="Times New Roman" w:cs="Times New Roman"/>
          <w:i/>
          <w:iCs/>
          <w:sz w:val="22"/>
          <w:szCs w:val="22"/>
          <w:highlight w:val="yellow"/>
        </w:rPr>
        <w:t>20</w:t>
      </w:r>
      <w:r w:rsidRPr="00B7432E">
        <w:rPr>
          <w:rFonts w:ascii="Times New Roman" w:eastAsia="Arial" w:hAnsi="Times New Roman" w:cs="Times New Roman"/>
          <w:sz w:val="22"/>
          <w:szCs w:val="22"/>
          <w:highlight w:val="yellow"/>
        </w:rPr>
        <w:t>(7), 426-440.</w:t>
      </w:r>
    </w:p>
    <w:p w14:paraId="7ACF4261" w14:textId="617CC1DC" w:rsidR="00361BA8" w:rsidRDefault="00361BA8"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B7432E">
        <w:rPr>
          <w:rFonts w:ascii="Times New Roman" w:eastAsia="Arial" w:hAnsi="Times New Roman" w:cs="Times New Roman"/>
          <w:sz w:val="22"/>
          <w:szCs w:val="22"/>
          <w:highlight w:val="yellow"/>
        </w:rPr>
        <w:t>Cunningham, A. L., Stephens, J. W., &amp; Harris, D. A. (2021). Gut microbiota influence in type 2 diabetes mellitus (T2DM). </w:t>
      </w:r>
      <w:r w:rsidRPr="00B7432E">
        <w:rPr>
          <w:rFonts w:ascii="Times New Roman" w:eastAsia="Arial" w:hAnsi="Times New Roman" w:cs="Times New Roman"/>
          <w:i/>
          <w:iCs/>
          <w:sz w:val="22"/>
          <w:szCs w:val="22"/>
          <w:highlight w:val="yellow"/>
        </w:rPr>
        <w:t>Gut pathogens</w:t>
      </w:r>
      <w:r w:rsidRPr="00B7432E">
        <w:rPr>
          <w:rFonts w:ascii="Times New Roman" w:eastAsia="Arial" w:hAnsi="Times New Roman" w:cs="Times New Roman"/>
          <w:sz w:val="22"/>
          <w:szCs w:val="22"/>
          <w:highlight w:val="yellow"/>
        </w:rPr>
        <w:t>, </w:t>
      </w:r>
      <w:r w:rsidRPr="00B7432E">
        <w:rPr>
          <w:rFonts w:ascii="Times New Roman" w:eastAsia="Arial" w:hAnsi="Times New Roman" w:cs="Times New Roman"/>
          <w:i/>
          <w:iCs/>
          <w:sz w:val="22"/>
          <w:szCs w:val="22"/>
          <w:highlight w:val="yellow"/>
        </w:rPr>
        <w:t>13</w:t>
      </w:r>
      <w:r w:rsidRPr="00B7432E">
        <w:rPr>
          <w:rFonts w:ascii="Times New Roman" w:eastAsia="Arial" w:hAnsi="Times New Roman" w:cs="Times New Roman"/>
          <w:sz w:val="22"/>
          <w:szCs w:val="22"/>
          <w:highlight w:val="yellow"/>
        </w:rPr>
        <w:t>(1), 50.</w:t>
      </w:r>
    </w:p>
    <w:p w14:paraId="09989464" w14:textId="7711F492" w:rsidR="00EC2E3D" w:rsidRDefault="00EC2E3D"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B7432E">
        <w:rPr>
          <w:rFonts w:ascii="Times New Roman" w:eastAsia="Arial" w:hAnsi="Times New Roman" w:cs="Times New Roman"/>
          <w:sz w:val="22"/>
          <w:szCs w:val="22"/>
          <w:highlight w:val="yellow"/>
        </w:rPr>
        <w:t>Affi, A., Shabbal, D., Solomon, M., Longwam, S. A., Lukdem, A., Selowo, T., &amp; Amusa, G. (2018). Prevalence of Type II Diabetes Mellitus (T2DM) and Risk Factors among Rural Farmers. </w:t>
      </w:r>
      <w:r w:rsidRPr="00B7432E">
        <w:rPr>
          <w:rFonts w:ascii="Times New Roman" w:eastAsia="Arial" w:hAnsi="Times New Roman" w:cs="Times New Roman"/>
          <w:i/>
          <w:iCs/>
          <w:sz w:val="22"/>
          <w:szCs w:val="22"/>
          <w:highlight w:val="yellow"/>
        </w:rPr>
        <w:t>Journal of Advances in Medicine and Medical Research</w:t>
      </w:r>
      <w:r w:rsidRPr="00B7432E">
        <w:rPr>
          <w:rFonts w:ascii="Times New Roman" w:eastAsia="Arial" w:hAnsi="Times New Roman" w:cs="Times New Roman"/>
          <w:sz w:val="22"/>
          <w:szCs w:val="22"/>
          <w:highlight w:val="yellow"/>
        </w:rPr>
        <w:t>, </w:t>
      </w:r>
      <w:r w:rsidRPr="00B7432E">
        <w:rPr>
          <w:rFonts w:ascii="Times New Roman" w:eastAsia="Arial" w:hAnsi="Times New Roman" w:cs="Times New Roman"/>
          <w:i/>
          <w:iCs/>
          <w:sz w:val="22"/>
          <w:szCs w:val="22"/>
          <w:highlight w:val="yellow"/>
        </w:rPr>
        <w:t>27</w:t>
      </w:r>
      <w:r w:rsidRPr="00B7432E">
        <w:rPr>
          <w:rFonts w:ascii="Times New Roman" w:eastAsia="Arial" w:hAnsi="Times New Roman" w:cs="Times New Roman"/>
          <w:sz w:val="22"/>
          <w:szCs w:val="22"/>
          <w:highlight w:val="yellow"/>
        </w:rPr>
        <w:t>(12), 1–7.</w:t>
      </w:r>
    </w:p>
    <w:p w14:paraId="4E703FB9" w14:textId="77777777" w:rsidR="00EC2E3D" w:rsidRDefault="00EC2E3D"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p>
    <w:p w14:paraId="7AC2625B" w14:textId="77777777" w:rsidR="00361BA8" w:rsidRDefault="00361BA8"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p>
    <w:p w14:paraId="2397FBC4" w14:textId="77777777" w:rsidR="004319CD" w:rsidRDefault="004319CD"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p>
    <w:p w14:paraId="5BDBBE87" w14:textId="77777777" w:rsidR="004319CD" w:rsidRPr="000D05DB" w:rsidRDefault="004319CD"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p>
    <w:p w14:paraId="6A77E05B" w14:textId="37CA6230" w:rsidR="00221DAB" w:rsidRPr="000D05DB" w:rsidRDefault="00221DAB" w:rsidP="00B46C1C">
      <w:pPr>
        <w:jc w:val="both"/>
        <w:rPr>
          <w:rFonts w:ascii="Times New Roman" w:eastAsia="Arial" w:hAnsi="Times New Roman" w:cs="Times New Roman"/>
          <w:b/>
          <w:sz w:val="22"/>
          <w:szCs w:val="22"/>
        </w:rPr>
      </w:pPr>
      <w:r w:rsidRPr="000D05DB">
        <w:rPr>
          <w:rFonts w:ascii="Times New Roman" w:hAnsi="Times New Roman" w:cs="Times New Roman"/>
          <w:sz w:val="22"/>
          <w:szCs w:val="22"/>
        </w:rPr>
        <w:br w:type="page"/>
      </w:r>
    </w:p>
    <w:p w14:paraId="7DB5D9D8" w14:textId="77777777" w:rsidR="00221DAB" w:rsidRPr="000D05DB" w:rsidRDefault="00221DAB" w:rsidP="001C50BE">
      <w:pPr>
        <w:jc w:val="both"/>
        <w:rPr>
          <w:rFonts w:ascii="Times New Roman" w:hAnsi="Times New Roman" w:cs="Times New Roman"/>
          <w:b/>
          <w:bCs/>
          <w:sz w:val="22"/>
          <w:szCs w:val="22"/>
        </w:rPr>
      </w:pPr>
    </w:p>
    <w:sectPr w:rsidR="00221DAB" w:rsidRPr="000D05D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664EB" w14:textId="77777777" w:rsidR="00925B99" w:rsidRDefault="00925B99" w:rsidP="00DA4E43">
      <w:pPr>
        <w:spacing w:after="0" w:line="240" w:lineRule="auto"/>
      </w:pPr>
      <w:r>
        <w:separator/>
      </w:r>
    </w:p>
  </w:endnote>
  <w:endnote w:type="continuationSeparator" w:id="0">
    <w:p w14:paraId="050FAAE7" w14:textId="77777777" w:rsidR="00925B99" w:rsidRDefault="00925B99" w:rsidP="00DA4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EBADE" w14:textId="77777777" w:rsidR="00DA4E43" w:rsidRDefault="00DA4E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80D2C" w14:textId="77777777" w:rsidR="00DA4E43" w:rsidRDefault="00DA4E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D044F" w14:textId="77777777" w:rsidR="00DA4E43" w:rsidRDefault="00DA4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0608A" w14:textId="77777777" w:rsidR="00925B99" w:rsidRDefault="00925B99" w:rsidP="00DA4E43">
      <w:pPr>
        <w:spacing w:after="0" w:line="240" w:lineRule="auto"/>
      </w:pPr>
      <w:r>
        <w:separator/>
      </w:r>
    </w:p>
  </w:footnote>
  <w:footnote w:type="continuationSeparator" w:id="0">
    <w:p w14:paraId="72BECA39" w14:textId="77777777" w:rsidR="00925B99" w:rsidRDefault="00925B99" w:rsidP="00DA4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54E13" w14:textId="6DBAD2FA" w:rsidR="00DA4E43" w:rsidRDefault="00000000">
    <w:pPr>
      <w:pStyle w:val="Header"/>
    </w:pPr>
    <w:r>
      <w:rPr>
        <w:noProof/>
      </w:rPr>
      <w:pict w14:anchorId="2AD2A2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37450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D8374" w14:textId="59674980" w:rsidR="00DA4E43" w:rsidRDefault="00000000">
    <w:pPr>
      <w:pStyle w:val="Header"/>
    </w:pPr>
    <w:r>
      <w:rPr>
        <w:noProof/>
      </w:rPr>
      <w:pict w14:anchorId="74B4DB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37450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5BEED" w14:textId="13D24270" w:rsidR="00DA4E43" w:rsidRDefault="00000000">
    <w:pPr>
      <w:pStyle w:val="Header"/>
    </w:pPr>
    <w:r>
      <w:rPr>
        <w:noProof/>
      </w:rPr>
      <w:pict w14:anchorId="001DD7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37450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15CC9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3"/>
    <w:multiLevelType w:val="multilevel"/>
    <w:tmpl w:val="592AFD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0000005"/>
    <w:multiLevelType w:val="hybridMultilevel"/>
    <w:tmpl w:val="000000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num w:numId="1" w16cid:durableId="858546844">
    <w:abstractNumId w:val="0"/>
  </w:num>
  <w:num w:numId="2" w16cid:durableId="1592811958">
    <w:abstractNumId w:val="2"/>
  </w:num>
  <w:num w:numId="3" w16cid:durableId="1240020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c0sDCxMDK1NDUwMDRR0lEKTi0uzszPAykwqgUAkHSOKSwAAAA="/>
  </w:docVars>
  <w:rsids>
    <w:rsidRoot w:val="00D50CC8"/>
    <w:rsid w:val="000112BB"/>
    <w:rsid w:val="00011CB2"/>
    <w:rsid w:val="00032F7A"/>
    <w:rsid w:val="00057BF2"/>
    <w:rsid w:val="000D05DB"/>
    <w:rsid w:val="000E153E"/>
    <w:rsid w:val="000E394D"/>
    <w:rsid w:val="00100BBE"/>
    <w:rsid w:val="0011424D"/>
    <w:rsid w:val="001C50BE"/>
    <w:rsid w:val="00202371"/>
    <w:rsid w:val="00212ABF"/>
    <w:rsid w:val="00221DAB"/>
    <w:rsid w:val="002450AA"/>
    <w:rsid w:val="00246145"/>
    <w:rsid w:val="00246184"/>
    <w:rsid w:val="00296EFE"/>
    <w:rsid w:val="00361BA8"/>
    <w:rsid w:val="003B45B6"/>
    <w:rsid w:val="004319CD"/>
    <w:rsid w:val="00441686"/>
    <w:rsid w:val="00483E5B"/>
    <w:rsid w:val="004C17BC"/>
    <w:rsid w:val="004F4C8A"/>
    <w:rsid w:val="005029BF"/>
    <w:rsid w:val="0051129C"/>
    <w:rsid w:val="005451B1"/>
    <w:rsid w:val="00546194"/>
    <w:rsid w:val="005919AE"/>
    <w:rsid w:val="005A3021"/>
    <w:rsid w:val="005E5F73"/>
    <w:rsid w:val="00622E65"/>
    <w:rsid w:val="006C487E"/>
    <w:rsid w:val="00716F6D"/>
    <w:rsid w:val="00751BE8"/>
    <w:rsid w:val="00760BE4"/>
    <w:rsid w:val="007931F7"/>
    <w:rsid w:val="00912E91"/>
    <w:rsid w:val="00915217"/>
    <w:rsid w:val="00925B99"/>
    <w:rsid w:val="00992BE7"/>
    <w:rsid w:val="00A460AA"/>
    <w:rsid w:val="00A64807"/>
    <w:rsid w:val="00AC712A"/>
    <w:rsid w:val="00AE0C44"/>
    <w:rsid w:val="00AF21C2"/>
    <w:rsid w:val="00B3036D"/>
    <w:rsid w:val="00B324A8"/>
    <w:rsid w:val="00B46C1C"/>
    <w:rsid w:val="00B7432E"/>
    <w:rsid w:val="00BC6AD7"/>
    <w:rsid w:val="00BF5DFE"/>
    <w:rsid w:val="00C36943"/>
    <w:rsid w:val="00C513A7"/>
    <w:rsid w:val="00D50CC8"/>
    <w:rsid w:val="00D7577B"/>
    <w:rsid w:val="00DA4E43"/>
    <w:rsid w:val="00DC0575"/>
    <w:rsid w:val="00DD47C9"/>
    <w:rsid w:val="00DE0A58"/>
    <w:rsid w:val="00E20464"/>
    <w:rsid w:val="00E51268"/>
    <w:rsid w:val="00EC2E3D"/>
    <w:rsid w:val="00F75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6D7C0"/>
  <w15:chartTrackingRefBased/>
  <w15:docId w15:val="{0A06721F-8AAD-413B-8A2D-03D125E85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0C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50C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50C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50C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50C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50C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0C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0C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0C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C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0C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0C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0C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50C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50C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0C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0C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0CC8"/>
    <w:rPr>
      <w:rFonts w:eastAsiaTheme="majorEastAsia" w:cstheme="majorBidi"/>
      <w:color w:val="272727" w:themeColor="text1" w:themeTint="D8"/>
    </w:rPr>
  </w:style>
  <w:style w:type="paragraph" w:styleId="Title">
    <w:name w:val="Title"/>
    <w:basedOn w:val="Normal"/>
    <w:next w:val="Normal"/>
    <w:link w:val="TitleChar"/>
    <w:uiPriority w:val="10"/>
    <w:qFormat/>
    <w:rsid w:val="00D50C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0C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0C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0C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0CC8"/>
    <w:pPr>
      <w:spacing w:before="160"/>
      <w:jc w:val="center"/>
    </w:pPr>
    <w:rPr>
      <w:i/>
      <w:iCs/>
      <w:color w:val="404040" w:themeColor="text1" w:themeTint="BF"/>
    </w:rPr>
  </w:style>
  <w:style w:type="character" w:customStyle="1" w:styleId="QuoteChar">
    <w:name w:val="Quote Char"/>
    <w:basedOn w:val="DefaultParagraphFont"/>
    <w:link w:val="Quote"/>
    <w:uiPriority w:val="29"/>
    <w:rsid w:val="00D50CC8"/>
    <w:rPr>
      <w:i/>
      <w:iCs/>
      <w:color w:val="404040" w:themeColor="text1" w:themeTint="BF"/>
    </w:rPr>
  </w:style>
  <w:style w:type="paragraph" w:styleId="ListParagraph">
    <w:name w:val="List Paragraph"/>
    <w:basedOn w:val="Normal"/>
    <w:qFormat/>
    <w:rsid w:val="00D50CC8"/>
    <w:pPr>
      <w:ind w:left="720"/>
      <w:contextualSpacing/>
    </w:pPr>
  </w:style>
  <w:style w:type="character" w:styleId="IntenseEmphasis">
    <w:name w:val="Intense Emphasis"/>
    <w:basedOn w:val="DefaultParagraphFont"/>
    <w:uiPriority w:val="21"/>
    <w:qFormat/>
    <w:rsid w:val="00D50CC8"/>
    <w:rPr>
      <w:i/>
      <w:iCs/>
      <w:color w:val="2F5496" w:themeColor="accent1" w:themeShade="BF"/>
    </w:rPr>
  </w:style>
  <w:style w:type="paragraph" w:styleId="IntenseQuote">
    <w:name w:val="Intense Quote"/>
    <w:basedOn w:val="Normal"/>
    <w:next w:val="Normal"/>
    <w:link w:val="IntenseQuoteChar"/>
    <w:uiPriority w:val="30"/>
    <w:qFormat/>
    <w:rsid w:val="00D50C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50CC8"/>
    <w:rPr>
      <w:i/>
      <w:iCs/>
      <w:color w:val="2F5496" w:themeColor="accent1" w:themeShade="BF"/>
    </w:rPr>
  </w:style>
  <w:style w:type="character" w:styleId="IntenseReference">
    <w:name w:val="Intense Reference"/>
    <w:basedOn w:val="DefaultParagraphFont"/>
    <w:uiPriority w:val="32"/>
    <w:qFormat/>
    <w:rsid w:val="00D50CC8"/>
    <w:rPr>
      <w:b/>
      <w:bCs/>
      <w:smallCaps/>
      <w:color w:val="2F5496" w:themeColor="accent1" w:themeShade="BF"/>
      <w:spacing w:val="5"/>
    </w:rPr>
  </w:style>
  <w:style w:type="character" w:styleId="Hyperlink">
    <w:name w:val="Hyperlink"/>
    <w:basedOn w:val="DefaultParagraphFont"/>
    <w:uiPriority w:val="99"/>
    <w:unhideWhenUsed/>
    <w:rsid w:val="005029BF"/>
    <w:rPr>
      <w:color w:val="0563C1" w:themeColor="hyperlink"/>
      <w:u w:val="single"/>
    </w:rPr>
  </w:style>
  <w:style w:type="character" w:styleId="UnresolvedMention">
    <w:name w:val="Unresolved Mention"/>
    <w:basedOn w:val="DefaultParagraphFont"/>
    <w:uiPriority w:val="99"/>
    <w:semiHidden/>
    <w:unhideWhenUsed/>
    <w:rsid w:val="005029BF"/>
    <w:rPr>
      <w:color w:val="605E5C"/>
      <w:shd w:val="clear" w:color="auto" w:fill="E1DFDD"/>
    </w:rPr>
  </w:style>
  <w:style w:type="paragraph" w:styleId="Header">
    <w:name w:val="header"/>
    <w:basedOn w:val="Normal"/>
    <w:link w:val="HeaderChar"/>
    <w:uiPriority w:val="99"/>
    <w:unhideWhenUsed/>
    <w:rsid w:val="00DA4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E43"/>
  </w:style>
  <w:style w:type="paragraph" w:styleId="Footer">
    <w:name w:val="footer"/>
    <w:basedOn w:val="Normal"/>
    <w:link w:val="FooterChar"/>
    <w:uiPriority w:val="99"/>
    <w:unhideWhenUsed/>
    <w:rsid w:val="00DA4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E43"/>
  </w:style>
  <w:style w:type="paragraph" w:styleId="Revision">
    <w:name w:val="Revision"/>
    <w:hidden/>
    <w:uiPriority w:val="99"/>
    <w:semiHidden/>
    <w:rsid w:val="005E5F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8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991/j.jegh.2017.11.00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pec.2015.09.006"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1136/bmjopen-2022-06998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16/j.rehab.2018.11.00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1090</TotalTime>
  <Pages>29</Pages>
  <Words>9592</Words>
  <Characters>58900</Characters>
  <Application>Microsoft Office Word</Application>
  <DocSecurity>0</DocSecurity>
  <Lines>892</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Abdulrahman Abdullateef</dc:creator>
  <cp:keywords/>
  <dc:description/>
  <cp:lastModifiedBy>Editor-17</cp:lastModifiedBy>
  <cp:revision>51</cp:revision>
  <dcterms:created xsi:type="dcterms:W3CDTF">2025-07-14T13:01:00Z</dcterms:created>
  <dcterms:modified xsi:type="dcterms:W3CDTF">2025-07-25T09:42:00Z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5f00a244-587e-4dd8-8336-2af1197080a7</vt:lpwstr>
  </property>
</Properties>
</file>