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1505">
      <w:pPr>
        <w:jc w:val="right"/>
        <w:rPr>
          <w:rFonts w:ascii="Arial" w:hAnsi="Arial" w:eastAsia="DengXian" w:cs="Arial"/>
          <w:b/>
          <w:bCs/>
          <w:sz w:val="36"/>
          <w:szCs w:val="36"/>
          <w:lang w:bidi="ar"/>
        </w:rPr>
      </w:pPr>
      <w:bookmarkStart w:id="0" w:name="_GoBack"/>
      <w:bookmarkEnd w:id="0"/>
      <w:r>
        <w:rPr>
          <w:rFonts w:ascii="Arial" w:hAnsi="Arial" w:eastAsia="DengXian" w:cs="Arial"/>
          <w:b/>
          <w:bCs/>
          <w:sz w:val="36"/>
          <w:szCs w:val="36"/>
          <w:lang w:bidi="ar"/>
        </w:rPr>
        <w:t xml:space="preserve">Evolving Autistic Behavior Patterns &amp; Mental Wellness </w:t>
      </w:r>
    </w:p>
    <w:p w14:paraId="690EA846">
      <w:pPr>
        <w:jc w:val="right"/>
        <w:rPr>
          <w:rFonts w:ascii="Arial" w:hAnsi="Arial" w:cs="Arial"/>
          <w:b/>
          <w:bCs/>
          <w:sz w:val="36"/>
          <w:szCs w:val="36"/>
        </w:rPr>
      </w:pPr>
      <w:r>
        <w:rPr>
          <w:rFonts w:ascii="Arial" w:hAnsi="Arial" w:eastAsia="DengXian" w:cs="Arial"/>
          <w:b/>
          <w:bCs/>
          <w:sz w:val="36"/>
          <w:szCs w:val="36"/>
          <w:lang w:bidi="ar"/>
        </w:rPr>
        <w:t>across the Lifespan: A 3-Core Experience Domain Perspective</w:t>
      </w:r>
    </w:p>
    <w:p w14:paraId="08C1BBDA">
      <w:pPr>
        <w:rPr>
          <w:rFonts w:ascii="Arial" w:hAnsi="Arial" w:cs="Arial"/>
          <w:sz w:val="24"/>
          <w:szCs w:val="24"/>
          <w:lang w:val="en-SG"/>
        </w:rPr>
      </w:pPr>
      <w:r>
        <w:rPr>
          <w:rFonts w:ascii="Arial" w:hAnsi="Arial" w:cs="Arial"/>
          <w:sz w:val="24"/>
          <w:szCs w:val="24"/>
          <w:lang w:val="en-SG"/>
        </w:rPr>
        <w:t xml:space="preserve"> </w:t>
      </w:r>
    </w:p>
    <w:p w14:paraId="1B8F444A">
      <w:pPr>
        <w:pBdr>
          <w:bottom w:val="single" w:color="auto" w:sz="12" w:space="0"/>
        </w:pBdr>
        <w:rPr>
          <w:rFonts w:ascii="Times New Roman" w:hAnsi="Times New Roman" w:cs="Times New Roman"/>
          <w:sz w:val="24"/>
          <w:szCs w:val="24"/>
          <w:lang w:val="en-SG"/>
        </w:rPr>
      </w:pPr>
    </w:p>
    <w:p w14:paraId="548AAED7">
      <w:pPr>
        <w:rPr>
          <w:rFonts w:ascii="Times New Roman" w:hAnsi="Times New Roman" w:cs="Times New Roman"/>
          <w:sz w:val="24"/>
          <w:szCs w:val="24"/>
          <w:lang w:val="en-SG"/>
        </w:rPr>
      </w:pPr>
    </w:p>
    <w:p w14:paraId="143075DC">
      <w:pPr>
        <w:pStyle w:val="48"/>
        <w:spacing w:after="0"/>
        <w:rPr>
          <w:rFonts w:ascii="Arial" w:hAnsi="Arial" w:cs="Arial"/>
        </w:rPr>
      </w:pPr>
      <w:r>
        <w:rPr>
          <w:rFonts w:ascii="Arial" w:hAnsi="Arial" w:cs="Arial"/>
        </w:rPr>
        <w:t xml:space="preserve">ABSTRACT </w:t>
      </w:r>
    </w:p>
    <w:p w14:paraId="59AFF887">
      <w:pPr>
        <w:pStyle w:val="48"/>
        <w:spacing w:after="0"/>
        <w:rPr>
          <w:rFonts w:ascii="Arial" w:hAnsi="Arial" w:cs="Aria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45E6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6F756549">
            <w:pPr>
              <w:keepNext w:val="0"/>
              <w:keepLines w:val="0"/>
              <w:widowControl/>
              <w:suppressLineNumbers w:val="0"/>
              <w:spacing w:before="0" w:beforeAutospacing="0" w:after="0" w:afterAutospacing="0"/>
              <w:ind w:left="0" w:right="0"/>
              <w:rPr>
                <w:rFonts w:hint="default" w:ascii="Arial" w:hAnsi="Arial" w:eastAsia="Calibri" w:cs="Arial"/>
              </w:rPr>
            </w:pPr>
            <w:r>
              <w:rPr>
                <w:rFonts w:hint="default" w:ascii="Arial" w:hAnsi="Arial" w:cs="Arial"/>
                <w:sz w:val="20"/>
                <w:szCs w:val="20"/>
              </w:rPr>
              <w:t>Th</w:t>
            </w:r>
            <w:r>
              <w:rPr>
                <w:rFonts w:hint="default" w:ascii="Arial" w:hAnsi="Arial" w:cs="Arial"/>
                <w:sz w:val="20"/>
                <w:szCs w:val="20"/>
                <w:lang w:val="en-SG"/>
              </w:rPr>
              <w:t>e aim of th</w:t>
            </w:r>
            <w:r>
              <w:rPr>
                <w:rFonts w:hint="default" w:ascii="Arial" w:hAnsi="Arial" w:cs="Arial"/>
                <w:sz w:val="20"/>
                <w:szCs w:val="20"/>
              </w:rPr>
              <w:t xml:space="preserve">is </w:t>
            </w:r>
            <w:r>
              <w:rPr>
                <w:rFonts w:hint="default" w:ascii="Arial" w:hAnsi="Arial" w:cs="Arial"/>
                <w:sz w:val="20"/>
                <w:szCs w:val="20"/>
                <w:lang w:val="en-SG"/>
              </w:rPr>
              <w:t xml:space="preserve">conceptual </w:t>
            </w:r>
            <w:r>
              <w:rPr>
                <w:rFonts w:hint="default" w:ascii="Arial" w:hAnsi="Arial" w:cs="Arial"/>
                <w:sz w:val="20"/>
                <w:szCs w:val="20"/>
              </w:rPr>
              <w:t xml:space="preserve">paper </w:t>
            </w:r>
            <w:r>
              <w:rPr>
                <w:rFonts w:hint="default" w:ascii="Arial" w:hAnsi="Arial" w:cs="Arial"/>
                <w:sz w:val="20"/>
                <w:szCs w:val="20"/>
                <w:lang w:val="en-SG"/>
              </w:rPr>
              <w:t xml:space="preserve">is to </w:t>
            </w:r>
            <w:r>
              <w:rPr>
                <w:rFonts w:hint="default" w:ascii="Arial" w:hAnsi="Arial" w:cs="Arial"/>
                <w:sz w:val="20"/>
                <w:szCs w:val="20"/>
              </w:rPr>
              <w:t xml:space="preserve">explore the </w:t>
            </w:r>
            <w:r>
              <w:rPr>
                <w:rFonts w:hint="default" w:ascii="Arial" w:hAnsi="Arial" w:cs="Arial"/>
                <w:sz w:val="20"/>
                <w:szCs w:val="20"/>
                <w:lang w:val="en-SG"/>
              </w:rPr>
              <w:t xml:space="preserve">gradual </w:t>
            </w:r>
            <w:r>
              <w:rPr>
                <w:rFonts w:hint="default" w:ascii="Arial" w:hAnsi="Arial" w:cs="Arial"/>
                <w:sz w:val="20"/>
                <w:szCs w:val="20"/>
              </w:rPr>
              <w:t>evol</w:t>
            </w:r>
            <w:r>
              <w:rPr>
                <w:rFonts w:hint="default" w:ascii="Arial" w:hAnsi="Arial" w:cs="Arial"/>
                <w:sz w:val="20"/>
                <w:szCs w:val="20"/>
                <w:lang w:val="en-SG"/>
              </w:rPr>
              <w:t>v</w:t>
            </w:r>
            <w:r>
              <w:rPr>
                <w:rFonts w:hint="default" w:ascii="Arial" w:hAnsi="Arial" w:cs="Arial"/>
                <w:sz w:val="20"/>
                <w:szCs w:val="20"/>
              </w:rPr>
              <w:t>in</w:t>
            </w:r>
            <w:r>
              <w:rPr>
                <w:rFonts w:hint="default" w:ascii="Arial" w:hAnsi="Arial" w:cs="Arial"/>
                <w:sz w:val="20"/>
                <w:szCs w:val="20"/>
                <w:lang w:val="en-SG"/>
              </w:rPr>
              <w:t>g development</w:t>
            </w:r>
            <w:r>
              <w:rPr>
                <w:rFonts w:hint="default" w:ascii="Arial" w:hAnsi="Arial" w:cs="Arial"/>
                <w:sz w:val="20"/>
                <w:szCs w:val="20"/>
              </w:rPr>
              <w:t xml:space="preserve"> of autistic behavior patterns (ABPs) across the lifespan, focusing on how the three Core Experience Domains (CEDs), i.e., sensory needs</w:t>
            </w:r>
            <w:r>
              <w:rPr>
                <w:rFonts w:hint="default" w:ascii="Arial" w:hAnsi="Arial" w:cs="Arial"/>
                <w:sz w:val="20"/>
                <w:szCs w:val="20"/>
                <w:lang w:val="en-SG"/>
              </w:rPr>
              <w:t xml:space="preserve"> </w:t>
            </w:r>
            <w:r>
              <w:rPr>
                <w:rFonts w:hint="default" w:ascii="Arial" w:hAnsi="Arial" w:cs="Arial"/>
                <w:sz w:val="20"/>
                <w:szCs w:val="20"/>
                <w:highlight w:val="yellow"/>
                <w:lang w:val="en-SG"/>
              </w:rPr>
              <w:t>(</w:t>
            </w:r>
            <w:r>
              <w:rPr>
                <w:rFonts w:hint="default" w:ascii="Arial" w:hAnsi="Arial" w:eastAsia="DengXian" w:cs="Arial"/>
                <w:sz w:val="20"/>
                <w:szCs w:val="20"/>
                <w:highlight w:val="yellow"/>
                <w:lang w:val="en-US" w:eastAsia="zh-CN" w:bidi="ar"/>
              </w:rPr>
              <w:t>Dynia</w:t>
            </w:r>
            <w:r>
              <w:rPr>
                <w:rFonts w:hint="default" w:ascii="Arial" w:hAnsi="Arial" w:eastAsia="DengXian" w:cs="Arial"/>
                <w:sz w:val="20"/>
                <w:szCs w:val="20"/>
                <w:highlight w:val="yellow"/>
                <w:lang w:val="en-SG" w:eastAsia="zh-CN" w:bidi="ar"/>
              </w:rPr>
              <w:t xml:space="preserve"> et al.</w:t>
            </w:r>
            <w:r>
              <w:rPr>
                <w:rFonts w:hint="default" w:ascii="Arial" w:hAnsi="Arial" w:cs="Arial"/>
                <w:sz w:val="20"/>
                <w:szCs w:val="20"/>
                <w:highlight w:val="yellow"/>
              </w:rPr>
              <w:t>,</w:t>
            </w:r>
            <w:r>
              <w:rPr>
                <w:rFonts w:hint="default" w:ascii="Arial" w:hAnsi="Arial" w:cs="Arial"/>
                <w:sz w:val="20"/>
                <w:szCs w:val="20"/>
                <w:highlight w:val="yellow"/>
                <w:lang w:val="en-SG"/>
              </w:rPr>
              <w:t xml:space="preserve"> 2023)</w:t>
            </w:r>
            <w:r>
              <w:rPr>
                <w:rFonts w:hint="default" w:ascii="Arial" w:hAnsi="Arial" w:cs="Arial"/>
                <w:sz w:val="20"/>
                <w:szCs w:val="20"/>
                <w:lang w:val="en-SG"/>
              </w:rPr>
              <w:t>,</w:t>
            </w:r>
            <w:r>
              <w:rPr>
                <w:rFonts w:hint="default" w:ascii="Arial" w:hAnsi="Arial" w:cs="Arial"/>
                <w:sz w:val="20"/>
                <w:szCs w:val="20"/>
              </w:rPr>
              <w:t xml:space="preserve"> communication differences</w:t>
            </w:r>
            <w:r>
              <w:rPr>
                <w:rFonts w:hint="default" w:ascii="Arial" w:hAnsi="Arial" w:cs="Arial"/>
                <w:sz w:val="20"/>
                <w:szCs w:val="20"/>
                <w:lang w:val="en-SG"/>
              </w:rPr>
              <w:t xml:space="preserve"> </w:t>
            </w:r>
            <w:r>
              <w:rPr>
                <w:rFonts w:hint="default" w:ascii="Arial" w:hAnsi="Arial" w:cs="Arial"/>
                <w:sz w:val="20"/>
                <w:szCs w:val="20"/>
                <w:highlight w:val="yellow"/>
                <w:lang w:val="en-SG"/>
              </w:rPr>
              <w:t>(Golson et al., 2022)</w:t>
            </w:r>
            <w:r>
              <w:rPr>
                <w:rFonts w:hint="default" w:ascii="Arial" w:hAnsi="Arial" w:cs="Arial"/>
                <w:sz w:val="20"/>
                <w:szCs w:val="20"/>
              </w:rPr>
              <w:t>, and social interaction patterns</w:t>
            </w:r>
            <w:r>
              <w:rPr>
                <w:rFonts w:hint="default" w:ascii="Arial" w:hAnsi="Arial" w:cs="Arial"/>
                <w:sz w:val="20"/>
                <w:szCs w:val="20"/>
                <w:lang w:val="en-SG"/>
              </w:rPr>
              <w:t xml:space="preserve"> </w:t>
            </w:r>
            <w:r>
              <w:rPr>
                <w:rFonts w:hint="default" w:ascii="Arial" w:hAnsi="Arial" w:cs="Arial"/>
                <w:sz w:val="20"/>
                <w:szCs w:val="20"/>
                <w:highlight w:val="yellow"/>
                <w:lang w:val="en-SG"/>
              </w:rPr>
              <w:t>(Chen et al., 2021)</w:t>
            </w:r>
            <w:r>
              <w:rPr>
                <w:rFonts w:hint="default" w:ascii="Arial" w:hAnsi="Arial" w:cs="Arial"/>
                <w:sz w:val="20"/>
                <w:szCs w:val="20"/>
              </w:rPr>
              <w:t xml:space="preserve">, intersect to shape mental health outcomes for individuals with autism. </w:t>
            </w:r>
            <w:r>
              <w:rPr>
                <w:rFonts w:hint="default" w:ascii="Arial" w:hAnsi="Arial" w:cs="Arial"/>
                <w:sz w:val="20"/>
                <w:szCs w:val="20"/>
                <w:lang w:val="en-SG"/>
              </w:rPr>
              <w:t>It begins by t</w:t>
            </w:r>
            <w:r>
              <w:rPr>
                <w:rFonts w:hint="default" w:ascii="Arial" w:hAnsi="Arial" w:cs="Arial"/>
                <w:sz w:val="20"/>
                <w:szCs w:val="20"/>
              </w:rPr>
              <w:t>racing the historical development of autism</w:t>
            </w:r>
            <w:r>
              <w:rPr>
                <w:rFonts w:hint="default" w:ascii="Arial" w:hAnsi="Arial" w:cs="Arial"/>
                <w:sz w:val="20"/>
                <w:szCs w:val="20"/>
                <w:lang w:val="en-SG"/>
              </w:rPr>
              <w:t>,</w:t>
            </w:r>
            <w:r>
              <w:rPr>
                <w:rFonts w:hint="default" w:ascii="Arial" w:hAnsi="Arial" w:cs="Arial"/>
                <w:sz w:val="20"/>
                <w:szCs w:val="20"/>
              </w:rPr>
              <w:t xml:space="preserve"> from its early psychiatric roots to</w:t>
            </w:r>
            <w:r>
              <w:rPr>
                <w:rFonts w:hint="default" w:ascii="Arial" w:hAnsi="Arial" w:cs="Arial"/>
                <w:sz w:val="20"/>
                <w:szCs w:val="20"/>
                <w:lang w:val="en-SG"/>
              </w:rPr>
              <w:t xml:space="preserve"> the</w:t>
            </w:r>
            <w:r>
              <w:rPr>
                <w:rFonts w:hint="default" w:ascii="Arial" w:hAnsi="Arial" w:cs="Arial"/>
                <w:sz w:val="20"/>
                <w:szCs w:val="20"/>
              </w:rPr>
              <w:t xml:space="preserve"> current understandings in neurodiversity-affirming frameworks</w:t>
            </w:r>
            <w:r>
              <w:rPr>
                <w:rFonts w:hint="default" w:ascii="Arial" w:hAnsi="Arial" w:cs="Arial"/>
                <w:sz w:val="20"/>
                <w:szCs w:val="20"/>
                <w:lang w:val="en-SG"/>
              </w:rPr>
              <w:t>.</w:t>
            </w:r>
            <w:r>
              <w:rPr>
                <w:rFonts w:hint="default" w:ascii="Arial" w:hAnsi="Arial" w:cs="Arial"/>
                <w:sz w:val="20"/>
                <w:szCs w:val="20"/>
              </w:rPr>
              <w:t xml:space="preserve"> </w:t>
            </w:r>
            <w:r>
              <w:rPr>
                <w:rFonts w:hint="default" w:ascii="Arial" w:hAnsi="Arial" w:cs="Arial"/>
                <w:sz w:val="20"/>
                <w:szCs w:val="20"/>
                <w:lang w:val="en-SG"/>
              </w:rPr>
              <w:t>T</w:t>
            </w:r>
            <w:r>
              <w:rPr>
                <w:rFonts w:hint="default" w:ascii="Arial" w:hAnsi="Arial" w:cs="Arial"/>
                <w:sz w:val="20"/>
                <w:szCs w:val="20"/>
              </w:rPr>
              <w:t xml:space="preserve">he paper highlights how behavioral changes over time are influenced not by a change in the autistic neurotype, but by </w:t>
            </w:r>
            <w:r>
              <w:rPr>
                <w:rFonts w:hint="default" w:ascii="Arial" w:hAnsi="Arial" w:cs="Arial"/>
                <w:sz w:val="20"/>
                <w:szCs w:val="20"/>
                <w:lang w:val="en-SG"/>
              </w:rPr>
              <w:t xml:space="preserve">lifespan </w:t>
            </w:r>
            <w:r>
              <w:rPr>
                <w:rFonts w:hint="default" w:ascii="Arial" w:hAnsi="Arial" w:cs="Arial"/>
                <w:sz w:val="20"/>
                <w:szCs w:val="20"/>
              </w:rPr>
              <w:t>developmental stages, environmental factors, support systems, and co-occurring conditions. The</w:t>
            </w:r>
            <w:r>
              <w:rPr>
                <w:rFonts w:hint="default" w:ascii="Arial" w:hAnsi="Arial" w:cs="Arial"/>
                <w:sz w:val="20"/>
                <w:szCs w:val="20"/>
                <w:lang w:val="en-SG"/>
              </w:rPr>
              <w:t xml:space="preserve"> author’s</w:t>
            </w:r>
            <w:r>
              <w:rPr>
                <w:rFonts w:hint="default" w:ascii="Arial" w:hAnsi="Arial" w:cs="Arial"/>
                <w:sz w:val="20"/>
                <w:szCs w:val="20"/>
              </w:rPr>
              <w:t xml:space="preserve"> proposed CED framework offer</w:t>
            </w:r>
            <w:r>
              <w:rPr>
                <w:rFonts w:hint="default" w:ascii="Arial" w:hAnsi="Arial" w:cs="Arial"/>
                <w:sz w:val="20"/>
                <w:szCs w:val="20"/>
                <w:lang w:val="en-SG"/>
              </w:rPr>
              <w:t>s</w:t>
            </w:r>
            <w:r>
              <w:rPr>
                <w:rFonts w:hint="default" w:ascii="Arial" w:hAnsi="Arial" w:cs="Arial"/>
                <w:sz w:val="20"/>
                <w:szCs w:val="20"/>
              </w:rPr>
              <w:t xml:space="preserve"> a strength-based model for understanding and supporting individuals</w:t>
            </w:r>
            <w:r>
              <w:rPr>
                <w:rFonts w:hint="default" w:ascii="Arial" w:hAnsi="Arial" w:cs="Arial"/>
                <w:sz w:val="20"/>
                <w:szCs w:val="20"/>
                <w:lang w:val="en-SG"/>
              </w:rPr>
              <w:t xml:space="preserve"> with autism</w:t>
            </w:r>
            <w:r>
              <w:rPr>
                <w:rFonts w:hint="default" w:ascii="Arial" w:hAnsi="Arial" w:cs="Arial"/>
                <w:sz w:val="20"/>
                <w:szCs w:val="20"/>
              </w:rPr>
              <w:t xml:space="preserve"> in ways that affirm </w:t>
            </w:r>
            <w:r>
              <w:rPr>
                <w:rFonts w:hint="default" w:ascii="Arial" w:hAnsi="Arial" w:cs="Arial"/>
                <w:sz w:val="20"/>
                <w:szCs w:val="20"/>
                <w:lang w:val="en-SG"/>
              </w:rPr>
              <w:t xml:space="preserve">their unique </w:t>
            </w:r>
            <w:r>
              <w:rPr>
                <w:rFonts w:hint="default" w:ascii="Arial" w:hAnsi="Arial" w:cs="Arial"/>
                <w:sz w:val="20"/>
                <w:szCs w:val="20"/>
              </w:rPr>
              <w:t>identity and promote</w:t>
            </w:r>
            <w:r>
              <w:rPr>
                <w:rFonts w:hint="default" w:ascii="Arial" w:hAnsi="Arial" w:cs="Arial"/>
                <w:sz w:val="20"/>
                <w:szCs w:val="20"/>
                <w:lang w:val="en-SG"/>
              </w:rPr>
              <w:t xml:space="preserve"> long-term</w:t>
            </w:r>
            <w:r>
              <w:rPr>
                <w:rFonts w:hint="default" w:ascii="Arial" w:hAnsi="Arial" w:cs="Arial"/>
                <w:sz w:val="20"/>
                <w:szCs w:val="20"/>
              </w:rPr>
              <w:t xml:space="preserve"> mental wellness. Using a hypothetical case study (Liam)</w:t>
            </w:r>
            <w:r>
              <w:rPr>
                <w:rFonts w:hint="default" w:ascii="Arial" w:hAnsi="Arial" w:cs="Arial"/>
                <w:sz w:val="20"/>
                <w:szCs w:val="20"/>
                <w:lang w:val="en-SG"/>
              </w:rPr>
              <w:t xml:space="preserve"> with</w:t>
            </w:r>
            <w:r>
              <w:rPr>
                <w:rFonts w:hint="default" w:ascii="Arial" w:hAnsi="Arial" w:cs="Arial"/>
                <w:sz w:val="20"/>
                <w:szCs w:val="20"/>
              </w:rPr>
              <w:t xml:space="preserve"> a ABP change curve, the </w:t>
            </w:r>
            <w:r>
              <w:rPr>
                <w:rFonts w:hint="default" w:ascii="Arial" w:hAnsi="Arial" w:cs="Arial"/>
                <w:sz w:val="20"/>
                <w:szCs w:val="20"/>
                <w:lang w:val="en-SG"/>
              </w:rPr>
              <w:t>author</w:t>
            </w:r>
            <w:r>
              <w:rPr>
                <w:rFonts w:hint="default" w:ascii="Arial" w:hAnsi="Arial" w:cs="Arial"/>
                <w:sz w:val="20"/>
                <w:szCs w:val="20"/>
              </w:rPr>
              <w:t xml:space="preserve"> illustrates the critical role of individualized, context-sensitive support in reducing stress, enhancing self-esteem, and improving </w:t>
            </w:r>
            <w:r>
              <w:rPr>
                <w:rFonts w:hint="default" w:ascii="Arial" w:hAnsi="Arial" w:cs="Arial"/>
                <w:sz w:val="20"/>
                <w:szCs w:val="20"/>
                <w:highlight w:val="yellow"/>
                <w:lang w:val="en-SG"/>
              </w:rPr>
              <w:t>the</w:t>
            </w:r>
            <w:r>
              <w:rPr>
                <w:rFonts w:hint="default" w:ascii="Arial" w:hAnsi="Arial" w:cs="Arial"/>
                <w:sz w:val="20"/>
                <w:szCs w:val="20"/>
                <w:lang w:val="en-SG"/>
              </w:rPr>
              <w:t xml:space="preserve"> </w:t>
            </w:r>
            <w:r>
              <w:rPr>
                <w:rFonts w:hint="default" w:ascii="Arial" w:hAnsi="Arial" w:cs="Arial"/>
                <w:sz w:val="20"/>
                <w:szCs w:val="20"/>
              </w:rPr>
              <w:t>overall well-being</w:t>
            </w:r>
            <w:r>
              <w:rPr>
                <w:rFonts w:hint="default" w:ascii="Arial" w:hAnsi="Arial" w:cs="Arial"/>
                <w:sz w:val="20"/>
                <w:szCs w:val="20"/>
                <w:lang w:val="en-SG"/>
              </w:rPr>
              <w:t xml:space="preserve"> of a person with autism</w:t>
            </w:r>
            <w:r>
              <w:rPr>
                <w:rFonts w:hint="default" w:ascii="Arial" w:hAnsi="Arial" w:cs="Arial"/>
                <w:sz w:val="20"/>
                <w:szCs w:val="20"/>
              </w:rPr>
              <w:t xml:space="preserve">. The </w:t>
            </w:r>
            <w:r>
              <w:rPr>
                <w:rFonts w:hint="default" w:ascii="Arial" w:hAnsi="Arial" w:cs="Arial"/>
                <w:sz w:val="20"/>
                <w:szCs w:val="20"/>
                <w:lang w:val="en-SG"/>
              </w:rPr>
              <w:t xml:space="preserve">CED </w:t>
            </w:r>
            <w:r>
              <w:rPr>
                <w:rFonts w:hint="default" w:ascii="Arial" w:hAnsi="Arial" w:cs="Arial"/>
                <w:sz w:val="20"/>
                <w:szCs w:val="20"/>
              </w:rPr>
              <w:t>model encourages autism professionals and caregivers to prioritize autonomy, inclusive communication, and sensory-respectful environments across all life</w:t>
            </w:r>
            <w:r>
              <w:rPr>
                <w:rFonts w:hint="default" w:ascii="Arial" w:hAnsi="Arial" w:cs="Arial"/>
                <w:sz w:val="20"/>
                <w:szCs w:val="20"/>
                <w:lang w:val="en-SG"/>
              </w:rPr>
              <w:t>span developmental</w:t>
            </w:r>
            <w:r>
              <w:rPr>
                <w:rFonts w:hint="default" w:ascii="Arial" w:hAnsi="Arial" w:cs="Arial"/>
                <w:sz w:val="20"/>
                <w:szCs w:val="20"/>
              </w:rPr>
              <w:t xml:space="preserve"> stages when working with individuals with autism.</w:t>
            </w:r>
          </w:p>
        </w:tc>
      </w:tr>
    </w:tbl>
    <w:p w14:paraId="5FE6E4EC">
      <w:pPr>
        <w:rPr>
          <w:rFonts w:ascii="Times New Roman" w:hAnsi="Times New Roman" w:cs="Times New Roman"/>
          <w:sz w:val="24"/>
          <w:szCs w:val="24"/>
          <w:lang w:val="en-SG"/>
        </w:rPr>
      </w:pPr>
      <w:r>
        <w:rPr>
          <w:rFonts w:ascii="Times New Roman" w:hAnsi="Times New Roman" w:cs="Times New Roman"/>
          <w:sz w:val="24"/>
          <w:szCs w:val="24"/>
          <w:lang w:val="en-SG"/>
        </w:rPr>
        <w:t xml:space="preserve"> </w:t>
      </w:r>
    </w:p>
    <w:p w14:paraId="74C1541A">
      <w:pPr>
        <w:rPr>
          <w:rFonts w:ascii="Arial" w:hAnsi="Arial" w:cs="Arial"/>
          <w:i/>
          <w:iCs/>
          <w:sz w:val="20"/>
          <w:szCs w:val="20"/>
          <w:lang w:val="en-SG"/>
        </w:rPr>
      </w:pPr>
      <w:r>
        <w:rPr>
          <w:rFonts w:ascii="Arial" w:hAnsi="Arial" w:cs="Arial"/>
          <w:b/>
          <w:bCs/>
          <w:i/>
          <w:iCs/>
          <w:sz w:val="20"/>
          <w:szCs w:val="20"/>
          <w:lang w:val="en-SG"/>
        </w:rPr>
        <w:t>Keywords:</w:t>
      </w:r>
      <w:r>
        <w:rPr>
          <w:rFonts w:ascii="Arial" w:hAnsi="Arial" w:cs="Arial"/>
          <w:i/>
          <w:iCs/>
          <w:sz w:val="20"/>
          <w:szCs w:val="20"/>
          <w:lang w:val="en-SG"/>
        </w:rPr>
        <w:t xml:space="preserve"> Autistic Behavior Patterns (ABPs), Autism Spectrum Disorder (ASD), Core Experience Domains (CEDs), Mental Health and Wellness, Neurodiversity-Affirming Frameworks</w:t>
      </w:r>
    </w:p>
    <w:p w14:paraId="2652DE29">
      <w:pPr>
        <w:rPr>
          <w:rFonts w:ascii="Times New Roman" w:hAnsi="Times New Roman" w:cs="Times New Roman"/>
          <w:sz w:val="24"/>
          <w:szCs w:val="24"/>
          <w:lang w:val="en-SG"/>
        </w:rPr>
      </w:pPr>
    </w:p>
    <w:p w14:paraId="1B2D8CEA">
      <w:pPr>
        <w:numPr>
          <w:ilvl w:val="0"/>
          <w:numId w:val="1"/>
        </w:numPr>
        <w:rPr>
          <w:rFonts w:ascii="Arial" w:hAnsi="Arial" w:cs="Arial"/>
          <w:b/>
          <w:bCs/>
          <w:lang w:val="en-SG"/>
        </w:rPr>
      </w:pPr>
      <w:r>
        <w:rPr>
          <w:rFonts w:ascii="Arial" w:hAnsi="Arial" w:cs="Arial"/>
          <w:b/>
          <w:bCs/>
          <w:lang w:val="en-SG"/>
        </w:rPr>
        <w:t>INTRODUCTION</w:t>
      </w:r>
    </w:p>
    <w:p w14:paraId="184F4674">
      <w:pPr>
        <w:rPr>
          <w:rFonts w:ascii="Arial" w:hAnsi="Arial" w:cs="Arial"/>
          <w:sz w:val="20"/>
          <w:szCs w:val="20"/>
          <w:lang w:val="en-SG"/>
        </w:rPr>
      </w:pPr>
    </w:p>
    <w:p w14:paraId="53A14F26">
      <w:pPr>
        <w:keepNext w:val="0"/>
        <w:keepLines w:val="0"/>
        <w:widowControl/>
        <w:suppressLineNumbers w:val="0"/>
        <w:spacing w:before="0" w:beforeAutospacing="0" w:after="0" w:afterAutospacing="0"/>
        <w:ind w:left="0" w:right="0"/>
        <w:jc w:val="both"/>
        <w:rPr>
          <w:rFonts w:hint="default" w:ascii="Arial" w:hAnsi="Arial" w:cs="Arial"/>
          <w:sz w:val="20"/>
          <w:szCs w:val="20"/>
          <w:highlight w:val="yellow"/>
          <w:lang w:val="en-US"/>
        </w:rPr>
      </w:pPr>
      <w:r>
        <w:rPr>
          <w:rFonts w:hint="default" w:ascii="Arial" w:hAnsi="Arial" w:eastAsia="DengXian" w:cs="Arial"/>
          <w:kern w:val="2"/>
          <w:sz w:val="20"/>
          <w:szCs w:val="20"/>
          <w:highlight w:val="yellow"/>
          <w:lang w:val="en-US" w:eastAsia="zh-CN" w:bidi="ar"/>
          <w14:ligatures w14:val="standardContextual"/>
        </w:rPr>
        <w:t xml:space="preserve">The term </w:t>
      </w:r>
      <w:r>
        <w:rPr>
          <w:rFonts w:hint="default" w:ascii="Arial" w:hAnsi="Arial" w:eastAsia="DengXian" w:cs="Arial"/>
          <w:i/>
          <w:iCs/>
          <w:kern w:val="2"/>
          <w:sz w:val="20"/>
          <w:szCs w:val="20"/>
          <w:highlight w:val="yellow"/>
          <w:lang w:val="en-US" w:eastAsia="zh-CN" w:bidi="ar"/>
          <w14:ligatures w14:val="standardContextual"/>
        </w:rPr>
        <w:t>autism</w:t>
      </w:r>
      <w:r>
        <w:rPr>
          <w:rFonts w:hint="default" w:ascii="Arial" w:hAnsi="Arial" w:eastAsia="DengXian" w:cs="Arial"/>
          <w:kern w:val="2"/>
          <w:sz w:val="20"/>
          <w:szCs w:val="20"/>
          <w:highlight w:val="yellow"/>
          <w:lang w:val="en-US" w:eastAsia="zh-CN" w:bidi="ar"/>
          <w14:ligatures w14:val="standardContextual"/>
        </w:rPr>
        <w:t xml:space="preserve"> was first introduced by Swiss psychiatrist Eugen Bleuler in 1908 to describe a symptom of schizophrenia, characterized by extreme self-isolation and detachment from reality (Bleuler, 1911; see also Moskowitz &amp; Heim, 2011). Decades later, Leo Kanner (1943) redefined autism as a distinct neurodevelopmental disorder, observing a pattern of early infantile autism in 11 children marked by social withdrawal, resistance to change, and repetitive behaviors. Around the same time, Hans Asperger (1944) independently described a similar condition (later known as Asperger’s Syndrome) featuring social difficulties alongside intact language and cognitive abilities. While the term </w:t>
      </w:r>
      <w:r>
        <w:rPr>
          <w:rFonts w:hint="default" w:ascii="Arial" w:hAnsi="Arial" w:eastAsia="DengXian" w:cs="Arial"/>
          <w:i/>
          <w:iCs/>
          <w:kern w:val="2"/>
          <w:sz w:val="20"/>
          <w:szCs w:val="20"/>
          <w:highlight w:val="yellow"/>
          <w:lang w:val="en-US" w:eastAsia="zh-CN" w:bidi="ar"/>
          <w14:ligatures w14:val="standardContextual"/>
        </w:rPr>
        <w:t>Asperger’s Syndrome</w:t>
      </w:r>
      <w:r>
        <w:rPr>
          <w:rFonts w:hint="default" w:ascii="Arial" w:hAnsi="Arial" w:eastAsia="DengXian" w:cs="Arial"/>
          <w:kern w:val="2"/>
          <w:sz w:val="20"/>
          <w:szCs w:val="20"/>
          <w:highlight w:val="yellow"/>
          <w:lang w:val="en-US" w:eastAsia="zh-CN" w:bidi="ar"/>
          <w14:ligatures w14:val="standardContextual"/>
        </w:rPr>
        <w:t xml:space="preserve"> is no longer used following the publication of the fifth edition of the </w:t>
      </w:r>
      <w:r>
        <w:rPr>
          <w:rFonts w:hint="default" w:ascii="Arial" w:hAnsi="Arial" w:eastAsia="DengXian" w:cs="Arial"/>
          <w:i/>
          <w:iCs/>
          <w:kern w:val="2"/>
          <w:sz w:val="20"/>
          <w:szCs w:val="20"/>
          <w:highlight w:val="yellow"/>
          <w:lang w:val="en-US" w:eastAsia="zh-CN" w:bidi="ar"/>
          <w14:ligatures w14:val="standardContextual"/>
        </w:rPr>
        <w:t>Diagnostic and Statistical Manual of Mental Disorders</w:t>
      </w:r>
      <w:r>
        <w:rPr>
          <w:rFonts w:hint="default" w:ascii="Arial" w:hAnsi="Arial" w:eastAsia="DengXian" w:cs="Arial"/>
          <w:kern w:val="2"/>
          <w:sz w:val="20"/>
          <w:szCs w:val="20"/>
          <w:highlight w:val="yellow"/>
          <w:lang w:val="en-US" w:eastAsia="zh-CN" w:bidi="ar"/>
          <w14:ligatures w14:val="standardContextual"/>
        </w:rPr>
        <w:t xml:space="preserve"> (DSM-5; American Psychiatric Association/APA, 2013), these early descriptions laid the foundation for what is now recognized as Autism Spectrum Disorder (ASD), a single diagnostic category encompassing a wide range of symptoms and severities (APA, 2013; Shaw, 2024).</w:t>
      </w:r>
    </w:p>
    <w:p w14:paraId="3AB4F6FE">
      <w:pPr>
        <w:keepNext w:val="0"/>
        <w:keepLines w:val="0"/>
        <w:widowControl/>
        <w:suppressLineNumbers w:val="0"/>
        <w:spacing w:before="0" w:beforeAutospacing="0" w:after="0" w:afterAutospacing="0"/>
        <w:ind w:left="0" w:right="0"/>
        <w:jc w:val="both"/>
        <w:rPr>
          <w:rFonts w:hint="default" w:ascii="Arial" w:hAnsi="Arial" w:cs="Arial"/>
          <w:sz w:val="20"/>
          <w:szCs w:val="20"/>
          <w:highlight w:val="yellow"/>
          <w:lang w:val="en-US"/>
        </w:rPr>
      </w:pPr>
    </w:p>
    <w:p w14:paraId="3FC0007B">
      <w:pPr>
        <w:keepNext w:val="0"/>
        <w:keepLines w:val="0"/>
        <w:widowControl/>
        <w:suppressLineNumbers w:val="0"/>
        <w:spacing w:before="0" w:beforeAutospacing="0" w:after="0" w:afterAutospacing="0"/>
        <w:ind w:left="0" w:right="0"/>
        <w:jc w:val="both"/>
        <w:rPr>
          <w:rFonts w:hint="default" w:ascii="Arial" w:hAnsi="Arial" w:cs="Arial"/>
          <w:sz w:val="20"/>
          <w:szCs w:val="20"/>
          <w:highlight w:val="yellow"/>
          <w:lang w:val="en-US"/>
        </w:rPr>
      </w:pPr>
      <w:r>
        <w:rPr>
          <w:rFonts w:hint="default" w:ascii="Arial" w:hAnsi="Arial" w:eastAsia="DengXian" w:cs="Arial"/>
          <w:kern w:val="2"/>
          <w:sz w:val="20"/>
          <w:szCs w:val="20"/>
          <w:highlight w:val="yellow"/>
          <w:lang w:val="en-US" w:eastAsia="zh-CN" w:bidi="ar"/>
          <w14:ligatures w14:val="standardContextual"/>
        </w:rPr>
        <w:t>Today, autism or ASD is best understood as a complex neurodevelopmental disorder involving persistent challenges in social communication, restricted interests, and repetitive behaviors, with known constitutional (genetic) bases and wide individual variability (Lord et al., 2018). Autism has since evolved far beyond Bleuler’s original conceptualization (Evans, 2013). According to the Individuals with Disabilities Education Act (IDEA, 2004), autism is defined as follows: “(i) A developmental disability significantly affecting verbal and nonverbal communication and social interaction, generally evident before age three,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(ii) It does not apply if a child’s educational performance is adversely affected primarily because the child has an emotional disturbance, as defined in paragraph (c)(4) of this section; and (iii) a child who manifests the characteristics of autism after age three could be identified as having autism if the criteria in paragraph (c)(1)(i) of this section are satisfied” (US Department of Education (2017, para. i-iii)).</w:t>
      </w:r>
    </w:p>
    <w:p w14:paraId="6DD18899">
      <w:pPr>
        <w:keepNext w:val="0"/>
        <w:keepLines w:val="0"/>
        <w:widowControl/>
        <w:suppressLineNumbers w:val="0"/>
        <w:spacing w:before="0" w:beforeAutospacing="0" w:after="0" w:afterAutospacing="0"/>
        <w:ind w:left="0" w:right="0"/>
        <w:jc w:val="both"/>
        <w:rPr>
          <w:rFonts w:hint="default" w:ascii="Arial" w:hAnsi="Arial" w:cs="Arial"/>
          <w:sz w:val="20"/>
          <w:szCs w:val="20"/>
          <w:highlight w:val="yellow"/>
          <w:lang w:val="en-US"/>
        </w:rPr>
      </w:pPr>
    </w:p>
    <w:p w14:paraId="49824AEC">
      <w:pPr>
        <w:keepNext w:val="0"/>
        <w:keepLines w:val="0"/>
        <w:widowControl/>
        <w:suppressLineNumbers w:val="0"/>
        <w:spacing w:before="0" w:beforeAutospacing="0" w:after="0" w:afterAutospacing="0"/>
        <w:ind w:left="0" w:right="0"/>
        <w:jc w:val="both"/>
        <w:rPr>
          <w:rFonts w:hint="default" w:ascii="Arial" w:hAnsi="Arial" w:cs="Arial"/>
          <w:sz w:val="20"/>
          <w:szCs w:val="20"/>
          <w:highlight w:val="yellow"/>
          <w:lang w:val="en-US"/>
        </w:rPr>
      </w:pPr>
      <w:r>
        <w:rPr>
          <w:rFonts w:hint="default" w:ascii="Arial" w:hAnsi="Arial" w:eastAsia="DengXian" w:cs="Arial"/>
          <w:kern w:val="2"/>
          <w:sz w:val="20"/>
          <w:szCs w:val="20"/>
          <w:highlight w:val="yellow"/>
          <w:lang w:val="en-US" w:eastAsia="zh-CN" w:bidi="ar"/>
          <w14:ligatures w14:val="standardContextual"/>
        </w:rPr>
        <w:t xml:space="preserve">In special education contexts, the term </w:t>
      </w:r>
      <w:r>
        <w:rPr>
          <w:rFonts w:hint="default" w:ascii="Arial" w:hAnsi="Arial" w:eastAsia="DengXian" w:cs="Arial"/>
          <w:i/>
          <w:iCs/>
          <w:kern w:val="2"/>
          <w:sz w:val="20"/>
          <w:szCs w:val="20"/>
          <w:highlight w:val="yellow"/>
          <w:lang w:val="en-US" w:eastAsia="zh-CN" w:bidi="ar"/>
          <w14:ligatures w14:val="standardContextual"/>
        </w:rPr>
        <w:t>autism</w:t>
      </w:r>
      <w:r>
        <w:rPr>
          <w:rFonts w:hint="default" w:ascii="Arial" w:hAnsi="Arial" w:eastAsia="DengXian" w:cs="Arial"/>
          <w:kern w:val="2"/>
          <w:sz w:val="20"/>
          <w:szCs w:val="20"/>
          <w:highlight w:val="yellow"/>
          <w:lang w:val="en-US" w:eastAsia="zh-CN" w:bidi="ar"/>
          <w14:ligatures w14:val="standardContextual"/>
        </w:rPr>
        <w:t xml:space="preserve">, still used in </w:t>
      </w:r>
      <w:r>
        <w:rPr>
          <w:rFonts w:hint="default" w:ascii="Arial" w:hAnsi="Arial" w:eastAsia="DengXian" w:cs="Arial"/>
          <w:i/>
          <w:iCs/>
          <w:kern w:val="2"/>
          <w:sz w:val="20"/>
          <w:szCs w:val="20"/>
          <w:highlight w:val="yellow"/>
          <w:lang w:val="en-US" w:eastAsia="zh-CN" w:bidi="ar"/>
          <w14:ligatures w14:val="standardContextual"/>
        </w:rPr>
        <w:t>The Educator’s Diagnostic Manual of Disabilities and Disorders</w:t>
      </w:r>
      <w:r>
        <w:rPr>
          <w:rFonts w:hint="default" w:ascii="Arial" w:hAnsi="Arial" w:eastAsia="DengXian" w:cs="Arial"/>
          <w:kern w:val="2"/>
          <w:sz w:val="20"/>
          <w:szCs w:val="20"/>
          <w:highlight w:val="yellow"/>
          <w:lang w:val="en-US" w:eastAsia="zh-CN" w:bidi="ar"/>
          <w14:ligatures w14:val="standardContextual"/>
        </w:rPr>
        <w:t xml:space="preserve"> (EDM; Pierangelo &amp; Giuliani, 2007), refers to the same IDEA category and follows a splitting approach, listing multiple subtypes under code AU: “AU1.00-Asperger’s Syndrome, AU2.00-Autistic Disorder, AU3.00-Childhood Disintegrative Disorder (also previously known as Heller Syndrome), AU4.00-High-Functioning Autism, AU5.00-Hyperlexia, AU6.00-Multiplex Developmental Disorder, AU7.00-Rett Syndrome, and AU8.00-Other Types of Autism-Be Specific” (Pierangelo &amp; Giuliani, 2007, p. 249).</w:t>
      </w:r>
    </w:p>
    <w:p w14:paraId="62A778D1">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p>
    <w:p w14:paraId="1F84E969">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 xml:space="preserve">The impact of autism on mental wellness and overall health is significant and multifaceted. Although it is not considered a mental disease or illness, individuals with autism often experience and exhibit co-occurring mental health conditions: e.g., stress, anxiety, and depression (also known as SAD syndrome; see Xie &amp; Wang, 2021), and attention-deficit/hyperactivity disorder (ADHD; see Liu et al., 2023), which can affect daily functioning and quality of life (Lai et al., 2019). </w:t>
      </w:r>
      <w:r>
        <w:rPr>
          <w:rFonts w:hint="default" w:ascii="Arial" w:hAnsi="Arial" w:eastAsia="DengXian" w:cs="Arial"/>
          <w:kern w:val="2"/>
          <w:sz w:val="20"/>
          <w:szCs w:val="20"/>
          <w:highlight w:val="yellow"/>
          <w:lang w:val="en-US" w:eastAsia="zh-CN" w:bidi="ar"/>
          <w14:ligatures w14:val="standardContextual"/>
        </w:rPr>
        <w:t xml:space="preserve">Social communication challenges (Bradshaw et al., 2021), sensory sensitivities (Hassmén &amp; Hindman, 2025), and difficulties with change or unpredictability may lead to increased stress and social isolation (Sheridan et al., 2023), which in turn can negatively influence mental well-being. </w:t>
      </w:r>
      <w:r>
        <w:rPr>
          <w:rFonts w:hint="default" w:ascii="Arial" w:hAnsi="Arial" w:eastAsia="DengXian" w:cs="Arial"/>
          <w:kern w:val="2"/>
          <w:sz w:val="20"/>
          <w:szCs w:val="20"/>
          <w:lang w:val="en-US" w:eastAsia="zh-CN" w:bidi="ar"/>
          <w14:ligatures w14:val="standardContextual"/>
        </w:rPr>
        <w:t>Furthermore, the struggle to navigate systems that are not designed with neurodivergent individuals in mind (e.g., education, healthcare, and employment) can contribute to poor mental health outcomes for individuals with autism (Burrell et al., 2025; Gray et al., 2025).</w:t>
      </w:r>
    </w:p>
    <w:p w14:paraId="2A08DC3E">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 xml:space="preserve"> </w:t>
      </w:r>
    </w:p>
    <w:p w14:paraId="1DD96F9D">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 xml:space="preserve">Linking autism to mental wellness requires a strengths-based, holistic approach. Promoting mental health among individuals with autism involves treating co-occurring conditions (Neumeyer et al., 2019; Petrou et al., 2018), and more so in those with syndromic autism </w:t>
      </w:r>
      <w:r>
        <w:rPr>
          <w:rFonts w:hint="default" w:ascii="Arial" w:hAnsi="Arial" w:eastAsia="DengXian" w:cs="Arial"/>
          <w:kern w:val="2"/>
          <w:sz w:val="20"/>
          <w:szCs w:val="20"/>
          <w:highlight w:val="yellow"/>
          <w:lang w:val="en-US" w:eastAsia="zh-CN" w:bidi="ar"/>
          <w14:ligatures w14:val="standardContextual"/>
        </w:rPr>
        <w:t>(Ziats, Patterson, &amp; Friez, 2021)</w:t>
      </w:r>
      <w:r>
        <w:rPr>
          <w:rFonts w:hint="default" w:ascii="Arial" w:hAnsi="Arial" w:eastAsia="DengXian" w:cs="Arial"/>
          <w:kern w:val="2"/>
          <w:sz w:val="20"/>
          <w:szCs w:val="20"/>
          <w:lang w:val="en-US" w:eastAsia="zh-CN" w:bidi="ar"/>
          <w14:ligatures w14:val="standardContextual"/>
        </w:rPr>
        <w:t>. However, it also entails fostering environments, where these individuals are engaged appropriately, to accommodate their sensory</w:t>
      </w:r>
      <w:r>
        <w:rPr>
          <w:rFonts w:hint="default" w:ascii="Arial" w:hAnsi="Arial" w:eastAsia="DengXian" w:cs="Arial"/>
          <w:kern w:val="2"/>
          <w:sz w:val="20"/>
          <w:szCs w:val="20"/>
          <w:lang w:val="en-SG" w:eastAsia="zh-CN" w:bidi="ar"/>
          <w14:ligatures w14:val="standardContextual"/>
        </w:rPr>
        <w:t xml:space="preserve"> </w:t>
      </w:r>
      <w:r>
        <w:rPr>
          <w:rFonts w:hint="default" w:ascii="Arial" w:hAnsi="Arial" w:eastAsia="DengXian" w:cs="Arial"/>
          <w:kern w:val="2"/>
          <w:sz w:val="20"/>
          <w:szCs w:val="20"/>
          <w:highlight w:val="yellow"/>
          <w:lang w:val="en-SG" w:eastAsia="zh-CN" w:bidi="ar"/>
          <w14:ligatures w14:val="standardContextual"/>
        </w:rPr>
        <w:t>(Dynia et al., 2023)</w:t>
      </w:r>
      <w:r>
        <w:rPr>
          <w:rFonts w:hint="default" w:ascii="Arial" w:hAnsi="Arial" w:eastAsia="DengXian" w:cs="Arial"/>
          <w:kern w:val="2"/>
          <w:sz w:val="20"/>
          <w:szCs w:val="20"/>
          <w:lang w:val="en-SG" w:eastAsia="zh-CN" w:bidi="ar"/>
          <w14:ligatures w14:val="standardContextual"/>
        </w:rPr>
        <w:t xml:space="preserve">, social interaction </w:t>
      </w:r>
      <w:r>
        <w:rPr>
          <w:rFonts w:hint="default" w:ascii="Arial" w:hAnsi="Arial" w:eastAsia="DengXian" w:cs="Arial"/>
          <w:kern w:val="2"/>
          <w:sz w:val="20"/>
          <w:szCs w:val="20"/>
          <w:highlight w:val="yellow"/>
          <w:lang w:val="en-SG" w:eastAsia="zh-CN" w:bidi="ar"/>
          <w14:ligatures w14:val="standardContextual"/>
        </w:rPr>
        <w:t>(Chen et al., 2021)</w:t>
      </w:r>
      <w:r>
        <w:rPr>
          <w:rFonts w:hint="default" w:ascii="Arial" w:hAnsi="Arial" w:eastAsia="DengXian" w:cs="Arial"/>
          <w:kern w:val="2"/>
          <w:sz w:val="20"/>
          <w:szCs w:val="20"/>
          <w:lang w:val="en-US" w:eastAsia="zh-CN" w:bidi="ar"/>
          <w14:ligatures w14:val="standardContextual"/>
        </w:rPr>
        <w:t xml:space="preserve"> and communication</w:t>
      </w:r>
      <w:r>
        <w:rPr>
          <w:rFonts w:hint="default" w:ascii="Arial" w:hAnsi="Arial" w:eastAsia="DengXian" w:cs="Arial"/>
          <w:kern w:val="2"/>
          <w:sz w:val="20"/>
          <w:szCs w:val="20"/>
          <w:lang w:val="en-SG" w:eastAsia="zh-CN" w:bidi="ar"/>
          <w14:ligatures w14:val="standardContextual"/>
        </w:rPr>
        <w:t xml:space="preserve"> </w:t>
      </w:r>
      <w:r>
        <w:rPr>
          <w:rFonts w:hint="default" w:ascii="Arial" w:hAnsi="Arial" w:eastAsia="DengXian" w:cs="Arial"/>
          <w:kern w:val="2"/>
          <w:sz w:val="20"/>
          <w:szCs w:val="20"/>
          <w:highlight w:val="yellow"/>
          <w:lang w:val="en-SG" w:eastAsia="zh-CN" w:bidi="ar"/>
          <w14:ligatures w14:val="standardContextual"/>
        </w:rPr>
        <w:t>(Golson et al., 2022)</w:t>
      </w:r>
      <w:r>
        <w:rPr>
          <w:rFonts w:hint="default" w:ascii="Arial" w:hAnsi="Arial" w:eastAsia="DengXian" w:cs="Arial"/>
          <w:kern w:val="2"/>
          <w:sz w:val="20"/>
          <w:szCs w:val="20"/>
          <w:lang w:val="en-US" w:eastAsia="zh-CN" w:bidi="ar"/>
          <w14:ligatures w14:val="standardContextual"/>
        </w:rPr>
        <w:t xml:space="preserve"> needs, to support their autonomy or self-independence, as well as to encourage social inclusion (Ghanouni et al., 2024; Maddox et al., 2021). Instead of ‘normalization’ through rehabilitation programs widely used in China (e.g., Zhang, 2020; Zhang et al., 2019) in treating autism for instance, early treatment programs for autism should prioritize self-understanding, acceptance, and support (for both the clients with autism and their caregivers) that have been found to show improvement in mental health outcomes (Berg et al., 2023; Szlamka et al., 2024). This procedural approach is not rehabilitative but interventionistic, e.g., application of educational therapy that encompasses behavioral therapy, counseling, occupational therapy, speech-language therapy, and others to manage autism. Moreover, access to early intervention, which involves neurodiversity-affirming care and supportive social relationships, provides the key protective factor to mental wellness for individuals with autism (Kroll et al., 2024). This is best supported when society embraces inclusiveness and neurodiversity and provides equitable access to mental health resources tailored to diverse neurological experiences (McMaughan et al., 2024; Wechsler et al., 2025).</w:t>
      </w:r>
    </w:p>
    <w:p w14:paraId="1BCC5EE8">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 xml:space="preserve"> </w:t>
      </w:r>
    </w:p>
    <w:p w14:paraId="507A771C">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Moreover, understanding the mental wellness and health of individuals with autism requires attention to how their autistic behavioral traits change over time, from childhood through adolescence to adulthood (Crespi, 2021; Waizbard-Bartov &amp; Miller, 2023). Generally, the trajectories of autistic behavior patterns (ABPs; e.g., sensory sensitivities, repetitive actions, or challenges with social interaction) evolve gradually with age, shaped not just by individual lifespan development, but also by their daily encounters in life experiences, appropriate services rendered to them by available support systems, and socio-cultural expectations from the community where they live (Hong et al., 2023). For instance, a young child with autism may manifest explicit repetitive behaviors or hyperfocus on specific interests that may become more internalized or socially adapted in adolescence and adulthood. As autism “is associated with significant difficulties in adaptive behavior and variation in clinical outcomes across the life span” (Pretzsch et al., 2022, p. 336), these adaptations can come at a psychological cost. Many adults with verbal high-functioning autism report engaging in ‘masking’ or camouflaging behaviors, suppressing their atypical or autistic behaviors to fit in socially (Alaghband-Rad, Hajikarim-Hamedani, &amp; Motamed, 2023; Fombonne,  2020; Mandy, 2019). This has been associated with increased anxiety, depression, and even burnout (Hull et al., 2019). Thus, behavioral changes over time should not automatically be seen as improvements, but rather as potential indicators of mental health strain.</w:t>
      </w:r>
    </w:p>
    <w:p w14:paraId="3D149F5D">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 xml:space="preserve"> </w:t>
      </w:r>
    </w:p>
    <w:p w14:paraId="6826D6D2">
      <w:pPr>
        <w:keepNext w:val="0"/>
        <w:keepLines w:val="0"/>
        <w:widowControl/>
        <w:suppressLineNumbers w:val="0"/>
        <w:spacing w:before="0" w:beforeAutospacing="0" w:after="0" w:afterAutospacing="0"/>
        <w:ind w:left="0" w:right="0"/>
        <w:jc w:val="both"/>
        <w:rPr>
          <w:rFonts w:hint="default" w:ascii="Arial" w:hAnsi="Arial" w:cs="Arial"/>
          <w:sz w:val="20"/>
          <w:szCs w:val="20"/>
          <w:lang w:val="en-US"/>
        </w:rPr>
      </w:pPr>
      <w:r>
        <w:rPr>
          <w:rFonts w:hint="default" w:ascii="Arial" w:hAnsi="Arial" w:eastAsia="DengXian" w:cs="Arial"/>
          <w:kern w:val="2"/>
          <w:sz w:val="20"/>
          <w:szCs w:val="20"/>
          <w:lang w:val="en-US" w:eastAsia="zh-CN" w:bidi="ar"/>
          <w14:ligatures w14:val="standardContextual"/>
        </w:rPr>
        <w:t xml:space="preserve">To effectively link behavioral changes to mental wellness and health, it is important for autism professionals (e.g., educational therapists, occupational therapists, speech-language therapists) working directly with individuals with autism to adopt a longitudinal (long-term) and individualized lens. For example, an adolescent with autism can become less socially active than they were as a child. This does not mean they are regressing, but rather they are reacting negatively to increasing social pressure, bullying, or lack of understanding (Gkatsa &amp; Antoniou, 2024; Lu, Chen, &amp; Chou, 2022). Such factors can undermine their mental health. Similarly, a decrease in visible self-stimulating (or ‘stimming’) behaviors may indicate increased stress rather than greater self-regulation (Chia, 2025). On the other hand, positive behavioral changes (e.g., improved emotional regulation or more effective communication) are more likely to occur in environments which are supportive, inclusive, and affirming of neurodiversity </w:t>
      </w:r>
      <w:r>
        <w:rPr>
          <w:rFonts w:hint="default" w:ascii="Arial" w:hAnsi="Arial" w:eastAsia="DengXian" w:cs="Arial"/>
          <w:kern w:val="2"/>
          <w:sz w:val="20"/>
          <w:szCs w:val="20"/>
          <w:highlight w:val="yellow"/>
          <w:lang w:val="en-US" w:eastAsia="zh-CN" w:bidi="ar"/>
          <w14:ligatures w14:val="standardContextual"/>
        </w:rPr>
        <w:t>(Cherewick &amp; Matergia, 2024)</w:t>
      </w:r>
      <w:r>
        <w:rPr>
          <w:rFonts w:hint="default" w:ascii="Arial" w:hAnsi="Arial" w:eastAsia="DengXian" w:cs="Arial"/>
          <w:kern w:val="2"/>
          <w:sz w:val="20"/>
          <w:szCs w:val="20"/>
          <w:lang w:val="en-US" w:eastAsia="zh-CN" w:bidi="ar"/>
          <w14:ligatures w14:val="standardContextual"/>
        </w:rPr>
        <w:t xml:space="preserve">. Therefore, tracking ABPs without context can be misleading. It is certainly essential for therapists, counselors, teachers as well as parents to understand how ABPs relate to the mental and emotional state of an </w:t>
      </w:r>
      <w:r>
        <w:rPr>
          <w:rFonts w:hint="default" w:ascii="Arial" w:hAnsi="Arial" w:eastAsia="DengXian" w:cs="Arial"/>
          <w:i/>
          <w:iCs/>
          <w:kern w:val="2"/>
          <w:sz w:val="20"/>
          <w:szCs w:val="20"/>
          <w:lang w:val="en-US" w:eastAsia="zh-CN" w:bidi="ar"/>
          <w14:ligatures w14:val="standardContextual"/>
        </w:rPr>
        <w:t>individual with autism</w:t>
      </w:r>
      <w:r>
        <w:rPr>
          <w:rFonts w:hint="default" w:ascii="Arial" w:hAnsi="Arial" w:eastAsia="DengXian" w:cs="Arial"/>
          <w:kern w:val="2"/>
          <w:sz w:val="20"/>
          <w:szCs w:val="20"/>
          <w:lang w:val="en-US" w:eastAsia="zh-CN" w:bidi="ar"/>
          <w14:ligatures w14:val="standardContextual"/>
        </w:rPr>
        <w:t xml:space="preserve"> across their development. Hence, promoting mental wellness and health in individuals with autism involves more than just observing how their behaviors change. It is also asking why they change, and ensuring that those changes align with their well-being rather than social conformity.</w:t>
      </w:r>
    </w:p>
    <w:p w14:paraId="71F22E29">
      <w:pPr>
        <w:rPr>
          <w:rFonts w:ascii="Arial" w:hAnsi="Arial" w:cs="Arial"/>
          <w:lang w:val="en-SG"/>
        </w:rPr>
      </w:pPr>
    </w:p>
    <w:p w14:paraId="2EE750CB">
      <w:pPr>
        <w:numPr>
          <w:ilvl w:val="0"/>
          <w:numId w:val="1"/>
        </w:numPr>
        <w:rPr>
          <w:rFonts w:ascii="Arial" w:hAnsi="Arial" w:cs="Arial"/>
          <w:b/>
          <w:bCs/>
          <w:lang w:val="en-SG"/>
        </w:rPr>
      </w:pPr>
      <w:r>
        <w:rPr>
          <w:rFonts w:ascii="Arial" w:hAnsi="Arial" w:cs="Arial"/>
          <w:b/>
          <w:bCs/>
          <w:lang w:val="en-SG"/>
        </w:rPr>
        <w:t>DEFINING THE CHANGING PROFILE OF AUTISTIC BEHAVIOR PATTERN (ABP)</w:t>
      </w:r>
    </w:p>
    <w:p w14:paraId="10797B9E">
      <w:pPr>
        <w:rPr>
          <w:rFonts w:ascii="Arial" w:hAnsi="Arial" w:cs="Arial"/>
          <w:sz w:val="20"/>
          <w:szCs w:val="20"/>
          <w:lang w:val="en-SG"/>
        </w:rPr>
      </w:pPr>
    </w:p>
    <w:p w14:paraId="4DB23DF8">
      <w:pPr>
        <w:rPr>
          <w:rFonts w:ascii="Arial" w:hAnsi="Arial" w:cs="Arial"/>
          <w:sz w:val="20"/>
          <w:szCs w:val="20"/>
          <w:lang w:val="en-SG"/>
        </w:rPr>
      </w:pPr>
      <w:r>
        <w:rPr>
          <w:rFonts w:ascii="Arial" w:hAnsi="Arial" w:cs="Arial"/>
          <w:sz w:val="20"/>
          <w:szCs w:val="20"/>
          <w:lang w:val="en-SG"/>
        </w:rPr>
        <w:t xml:space="preserve">The author of this paper has coined the phrase ‘changing profile of autistic behavior pattern (ABP)’ to refer to how the observable characteristics, strengths, challenges, and needs of an individual with autism can shift or change over time, not because autism </w:t>
      </w:r>
      <w:r>
        <w:rPr>
          <w:rFonts w:ascii="Arial" w:hAnsi="Arial" w:cs="Arial"/>
          <w:i/>
          <w:iCs/>
          <w:sz w:val="20"/>
          <w:szCs w:val="20"/>
          <w:lang w:val="en-SG"/>
        </w:rPr>
        <w:t>goes away</w:t>
      </w:r>
      <w:r>
        <w:rPr>
          <w:rFonts w:ascii="Arial" w:hAnsi="Arial" w:cs="Arial"/>
          <w:sz w:val="20"/>
          <w:szCs w:val="20"/>
          <w:lang w:val="en-SG"/>
        </w:rPr>
        <w:t>, but because development, environment, learning, and life experiences influence how these autistic traits are expressed. That is in a real-life situation, where ABP means changes in one’s autistic behavioral profile as presented in Table 1:</w:t>
      </w:r>
    </w:p>
    <w:p w14:paraId="624E542D">
      <w:pPr>
        <w:rPr>
          <w:rFonts w:ascii="Arial" w:hAnsi="Arial" w:cs="Arial"/>
          <w:sz w:val="20"/>
          <w:szCs w:val="20"/>
          <w:lang w:val="en-SG"/>
        </w:rPr>
      </w:pPr>
    </w:p>
    <w:p w14:paraId="39BEBE1B">
      <w:pPr>
        <w:jc w:val="center"/>
        <w:rPr>
          <w:rFonts w:ascii="Arial" w:hAnsi="Arial" w:cs="Arial"/>
          <w:sz w:val="20"/>
          <w:szCs w:val="20"/>
          <w:highlight w:val="yellow"/>
          <w:lang w:val="en-SG"/>
        </w:rPr>
      </w:pPr>
      <w:r>
        <w:rPr>
          <w:rFonts w:ascii="Arial" w:hAnsi="Arial" w:cs="Arial"/>
          <w:sz w:val="20"/>
          <w:szCs w:val="20"/>
          <w:highlight w:val="yellow"/>
          <w:lang w:val="en-SG"/>
        </w:rPr>
        <w:t>Table 1. Changing Profile of ABP</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3245"/>
        <w:gridCol w:w="3246"/>
      </w:tblGrid>
      <w:tr w14:paraId="6676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tcBorders>
              <w:top w:val="single" w:color="auto" w:sz="4" w:space="0"/>
              <w:left w:val="single" w:color="auto" w:sz="4" w:space="0"/>
              <w:bottom w:val="single" w:color="auto" w:sz="4" w:space="0"/>
              <w:right w:val="single" w:color="auto" w:sz="4" w:space="0"/>
            </w:tcBorders>
            <w:shd w:val="clear" w:color="auto" w:fill="D8D8D8"/>
          </w:tcPr>
          <w:p w14:paraId="4D340E87">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Factors</w:t>
            </w:r>
          </w:p>
        </w:tc>
        <w:tc>
          <w:tcPr>
            <w:tcW w:w="3245" w:type="dxa"/>
            <w:tcBorders>
              <w:top w:val="single" w:color="auto" w:sz="4" w:space="0"/>
              <w:left w:val="single" w:color="auto" w:sz="4" w:space="0"/>
              <w:bottom w:val="single" w:color="auto" w:sz="4" w:space="0"/>
              <w:right w:val="single" w:color="auto" w:sz="4" w:space="0"/>
            </w:tcBorders>
            <w:shd w:val="clear" w:color="auto" w:fill="D8D8D8"/>
          </w:tcPr>
          <w:p w14:paraId="611E232A">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What happens</w:t>
            </w:r>
          </w:p>
        </w:tc>
        <w:tc>
          <w:tcPr>
            <w:tcW w:w="3246" w:type="dxa"/>
            <w:tcBorders>
              <w:top w:val="single" w:color="auto" w:sz="4" w:space="0"/>
              <w:left w:val="single" w:color="auto" w:sz="4" w:space="0"/>
              <w:bottom w:val="single" w:color="auto" w:sz="4" w:space="0"/>
              <w:right w:val="single" w:color="auto" w:sz="4" w:space="0"/>
            </w:tcBorders>
            <w:shd w:val="clear" w:color="auto" w:fill="D8D8D8"/>
          </w:tcPr>
          <w:p w14:paraId="5C37DF18">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Examples</w:t>
            </w:r>
          </w:p>
        </w:tc>
      </w:tr>
      <w:tr w14:paraId="1056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tcBorders>
              <w:top w:val="single" w:color="auto" w:sz="4" w:space="0"/>
              <w:left w:val="single" w:color="auto" w:sz="4" w:space="0"/>
              <w:bottom w:val="single" w:color="auto" w:sz="4" w:space="0"/>
              <w:right w:val="single" w:color="auto" w:sz="4" w:space="0"/>
            </w:tcBorders>
          </w:tcPr>
          <w:p w14:paraId="69D65D21">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Developmental changes</w:t>
            </w:r>
          </w:p>
        </w:tc>
        <w:tc>
          <w:tcPr>
            <w:tcW w:w="3245" w:type="dxa"/>
            <w:tcBorders>
              <w:top w:val="single" w:color="auto" w:sz="4" w:space="0"/>
              <w:left w:val="single" w:color="auto" w:sz="4" w:space="0"/>
              <w:bottom w:val="single" w:color="auto" w:sz="4" w:space="0"/>
              <w:right w:val="single" w:color="auto" w:sz="4" w:space="0"/>
            </w:tcBorders>
          </w:tcPr>
          <w:p w14:paraId="5FBF9833">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Certain autistic traits may be more pronounced in early childhood (e.g., sensory seeking, repetitive play, picky in eating) and may evolve in adolescence or adulthood (e.g., social withdrawal, different coping strategies).</w:t>
            </w:r>
          </w:p>
        </w:tc>
        <w:tc>
          <w:tcPr>
            <w:tcW w:w="3246" w:type="dxa"/>
            <w:tcBorders>
              <w:top w:val="single" w:color="auto" w:sz="4" w:space="0"/>
              <w:left w:val="single" w:color="auto" w:sz="4" w:space="0"/>
              <w:bottom w:val="single" w:color="auto" w:sz="4" w:space="0"/>
              <w:right w:val="single" w:color="auto" w:sz="4" w:space="0"/>
            </w:tcBorders>
          </w:tcPr>
          <w:p w14:paraId="543EB4DE">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Communication skills may improve, while anxiety or challenges in executive functioning skills become more explicitly evident.</w:t>
            </w:r>
          </w:p>
          <w:p w14:paraId="04AD8869">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p>
        </w:tc>
      </w:tr>
      <w:tr w14:paraId="6359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tcBorders>
              <w:top w:val="single" w:color="auto" w:sz="4" w:space="0"/>
              <w:left w:val="single" w:color="auto" w:sz="4" w:space="0"/>
              <w:bottom w:val="single" w:color="auto" w:sz="4" w:space="0"/>
              <w:right w:val="single" w:color="auto" w:sz="4" w:space="0"/>
            </w:tcBorders>
          </w:tcPr>
          <w:p w14:paraId="6F63F761">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Impact of interventions &amp; support</w:t>
            </w:r>
          </w:p>
        </w:tc>
        <w:tc>
          <w:tcPr>
            <w:tcW w:w="3245" w:type="dxa"/>
            <w:tcBorders>
              <w:top w:val="single" w:color="auto" w:sz="4" w:space="0"/>
              <w:left w:val="single" w:color="auto" w:sz="4" w:space="0"/>
              <w:bottom w:val="single" w:color="auto" w:sz="4" w:space="0"/>
              <w:right w:val="single" w:color="auto" w:sz="4" w:space="0"/>
            </w:tcBorders>
          </w:tcPr>
          <w:p w14:paraId="6916300F">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Speech therapy, occupational therapy, educational therapy, special accommodations (e.g., use of assistive technology), and social skills training can help some skills strengthen, altering the visible profile of behaviors.</w:t>
            </w:r>
          </w:p>
        </w:tc>
        <w:tc>
          <w:tcPr>
            <w:tcW w:w="3246" w:type="dxa"/>
            <w:tcBorders>
              <w:top w:val="single" w:color="auto" w:sz="4" w:space="0"/>
              <w:left w:val="single" w:color="auto" w:sz="4" w:space="0"/>
              <w:bottom w:val="single" w:color="auto" w:sz="4" w:space="0"/>
              <w:right w:val="single" w:color="auto" w:sz="4" w:space="0"/>
            </w:tcBorders>
          </w:tcPr>
          <w:p w14:paraId="133E97F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An individual with autism who used to struggle in initiating conversation may become more socially interactive, but still need support in unstructured situations.</w:t>
            </w:r>
          </w:p>
        </w:tc>
      </w:tr>
      <w:tr w14:paraId="63CF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tcBorders>
              <w:top w:val="single" w:color="auto" w:sz="4" w:space="0"/>
              <w:left w:val="single" w:color="auto" w:sz="4" w:space="0"/>
              <w:bottom w:val="single" w:color="auto" w:sz="4" w:space="0"/>
              <w:right w:val="single" w:color="auto" w:sz="4" w:space="0"/>
            </w:tcBorders>
          </w:tcPr>
          <w:p w14:paraId="6B690C8B">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Environmental &amp; contextual influences</w:t>
            </w:r>
          </w:p>
        </w:tc>
        <w:tc>
          <w:tcPr>
            <w:tcW w:w="3245" w:type="dxa"/>
            <w:tcBorders>
              <w:top w:val="single" w:color="auto" w:sz="4" w:space="0"/>
              <w:left w:val="single" w:color="auto" w:sz="4" w:space="0"/>
              <w:bottom w:val="single" w:color="auto" w:sz="4" w:space="0"/>
              <w:right w:val="single" w:color="auto" w:sz="4" w:space="0"/>
            </w:tcBorders>
          </w:tcPr>
          <w:p w14:paraId="381321C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School, home, workplace, and other community settings can either mask or highlight certain autistic traits.</w:t>
            </w:r>
          </w:p>
          <w:p w14:paraId="51040E6F">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p>
        </w:tc>
        <w:tc>
          <w:tcPr>
            <w:tcW w:w="3246" w:type="dxa"/>
            <w:tcBorders>
              <w:top w:val="single" w:color="auto" w:sz="4" w:space="0"/>
              <w:left w:val="single" w:color="auto" w:sz="4" w:space="0"/>
              <w:bottom w:val="single" w:color="auto" w:sz="4" w:space="0"/>
              <w:right w:val="single" w:color="auto" w:sz="4" w:space="0"/>
            </w:tcBorders>
          </w:tcPr>
          <w:p w14:paraId="23AAA02D">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A structured environment (e.g., school) might reduce visible meltdowns. However, at home in a less structured setting, stress responses may be more apparent.</w:t>
            </w:r>
          </w:p>
        </w:tc>
      </w:tr>
      <w:tr w14:paraId="0ADA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tcBorders>
              <w:top w:val="single" w:color="auto" w:sz="4" w:space="0"/>
              <w:left w:val="single" w:color="auto" w:sz="4" w:space="0"/>
              <w:bottom w:val="single" w:color="auto" w:sz="4" w:space="0"/>
              <w:right w:val="single" w:color="auto" w:sz="4" w:space="0"/>
            </w:tcBorders>
          </w:tcPr>
          <w:p w14:paraId="316FAB68">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Masking and self-awareness</w:t>
            </w:r>
          </w:p>
        </w:tc>
        <w:tc>
          <w:tcPr>
            <w:tcW w:w="3245" w:type="dxa"/>
            <w:tcBorders>
              <w:top w:val="single" w:color="auto" w:sz="4" w:space="0"/>
              <w:left w:val="single" w:color="auto" w:sz="4" w:space="0"/>
              <w:bottom w:val="single" w:color="auto" w:sz="4" w:space="0"/>
              <w:right w:val="single" w:color="auto" w:sz="4" w:space="0"/>
            </w:tcBorders>
          </w:tcPr>
          <w:p w14:paraId="240F7C57">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Older children, adolescents, and/or adults may consciously or unconsciously ‘mask’ their autistic traits in order to fit in socially, changing how their behaviors are perceived.</w:t>
            </w:r>
          </w:p>
        </w:tc>
        <w:tc>
          <w:tcPr>
            <w:tcW w:w="3246" w:type="dxa"/>
            <w:tcBorders>
              <w:top w:val="single" w:color="auto" w:sz="4" w:space="0"/>
              <w:left w:val="single" w:color="auto" w:sz="4" w:space="0"/>
              <w:bottom w:val="single" w:color="auto" w:sz="4" w:space="0"/>
              <w:right w:val="single" w:color="auto" w:sz="4" w:space="0"/>
            </w:tcBorders>
          </w:tcPr>
          <w:p w14:paraId="0121DAFE">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This can lead to an outward change in behavioral profile while internal challenges remain.</w:t>
            </w:r>
          </w:p>
        </w:tc>
      </w:tr>
      <w:tr w14:paraId="7145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tcBorders>
              <w:top w:val="single" w:color="auto" w:sz="4" w:space="0"/>
              <w:left w:val="single" w:color="auto" w:sz="4" w:space="0"/>
              <w:bottom w:val="single" w:color="auto" w:sz="4" w:space="0"/>
              <w:right w:val="single" w:color="auto" w:sz="4" w:space="0"/>
            </w:tcBorders>
          </w:tcPr>
          <w:p w14:paraId="0E37CB3C">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Co-occurring conditions emerging or receding</w:t>
            </w:r>
          </w:p>
        </w:tc>
        <w:tc>
          <w:tcPr>
            <w:tcW w:w="3245" w:type="dxa"/>
            <w:tcBorders>
              <w:top w:val="single" w:color="auto" w:sz="4" w:space="0"/>
              <w:left w:val="single" w:color="auto" w:sz="4" w:space="0"/>
              <w:bottom w:val="single" w:color="auto" w:sz="4" w:space="0"/>
              <w:right w:val="single" w:color="auto" w:sz="4" w:space="0"/>
            </w:tcBorders>
          </w:tcPr>
          <w:p w14:paraId="0D7C7CF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Conditions like ADHD, anxiety, depression, or epilepsy can change the behavioral profile over time.</w:t>
            </w:r>
          </w:p>
        </w:tc>
        <w:tc>
          <w:tcPr>
            <w:tcW w:w="3246" w:type="dxa"/>
            <w:tcBorders>
              <w:top w:val="single" w:color="auto" w:sz="4" w:space="0"/>
              <w:left w:val="single" w:color="auto" w:sz="4" w:space="0"/>
              <w:bottom w:val="single" w:color="auto" w:sz="4" w:space="0"/>
              <w:right w:val="single" w:color="auto" w:sz="4" w:space="0"/>
            </w:tcBorders>
          </w:tcPr>
          <w:p w14:paraId="7BD3392D">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Stress and anxiety might increase during adolescence, altering social interaction or participation patterns.</w:t>
            </w:r>
          </w:p>
        </w:tc>
      </w:tr>
    </w:tbl>
    <w:p w14:paraId="21F986AE">
      <w:pPr>
        <w:rPr>
          <w:rFonts w:ascii="Arial" w:hAnsi="Arial" w:cs="Arial"/>
          <w:sz w:val="20"/>
          <w:szCs w:val="20"/>
          <w:lang w:val="en-SG"/>
        </w:rPr>
      </w:pPr>
    </w:p>
    <w:p w14:paraId="2D3AFFE3">
      <w:pPr>
        <w:rPr>
          <w:rFonts w:ascii="Arial" w:hAnsi="Arial" w:cs="Arial"/>
          <w:sz w:val="20"/>
          <w:szCs w:val="20"/>
          <w:lang w:val="en-SG"/>
        </w:rPr>
      </w:pPr>
      <w:r>
        <w:rPr>
          <w:rFonts w:ascii="Arial" w:hAnsi="Arial" w:cs="Arial"/>
          <w:sz w:val="20"/>
          <w:szCs w:val="20"/>
          <w:lang w:val="en-SG"/>
        </w:rPr>
        <w:t>In short, the</w:t>
      </w:r>
      <w:r>
        <w:rPr>
          <w:rFonts w:ascii="Arial" w:hAnsi="Arial" w:cs="Arial"/>
          <w:sz w:val="20"/>
          <w:szCs w:val="20"/>
        </w:rPr>
        <w:t xml:space="preserve"> term</w:t>
      </w:r>
      <w:r>
        <w:rPr>
          <w:rFonts w:ascii="Arial" w:hAnsi="Arial" w:cs="Arial"/>
          <w:sz w:val="20"/>
          <w:szCs w:val="20"/>
          <w:lang w:val="en-SG"/>
        </w:rPr>
        <w:t xml:space="preserve"> </w:t>
      </w:r>
      <w:r>
        <w:rPr>
          <w:rFonts w:ascii="Arial" w:hAnsi="Arial" w:cs="Arial"/>
          <w:i/>
          <w:iCs/>
          <w:sz w:val="20"/>
          <w:szCs w:val="20"/>
          <w:lang w:val="en-SG"/>
        </w:rPr>
        <w:t>changing profile</w:t>
      </w:r>
      <w:r>
        <w:rPr>
          <w:rFonts w:ascii="Arial" w:hAnsi="Arial" w:cs="Arial"/>
          <w:sz w:val="20"/>
          <w:szCs w:val="20"/>
          <w:lang w:val="en-SG"/>
        </w:rPr>
        <w:t xml:space="preserve"> does not mean autism itself changes or is changing. What it means is the way that autism is expressed and observed evolves gradually with age, context, support, and co-occurring factors. Professionals use this concept to adjust their intervention plans as well as to re-evaluate learning goals and expected outcomes at different life stages.</w:t>
      </w:r>
    </w:p>
    <w:p w14:paraId="09596ACB">
      <w:pPr>
        <w:rPr>
          <w:rFonts w:ascii="Arial" w:hAnsi="Arial" w:cs="Arial"/>
          <w:lang w:val="en-SG"/>
        </w:rPr>
      </w:pPr>
      <w:r>
        <w:rPr>
          <w:rFonts w:ascii="Arial" w:hAnsi="Arial" w:cs="Arial"/>
          <w:lang w:val="en-SG"/>
        </w:rPr>
        <w:t xml:space="preserve"> </w:t>
      </w:r>
    </w:p>
    <w:p w14:paraId="5A40D589">
      <w:pPr>
        <w:rPr>
          <w:rFonts w:ascii="Arial" w:hAnsi="Arial" w:cs="Arial"/>
          <w:b/>
          <w:bCs/>
          <w:lang w:val="en-SG"/>
        </w:rPr>
      </w:pPr>
      <w:r>
        <w:rPr>
          <w:rFonts w:ascii="Arial" w:hAnsi="Arial" w:cs="Arial"/>
          <w:b/>
          <w:bCs/>
          <w:lang w:val="en-SG"/>
        </w:rPr>
        <w:t>2.1 Changing Profile of Autistic Behavior Pattern (ABP): A Developmental Overview</w:t>
      </w:r>
    </w:p>
    <w:p w14:paraId="7B269F69">
      <w:pPr>
        <w:pStyle w:val="20"/>
        <w:spacing w:beforeAutospacing="0" w:afterAutospacing="0"/>
        <w:jc w:val="both"/>
        <w:rPr>
          <w:rFonts w:ascii="Arial" w:hAnsi="Arial" w:cs="Arial"/>
          <w:sz w:val="20"/>
          <w:szCs w:val="20"/>
        </w:rPr>
      </w:pPr>
      <w:r>
        <w:rPr>
          <w:rFonts w:ascii="Arial" w:hAnsi="Arial" w:cs="Arial"/>
          <w:sz w:val="20"/>
          <w:szCs w:val="20"/>
          <w:lang w:val="en-SG"/>
        </w:rPr>
        <w:t>The profile of autistic behavior continues to evolve to adapt across lifespan developmental stages (</w:t>
      </w:r>
      <w:r>
        <w:rPr>
          <w:rFonts w:ascii="Arial" w:hAnsi="Arial" w:eastAsia="DengXian" w:cs="Arial"/>
          <w:sz w:val="20"/>
          <w:szCs w:val="20"/>
          <w:highlight w:val="yellow"/>
          <w:lang w:val="en-US" w:eastAsia="zh-CN" w:bidi="ar"/>
        </w:rPr>
        <w:t>Mokhwelepa, Sumbane, &amp; Ngwenya, 2025</w:t>
      </w:r>
      <w:r>
        <w:rPr>
          <w:rFonts w:hint="default" w:ascii="Arial" w:hAnsi="Arial" w:eastAsia="DengXian" w:cs="Arial"/>
          <w:sz w:val="20"/>
          <w:szCs w:val="20"/>
          <w:lang w:val="en-SG" w:eastAsia="zh-CN" w:bidi="ar"/>
        </w:rPr>
        <w:t xml:space="preserve">; </w:t>
      </w:r>
      <w:r>
        <w:rPr>
          <w:rFonts w:ascii="Arial" w:hAnsi="Arial" w:eastAsia="DengXian" w:cs="Arial"/>
          <w:kern w:val="2"/>
          <w:sz w:val="20"/>
          <w:szCs w:val="20"/>
          <w:lang w:bidi="ar"/>
          <w14:ligatures w14:val="standardContextual"/>
        </w:rPr>
        <w:t>Tantam, 2012)</w:t>
      </w:r>
      <w:r>
        <w:rPr>
          <w:rFonts w:ascii="Arial" w:hAnsi="Arial" w:cs="Arial"/>
          <w:sz w:val="20"/>
          <w:szCs w:val="20"/>
          <w:lang w:val="en-SG"/>
        </w:rPr>
        <w:t>, reflecting a stable neurotype expressed through changing strengths and challenges influenced by development, environment, and experience. The term</w:t>
      </w:r>
      <w:r>
        <w:rPr>
          <w:rFonts w:ascii="Arial" w:hAnsi="Arial" w:cs="Arial"/>
          <w:sz w:val="20"/>
          <w:szCs w:val="20"/>
        </w:rPr>
        <w:t xml:space="preserve"> </w:t>
      </w:r>
      <w:r>
        <w:rPr>
          <w:rStyle w:val="21"/>
          <w:rFonts w:ascii="Arial" w:hAnsi="Arial" w:cs="Arial"/>
          <w:b w:val="0"/>
          <w:bCs w:val="0"/>
          <w:i/>
          <w:iCs/>
          <w:sz w:val="20"/>
          <w:szCs w:val="20"/>
        </w:rPr>
        <w:t>neurotype</w:t>
      </w:r>
      <w:r>
        <w:rPr>
          <w:rStyle w:val="21"/>
          <w:rFonts w:ascii="Arial" w:hAnsi="Arial" w:cs="Arial"/>
          <w:b w:val="0"/>
          <w:bCs w:val="0"/>
          <w:sz w:val="20"/>
          <w:szCs w:val="20"/>
          <w:lang w:val="en-SG"/>
        </w:rPr>
        <w:t xml:space="preserve"> refers</w:t>
      </w:r>
      <w:r>
        <w:rPr>
          <w:rFonts w:ascii="Arial" w:hAnsi="Arial" w:cs="Arial"/>
          <w:sz w:val="20"/>
          <w:szCs w:val="20"/>
        </w:rPr>
        <w:t xml:space="preserve"> </w:t>
      </w:r>
      <w:r>
        <w:rPr>
          <w:rFonts w:ascii="Arial" w:hAnsi="Arial" w:cs="Arial"/>
          <w:sz w:val="20"/>
          <w:szCs w:val="20"/>
          <w:lang w:val="en-SG"/>
        </w:rPr>
        <w:t xml:space="preserve">to </w:t>
      </w:r>
      <w:r>
        <w:rPr>
          <w:rFonts w:ascii="Arial" w:hAnsi="Arial" w:cs="Arial"/>
          <w:sz w:val="20"/>
          <w:szCs w:val="20"/>
        </w:rPr>
        <w:t>an individual</w:t>
      </w:r>
      <w:r>
        <w:rPr>
          <w:rFonts w:ascii="Arial" w:hAnsi="Arial" w:cs="Arial"/>
          <w:sz w:val="20"/>
          <w:szCs w:val="20"/>
          <w:lang w:val="en-SG"/>
        </w:rPr>
        <w:t>’</w:t>
      </w:r>
      <w:r>
        <w:rPr>
          <w:rFonts w:ascii="Arial" w:hAnsi="Arial" w:cs="Arial"/>
          <w:sz w:val="20"/>
          <w:szCs w:val="20"/>
        </w:rPr>
        <w:t xml:space="preserve">s unique pattern of </w:t>
      </w:r>
      <w:r>
        <w:rPr>
          <w:rFonts w:ascii="Arial" w:hAnsi="Arial" w:cs="Arial"/>
          <w:sz w:val="20"/>
          <w:szCs w:val="20"/>
          <w:lang w:val="en-SG"/>
        </w:rPr>
        <w:t>neurological or cognitive</w:t>
      </w:r>
      <w:r>
        <w:rPr>
          <w:rFonts w:ascii="Arial" w:hAnsi="Arial" w:cs="Arial"/>
          <w:sz w:val="20"/>
          <w:szCs w:val="20"/>
        </w:rPr>
        <w:t xml:space="preserve"> functioning, thinking, and processing, </w:t>
      </w:r>
      <w:r>
        <w:rPr>
          <w:rFonts w:ascii="Arial" w:hAnsi="Arial" w:cs="Arial"/>
          <w:sz w:val="20"/>
          <w:szCs w:val="20"/>
          <w:lang w:val="en-SG"/>
        </w:rPr>
        <w:t xml:space="preserve">and is </w:t>
      </w:r>
      <w:r>
        <w:rPr>
          <w:rFonts w:ascii="Arial" w:hAnsi="Arial" w:cs="Arial"/>
          <w:sz w:val="20"/>
          <w:szCs w:val="20"/>
        </w:rPr>
        <w:t xml:space="preserve">often </w:t>
      </w:r>
      <w:r>
        <w:rPr>
          <w:rFonts w:ascii="Arial" w:hAnsi="Arial" w:cs="Arial"/>
          <w:sz w:val="20"/>
          <w:szCs w:val="20"/>
          <w:lang w:val="en-SG"/>
        </w:rPr>
        <w:t>applied</w:t>
      </w:r>
      <w:r>
        <w:rPr>
          <w:rFonts w:ascii="Arial" w:hAnsi="Arial" w:cs="Arial"/>
          <w:sz w:val="20"/>
          <w:szCs w:val="20"/>
        </w:rPr>
        <w:t xml:space="preserve"> to di</w:t>
      </w:r>
      <w:r>
        <w:rPr>
          <w:rFonts w:ascii="Arial" w:hAnsi="Arial" w:cs="Arial"/>
          <w:sz w:val="20"/>
          <w:szCs w:val="20"/>
          <w:lang w:val="en-SG"/>
        </w:rPr>
        <w:t>fferentiate</w:t>
      </w:r>
      <w:r>
        <w:rPr>
          <w:rFonts w:ascii="Arial" w:hAnsi="Arial" w:cs="Arial"/>
          <w:sz w:val="20"/>
          <w:szCs w:val="20"/>
        </w:rPr>
        <w:t xml:space="preserve"> between neurotypical and neurodivergent experiences.</w:t>
      </w:r>
    </w:p>
    <w:p w14:paraId="42901591">
      <w:pPr>
        <w:pStyle w:val="20"/>
        <w:spacing w:beforeAutospacing="0" w:afterAutospacing="0"/>
        <w:jc w:val="both"/>
        <w:rPr>
          <w:rFonts w:ascii="Arial" w:hAnsi="Arial" w:cs="Arial"/>
          <w:sz w:val="20"/>
          <w:szCs w:val="20"/>
        </w:rPr>
      </w:pPr>
    </w:p>
    <w:p w14:paraId="6BE46512">
      <w:pPr>
        <w:rPr>
          <w:rFonts w:ascii="Arial" w:hAnsi="Arial" w:cs="Arial"/>
          <w:sz w:val="20"/>
          <w:szCs w:val="20"/>
          <w:lang w:val="en-SG"/>
        </w:rPr>
      </w:pPr>
      <w:r>
        <w:rPr>
          <w:rFonts w:ascii="Arial" w:hAnsi="Arial" w:eastAsia="Segoe UI" w:cs="Arial"/>
          <w:color w:val="212121"/>
          <w:sz w:val="20"/>
          <w:szCs w:val="20"/>
          <w:shd w:val="clear" w:color="auto" w:fill="FFFFFF"/>
          <w:lang w:val="en-SG"/>
        </w:rPr>
        <w:t xml:space="preserve">According to </w:t>
      </w:r>
      <w:r>
        <w:rPr>
          <w:rFonts w:ascii="Arial" w:hAnsi="Arial" w:eastAsia="DengXian" w:cs="Arial"/>
          <w:sz w:val="20"/>
          <w:szCs w:val="20"/>
          <w:highlight w:val="yellow"/>
          <w:lang w:val="en-US" w:eastAsia="zh-CN" w:bidi="ar"/>
        </w:rPr>
        <w:t xml:space="preserve">Volkmar, Reichow, </w:t>
      </w:r>
      <w:r>
        <w:rPr>
          <w:rFonts w:hint="default" w:ascii="Arial" w:hAnsi="Arial" w:eastAsia="DengXian" w:cs="Arial"/>
          <w:sz w:val="20"/>
          <w:szCs w:val="20"/>
          <w:highlight w:val="yellow"/>
          <w:lang w:val="en-SG" w:eastAsia="zh-CN" w:bidi="ar"/>
        </w:rPr>
        <w:t>and</w:t>
      </w:r>
      <w:r>
        <w:rPr>
          <w:rFonts w:ascii="Arial" w:hAnsi="Arial" w:eastAsia="DengXian" w:cs="Arial"/>
          <w:sz w:val="20"/>
          <w:szCs w:val="20"/>
          <w:highlight w:val="yellow"/>
          <w:lang w:val="en-US" w:eastAsia="zh-CN" w:bidi="ar"/>
        </w:rPr>
        <w:t xml:space="preserve"> McPartland (2024)</w:t>
      </w:r>
      <w:r>
        <w:rPr>
          <w:rFonts w:ascii="Arial" w:hAnsi="Arial" w:eastAsia="Segoe UI" w:cs="Arial"/>
          <w:color w:val="212121"/>
          <w:sz w:val="20"/>
          <w:szCs w:val="20"/>
          <w:highlight w:val="yellow"/>
          <w:shd w:val="clear" w:color="auto" w:fill="FFFFFF"/>
        </w:rPr>
        <w:t xml:space="preserve">, </w:t>
      </w:r>
      <w:r>
        <w:rPr>
          <w:rFonts w:ascii="Arial" w:hAnsi="Arial" w:eastAsia="Segoe UI" w:cs="Arial"/>
          <w:color w:val="212121"/>
          <w:sz w:val="20"/>
          <w:szCs w:val="20"/>
          <w:shd w:val="clear" w:color="auto" w:fill="FFFFFF"/>
        </w:rPr>
        <w:t xml:space="preserve">research </w:t>
      </w:r>
      <w:r>
        <w:rPr>
          <w:rFonts w:ascii="Arial" w:hAnsi="Arial" w:eastAsia="Segoe UI" w:cs="Arial"/>
          <w:color w:val="212121"/>
          <w:sz w:val="20"/>
          <w:szCs w:val="20"/>
          <w:shd w:val="clear" w:color="auto" w:fill="FFFFFF"/>
          <w:lang w:val="en-SG"/>
        </w:rPr>
        <w:t xml:space="preserve">on autism has been </w:t>
      </w:r>
      <w:r>
        <w:rPr>
          <w:rFonts w:ascii="Arial" w:hAnsi="Arial" w:eastAsia="Segoe UI" w:cs="Arial"/>
          <w:color w:val="212121"/>
          <w:sz w:val="20"/>
          <w:szCs w:val="20"/>
          <w:shd w:val="clear" w:color="auto" w:fill="FFFFFF"/>
        </w:rPr>
        <w:t>focus</w:t>
      </w:r>
      <w:r>
        <w:rPr>
          <w:rFonts w:ascii="Arial" w:hAnsi="Arial" w:eastAsia="Segoe UI" w:cs="Arial"/>
          <w:color w:val="212121"/>
          <w:sz w:val="20"/>
          <w:szCs w:val="20"/>
          <w:shd w:val="clear" w:color="auto" w:fill="FFFFFF"/>
          <w:lang w:val="en-SG"/>
        </w:rPr>
        <w:t>ing</w:t>
      </w:r>
      <w:r>
        <w:rPr>
          <w:rFonts w:ascii="Arial" w:hAnsi="Arial" w:eastAsia="Segoe UI" w:cs="Arial"/>
          <w:color w:val="212121"/>
          <w:sz w:val="20"/>
          <w:szCs w:val="20"/>
          <w:shd w:val="clear" w:color="auto" w:fill="FFFFFF"/>
        </w:rPr>
        <w:t xml:space="preserve"> more heavily on problems in childhood</w:t>
      </w:r>
      <w:r>
        <w:rPr>
          <w:rFonts w:ascii="Arial" w:hAnsi="Arial" w:eastAsia="Segoe UI" w:cs="Arial"/>
          <w:color w:val="212121"/>
          <w:sz w:val="20"/>
          <w:szCs w:val="20"/>
          <w:shd w:val="clear" w:color="auto" w:fill="FFFFFF"/>
          <w:lang w:val="en-SG"/>
        </w:rPr>
        <w:t xml:space="preserve"> rather than adolescence and adulthood. That does not mean that the later lifespan development of an individual with autism is less important. In fact, there is a need to delve deeply into the lifespan developmental changes with their challenging issues encountered by individuals with autism as they grow and age. Generally, d</w:t>
      </w:r>
      <w:r>
        <w:rPr>
          <w:rFonts w:ascii="Arial" w:hAnsi="Arial" w:cs="Arial"/>
          <w:sz w:val="20"/>
          <w:szCs w:val="20"/>
          <w:lang w:val="en-SG"/>
        </w:rPr>
        <w:t xml:space="preserve">uring the early childhood phase, autistic traits (e.g., intense focus and strong memory) often coexist with communication delays and sensory sensitivities, and these should be addressed through early intervention and structured routines. As children with autism grow and move into the middle childhood phase, vocabulary and practical skills improve, though social misunderstandings, feelings of stress and anxiety may also emerge, shaped by school and peer dynamics. Next, the phase of adolescence brings potential for abstract thinking and self-advocacy, alongside heightened social pressure and executive functioning struggles, often influenced by puberty and academic demands. Moving into the early adulthood phase, individuals with autism may show high attentiveness to detail (known as hyperfocus) and dedication to specific interests, yet face continuous challenges in workplace employment as well as independent living, and, hence, they need to rely on support systems available to them. By the middle adulthood phase, many develop deep expertise and coping strategies, though they may also experience burnout or health-related difficulties (also see </w:t>
      </w:r>
      <w:r>
        <w:rPr>
          <w:rFonts w:ascii="Arial" w:hAnsi="Arial" w:eastAsia="DengXian" w:cs="Arial"/>
          <w:sz w:val="20"/>
          <w:szCs w:val="20"/>
          <w:lang w:bidi="ar"/>
        </w:rPr>
        <w:t>Drmic,</w:t>
      </w:r>
      <w:r>
        <w:rPr>
          <w:rFonts w:ascii="Arial" w:hAnsi="Arial" w:eastAsia="DengXian" w:cs="Arial"/>
          <w:sz w:val="20"/>
          <w:szCs w:val="20"/>
          <w:lang w:val="en-SG" w:bidi="ar"/>
        </w:rPr>
        <w:t xml:space="preserve"> </w:t>
      </w:r>
      <w:r>
        <w:rPr>
          <w:rFonts w:ascii="Arial" w:hAnsi="Arial" w:eastAsia="DengXian" w:cs="Arial"/>
          <w:sz w:val="20"/>
          <w:szCs w:val="20"/>
          <w:lang w:bidi="ar"/>
        </w:rPr>
        <w:t xml:space="preserve"> Szatmari, &amp; Volkmar, 2017)</w:t>
      </w:r>
      <w:r>
        <w:rPr>
          <w:rFonts w:ascii="Arial" w:hAnsi="Arial" w:cs="Arial"/>
          <w:sz w:val="20"/>
          <w:szCs w:val="20"/>
          <w:lang w:val="en-SG"/>
        </w:rPr>
        <w:t>, with accommodations and life experience playing key roles (</w:t>
      </w:r>
      <w:r>
        <w:rPr>
          <w:rFonts w:ascii="Arial" w:hAnsi="Arial" w:eastAsia="DengXian" w:cs="Arial"/>
          <w:sz w:val="20"/>
          <w:szCs w:val="20"/>
          <w:lang w:bidi="ar"/>
        </w:rPr>
        <w:t>Kuzminski</w:t>
      </w:r>
      <w:r>
        <w:rPr>
          <w:rFonts w:ascii="Arial" w:hAnsi="Arial" w:eastAsia="DengXian" w:cs="Arial"/>
          <w:sz w:val="20"/>
          <w:szCs w:val="20"/>
          <w:lang w:val="en-SG" w:bidi="ar"/>
        </w:rPr>
        <w:t xml:space="preserve"> et al., 2024; Maljaars et al., 2023)</w:t>
      </w:r>
      <w:r>
        <w:rPr>
          <w:rFonts w:ascii="Arial" w:hAnsi="Arial" w:cs="Arial"/>
          <w:sz w:val="20"/>
          <w:szCs w:val="20"/>
          <w:lang w:val="en-SG"/>
        </w:rPr>
        <w:t>. Throughout life, the autistic behavior profile shifts in its presentation, not in essence, adapting with context (e.g., home, school, and/or work), support (i.e., a</w:t>
      </w:r>
      <w:r>
        <w:rPr>
          <w:rFonts w:ascii="Arial" w:hAnsi="Arial" w:eastAsia="SimSun" w:cs="Arial"/>
          <w:sz w:val="20"/>
          <w:szCs w:val="20"/>
        </w:rPr>
        <w:t xml:space="preserve">ccess to therapy, accommodations, understanding relationships, </w:t>
      </w:r>
      <w:r>
        <w:rPr>
          <w:rFonts w:ascii="Arial" w:hAnsi="Arial" w:eastAsia="SimSun" w:cs="Arial"/>
          <w:sz w:val="20"/>
          <w:szCs w:val="20"/>
          <w:lang w:val="en-SG"/>
        </w:rPr>
        <w:t>and/</w:t>
      </w:r>
      <w:r>
        <w:rPr>
          <w:rFonts w:ascii="Arial" w:hAnsi="Arial" w:eastAsia="SimSun" w:cs="Arial"/>
          <w:sz w:val="20"/>
          <w:szCs w:val="20"/>
        </w:rPr>
        <w:t>or community</w:t>
      </w:r>
      <w:r>
        <w:rPr>
          <w:rFonts w:ascii="Arial" w:hAnsi="Arial" w:eastAsia="SimSun" w:cs="Arial"/>
          <w:sz w:val="20"/>
          <w:szCs w:val="20"/>
          <w:lang w:val="en-SG"/>
        </w:rPr>
        <w:t xml:space="preserve"> services)</w:t>
      </w:r>
      <w:r>
        <w:rPr>
          <w:rFonts w:ascii="Arial" w:hAnsi="Arial" w:cs="Arial"/>
          <w:sz w:val="20"/>
          <w:szCs w:val="20"/>
          <w:lang w:val="en-SG"/>
        </w:rPr>
        <w:t xml:space="preserve">, and personal growth, which involves </w:t>
      </w:r>
      <w:r>
        <w:rPr>
          <w:rFonts w:ascii="Arial" w:hAnsi="Arial" w:eastAsia="SimSun" w:cs="Arial"/>
          <w:sz w:val="20"/>
          <w:szCs w:val="20"/>
        </w:rPr>
        <w:t>gain</w:t>
      </w:r>
      <w:r>
        <w:rPr>
          <w:rFonts w:ascii="Arial" w:hAnsi="Arial" w:eastAsia="SimSun" w:cs="Arial"/>
          <w:sz w:val="20"/>
          <w:szCs w:val="20"/>
          <w:lang w:val="en-SG"/>
        </w:rPr>
        <w:t>ing</w:t>
      </w:r>
      <w:r>
        <w:rPr>
          <w:rFonts w:ascii="Arial" w:hAnsi="Arial" w:eastAsia="SimSun" w:cs="Arial"/>
          <w:sz w:val="20"/>
          <w:szCs w:val="20"/>
        </w:rPr>
        <w:t xml:space="preserve"> experience, self-awareness, and skills, </w:t>
      </w:r>
      <w:r>
        <w:rPr>
          <w:rFonts w:ascii="Arial" w:hAnsi="Arial" w:eastAsia="SimSun" w:cs="Arial"/>
          <w:sz w:val="20"/>
          <w:szCs w:val="20"/>
          <w:lang w:val="en-SG"/>
        </w:rPr>
        <w:t xml:space="preserve">as </w:t>
      </w:r>
      <w:r>
        <w:rPr>
          <w:rFonts w:ascii="Arial" w:hAnsi="Arial" w:eastAsia="SimSun" w:cs="Arial"/>
          <w:sz w:val="20"/>
          <w:szCs w:val="20"/>
        </w:rPr>
        <w:t xml:space="preserve">they adapt </w:t>
      </w:r>
      <w:r>
        <w:rPr>
          <w:rFonts w:ascii="Arial" w:hAnsi="Arial" w:eastAsia="SimSun" w:cs="Arial"/>
          <w:sz w:val="20"/>
          <w:szCs w:val="20"/>
          <w:lang w:val="en-SG"/>
        </w:rPr>
        <w:t xml:space="preserve">and </w:t>
      </w:r>
      <w:r>
        <w:rPr>
          <w:rFonts w:ascii="Arial" w:hAnsi="Arial" w:eastAsia="SimSun" w:cs="Arial"/>
          <w:sz w:val="20"/>
          <w:szCs w:val="20"/>
        </w:rPr>
        <w:t>interact with the</w:t>
      </w:r>
      <w:r>
        <w:rPr>
          <w:rFonts w:ascii="Arial" w:hAnsi="Arial" w:eastAsia="SimSun" w:cs="Arial"/>
          <w:sz w:val="20"/>
          <w:szCs w:val="20"/>
          <w:lang w:val="en-SG"/>
        </w:rPr>
        <w:t>ir environment</w:t>
      </w:r>
      <w:r>
        <w:rPr>
          <w:rFonts w:ascii="Arial" w:hAnsi="Arial" w:cs="Arial"/>
          <w:sz w:val="20"/>
          <w:szCs w:val="20"/>
          <w:lang w:val="en-SG"/>
        </w:rPr>
        <w:t xml:space="preserve"> (</w:t>
      </w:r>
      <w:r>
        <w:rPr>
          <w:rFonts w:ascii="Arial" w:hAnsi="Arial" w:eastAsia="DengXian" w:cs="Arial"/>
          <w:sz w:val="20"/>
          <w:szCs w:val="20"/>
          <w:lang w:bidi="ar"/>
        </w:rPr>
        <w:t>LeBlanc, Riley, &amp;  Goldsmith, 2008)</w:t>
      </w:r>
      <w:r>
        <w:rPr>
          <w:rFonts w:ascii="Arial" w:hAnsi="Arial" w:cs="Arial"/>
          <w:sz w:val="20"/>
          <w:szCs w:val="20"/>
          <w:lang w:val="en-SG"/>
        </w:rPr>
        <w:t>. More importantly, the quality of life should also be the key concern for individuals with autism (</w:t>
      </w:r>
      <w:r>
        <w:rPr>
          <w:rFonts w:ascii="Arial" w:hAnsi="Arial" w:eastAsia="DengXian" w:cs="Arial"/>
          <w:sz w:val="20"/>
          <w:szCs w:val="20"/>
          <w:lang w:bidi="ar"/>
        </w:rPr>
        <w:t>van Heijst, &amp; Geurts, 2015)</w:t>
      </w:r>
      <w:r>
        <w:rPr>
          <w:rFonts w:ascii="Arial" w:hAnsi="Arial" w:cs="Arial"/>
          <w:sz w:val="20"/>
          <w:szCs w:val="20"/>
          <w:lang w:val="en-SG"/>
        </w:rPr>
        <w:t xml:space="preserve">  </w:t>
      </w:r>
    </w:p>
    <w:p w14:paraId="1DD6CD21">
      <w:pPr>
        <w:rPr>
          <w:rFonts w:ascii="Arial" w:hAnsi="Arial" w:cs="Arial"/>
          <w:sz w:val="20"/>
          <w:szCs w:val="20"/>
          <w:lang w:val="en-SG"/>
        </w:rPr>
      </w:pPr>
    </w:p>
    <w:p w14:paraId="709DF369">
      <w:pPr>
        <w:rPr>
          <w:rFonts w:ascii="Arial" w:hAnsi="Arial" w:cs="Arial"/>
          <w:sz w:val="20"/>
          <w:szCs w:val="20"/>
          <w:lang w:val="en-SG"/>
        </w:rPr>
      </w:pPr>
      <w:r>
        <w:rPr>
          <w:rFonts w:ascii="Arial" w:hAnsi="Arial" w:cs="Arial"/>
          <w:sz w:val="20"/>
          <w:szCs w:val="20"/>
          <w:lang w:val="en-SG"/>
        </w:rPr>
        <w:t xml:space="preserve">Table 2 below shows a developmental timeline chart on how the profile of ABPs can shift across different lifespan developmental stages (also see </w:t>
      </w:r>
      <w:r>
        <w:rPr>
          <w:rFonts w:ascii="Arial" w:hAnsi="Arial" w:eastAsia="DengXian" w:cs="Arial"/>
          <w:sz w:val="20"/>
          <w:szCs w:val="20"/>
          <w:lang w:bidi="ar"/>
        </w:rPr>
        <w:t>Bradshaw, Schwichtenberg, &amp; Iverson, 2022</w:t>
      </w:r>
      <w:r>
        <w:rPr>
          <w:rFonts w:ascii="Arial" w:hAnsi="Arial" w:eastAsia="DengXian" w:cs="Arial"/>
          <w:sz w:val="20"/>
          <w:szCs w:val="20"/>
          <w:lang w:val="en-SG" w:bidi="ar"/>
        </w:rPr>
        <w:t xml:space="preserve">; Hong et al., 2023; </w:t>
      </w:r>
      <w:r>
        <w:rPr>
          <w:rFonts w:ascii="Arial" w:hAnsi="Arial" w:eastAsia="Segoe UI" w:cs="Arial"/>
          <w:color w:val="212121"/>
          <w:sz w:val="20"/>
          <w:szCs w:val="20"/>
          <w:shd w:val="clear" w:color="auto" w:fill="FFFFFF"/>
        </w:rPr>
        <w:t>Waizbard-Bartov &amp; Miller, 2023</w:t>
      </w:r>
      <w:r>
        <w:rPr>
          <w:rFonts w:ascii="Arial" w:hAnsi="Arial" w:cs="Arial"/>
          <w:sz w:val="20"/>
          <w:szCs w:val="20"/>
          <w:lang w:val="en-SG"/>
        </w:rPr>
        <w:t>). It is generalized, i.e., individual experiences in the autistic population vary a lot.</w:t>
      </w:r>
    </w:p>
    <w:p w14:paraId="5F7CB501">
      <w:pPr>
        <w:rPr>
          <w:rFonts w:ascii="Arial" w:hAnsi="Arial" w:cs="Arial"/>
          <w:sz w:val="20"/>
          <w:szCs w:val="20"/>
          <w:lang w:val="en-SG"/>
        </w:rPr>
      </w:pPr>
    </w:p>
    <w:p w14:paraId="435CB6EC">
      <w:pPr>
        <w:jc w:val="center"/>
        <w:rPr>
          <w:rFonts w:ascii="Arial" w:hAnsi="Arial" w:cs="Arial"/>
          <w:sz w:val="20"/>
          <w:szCs w:val="20"/>
          <w:highlight w:val="yellow"/>
          <w:lang w:val="en-SG"/>
        </w:rPr>
      </w:pPr>
      <w:r>
        <w:rPr>
          <w:rFonts w:ascii="Arial" w:hAnsi="Arial" w:cs="Arial"/>
          <w:sz w:val="20"/>
          <w:szCs w:val="20"/>
          <w:highlight w:val="yellow"/>
          <w:lang w:val="en-SG"/>
        </w:rPr>
        <w:t>Table 2. Developmental Phases of ABPs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030"/>
        <w:gridCol w:w="2434"/>
        <w:gridCol w:w="2434"/>
      </w:tblGrid>
      <w:tr w14:paraId="36AA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D8D8D8"/>
          </w:tcPr>
          <w:p w14:paraId="7B9EF669">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Lifespan Stage</w:t>
            </w:r>
          </w:p>
        </w:tc>
        <w:tc>
          <w:tcPr>
            <w:tcW w:w="3030" w:type="dxa"/>
            <w:tcBorders>
              <w:top w:val="single" w:color="auto" w:sz="4" w:space="0"/>
              <w:left w:val="nil"/>
              <w:bottom w:val="single" w:color="auto" w:sz="4" w:space="0"/>
              <w:right w:val="single" w:color="auto" w:sz="4" w:space="0"/>
            </w:tcBorders>
            <w:shd w:val="clear" w:color="auto" w:fill="D8D8D8"/>
          </w:tcPr>
          <w:p w14:paraId="1C601195">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Common Strengths &amp; Traits</w:t>
            </w:r>
          </w:p>
        </w:tc>
        <w:tc>
          <w:tcPr>
            <w:tcW w:w="2434" w:type="dxa"/>
            <w:tcBorders>
              <w:top w:val="single" w:color="auto" w:sz="4" w:space="0"/>
              <w:left w:val="nil"/>
              <w:bottom w:val="single" w:color="auto" w:sz="4" w:space="0"/>
              <w:right w:val="single" w:color="auto" w:sz="4" w:space="0"/>
            </w:tcBorders>
            <w:shd w:val="clear" w:color="auto" w:fill="D8D8D8"/>
          </w:tcPr>
          <w:p w14:paraId="2C8F4949">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Potential Challenges</w:t>
            </w:r>
          </w:p>
        </w:tc>
        <w:tc>
          <w:tcPr>
            <w:tcW w:w="2434" w:type="dxa"/>
            <w:tcBorders>
              <w:top w:val="single" w:color="auto" w:sz="4" w:space="0"/>
              <w:left w:val="nil"/>
              <w:bottom w:val="single" w:color="auto" w:sz="4" w:space="0"/>
              <w:right w:val="single" w:color="auto" w:sz="4" w:space="0"/>
            </w:tcBorders>
            <w:shd w:val="clear" w:color="auto" w:fill="D8D8D8"/>
          </w:tcPr>
          <w:p w14:paraId="0FFB4C4A">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Factors that may shift the Profile</w:t>
            </w:r>
          </w:p>
        </w:tc>
      </w:tr>
      <w:tr w14:paraId="6314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14:paraId="4419D297">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 xml:space="preserve">Early Childhood </w:t>
            </w:r>
          </w:p>
          <w:p w14:paraId="2DB0D016">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(0–6 years)</w:t>
            </w:r>
          </w:p>
        </w:tc>
        <w:tc>
          <w:tcPr>
            <w:tcW w:w="3030" w:type="dxa"/>
            <w:tcBorders>
              <w:top w:val="single" w:color="auto" w:sz="4" w:space="0"/>
              <w:left w:val="nil"/>
              <w:bottom w:val="single" w:color="auto" w:sz="4" w:space="0"/>
              <w:right w:val="single" w:color="auto" w:sz="4" w:space="0"/>
            </w:tcBorders>
          </w:tcPr>
          <w:p w14:paraId="732B9EAD">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Strong memory for details</w:t>
            </w:r>
          </w:p>
          <w:p w14:paraId="6B734603">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Intense focus on special or specific interests</w:t>
            </w:r>
          </w:p>
          <w:p w14:paraId="4051C1F9">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Unique problem-solving approaches</w:t>
            </w:r>
          </w:p>
        </w:tc>
        <w:tc>
          <w:tcPr>
            <w:tcW w:w="2434" w:type="dxa"/>
            <w:tcBorders>
              <w:top w:val="single" w:color="auto" w:sz="4" w:space="0"/>
              <w:left w:val="nil"/>
              <w:bottom w:val="single" w:color="auto" w:sz="4" w:space="0"/>
              <w:right w:val="single" w:color="auto" w:sz="4" w:space="0"/>
            </w:tcBorders>
          </w:tcPr>
          <w:p w14:paraId="1B8B420E">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Delayed speech and/or atypical communication</w:t>
            </w:r>
          </w:p>
          <w:p w14:paraId="4871C955">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Repetitive play and/or movements </w:t>
            </w:r>
          </w:p>
          <w:p w14:paraId="5045AF33">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Sensory sensitivities</w:t>
            </w:r>
          </w:p>
        </w:tc>
        <w:tc>
          <w:tcPr>
            <w:tcW w:w="2434" w:type="dxa"/>
            <w:tcBorders>
              <w:top w:val="single" w:color="auto" w:sz="4" w:space="0"/>
              <w:left w:val="nil"/>
              <w:bottom w:val="single" w:color="auto" w:sz="4" w:space="0"/>
              <w:right w:val="single" w:color="auto" w:sz="4" w:space="0"/>
            </w:tcBorders>
          </w:tcPr>
          <w:p w14:paraId="1C5F11E5">
            <w:pPr>
              <w:keepNext w:val="0"/>
              <w:keepLines w:val="0"/>
              <w:widowControl/>
              <w:numPr>
                <w:ilvl w:val="0"/>
                <w:numId w:val="3"/>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Early intervention </w:t>
            </w:r>
          </w:p>
          <w:p w14:paraId="063E33EB">
            <w:pPr>
              <w:keepNext w:val="0"/>
              <w:keepLines w:val="0"/>
              <w:widowControl/>
              <w:numPr>
                <w:ilvl w:val="0"/>
                <w:numId w:val="3"/>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Structured routines </w:t>
            </w:r>
          </w:p>
          <w:p w14:paraId="1B5A7AEA">
            <w:pPr>
              <w:keepNext w:val="0"/>
              <w:keepLines w:val="0"/>
              <w:widowControl/>
              <w:numPr>
                <w:ilvl w:val="0"/>
                <w:numId w:val="3"/>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Parent-therapist collaboration</w:t>
            </w:r>
          </w:p>
          <w:p w14:paraId="792A33D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p>
        </w:tc>
      </w:tr>
      <w:tr w14:paraId="75FD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14:paraId="18CFE587">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 xml:space="preserve">Middle Childhood </w:t>
            </w:r>
          </w:p>
          <w:p w14:paraId="7AA51B3F">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(7–12 years)</w:t>
            </w:r>
          </w:p>
        </w:tc>
        <w:tc>
          <w:tcPr>
            <w:tcW w:w="3030" w:type="dxa"/>
            <w:tcBorders>
              <w:top w:val="single" w:color="auto" w:sz="4" w:space="0"/>
              <w:left w:val="nil"/>
              <w:bottom w:val="single" w:color="auto" w:sz="4" w:space="0"/>
              <w:right w:val="single" w:color="auto" w:sz="4" w:space="0"/>
            </w:tcBorders>
          </w:tcPr>
          <w:p w14:paraId="2B132A5D">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Expanding vocabulary </w:t>
            </w:r>
          </w:p>
          <w:p w14:paraId="194CE99C">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Advanced knowledge in special or specific interests </w:t>
            </w:r>
          </w:p>
          <w:p w14:paraId="36AAC583">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Improved basic daily living skills</w:t>
            </w:r>
          </w:p>
        </w:tc>
        <w:tc>
          <w:tcPr>
            <w:tcW w:w="2434" w:type="dxa"/>
            <w:tcBorders>
              <w:top w:val="single" w:color="auto" w:sz="4" w:space="0"/>
              <w:left w:val="nil"/>
              <w:bottom w:val="single" w:color="auto" w:sz="4" w:space="0"/>
              <w:right w:val="single" w:color="auto" w:sz="4" w:space="0"/>
            </w:tcBorders>
          </w:tcPr>
          <w:p w14:paraId="50680323">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Difficulty with group work activities</w:t>
            </w:r>
          </w:p>
          <w:p w14:paraId="414D39AB">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Being socially inept or having social misunderstandings </w:t>
            </w:r>
          </w:p>
          <w:p w14:paraId="4AAA3ACC">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Anxiety and/or stress in unpredictable settings</w:t>
            </w:r>
          </w:p>
        </w:tc>
        <w:tc>
          <w:tcPr>
            <w:tcW w:w="2434" w:type="dxa"/>
            <w:tcBorders>
              <w:top w:val="single" w:color="auto" w:sz="4" w:space="0"/>
              <w:left w:val="nil"/>
              <w:bottom w:val="single" w:color="auto" w:sz="4" w:space="0"/>
              <w:right w:val="single" w:color="auto" w:sz="4" w:space="0"/>
            </w:tcBorders>
          </w:tcPr>
          <w:p w14:paraId="7F9E909A">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School environment </w:t>
            </w:r>
          </w:p>
          <w:p w14:paraId="011E64C0">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Peer exposure </w:t>
            </w:r>
          </w:p>
          <w:p w14:paraId="060BD685">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Skill-building therapies</w:t>
            </w:r>
          </w:p>
          <w:p w14:paraId="0F316BB6">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p>
        </w:tc>
      </w:tr>
      <w:tr w14:paraId="77B2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14:paraId="263B750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 xml:space="preserve">Adolescence </w:t>
            </w:r>
          </w:p>
          <w:p w14:paraId="5205C87D">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(13–18 years)</w:t>
            </w:r>
          </w:p>
        </w:tc>
        <w:tc>
          <w:tcPr>
            <w:tcW w:w="3030" w:type="dxa"/>
            <w:tcBorders>
              <w:top w:val="single" w:color="auto" w:sz="4" w:space="0"/>
              <w:left w:val="nil"/>
              <w:bottom w:val="single" w:color="auto" w:sz="4" w:space="0"/>
              <w:right w:val="single" w:color="auto" w:sz="4" w:space="0"/>
            </w:tcBorders>
          </w:tcPr>
          <w:p w14:paraId="42E944AB">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More abstract thinking in certain areas</w:t>
            </w:r>
          </w:p>
          <w:p w14:paraId="09FC251F">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Ability to self-advocate (but it varies)</w:t>
            </w:r>
          </w:p>
        </w:tc>
        <w:tc>
          <w:tcPr>
            <w:tcW w:w="2434" w:type="dxa"/>
            <w:tcBorders>
              <w:top w:val="single" w:color="auto" w:sz="4" w:space="0"/>
              <w:left w:val="nil"/>
              <w:bottom w:val="single" w:color="auto" w:sz="4" w:space="0"/>
              <w:right w:val="single" w:color="auto" w:sz="4" w:space="0"/>
            </w:tcBorders>
          </w:tcPr>
          <w:p w14:paraId="2928D74D">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Heightened social pressure or anxiety</w:t>
            </w:r>
          </w:p>
          <w:p w14:paraId="1ED871ED">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Depression from social isolation</w:t>
            </w:r>
          </w:p>
          <w:p w14:paraId="7097597A">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Executive function difficulties</w:t>
            </w:r>
          </w:p>
        </w:tc>
        <w:tc>
          <w:tcPr>
            <w:tcW w:w="2434" w:type="dxa"/>
            <w:tcBorders>
              <w:top w:val="single" w:color="auto" w:sz="4" w:space="0"/>
              <w:left w:val="nil"/>
              <w:bottom w:val="single" w:color="auto" w:sz="4" w:space="0"/>
              <w:right w:val="single" w:color="auto" w:sz="4" w:space="0"/>
            </w:tcBorders>
          </w:tcPr>
          <w:p w14:paraId="795088FD">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Puberty </w:t>
            </w:r>
          </w:p>
          <w:p w14:paraId="21A452DD">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Academic demands </w:t>
            </w:r>
          </w:p>
          <w:p w14:paraId="380BB2FD">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Peer relationships </w:t>
            </w:r>
          </w:p>
          <w:p w14:paraId="33DE716C">
            <w:pPr>
              <w:keepNext w:val="0"/>
              <w:keepLines w:val="0"/>
              <w:widowControl/>
              <w:numPr>
                <w:ilvl w:val="0"/>
                <w:numId w:val="4"/>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Masking behaviors</w:t>
            </w:r>
          </w:p>
        </w:tc>
      </w:tr>
      <w:tr w14:paraId="608C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14:paraId="0439BD45">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Early Adulthood (19–30 years)</w:t>
            </w:r>
          </w:p>
        </w:tc>
        <w:tc>
          <w:tcPr>
            <w:tcW w:w="3030" w:type="dxa"/>
            <w:tcBorders>
              <w:top w:val="single" w:color="auto" w:sz="4" w:space="0"/>
              <w:left w:val="nil"/>
              <w:bottom w:val="single" w:color="auto" w:sz="4" w:space="0"/>
              <w:right w:val="single" w:color="auto" w:sz="4" w:space="0"/>
            </w:tcBorders>
          </w:tcPr>
          <w:p w14:paraId="361EBA70">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Strong work ethic in areas of special or specific interest</w:t>
            </w:r>
          </w:p>
          <w:p w14:paraId="53E32145">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High attention to detail</w:t>
            </w:r>
          </w:p>
        </w:tc>
        <w:tc>
          <w:tcPr>
            <w:tcW w:w="2434" w:type="dxa"/>
            <w:tcBorders>
              <w:top w:val="single" w:color="auto" w:sz="4" w:space="0"/>
              <w:left w:val="nil"/>
              <w:bottom w:val="single" w:color="auto" w:sz="4" w:space="0"/>
              <w:right w:val="single" w:color="auto" w:sz="4" w:space="0"/>
            </w:tcBorders>
          </w:tcPr>
          <w:p w14:paraId="4B8031F4">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Job interviews </w:t>
            </w:r>
          </w:p>
          <w:p w14:paraId="100927F9">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Workplace social norms</w:t>
            </w:r>
          </w:p>
          <w:p w14:paraId="4A4F3620">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Independent living skills</w:t>
            </w:r>
          </w:p>
        </w:tc>
        <w:tc>
          <w:tcPr>
            <w:tcW w:w="2434" w:type="dxa"/>
            <w:tcBorders>
              <w:top w:val="single" w:color="auto" w:sz="4" w:space="0"/>
              <w:left w:val="nil"/>
              <w:bottom w:val="single" w:color="auto" w:sz="4" w:space="0"/>
              <w:right w:val="single" w:color="auto" w:sz="4" w:space="0"/>
            </w:tcBorders>
          </w:tcPr>
          <w:p w14:paraId="5BDC4C14">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Vocational training </w:t>
            </w:r>
          </w:p>
          <w:p w14:paraId="2D5F8F08">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Community supports, </w:t>
            </w:r>
          </w:p>
          <w:p w14:paraId="45FEF1BC">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Independence transitions</w:t>
            </w:r>
          </w:p>
        </w:tc>
      </w:tr>
      <w:tr w14:paraId="7A3B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14:paraId="0AED034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 xml:space="preserve">Adulthood </w:t>
            </w:r>
          </w:p>
          <w:p w14:paraId="41A3DC6A">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(31+ years)</w:t>
            </w:r>
          </w:p>
        </w:tc>
        <w:tc>
          <w:tcPr>
            <w:tcW w:w="3030" w:type="dxa"/>
            <w:tcBorders>
              <w:top w:val="single" w:color="auto" w:sz="4" w:space="0"/>
              <w:left w:val="nil"/>
              <w:bottom w:val="single" w:color="auto" w:sz="4" w:space="0"/>
              <w:right w:val="single" w:color="auto" w:sz="4" w:space="0"/>
            </w:tcBorders>
          </w:tcPr>
          <w:p w14:paraId="464BA0A1">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Expertise in niche areas</w:t>
            </w:r>
          </w:p>
          <w:p w14:paraId="5E5E1D53">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Established coping strategies</w:t>
            </w:r>
          </w:p>
        </w:tc>
        <w:tc>
          <w:tcPr>
            <w:tcW w:w="2434" w:type="dxa"/>
            <w:tcBorders>
              <w:top w:val="single" w:color="auto" w:sz="4" w:space="0"/>
              <w:left w:val="nil"/>
              <w:bottom w:val="single" w:color="auto" w:sz="4" w:space="0"/>
              <w:right w:val="single" w:color="auto" w:sz="4" w:space="0"/>
            </w:tcBorders>
          </w:tcPr>
          <w:p w14:paraId="5B97D503">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Burnout from prolonged masking </w:t>
            </w:r>
          </w:p>
          <w:p w14:paraId="6AD3C874">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Managing co-occurring health conditions</w:t>
            </w:r>
          </w:p>
        </w:tc>
        <w:tc>
          <w:tcPr>
            <w:tcW w:w="2434" w:type="dxa"/>
            <w:tcBorders>
              <w:top w:val="single" w:color="auto" w:sz="4" w:space="0"/>
              <w:left w:val="nil"/>
              <w:bottom w:val="single" w:color="auto" w:sz="4" w:space="0"/>
              <w:right w:val="single" w:color="auto" w:sz="4" w:space="0"/>
            </w:tcBorders>
          </w:tcPr>
          <w:p w14:paraId="59BDE75A">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Workplace accommodations </w:t>
            </w:r>
          </w:p>
          <w:p w14:paraId="65614009">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 xml:space="preserve">Community networks </w:t>
            </w:r>
          </w:p>
          <w:p w14:paraId="5EE27907">
            <w:pPr>
              <w:keepNext w:val="0"/>
              <w:keepLines w:val="0"/>
              <w:widowControl/>
              <w:numPr>
                <w:ilvl w:val="0"/>
                <w:numId w:val="2"/>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Life experience</w:t>
            </w:r>
          </w:p>
          <w:p w14:paraId="3149E0A1">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p>
        </w:tc>
      </w:tr>
    </w:tbl>
    <w:p w14:paraId="1CCCAFBB">
      <w:pPr>
        <w:keepNext w:val="0"/>
        <w:keepLines w:val="0"/>
        <w:pageBreakBefore w:val="0"/>
        <w:widowControl/>
        <w:kinsoku/>
        <w:wordWrap/>
        <w:overflowPunct/>
        <w:topLinePunct w:val="0"/>
        <w:autoSpaceDE/>
        <w:autoSpaceDN/>
        <w:bidi w:val="0"/>
        <w:adjustRightInd/>
        <w:snapToGrid/>
        <w:textAlignment w:val="auto"/>
        <w:rPr>
          <w:rFonts w:ascii="Arial" w:hAnsi="Arial" w:cs="Arial"/>
          <w:sz w:val="20"/>
          <w:szCs w:val="20"/>
          <w:lang w:val="en-SG"/>
        </w:rPr>
      </w:pPr>
    </w:p>
    <w:p w14:paraId="4ACB8782">
      <w:pPr>
        <w:keepNext w:val="0"/>
        <w:keepLines w:val="0"/>
        <w:pageBreakBefore w:val="0"/>
        <w:widowControl/>
        <w:kinsoku/>
        <w:wordWrap/>
        <w:overflowPunct/>
        <w:topLinePunct w:val="0"/>
        <w:autoSpaceDE/>
        <w:autoSpaceDN/>
        <w:bidi w:val="0"/>
        <w:adjustRightInd/>
        <w:snapToGrid/>
        <w:textAlignment w:val="auto"/>
        <w:rPr>
          <w:rFonts w:ascii="Arial" w:hAnsi="Arial" w:cs="Arial"/>
          <w:sz w:val="20"/>
          <w:szCs w:val="20"/>
          <w:lang w:val="en-SG"/>
        </w:rPr>
      </w:pPr>
      <w:r>
        <w:rPr>
          <w:rFonts w:ascii="Arial" w:hAnsi="Arial" w:cs="Arial"/>
          <w:sz w:val="20"/>
          <w:szCs w:val="20"/>
          <w:lang w:val="en-SG"/>
        </w:rPr>
        <w:t>The core autistic neurotype remains very much consistent, though its presentation may change or shift with developmental maturity, acquisition of experiential learning, and varied life contexts. Essential life skills can strengthen, coping strategies can evolve, and certain autistic behavioral challenges can become more or less visible at different times (</w:t>
      </w:r>
      <w:r>
        <w:rPr>
          <w:rFonts w:ascii="Arial" w:hAnsi="Arial" w:eastAsia="DengXian" w:cs="Arial"/>
          <w:sz w:val="20"/>
          <w:szCs w:val="20"/>
          <w:lang w:bidi="ar"/>
        </w:rPr>
        <w:t>Matson, Cervantes, &amp; Peters, 2016</w:t>
      </w:r>
      <w:r>
        <w:rPr>
          <w:rFonts w:ascii="Arial" w:hAnsi="Arial" w:eastAsia="DengXian" w:cs="Arial"/>
          <w:sz w:val="20"/>
          <w:szCs w:val="20"/>
          <w:lang w:val="en-SG" w:bidi="ar"/>
        </w:rPr>
        <w:t>; Tantum, 2012</w:t>
      </w:r>
      <w:r>
        <w:rPr>
          <w:rFonts w:ascii="Arial" w:hAnsi="Arial" w:eastAsia="DengXian" w:cs="Arial"/>
          <w:sz w:val="20"/>
          <w:szCs w:val="20"/>
          <w:lang w:bidi="ar"/>
        </w:rPr>
        <w:t>)</w:t>
      </w:r>
      <w:r>
        <w:rPr>
          <w:rFonts w:ascii="Arial" w:hAnsi="Arial" w:cs="Arial"/>
          <w:sz w:val="20"/>
          <w:szCs w:val="20"/>
          <w:lang w:val="en-SG"/>
        </w:rPr>
        <w:t>.</w:t>
      </w:r>
    </w:p>
    <w:p w14:paraId="7216BF5E">
      <w:pPr>
        <w:rPr>
          <w:rFonts w:ascii="Arial" w:hAnsi="Arial" w:cs="Arial"/>
          <w:b/>
          <w:bCs/>
          <w:lang w:val="en-SG"/>
        </w:rPr>
      </w:pPr>
      <w:r>
        <w:rPr>
          <w:rFonts w:ascii="Arial" w:hAnsi="Arial" w:cs="Arial"/>
          <w:b/>
          <w:bCs/>
          <w:lang w:val="en-SG"/>
        </w:rPr>
        <w:t xml:space="preserve"> </w:t>
      </w:r>
    </w:p>
    <w:p w14:paraId="3E79188E">
      <w:pPr>
        <w:rPr>
          <w:rFonts w:ascii="Arial" w:hAnsi="Arial" w:cs="Arial"/>
          <w:b/>
          <w:bCs/>
          <w:lang w:val="en-SG"/>
        </w:rPr>
      </w:pPr>
      <w:r>
        <w:rPr>
          <w:rFonts w:ascii="Arial" w:hAnsi="Arial" w:cs="Arial"/>
          <w:b/>
          <w:bCs/>
          <w:lang w:val="en-SG"/>
        </w:rPr>
        <w:t>2.1 Changing Profile of Autistic Behavior Patterns (ABPs) across Life Stages</w:t>
      </w:r>
    </w:p>
    <w:p w14:paraId="1E354566">
      <w:pPr>
        <w:rPr>
          <w:rFonts w:ascii="Arial" w:hAnsi="Arial" w:cs="Arial"/>
          <w:sz w:val="20"/>
          <w:szCs w:val="20"/>
          <w:lang w:val="en-SG"/>
        </w:rPr>
      </w:pPr>
      <w:r>
        <w:rPr>
          <w:rFonts w:ascii="Arial" w:hAnsi="Arial" w:cs="Arial"/>
          <w:sz w:val="20"/>
          <w:szCs w:val="20"/>
          <w:lang w:val="en-SG"/>
        </w:rPr>
        <w:t xml:space="preserve">Mental health and wellness in an individual with autism is deeply intertwined with their </w:t>
      </w:r>
      <w:r>
        <w:rPr>
          <w:rFonts w:ascii="Arial" w:hAnsi="Arial" w:cs="Arial"/>
          <w:sz w:val="20"/>
          <w:szCs w:val="20"/>
          <w:highlight w:val="yellow"/>
          <w:lang w:val="en-SG"/>
        </w:rPr>
        <w:t>sensory needs (Dynia et al., 2022), communication differences (Golson et al., 2022), and social interaction differences (</w:t>
      </w:r>
      <w:r>
        <w:rPr>
          <w:rFonts w:hint="default" w:ascii="Arial" w:hAnsi="Arial" w:cs="Arial"/>
          <w:sz w:val="20"/>
          <w:szCs w:val="20"/>
          <w:highlight w:val="yellow"/>
          <w:lang w:val="en-SG"/>
        </w:rPr>
        <w:t xml:space="preserve">Chen et al., 2021; </w:t>
      </w:r>
      <w:r>
        <w:rPr>
          <w:rFonts w:ascii="Arial" w:hAnsi="Arial" w:cs="Arial"/>
          <w:sz w:val="20"/>
          <w:szCs w:val="20"/>
          <w:highlight w:val="yellow"/>
          <w:lang w:val="en-SG"/>
        </w:rPr>
        <w:t>Wood-Downie et al., 2021)</w:t>
      </w:r>
      <w:r>
        <w:rPr>
          <w:rFonts w:ascii="Arial" w:hAnsi="Arial" w:cs="Arial"/>
          <w:sz w:val="20"/>
          <w:szCs w:val="20"/>
          <w:lang w:val="en-SG"/>
        </w:rPr>
        <w:t xml:space="preserve">, because these three key areas actually shape how the person with autism experiences, processes, and responds to the immediate environment around them. Collectively, sensory needs, communication differences, and social interaction differences constitute the Core Experience Domains (CEDs) in the autistic behavior pattern (ABP) (see Figure 1). The term </w:t>
      </w:r>
      <w:r>
        <w:rPr>
          <w:rFonts w:ascii="Arial" w:hAnsi="Arial" w:cs="Arial"/>
          <w:i/>
          <w:iCs/>
          <w:sz w:val="20"/>
          <w:szCs w:val="20"/>
          <w:lang w:val="en-SG"/>
        </w:rPr>
        <w:t>CEDs</w:t>
      </w:r>
      <w:r>
        <w:rPr>
          <w:rFonts w:ascii="Arial" w:hAnsi="Arial" w:cs="Arial"/>
          <w:sz w:val="20"/>
          <w:szCs w:val="20"/>
          <w:lang w:val="en-SG"/>
        </w:rPr>
        <w:t xml:space="preserve"> emphasizes that these three key areas are not deficits or impairments, but they should be considered as the fundamental dimensions of how individuals with autism perceive, interpret, and engage with the environment around them. The first word ‘Core’ in CEDs highlights the foundational role of these three key areas in shaping one’s experience, while ‘Experience Domains’ frames them as aspects of neurodivergent processing rather than medicalized symptoms of autism. </w:t>
      </w:r>
    </w:p>
    <w:p w14:paraId="3D333D91">
      <w:pPr>
        <w:rPr>
          <w:rFonts w:ascii="Arial" w:hAnsi="Arial" w:cs="Arial"/>
          <w:sz w:val="20"/>
          <w:szCs w:val="20"/>
          <w:lang w:val="en-SG"/>
        </w:rPr>
      </w:pPr>
    </w:p>
    <w:p w14:paraId="1DF6E500">
      <w:pPr>
        <w:jc w:val="center"/>
        <w:rPr>
          <w:rFonts w:ascii="Arial" w:hAnsi="Arial" w:cs="Arial"/>
          <w:sz w:val="20"/>
          <w:szCs w:val="20"/>
          <w:lang w:val="en-SG"/>
        </w:rPr>
      </w:pPr>
      <w:r>
        <w:rPr>
          <w:rFonts w:ascii="Arial" w:hAnsi="Arial" w:cs="Arial"/>
          <w:sz w:val="20"/>
          <w:szCs w:val="20"/>
          <w:lang w:eastAsia="en-US"/>
        </w:rPr>
        <w:drawing>
          <wp:inline distT="0" distB="0" distL="114300" distR="114300">
            <wp:extent cx="2605405" cy="243459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605405" cy="2434590"/>
                    </a:xfrm>
                    <a:prstGeom prst="rect">
                      <a:avLst/>
                    </a:prstGeom>
                    <a:noFill/>
                    <a:ln>
                      <a:noFill/>
                    </a:ln>
                  </pic:spPr>
                </pic:pic>
              </a:graphicData>
            </a:graphic>
          </wp:inline>
        </w:drawing>
      </w:r>
    </w:p>
    <w:p w14:paraId="2BCDA4F7">
      <w:pPr>
        <w:jc w:val="center"/>
        <w:rPr>
          <w:rFonts w:ascii="Arial" w:hAnsi="Arial" w:cs="Arial"/>
          <w:sz w:val="20"/>
          <w:szCs w:val="20"/>
          <w:lang w:val="en-SG"/>
        </w:rPr>
      </w:pPr>
      <w:r>
        <w:rPr>
          <w:rFonts w:ascii="Arial" w:hAnsi="Arial" w:cs="Arial"/>
          <w:sz w:val="20"/>
          <w:szCs w:val="20"/>
          <w:lang w:val="en-SG"/>
        </w:rPr>
        <w:t>Figure 1. The 3 Core Experience Domains in ABP</w:t>
      </w:r>
    </w:p>
    <w:p w14:paraId="631D1B01">
      <w:pPr>
        <w:jc w:val="center"/>
        <w:rPr>
          <w:rFonts w:ascii="Arial" w:hAnsi="Arial" w:cs="Arial"/>
          <w:sz w:val="20"/>
          <w:szCs w:val="20"/>
          <w:lang w:val="en-SG"/>
        </w:rPr>
      </w:pPr>
    </w:p>
    <w:p w14:paraId="191FF7E8">
      <w:pPr>
        <w:rPr>
          <w:rFonts w:ascii="Arial" w:hAnsi="Arial" w:cs="Arial"/>
          <w:sz w:val="20"/>
          <w:szCs w:val="20"/>
          <w:lang w:val="en-SG"/>
        </w:rPr>
      </w:pPr>
      <w:r>
        <w:rPr>
          <w:rFonts w:ascii="Arial" w:hAnsi="Arial" w:cs="Arial"/>
          <w:sz w:val="20"/>
          <w:szCs w:val="20"/>
          <w:lang w:val="en-SG"/>
        </w:rPr>
        <w:t xml:space="preserve">Depending on the tone and goal of this proposed framework of CEDs, it can branch out into four other ‘offshoot’ models (OSMs) that can be used to explain the ABPs. The first OSM is the Neurodivergent Experience Pathways (NEPs; see Butcher &amp; Lane, 2025; Hutson &amp; Hutson, 2024; </w:t>
      </w:r>
      <w:r>
        <w:rPr>
          <w:rFonts w:ascii="Arial" w:hAnsi="Arial" w:cs="Arial"/>
          <w:sz w:val="20"/>
          <w:szCs w:val="20"/>
        </w:rPr>
        <w:t>White et al., 2023</w:t>
      </w:r>
      <w:r>
        <w:rPr>
          <w:rFonts w:ascii="Arial" w:hAnsi="Arial" w:cs="Arial"/>
          <w:sz w:val="20"/>
          <w:szCs w:val="20"/>
          <w:lang w:val="en-SG"/>
        </w:rPr>
        <w:t xml:space="preserve">). Its emphasis is that these are pathways through which neurodivergent individuals (including individuals with autism) interface with their environment. The second OSM concerns the Autism-Linked Processing Domains (ALPDs). This latter is useful in a clinical or research context where specificity is needed for autism-linked traits. The third OSM is the Adaptive Interaction Domains (AIDs; see Kanne et al., 2011; Lai et al., 2020; Mouga et al., 2015), which highlights how these three key domains affect interaction and adaptation, especially useful in educational or therapeutic contexts. The fourth and last OSM is the Triad of Experiential Dimensions (TEDs), which reflects the classical model of ‘Triad of Impairments’ first popularized by Wing and Gould (1979) (also see </w:t>
      </w:r>
      <w:r>
        <w:rPr>
          <w:rFonts w:ascii="Arial" w:hAnsi="Arial" w:cs="Arial"/>
          <w:sz w:val="20"/>
          <w:szCs w:val="20"/>
        </w:rPr>
        <w:t xml:space="preserve">Cashin &amp; Barker, 2009; </w:t>
      </w:r>
      <w:r>
        <w:rPr>
          <w:rFonts w:ascii="Arial" w:hAnsi="Arial" w:cs="Arial"/>
          <w:sz w:val="20"/>
          <w:szCs w:val="20"/>
          <w:lang w:val="en-SG"/>
        </w:rPr>
        <w:t xml:space="preserve">Ennis-Cole, 2019; </w:t>
      </w:r>
      <w:r>
        <w:rPr>
          <w:rFonts w:ascii="Arial" w:hAnsi="Arial" w:cs="Arial"/>
          <w:sz w:val="20"/>
          <w:szCs w:val="20"/>
        </w:rPr>
        <w:t>Van Wijngaarden-Cremers et al., 2014</w:t>
      </w:r>
      <w:r>
        <w:rPr>
          <w:rFonts w:ascii="Arial" w:hAnsi="Arial" w:cs="Arial"/>
          <w:sz w:val="20"/>
          <w:szCs w:val="20"/>
          <w:lang w:val="en-SG"/>
        </w:rPr>
        <w:t>) from older diagnostic models but reclaims it through a wellness- and experience-based lens. Figure 2 shows the a</w:t>
      </w:r>
      <w:r>
        <w:rPr>
          <w:rFonts w:ascii="Arial" w:hAnsi="Arial" w:cs="Arial"/>
          <w:sz w:val="20"/>
          <w:szCs w:val="20"/>
        </w:rPr>
        <w:t>ssociation of sensory needs, communication differences, and social interaction differences</w:t>
      </w:r>
      <w:r>
        <w:rPr>
          <w:rFonts w:ascii="Arial" w:hAnsi="Arial" w:cs="Arial"/>
          <w:sz w:val="20"/>
          <w:szCs w:val="20"/>
          <w:lang w:val="en-SG"/>
        </w:rPr>
        <w:t xml:space="preserve"> with mental health in autism.</w:t>
      </w:r>
    </w:p>
    <w:p w14:paraId="29682E05">
      <w:pPr>
        <w:rPr>
          <w:rFonts w:ascii="Arial" w:hAnsi="Arial" w:cs="Arial"/>
          <w:sz w:val="20"/>
          <w:szCs w:val="20"/>
          <w:lang w:val="en-SG"/>
        </w:rPr>
      </w:pPr>
    </w:p>
    <w:p w14:paraId="4331D997">
      <w:pPr>
        <w:jc w:val="center"/>
        <w:rPr>
          <w:rFonts w:ascii="Arial" w:hAnsi="Arial" w:cs="Arial"/>
          <w:sz w:val="20"/>
          <w:szCs w:val="20"/>
          <w:lang w:val="en-SG"/>
        </w:rPr>
      </w:pPr>
      <w:r>
        <w:rPr>
          <w:lang w:eastAsia="en-US"/>
        </w:rPr>
        <w:drawing>
          <wp:inline distT="0" distB="0" distL="114300" distR="114300">
            <wp:extent cx="4162425" cy="2352040"/>
            <wp:effectExtent l="0" t="0" r="0"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1"/>
                    <a:stretch>
                      <a:fillRect/>
                    </a:stretch>
                  </pic:blipFill>
                  <pic:spPr>
                    <a:xfrm>
                      <a:off x="0" y="0"/>
                      <a:ext cx="4162425" cy="2352040"/>
                    </a:xfrm>
                    <a:prstGeom prst="rect">
                      <a:avLst/>
                    </a:prstGeom>
                    <a:noFill/>
                    <a:ln>
                      <a:noFill/>
                    </a:ln>
                  </pic:spPr>
                </pic:pic>
              </a:graphicData>
            </a:graphic>
          </wp:inline>
        </w:drawing>
      </w:r>
    </w:p>
    <w:p w14:paraId="759E00BC">
      <w:pPr>
        <w:tabs>
          <w:tab w:val="left" w:pos="720"/>
        </w:tabs>
        <w:jc w:val="center"/>
        <w:rPr>
          <w:rFonts w:ascii="Arial" w:hAnsi="Arial" w:cs="Arial"/>
          <w:sz w:val="20"/>
          <w:szCs w:val="20"/>
          <w:lang w:val="en-SG"/>
        </w:rPr>
      </w:pPr>
      <w:r>
        <w:rPr>
          <w:rFonts w:ascii="Arial" w:hAnsi="Arial" w:cs="Arial"/>
          <w:sz w:val="20"/>
          <w:szCs w:val="20"/>
          <w:lang w:val="en-SG"/>
        </w:rPr>
        <w:t>Figure 2. Association of CEDs with Mental Health in Individuals with Autism</w:t>
      </w:r>
    </w:p>
    <w:p w14:paraId="1121A980">
      <w:pPr>
        <w:rPr>
          <w:rFonts w:ascii="Arial" w:hAnsi="Arial" w:cs="Arial"/>
          <w:sz w:val="20"/>
          <w:szCs w:val="20"/>
          <w:lang w:val="en-SG"/>
        </w:rPr>
      </w:pPr>
    </w:p>
    <w:p w14:paraId="1BED7542">
      <w:pPr>
        <w:rPr>
          <w:rFonts w:ascii="Arial" w:hAnsi="Arial" w:cs="Arial"/>
          <w:sz w:val="20"/>
          <w:szCs w:val="20"/>
          <w:lang w:val="en-SG"/>
        </w:rPr>
      </w:pPr>
      <w:r>
        <w:rPr>
          <w:rFonts w:ascii="Arial" w:hAnsi="Arial" w:cs="Arial"/>
          <w:sz w:val="20"/>
          <w:szCs w:val="20"/>
          <w:lang w:val="en-SG"/>
        </w:rPr>
        <w:t xml:space="preserve">In addition, each of the three key areas stated in the model of CEDs is briefly described in Table 3 (below). </w:t>
      </w:r>
      <w:r>
        <w:rPr>
          <w:rFonts w:ascii="Arial" w:hAnsi="Arial" w:eastAsia="SimSun" w:cs="Arial"/>
          <w:sz w:val="20"/>
          <w:szCs w:val="20"/>
        </w:rPr>
        <w:t>Each domain highlights how variations in experience</w:t>
      </w:r>
      <w:r>
        <w:rPr>
          <w:rFonts w:ascii="Arial" w:hAnsi="Arial" w:eastAsia="SimSun" w:cs="Arial"/>
          <w:sz w:val="20"/>
          <w:szCs w:val="20"/>
          <w:lang w:val="en-SG"/>
        </w:rPr>
        <w:t>, i.e.,</w:t>
      </w:r>
      <w:r>
        <w:rPr>
          <w:rFonts w:ascii="Arial" w:hAnsi="Arial" w:eastAsia="SimSun" w:cs="Arial"/>
          <w:sz w:val="20"/>
          <w:szCs w:val="20"/>
        </w:rPr>
        <w:t xml:space="preserve"> sensory sensitivities, challenges in social communication, or evolving self-concept</w:t>
      </w:r>
      <w:r>
        <w:rPr>
          <w:rFonts w:ascii="Arial" w:hAnsi="Arial" w:eastAsia="SimSun" w:cs="Arial"/>
          <w:sz w:val="20"/>
          <w:szCs w:val="20"/>
          <w:lang w:val="en-SG"/>
        </w:rPr>
        <w:t>,</w:t>
      </w:r>
      <w:r>
        <w:rPr>
          <w:rFonts w:ascii="Arial" w:hAnsi="Arial" w:eastAsia="SimSun" w:cs="Arial"/>
          <w:sz w:val="20"/>
          <w:szCs w:val="20"/>
        </w:rPr>
        <w:t xml:space="preserve"> can contribute to emotional well-being or distress, particularly in neurodivergent individuals. The table emphasizes the interconnectedness of these domains in shaping mental wellness trajectories</w:t>
      </w:r>
      <w:r>
        <w:rPr>
          <w:rFonts w:ascii="SimSun" w:hAnsi="SimSun" w:eastAsia="SimSun" w:cs="SimSun"/>
          <w:sz w:val="24"/>
          <w:szCs w:val="24"/>
        </w:rPr>
        <w:t>.</w:t>
      </w:r>
    </w:p>
    <w:p w14:paraId="25BB2F47">
      <w:pPr>
        <w:rPr>
          <w:rFonts w:ascii="Arial" w:hAnsi="Arial" w:cs="Arial"/>
          <w:sz w:val="20"/>
          <w:szCs w:val="20"/>
          <w:lang w:val="en-SG"/>
        </w:rPr>
      </w:pPr>
    </w:p>
    <w:p w14:paraId="09416F6F">
      <w:pPr>
        <w:jc w:val="center"/>
        <w:rPr>
          <w:rFonts w:ascii="Arial" w:hAnsi="Arial" w:cs="Arial"/>
          <w:sz w:val="20"/>
          <w:szCs w:val="20"/>
          <w:highlight w:val="yellow"/>
          <w:lang w:val="en-SG"/>
        </w:rPr>
      </w:pPr>
      <w:r>
        <w:rPr>
          <w:rFonts w:ascii="Arial" w:hAnsi="Arial" w:cs="Arial"/>
          <w:sz w:val="20"/>
          <w:szCs w:val="20"/>
          <w:highlight w:val="yellow"/>
          <w:lang w:val="en-SG"/>
        </w:rPr>
        <w:t>Table 3. Core Experience Domains &amp; Their Impacts on Mental Health</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8"/>
        <w:gridCol w:w="4985"/>
      </w:tblGrid>
      <w:tr w14:paraId="0DED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tcBorders>
              <w:top w:val="single" w:color="auto" w:sz="4" w:space="0"/>
              <w:left w:val="single" w:color="auto" w:sz="4" w:space="0"/>
              <w:bottom w:val="single" w:color="auto" w:sz="4" w:space="0"/>
              <w:right w:val="single" w:color="auto" w:sz="4" w:space="0"/>
            </w:tcBorders>
            <w:shd w:val="clear" w:color="auto" w:fill="D8D8D8"/>
          </w:tcPr>
          <w:p w14:paraId="61CE2B1C">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Core Experience Domains</w:t>
            </w:r>
          </w:p>
        </w:tc>
        <w:tc>
          <w:tcPr>
            <w:tcW w:w="4985" w:type="dxa"/>
            <w:tcBorders>
              <w:top w:val="single" w:color="auto" w:sz="4" w:space="0"/>
              <w:left w:val="single" w:color="auto" w:sz="4" w:space="0"/>
              <w:bottom w:val="single" w:color="auto" w:sz="4" w:space="0"/>
              <w:right w:val="single" w:color="auto" w:sz="4" w:space="0"/>
            </w:tcBorders>
            <w:shd w:val="clear" w:color="auto" w:fill="D8D8D8"/>
          </w:tcPr>
          <w:p w14:paraId="3D58ACE2">
            <w:pPr>
              <w:keepNext w:val="0"/>
              <w:keepLines w:val="0"/>
              <w:widowControl/>
              <w:suppressLineNumbers w:val="0"/>
              <w:spacing w:before="0" w:beforeAutospacing="0" w:after="0" w:afterAutospacing="0"/>
              <w:ind w:left="0" w:right="0"/>
              <w:jc w:val="center"/>
              <w:rPr>
                <w:rFonts w:hint="default" w:ascii="Arial" w:hAnsi="Arial" w:cs="Arial"/>
                <w:b/>
                <w:bCs/>
                <w:sz w:val="20"/>
                <w:szCs w:val="20"/>
                <w:lang w:val="en-SG"/>
              </w:rPr>
            </w:pPr>
            <w:r>
              <w:rPr>
                <w:rFonts w:hint="default" w:ascii="Arial" w:hAnsi="Arial" w:cs="Arial"/>
                <w:b/>
                <w:bCs/>
                <w:sz w:val="20"/>
                <w:szCs w:val="20"/>
                <w:lang w:val="en-SG"/>
              </w:rPr>
              <w:t>Impacts on Mental Health</w:t>
            </w:r>
          </w:p>
        </w:tc>
      </w:tr>
      <w:tr w14:paraId="1004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tcBorders>
              <w:top w:val="single" w:color="auto" w:sz="4" w:space="0"/>
              <w:left w:val="single" w:color="auto" w:sz="4" w:space="0"/>
              <w:bottom w:val="single" w:color="auto" w:sz="4" w:space="0"/>
              <w:right w:val="single" w:color="auto" w:sz="4" w:space="0"/>
            </w:tcBorders>
          </w:tcPr>
          <w:p w14:paraId="61D1607E">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 xml:space="preserve">1. Sensory Needs &amp; Mental Health: </w:t>
            </w:r>
          </w:p>
          <w:p w14:paraId="386FBFBB">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Autistic sensory profiles can involve hyper-sensitivity (over-responsiveness), hypo-sensitivity (under-responsiveness), or sensory-seeking behaviors across any sensory modality (e.g., sound, light, texture, movement).</w:t>
            </w:r>
          </w:p>
        </w:tc>
        <w:tc>
          <w:tcPr>
            <w:tcW w:w="4985" w:type="dxa"/>
            <w:tcBorders>
              <w:top w:val="single" w:color="auto" w:sz="4" w:space="0"/>
              <w:left w:val="single" w:color="auto" w:sz="4" w:space="0"/>
              <w:bottom w:val="single" w:color="auto" w:sz="4" w:space="0"/>
              <w:right w:val="single" w:color="auto" w:sz="4" w:space="0"/>
            </w:tcBorders>
          </w:tcPr>
          <w:p w14:paraId="321B2960">
            <w:pPr>
              <w:keepNext w:val="0"/>
              <w:keepLines w:val="0"/>
              <w:widowControl/>
              <w:numPr>
                <w:ilvl w:val="0"/>
                <w:numId w:val="5"/>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Sensory overload (e.g., bright lights, loud/noisy environments) can cause anxiety, irritability, emotional exhaustion, or meltdowns.</w:t>
            </w:r>
          </w:p>
          <w:p w14:paraId="570F0371">
            <w:pPr>
              <w:keepNext w:val="0"/>
              <w:keepLines w:val="0"/>
              <w:widowControl/>
              <w:numPr>
                <w:ilvl w:val="0"/>
                <w:numId w:val="5"/>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Chronic sensory stress (e.g., living in a world that either frequently overwhelms or under-stimulates) can contribute to long-term mental health challenges, e.g.,burnout, depression, or PTSD-like symptoms.</w:t>
            </w:r>
          </w:p>
          <w:p w14:paraId="7603EF66">
            <w:pPr>
              <w:keepNext w:val="0"/>
              <w:keepLines w:val="0"/>
              <w:widowControl/>
              <w:numPr>
                <w:ilvl w:val="0"/>
                <w:numId w:val="5"/>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Positive sensory regulation (through access to sensory tools or environments)  can support self-regulation, emotional stability &amp; overall wellness.</w:t>
            </w:r>
          </w:p>
        </w:tc>
      </w:tr>
      <w:tr w14:paraId="2A6B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tcBorders>
              <w:top w:val="single" w:color="auto" w:sz="4" w:space="0"/>
              <w:left w:val="single" w:color="auto" w:sz="4" w:space="0"/>
              <w:bottom w:val="single" w:color="auto" w:sz="4" w:space="0"/>
              <w:right w:val="single" w:color="auto" w:sz="4" w:space="0"/>
            </w:tcBorders>
          </w:tcPr>
          <w:p w14:paraId="05364A56">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2. Communication Differences &amp; Mental Health:</w:t>
            </w:r>
          </w:p>
          <w:p w14:paraId="0ECE74E6">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Autistic communication styles may include differences in verbal expression (e.g., echolalia, atypical prosody), nonverbal communication (e.g., reduced eye contact, alternative gestures), and/or a preference for written/digital communication.</w:t>
            </w:r>
          </w:p>
        </w:tc>
        <w:tc>
          <w:tcPr>
            <w:tcW w:w="4985" w:type="dxa"/>
            <w:tcBorders>
              <w:top w:val="single" w:color="auto" w:sz="4" w:space="0"/>
              <w:left w:val="single" w:color="auto" w:sz="4" w:space="0"/>
              <w:bottom w:val="single" w:color="auto" w:sz="4" w:space="0"/>
              <w:right w:val="single" w:color="auto" w:sz="4" w:space="0"/>
            </w:tcBorders>
          </w:tcPr>
          <w:p w14:paraId="2167631D">
            <w:pPr>
              <w:keepNext w:val="0"/>
              <w:keepLines w:val="0"/>
              <w:widowControl/>
              <w:numPr>
                <w:ilvl w:val="0"/>
                <w:numId w:val="6"/>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Misunderstandings or unmet communication needs can result in social isolation, frustration, or feelings of invisibility.</w:t>
            </w:r>
          </w:p>
          <w:p w14:paraId="165214EC">
            <w:pPr>
              <w:keepNext w:val="0"/>
              <w:keepLines w:val="0"/>
              <w:widowControl/>
              <w:numPr>
                <w:ilvl w:val="0"/>
                <w:numId w:val="6"/>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Masking communication differences to fit neurotypical norms can cause autistic burnout &amp; harm self-esteem.</w:t>
            </w:r>
          </w:p>
          <w:p w14:paraId="65F95CDA">
            <w:pPr>
              <w:keepNext w:val="0"/>
              <w:keepLines w:val="0"/>
              <w:widowControl/>
              <w:numPr>
                <w:ilvl w:val="0"/>
                <w:numId w:val="6"/>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Supportive environments that validate &amp; accommodate communication preferences (e.g., AAC devices, acceptance of atypical speech patterns) improve emotional well-being &amp; foster a sense of belonging.</w:t>
            </w:r>
          </w:p>
        </w:tc>
      </w:tr>
      <w:tr w14:paraId="51EE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tcBorders>
              <w:top w:val="single" w:color="auto" w:sz="4" w:space="0"/>
              <w:left w:val="single" w:color="auto" w:sz="4" w:space="0"/>
              <w:bottom w:val="single" w:color="auto" w:sz="4" w:space="0"/>
              <w:right w:val="single" w:color="auto" w:sz="4" w:space="0"/>
            </w:tcBorders>
          </w:tcPr>
          <w:p w14:paraId="0BD98320">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r>
              <w:rPr>
                <w:rFonts w:hint="default" w:ascii="Arial" w:hAnsi="Arial" w:cs="Arial"/>
                <w:sz w:val="20"/>
                <w:szCs w:val="20"/>
                <w:lang w:val="en-SG"/>
              </w:rPr>
              <w:t>3. Social Interaction Differences &amp; Mental Health: Autistic social differences may involve different approaches to friendship, reciprocity, &amp; shared activities, and most of the time being more direct, interest-based, and/or energy-sensitive.</w:t>
            </w:r>
          </w:p>
          <w:p w14:paraId="32880A57">
            <w:pPr>
              <w:keepNext w:val="0"/>
              <w:keepLines w:val="0"/>
              <w:widowControl/>
              <w:suppressLineNumbers w:val="0"/>
              <w:spacing w:before="0" w:beforeAutospacing="0" w:after="0" w:afterAutospacing="0"/>
              <w:ind w:left="0" w:right="0"/>
              <w:jc w:val="left"/>
              <w:rPr>
                <w:rFonts w:hint="default" w:ascii="Arial" w:hAnsi="Arial" w:cs="Arial"/>
                <w:sz w:val="20"/>
                <w:szCs w:val="20"/>
                <w:lang w:val="en-SG"/>
              </w:rPr>
            </w:pPr>
          </w:p>
        </w:tc>
        <w:tc>
          <w:tcPr>
            <w:tcW w:w="4985" w:type="dxa"/>
            <w:tcBorders>
              <w:top w:val="single" w:color="auto" w:sz="4" w:space="0"/>
              <w:left w:val="single" w:color="auto" w:sz="4" w:space="0"/>
              <w:bottom w:val="single" w:color="auto" w:sz="4" w:space="0"/>
              <w:right w:val="single" w:color="auto" w:sz="4" w:space="0"/>
            </w:tcBorders>
          </w:tcPr>
          <w:p w14:paraId="2801696C">
            <w:pPr>
              <w:keepNext w:val="0"/>
              <w:keepLines w:val="0"/>
              <w:widowControl/>
              <w:numPr>
                <w:ilvl w:val="0"/>
                <w:numId w:val="7"/>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Peer rejection, bullying, or misunderstanding can lead to social anxiety, depression, &amp; trauma.</w:t>
            </w:r>
          </w:p>
          <w:p w14:paraId="59362874">
            <w:pPr>
              <w:keepNext w:val="0"/>
              <w:keepLines w:val="0"/>
              <w:widowControl/>
              <w:numPr>
                <w:ilvl w:val="0"/>
                <w:numId w:val="7"/>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Mismatch in social expectations between autistic &amp; non-autistic people often creates stress &amp; feelings of alienation.</w:t>
            </w:r>
          </w:p>
          <w:p w14:paraId="0DBACA47">
            <w:pPr>
              <w:keepNext w:val="0"/>
              <w:keepLines w:val="0"/>
              <w:widowControl/>
              <w:numPr>
                <w:ilvl w:val="0"/>
                <w:numId w:val="7"/>
              </w:numPr>
              <w:suppressLineNumbers w:val="0"/>
              <w:spacing w:before="0" w:beforeAutospacing="0" w:after="0" w:afterAutospacing="0"/>
              <w:ind w:right="0"/>
              <w:jc w:val="left"/>
              <w:rPr>
                <w:rFonts w:hint="default" w:ascii="Arial" w:hAnsi="Arial" w:cs="Arial"/>
                <w:sz w:val="20"/>
                <w:szCs w:val="20"/>
                <w:lang w:val="en-SG"/>
              </w:rPr>
            </w:pPr>
            <w:r>
              <w:rPr>
                <w:rFonts w:hint="default" w:ascii="Arial" w:hAnsi="Arial" w:cs="Arial"/>
                <w:sz w:val="20"/>
                <w:szCs w:val="20"/>
                <w:lang w:val="en-SG"/>
              </w:rPr>
              <w:t>Meaningful connections, where social energy, pacing, and shared interests are respected, can protect mental health, increase life satisfaction, &amp; support resilience.</w:t>
            </w:r>
          </w:p>
        </w:tc>
      </w:tr>
    </w:tbl>
    <w:p w14:paraId="02D52B16">
      <w:pPr>
        <w:rPr>
          <w:rFonts w:hint="default" w:ascii="Arial" w:hAnsi="Arial" w:cs="Arial"/>
          <w:sz w:val="20"/>
          <w:szCs w:val="20"/>
          <w:lang w:val="en-SG"/>
        </w:rPr>
      </w:pPr>
    </w:p>
    <w:p w14:paraId="5574CCA8">
      <w:pPr>
        <w:rPr>
          <w:rFonts w:ascii="Arial" w:hAnsi="Arial" w:cs="Arial"/>
          <w:lang w:val="en-SG"/>
        </w:rPr>
      </w:pPr>
    </w:p>
    <w:p w14:paraId="146C1406">
      <w:pPr>
        <w:numPr>
          <w:ilvl w:val="0"/>
          <w:numId w:val="1"/>
        </w:numPr>
        <w:rPr>
          <w:rFonts w:ascii="Arial" w:hAnsi="Arial" w:cs="Arial"/>
          <w:b/>
          <w:bCs/>
          <w:lang w:val="en-SG"/>
        </w:rPr>
      </w:pPr>
      <w:r>
        <w:rPr>
          <w:rFonts w:ascii="Arial" w:hAnsi="Arial" w:cs="Arial"/>
          <w:b/>
          <w:bCs/>
          <w:lang w:val="en-SG"/>
        </w:rPr>
        <w:t>HOW THE THREE CORE EXPERIENCE DOMAINS (CEDs) INTERCONNECT</w:t>
      </w:r>
    </w:p>
    <w:p w14:paraId="0C5DC61E">
      <w:pPr>
        <w:rPr>
          <w:rFonts w:ascii="Arial" w:hAnsi="Arial" w:cs="Arial"/>
          <w:b/>
          <w:bCs/>
          <w:sz w:val="20"/>
          <w:szCs w:val="20"/>
          <w:lang w:val="en-SG"/>
        </w:rPr>
      </w:pPr>
    </w:p>
    <w:p w14:paraId="3FAD6607">
      <w:pPr>
        <w:rPr>
          <w:rFonts w:ascii="Arial" w:hAnsi="Arial" w:cs="Arial"/>
          <w:sz w:val="20"/>
          <w:szCs w:val="20"/>
          <w:lang w:val="en-SG"/>
        </w:rPr>
      </w:pPr>
      <w:r>
        <w:rPr>
          <w:rFonts w:ascii="Arial" w:hAnsi="Arial" w:cs="Arial"/>
          <w:sz w:val="20"/>
          <w:szCs w:val="20"/>
          <w:lang w:val="en-SG"/>
        </w:rPr>
        <w:t>The three CEDs (i.e., sensory needs, communication, and social interaction differences) are not separate challenges. In fact, they often overlap. For instance, a noisy classroom (sensory trigger) makes it hard for a student with autism to process spoken instructions (communication difficulty). This, in turn, can lead to social withdrawal or being perceived as ‘uncooperative’ (social impact) that can ultimately increase anxiety. In another example, if sensory needs of an individual with autism are met, communication is supported, and social styles are respected, the likelihood of positive mental health outcomes for that person can increase dramatically (Cooper et al., 2023).</w:t>
      </w:r>
    </w:p>
    <w:p w14:paraId="3652CEF3">
      <w:pPr>
        <w:rPr>
          <w:rFonts w:ascii="Arial" w:hAnsi="Arial" w:cs="Arial"/>
          <w:sz w:val="20"/>
          <w:szCs w:val="20"/>
          <w:lang w:val="en-SG"/>
        </w:rPr>
      </w:pPr>
    </w:p>
    <w:p w14:paraId="18B34F1A">
      <w:pPr>
        <w:rPr>
          <w:rFonts w:ascii="Arial" w:hAnsi="Arial" w:cs="Arial"/>
          <w:sz w:val="20"/>
          <w:szCs w:val="20"/>
          <w:lang w:val="en-SG"/>
        </w:rPr>
      </w:pPr>
      <w:r>
        <w:rPr>
          <w:rFonts w:ascii="Arial" w:hAnsi="Arial" w:cs="Arial"/>
          <w:sz w:val="20"/>
          <w:szCs w:val="20"/>
          <w:lang w:val="en-SG"/>
        </w:rPr>
        <w:t>As a wellness framework, the CEDs can provide a supportive approach for autistic mental health by accommodating sensory profiles (e.g., quiet spaces, flexible lighting, sensory tools), supporting authentic communication (e.g., augmentative and alternative communication or AAC for short, written options, acceptance of natural speech patterns), and respecting neurodivergent social styles (e.g., allowing parallel play, interest-based groups, social pacing). When these three CEDs are respected and met as well as treated as unique strengths (see Taylor et al., 2023) rather than weaknesses or deficits, individuals with autism are more likely to experience reduced stress, increased autonomy, better self-esteem, and improved overall mental wellness.</w:t>
      </w:r>
    </w:p>
    <w:p w14:paraId="41707765">
      <w:pPr>
        <w:rPr>
          <w:rFonts w:ascii="Arial" w:hAnsi="Arial" w:cs="Arial"/>
          <w:sz w:val="20"/>
          <w:szCs w:val="20"/>
          <w:lang w:val="en-SG"/>
        </w:rPr>
      </w:pPr>
    </w:p>
    <w:p w14:paraId="51AC5CC0">
      <w:pPr>
        <w:rPr>
          <w:rFonts w:ascii="Arial" w:hAnsi="Arial" w:cs="Arial"/>
          <w:sz w:val="20"/>
          <w:szCs w:val="20"/>
          <w:lang w:val="en-SG"/>
        </w:rPr>
      </w:pPr>
      <w:r>
        <w:rPr>
          <w:rFonts w:ascii="Arial" w:hAnsi="Arial" w:cs="Arial"/>
          <w:sz w:val="20"/>
          <w:szCs w:val="20"/>
          <w:lang w:val="en-SG"/>
        </w:rPr>
        <w:t>Figure 3 shows the autistic behavior profile change curve, how communication differences, sensory needs, and social interaction patterns may rise or fall in visibility at different life stages. The values in the graph are illustrative, not diagnostic, and help visualize why an autistic individual’s profile might look different over time.</w:t>
      </w:r>
    </w:p>
    <w:p w14:paraId="137E21D5">
      <w:pPr>
        <w:rPr>
          <w:rFonts w:ascii="Arial" w:hAnsi="Arial" w:cs="Arial"/>
          <w:sz w:val="20"/>
          <w:szCs w:val="20"/>
          <w:lang w:val="en-SG"/>
        </w:rPr>
      </w:pPr>
    </w:p>
    <w:p w14:paraId="1F85C8D7">
      <w:pPr>
        <w:jc w:val="center"/>
        <w:rPr>
          <w:rFonts w:ascii="Arial" w:hAnsi="Arial" w:cs="Arial"/>
          <w:sz w:val="20"/>
          <w:szCs w:val="20"/>
          <w:lang w:val="en-SG"/>
        </w:rPr>
      </w:pPr>
      <w:r>
        <w:rPr>
          <w:rFonts w:ascii="Arial" w:hAnsi="Arial" w:cs="Arial"/>
          <w:sz w:val="20"/>
          <w:szCs w:val="20"/>
          <w:lang w:eastAsia="en-US"/>
        </w:rPr>
        <w:drawing>
          <wp:inline distT="0" distB="0" distL="0" distR="0">
            <wp:extent cx="5219700" cy="3219450"/>
            <wp:effectExtent l="0" t="0" r="0" b="0"/>
            <wp:docPr id="83493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36665" name="Picture 1"/>
                    <pic:cNvPicPr>
                      <a:picLocks noChangeAspect="1"/>
                    </pic:cNvPicPr>
                  </pic:nvPicPr>
                  <pic:blipFill>
                    <a:blip r:embed="rId12"/>
                    <a:stretch>
                      <a:fillRect/>
                    </a:stretch>
                  </pic:blipFill>
                  <pic:spPr>
                    <a:xfrm>
                      <a:off x="0" y="0"/>
                      <a:ext cx="5219738" cy="3219474"/>
                    </a:xfrm>
                    <a:prstGeom prst="rect">
                      <a:avLst/>
                    </a:prstGeom>
                  </pic:spPr>
                </pic:pic>
              </a:graphicData>
            </a:graphic>
          </wp:inline>
        </w:drawing>
      </w:r>
    </w:p>
    <w:p w14:paraId="4D504DD3">
      <w:pPr>
        <w:jc w:val="center"/>
        <w:rPr>
          <w:rFonts w:ascii="Arial" w:hAnsi="Arial" w:cs="Arial"/>
          <w:sz w:val="20"/>
          <w:szCs w:val="20"/>
          <w:lang w:val="en-SG"/>
        </w:rPr>
      </w:pPr>
      <w:r>
        <w:rPr>
          <w:rFonts w:ascii="Arial" w:hAnsi="Arial" w:cs="Arial"/>
          <w:sz w:val="20"/>
          <w:szCs w:val="20"/>
          <w:lang w:val="en-SG"/>
        </w:rPr>
        <w:t xml:space="preserve">Figure 3. Autistic Behavioral Profile Change Curve </w:t>
      </w:r>
    </w:p>
    <w:p w14:paraId="58049024">
      <w:pPr>
        <w:rPr>
          <w:rFonts w:ascii="Arial" w:hAnsi="Arial" w:cs="Arial"/>
          <w:sz w:val="20"/>
          <w:szCs w:val="20"/>
          <w:lang w:val="en-SG"/>
        </w:rPr>
      </w:pPr>
    </w:p>
    <w:p w14:paraId="26B91FFD">
      <w:pPr>
        <w:rPr>
          <w:rFonts w:ascii="Arial" w:hAnsi="Arial" w:cs="Arial"/>
          <w:sz w:val="20"/>
          <w:szCs w:val="20"/>
          <w:lang w:val="en-SG"/>
        </w:rPr>
      </w:pPr>
      <w:r>
        <w:rPr>
          <w:rFonts w:ascii="Arial" w:hAnsi="Arial" w:cs="Arial"/>
          <w:sz w:val="20"/>
          <w:szCs w:val="20"/>
          <w:lang w:val="en-SG"/>
        </w:rPr>
        <w:t>The x-axis in Figure 3 above shows the five lifespan developmental stages, ranging from early childhood to adulthood. The y-axis, on the other hand, labeled ‘Relative Visibility/Impact,’ is scaled from</w:t>
      </w:r>
      <w:r>
        <w:rPr>
          <w:rFonts w:ascii="Arial" w:hAnsi="Arial" w:cs="Arial"/>
          <w:b/>
          <w:bCs/>
          <w:sz w:val="20"/>
          <w:szCs w:val="20"/>
          <w:lang w:val="en-SG"/>
        </w:rPr>
        <w:t xml:space="preserve"> </w:t>
      </w:r>
      <w:r>
        <w:rPr>
          <w:rFonts w:ascii="Arial" w:hAnsi="Arial" w:cs="Arial"/>
          <w:sz w:val="20"/>
          <w:szCs w:val="20"/>
          <w:lang w:val="en-SG"/>
        </w:rPr>
        <w:t>1-5. Below is a qualitative interpretation of the numeric scores, ranging from 1 to 5, on this scale:</w:t>
      </w:r>
    </w:p>
    <w:p w14:paraId="1AEFD0B8">
      <w:pPr>
        <w:numPr>
          <w:ilvl w:val="0"/>
          <w:numId w:val="8"/>
        </w:numPr>
        <w:rPr>
          <w:rFonts w:ascii="Arial" w:hAnsi="Arial" w:cs="Arial"/>
          <w:sz w:val="20"/>
          <w:szCs w:val="20"/>
          <w:lang w:val="en-SG"/>
        </w:rPr>
      </w:pPr>
      <w:r>
        <w:rPr>
          <w:rFonts w:ascii="Arial" w:hAnsi="Arial" w:cs="Arial"/>
          <w:sz w:val="20"/>
          <w:szCs w:val="20"/>
          <w:lang w:val="en-SG"/>
        </w:rPr>
        <w:t>1 = Very Low Visibility/Impact:</w:t>
      </w:r>
      <w:r>
        <w:rPr>
          <w:rFonts w:ascii="Arial" w:hAnsi="Arial" w:cs="Arial"/>
          <w:b/>
          <w:bCs/>
          <w:sz w:val="20"/>
          <w:szCs w:val="20"/>
          <w:lang w:val="en-SG"/>
        </w:rPr>
        <w:t xml:space="preserve"> </w:t>
      </w:r>
      <w:r>
        <w:rPr>
          <w:rFonts w:ascii="Arial" w:hAnsi="Arial" w:cs="Arial"/>
          <w:sz w:val="20"/>
          <w:szCs w:val="20"/>
          <w:lang w:val="en-SG"/>
        </w:rPr>
        <w:t>The behavior is minimally noticeable or has little impact on daily functioning or interactions. It may go largely unrecognized by others.</w:t>
      </w:r>
    </w:p>
    <w:p w14:paraId="672784D6">
      <w:pPr>
        <w:numPr>
          <w:ilvl w:val="0"/>
          <w:numId w:val="8"/>
        </w:numPr>
        <w:rPr>
          <w:rFonts w:ascii="Arial" w:hAnsi="Arial" w:cs="Arial"/>
          <w:sz w:val="20"/>
          <w:szCs w:val="20"/>
          <w:lang w:val="en-SG"/>
        </w:rPr>
      </w:pPr>
      <w:r>
        <w:rPr>
          <w:rFonts w:ascii="Arial" w:hAnsi="Arial" w:cs="Arial"/>
          <w:sz w:val="20"/>
          <w:szCs w:val="20"/>
          <w:lang w:val="en-SG"/>
        </w:rPr>
        <w:t>2 = Low Visibility/Impact:</w:t>
      </w:r>
      <w:r>
        <w:rPr>
          <w:rFonts w:ascii="Arial" w:hAnsi="Arial" w:cs="Arial"/>
          <w:b/>
          <w:bCs/>
          <w:sz w:val="20"/>
          <w:szCs w:val="20"/>
          <w:lang w:val="en-SG"/>
        </w:rPr>
        <w:t xml:space="preserve"> </w:t>
      </w:r>
      <w:r>
        <w:rPr>
          <w:rFonts w:ascii="Arial" w:hAnsi="Arial" w:cs="Arial"/>
          <w:sz w:val="20"/>
          <w:szCs w:val="20"/>
          <w:lang w:val="en-SG"/>
        </w:rPr>
        <w:t>The behavior is occasionally noticeable and may have a minor impact on functioning or social interactions but is not highly disruptive.</w:t>
      </w:r>
    </w:p>
    <w:p w14:paraId="52514037">
      <w:pPr>
        <w:numPr>
          <w:ilvl w:val="0"/>
          <w:numId w:val="8"/>
        </w:numPr>
        <w:rPr>
          <w:rFonts w:ascii="Arial" w:hAnsi="Arial" w:cs="Arial"/>
          <w:sz w:val="20"/>
          <w:szCs w:val="20"/>
          <w:lang w:val="en-SG"/>
        </w:rPr>
      </w:pPr>
      <w:r>
        <w:rPr>
          <w:rFonts w:ascii="Arial" w:hAnsi="Arial" w:cs="Arial"/>
          <w:sz w:val="20"/>
          <w:szCs w:val="20"/>
          <w:lang w:val="en-SG"/>
        </w:rPr>
        <w:t>3 = Moderate Visibility/Impact:</w:t>
      </w:r>
      <w:r>
        <w:rPr>
          <w:rFonts w:ascii="Arial" w:hAnsi="Arial" w:cs="Arial"/>
          <w:b/>
          <w:bCs/>
          <w:sz w:val="20"/>
          <w:szCs w:val="20"/>
          <w:lang w:val="en-SG"/>
        </w:rPr>
        <w:t xml:space="preserve"> </w:t>
      </w:r>
      <w:r>
        <w:rPr>
          <w:rFonts w:ascii="Arial" w:hAnsi="Arial" w:cs="Arial"/>
          <w:sz w:val="20"/>
          <w:szCs w:val="20"/>
          <w:lang w:val="en-SG"/>
        </w:rPr>
        <w:t>The behavior is somewhat noticeable and has a moderate impact. It may be recognized by peers or caregivers and can influence some aspects of functioning.</w:t>
      </w:r>
    </w:p>
    <w:p w14:paraId="3D3FBF44">
      <w:pPr>
        <w:numPr>
          <w:ilvl w:val="0"/>
          <w:numId w:val="8"/>
        </w:numPr>
        <w:rPr>
          <w:rFonts w:ascii="Arial" w:hAnsi="Arial" w:cs="Arial"/>
          <w:sz w:val="20"/>
          <w:szCs w:val="20"/>
          <w:lang w:val="en-SG"/>
        </w:rPr>
      </w:pPr>
      <w:r>
        <w:rPr>
          <w:rFonts w:ascii="Arial" w:hAnsi="Arial" w:cs="Arial"/>
          <w:sz w:val="20"/>
          <w:szCs w:val="20"/>
          <w:lang w:val="en-SG"/>
        </w:rPr>
        <w:t>4 = High Visibility/Impact:</w:t>
      </w:r>
      <w:r>
        <w:rPr>
          <w:rFonts w:ascii="Arial" w:hAnsi="Arial" w:cs="Arial"/>
          <w:b/>
          <w:bCs/>
          <w:sz w:val="20"/>
          <w:szCs w:val="20"/>
          <w:lang w:val="en-SG"/>
        </w:rPr>
        <w:t xml:space="preserve"> </w:t>
      </w:r>
      <w:r>
        <w:rPr>
          <w:rFonts w:ascii="Arial" w:hAnsi="Arial" w:cs="Arial"/>
          <w:sz w:val="20"/>
          <w:szCs w:val="20"/>
          <w:lang w:val="en-SG"/>
        </w:rPr>
        <w:t>The behavior is clearly visible and significantly affects daily activities, communication, or social interaction. It is likely recognized by most people interacting with the individual.</w:t>
      </w:r>
    </w:p>
    <w:p w14:paraId="7277F94D">
      <w:pPr>
        <w:numPr>
          <w:ilvl w:val="0"/>
          <w:numId w:val="8"/>
        </w:numPr>
        <w:rPr>
          <w:rFonts w:ascii="Arial" w:hAnsi="Arial" w:cs="Arial"/>
          <w:sz w:val="20"/>
          <w:szCs w:val="20"/>
          <w:lang w:val="en-SG"/>
        </w:rPr>
      </w:pPr>
      <w:r>
        <w:rPr>
          <w:rFonts w:ascii="Arial" w:hAnsi="Arial" w:cs="Arial"/>
          <w:sz w:val="20"/>
          <w:szCs w:val="20"/>
          <w:lang w:val="en-SG"/>
        </w:rPr>
        <w:t>5 = Very High Visibility/Impact:</w:t>
      </w:r>
      <w:r>
        <w:rPr>
          <w:rFonts w:ascii="Arial" w:hAnsi="Arial" w:cs="Arial"/>
          <w:b/>
          <w:bCs/>
          <w:sz w:val="20"/>
          <w:szCs w:val="20"/>
          <w:lang w:val="en-SG"/>
        </w:rPr>
        <w:t xml:space="preserve"> </w:t>
      </w:r>
      <w:r>
        <w:rPr>
          <w:rFonts w:ascii="Arial" w:hAnsi="Arial" w:cs="Arial"/>
          <w:sz w:val="20"/>
          <w:szCs w:val="20"/>
          <w:lang w:val="en-SG"/>
        </w:rPr>
        <w:t>The behavior is highly prominent and has a substantial impact on functioning. It may be a defining characteristic in how the individual is perceived or supported.</w:t>
      </w:r>
    </w:p>
    <w:p w14:paraId="796632F8">
      <w:pPr>
        <w:rPr>
          <w:rFonts w:ascii="Arial" w:hAnsi="Arial" w:cs="Arial"/>
          <w:sz w:val="20"/>
          <w:szCs w:val="20"/>
          <w:lang w:val="en-SG"/>
        </w:rPr>
      </w:pPr>
      <w:r>
        <w:rPr>
          <w:rFonts w:ascii="Arial" w:hAnsi="Arial" w:cs="Arial"/>
          <w:sz w:val="20"/>
          <w:szCs w:val="20"/>
          <w:lang w:val="en-SG"/>
        </w:rPr>
        <w:t xml:space="preserve"> </w:t>
      </w:r>
    </w:p>
    <w:p w14:paraId="461797FA">
      <w:pPr>
        <w:rPr>
          <w:rFonts w:ascii="Arial" w:hAnsi="Arial" w:cs="Arial"/>
          <w:sz w:val="20"/>
          <w:szCs w:val="20"/>
          <w:lang w:val="en-SG"/>
        </w:rPr>
      </w:pPr>
      <w:r>
        <w:rPr>
          <w:rFonts w:ascii="Arial" w:hAnsi="Arial" w:cs="Arial"/>
          <w:sz w:val="20"/>
          <w:szCs w:val="20"/>
          <w:lang w:val="en-SG"/>
        </w:rPr>
        <w:t>This scale helps to illustrate how the prominence and effect of the changing autistic behavior patterns vary across the different lifespan developmental stages.</w:t>
      </w:r>
    </w:p>
    <w:p w14:paraId="364B17F5">
      <w:pPr>
        <w:rPr>
          <w:rFonts w:ascii="Arial" w:hAnsi="Arial" w:cs="Arial"/>
          <w:lang w:val="en-SG"/>
        </w:rPr>
      </w:pPr>
    </w:p>
    <w:p w14:paraId="184BBE6D">
      <w:pPr>
        <w:numPr>
          <w:ilvl w:val="0"/>
          <w:numId w:val="1"/>
        </w:numPr>
        <w:rPr>
          <w:rFonts w:ascii="Arial" w:hAnsi="Arial" w:cs="Arial"/>
          <w:b/>
          <w:bCs/>
          <w:lang w:val="en-SG"/>
        </w:rPr>
      </w:pPr>
      <w:r>
        <w:rPr>
          <w:rFonts w:ascii="Arial" w:hAnsi="Arial" w:cs="Arial"/>
          <w:b/>
          <w:bCs/>
        </w:rPr>
        <w:t xml:space="preserve">THE TREATMENT APPROACH FOR AUTISM </w:t>
      </w:r>
    </w:p>
    <w:p w14:paraId="01777706">
      <w:pPr>
        <w:rPr>
          <w:rFonts w:ascii="Arial" w:hAnsi="Arial"/>
          <w:sz w:val="20"/>
          <w:szCs w:val="20"/>
          <w:lang w:val="en-SG"/>
        </w:rPr>
      </w:pPr>
    </w:p>
    <w:p w14:paraId="55845FE0">
      <w:pPr>
        <w:rPr>
          <w:rFonts w:ascii="Arial" w:hAnsi="Arial"/>
          <w:sz w:val="20"/>
          <w:szCs w:val="20"/>
        </w:rPr>
      </w:pPr>
      <w:r>
        <w:rPr>
          <w:rFonts w:ascii="Arial" w:hAnsi="Arial"/>
          <w:sz w:val="20"/>
          <w:szCs w:val="20"/>
          <w:lang w:val="en-SG"/>
        </w:rPr>
        <w:t>Medical approaches</w:t>
      </w:r>
      <w:r>
        <w:rPr>
          <w:rFonts w:ascii="Arial" w:hAnsi="Arial"/>
          <w:sz w:val="20"/>
          <w:szCs w:val="20"/>
        </w:rPr>
        <w:t>,</w:t>
      </w:r>
      <w:r>
        <w:rPr>
          <w:rFonts w:ascii="Arial" w:hAnsi="Arial"/>
          <w:sz w:val="20"/>
          <w:szCs w:val="20"/>
          <w:lang w:val="en-SG"/>
        </w:rPr>
        <w:t xml:space="preserve"> such as pharmacotherapy</w:t>
      </w:r>
      <w:r>
        <w:rPr>
          <w:rFonts w:ascii="Arial" w:hAnsi="Arial"/>
          <w:sz w:val="20"/>
          <w:szCs w:val="20"/>
        </w:rPr>
        <w:t xml:space="preserve"> (Boksha et l., 2023; Hellings, 2023), nutritional and dietary interventions (Amadi et al.,2022; </w:t>
      </w:r>
      <w:r>
        <w:rPr>
          <w:rFonts w:ascii="Arial" w:hAnsi="Arial" w:eastAsia="DengXian" w:cs="Arial"/>
          <w:sz w:val="20"/>
          <w:szCs w:val="20"/>
          <w:lang w:val="en-US" w:eastAsia="zh-CN" w:bidi="ar"/>
        </w:rPr>
        <w:t>Pérez-Cabral</w:t>
      </w:r>
      <w:r>
        <w:rPr>
          <w:rFonts w:hint="default" w:ascii="Arial" w:hAnsi="Arial" w:eastAsia="DengXian" w:cs="Arial"/>
          <w:sz w:val="20"/>
          <w:szCs w:val="20"/>
          <w:lang w:val="en-SG" w:eastAsia="zh-CN" w:bidi="ar"/>
        </w:rPr>
        <w:t xml:space="preserve"> et al., 2024</w:t>
      </w:r>
      <w:r>
        <w:rPr>
          <w:rFonts w:ascii="Arial" w:hAnsi="Arial"/>
          <w:sz w:val="20"/>
          <w:szCs w:val="20"/>
        </w:rPr>
        <w:t>), and neuromodulation techniques (</w:t>
      </w:r>
      <w:r>
        <w:rPr>
          <w:rFonts w:hint="default" w:ascii="Arial" w:hAnsi="Arial"/>
          <w:sz w:val="20"/>
          <w:szCs w:val="20"/>
          <w:highlight w:val="yellow"/>
          <w:lang w:val="en-SG"/>
        </w:rPr>
        <w:t>Xiao et al., 2023</w:t>
      </w:r>
      <w:r>
        <w:rPr>
          <w:rFonts w:ascii="Arial" w:hAnsi="Arial" w:eastAsia="Segoe UI" w:cs="Arial"/>
          <w:color w:val="212121"/>
          <w:sz w:val="20"/>
          <w:szCs w:val="20"/>
          <w:shd w:val="clear" w:color="auto" w:fill="FFFFFF"/>
        </w:rPr>
        <w:t>; Zhang &amp; Zhang, 2022)</w:t>
      </w:r>
      <w:r>
        <w:rPr>
          <w:rFonts w:ascii="Arial" w:hAnsi="Arial"/>
          <w:sz w:val="20"/>
          <w:szCs w:val="20"/>
        </w:rPr>
        <w:t>,</w:t>
      </w:r>
      <w:r>
        <w:rPr>
          <w:rFonts w:ascii="Arial" w:hAnsi="Arial"/>
          <w:sz w:val="20"/>
          <w:szCs w:val="20"/>
          <w:lang w:val="en-SG"/>
        </w:rPr>
        <w:t xml:space="preserve"> are </w:t>
      </w:r>
      <w:r>
        <w:rPr>
          <w:rFonts w:ascii="Arial" w:hAnsi="Arial"/>
          <w:sz w:val="20"/>
          <w:szCs w:val="20"/>
        </w:rPr>
        <w:t xml:space="preserve">not sufficient </w:t>
      </w:r>
      <w:r>
        <w:rPr>
          <w:rFonts w:ascii="Arial" w:hAnsi="Arial"/>
          <w:sz w:val="20"/>
          <w:szCs w:val="20"/>
          <w:lang w:val="en-SG"/>
        </w:rPr>
        <w:t xml:space="preserve">to address </w:t>
      </w:r>
      <w:r>
        <w:rPr>
          <w:rFonts w:ascii="Arial" w:hAnsi="Arial"/>
          <w:sz w:val="20"/>
          <w:szCs w:val="20"/>
        </w:rPr>
        <w:t>the</w:t>
      </w:r>
      <w:r>
        <w:rPr>
          <w:rFonts w:ascii="Arial" w:hAnsi="Arial"/>
          <w:sz w:val="20"/>
          <w:szCs w:val="20"/>
          <w:lang w:val="en-SG"/>
        </w:rPr>
        <w:t xml:space="preserve"> challenging issues related to the</w:t>
      </w:r>
      <w:r>
        <w:rPr>
          <w:rFonts w:ascii="Arial" w:hAnsi="Arial"/>
          <w:sz w:val="20"/>
          <w:szCs w:val="20"/>
        </w:rPr>
        <w:t xml:space="preserve"> </w:t>
      </w:r>
      <w:r>
        <w:rPr>
          <w:rFonts w:ascii="Arial" w:hAnsi="Arial"/>
          <w:sz w:val="20"/>
          <w:szCs w:val="20"/>
          <w:lang w:val="en-SG"/>
        </w:rPr>
        <w:t xml:space="preserve">CEDs (i.e., sensory needs, communication differences, and social interaction differences) </w:t>
      </w:r>
      <w:r>
        <w:rPr>
          <w:rFonts w:ascii="Arial" w:hAnsi="Arial"/>
          <w:sz w:val="20"/>
          <w:szCs w:val="20"/>
        </w:rPr>
        <w:t>of autism. T</w:t>
      </w:r>
      <w:r>
        <w:rPr>
          <w:rFonts w:ascii="Arial" w:hAnsi="Arial"/>
          <w:sz w:val="20"/>
          <w:szCs w:val="20"/>
          <w:lang w:val="en-SG"/>
        </w:rPr>
        <w:t>he</w:t>
      </w:r>
      <w:r>
        <w:rPr>
          <w:rFonts w:ascii="Arial" w:hAnsi="Arial"/>
          <w:sz w:val="20"/>
          <w:szCs w:val="20"/>
        </w:rPr>
        <w:t xml:space="preserve"> reason is quite obvious: the</w:t>
      </w:r>
      <w:r>
        <w:rPr>
          <w:rFonts w:ascii="Arial" w:hAnsi="Arial"/>
          <w:sz w:val="20"/>
          <w:szCs w:val="20"/>
          <w:lang w:val="en-SG"/>
        </w:rPr>
        <w:t>se</w:t>
      </w:r>
      <w:r>
        <w:rPr>
          <w:rFonts w:ascii="Arial" w:hAnsi="Arial"/>
          <w:sz w:val="20"/>
          <w:szCs w:val="20"/>
        </w:rPr>
        <w:t xml:space="preserve"> three core</w:t>
      </w:r>
      <w:r>
        <w:rPr>
          <w:rFonts w:ascii="Arial" w:hAnsi="Arial"/>
          <w:sz w:val="20"/>
          <w:szCs w:val="20"/>
          <w:lang w:val="en-SG"/>
        </w:rPr>
        <w:t xml:space="preserve"> domains are rooted in neurodevelopmental differences rather than pathological conditions</w:t>
      </w:r>
      <w:r>
        <w:rPr>
          <w:rFonts w:ascii="Arial" w:hAnsi="Arial"/>
          <w:sz w:val="20"/>
          <w:szCs w:val="20"/>
        </w:rPr>
        <w:t xml:space="preserve"> (Hirota &amp; King, 2023; Sauer et al., 2021), which</w:t>
      </w:r>
      <w:r>
        <w:rPr>
          <w:rFonts w:ascii="Arial" w:hAnsi="Arial"/>
          <w:sz w:val="20"/>
          <w:szCs w:val="20"/>
          <w:lang w:val="en-SG"/>
        </w:rPr>
        <w:t xml:space="preserve"> medication can </w:t>
      </w:r>
      <w:r>
        <w:rPr>
          <w:rFonts w:ascii="Arial" w:hAnsi="Arial"/>
          <w:sz w:val="20"/>
          <w:szCs w:val="20"/>
        </w:rPr>
        <w:t>‘</w:t>
      </w:r>
      <w:r>
        <w:rPr>
          <w:rFonts w:ascii="Arial" w:hAnsi="Arial"/>
          <w:sz w:val="20"/>
          <w:szCs w:val="20"/>
          <w:lang w:val="en-SG"/>
        </w:rPr>
        <w:t>cure.</w:t>
      </w:r>
      <w:r>
        <w:rPr>
          <w:rFonts w:ascii="Arial" w:hAnsi="Arial"/>
          <w:sz w:val="20"/>
          <w:szCs w:val="20"/>
        </w:rPr>
        <w:t>’</w:t>
      </w:r>
      <w:r>
        <w:rPr>
          <w:rFonts w:ascii="Arial" w:hAnsi="Arial"/>
          <w:sz w:val="20"/>
          <w:szCs w:val="20"/>
          <w:lang w:val="en-SG"/>
        </w:rPr>
        <w:t xml:space="preserve"> While medicine may alleviate co-occurring symptoms </w:t>
      </w:r>
      <w:r>
        <w:rPr>
          <w:rFonts w:ascii="Arial" w:hAnsi="Arial"/>
          <w:sz w:val="20"/>
          <w:szCs w:val="20"/>
        </w:rPr>
        <w:t xml:space="preserve">(e.g., </w:t>
      </w:r>
      <w:r>
        <w:rPr>
          <w:rFonts w:ascii="Arial" w:hAnsi="Arial"/>
          <w:sz w:val="20"/>
          <w:szCs w:val="20"/>
          <w:lang w:val="en-SG"/>
        </w:rPr>
        <w:t>anxiety or hyperactivity</w:t>
      </w:r>
      <w:r>
        <w:rPr>
          <w:rFonts w:ascii="Arial" w:hAnsi="Arial"/>
          <w:sz w:val="20"/>
          <w:szCs w:val="20"/>
        </w:rPr>
        <w:t>) seen in individuals with autism</w:t>
      </w:r>
      <w:r>
        <w:rPr>
          <w:rFonts w:ascii="Arial" w:hAnsi="Arial"/>
          <w:sz w:val="20"/>
          <w:szCs w:val="20"/>
          <w:lang w:val="en-SG"/>
        </w:rPr>
        <w:t xml:space="preserve">, it cannot </w:t>
      </w:r>
      <w:r>
        <w:rPr>
          <w:rFonts w:ascii="Arial" w:hAnsi="Arial"/>
          <w:sz w:val="20"/>
          <w:szCs w:val="20"/>
        </w:rPr>
        <w:t>impart</w:t>
      </w:r>
      <w:r>
        <w:rPr>
          <w:rFonts w:ascii="Arial" w:hAnsi="Arial"/>
          <w:sz w:val="20"/>
          <w:szCs w:val="20"/>
          <w:lang w:val="en-SG"/>
        </w:rPr>
        <w:t xml:space="preserve"> adaptive communication strategies, </w:t>
      </w:r>
      <w:r>
        <w:rPr>
          <w:rFonts w:ascii="Arial" w:hAnsi="Arial"/>
          <w:sz w:val="20"/>
          <w:szCs w:val="20"/>
        </w:rPr>
        <w:t xml:space="preserve">provide </w:t>
      </w:r>
      <w:r>
        <w:rPr>
          <w:rFonts w:ascii="Arial" w:hAnsi="Arial"/>
          <w:sz w:val="20"/>
          <w:szCs w:val="20"/>
          <w:lang w:val="en-SG"/>
        </w:rPr>
        <w:t xml:space="preserve">support sensory regulation, or foster reciprocal social engagement. Similarly, rehabilitative medicine </w:t>
      </w:r>
      <w:r>
        <w:rPr>
          <w:rFonts w:ascii="Arial" w:hAnsi="Arial"/>
          <w:sz w:val="20"/>
          <w:szCs w:val="20"/>
        </w:rPr>
        <w:t xml:space="preserve">with is limitations </w:t>
      </w:r>
      <w:r>
        <w:rPr>
          <w:rFonts w:ascii="Arial" w:hAnsi="Arial"/>
          <w:sz w:val="20"/>
          <w:szCs w:val="20"/>
          <w:lang w:val="en-SG"/>
        </w:rPr>
        <w:t>often focuses on restoring lost function after injury or illness,</w:t>
      </w:r>
      <w:r>
        <w:rPr>
          <w:rFonts w:ascii="Arial" w:hAnsi="Arial"/>
          <w:sz w:val="20"/>
          <w:szCs w:val="20"/>
        </w:rPr>
        <w:t xml:space="preserve"> and it </w:t>
      </w:r>
      <w:r>
        <w:rPr>
          <w:rFonts w:ascii="Arial" w:hAnsi="Arial"/>
          <w:sz w:val="20"/>
          <w:szCs w:val="20"/>
          <w:lang w:val="en-SG"/>
        </w:rPr>
        <w:t>does not a</w:t>
      </w:r>
      <w:r>
        <w:rPr>
          <w:rFonts w:ascii="Arial" w:hAnsi="Arial" w:cs="Arial"/>
          <w:sz w:val="20"/>
          <w:szCs w:val="20"/>
          <w:lang w:val="en-SG"/>
        </w:rPr>
        <w:t xml:space="preserve">lign with </w:t>
      </w:r>
      <w:r>
        <w:rPr>
          <w:rFonts w:ascii="Arial" w:hAnsi="Arial" w:cs="Arial"/>
          <w:sz w:val="20"/>
          <w:szCs w:val="20"/>
        </w:rPr>
        <w:t>the</w:t>
      </w:r>
      <w:r>
        <w:rPr>
          <w:rFonts w:ascii="Arial" w:hAnsi="Arial" w:cs="Arial"/>
          <w:sz w:val="20"/>
          <w:szCs w:val="20"/>
          <w:lang w:val="en-SG"/>
        </w:rPr>
        <w:t xml:space="preserve"> lifelong, non-degenerative nature</w:t>
      </w:r>
      <w:r>
        <w:rPr>
          <w:rFonts w:ascii="Arial" w:hAnsi="Arial" w:cs="Arial"/>
          <w:sz w:val="20"/>
          <w:szCs w:val="20"/>
        </w:rPr>
        <w:t xml:space="preserve"> of autism (</w:t>
      </w:r>
      <w:r>
        <w:rPr>
          <w:rFonts w:ascii="Arial" w:hAnsi="Arial" w:eastAsia="DengXian" w:cs="Arial"/>
          <w:sz w:val="20"/>
          <w:szCs w:val="20"/>
          <w:lang w:bidi="ar"/>
        </w:rPr>
        <w:t>Aarabi, Abdi, &amp; Khanjani, 2021)</w:t>
      </w:r>
      <w:r>
        <w:rPr>
          <w:rFonts w:ascii="Arial" w:hAnsi="Arial" w:cs="Arial"/>
          <w:sz w:val="20"/>
          <w:szCs w:val="20"/>
          <w:lang w:val="en-SG"/>
        </w:rPr>
        <w:t xml:space="preserve">. </w:t>
      </w:r>
      <w:r>
        <w:rPr>
          <w:rFonts w:ascii="Arial" w:hAnsi="Arial" w:cs="Arial"/>
          <w:sz w:val="20"/>
          <w:szCs w:val="20"/>
        </w:rPr>
        <w:t>However, “[</w:t>
      </w:r>
      <w:r>
        <w:rPr>
          <w:rFonts w:ascii="Arial" w:hAnsi="Arial" w:eastAsia="SimSun" w:cs="Arial"/>
          <w:sz w:val="20"/>
          <w:szCs w:val="20"/>
        </w:rPr>
        <w:t xml:space="preserve">I]mproved alignment between parent priority and rehabilitation efforts may </w:t>
      </w:r>
      <w:r>
        <w:rPr>
          <w:rFonts w:ascii="Arial" w:hAnsi="Arial" w:eastAsia="SimSun" w:cs="Arial"/>
          <w:sz w:val="20"/>
          <w:szCs w:val="20"/>
          <w:lang w:val="en-SG"/>
        </w:rPr>
        <w:t>also</w:t>
      </w:r>
      <w:r>
        <w:rPr>
          <w:rFonts w:ascii="Arial" w:hAnsi="Arial" w:eastAsia="SimSun" w:cs="Arial"/>
          <w:sz w:val="20"/>
          <w:szCs w:val="20"/>
        </w:rPr>
        <w:t xml:space="preserve">  result in reduced parental stress, increased parent satisfaction with their child’s treatment and, perhaps, more efficient and effective rehabilitation programmes” (Lang et al., 2010, p. 154). It provides a much</w:t>
      </w:r>
      <w:r>
        <w:rPr>
          <w:rFonts w:ascii="Arial" w:hAnsi="Arial" w:eastAsia="SimSun" w:cs="Arial"/>
          <w:sz w:val="20"/>
          <w:szCs w:val="20"/>
          <w:lang w:val="en-SG"/>
        </w:rPr>
        <w:t>-</w:t>
      </w:r>
      <w:r>
        <w:rPr>
          <w:rFonts w:ascii="Arial" w:hAnsi="Arial" w:eastAsia="SimSun" w:cs="Arial"/>
          <w:sz w:val="20"/>
          <w:szCs w:val="20"/>
        </w:rPr>
        <w:t xml:space="preserve">needed respite for the primary caregivers </w:t>
      </w:r>
      <w:r>
        <w:rPr>
          <w:rFonts w:ascii="Arial" w:hAnsi="Arial" w:eastAsia="SimSun" w:cs="Arial"/>
          <w:sz w:val="20"/>
          <w:szCs w:val="20"/>
          <w:lang w:val="en-SG"/>
        </w:rPr>
        <w:t>from the demands of caring for their loved ones</w:t>
      </w:r>
      <w:r>
        <w:rPr>
          <w:rFonts w:ascii="Arial" w:hAnsi="Arial" w:eastAsia="SimSun" w:cs="Arial"/>
          <w:sz w:val="20"/>
          <w:szCs w:val="20"/>
        </w:rPr>
        <w:t xml:space="preserve"> with autism.</w:t>
      </w:r>
    </w:p>
    <w:p w14:paraId="27003A87">
      <w:pPr>
        <w:rPr>
          <w:rFonts w:ascii="Arial" w:hAnsi="Arial"/>
          <w:sz w:val="20"/>
          <w:szCs w:val="20"/>
          <w:lang w:val="en-SG"/>
        </w:rPr>
      </w:pPr>
    </w:p>
    <w:p w14:paraId="38EE27A2">
      <w:pPr>
        <w:rPr>
          <w:rFonts w:ascii="Arial" w:hAnsi="Arial" w:cs="Arial"/>
          <w:sz w:val="20"/>
          <w:szCs w:val="20"/>
          <w:lang w:val="en-SG"/>
        </w:rPr>
      </w:pPr>
      <w:r>
        <w:rPr>
          <w:rFonts w:ascii="Arial" w:hAnsi="Arial"/>
          <w:sz w:val="20"/>
          <w:szCs w:val="20"/>
          <w:lang w:val="en-SG"/>
        </w:rPr>
        <w:t xml:space="preserve">In contrast, an </w:t>
      </w:r>
      <w:r>
        <w:rPr>
          <w:rFonts w:ascii="Arial" w:hAnsi="Arial"/>
          <w:sz w:val="20"/>
          <w:szCs w:val="20"/>
        </w:rPr>
        <w:t xml:space="preserve">evidence-based individualized </w:t>
      </w:r>
      <w:r>
        <w:rPr>
          <w:rFonts w:ascii="Arial" w:hAnsi="Arial"/>
          <w:sz w:val="20"/>
          <w:szCs w:val="20"/>
          <w:lang w:val="en-SG"/>
        </w:rPr>
        <w:t>interventionist approach</w:t>
      </w:r>
      <w:r>
        <w:rPr>
          <w:rFonts w:ascii="Arial" w:hAnsi="Arial"/>
          <w:sz w:val="20"/>
          <w:szCs w:val="20"/>
        </w:rPr>
        <w:t xml:space="preserve"> (Frye, 2022; Vivanti, 2022), which </w:t>
      </w:r>
      <w:r>
        <w:rPr>
          <w:rFonts w:ascii="Arial" w:hAnsi="Arial"/>
          <w:sz w:val="20"/>
          <w:szCs w:val="20"/>
          <w:lang w:val="en-SG"/>
        </w:rPr>
        <w:t>encompass</w:t>
      </w:r>
      <w:r>
        <w:rPr>
          <w:rFonts w:ascii="Arial" w:hAnsi="Arial"/>
          <w:sz w:val="20"/>
          <w:szCs w:val="20"/>
        </w:rPr>
        <w:t>es</w:t>
      </w:r>
      <w:r>
        <w:rPr>
          <w:rFonts w:ascii="Arial" w:hAnsi="Arial"/>
          <w:sz w:val="20"/>
          <w:szCs w:val="20"/>
          <w:lang w:val="en-SG"/>
        </w:rPr>
        <w:t xml:space="preserve"> educational, behavioral, sensory-integration, and social-pragmatic supports</w:t>
      </w:r>
      <w:r>
        <w:rPr>
          <w:rFonts w:ascii="Arial" w:hAnsi="Arial"/>
          <w:sz w:val="20"/>
          <w:szCs w:val="20"/>
        </w:rPr>
        <w:t xml:space="preserve">, </w:t>
      </w:r>
      <w:r>
        <w:rPr>
          <w:rFonts w:ascii="Arial" w:hAnsi="Arial"/>
          <w:sz w:val="20"/>
          <w:szCs w:val="20"/>
          <w:lang w:val="en-SG"/>
        </w:rPr>
        <w:t>actively equips autistic individuals with tailored skills, environmental adaptations, and strategies to thrive, making it far more effective in directly addressing the CEDs.</w:t>
      </w:r>
    </w:p>
    <w:p w14:paraId="4D2B1E95">
      <w:pPr>
        <w:rPr>
          <w:rFonts w:ascii="Arial" w:hAnsi="Arial" w:cs="Arial"/>
          <w:lang w:val="en-SG"/>
        </w:rPr>
      </w:pPr>
    </w:p>
    <w:p w14:paraId="28A39D3F">
      <w:pPr>
        <w:numPr>
          <w:ilvl w:val="0"/>
          <w:numId w:val="1"/>
        </w:numPr>
        <w:rPr>
          <w:rFonts w:ascii="Arial" w:hAnsi="Arial" w:cs="Arial"/>
          <w:b/>
          <w:bCs/>
          <w:lang w:val="en-SG"/>
        </w:rPr>
      </w:pPr>
      <w:r>
        <w:rPr>
          <w:rFonts w:ascii="Arial" w:hAnsi="Arial" w:cs="Arial"/>
          <w:b/>
          <w:bCs/>
          <w:lang w:val="en-SG"/>
        </w:rPr>
        <w:t>A HYPOTHETICAL CASE STUDY</w:t>
      </w:r>
    </w:p>
    <w:p w14:paraId="6A721642">
      <w:pPr>
        <w:rPr>
          <w:rFonts w:ascii="Arial" w:hAnsi="Arial" w:cs="Arial"/>
          <w:sz w:val="20"/>
          <w:szCs w:val="20"/>
          <w:lang w:val="en-SG"/>
        </w:rPr>
      </w:pPr>
    </w:p>
    <w:p w14:paraId="6F0DA08E">
      <w:pPr>
        <w:rPr>
          <w:rFonts w:ascii="Arial" w:hAnsi="Arial" w:cs="Arial"/>
          <w:sz w:val="20"/>
          <w:szCs w:val="20"/>
          <w:lang w:val="en-SG"/>
        </w:rPr>
      </w:pPr>
      <w:r>
        <w:rPr>
          <w:rFonts w:ascii="Arial" w:hAnsi="Arial" w:cs="Arial"/>
          <w:sz w:val="20"/>
          <w:szCs w:val="20"/>
          <w:lang w:val="en-SG"/>
        </w:rPr>
        <w:t xml:space="preserve">In a hypothetical case study of an individual with autism </w:t>
      </w:r>
      <w:r>
        <w:rPr>
          <w:rFonts w:ascii="Arial" w:hAnsi="Arial" w:cs="Arial"/>
          <w:sz w:val="20"/>
          <w:szCs w:val="20"/>
        </w:rPr>
        <w:t>(</w:t>
      </w:r>
      <w:r>
        <w:rPr>
          <w:rFonts w:ascii="Arial" w:hAnsi="Arial" w:cs="Arial"/>
          <w:sz w:val="20"/>
          <w:szCs w:val="20"/>
          <w:lang w:val="en-SG"/>
        </w:rPr>
        <w:t>let us call him Liam</w:t>
      </w:r>
      <w:r>
        <w:rPr>
          <w:rFonts w:ascii="Arial" w:hAnsi="Arial" w:cs="Arial"/>
          <w:sz w:val="20"/>
          <w:szCs w:val="20"/>
        </w:rPr>
        <w:t>),</w:t>
      </w:r>
      <w:r>
        <w:rPr>
          <w:rFonts w:ascii="Arial" w:hAnsi="Arial" w:cs="Arial"/>
          <w:sz w:val="20"/>
          <w:szCs w:val="20"/>
          <w:lang w:val="en-SG"/>
        </w:rPr>
        <w:t xml:space="preserve"> the goal of this case study is to understand the interconnection of the three CEDs across Liam’s lifespan development.</w:t>
      </w:r>
    </w:p>
    <w:p w14:paraId="5C5C04FF">
      <w:pPr>
        <w:rPr>
          <w:rFonts w:ascii="Arial" w:hAnsi="Arial" w:cs="Arial"/>
          <w:sz w:val="20"/>
          <w:szCs w:val="20"/>
          <w:lang w:val="en-SG"/>
        </w:rPr>
      </w:pPr>
    </w:p>
    <w:p w14:paraId="669BE53D">
      <w:pPr>
        <w:rPr>
          <w:rFonts w:ascii="Arial" w:hAnsi="Arial" w:cs="Arial"/>
          <w:sz w:val="20"/>
          <w:szCs w:val="20"/>
          <w:lang w:val="en-SG"/>
        </w:rPr>
      </w:pPr>
      <w:r>
        <w:rPr>
          <w:rFonts w:ascii="Arial" w:hAnsi="Arial" w:cs="Arial"/>
          <w:sz w:val="20"/>
          <w:szCs w:val="20"/>
          <w:lang w:val="en-SG"/>
        </w:rPr>
        <w:t xml:space="preserve">Liam is an individual diagnosed with autism at age 5. Now 21 years old, he is studying graphic design at a </w:t>
      </w:r>
      <w:r>
        <w:rPr>
          <w:rFonts w:ascii="Arial" w:hAnsi="Arial" w:cs="Arial"/>
          <w:sz w:val="20"/>
          <w:szCs w:val="20"/>
        </w:rPr>
        <w:t>vocational institute</w:t>
      </w:r>
      <w:r>
        <w:rPr>
          <w:rFonts w:ascii="Arial" w:hAnsi="Arial" w:cs="Arial"/>
          <w:sz w:val="20"/>
          <w:szCs w:val="20"/>
          <w:lang w:val="en-SG"/>
        </w:rPr>
        <w:t xml:space="preserve"> and, at the same time, working part-time at a bookstore. His life experiences across early childhood, adolescence, and now early adulthood illustrate how closely or deeply interconnected are the CEDs (i.e., sensory needs, communication differences, and social interaction patterns) and how they have also evolved over time, impacting Liam’s mental wellness at each stage.</w:t>
      </w:r>
    </w:p>
    <w:p w14:paraId="67F4D16C">
      <w:pPr>
        <w:rPr>
          <w:rFonts w:ascii="Arial" w:hAnsi="Arial" w:cs="Arial"/>
          <w:sz w:val="20"/>
          <w:szCs w:val="20"/>
          <w:lang w:val="en-SG"/>
        </w:rPr>
      </w:pPr>
    </w:p>
    <w:p w14:paraId="77053653">
      <w:pPr>
        <w:numPr>
          <w:ilvl w:val="1"/>
          <w:numId w:val="1"/>
        </w:numPr>
        <w:rPr>
          <w:rFonts w:ascii="Arial" w:hAnsi="Arial" w:cs="Arial"/>
          <w:b/>
          <w:bCs/>
          <w:sz w:val="20"/>
          <w:szCs w:val="20"/>
          <w:lang w:val="en-SG"/>
        </w:rPr>
      </w:pPr>
      <w:r>
        <w:rPr>
          <w:rFonts w:ascii="Arial" w:hAnsi="Arial" w:cs="Arial"/>
          <w:b/>
          <w:bCs/>
          <w:lang w:val="en-SG"/>
        </w:rPr>
        <w:t>Early Childhood Stage (Ages 3-6)</w:t>
      </w:r>
      <w:r>
        <w:rPr>
          <w:rFonts w:ascii="Arial" w:hAnsi="Arial" w:cs="Arial"/>
          <w:b/>
          <w:bCs/>
          <w:sz w:val="20"/>
          <w:szCs w:val="20"/>
          <w:lang w:val="en-SG"/>
        </w:rPr>
        <w:t xml:space="preserve"> </w:t>
      </w:r>
    </w:p>
    <w:p w14:paraId="49520978">
      <w:pPr>
        <w:rPr>
          <w:rFonts w:ascii="Arial" w:hAnsi="Arial" w:cs="Arial"/>
          <w:sz w:val="20"/>
          <w:szCs w:val="20"/>
          <w:lang w:val="en-SG"/>
        </w:rPr>
      </w:pPr>
      <w:r>
        <w:rPr>
          <w:rFonts w:ascii="Arial" w:hAnsi="Arial" w:cs="Arial"/>
          <w:sz w:val="20"/>
          <w:szCs w:val="20"/>
          <w:lang w:val="en-SG"/>
        </w:rPr>
        <w:t>In preschool, Liam was highly sensitive to sound. Fire drills, loud group activities, or even other children’s excited voices often overwhelmed him (CED: sensory). During these times, he struggled to follow spoken instructions, especially when multiple directions were given at once (CED: communication). As a result, he often retreated to the corner of the classroom or covered his ears, which teachers misinterpreted as defiance or withdrawal (CED: social). These misinterpretations led to frequent time-outs, increasing his stress and confusion. At this stage, Liam’s behavioral profile rated 4</w:t>
      </w:r>
      <w:r>
        <w:rPr>
          <w:rFonts w:hint="default" w:ascii="Arial" w:hAnsi="Arial" w:cs="Arial"/>
          <w:sz w:val="20"/>
          <w:szCs w:val="20"/>
          <w:lang w:val="en-SG"/>
        </w:rPr>
        <w:t>-</w:t>
      </w:r>
      <w:r>
        <w:rPr>
          <w:rFonts w:ascii="Arial" w:hAnsi="Arial" w:cs="Arial"/>
          <w:sz w:val="20"/>
          <w:szCs w:val="20"/>
          <w:lang w:val="en-SG"/>
        </w:rPr>
        <w:t>5 (high to very high visibility/impact) across all three CEDs.</w:t>
      </w:r>
    </w:p>
    <w:p w14:paraId="5F5A0409">
      <w:pPr>
        <w:rPr>
          <w:rFonts w:ascii="Arial" w:hAnsi="Arial" w:cs="Arial"/>
          <w:b/>
          <w:bCs/>
          <w:sz w:val="20"/>
          <w:szCs w:val="20"/>
          <w:lang w:val="en-SG"/>
        </w:rPr>
      </w:pPr>
    </w:p>
    <w:p w14:paraId="62CACA3A">
      <w:pPr>
        <w:rPr>
          <w:rFonts w:ascii="Arial" w:hAnsi="Arial" w:cs="Arial"/>
          <w:lang w:val="en-SG"/>
        </w:rPr>
      </w:pPr>
      <w:r>
        <w:rPr>
          <w:rFonts w:ascii="Arial" w:hAnsi="Arial" w:cs="Arial"/>
          <w:b/>
          <w:bCs/>
          <w:lang w:val="en-SG"/>
        </w:rPr>
        <w:t>5.2 Adolescence Stage (Ages 13-17)</w:t>
      </w:r>
      <w:r>
        <w:rPr>
          <w:rFonts w:ascii="Arial" w:hAnsi="Arial" w:cs="Arial"/>
          <w:lang w:val="en-SG"/>
        </w:rPr>
        <w:t xml:space="preserve"> </w:t>
      </w:r>
    </w:p>
    <w:p w14:paraId="4AA96042">
      <w:pPr>
        <w:rPr>
          <w:rFonts w:ascii="Arial" w:hAnsi="Arial" w:cs="Arial"/>
          <w:sz w:val="20"/>
          <w:szCs w:val="20"/>
          <w:lang w:val="en-SG"/>
        </w:rPr>
      </w:pPr>
      <w:r>
        <w:rPr>
          <w:rFonts w:ascii="Arial" w:hAnsi="Arial" w:cs="Arial"/>
          <w:sz w:val="20"/>
          <w:szCs w:val="20"/>
          <w:lang w:val="en-SG"/>
        </w:rPr>
        <w:t>In high school, Liam had access to a quiet resource room and noise-canceling headphones, which helped manage his sensory environment. With these supports, his ability to participate in class improved (CED: sensory). He still preferred typing responses or using visual supports over verbal class participation (CED: communication), but when teachers accommodated this, he engaged more confidently. Liam did</w:t>
      </w:r>
      <w:r>
        <w:rPr>
          <w:rFonts w:ascii="Arial" w:hAnsi="Arial" w:cs="Arial"/>
          <w:sz w:val="20"/>
          <w:szCs w:val="20"/>
        </w:rPr>
        <w:t xml:space="preserve"> </w:t>
      </w:r>
      <w:r>
        <w:rPr>
          <w:rFonts w:ascii="Arial" w:hAnsi="Arial" w:cs="Arial"/>
          <w:sz w:val="20"/>
          <w:szCs w:val="20"/>
          <w:lang w:val="en-SG"/>
        </w:rPr>
        <w:t>n</w:t>
      </w:r>
      <w:r>
        <w:rPr>
          <w:rFonts w:ascii="Arial" w:hAnsi="Arial" w:cs="Arial"/>
          <w:sz w:val="20"/>
          <w:szCs w:val="20"/>
        </w:rPr>
        <w:t>o</w:t>
      </w:r>
      <w:r>
        <w:rPr>
          <w:rFonts w:ascii="Arial" w:hAnsi="Arial" w:cs="Arial"/>
          <w:sz w:val="20"/>
          <w:szCs w:val="20"/>
          <w:lang w:val="en-SG"/>
        </w:rPr>
        <w:t>t enjoy large group social activities but thrived in smaller, interest-based clubs like the art society (CED: social). Here, his behaviors were less visible but still present. His profile had shifted to 2-3 (low to moderate visibility/impact), with improved mental wellness and fewer emotional meltdowns.</w:t>
      </w:r>
    </w:p>
    <w:p w14:paraId="417EEB19">
      <w:pPr>
        <w:rPr>
          <w:rFonts w:ascii="Arial" w:hAnsi="Arial" w:cs="Arial"/>
          <w:sz w:val="20"/>
          <w:szCs w:val="20"/>
          <w:lang w:val="en-SG"/>
        </w:rPr>
      </w:pPr>
    </w:p>
    <w:p w14:paraId="509EAFC6">
      <w:pPr>
        <w:rPr>
          <w:rFonts w:ascii="Arial" w:hAnsi="Arial" w:cs="Arial"/>
          <w:b/>
          <w:bCs/>
          <w:lang w:val="en-SG"/>
        </w:rPr>
      </w:pPr>
      <w:r>
        <w:rPr>
          <w:rFonts w:ascii="Arial" w:hAnsi="Arial" w:cs="Arial"/>
          <w:b/>
          <w:bCs/>
          <w:lang w:val="en-SG"/>
        </w:rPr>
        <w:t xml:space="preserve">5.3 Early Adulthood Stage (Ages 18-21) </w:t>
      </w:r>
    </w:p>
    <w:p w14:paraId="05063222">
      <w:pPr>
        <w:rPr>
          <w:rFonts w:ascii="Arial" w:hAnsi="Arial" w:cs="Arial"/>
          <w:sz w:val="20"/>
          <w:szCs w:val="20"/>
          <w:lang w:val="en-SG"/>
        </w:rPr>
      </w:pPr>
      <w:r>
        <w:rPr>
          <w:rFonts w:ascii="Arial" w:hAnsi="Arial" w:cs="Arial"/>
          <w:sz w:val="20"/>
          <w:szCs w:val="20"/>
          <w:lang w:val="en-SG"/>
        </w:rPr>
        <w:t>Now in college, Liam has greater autonomy over his environment. He chooses quiet study spaces and has professors who allow assignment submissions in written or visual formats (CEDs: sensory &amp; communication). He communicates effectively with peers who share his interests and appreciates friendships that do</w:t>
      </w:r>
      <w:r>
        <w:rPr>
          <w:rFonts w:ascii="Arial" w:hAnsi="Arial" w:cs="Arial"/>
          <w:sz w:val="20"/>
          <w:szCs w:val="20"/>
        </w:rPr>
        <w:t xml:space="preserve"> </w:t>
      </w:r>
      <w:r>
        <w:rPr>
          <w:rFonts w:ascii="Arial" w:hAnsi="Arial" w:cs="Arial"/>
          <w:sz w:val="20"/>
          <w:szCs w:val="20"/>
          <w:lang w:val="en-SG"/>
        </w:rPr>
        <w:t>n</w:t>
      </w:r>
      <w:r>
        <w:rPr>
          <w:rFonts w:ascii="Arial" w:hAnsi="Arial" w:cs="Arial"/>
          <w:sz w:val="20"/>
          <w:szCs w:val="20"/>
        </w:rPr>
        <w:t>o</w:t>
      </w:r>
      <w:r>
        <w:rPr>
          <w:rFonts w:ascii="Arial" w:hAnsi="Arial" w:cs="Arial"/>
          <w:sz w:val="20"/>
          <w:szCs w:val="20"/>
          <w:lang w:val="en-SG"/>
        </w:rPr>
        <w:t xml:space="preserve">t demand constant interaction (CED: social). With increasing self-awareness, he no longer feels the need to mask his traits, reducing internal stress. Liam reports feeling </w:t>
      </w:r>
      <w:r>
        <w:rPr>
          <w:rFonts w:ascii="Arial" w:hAnsi="Arial" w:cs="Arial"/>
          <w:sz w:val="20"/>
          <w:szCs w:val="20"/>
        </w:rPr>
        <w:t>‘</w:t>
      </w:r>
      <w:r>
        <w:rPr>
          <w:rFonts w:ascii="Arial" w:hAnsi="Arial" w:cs="Arial"/>
          <w:sz w:val="20"/>
          <w:szCs w:val="20"/>
          <w:lang w:val="en-SG"/>
        </w:rPr>
        <w:t>more like himself</w:t>
      </w:r>
      <w:r>
        <w:rPr>
          <w:rFonts w:ascii="Arial" w:hAnsi="Arial" w:cs="Arial"/>
          <w:sz w:val="20"/>
          <w:szCs w:val="20"/>
        </w:rPr>
        <w:t>’</w:t>
      </w:r>
      <w:r>
        <w:rPr>
          <w:rFonts w:ascii="Arial" w:hAnsi="Arial" w:cs="Arial"/>
          <w:sz w:val="20"/>
          <w:szCs w:val="20"/>
          <w:lang w:val="en-SG"/>
        </w:rPr>
        <w:t xml:space="preserve"> and describes improved self-esteem and decreased anxiety. His CED profile now aligns with 1</w:t>
      </w:r>
      <w:r>
        <w:rPr>
          <w:rFonts w:ascii="Arial" w:hAnsi="Arial" w:cs="Arial"/>
          <w:sz w:val="20"/>
          <w:szCs w:val="20"/>
        </w:rPr>
        <w:t>-</w:t>
      </w:r>
      <w:r>
        <w:rPr>
          <w:rFonts w:ascii="Arial" w:hAnsi="Arial" w:cs="Arial"/>
          <w:sz w:val="20"/>
          <w:szCs w:val="20"/>
          <w:lang w:val="en-SG"/>
        </w:rPr>
        <w:t>2 (very low to low visibility/impact), illustrating how appropriate supports and respect for neurodivergent needs contribute to better mental wellness outcomes.</w:t>
      </w:r>
    </w:p>
    <w:p w14:paraId="5F0C41B2">
      <w:pPr>
        <w:rPr>
          <w:rFonts w:ascii="Arial" w:hAnsi="Arial" w:cs="Arial"/>
          <w:sz w:val="20"/>
          <w:szCs w:val="20"/>
          <w:lang w:val="en-SG"/>
        </w:rPr>
      </w:pPr>
    </w:p>
    <w:p w14:paraId="094D4649">
      <w:pPr>
        <w:rPr>
          <w:rFonts w:ascii="Arial" w:hAnsi="Arial" w:cs="Arial"/>
          <w:sz w:val="20"/>
          <w:szCs w:val="20"/>
          <w:lang w:val="en-SG"/>
        </w:rPr>
      </w:pPr>
      <w:r>
        <w:rPr>
          <w:rFonts w:ascii="Arial" w:hAnsi="Arial" w:cs="Arial"/>
          <w:sz w:val="20"/>
          <w:szCs w:val="20"/>
          <w:lang w:val="en-SG"/>
        </w:rPr>
        <w:t>The hypothetical case study of Liam shows how the CEDs are interwoven: within a noisy environment (sensory) that affected his ability to understand spoken instructions (communication), and, in turn, influenced how others perceived his social behavior (social interaction). However, when his sensory needs were respected, his communication supported, and his social style honored, Liam not only able to engage more fully, but also experienced significant improvements in mental wellness, self-esteem, and life satisfaction. The CED model, paired with the Autistic Behavioral Profile Change Curve (see Figure 2), helps us to visualize these shifts in visibility and impact across life stages, emphasizing that autistic behavior is not static, and that positive outcomes are possible with the right supports provided.</w:t>
      </w:r>
    </w:p>
    <w:p w14:paraId="29722F95">
      <w:pPr>
        <w:rPr>
          <w:rFonts w:ascii="Arial" w:hAnsi="Arial" w:cs="Arial"/>
          <w:lang w:val="en-SG"/>
        </w:rPr>
      </w:pPr>
    </w:p>
    <w:p w14:paraId="78203BDB">
      <w:pPr>
        <w:numPr>
          <w:ilvl w:val="0"/>
          <w:numId w:val="1"/>
        </w:numPr>
        <w:rPr>
          <w:rFonts w:ascii="Arial" w:hAnsi="Arial" w:cs="Arial"/>
          <w:b/>
          <w:bCs/>
          <w:lang w:val="en-SG"/>
        </w:rPr>
      </w:pPr>
      <w:r>
        <w:rPr>
          <w:rFonts w:ascii="Arial" w:hAnsi="Arial" w:cs="Arial"/>
          <w:b/>
          <w:bCs/>
          <w:lang w:val="en-SG"/>
        </w:rPr>
        <w:t>CONCLUSION</w:t>
      </w:r>
    </w:p>
    <w:p w14:paraId="7DE1DC40">
      <w:pPr>
        <w:rPr>
          <w:rFonts w:ascii="Arial" w:hAnsi="Arial" w:cs="Arial"/>
          <w:sz w:val="20"/>
          <w:szCs w:val="20"/>
          <w:lang w:val="en-SG"/>
        </w:rPr>
      </w:pPr>
    </w:p>
    <w:p w14:paraId="6DCC02C7">
      <w:pPr>
        <w:rPr>
          <w:rFonts w:ascii="Arial" w:hAnsi="Arial" w:cs="Arial"/>
          <w:sz w:val="20"/>
          <w:szCs w:val="20"/>
          <w:lang w:val="en-SG"/>
        </w:rPr>
      </w:pPr>
      <w:r>
        <w:rPr>
          <w:rFonts w:ascii="Arial" w:hAnsi="Arial" w:cs="Arial"/>
          <w:sz w:val="20"/>
          <w:szCs w:val="20"/>
          <w:lang w:val="en-SG"/>
        </w:rPr>
        <w:t>The changing profile of autistic behavior patterns (ABPs) across the lifespan development underscores a fundamental truth: Autism is certainly not static. However, its expression is dynamic, shaped by lifespan developmental maturity, environmental changes, acqistion of life experiences, and the availability of affirming support services. Through the collective lens of the CEDs, involving sensory needs, communication differences, and social interaction patterns, this paper has highlighted how autistic behavioral traits can fluctuate in visibility and impact over time, not because the underlying neurotype changes, but because the context in which it is expressed evolves.</w:t>
      </w:r>
    </w:p>
    <w:p w14:paraId="0926D807">
      <w:pPr>
        <w:rPr>
          <w:rFonts w:ascii="Arial" w:hAnsi="Arial" w:cs="Arial"/>
          <w:sz w:val="20"/>
          <w:szCs w:val="20"/>
          <w:lang w:val="en-SG"/>
        </w:rPr>
      </w:pPr>
    </w:p>
    <w:p w14:paraId="08B30079">
      <w:pPr>
        <w:rPr>
          <w:rFonts w:ascii="Arial" w:hAnsi="Arial" w:cs="Arial"/>
          <w:sz w:val="20"/>
          <w:szCs w:val="20"/>
          <w:lang w:val="en-SG"/>
        </w:rPr>
      </w:pPr>
      <w:r>
        <w:rPr>
          <w:rFonts w:ascii="Arial" w:hAnsi="Arial" w:cs="Arial"/>
          <w:sz w:val="20"/>
          <w:szCs w:val="20"/>
          <w:lang w:val="en-SG"/>
        </w:rPr>
        <w:t xml:space="preserve">Knowing and understanding these shifting </w:t>
      </w:r>
      <w:r>
        <w:rPr>
          <w:rFonts w:ascii="Arial" w:hAnsi="Arial" w:cs="Arial"/>
          <w:sz w:val="20"/>
          <w:szCs w:val="20"/>
        </w:rPr>
        <w:t>ABPs</w:t>
      </w:r>
      <w:r>
        <w:rPr>
          <w:rFonts w:ascii="Arial" w:hAnsi="Arial" w:cs="Arial"/>
          <w:sz w:val="20"/>
          <w:szCs w:val="20"/>
          <w:lang w:val="en-SG"/>
        </w:rPr>
        <w:t xml:space="preserve"> becomes crucial for professionals working with</w:t>
      </w:r>
      <w:r>
        <w:rPr>
          <w:rFonts w:ascii="Arial" w:hAnsi="Arial" w:cs="Arial"/>
          <w:sz w:val="20"/>
          <w:szCs w:val="20"/>
        </w:rPr>
        <w:t xml:space="preserve"> both</w:t>
      </w:r>
      <w:r>
        <w:rPr>
          <w:rFonts w:ascii="Arial" w:hAnsi="Arial" w:cs="Arial"/>
          <w:sz w:val="20"/>
          <w:szCs w:val="20"/>
          <w:lang w:val="en-SG"/>
        </w:rPr>
        <w:t xml:space="preserve"> young a</w:t>
      </w:r>
      <w:r>
        <w:rPr>
          <w:rFonts w:ascii="Arial" w:hAnsi="Arial" w:cs="Arial"/>
          <w:sz w:val="20"/>
          <w:szCs w:val="20"/>
        </w:rPr>
        <w:t>nd</w:t>
      </w:r>
      <w:r>
        <w:rPr>
          <w:rFonts w:ascii="Arial" w:hAnsi="Arial" w:cs="Arial"/>
          <w:sz w:val="20"/>
          <w:szCs w:val="20"/>
          <w:lang w:val="en-SG"/>
        </w:rPr>
        <w:t xml:space="preserve"> old individuals with autism. They need to </w:t>
      </w:r>
      <w:r>
        <w:rPr>
          <w:rFonts w:ascii="Arial" w:hAnsi="Arial" w:cs="Arial"/>
          <w:sz w:val="20"/>
          <w:szCs w:val="20"/>
        </w:rPr>
        <w:t>adjust</w:t>
      </w:r>
      <w:r>
        <w:rPr>
          <w:rFonts w:ascii="Arial" w:hAnsi="Arial" w:cs="Arial"/>
          <w:sz w:val="20"/>
          <w:szCs w:val="20"/>
          <w:lang w:val="en-SG"/>
        </w:rPr>
        <w:t xml:space="preserve"> their focus away from deficit-based interpretations toward a strengths-based, person-centered approach that recognizes the meaning behind these </w:t>
      </w:r>
      <w:r>
        <w:rPr>
          <w:rFonts w:ascii="Arial" w:hAnsi="Arial" w:cs="Arial"/>
          <w:sz w:val="20"/>
          <w:szCs w:val="20"/>
        </w:rPr>
        <w:t>CEDs</w:t>
      </w:r>
      <w:r>
        <w:rPr>
          <w:rFonts w:ascii="Arial" w:hAnsi="Arial" w:cs="Arial"/>
          <w:sz w:val="20"/>
          <w:szCs w:val="20"/>
          <w:lang w:val="en-SG"/>
        </w:rPr>
        <w:t xml:space="preserve">. Rather than viewing changes in </w:t>
      </w:r>
      <w:r>
        <w:rPr>
          <w:rFonts w:ascii="Arial" w:hAnsi="Arial" w:cs="Arial"/>
          <w:sz w:val="20"/>
          <w:szCs w:val="20"/>
        </w:rPr>
        <w:t>ABPs</w:t>
      </w:r>
      <w:r>
        <w:rPr>
          <w:rFonts w:ascii="Arial" w:hAnsi="Arial" w:cs="Arial"/>
          <w:sz w:val="20"/>
          <w:szCs w:val="20"/>
          <w:lang w:val="en-SG"/>
        </w:rPr>
        <w:t xml:space="preserve"> as linear signs of progress or regression, autism practitioners must consider </w:t>
      </w:r>
      <w:r>
        <w:rPr>
          <w:rFonts w:ascii="Arial" w:hAnsi="Arial" w:cs="Arial"/>
          <w:i/>
          <w:iCs/>
          <w:sz w:val="20"/>
          <w:szCs w:val="20"/>
          <w:lang w:val="en-SG"/>
        </w:rPr>
        <w:t>why</w:t>
      </w:r>
      <w:r>
        <w:rPr>
          <w:rFonts w:ascii="Arial" w:hAnsi="Arial" w:cs="Arial"/>
          <w:sz w:val="20"/>
          <w:szCs w:val="20"/>
          <w:lang w:val="en-SG"/>
        </w:rPr>
        <w:t xml:space="preserve"> behaviors shift, what they signal about mental wellness (see Figure 2), and how external factors (e.g., support systems, expectations, and environments) either constrain or enable the well-being of an individual with autism.</w:t>
      </w:r>
    </w:p>
    <w:p w14:paraId="06C1F8E9">
      <w:pPr>
        <w:rPr>
          <w:rFonts w:ascii="Arial" w:hAnsi="Arial" w:cs="Arial"/>
          <w:sz w:val="20"/>
          <w:szCs w:val="20"/>
          <w:lang w:val="en-SG"/>
        </w:rPr>
      </w:pPr>
    </w:p>
    <w:p w14:paraId="119EB940">
      <w:pPr>
        <w:rPr>
          <w:rFonts w:ascii="Arial" w:hAnsi="Arial" w:cs="Arial"/>
          <w:sz w:val="20"/>
          <w:szCs w:val="20"/>
          <w:lang w:val="en-SG"/>
        </w:rPr>
      </w:pPr>
      <w:r>
        <w:rPr>
          <w:rFonts w:ascii="Arial" w:hAnsi="Arial" w:cs="Arial"/>
          <w:sz w:val="20"/>
          <w:szCs w:val="20"/>
          <w:lang w:val="en-SG"/>
        </w:rPr>
        <w:t xml:space="preserve">The developmental timeline, </w:t>
      </w:r>
      <w:r>
        <w:rPr>
          <w:rFonts w:ascii="Arial" w:hAnsi="Arial" w:cs="Arial"/>
          <w:sz w:val="20"/>
          <w:szCs w:val="20"/>
        </w:rPr>
        <w:t xml:space="preserve">the hypothetical </w:t>
      </w:r>
      <w:r>
        <w:rPr>
          <w:rFonts w:ascii="Arial" w:hAnsi="Arial" w:cs="Arial"/>
          <w:sz w:val="20"/>
          <w:szCs w:val="20"/>
          <w:lang w:val="en-SG"/>
        </w:rPr>
        <w:t xml:space="preserve">case study, and </w:t>
      </w:r>
      <w:r>
        <w:rPr>
          <w:rFonts w:ascii="Arial" w:hAnsi="Arial" w:cs="Arial"/>
          <w:sz w:val="20"/>
          <w:szCs w:val="20"/>
        </w:rPr>
        <w:t xml:space="preserve">the </w:t>
      </w:r>
      <w:r>
        <w:rPr>
          <w:rFonts w:ascii="Arial" w:hAnsi="Arial" w:cs="Arial"/>
          <w:sz w:val="20"/>
          <w:szCs w:val="20"/>
          <w:lang w:val="en-SG"/>
        </w:rPr>
        <w:t>proposed models</w:t>
      </w:r>
      <w:r>
        <w:rPr>
          <w:rFonts w:ascii="Arial" w:hAnsi="Arial" w:cs="Arial"/>
          <w:sz w:val="20"/>
          <w:szCs w:val="20"/>
        </w:rPr>
        <w:t xml:space="preserve"> of</w:t>
      </w:r>
      <w:r>
        <w:rPr>
          <w:rFonts w:ascii="Arial" w:hAnsi="Arial" w:cs="Arial"/>
          <w:sz w:val="20"/>
          <w:szCs w:val="20"/>
          <w:lang w:val="en-SG"/>
        </w:rPr>
        <w:t xml:space="preserve"> the ABP Change Curve and the CED framework demonstrate that </w:t>
      </w:r>
      <w:r>
        <w:rPr>
          <w:rFonts w:ascii="Arial" w:hAnsi="Arial" w:cs="Arial"/>
          <w:sz w:val="20"/>
          <w:szCs w:val="20"/>
        </w:rPr>
        <w:t>ABPs</w:t>
      </w:r>
      <w:r>
        <w:rPr>
          <w:rFonts w:ascii="Arial" w:hAnsi="Arial" w:cs="Arial"/>
          <w:sz w:val="20"/>
          <w:szCs w:val="20"/>
          <w:lang w:val="en-SG"/>
        </w:rPr>
        <w:t xml:space="preserve"> are certainly deeply intertwined with mental health and personal identity. Positive mental wellness outcomes are most likely when individuals</w:t>
      </w:r>
      <w:r>
        <w:rPr>
          <w:rFonts w:ascii="Arial" w:hAnsi="Arial" w:cs="Arial"/>
          <w:sz w:val="20"/>
          <w:szCs w:val="20"/>
        </w:rPr>
        <w:t xml:space="preserve"> with autism</w:t>
      </w:r>
      <w:r>
        <w:rPr>
          <w:rFonts w:ascii="Arial" w:hAnsi="Arial" w:cs="Arial"/>
          <w:sz w:val="20"/>
          <w:szCs w:val="20"/>
          <w:lang w:val="en-SG"/>
        </w:rPr>
        <w:t xml:space="preserve"> are supported in ways that honor their sensory, communicative, and social needs, without having to imposed on normalization or conformity.</w:t>
      </w:r>
    </w:p>
    <w:p w14:paraId="27EB0166">
      <w:pPr>
        <w:rPr>
          <w:rFonts w:ascii="Arial" w:hAnsi="Arial" w:cs="Arial"/>
          <w:sz w:val="20"/>
          <w:szCs w:val="20"/>
          <w:lang w:val="en-SG"/>
        </w:rPr>
      </w:pPr>
    </w:p>
    <w:p w14:paraId="63ADA8A2">
      <w:pPr>
        <w:rPr>
          <w:rFonts w:ascii="Arial" w:hAnsi="Arial" w:cs="Arial"/>
          <w:sz w:val="20"/>
          <w:szCs w:val="20"/>
          <w:lang w:val="en-SG"/>
        </w:rPr>
      </w:pPr>
      <w:r>
        <w:rPr>
          <w:rFonts w:ascii="Arial" w:hAnsi="Arial" w:cs="Arial"/>
          <w:sz w:val="20"/>
          <w:szCs w:val="20"/>
          <w:lang w:val="en-SG"/>
        </w:rPr>
        <w:t>Ultimately, recognizing and responding to the evolving profile of ABPs is not only a matter of clinical or educational importance; it is a matter of dignity, inclusion, and mental health equity. By embracing neurodiversity and adapting the current systems accordingly, professional practitioners as well as caregivers can help ensure that autistic individuals not only able to cope with the world around them, but are empowered to thrive across all stages of their lifespan development.</w:t>
      </w:r>
    </w:p>
    <w:p w14:paraId="4DB572A2">
      <w:pPr>
        <w:rPr>
          <w:rFonts w:hint="default" w:ascii="Arial" w:hAnsi="Arial" w:cs="Arial"/>
          <w:sz w:val="20"/>
          <w:szCs w:val="20"/>
          <w:lang w:val="en-SG"/>
        </w:rPr>
      </w:pPr>
    </w:p>
    <w:p w14:paraId="1CD64122">
      <w:pPr>
        <w:rPr>
          <w:rFonts w:hint="default" w:ascii="Arial" w:hAnsi="Arial" w:cs="Arial"/>
          <w:b/>
          <w:bCs/>
          <w:sz w:val="20"/>
          <w:szCs w:val="20"/>
          <w:highlight w:val="yellow"/>
        </w:rPr>
      </w:pPr>
      <w:r>
        <w:rPr>
          <w:rFonts w:hint="default" w:ascii="Arial" w:hAnsi="Arial" w:cs="Arial"/>
          <w:b/>
          <w:bCs/>
          <w:sz w:val="20"/>
          <w:szCs w:val="20"/>
          <w:highlight w:val="yellow"/>
        </w:rPr>
        <w:t>Disclaimer (Artificial intelligence)</w:t>
      </w:r>
    </w:p>
    <w:p w14:paraId="636F559E">
      <w:pPr>
        <w:rPr>
          <w:rFonts w:hint="default" w:ascii="Arial" w:hAnsi="Arial" w:cs="Arial"/>
          <w:sz w:val="20"/>
          <w:szCs w:val="20"/>
          <w:highlight w:val="yellow"/>
        </w:rPr>
      </w:pPr>
      <w:r>
        <w:rPr>
          <w:rFonts w:hint="default" w:ascii="Arial" w:hAnsi="Arial" w:cs="Arial"/>
          <w:sz w:val="20"/>
          <w:szCs w:val="20"/>
          <w:highlight w:val="yellow"/>
          <w:lang w:val="en-SG"/>
        </w:rPr>
        <w:t>The a</w:t>
      </w:r>
      <w:r>
        <w:rPr>
          <w:rFonts w:hint="default" w:ascii="Arial" w:hAnsi="Arial" w:cs="Arial"/>
          <w:sz w:val="20"/>
          <w:szCs w:val="20"/>
          <w:highlight w:val="yellow"/>
        </w:rPr>
        <w:t>uthor hereby declare</w:t>
      </w:r>
      <w:r>
        <w:rPr>
          <w:rFonts w:hint="default" w:ascii="Arial" w:hAnsi="Arial" w:cs="Arial"/>
          <w:sz w:val="20"/>
          <w:szCs w:val="20"/>
          <w:highlight w:val="yellow"/>
          <w:lang w:val="en-SG"/>
        </w:rPr>
        <w:t>s</w:t>
      </w:r>
      <w:r>
        <w:rPr>
          <w:rFonts w:hint="default" w:ascii="Arial" w:hAnsi="Arial" w:cs="Arial"/>
          <w:sz w:val="20"/>
          <w:szCs w:val="20"/>
          <w:highlight w:val="yellow"/>
        </w:rPr>
        <w:t xml:space="preserve"> that NO generative AI technologies such as Large Language Models (ChatGPT, COPILOT, etc.) and text-to-image generators have been used during the writing or editing of this manuscript. </w:t>
      </w:r>
    </w:p>
    <w:p w14:paraId="64E0EF71">
      <w:pPr>
        <w:rPr>
          <w:rFonts w:ascii="Arial" w:hAnsi="Arial" w:cs="Arial"/>
          <w:sz w:val="20"/>
          <w:szCs w:val="20"/>
          <w:lang w:val="en-SG"/>
        </w:rPr>
      </w:pPr>
    </w:p>
    <w:p w14:paraId="7A6BB73C">
      <w:pPr>
        <w:rPr>
          <w:rFonts w:ascii="Arial" w:hAnsi="Arial" w:cs="Arial"/>
          <w:b/>
          <w:bCs/>
          <w:lang w:val="en-SG"/>
        </w:rPr>
      </w:pPr>
      <w:r>
        <w:rPr>
          <w:rFonts w:ascii="Arial" w:hAnsi="Arial" w:cs="Arial"/>
          <w:b/>
          <w:bCs/>
          <w:lang w:val="en-SG"/>
        </w:rPr>
        <w:t>REFERENCES</w:t>
      </w:r>
    </w:p>
    <w:p w14:paraId="162466FD">
      <w:pPr>
        <w:ind w:left="440" w:hanging="440" w:hangingChars="220"/>
        <w:rPr>
          <w:sz w:val="20"/>
          <w:szCs w:val="20"/>
        </w:rPr>
      </w:pPr>
      <w:r>
        <w:rPr>
          <w:rFonts w:ascii="Arial" w:hAnsi="Arial" w:eastAsia="DengXian" w:cs="Arial"/>
          <w:sz w:val="20"/>
          <w:szCs w:val="20"/>
          <w:lang w:bidi="ar"/>
        </w:rPr>
        <w:t>Aarabi, M. A., Abdi, K., &amp; Khanjani, M. S. (2021). Challenges of accessing and using rehabilitation services in people with autism spectrum disorder: A systematic review. </w:t>
      </w:r>
      <w:r>
        <w:rPr>
          <w:rFonts w:ascii="Arial" w:hAnsi="Arial" w:eastAsia="DengXian" w:cs="Arial"/>
          <w:i/>
          <w:iCs/>
          <w:sz w:val="20"/>
          <w:szCs w:val="20"/>
          <w:lang w:bidi="ar"/>
        </w:rPr>
        <w:t>Archives of Rehabilitation</w:t>
      </w:r>
      <w:r>
        <w:rPr>
          <w:rFonts w:ascii="Arial" w:hAnsi="Arial" w:eastAsia="DengXian" w:cs="Arial"/>
          <w:sz w:val="20"/>
          <w:szCs w:val="20"/>
          <w:lang w:bidi="ar"/>
        </w:rPr>
        <w:t>, </w:t>
      </w:r>
      <w:r>
        <w:rPr>
          <w:rFonts w:ascii="Arial" w:hAnsi="Arial" w:eastAsia="DengXian" w:cs="Arial"/>
          <w:i/>
          <w:iCs/>
          <w:sz w:val="20"/>
          <w:szCs w:val="20"/>
          <w:lang w:bidi="ar"/>
        </w:rPr>
        <w:t>22</w:t>
      </w:r>
      <w:r>
        <w:rPr>
          <w:rFonts w:ascii="Arial" w:hAnsi="Arial" w:eastAsia="DengXian" w:cs="Arial"/>
          <w:sz w:val="20"/>
          <w:szCs w:val="20"/>
          <w:lang w:bidi="ar"/>
        </w:rPr>
        <w:t xml:space="preserve">(3), 260-277. </w:t>
      </w:r>
      <w:r>
        <w:fldChar w:fldCharType="begin"/>
      </w:r>
      <w:r>
        <w:instrText xml:space="preserve"> HYPERLINK "https://doi.org/10.32598/RJ.22.3.3259.1" </w:instrText>
      </w:r>
      <w:r>
        <w:fldChar w:fldCharType="separate"/>
      </w:r>
      <w:r>
        <w:rPr>
          <w:rStyle w:val="19"/>
          <w:rFonts w:ascii="Arial" w:hAnsi="Arial" w:eastAsia="DengXian" w:cs="Arial"/>
          <w:sz w:val="20"/>
          <w:szCs w:val="20"/>
          <w:lang w:bidi="ar"/>
        </w:rPr>
        <w:t>https://doi.org/10.32598/RJ.22.3.3259.1</w:t>
      </w:r>
      <w:r>
        <w:rPr>
          <w:rStyle w:val="19"/>
          <w:rFonts w:ascii="Arial" w:hAnsi="Arial" w:eastAsia="DengXian" w:cs="Arial"/>
          <w:sz w:val="20"/>
          <w:szCs w:val="20"/>
          <w:lang w:bidi="ar"/>
        </w:rPr>
        <w:fldChar w:fldCharType="end"/>
      </w:r>
      <w:r>
        <w:rPr>
          <w:rFonts w:ascii="Arial" w:hAnsi="Arial" w:eastAsia="DengXian" w:cs="Arial"/>
          <w:sz w:val="20"/>
          <w:szCs w:val="20"/>
          <w:lang w:bidi="ar"/>
        </w:rPr>
        <w:t xml:space="preserve"> </w:t>
      </w:r>
    </w:p>
    <w:p w14:paraId="15219AE7">
      <w:pPr>
        <w:ind w:left="440" w:hanging="440" w:hangingChars="220"/>
        <w:rPr>
          <w:rFonts w:ascii="Arial" w:hAnsi="Arial" w:eastAsia="DengXian" w:cs="Arial"/>
          <w:sz w:val="20"/>
          <w:szCs w:val="20"/>
          <w:lang w:bidi="ar"/>
        </w:rPr>
      </w:pPr>
      <w:r>
        <w:rPr>
          <w:rFonts w:ascii="Arial" w:hAnsi="Arial" w:eastAsia="DengXian" w:cs="Arial"/>
          <w:sz w:val="20"/>
          <w:szCs w:val="20"/>
          <w:lang w:bidi="ar"/>
        </w:rPr>
        <w:t>Alaghband-Rad, J., Hajikarim-Hamedani, A., &amp; Motamed, M. (2023). Camouflage and masking behavior in adult autism. </w:t>
      </w:r>
      <w:r>
        <w:rPr>
          <w:rFonts w:ascii="Arial" w:hAnsi="Arial" w:eastAsia="DengXian" w:cs="Arial"/>
          <w:i/>
          <w:iCs/>
          <w:sz w:val="20"/>
          <w:szCs w:val="20"/>
          <w:lang w:bidi="ar"/>
        </w:rPr>
        <w:t>Frontiers in Psychiatry</w:t>
      </w:r>
      <w:r>
        <w:rPr>
          <w:rFonts w:ascii="Arial" w:hAnsi="Arial" w:eastAsia="DengXian" w:cs="Arial"/>
          <w:sz w:val="20"/>
          <w:szCs w:val="20"/>
          <w:lang w:bidi="ar"/>
        </w:rPr>
        <w:t>, </w:t>
      </w:r>
      <w:r>
        <w:rPr>
          <w:rFonts w:ascii="Arial" w:hAnsi="Arial" w:eastAsia="DengXian" w:cs="Arial"/>
          <w:i/>
          <w:iCs/>
          <w:sz w:val="20"/>
          <w:szCs w:val="20"/>
          <w:lang w:bidi="ar"/>
        </w:rPr>
        <w:t>14</w:t>
      </w:r>
      <w:r>
        <w:rPr>
          <w:rFonts w:ascii="Arial" w:hAnsi="Arial" w:eastAsia="DengXian" w:cs="Arial"/>
          <w:sz w:val="20"/>
          <w:szCs w:val="20"/>
          <w:lang w:bidi="ar"/>
        </w:rPr>
        <w:t xml:space="preserve">. Article ID: 1108110. </w:t>
      </w:r>
      <w:r>
        <w:fldChar w:fldCharType="begin"/>
      </w:r>
      <w:r>
        <w:instrText xml:space="preserve"> HYPERLINK "https://doi.org/10.3389/fpsyt.2023.1108110" </w:instrText>
      </w:r>
      <w:r>
        <w:fldChar w:fldCharType="separate"/>
      </w:r>
      <w:r>
        <w:rPr>
          <w:rStyle w:val="19"/>
          <w:rFonts w:ascii="Arial" w:hAnsi="Arial" w:cs="Arial"/>
          <w:sz w:val="20"/>
          <w:szCs w:val="20"/>
        </w:rPr>
        <w:t>https://doi.org/10.3389/fpsyt.2023.1108110</w:t>
      </w:r>
      <w:r>
        <w:rPr>
          <w:rStyle w:val="19"/>
          <w:rFonts w:ascii="Arial" w:hAnsi="Arial" w:cs="Arial"/>
          <w:sz w:val="20"/>
          <w:szCs w:val="20"/>
        </w:rPr>
        <w:fldChar w:fldCharType="end"/>
      </w:r>
    </w:p>
    <w:p w14:paraId="11C34425">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Amadi, C. N., Orish, C. N., Frazzoli, C., &amp; Orisakwe, O. E. (2022). Dietary interventions for autism spectrum disorder: An updated systematic review of human studies. </w:t>
      </w:r>
      <w:r>
        <w:rPr>
          <w:rFonts w:ascii="Arial" w:hAnsi="Arial" w:eastAsia="Segoe UI" w:cs="Arial"/>
          <w:i/>
          <w:iCs/>
          <w:color w:val="212121"/>
          <w:sz w:val="20"/>
          <w:szCs w:val="20"/>
          <w:shd w:val="clear" w:color="auto" w:fill="FFFFFF"/>
        </w:rPr>
        <w:t>Psychiatriki</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33</w:t>
      </w:r>
      <w:r>
        <w:rPr>
          <w:rFonts w:ascii="Arial" w:hAnsi="Arial" w:eastAsia="Segoe UI" w:cs="Arial"/>
          <w:color w:val="212121"/>
          <w:sz w:val="20"/>
          <w:szCs w:val="20"/>
          <w:shd w:val="clear" w:color="auto" w:fill="FFFFFF"/>
        </w:rPr>
        <w:t xml:space="preserve">(3), 228-242. </w:t>
      </w:r>
      <w:r>
        <w:fldChar w:fldCharType="begin"/>
      </w:r>
      <w:r>
        <w:instrText xml:space="preserve"> HYPERLINK "https://doi.org/10.22365/jpsych.2022.073" </w:instrText>
      </w:r>
      <w:r>
        <w:fldChar w:fldCharType="separate"/>
      </w:r>
      <w:r>
        <w:rPr>
          <w:rStyle w:val="19"/>
          <w:rFonts w:ascii="Arial" w:hAnsi="Arial" w:eastAsia="Segoe UI" w:cs="Arial"/>
          <w:sz w:val="20"/>
          <w:szCs w:val="20"/>
          <w:shd w:val="clear" w:color="auto" w:fill="FFFFFF"/>
        </w:rPr>
        <w:t>https://doi.org/10.22365/jpsych.2022.073</w:t>
      </w:r>
      <w:r>
        <w:rPr>
          <w:rStyle w:val="19"/>
          <w:rFonts w:ascii="Arial" w:hAnsi="Arial" w:eastAsia="Segoe UI" w:cs="Arial"/>
          <w:sz w:val="20"/>
          <w:szCs w:val="20"/>
          <w:shd w:val="clear" w:color="auto" w:fill="FFFFFF"/>
        </w:rPr>
        <w:fldChar w:fldCharType="end"/>
      </w:r>
    </w:p>
    <w:p w14:paraId="743B9343">
      <w:pPr>
        <w:ind w:left="440" w:hanging="440" w:hangingChars="220"/>
        <w:rPr>
          <w:rFonts w:ascii="Arial" w:hAnsi="Arial" w:cs="Arial"/>
          <w:sz w:val="20"/>
          <w:szCs w:val="20"/>
        </w:rPr>
      </w:pPr>
      <w:r>
        <w:rPr>
          <w:rFonts w:ascii="Arial" w:hAnsi="Arial" w:cs="Arial"/>
          <w:sz w:val="20"/>
          <w:szCs w:val="20"/>
        </w:rPr>
        <w:t>American Psychiatric Association. (2013). </w:t>
      </w:r>
      <w:r>
        <w:rPr>
          <w:rFonts w:ascii="Arial" w:hAnsi="Arial" w:cs="Arial"/>
          <w:i/>
          <w:iCs/>
          <w:sz w:val="20"/>
          <w:szCs w:val="20"/>
        </w:rPr>
        <w:t>Diagnostic and statistical manual of mental disorders</w:t>
      </w:r>
      <w:r>
        <w:rPr>
          <w:rFonts w:ascii="Arial" w:hAnsi="Arial" w:cs="Arial"/>
          <w:sz w:val="20"/>
          <w:szCs w:val="20"/>
        </w:rPr>
        <w:t xml:space="preserve"> (5th ed.). </w:t>
      </w:r>
      <w:r>
        <w:fldChar w:fldCharType="begin"/>
      </w:r>
      <w:r>
        <w:instrText xml:space="preserve"> HYPERLINK "https://doi.org/10.1176/appi.books.9780890425596" </w:instrText>
      </w:r>
      <w:r>
        <w:fldChar w:fldCharType="separate"/>
      </w:r>
      <w:r>
        <w:rPr>
          <w:rStyle w:val="19"/>
          <w:rFonts w:ascii="Arial" w:hAnsi="Arial" w:cs="Arial"/>
          <w:sz w:val="20"/>
          <w:szCs w:val="20"/>
        </w:rPr>
        <w:t>https://doi.org/10.1176/appi.books.9780890425596</w:t>
      </w:r>
      <w:r>
        <w:rPr>
          <w:rStyle w:val="19"/>
          <w:rFonts w:ascii="Arial" w:hAnsi="Arial" w:cs="Arial"/>
          <w:sz w:val="20"/>
          <w:szCs w:val="20"/>
        </w:rPr>
        <w:fldChar w:fldCharType="end"/>
      </w:r>
      <w:r>
        <w:rPr>
          <w:rFonts w:ascii="Arial" w:hAnsi="Arial" w:cs="Arial"/>
          <w:sz w:val="20"/>
          <w:szCs w:val="20"/>
        </w:rPr>
        <w:t xml:space="preserve"> </w:t>
      </w:r>
    </w:p>
    <w:p w14:paraId="06079B6B">
      <w:pPr>
        <w:ind w:left="440" w:hanging="440" w:hangingChars="220"/>
        <w:rPr>
          <w:rFonts w:ascii="Arial" w:hAnsi="Arial" w:cs="Arial"/>
          <w:sz w:val="20"/>
          <w:szCs w:val="20"/>
        </w:rPr>
      </w:pPr>
      <w:r>
        <w:rPr>
          <w:rFonts w:ascii="Arial" w:hAnsi="Arial" w:cs="Arial"/>
          <w:sz w:val="20"/>
          <w:szCs w:val="20"/>
          <w:lang w:val="en-SG"/>
        </w:rPr>
        <w:t xml:space="preserve">Asperger, H. (1944). Die ‘Autistischen psychopathen’ im Kindesalter. </w:t>
      </w:r>
      <w:r>
        <w:rPr>
          <w:rFonts w:ascii="Arial" w:hAnsi="Arial" w:cs="Arial"/>
          <w:i/>
          <w:iCs/>
          <w:sz w:val="20"/>
          <w:szCs w:val="20"/>
          <w:lang w:val="en-SG"/>
        </w:rPr>
        <w:t>Archiv für Psychiatrie und Nervenkrankheiten</w:t>
      </w:r>
      <w:r>
        <w:rPr>
          <w:rFonts w:ascii="Arial" w:hAnsi="Arial" w:cs="Arial"/>
          <w:sz w:val="20"/>
          <w:szCs w:val="20"/>
          <w:lang w:val="en-SG"/>
        </w:rPr>
        <w:t xml:space="preserve">, 117(1), 76-136. </w:t>
      </w:r>
      <w:r>
        <w:fldChar w:fldCharType="begin"/>
      </w:r>
      <w:r>
        <w:instrText xml:space="preserve"> HYPERLINK "https://doi.org/10.1007/BF01837709" </w:instrText>
      </w:r>
      <w:r>
        <w:fldChar w:fldCharType="separate"/>
      </w:r>
      <w:r>
        <w:rPr>
          <w:rStyle w:val="19"/>
          <w:rFonts w:ascii="Arial" w:hAnsi="Arial" w:cs="Arial"/>
          <w:sz w:val="20"/>
          <w:szCs w:val="20"/>
        </w:rPr>
        <w:t>https://doi.org/10.1007/BF01837709</w:t>
      </w:r>
      <w:r>
        <w:rPr>
          <w:rStyle w:val="19"/>
          <w:rFonts w:ascii="Arial" w:hAnsi="Arial" w:cs="Arial"/>
          <w:sz w:val="20"/>
          <w:szCs w:val="20"/>
        </w:rPr>
        <w:fldChar w:fldCharType="end"/>
      </w:r>
      <w:r>
        <w:rPr>
          <w:rFonts w:ascii="Arial" w:hAnsi="Arial" w:cs="Arial"/>
          <w:sz w:val="20"/>
          <w:szCs w:val="20"/>
        </w:rPr>
        <w:t xml:space="preserve"> </w:t>
      </w:r>
    </w:p>
    <w:p w14:paraId="5ABFF7F4">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 xml:space="preserve">Berg, K. A., Ishler, K. J., Lytle, S., Kaplan, R., Wang, F., Olgac, T., Miner, S., Edguer, M. N., &amp; Biegel, D. E. (2023). </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Don</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t </w:t>
      </w:r>
      <w:r>
        <w:rPr>
          <w:rFonts w:ascii="Arial" w:hAnsi="Arial" w:eastAsia="Segoe UI" w:cs="Arial"/>
          <w:color w:val="212121"/>
          <w:sz w:val="20"/>
          <w:szCs w:val="20"/>
          <w:shd w:val="clear" w:color="auto" w:fill="FFFFFF"/>
          <w:lang w:val="en-SG"/>
        </w:rPr>
        <w:t>p</w:t>
      </w:r>
      <w:r>
        <w:rPr>
          <w:rFonts w:ascii="Arial" w:hAnsi="Arial" w:eastAsia="Segoe UI" w:cs="Arial"/>
          <w:color w:val="212121"/>
          <w:sz w:val="20"/>
          <w:szCs w:val="20"/>
          <w:shd w:val="clear" w:color="auto" w:fill="FFFFFF"/>
        </w:rPr>
        <w:t xml:space="preserve">romise </w:t>
      </w:r>
      <w:r>
        <w:rPr>
          <w:rFonts w:ascii="Arial" w:hAnsi="Arial" w:eastAsia="Segoe UI" w:cs="Arial"/>
          <w:color w:val="212121"/>
          <w:sz w:val="20"/>
          <w:szCs w:val="20"/>
          <w:shd w:val="clear" w:color="auto" w:fill="FFFFFF"/>
          <w:lang w:val="en-SG"/>
        </w:rPr>
        <w:t>s</w:t>
      </w:r>
      <w:r>
        <w:rPr>
          <w:rFonts w:ascii="Arial" w:hAnsi="Arial" w:eastAsia="Segoe UI" w:cs="Arial"/>
          <w:color w:val="212121"/>
          <w:sz w:val="20"/>
          <w:szCs w:val="20"/>
          <w:shd w:val="clear" w:color="auto" w:fill="FFFFFF"/>
        </w:rPr>
        <w:t xml:space="preserve">omething </w:t>
      </w:r>
      <w:r>
        <w:rPr>
          <w:rFonts w:ascii="Arial" w:hAnsi="Arial" w:eastAsia="Segoe UI" w:cs="Arial"/>
          <w:color w:val="212121"/>
          <w:sz w:val="20"/>
          <w:szCs w:val="20"/>
          <w:shd w:val="clear" w:color="auto" w:fill="FFFFFF"/>
          <w:lang w:val="en-SG"/>
        </w:rPr>
        <w:t>y</w:t>
      </w:r>
      <w:r>
        <w:rPr>
          <w:rFonts w:ascii="Arial" w:hAnsi="Arial" w:eastAsia="Segoe UI" w:cs="Arial"/>
          <w:color w:val="212121"/>
          <w:sz w:val="20"/>
          <w:szCs w:val="20"/>
          <w:shd w:val="clear" w:color="auto" w:fill="FFFFFF"/>
        </w:rPr>
        <w:t>ou can</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t </w:t>
      </w:r>
      <w:r>
        <w:rPr>
          <w:rFonts w:ascii="Arial" w:hAnsi="Arial" w:eastAsia="Segoe UI" w:cs="Arial"/>
          <w:color w:val="212121"/>
          <w:sz w:val="20"/>
          <w:szCs w:val="20"/>
          <w:shd w:val="clear" w:color="auto" w:fill="FFFFFF"/>
          <w:lang w:val="en-SG"/>
        </w:rPr>
        <w:t>d</w:t>
      </w:r>
      <w:r>
        <w:rPr>
          <w:rFonts w:ascii="Arial" w:hAnsi="Arial" w:eastAsia="Segoe UI" w:cs="Arial"/>
          <w:color w:val="212121"/>
          <w:sz w:val="20"/>
          <w:szCs w:val="20"/>
          <w:shd w:val="clear" w:color="auto" w:fill="FFFFFF"/>
        </w:rPr>
        <w:t>eliver:</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 Caregivers</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dvice for </w:t>
      </w:r>
      <w:r>
        <w:rPr>
          <w:rFonts w:ascii="Arial" w:hAnsi="Arial" w:eastAsia="Segoe UI" w:cs="Arial"/>
          <w:color w:val="212121"/>
          <w:sz w:val="20"/>
          <w:szCs w:val="20"/>
          <w:shd w:val="clear" w:color="auto" w:fill="FFFFFF"/>
          <w:lang w:val="en-SG"/>
        </w:rPr>
        <w:t>i</w:t>
      </w:r>
      <w:r>
        <w:rPr>
          <w:rFonts w:ascii="Arial" w:hAnsi="Arial" w:eastAsia="Segoe UI" w:cs="Arial"/>
          <w:color w:val="212121"/>
          <w:sz w:val="20"/>
          <w:szCs w:val="20"/>
          <w:shd w:val="clear" w:color="auto" w:fill="FFFFFF"/>
        </w:rPr>
        <w:t xml:space="preserve">mproving </w:t>
      </w:r>
      <w:r>
        <w:rPr>
          <w:rFonts w:ascii="Arial" w:hAnsi="Arial" w:eastAsia="Segoe UI" w:cs="Arial"/>
          <w:color w:val="212121"/>
          <w:sz w:val="20"/>
          <w:szCs w:val="20"/>
          <w:shd w:val="clear" w:color="auto" w:fill="FFFFFF"/>
          <w:lang w:val="en-SG"/>
        </w:rPr>
        <w:t>s</w:t>
      </w:r>
      <w:r>
        <w:rPr>
          <w:rFonts w:ascii="Arial" w:hAnsi="Arial" w:eastAsia="Segoe UI" w:cs="Arial"/>
          <w:color w:val="212121"/>
          <w:sz w:val="20"/>
          <w:szCs w:val="20"/>
          <w:shd w:val="clear" w:color="auto" w:fill="FFFFFF"/>
        </w:rPr>
        <w:t xml:space="preserve">ervices to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dolescents and </w:t>
      </w:r>
      <w:r>
        <w:rPr>
          <w:rFonts w:ascii="Arial" w:hAnsi="Arial" w:eastAsia="Segoe UI" w:cs="Arial"/>
          <w:color w:val="212121"/>
          <w:sz w:val="20"/>
          <w:szCs w:val="20"/>
          <w:shd w:val="clear" w:color="auto" w:fill="FFFFFF"/>
          <w:lang w:val="en-SG"/>
        </w:rPr>
        <w:t>y</w:t>
      </w:r>
      <w:r>
        <w:rPr>
          <w:rFonts w:ascii="Arial" w:hAnsi="Arial" w:eastAsia="Segoe UI" w:cs="Arial"/>
          <w:color w:val="212121"/>
          <w:sz w:val="20"/>
          <w:szCs w:val="20"/>
          <w:shd w:val="clear" w:color="auto" w:fill="FFFFFF"/>
        </w:rPr>
        <w:t xml:space="preserve">oung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dults with Autism. </w:t>
      </w:r>
      <w:r>
        <w:rPr>
          <w:rFonts w:ascii="Arial" w:hAnsi="Arial" w:eastAsia="Segoe UI" w:cs="Arial"/>
          <w:i/>
          <w:iCs/>
          <w:color w:val="212121"/>
          <w:sz w:val="20"/>
          <w:szCs w:val="20"/>
          <w:shd w:val="clear" w:color="auto" w:fill="FFFFFF"/>
        </w:rPr>
        <w:t xml:space="preserve">Autism </w:t>
      </w:r>
      <w:r>
        <w:rPr>
          <w:rFonts w:ascii="Arial" w:hAnsi="Arial" w:eastAsia="Segoe UI" w:cs="Arial"/>
          <w:i/>
          <w:iCs/>
          <w:color w:val="212121"/>
          <w:sz w:val="20"/>
          <w:szCs w:val="20"/>
          <w:shd w:val="clear" w:color="auto" w:fill="FFFFFF"/>
          <w:lang w:val="en-SG"/>
        </w:rPr>
        <w:t>R</w:t>
      </w:r>
      <w:r>
        <w:rPr>
          <w:rFonts w:ascii="Arial" w:hAnsi="Arial" w:eastAsia="Segoe UI" w:cs="Arial"/>
          <w:i/>
          <w:iCs/>
          <w:color w:val="212121"/>
          <w:sz w:val="20"/>
          <w:szCs w:val="20"/>
          <w:shd w:val="clear" w:color="auto" w:fill="FFFFFF"/>
        </w:rPr>
        <w:t xml:space="preserve">esearch and </w:t>
      </w:r>
      <w:r>
        <w:rPr>
          <w:rFonts w:ascii="Arial" w:hAnsi="Arial" w:eastAsia="Segoe UI" w:cs="Arial"/>
          <w:i/>
          <w:iCs/>
          <w:color w:val="212121"/>
          <w:sz w:val="20"/>
          <w:szCs w:val="20"/>
          <w:shd w:val="clear" w:color="auto" w:fill="FFFFFF"/>
          <w:lang w:val="en-SG"/>
        </w:rPr>
        <w:t>T</w:t>
      </w:r>
      <w:r>
        <w:rPr>
          <w:rFonts w:ascii="Arial" w:hAnsi="Arial" w:eastAsia="Segoe UI" w:cs="Arial"/>
          <w:i/>
          <w:iCs/>
          <w:color w:val="212121"/>
          <w:sz w:val="20"/>
          <w:szCs w:val="20"/>
          <w:shd w:val="clear" w:color="auto" w:fill="FFFFFF"/>
        </w:rPr>
        <w:t>reatment</w:t>
      </w:r>
      <w:r>
        <w:rPr>
          <w:rFonts w:ascii="Arial" w:hAnsi="Arial" w:eastAsia="Segoe UI" w:cs="Arial"/>
          <w:color w:val="212121"/>
          <w:sz w:val="20"/>
          <w:szCs w:val="20"/>
          <w:shd w:val="clear" w:color="auto" w:fill="FFFFFF"/>
        </w:rPr>
        <w:t>,</w:t>
      </w:r>
      <w:r>
        <w:rPr>
          <w:rFonts w:ascii="Arial" w:hAnsi="Arial" w:eastAsia="Segoe UI" w:cs="Arial"/>
          <w:color w:val="212121"/>
          <w:sz w:val="20"/>
          <w:szCs w:val="20"/>
          <w:shd w:val="clear" w:color="auto" w:fill="FFFFFF"/>
          <w:lang w:val="en-SG"/>
        </w:rPr>
        <w:t xml:space="preserve"> </w:t>
      </w:r>
      <w:r>
        <w:rPr>
          <w:rFonts w:ascii="Arial" w:hAnsi="Arial" w:eastAsia="Segoe UI" w:cs="Arial"/>
          <w:i/>
          <w:iCs/>
          <w:color w:val="212121"/>
          <w:sz w:val="20"/>
          <w:szCs w:val="20"/>
          <w:shd w:val="clear" w:color="auto" w:fill="FFFFFF"/>
          <w:lang w:val="en-SG"/>
        </w:rPr>
        <w:t>2023</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w:t>
      </w:r>
      <w:r>
        <w:rPr>
          <w:rFonts w:ascii="Arial" w:hAnsi="Arial" w:eastAsia="Segoe UI" w:cs="Arial"/>
          <w:color w:val="212121"/>
          <w:sz w:val="20"/>
          <w:szCs w:val="20"/>
          <w:shd w:val="clear" w:color="auto" w:fill="FFFFFF"/>
          <w:lang w:val="en-SG"/>
        </w:rPr>
        <w:t>Article ID:</w:t>
      </w:r>
      <w:r>
        <w:rPr>
          <w:rFonts w:ascii="Arial" w:hAnsi="Arial" w:eastAsia="Segoe UI" w:cs="Arial"/>
          <w:color w:val="212121"/>
          <w:sz w:val="20"/>
          <w:szCs w:val="20"/>
          <w:shd w:val="clear" w:color="auto" w:fill="FFFFFF"/>
        </w:rPr>
        <w:t xml:space="preserve"> 6597554. </w:t>
      </w:r>
      <w:r>
        <w:fldChar w:fldCharType="begin"/>
      </w:r>
      <w:r>
        <w:instrText xml:space="preserve"> HYPERLINK "https://doi.org/10.1155/2023/6597554" </w:instrText>
      </w:r>
      <w:r>
        <w:fldChar w:fldCharType="separate"/>
      </w:r>
      <w:r>
        <w:rPr>
          <w:rStyle w:val="19"/>
          <w:rFonts w:ascii="Arial" w:hAnsi="Arial" w:eastAsia="Segoe UI" w:cs="Arial"/>
          <w:sz w:val="20"/>
          <w:szCs w:val="20"/>
          <w:shd w:val="clear" w:color="auto" w:fill="FFFFFF"/>
        </w:rPr>
        <w:t>https://doi.org/10.1155/2023/6597554</w:t>
      </w:r>
      <w:r>
        <w:rPr>
          <w:rStyle w:val="19"/>
          <w:rFonts w:ascii="Arial" w:hAnsi="Arial" w:eastAsia="Segoe UI" w:cs="Arial"/>
          <w:sz w:val="20"/>
          <w:szCs w:val="20"/>
          <w:shd w:val="clear" w:color="auto" w:fill="FFFFFF"/>
        </w:rPr>
        <w:fldChar w:fldCharType="end"/>
      </w:r>
    </w:p>
    <w:p w14:paraId="289B2C52">
      <w:pPr>
        <w:ind w:left="440" w:hanging="440" w:hangingChars="220"/>
        <w:rPr>
          <w:rFonts w:ascii="Arial" w:hAnsi="Arial" w:cs="Arial"/>
          <w:sz w:val="20"/>
          <w:szCs w:val="20"/>
          <w:lang w:val="en-SG"/>
        </w:rPr>
      </w:pPr>
      <w:r>
        <w:rPr>
          <w:rFonts w:ascii="Arial" w:hAnsi="Arial" w:cs="Arial"/>
          <w:sz w:val="20"/>
          <w:szCs w:val="20"/>
          <w:lang w:val="en-SG"/>
        </w:rPr>
        <w:t xml:space="preserve">Bleuler, E. (1911). </w:t>
      </w:r>
      <w:r>
        <w:rPr>
          <w:rFonts w:ascii="Arial" w:hAnsi="Arial" w:cs="Arial"/>
          <w:i/>
          <w:iCs/>
          <w:sz w:val="20"/>
          <w:szCs w:val="20"/>
          <w:lang w:val="en-SG"/>
        </w:rPr>
        <w:t>Dementia praecox or the group of schizophrenias</w:t>
      </w:r>
      <w:r>
        <w:rPr>
          <w:rFonts w:ascii="Arial" w:hAnsi="Arial" w:cs="Arial"/>
          <w:sz w:val="20"/>
          <w:szCs w:val="20"/>
          <w:lang w:val="en-SG"/>
        </w:rPr>
        <w:t xml:space="preserve"> (Transl. J. Zinkin). New York, NY: International Universities Press.</w:t>
      </w:r>
    </w:p>
    <w:p w14:paraId="36FA2551">
      <w:pPr>
        <w:ind w:left="440" w:hanging="440" w:hangingChars="220"/>
        <w:rPr>
          <w:rStyle w:val="19"/>
          <w:rFonts w:ascii="Arial" w:hAnsi="Arial" w:eastAsia="Segoe UI" w:cs="Arial"/>
          <w:sz w:val="20"/>
          <w:szCs w:val="20"/>
          <w:shd w:val="clear" w:color="auto" w:fill="FFFFFF"/>
        </w:rPr>
      </w:pPr>
      <w:r>
        <w:rPr>
          <w:rFonts w:ascii="Arial" w:hAnsi="Arial" w:eastAsia="Segoe UI" w:cs="Arial"/>
          <w:color w:val="212121"/>
          <w:sz w:val="20"/>
          <w:szCs w:val="20"/>
          <w:shd w:val="clear" w:color="auto" w:fill="FFFFFF"/>
        </w:rPr>
        <w:t>Boksha, I. S., Prokhorova, T. A., Tereshkina, E. B., Savushkina, O. K., &amp; Burbaeva, G. S. (2023). Differentiated Approach to pharmacotherapy of autism spectrum disorders: Biochemical aspects. </w:t>
      </w:r>
      <w:r>
        <w:rPr>
          <w:rFonts w:ascii="Arial" w:hAnsi="Arial" w:eastAsia="Segoe UI" w:cs="Arial"/>
          <w:i/>
          <w:iCs/>
          <w:color w:val="212121"/>
          <w:sz w:val="20"/>
          <w:szCs w:val="20"/>
          <w:shd w:val="clear" w:color="auto" w:fill="FFFFFF"/>
        </w:rPr>
        <w:t>Biochemistry (Moscow)</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88</w:t>
      </w:r>
      <w:r>
        <w:rPr>
          <w:rFonts w:ascii="Arial" w:hAnsi="Arial" w:eastAsia="Segoe UI" w:cs="Arial"/>
          <w:color w:val="212121"/>
          <w:sz w:val="20"/>
          <w:szCs w:val="20"/>
          <w:shd w:val="clear" w:color="auto" w:fill="FFFFFF"/>
        </w:rPr>
        <w:t xml:space="preserve">(3), 303-318. </w:t>
      </w:r>
      <w:r>
        <w:fldChar w:fldCharType="begin"/>
      </w:r>
      <w:r>
        <w:instrText xml:space="preserve"> HYPERLINK "https://doi.org/10.1134/S0006297923030021" </w:instrText>
      </w:r>
      <w:r>
        <w:fldChar w:fldCharType="separate"/>
      </w:r>
      <w:r>
        <w:rPr>
          <w:rStyle w:val="19"/>
          <w:rFonts w:ascii="Arial" w:hAnsi="Arial" w:eastAsia="Segoe UI" w:cs="Arial"/>
          <w:sz w:val="20"/>
          <w:szCs w:val="20"/>
          <w:shd w:val="clear" w:color="auto" w:fill="FFFFFF"/>
        </w:rPr>
        <w:t>https://doi.org/10.1134/S0006297923030021</w:t>
      </w:r>
      <w:r>
        <w:rPr>
          <w:rStyle w:val="19"/>
          <w:rFonts w:ascii="Arial" w:hAnsi="Arial" w:eastAsia="Segoe UI" w:cs="Arial"/>
          <w:sz w:val="20"/>
          <w:szCs w:val="20"/>
          <w:shd w:val="clear" w:color="auto" w:fill="FFFFFF"/>
        </w:rPr>
        <w:fldChar w:fldCharType="end"/>
      </w:r>
    </w:p>
    <w:p w14:paraId="2EE7675A">
      <w:pPr>
        <w:ind w:left="440" w:hanging="440" w:hangingChars="220"/>
        <w:rPr>
          <w:highlight w:val="yellow"/>
          <w:lang w:val="en-US"/>
        </w:rPr>
      </w:pPr>
      <w:r>
        <w:rPr>
          <w:rFonts w:hint="default" w:ascii="Arial" w:hAnsi="Arial" w:eastAsia="DengXian" w:cs="Arial"/>
          <w:kern w:val="2"/>
          <w:sz w:val="20"/>
          <w:szCs w:val="20"/>
          <w:highlight w:val="yellow"/>
          <w:lang w:val="en-US" w:eastAsia="zh-CN" w:bidi="ar"/>
          <w14:ligatures w14:val="standardContextual"/>
        </w:rPr>
        <w:t>Bradshaw, J., McCracken, C., Pileggi, M., Brane, N., Delehanty, A., Day, T., … &amp; Wetherby, A. (2021). Early social communication development in infants with autism spectrum disorder. </w:t>
      </w:r>
      <w:r>
        <w:rPr>
          <w:rFonts w:hint="default" w:ascii="Arial" w:hAnsi="Arial" w:eastAsia="DengXian" w:cs="Arial"/>
          <w:i/>
          <w:iCs/>
          <w:kern w:val="2"/>
          <w:sz w:val="20"/>
          <w:szCs w:val="20"/>
          <w:highlight w:val="yellow"/>
          <w:lang w:val="en-US" w:eastAsia="zh-CN" w:bidi="ar"/>
          <w14:ligatures w14:val="standardContextual"/>
        </w:rPr>
        <w:t>Child Development</w:t>
      </w:r>
      <w:r>
        <w:rPr>
          <w:rFonts w:hint="default" w:ascii="Arial" w:hAnsi="Arial" w:eastAsia="DengXian" w:cs="Arial"/>
          <w:kern w:val="2"/>
          <w:sz w:val="20"/>
          <w:szCs w:val="20"/>
          <w:highlight w:val="yellow"/>
          <w:lang w:val="en-US" w:eastAsia="zh-CN" w:bidi="ar"/>
          <w14:ligatures w14:val="standardContextual"/>
        </w:rPr>
        <w:t>, </w:t>
      </w:r>
      <w:r>
        <w:rPr>
          <w:rFonts w:hint="default" w:ascii="Arial" w:hAnsi="Arial" w:eastAsia="DengXian" w:cs="Arial"/>
          <w:i/>
          <w:iCs/>
          <w:kern w:val="2"/>
          <w:sz w:val="20"/>
          <w:szCs w:val="20"/>
          <w:highlight w:val="yellow"/>
          <w:lang w:val="en-US" w:eastAsia="zh-CN" w:bidi="ar"/>
          <w14:ligatures w14:val="standardContextual"/>
        </w:rPr>
        <w:t>92</w:t>
      </w:r>
      <w:r>
        <w:rPr>
          <w:rFonts w:hint="default" w:ascii="Arial" w:hAnsi="Arial" w:eastAsia="DengXian" w:cs="Arial"/>
          <w:kern w:val="2"/>
          <w:sz w:val="20"/>
          <w:szCs w:val="20"/>
          <w:highlight w:val="yellow"/>
          <w:lang w:val="en-US" w:eastAsia="zh-CN" w:bidi="ar"/>
          <w14:ligatures w14:val="standardContextual"/>
        </w:rPr>
        <w:t xml:space="preserve">(6), 2224-2234.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"https://doi.org/10.1111/cdev.13683"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https://doi.org/10.1111/cdev.13683</w:t>
      </w:r>
      <w:r>
        <w:rPr>
          <w:rFonts w:hint="default" w:ascii="Arial" w:hAnsi="Arial" w:eastAsia="DengXian" w:cs="Arial"/>
          <w:kern w:val="2"/>
          <w:sz w:val="20"/>
          <w:szCs w:val="20"/>
          <w:highlight w:val="yellow"/>
          <w:lang w:val="en-US" w:eastAsia="zh-CN" w:bidi="ar"/>
          <w14:ligatures w14:val="standardContextual"/>
        </w:rPr>
        <w:fldChar w:fldCharType="end"/>
      </w:r>
      <w:r>
        <w:rPr>
          <w:rFonts w:hint="default" w:ascii="Arial" w:hAnsi="Arial" w:eastAsia="DengXian" w:cs="Arial"/>
          <w:kern w:val="2"/>
          <w:sz w:val="20"/>
          <w:szCs w:val="20"/>
          <w:highlight w:val="yellow"/>
          <w:lang w:val="en-US" w:eastAsia="zh-CN" w:bidi="ar"/>
          <w14:ligatures w14:val="standardContextual"/>
        </w:rPr>
        <w:t xml:space="preserve"> </w:t>
      </w:r>
    </w:p>
    <w:p w14:paraId="323E6B20">
      <w:pPr>
        <w:ind w:left="440" w:hanging="440" w:hangingChars="220"/>
        <w:rPr>
          <w:rFonts w:ascii="Arial" w:hAnsi="Arial" w:eastAsia="Segoe UI" w:cs="Arial"/>
          <w:color w:val="212121"/>
          <w:sz w:val="20"/>
          <w:szCs w:val="20"/>
          <w:shd w:val="clear" w:color="auto" w:fill="FFFFFF"/>
          <w:lang w:val="en-SG"/>
        </w:rPr>
      </w:pPr>
      <w:r>
        <w:rPr>
          <w:rFonts w:ascii="Arial" w:hAnsi="Arial" w:eastAsia="Segoe UI" w:cs="Arial"/>
          <w:color w:val="212121"/>
          <w:sz w:val="20"/>
          <w:szCs w:val="20"/>
          <w:shd w:val="clear" w:color="auto" w:fill="FFFFFF"/>
        </w:rPr>
        <w:t>Bradshaw, J., Schwichtenberg, A. J., &amp; Iverson, J. M. (2022). Capturing the complexity of autism: Applying a developmental cascades framework. </w:t>
      </w:r>
      <w:r>
        <w:rPr>
          <w:rFonts w:ascii="Arial" w:hAnsi="Arial" w:eastAsia="Segoe UI" w:cs="Arial"/>
          <w:i/>
          <w:iCs/>
          <w:color w:val="212121"/>
          <w:sz w:val="20"/>
          <w:szCs w:val="20"/>
          <w:shd w:val="clear" w:color="auto" w:fill="FFFFFF"/>
        </w:rPr>
        <w:t xml:space="preserve">Child </w:t>
      </w:r>
      <w:r>
        <w:rPr>
          <w:rFonts w:ascii="Arial" w:hAnsi="Arial" w:eastAsia="Segoe UI" w:cs="Arial"/>
          <w:i/>
          <w:iCs/>
          <w:color w:val="212121"/>
          <w:sz w:val="20"/>
          <w:szCs w:val="20"/>
          <w:shd w:val="clear" w:color="auto" w:fill="FFFFFF"/>
          <w:lang w:val="en-SG"/>
        </w:rPr>
        <w:t>D</w:t>
      </w:r>
      <w:r>
        <w:rPr>
          <w:rFonts w:ascii="Arial" w:hAnsi="Arial" w:eastAsia="Segoe UI" w:cs="Arial"/>
          <w:i/>
          <w:iCs/>
          <w:color w:val="212121"/>
          <w:sz w:val="20"/>
          <w:szCs w:val="20"/>
          <w:shd w:val="clear" w:color="auto" w:fill="FFFFFF"/>
        </w:rPr>
        <w:t xml:space="preserve">evelopment </w:t>
      </w:r>
      <w:r>
        <w:rPr>
          <w:rFonts w:ascii="Arial" w:hAnsi="Arial" w:eastAsia="Segoe UI" w:cs="Arial"/>
          <w:i/>
          <w:iCs/>
          <w:color w:val="212121"/>
          <w:sz w:val="20"/>
          <w:szCs w:val="20"/>
          <w:shd w:val="clear" w:color="auto" w:fill="FFFFFF"/>
          <w:lang w:val="en-SG"/>
        </w:rPr>
        <w:t>P</w:t>
      </w:r>
      <w:r>
        <w:rPr>
          <w:rFonts w:ascii="Arial" w:hAnsi="Arial" w:eastAsia="Segoe UI" w:cs="Arial"/>
          <w:i/>
          <w:iCs/>
          <w:color w:val="212121"/>
          <w:sz w:val="20"/>
          <w:szCs w:val="20"/>
          <w:shd w:val="clear" w:color="auto" w:fill="FFFFFF"/>
        </w:rPr>
        <w:t>erspectives</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16</w:t>
      </w:r>
      <w:r>
        <w:rPr>
          <w:rFonts w:ascii="Arial" w:hAnsi="Arial" w:eastAsia="Segoe UI" w:cs="Arial"/>
          <w:color w:val="212121"/>
          <w:sz w:val="20"/>
          <w:szCs w:val="20"/>
          <w:shd w:val="clear" w:color="auto" w:fill="FFFFFF"/>
        </w:rPr>
        <w:t>(1), 18</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26. </w:t>
      </w:r>
      <w:r>
        <w:fldChar w:fldCharType="begin"/>
      </w:r>
      <w:r>
        <w:instrText xml:space="preserve"> HYPERLINK "https://doi.org/10.1111/cdep.12439" </w:instrText>
      </w:r>
      <w:r>
        <w:fldChar w:fldCharType="separate"/>
      </w:r>
      <w:r>
        <w:rPr>
          <w:rStyle w:val="19"/>
          <w:rFonts w:ascii="Arial" w:hAnsi="Arial" w:eastAsia="Segoe UI" w:cs="Arial"/>
          <w:sz w:val="20"/>
          <w:szCs w:val="20"/>
          <w:shd w:val="clear" w:color="auto" w:fill="FFFFFF"/>
        </w:rPr>
        <w:t>https://doi.org/10.1111/cdep.12439</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p w14:paraId="62CA4073">
      <w:pPr>
        <w:ind w:left="440" w:hanging="440" w:hangingChars="220"/>
        <w:rPr>
          <w:rFonts w:ascii="Arial" w:hAnsi="Arial" w:eastAsia="DengXian" w:cs="Arial"/>
          <w:sz w:val="20"/>
          <w:szCs w:val="20"/>
          <w:lang w:bidi="ar"/>
        </w:rPr>
      </w:pPr>
      <w:r>
        <w:rPr>
          <w:rFonts w:ascii="Arial" w:hAnsi="Arial" w:eastAsia="DengXian" w:cs="Arial"/>
          <w:sz w:val="20"/>
          <w:szCs w:val="20"/>
          <w:lang w:bidi="ar"/>
        </w:rPr>
        <w:t>Burrell, D. N., Askarova, S., Morin, S. L., Mondala-Duncan, M., Springs, D., Aridi, A. S., &amp; Finch, A. (2025). Exploring how the lack of inclusive approaches to neurodiversity and invisible disabilities in the workplace creates significant health disparities. </w:t>
      </w:r>
      <w:r>
        <w:rPr>
          <w:rFonts w:ascii="Arial" w:hAnsi="Arial" w:eastAsia="DengXian" w:cs="Arial"/>
          <w:i/>
          <w:iCs/>
          <w:sz w:val="20"/>
          <w:szCs w:val="20"/>
          <w:lang w:bidi="ar"/>
        </w:rPr>
        <w:t>Brazilian Journal of Business</w:t>
      </w:r>
      <w:r>
        <w:rPr>
          <w:rFonts w:ascii="Arial" w:hAnsi="Arial" w:eastAsia="DengXian" w:cs="Arial"/>
          <w:sz w:val="20"/>
          <w:szCs w:val="20"/>
          <w:lang w:bidi="ar"/>
        </w:rPr>
        <w:t>, </w:t>
      </w:r>
      <w:r>
        <w:rPr>
          <w:rFonts w:ascii="Arial" w:hAnsi="Arial" w:eastAsia="DengXian" w:cs="Arial"/>
          <w:i/>
          <w:iCs/>
          <w:sz w:val="20"/>
          <w:szCs w:val="20"/>
          <w:lang w:bidi="ar"/>
        </w:rPr>
        <w:t>7</w:t>
      </w:r>
      <w:r>
        <w:rPr>
          <w:rFonts w:ascii="Arial" w:hAnsi="Arial" w:eastAsia="DengXian" w:cs="Arial"/>
          <w:sz w:val="20"/>
          <w:szCs w:val="20"/>
          <w:lang w:bidi="ar"/>
        </w:rPr>
        <w:t xml:space="preserve">(1), e76666-e76666. </w:t>
      </w:r>
      <w:r>
        <w:fldChar w:fldCharType="begin"/>
      </w:r>
      <w:r>
        <w:instrText xml:space="preserve"> HYPERLINK "https://doi.org/10.34140/bjbv7n1-005" </w:instrText>
      </w:r>
      <w:r>
        <w:fldChar w:fldCharType="separate"/>
      </w:r>
      <w:r>
        <w:rPr>
          <w:rStyle w:val="19"/>
          <w:rFonts w:ascii="Arial" w:hAnsi="Arial" w:cs="Arial"/>
          <w:sz w:val="20"/>
          <w:szCs w:val="20"/>
        </w:rPr>
        <w:t>https://doi.org/10.34140/bjbv7n1-005</w:t>
      </w:r>
      <w:r>
        <w:rPr>
          <w:rStyle w:val="19"/>
          <w:rFonts w:ascii="Arial" w:hAnsi="Arial" w:cs="Arial"/>
          <w:sz w:val="20"/>
          <w:szCs w:val="20"/>
        </w:rPr>
        <w:fldChar w:fldCharType="end"/>
      </w:r>
      <w:r>
        <w:rPr>
          <w:rFonts w:ascii="Arial" w:hAnsi="Arial" w:eastAsia="DengXian" w:cs="Arial"/>
          <w:sz w:val="20"/>
          <w:szCs w:val="20"/>
          <w:lang w:bidi="ar"/>
        </w:rPr>
        <w:t xml:space="preserve"> </w:t>
      </w:r>
    </w:p>
    <w:p w14:paraId="6211A9EC">
      <w:pPr>
        <w:ind w:left="440" w:hanging="440" w:hangingChars="220"/>
        <w:rPr>
          <w:rFonts w:ascii="Arial" w:hAnsi="Arial" w:cs="Arial"/>
          <w:sz w:val="20"/>
          <w:szCs w:val="20"/>
        </w:rPr>
      </w:pPr>
      <w:r>
        <w:rPr>
          <w:rFonts w:ascii="Arial" w:hAnsi="Arial" w:cs="Arial"/>
          <w:sz w:val="20"/>
          <w:szCs w:val="20"/>
        </w:rPr>
        <w:t>Butcher, L., &amp; Lane, S.(2025). Neurodivergent (autism and ADHD) student experiences of access and inclusion in higher education: an ecological systems theory perspective. </w:t>
      </w:r>
      <w:r>
        <w:rPr>
          <w:rFonts w:ascii="Arial" w:hAnsi="Arial" w:cs="Arial"/>
          <w:i/>
          <w:iCs/>
          <w:sz w:val="20"/>
          <w:szCs w:val="20"/>
        </w:rPr>
        <w:t>High Education,</w:t>
      </w:r>
      <w:r>
        <w:rPr>
          <w:rFonts w:ascii="Arial" w:hAnsi="Arial" w:cs="Arial"/>
          <w:sz w:val="20"/>
          <w:szCs w:val="20"/>
        </w:rPr>
        <w:t> </w:t>
      </w:r>
      <w:r>
        <w:rPr>
          <w:rFonts w:ascii="Arial" w:hAnsi="Arial" w:cs="Arial"/>
          <w:i/>
          <w:iCs/>
          <w:sz w:val="20"/>
          <w:szCs w:val="20"/>
        </w:rPr>
        <w:t>90</w:t>
      </w:r>
      <w:r>
        <w:rPr>
          <w:rFonts w:ascii="Arial" w:hAnsi="Arial" w:cs="Arial"/>
          <w:sz w:val="20"/>
          <w:szCs w:val="20"/>
        </w:rPr>
        <w:t xml:space="preserve">, 243-263. </w:t>
      </w:r>
      <w:r>
        <w:fldChar w:fldCharType="begin"/>
      </w:r>
      <w:r>
        <w:instrText xml:space="preserve"> HYPERLINK "https://doi.org/10.1007/s10734-024-01319-6" </w:instrText>
      </w:r>
      <w:r>
        <w:fldChar w:fldCharType="separate"/>
      </w:r>
      <w:r>
        <w:rPr>
          <w:rStyle w:val="19"/>
          <w:rFonts w:ascii="Arial" w:hAnsi="Arial" w:cs="Arial"/>
          <w:sz w:val="20"/>
          <w:szCs w:val="20"/>
        </w:rPr>
        <w:t>https://doi.org/10.1007/s10734-024-01319-6</w:t>
      </w:r>
      <w:r>
        <w:rPr>
          <w:rStyle w:val="19"/>
          <w:rFonts w:ascii="Arial" w:hAnsi="Arial" w:cs="Arial"/>
          <w:sz w:val="20"/>
          <w:szCs w:val="20"/>
        </w:rPr>
        <w:fldChar w:fldCharType="end"/>
      </w:r>
      <w:r>
        <w:rPr>
          <w:rFonts w:ascii="Arial" w:hAnsi="Arial" w:cs="Arial"/>
          <w:sz w:val="20"/>
          <w:szCs w:val="20"/>
        </w:rPr>
        <w:t xml:space="preserve"> </w:t>
      </w:r>
    </w:p>
    <w:p w14:paraId="2E36D0EC">
      <w:pPr>
        <w:ind w:left="440" w:hanging="440" w:hangingChars="220"/>
        <w:rPr>
          <w:rStyle w:val="19"/>
          <w:rFonts w:ascii="Arial" w:hAnsi="Arial" w:cs="Arial"/>
          <w:sz w:val="20"/>
          <w:szCs w:val="20"/>
          <w:lang w:val="en-SG"/>
        </w:rPr>
      </w:pPr>
      <w:r>
        <w:rPr>
          <w:rFonts w:ascii="Arial" w:hAnsi="Arial" w:cs="Arial"/>
          <w:sz w:val="20"/>
          <w:szCs w:val="20"/>
        </w:rPr>
        <w:t>Cashin, A., &amp; Barker, P. (2009). The triad of impairment in autism revisited. </w:t>
      </w:r>
      <w:r>
        <w:rPr>
          <w:rFonts w:ascii="Arial" w:hAnsi="Arial" w:cs="Arial"/>
          <w:i/>
          <w:iCs/>
          <w:sz w:val="20"/>
          <w:szCs w:val="20"/>
        </w:rPr>
        <w:t>Journal of Child and Adolescent Psychiatric Nursing</w:t>
      </w:r>
      <w:r>
        <w:rPr>
          <w:rFonts w:ascii="Arial" w:hAnsi="Arial" w:cs="Arial"/>
          <w:sz w:val="20"/>
          <w:szCs w:val="20"/>
        </w:rPr>
        <w:t>, </w:t>
      </w:r>
      <w:r>
        <w:rPr>
          <w:rFonts w:ascii="Arial" w:hAnsi="Arial" w:cs="Arial"/>
          <w:i/>
          <w:iCs/>
          <w:sz w:val="20"/>
          <w:szCs w:val="20"/>
        </w:rPr>
        <w:t>22</w:t>
      </w:r>
      <w:r>
        <w:rPr>
          <w:rFonts w:ascii="Arial" w:hAnsi="Arial" w:cs="Arial"/>
          <w:sz w:val="20"/>
          <w:szCs w:val="20"/>
        </w:rPr>
        <w:t>(4), 189-193.</w:t>
      </w:r>
      <w:r>
        <w:rPr>
          <w:rFonts w:ascii="Arial" w:hAnsi="Arial" w:cs="Arial"/>
          <w:sz w:val="20"/>
          <w:szCs w:val="20"/>
          <w:lang w:val="en-SG"/>
        </w:rPr>
        <w:t xml:space="preserve"> </w:t>
      </w:r>
      <w:r>
        <w:fldChar w:fldCharType="begin"/>
      </w:r>
      <w:r>
        <w:instrText xml:space="preserve"> HYPERLINK "https://doi.org/10.1111/j.1744-6171.2009.00198.x" </w:instrText>
      </w:r>
      <w:r>
        <w:fldChar w:fldCharType="separate"/>
      </w:r>
      <w:r>
        <w:rPr>
          <w:rStyle w:val="19"/>
          <w:rFonts w:ascii="Arial" w:hAnsi="Arial" w:cs="Arial"/>
          <w:sz w:val="20"/>
          <w:szCs w:val="20"/>
          <w:lang w:val="en-SG"/>
        </w:rPr>
        <w:t>https://doi.org/10.1111/j.1744-6171.2009.00198.x</w:t>
      </w:r>
      <w:r>
        <w:rPr>
          <w:rStyle w:val="19"/>
          <w:rFonts w:ascii="Arial" w:hAnsi="Arial" w:cs="Arial"/>
          <w:sz w:val="20"/>
          <w:szCs w:val="20"/>
          <w:lang w:val="en-SG"/>
        </w:rPr>
        <w:fldChar w:fldCharType="end"/>
      </w:r>
    </w:p>
    <w:p w14:paraId="54F1366B">
      <w:pPr>
        <w:ind w:left="440" w:hanging="440" w:hangingChars="220"/>
        <w:rPr>
          <w:rFonts w:hint="default" w:ascii="Arial" w:hAnsi="Arial" w:cs="Arial"/>
          <w:sz w:val="20"/>
          <w:szCs w:val="20"/>
          <w:highlight w:val="yellow"/>
          <w:lang w:val="en-US"/>
        </w:rPr>
      </w:pPr>
      <w:r>
        <w:rPr>
          <w:rFonts w:hint="default" w:ascii="Arial" w:hAnsi="Arial" w:eastAsia="DengXian" w:cs="Arial"/>
          <w:kern w:val="2"/>
          <w:sz w:val="20"/>
          <w:szCs w:val="20"/>
          <w:highlight w:val="yellow"/>
          <w:lang w:val="en-US" w:eastAsia="zh-CN" w:bidi="ar"/>
          <w14:ligatures w14:val="standardContextual"/>
        </w:rPr>
        <w:t xml:space="preserve">Chen, Y.-L., Senande, L. L., Thorsen, M., &amp; Patten, K. (2021). Peer preferences and characteristics of same-group and cross-group social interactions among autistic and non-autistic adolescents. </w:t>
      </w:r>
      <w:r>
        <w:rPr>
          <w:rFonts w:hint="default" w:ascii="Arial" w:hAnsi="Arial" w:eastAsia="DengXian" w:cs="Arial"/>
          <w:i/>
          <w:iCs/>
          <w:kern w:val="2"/>
          <w:sz w:val="20"/>
          <w:szCs w:val="20"/>
          <w:highlight w:val="yellow"/>
          <w:lang w:val="en-US" w:eastAsia="zh-CN" w:bidi="ar"/>
          <w14:ligatures w14:val="standardContextual"/>
        </w:rPr>
        <w:t>Autism</w:t>
      </w:r>
      <w:r>
        <w:rPr>
          <w:rFonts w:hint="default" w:ascii="Arial" w:hAnsi="Arial" w:eastAsia="DengXian" w:cs="Arial"/>
          <w:kern w:val="2"/>
          <w:sz w:val="20"/>
          <w:szCs w:val="20"/>
          <w:highlight w:val="yellow"/>
          <w:lang w:val="en-US" w:eastAsia="zh-CN" w:bidi="ar"/>
          <w14:ligatures w14:val="standardContextual"/>
        </w:rPr>
        <w:t xml:space="preserve">, </w:t>
      </w:r>
      <w:r>
        <w:rPr>
          <w:rFonts w:hint="default" w:ascii="Arial" w:hAnsi="Arial" w:eastAsia="DengXian" w:cs="Arial"/>
          <w:i/>
          <w:iCs/>
          <w:kern w:val="2"/>
          <w:sz w:val="20"/>
          <w:szCs w:val="20"/>
          <w:highlight w:val="yellow"/>
          <w:lang w:val="en-US" w:eastAsia="zh-CN" w:bidi="ar"/>
          <w14:ligatures w14:val="standardContextual"/>
        </w:rPr>
        <w:t>25</w:t>
      </w:r>
      <w:r>
        <w:rPr>
          <w:rFonts w:hint="default" w:ascii="Arial" w:hAnsi="Arial" w:eastAsia="DengXian" w:cs="Arial"/>
          <w:kern w:val="2"/>
          <w:sz w:val="20"/>
          <w:szCs w:val="20"/>
          <w:highlight w:val="yellow"/>
          <w:lang w:val="en-US" w:eastAsia="zh-CN" w:bidi="ar"/>
          <w14:ligatures w14:val="standardContextual"/>
        </w:rPr>
        <w:t xml:space="preserve">(7), 1885-1900.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"https://doi.org/10.1177/13623613211005918"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https://doi.org/10.1177/13623613211005918</w:t>
      </w:r>
      <w:r>
        <w:rPr>
          <w:rFonts w:hint="default" w:ascii="Arial" w:hAnsi="Arial" w:eastAsia="DengXian" w:cs="Arial"/>
          <w:kern w:val="2"/>
          <w:sz w:val="20"/>
          <w:szCs w:val="20"/>
          <w:highlight w:val="yellow"/>
          <w:lang w:val="en-US" w:eastAsia="zh-CN" w:bidi="ar"/>
          <w14:ligatures w14:val="standardContextual"/>
        </w:rPr>
        <w:fldChar w:fldCharType="end"/>
      </w:r>
      <w:r>
        <w:rPr>
          <w:rFonts w:hint="default" w:ascii="Arial" w:hAnsi="Arial" w:eastAsia="DengXian" w:cs="Arial"/>
          <w:kern w:val="2"/>
          <w:sz w:val="20"/>
          <w:szCs w:val="20"/>
          <w:highlight w:val="yellow"/>
          <w:lang w:val="en-US" w:eastAsia="zh-CN" w:bidi="ar"/>
          <w14:ligatures w14:val="standardContextual"/>
        </w:rPr>
        <w:t xml:space="preserve"> </w:t>
      </w:r>
    </w:p>
    <w:p w14:paraId="1B69C69F">
      <w:pPr>
        <w:ind w:left="440" w:hanging="440" w:hangingChars="220"/>
        <w:rPr>
          <w:lang w:val="en-US"/>
        </w:rPr>
      </w:pPr>
      <w:r>
        <w:rPr>
          <w:rFonts w:hint="default" w:ascii="Arial" w:hAnsi="Arial" w:eastAsia="DengXian" w:cs="Arial"/>
          <w:kern w:val="2"/>
          <w:sz w:val="20"/>
          <w:szCs w:val="20"/>
          <w:highlight w:val="yellow"/>
          <w:lang w:val="en-US" w:eastAsia="zh-CN" w:bidi="ar"/>
          <w14:ligatures w14:val="standardContextual"/>
        </w:rPr>
        <w:t>Cherewick, M., &amp; Matergia, M. (2024). Neurodiversity in practice: A conceptual model of autistic strengths and potential mechanisms of change to support positive mental health and wellbeing in autistic children and adolescents. </w:t>
      </w:r>
      <w:r>
        <w:rPr>
          <w:rFonts w:hint="default" w:ascii="Arial" w:hAnsi="Arial" w:eastAsia="DengXian" w:cs="Arial"/>
          <w:i/>
          <w:iCs/>
          <w:kern w:val="2"/>
          <w:sz w:val="20"/>
          <w:szCs w:val="20"/>
          <w:highlight w:val="yellow"/>
          <w:lang w:val="en-US" w:eastAsia="zh-CN" w:bidi="ar"/>
          <w14:ligatures w14:val="standardContextual"/>
        </w:rPr>
        <w:t>Advances in Neurodevelopmental Disorders, 8</w:t>
      </w:r>
      <w:r>
        <w:rPr>
          <w:rFonts w:hint="default" w:ascii="Arial" w:hAnsi="Arial" w:eastAsia="DengXian" w:cs="Arial"/>
          <w:kern w:val="2"/>
          <w:sz w:val="20"/>
          <w:szCs w:val="20"/>
          <w:highlight w:val="yellow"/>
          <w:lang w:val="en-US" w:eastAsia="zh-CN" w:bidi="ar"/>
          <w14:ligatures w14:val="standardContextual"/>
        </w:rPr>
        <w:t>(3), 408-422.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"https://psycnet.apa.org/doi/10.1007/s41252-023-00348-z" \t "C:\\Users\\CHIAKO~1\\AppData\\Local\\Temp\\_blank"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https://doi.org/10.1007/s41252-023-00348-z</w:t>
      </w:r>
      <w:r>
        <w:rPr>
          <w:rFonts w:hint="default" w:ascii="Arial" w:hAnsi="Arial" w:eastAsia="DengXian" w:cs="Arial"/>
          <w:kern w:val="2"/>
          <w:sz w:val="20"/>
          <w:szCs w:val="20"/>
          <w:highlight w:val="yellow"/>
          <w:lang w:val="en-US" w:eastAsia="zh-CN" w:bidi="ar"/>
          <w14:ligatures w14:val="standardContextual"/>
        </w:rPr>
        <w:fldChar w:fldCharType="end"/>
      </w:r>
    </w:p>
    <w:p w14:paraId="64E7388C">
      <w:pPr>
        <w:ind w:left="440" w:hanging="440" w:hangingChars="220"/>
        <w:rPr>
          <w:rFonts w:ascii="Arial" w:hAnsi="Arial" w:eastAsia="SimSun" w:cs="Arial"/>
          <w:sz w:val="20"/>
          <w:szCs w:val="20"/>
          <w:lang w:bidi="ar"/>
        </w:rPr>
      </w:pPr>
      <w:r>
        <w:rPr>
          <w:rFonts w:ascii="Arial" w:hAnsi="Arial" w:eastAsia="SimSun" w:cs="Arial"/>
          <w:bCs/>
          <w:sz w:val="20"/>
          <w:szCs w:val="20"/>
          <w:lang w:bidi="ar"/>
        </w:rPr>
        <w:t xml:space="preserve">Chia, K. H. (2025). Reframing self-stimulating behaviors (SSBs): Understanding the concept of autotelic autism and supporting engagement in children with profound autism. </w:t>
      </w:r>
      <w:r>
        <w:rPr>
          <w:rFonts w:ascii="Arial" w:hAnsi="Arial" w:eastAsia="SimSun" w:cs="Arial"/>
          <w:bCs/>
          <w:i/>
          <w:iCs/>
          <w:sz w:val="20"/>
          <w:szCs w:val="20"/>
          <w:lang w:bidi="ar"/>
        </w:rPr>
        <w:t>ISRG Journal of Clinical Medicine and Medical Research</w:t>
      </w:r>
      <w:r>
        <w:rPr>
          <w:rFonts w:ascii="Arial" w:hAnsi="Arial" w:eastAsia="SimSun" w:cs="Arial"/>
          <w:bCs/>
          <w:sz w:val="20"/>
          <w:szCs w:val="20"/>
          <w:lang w:bidi="ar"/>
        </w:rPr>
        <w:t xml:space="preserve">, </w:t>
      </w:r>
      <w:r>
        <w:rPr>
          <w:rFonts w:ascii="Arial" w:hAnsi="Arial" w:eastAsia="SimSun" w:cs="Arial"/>
          <w:bCs/>
          <w:i/>
          <w:iCs/>
          <w:sz w:val="20"/>
          <w:szCs w:val="20"/>
          <w:lang w:bidi="ar"/>
        </w:rPr>
        <w:t>2</w:t>
      </w:r>
      <w:r>
        <w:rPr>
          <w:rFonts w:ascii="Arial" w:hAnsi="Arial" w:eastAsia="SimSun" w:cs="Arial"/>
          <w:bCs/>
          <w:sz w:val="20"/>
          <w:szCs w:val="20"/>
          <w:lang w:bidi="ar"/>
        </w:rPr>
        <w:t xml:space="preserve">(2), 39-47. </w:t>
      </w:r>
      <w:r>
        <w:fldChar w:fldCharType="begin"/>
      </w:r>
      <w:r>
        <w:instrText xml:space="preserve"> HYPERLINK "https://doi.org/0.5281/zenodo.15259266" </w:instrText>
      </w:r>
      <w:r>
        <w:fldChar w:fldCharType="separate"/>
      </w:r>
      <w:r>
        <w:rPr>
          <w:rStyle w:val="19"/>
          <w:rFonts w:ascii="Arial" w:hAnsi="Arial" w:eastAsia="SimSun" w:cs="Arial"/>
          <w:bCs/>
          <w:sz w:val="20"/>
          <w:szCs w:val="20"/>
          <w:lang w:bidi="ar"/>
        </w:rPr>
        <w:t>https://doi.org/0.5281/zenodo.15259266</w:t>
      </w:r>
      <w:r>
        <w:rPr>
          <w:rStyle w:val="19"/>
          <w:rFonts w:ascii="Arial" w:hAnsi="Arial" w:eastAsia="SimSun" w:cs="Arial"/>
          <w:bCs/>
          <w:sz w:val="20"/>
          <w:szCs w:val="20"/>
          <w:lang w:bidi="ar"/>
        </w:rPr>
        <w:fldChar w:fldCharType="end"/>
      </w:r>
    </w:p>
    <w:p w14:paraId="39685993">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Cooper, K., Russell, A. J., Lei, J., &amp; Smith, L. G. (2023). The impact of a positive autism identity and autistic community solidarity on social anxiety and mental health in autistic young people. </w:t>
      </w:r>
      <w:r>
        <w:rPr>
          <w:rFonts w:ascii="Arial" w:hAnsi="Arial" w:eastAsia="Segoe UI" w:cs="Arial"/>
          <w:i/>
          <w:iCs/>
          <w:color w:val="212121"/>
          <w:sz w:val="20"/>
          <w:szCs w:val="20"/>
          <w:shd w:val="clear" w:color="auto" w:fill="FFFFFF"/>
        </w:rPr>
        <w:t>Autism</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27</w:t>
      </w:r>
      <w:r>
        <w:rPr>
          <w:rFonts w:ascii="Arial" w:hAnsi="Arial" w:eastAsia="Segoe UI" w:cs="Arial"/>
          <w:color w:val="212121"/>
          <w:sz w:val="20"/>
          <w:szCs w:val="20"/>
          <w:shd w:val="clear" w:color="auto" w:fill="FFFFFF"/>
        </w:rPr>
        <w:t>(3), 848</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857. </w:t>
      </w:r>
      <w:r>
        <w:fldChar w:fldCharType="begin"/>
      </w:r>
      <w:r>
        <w:instrText xml:space="preserve"> HYPERLINK "https://doi.org/10.1177/13623613221118351" </w:instrText>
      </w:r>
      <w:r>
        <w:fldChar w:fldCharType="separate"/>
      </w:r>
      <w:r>
        <w:rPr>
          <w:rStyle w:val="19"/>
          <w:rFonts w:ascii="Arial" w:hAnsi="Arial" w:eastAsia="Segoe UI" w:cs="Arial"/>
          <w:sz w:val="20"/>
          <w:szCs w:val="20"/>
          <w:shd w:val="clear" w:color="auto" w:fill="FFFFFF"/>
        </w:rPr>
        <w:t>https://doi.org/10.1177/13623613221118351</w:t>
      </w:r>
      <w:r>
        <w:rPr>
          <w:rStyle w:val="19"/>
          <w:rFonts w:ascii="Arial" w:hAnsi="Arial" w:eastAsia="Segoe UI" w:cs="Arial"/>
          <w:sz w:val="20"/>
          <w:szCs w:val="20"/>
          <w:shd w:val="clear" w:color="auto" w:fill="FFFFFF"/>
        </w:rPr>
        <w:fldChar w:fldCharType="end"/>
      </w:r>
    </w:p>
    <w:p w14:paraId="2F74D165">
      <w:pPr>
        <w:ind w:left="440" w:hanging="440" w:hangingChars="220"/>
        <w:rPr>
          <w:rFonts w:ascii="Arial" w:hAnsi="Arial" w:eastAsia="Segoe UI" w:cs="Arial"/>
          <w:color w:val="212121"/>
          <w:sz w:val="20"/>
          <w:szCs w:val="20"/>
          <w:shd w:val="clear" w:color="auto" w:fill="FFFFFF"/>
          <w:lang w:val="en-SG"/>
        </w:rPr>
      </w:pPr>
      <w:r>
        <w:rPr>
          <w:rFonts w:ascii="Arial" w:hAnsi="Arial" w:eastAsia="Segoe UI" w:cs="Arial"/>
          <w:color w:val="212121"/>
          <w:sz w:val="20"/>
          <w:szCs w:val="20"/>
          <w:shd w:val="clear" w:color="auto" w:fill="FFFFFF"/>
        </w:rPr>
        <w:t xml:space="preserve">Crespi B. (2021). Pattern </w:t>
      </w:r>
      <w:r>
        <w:rPr>
          <w:rFonts w:ascii="Arial" w:hAnsi="Arial" w:eastAsia="Segoe UI" w:cs="Arial"/>
          <w:color w:val="212121"/>
          <w:sz w:val="20"/>
          <w:szCs w:val="20"/>
          <w:shd w:val="clear" w:color="auto" w:fill="FFFFFF"/>
          <w:lang w:val="en-SG"/>
        </w:rPr>
        <w:t>u</w:t>
      </w:r>
      <w:r>
        <w:rPr>
          <w:rFonts w:ascii="Arial" w:hAnsi="Arial" w:eastAsia="Segoe UI" w:cs="Arial"/>
          <w:color w:val="212121"/>
          <w:sz w:val="20"/>
          <w:szCs w:val="20"/>
          <w:shd w:val="clear" w:color="auto" w:fill="FFFFFF"/>
        </w:rPr>
        <w:t xml:space="preserve">nifies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utism. </w:t>
      </w:r>
      <w:r>
        <w:rPr>
          <w:rFonts w:ascii="Arial" w:hAnsi="Arial" w:eastAsia="Segoe UI" w:cs="Arial"/>
          <w:i/>
          <w:iCs/>
          <w:color w:val="212121"/>
          <w:sz w:val="20"/>
          <w:szCs w:val="20"/>
          <w:shd w:val="clear" w:color="auto" w:fill="FFFFFF"/>
        </w:rPr>
        <w:t xml:space="preserve">Frontiers in </w:t>
      </w:r>
      <w:r>
        <w:rPr>
          <w:rFonts w:ascii="Arial" w:hAnsi="Arial" w:eastAsia="Segoe UI" w:cs="Arial"/>
          <w:i/>
          <w:iCs/>
          <w:color w:val="212121"/>
          <w:sz w:val="20"/>
          <w:szCs w:val="20"/>
          <w:shd w:val="clear" w:color="auto" w:fill="FFFFFF"/>
          <w:lang w:val="en-SG"/>
        </w:rPr>
        <w:t>P</w:t>
      </w:r>
      <w:r>
        <w:rPr>
          <w:rFonts w:ascii="Arial" w:hAnsi="Arial" w:eastAsia="Segoe UI" w:cs="Arial"/>
          <w:i/>
          <w:iCs/>
          <w:color w:val="212121"/>
          <w:sz w:val="20"/>
          <w:szCs w:val="20"/>
          <w:shd w:val="clear" w:color="auto" w:fill="FFFFFF"/>
        </w:rPr>
        <w:t>sychiatry</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12</w:t>
      </w:r>
      <w:r>
        <w:rPr>
          <w:rFonts w:ascii="Arial" w:hAnsi="Arial" w:eastAsia="Segoe UI" w:cs="Arial"/>
          <w:color w:val="212121"/>
          <w:sz w:val="20"/>
          <w:szCs w:val="20"/>
          <w:shd w:val="clear" w:color="auto" w:fill="FFFFFF"/>
          <w:lang w:val="en-SG"/>
        </w:rPr>
        <w:t>. Article ID:</w:t>
      </w:r>
      <w:r>
        <w:rPr>
          <w:rFonts w:ascii="Arial" w:hAnsi="Arial" w:eastAsia="Segoe UI" w:cs="Arial"/>
          <w:color w:val="212121"/>
          <w:sz w:val="20"/>
          <w:szCs w:val="20"/>
          <w:shd w:val="clear" w:color="auto" w:fill="FFFFFF"/>
        </w:rPr>
        <w:t xml:space="preserve"> 621659. </w:t>
      </w:r>
      <w:r>
        <w:fldChar w:fldCharType="begin"/>
      </w:r>
      <w:r>
        <w:instrText xml:space="preserve"> HYPERLINK "https://doi.org/10.3389/fpsyt.2021.621659" </w:instrText>
      </w:r>
      <w:r>
        <w:fldChar w:fldCharType="separate"/>
      </w:r>
      <w:r>
        <w:rPr>
          <w:rStyle w:val="19"/>
          <w:rFonts w:ascii="Arial" w:hAnsi="Arial" w:eastAsia="Segoe UI" w:cs="Arial"/>
          <w:sz w:val="20"/>
          <w:szCs w:val="20"/>
          <w:shd w:val="clear" w:color="auto" w:fill="FFFFFF"/>
        </w:rPr>
        <w:t>https://doi.org/10.3389/fpsyt.2021.621659</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p w14:paraId="4439C585">
      <w:pPr>
        <w:ind w:left="440" w:hanging="440" w:hangingChars="220"/>
        <w:rPr>
          <w:rFonts w:ascii="Arial" w:hAnsi="Arial" w:eastAsia="DengXian" w:cs="Arial"/>
          <w:sz w:val="20"/>
          <w:szCs w:val="20"/>
          <w:lang w:bidi="ar"/>
        </w:rPr>
      </w:pPr>
      <w:r>
        <w:rPr>
          <w:rFonts w:ascii="Arial" w:hAnsi="Arial" w:eastAsia="DengXian" w:cs="Arial"/>
          <w:sz w:val="20"/>
          <w:szCs w:val="20"/>
          <w:lang w:bidi="ar"/>
        </w:rPr>
        <w:t xml:space="preserve">Drmic, I. E., Szatmari, P., &amp; Volkmar, F. (2017). Life </w:t>
      </w:r>
      <w:r>
        <w:rPr>
          <w:rFonts w:ascii="Arial" w:hAnsi="Arial" w:eastAsia="DengXian" w:cs="Arial"/>
          <w:sz w:val="20"/>
          <w:szCs w:val="20"/>
          <w:lang w:val="en-SG" w:bidi="ar"/>
        </w:rPr>
        <w:t>c</w:t>
      </w:r>
      <w:r>
        <w:rPr>
          <w:rFonts w:ascii="Arial" w:hAnsi="Arial" w:eastAsia="DengXian" w:cs="Arial"/>
          <w:sz w:val="20"/>
          <w:szCs w:val="20"/>
          <w:lang w:bidi="ar"/>
        </w:rPr>
        <w:t xml:space="preserve">ourse </w:t>
      </w:r>
      <w:r>
        <w:rPr>
          <w:rFonts w:ascii="Arial" w:hAnsi="Arial" w:eastAsia="DengXian" w:cs="Arial"/>
          <w:sz w:val="20"/>
          <w:szCs w:val="20"/>
          <w:lang w:val="en-SG" w:bidi="ar"/>
        </w:rPr>
        <w:t>h</w:t>
      </w:r>
      <w:r>
        <w:rPr>
          <w:rFonts w:ascii="Arial" w:hAnsi="Arial" w:eastAsia="DengXian" w:cs="Arial"/>
          <w:sz w:val="20"/>
          <w:szCs w:val="20"/>
          <w:lang w:bidi="ar"/>
        </w:rPr>
        <w:t xml:space="preserve">ealth </w:t>
      </w:r>
      <w:r>
        <w:rPr>
          <w:rFonts w:ascii="Arial" w:hAnsi="Arial" w:eastAsia="DengXian" w:cs="Arial"/>
          <w:sz w:val="20"/>
          <w:szCs w:val="20"/>
          <w:lang w:val="en-SG" w:bidi="ar"/>
        </w:rPr>
        <w:t>d</w:t>
      </w:r>
      <w:r>
        <w:rPr>
          <w:rFonts w:ascii="Arial" w:hAnsi="Arial" w:eastAsia="DengXian" w:cs="Arial"/>
          <w:sz w:val="20"/>
          <w:szCs w:val="20"/>
          <w:lang w:bidi="ar"/>
        </w:rPr>
        <w:t xml:space="preserve">evelopment in </w:t>
      </w:r>
      <w:r>
        <w:rPr>
          <w:rFonts w:ascii="Arial" w:hAnsi="Arial" w:eastAsia="DengXian" w:cs="Arial"/>
          <w:sz w:val="20"/>
          <w:szCs w:val="20"/>
          <w:lang w:val="en-SG" w:bidi="ar"/>
        </w:rPr>
        <w:t>a</w:t>
      </w:r>
      <w:r>
        <w:rPr>
          <w:rFonts w:ascii="Arial" w:hAnsi="Arial" w:eastAsia="DengXian" w:cs="Arial"/>
          <w:sz w:val="20"/>
          <w:szCs w:val="20"/>
          <w:lang w:bidi="ar"/>
        </w:rPr>
        <w:t xml:space="preserve">utism </w:t>
      </w:r>
      <w:r>
        <w:rPr>
          <w:rFonts w:ascii="Arial" w:hAnsi="Arial" w:eastAsia="DengXian" w:cs="Arial"/>
          <w:sz w:val="20"/>
          <w:szCs w:val="20"/>
          <w:lang w:val="en-SG" w:bidi="ar"/>
        </w:rPr>
        <w:t>s</w:t>
      </w:r>
      <w:r>
        <w:rPr>
          <w:rFonts w:ascii="Arial" w:hAnsi="Arial" w:eastAsia="DengXian" w:cs="Arial"/>
          <w:sz w:val="20"/>
          <w:szCs w:val="20"/>
          <w:lang w:bidi="ar"/>
        </w:rPr>
        <w:t xml:space="preserve">pectrum </w:t>
      </w:r>
      <w:r>
        <w:rPr>
          <w:rFonts w:ascii="Arial" w:hAnsi="Arial" w:eastAsia="DengXian" w:cs="Arial"/>
          <w:sz w:val="20"/>
          <w:szCs w:val="20"/>
          <w:lang w:val="en-SG" w:bidi="ar"/>
        </w:rPr>
        <w:t>d</w:t>
      </w:r>
      <w:r>
        <w:rPr>
          <w:rFonts w:ascii="Arial" w:hAnsi="Arial" w:eastAsia="DengXian" w:cs="Arial"/>
          <w:sz w:val="20"/>
          <w:szCs w:val="20"/>
          <w:lang w:bidi="ar"/>
        </w:rPr>
        <w:t>isorders. In N. Halfon, P. Szatmari, &amp; F. Volkmar (Eds.), </w:t>
      </w:r>
      <w:r>
        <w:rPr>
          <w:rFonts w:ascii="Arial" w:hAnsi="Arial" w:eastAsia="DengXian" w:cs="Arial"/>
          <w:i/>
          <w:iCs/>
          <w:sz w:val="20"/>
          <w:szCs w:val="20"/>
          <w:lang w:bidi="ar"/>
        </w:rPr>
        <w:t>Handbook of life course health development</w:t>
      </w:r>
      <w:r>
        <w:rPr>
          <w:rFonts w:ascii="Arial" w:hAnsi="Arial" w:eastAsia="DengXian" w:cs="Arial"/>
          <w:sz w:val="20"/>
          <w:szCs w:val="20"/>
          <w:lang w:bidi="ar"/>
        </w:rPr>
        <w:t xml:space="preserve"> (pp. 237-274). Cham, Switzerland: Springer. </w:t>
      </w:r>
      <w:r>
        <w:fldChar w:fldCharType="begin"/>
      </w:r>
      <w:r>
        <w:instrText xml:space="preserve"> HYPERLINK "https://doi.org/10.1007/978-3-319-47143-3_11" </w:instrText>
      </w:r>
      <w:r>
        <w:fldChar w:fldCharType="separate"/>
      </w:r>
      <w:r>
        <w:rPr>
          <w:rStyle w:val="19"/>
          <w:rFonts w:ascii="Arial" w:hAnsi="Arial" w:eastAsia="DengXian" w:cs="Arial"/>
          <w:sz w:val="20"/>
          <w:szCs w:val="20"/>
          <w:lang w:bidi="ar"/>
        </w:rPr>
        <w:t>https://doi.org/10.1007/978-3-319-47143-3_11</w:t>
      </w:r>
      <w:r>
        <w:rPr>
          <w:rStyle w:val="19"/>
          <w:rFonts w:ascii="Arial" w:hAnsi="Arial" w:eastAsia="DengXian" w:cs="Arial"/>
          <w:sz w:val="20"/>
          <w:szCs w:val="20"/>
          <w:lang w:bidi="ar"/>
        </w:rPr>
        <w:fldChar w:fldCharType="end"/>
      </w:r>
    </w:p>
    <w:p w14:paraId="4FED5E80">
      <w:pPr>
        <w:ind w:left="440" w:hanging="440" w:hangingChars="220"/>
        <w:rPr>
          <w:rFonts w:ascii="Arial" w:hAnsi="Arial" w:eastAsia="Arial" w:cs="Arial"/>
          <w:color w:val="2E414F"/>
          <w:sz w:val="20"/>
          <w:szCs w:val="20"/>
          <w:shd w:val="clear" w:color="auto" w:fill="FFFFFF"/>
          <w:lang w:val="en-SG"/>
        </w:rPr>
      </w:pPr>
      <w:r>
        <w:rPr>
          <w:rFonts w:ascii="Arial" w:hAnsi="Arial" w:eastAsia="Arial" w:cs="Arial"/>
          <w:color w:val="2E414F"/>
          <w:sz w:val="20"/>
          <w:szCs w:val="20"/>
          <w:shd w:val="clear" w:color="auto" w:fill="FFFFFF"/>
        </w:rPr>
        <w:t xml:space="preserve">Dudley, C., &amp; Emery, J.C. (2014). The </w:t>
      </w:r>
      <w:r>
        <w:rPr>
          <w:rFonts w:ascii="Arial" w:hAnsi="Arial" w:eastAsia="Arial" w:cs="Arial"/>
          <w:color w:val="2E414F"/>
          <w:sz w:val="20"/>
          <w:szCs w:val="20"/>
          <w:shd w:val="clear" w:color="auto" w:fill="FFFFFF"/>
          <w:lang w:val="en-SG"/>
        </w:rPr>
        <w:t>v</w:t>
      </w:r>
      <w:r>
        <w:rPr>
          <w:rFonts w:ascii="Arial" w:hAnsi="Arial" w:eastAsia="Arial" w:cs="Arial"/>
          <w:color w:val="2E414F"/>
          <w:sz w:val="20"/>
          <w:szCs w:val="20"/>
          <w:shd w:val="clear" w:color="auto" w:fill="FFFFFF"/>
        </w:rPr>
        <w:t xml:space="preserve">alue of </w:t>
      </w:r>
      <w:r>
        <w:rPr>
          <w:rFonts w:ascii="Arial" w:hAnsi="Arial" w:eastAsia="Arial" w:cs="Arial"/>
          <w:color w:val="2E414F"/>
          <w:sz w:val="20"/>
          <w:szCs w:val="20"/>
          <w:shd w:val="clear" w:color="auto" w:fill="FFFFFF"/>
          <w:lang w:val="en-SG"/>
        </w:rPr>
        <w:t>c</w:t>
      </w:r>
      <w:r>
        <w:rPr>
          <w:rFonts w:ascii="Arial" w:hAnsi="Arial" w:eastAsia="Arial" w:cs="Arial"/>
          <w:color w:val="2E414F"/>
          <w:sz w:val="20"/>
          <w:szCs w:val="20"/>
          <w:shd w:val="clear" w:color="auto" w:fill="FFFFFF"/>
        </w:rPr>
        <w:t xml:space="preserve">aregiver </w:t>
      </w:r>
      <w:r>
        <w:rPr>
          <w:rFonts w:ascii="Arial" w:hAnsi="Arial" w:eastAsia="Arial" w:cs="Arial"/>
          <w:color w:val="2E414F"/>
          <w:sz w:val="20"/>
          <w:szCs w:val="20"/>
          <w:shd w:val="clear" w:color="auto" w:fill="FFFFFF"/>
          <w:lang w:val="en-SG"/>
        </w:rPr>
        <w:t>t</w:t>
      </w:r>
      <w:r>
        <w:rPr>
          <w:rFonts w:ascii="Arial" w:hAnsi="Arial" w:eastAsia="Arial" w:cs="Arial"/>
          <w:color w:val="2E414F"/>
          <w:sz w:val="20"/>
          <w:szCs w:val="20"/>
          <w:shd w:val="clear" w:color="auto" w:fill="FFFFFF"/>
        </w:rPr>
        <w:t xml:space="preserve">ime: Costs of </w:t>
      </w:r>
      <w:r>
        <w:rPr>
          <w:rFonts w:ascii="Arial" w:hAnsi="Arial" w:eastAsia="Arial" w:cs="Arial"/>
          <w:color w:val="2E414F"/>
          <w:sz w:val="20"/>
          <w:szCs w:val="20"/>
          <w:shd w:val="clear" w:color="auto" w:fill="FFFFFF"/>
          <w:lang w:val="en-SG"/>
        </w:rPr>
        <w:t>s</w:t>
      </w:r>
      <w:r>
        <w:rPr>
          <w:rFonts w:ascii="Arial" w:hAnsi="Arial" w:eastAsia="Arial" w:cs="Arial"/>
          <w:color w:val="2E414F"/>
          <w:sz w:val="20"/>
          <w:szCs w:val="20"/>
          <w:shd w:val="clear" w:color="auto" w:fill="FFFFFF"/>
        </w:rPr>
        <w:t xml:space="preserve">upport and </w:t>
      </w:r>
      <w:r>
        <w:rPr>
          <w:rFonts w:ascii="Arial" w:hAnsi="Arial" w:eastAsia="Arial" w:cs="Arial"/>
          <w:color w:val="2E414F"/>
          <w:sz w:val="20"/>
          <w:szCs w:val="20"/>
          <w:shd w:val="clear" w:color="auto" w:fill="FFFFFF"/>
          <w:lang w:val="en-SG"/>
        </w:rPr>
        <w:t>c</w:t>
      </w:r>
      <w:r>
        <w:rPr>
          <w:rFonts w:ascii="Arial" w:hAnsi="Arial" w:eastAsia="Arial" w:cs="Arial"/>
          <w:color w:val="2E414F"/>
          <w:sz w:val="20"/>
          <w:szCs w:val="20"/>
          <w:shd w:val="clear" w:color="auto" w:fill="FFFFFF"/>
        </w:rPr>
        <w:t xml:space="preserve">are for </w:t>
      </w:r>
      <w:r>
        <w:rPr>
          <w:rFonts w:ascii="Arial" w:hAnsi="Arial" w:eastAsia="Arial" w:cs="Arial"/>
          <w:color w:val="2E414F"/>
          <w:sz w:val="20"/>
          <w:szCs w:val="20"/>
          <w:shd w:val="clear" w:color="auto" w:fill="FFFFFF"/>
          <w:lang w:val="en-SG"/>
        </w:rPr>
        <w:t>i</w:t>
      </w:r>
      <w:r>
        <w:rPr>
          <w:rFonts w:ascii="Arial" w:hAnsi="Arial" w:eastAsia="Arial" w:cs="Arial"/>
          <w:color w:val="2E414F"/>
          <w:sz w:val="20"/>
          <w:szCs w:val="20"/>
          <w:shd w:val="clear" w:color="auto" w:fill="FFFFFF"/>
        </w:rPr>
        <w:t xml:space="preserve">ndividuals </w:t>
      </w:r>
      <w:r>
        <w:rPr>
          <w:rFonts w:ascii="Arial" w:hAnsi="Arial" w:eastAsia="Arial" w:cs="Arial"/>
          <w:color w:val="2E414F"/>
          <w:sz w:val="20"/>
          <w:szCs w:val="20"/>
          <w:shd w:val="clear" w:color="auto" w:fill="FFFFFF"/>
          <w:lang w:val="en-SG"/>
        </w:rPr>
        <w:t>l</w:t>
      </w:r>
      <w:r>
        <w:rPr>
          <w:rFonts w:ascii="Arial" w:hAnsi="Arial" w:eastAsia="Arial" w:cs="Arial"/>
          <w:color w:val="2E414F"/>
          <w:sz w:val="20"/>
          <w:szCs w:val="20"/>
          <w:shd w:val="clear" w:color="auto" w:fill="FFFFFF"/>
        </w:rPr>
        <w:t xml:space="preserve">iving with </w:t>
      </w:r>
      <w:r>
        <w:rPr>
          <w:rFonts w:ascii="Arial" w:hAnsi="Arial" w:eastAsia="Arial" w:cs="Arial"/>
          <w:color w:val="2E414F"/>
          <w:sz w:val="20"/>
          <w:szCs w:val="20"/>
          <w:shd w:val="clear" w:color="auto" w:fill="FFFFFF"/>
          <w:lang w:val="en-SG"/>
        </w:rPr>
        <w:t>a</w:t>
      </w:r>
      <w:r>
        <w:rPr>
          <w:rFonts w:ascii="Arial" w:hAnsi="Arial" w:eastAsia="Arial" w:cs="Arial"/>
          <w:color w:val="2E414F"/>
          <w:sz w:val="20"/>
          <w:szCs w:val="20"/>
          <w:shd w:val="clear" w:color="auto" w:fill="FFFFFF"/>
        </w:rPr>
        <w:t xml:space="preserve">utism </w:t>
      </w:r>
      <w:r>
        <w:rPr>
          <w:rFonts w:ascii="Arial" w:hAnsi="Arial" w:eastAsia="Arial" w:cs="Arial"/>
          <w:color w:val="2E414F"/>
          <w:sz w:val="20"/>
          <w:szCs w:val="20"/>
          <w:shd w:val="clear" w:color="auto" w:fill="FFFFFF"/>
          <w:lang w:val="en-SG"/>
        </w:rPr>
        <w:t>s</w:t>
      </w:r>
      <w:r>
        <w:rPr>
          <w:rFonts w:ascii="Arial" w:hAnsi="Arial" w:eastAsia="Arial" w:cs="Arial"/>
          <w:color w:val="2E414F"/>
          <w:sz w:val="20"/>
          <w:szCs w:val="20"/>
          <w:shd w:val="clear" w:color="auto" w:fill="FFFFFF"/>
        </w:rPr>
        <w:t xml:space="preserve">pectrum </w:t>
      </w:r>
      <w:r>
        <w:rPr>
          <w:rFonts w:ascii="Arial" w:hAnsi="Arial" w:eastAsia="Arial" w:cs="Arial"/>
          <w:color w:val="2E414F"/>
          <w:sz w:val="20"/>
          <w:szCs w:val="20"/>
          <w:shd w:val="clear" w:color="auto" w:fill="FFFFFF"/>
          <w:lang w:val="en-SG"/>
        </w:rPr>
        <w:t>d</w:t>
      </w:r>
      <w:r>
        <w:rPr>
          <w:rFonts w:ascii="Arial" w:hAnsi="Arial" w:eastAsia="Arial" w:cs="Arial"/>
          <w:color w:val="2E414F"/>
          <w:sz w:val="20"/>
          <w:szCs w:val="20"/>
          <w:shd w:val="clear" w:color="auto" w:fill="FFFFFF"/>
        </w:rPr>
        <w:t>isorder. </w:t>
      </w:r>
      <w:r>
        <w:rPr>
          <w:rFonts w:ascii="Arial" w:hAnsi="Arial" w:eastAsia="Arial" w:cs="Arial"/>
          <w:i/>
          <w:iCs/>
          <w:color w:val="2E414F"/>
          <w:sz w:val="20"/>
          <w:szCs w:val="20"/>
          <w:shd w:val="clear" w:color="auto" w:fill="FFFFFF"/>
          <w:lang w:val="en-SG"/>
        </w:rPr>
        <w:t>School of Public Policy Research Papers, 7</w:t>
      </w:r>
      <w:r>
        <w:rPr>
          <w:rFonts w:ascii="Arial" w:hAnsi="Arial" w:eastAsia="Arial" w:cs="Arial"/>
          <w:color w:val="2E414F"/>
          <w:sz w:val="20"/>
          <w:szCs w:val="20"/>
          <w:shd w:val="clear" w:color="auto" w:fill="FFFFFF"/>
          <w:lang w:val="en-SG"/>
        </w:rPr>
        <w:t xml:space="preserve">(1). </w:t>
      </w:r>
      <w:r>
        <w:fldChar w:fldCharType="begin"/>
      </w:r>
      <w:r>
        <w:instrText xml:space="preserve"> HYPERLINK "https://doi.org/10.11575/SPPP.V710.42454" </w:instrText>
      </w:r>
      <w:r>
        <w:fldChar w:fldCharType="separate"/>
      </w:r>
      <w:r>
        <w:rPr>
          <w:rStyle w:val="19"/>
          <w:rFonts w:ascii="Arial" w:hAnsi="Arial" w:eastAsia="Arial" w:cs="Arial"/>
          <w:sz w:val="20"/>
          <w:szCs w:val="20"/>
          <w:shd w:val="clear" w:color="auto" w:fill="FFFFFF"/>
          <w:lang w:val="en-SG"/>
        </w:rPr>
        <w:t>https://doi.org/10.11575/SPPP.V710.42454</w:t>
      </w:r>
      <w:r>
        <w:rPr>
          <w:rStyle w:val="19"/>
          <w:rFonts w:ascii="Arial" w:hAnsi="Arial" w:eastAsia="Arial" w:cs="Arial"/>
          <w:sz w:val="20"/>
          <w:szCs w:val="20"/>
          <w:shd w:val="clear" w:color="auto" w:fill="FFFFFF"/>
          <w:lang w:val="en-SG"/>
        </w:rPr>
        <w:fldChar w:fldCharType="end"/>
      </w:r>
      <w:r>
        <w:rPr>
          <w:rFonts w:ascii="Arial" w:hAnsi="Arial" w:eastAsia="Arial" w:cs="Arial"/>
          <w:color w:val="2E414F"/>
          <w:sz w:val="20"/>
          <w:szCs w:val="20"/>
          <w:shd w:val="clear" w:color="auto" w:fill="FFFFFF"/>
          <w:lang w:val="en-SG"/>
        </w:rPr>
        <w:t xml:space="preserve">  </w:t>
      </w:r>
    </w:p>
    <w:p w14:paraId="49ECACF4">
      <w:pPr>
        <w:ind w:left="440" w:hanging="440" w:hangingChars="220"/>
        <w:rPr>
          <w:rFonts w:ascii="Arial" w:hAnsi="Arial" w:eastAsia="SimSun" w:cs="Arial"/>
          <w:kern w:val="0"/>
          <w:sz w:val="20"/>
          <w:szCs w:val="20"/>
          <w:lang w:bidi="ar"/>
        </w:rPr>
      </w:pPr>
      <w:r>
        <w:rPr>
          <w:rFonts w:ascii="Arial" w:hAnsi="Arial" w:eastAsia="SimSun" w:cs="Arial"/>
          <w:kern w:val="0"/>
          <w:sz w:val="20"/>
          <w:szCs w:val="20"/>
          <w:lang w:bidi="ar"/>
        </w:rPr>
        <w:t>Dynia, J. M., Walton, K. M., Sagester, G. M., Schmidt, E. K., &amp; Tanner, K. J. (202</w:t>
      </w:r>
      <w:r>
        <w:rPr>
          <w:rFonts w:ascii="Arial" w:hAnsi="Arial" w:eastAsia="SimSun" w:cs="Arial"/>
          <w:kern w:val="0"/>
          <w:sz w:val="20"/>
          <w:szCs w:val="20"/>
          <w:lang w:val="en-SG" w:bidi="ar"/>
        </w:rPr>
        <w:t>3</w:t>
      </w:r>
      <w:r>
        <w:rPr>
          <w:rFonts w:ascii="Arial" w:hAnsi="Arial" w:eastAsia="SimSun" w:cs="Arial"/>
          <w:kern w:val="0"/>
          <w:sz w:val="20"/>
          <w:szCs w:val="20"/>
          <w:lang w:bidi="ar"/>
        </w:rPr>
        <w:t xml:space="preserve">). Addressing Sensory Needs for Children With Autism Spectrum Disorder in the Classroom. </w:t>
      </w:r>
      <w:r>
        <w:rPr>
          <w:rFonts w:ascii="Arial" w:hAnsi="Arial" w:eastAsia="SimSun" w:cs="Arial"/>
          <w:i/>
          <w:iCs/>
          <w:kern w:val="0"/>
          <w:sz w:val="20"/>
          <w:szCs w:val="20"/>
          <w:lang w:bidi="ar"/>
        </w:rPr>
        <w:t>Intervention in School and Clinic</w:t>
      </w:r>
      <w:r>
        <w:rPr>
          <w:rFonts w:ascii="Arial" w:hAnsi="Arial" w:eastAsia="SimSun" w:cs="Arial"/>
          <w:kern w:val="0"/>
          <w:sz w:val="20"/>
          <w:szCs w:val="20"/>
          <w:lang w:bidi="ar"/>
        </w:rPr>
        <w:t xml:space="preserve">, </w:t>
      </w:r>
      <w:r>
        <w:rPr>
          <w:rFonts w:ascii="Arial" w:hAnsi="Arial" w:eastAsia="SimSun" w:cs="Arial"/>
          <w:i/>
          <w:iCs/>
          <w:kern w:val="0"/>
          <w:sz w:val="20"/>
          <w:szCs w:val="20"/>
          <w:lang w:bidi="ar"/>
        </w:rPr>
        <w:t>58</w:t>
      </w:r>
      <w:r>
        <w:rPr>
          <w:rFonts w:ascii="Arial" w:hAnsi="Arial" w:eastAsia="SimSun" w:cs="Arial"/>
          <w:kern w:val="0"/>
          <w:sz w:val="20"/>
          <w:szCs w:val="20"/>
          <w:lang w:bidi="ar"/>
        </w:rPr>
        <w:t xml:space="preserve">(4), 257-263. </w:t>
      </w:r>
      <w:r>
        <w:fldChar w:fldCharType="begin"/>
      </w:r>
      <w:r>
        <w:instrText xml:space="preserve"> HYPERLINK "https://doi.org/10.1177/10534512221093786" </w:instrText>
      </w:r>
      <w:r>
        <w:fldChar w:fldCharType="separate"/>
      </w:r>
      <w:r>
        <w:rPr>
          <w:rStyle w:val="19"/>
          <w:rFonts w:ascii="Arial" w:hAnsi="Arial" w:eastAsia="SimSun" w:cs="Arial"/>
          <w:sz w:val="20"/>
          <w:szCs w:val="20"/>
        </w:rPr>
        <w:t>https://doi.org/10.1177/10534512221093786</w:t>
      </w:r>
      <w:r>
        <w:rPr>
          <w:rStyle w:val="19"/>
          <w:rFonts w:ascii="Arial" w:hAnsi="Arial" w:eastAsia="SimSun" w:cs="Arial"/>
          <w:sz w:val="20"/>
          <w:szCs w:val="20"/>
        </w:rPr>
        <w:fldChar w:fldCharType="end"/>
      </w:r>
    </w:p>
    <w:p w14:paraId="234D8A0B">
      <w:pPr>
        <w:ind w:left="440" w:hanging="440" w:hangingChars="220"/>
        <w:rPr>
          <w:rFonts w:ascii="Arial" w:hAnsi="Arial" w:cs="Arial"/>
          <w:sz w:val="20"/>
          <w:szCs w:val="20"/>
        </w:rPr>
      </w:pPr>
      <w:r>
        <w:rPr>
          <w:rFonts w:ascii="Arial" w:hAnsi="Arial" w:cs="Arial"/>
          <w:sz w:val="20"/>
          <w:szCs w:val="20"/>
        </w:rPr>
        <w:t xml:space="preserve">Ennis-Cole, D. (2019). The Triad of Impairment in ASD. In D. Ennis-Cole (Ed.), </w:t>
      </w:r>
      <w:r>
        <w:rPr>
          <w:rFonts w:ascii="Arial" w:hAnsi="Arial" w:cs="Arial"/>
          <w:i/>
          <w:iCs/>
          <w:sz w:val="20"/>
          <w:szCs w:val="20"/>
        </w:rPr>
        <w:t xml:space="preserve">Seeing autism through parents’ feedback, sketchnotes, technology, and evidence-based practices </w:t>
      </w:r>
      <w:r>
        <w:rPr>
          <w:rFonts w:ascii="Arial" w:hAnsi="Arial" w:cs="Arial"/>
          <w:sz w:val="20"/>
          <w:szCs w:val="20"/>
        </w:rPr>
        <w:t xml:space="preserve">(pp. 13-23) [Book Series: Educational Communications and Technology: Issues and Innovations]. Cham, Switzerland: Springer Nature. </w:t>
      </w:r>
      <w:r>
        <w:fldChar w:fldCharType="begin"/>
      </w:r>
      <w:r>
        <w:instrText xml:space="preserve"> HYPERLINK "https://doi.org/10.1007/978-3-030-15374-8_2" </w:instrText>
      </w:r>
      <w:r>
        <w:fldChar w:fldCharType="separate"/>
      </w:r>
      <w:r>
        <w:rPr>
          <w:rStyle w:val="19"/>
          <w:rFonts w:ascii="Arial" w:hAnsi="Arial" w:cs="Arial"/>
          <w:sz w:val="20"/>
          <w:szCs w:val="20"/>
        </w:rPr>
        <w:t>https://doi.org/10.1007/978-3-030-15374-8_2</w:t>
      </w:r>
      <w:r>
        <w:rPr>
          <w:rStyle w:val="19"/>
          <w:rFonts w:ascii="Arial" w:hAnsi="Arial" w:cs="Arial"/>
          <w:sz w:val="20"/>
          <w:szCs w:val="20"/>
        </w:rPr>
        <w:fldChar w:fldCharType="end"/>
      </w:r>
      <w:r>
        <w:rPr>
          <w:rFonts w:ascii="Arial" w:hAnsi="Arial" w:cs="Arial"/>
          <w:sz w:val="20"/>
          <w:szCs w:val="20"/>
        </w:rPr>
        <w:t xml:space="preserve"> </w:t>
      </w:r>
    </w:p>
    <w:p w14:paraId="206B7EAA">
      <w:pPr>
        <w:ind w:left="440" w:hanging="440" w:hangingChars="220"/>
        <w:rPr>
          <w:rFonts w:ascii="Arial" w:hAnsi="Arial" w:eastAsia="Consolas" w:cs="Arial"/>
          <w:color w:val="1B1B1B"/>
          <w:sz w:val="20"/>
          <w:szCs w:val="20"/>
          <w:shd w:val="clear" w:color="auto" w:fill="FFFFFF"/>
        </w:rPr>
      </w:pPr>
      <w:r>
        <w:rPr>
          <w:rFonts w:ascii="Arial" w:hAnsi="Arial" w:eastAsia="Consolas" w:cs="Arial"/>
          <w:color w:val="1B1B1B"/>
          <w:sz w:val="20"/>
          <w:szCs w:val="20"/>
          <w:shd w:val="clear" w:color="auto" w:fill="FFFFFF"/>
        </w:rPr>
        <w:t>Evans B. (2013). How autism became autism: The radical transformation of a central concept of child development in Britain. </w:t>
      </w:r>
      <w:r>
        <w:rPr>
          <w:rFonts w:ascii="Arial" w:hAnsi="Arial" w:eastAsia="Consolas" w:cs="Arial"/>
          <w:i/>
          <w:iCs/>
          <w:color w:val="1B1B1B"/>
          <w:sz w:val="20"/>
          <w:szCs w:val="20"/>
          <w:shd w:val="clear" w:color="auto" w:fill="FFFFFF"/>
        </w:rPr>
        <w:t xml:space="preserve">History of the </w:t>
      </w:r>
      <w:r>
        <w:rPr>
          <w:rFonts w:ascii="Arial" w:hAnsi="Arial" w:eastAsia="Consolas" w:cs="Arial"/>
          <w:i/>
          <w:iCs/>
          <w:color w:val="1B1B1B"/>
          <w:sz w:val="20"/>
          <w:szCs w:val="20"/>
          <w:shd w:val="clear" w:color="auto" w:fill="FFFFFF"/>
          <w:lang w:val="en-SG"/>
        </w:rPr>
        <w:t>H</w:t>
      </w:r>
      <w:r>
        <w:rPr>
          <w:rFonts w:ascii="Arial" w:hAnsi="Arial" w:eastAsia="Consolas" w:cs="Arial"/>
          <w:i/>
          <w:iCs/>
          <w:color w:val="1B1B1B"/>
          <w:sz w:val="20"/>
          <w:szCs w:val="20"/>
          <w:shd w:val="clear" w:color="auto" w:fill="FFFFFF"/>
        </w:rPr>
        <w:t xml:space="preserve">uman </w:t>
      </w:r>
      <w:r>
        <w:rPr>
          <w:rFonts w:ascii="Arial" w:hAnsi="Arial" w:eastAsia="Consolas" w:cs="Arial"/>
          <w:i/>
          <w:iCs/>
          <w:color w:val="1B1B1B"/>
          <w:sz w:val="20"/>
          <w:szCs w:val="20"/>
          <w:shd w:val="clear" w:color="auto" w:fill="FFFFFF"/>
          <w:lang w:val="en-SG"/>
        </w:rPr>
        <w:t>S</w:t>
      </w:r>
      <w:r>
        <w:rPr>
          <w:rFonts w:ascii="Arial" w:hAnsi="Arial" w:eastAsia="Consolas" w:cs="Arial"/>
          <w:i/>
          <w:iCs/>
          <w:color w:val="1B1B1B"/>
          <w:sz w:val="20"/>
          <w:szCs w:val="20"/>
          <w:shd w:val="clear" w:color="auto" w:fill="FFFFFF"/>
        </w:rPr>
        <w:t>ciences</w:t>
      </w:r>
      <w:r>
        <w:rPr>
          <w:rFonts w:ascii="Arial" w:hAnsi="Arial" w:eastAsia="Consolas" w:cs="Arial"/>
          <w:color w:val="1B1B1B"/>
          <w:sz w:val="20"/>
          <w:szCs w:val="20"/>
          <w:shd w:val="clear" w:color="auto" w:fill="FFFFFF"/>
        </w:rPr>
        <w:t>, </w:t>
      </w:r>
      <w:r>
        <w:rPr>
          <w:rFonts w:ascii="Arial" w:hAnsi="Arial" w:eastAsia="Consolas" w:cs="Arial"/>
          <w:i/>
          <w:iCs/>
          <w:color w:val="1B1B1B"/>
          <w:sz w:val="20"/>
          <w:szCs w:val="20"/>
          <w:shd w:val="clear" w:color="auto" w:fill="FFFFFF"/>
        </w:rPr>
        <w:t>26</w:t>
      </w:r>
      <w:r>
        <w:rPr>
          <w:rFonts w:ascii="Arial" w:hAnsi="Arial" w:eastAsia="Consolas" w:cs="Arial"/>
          <w:color w:val="1B1B1B"/>
          <w:sz w:val="20"/>
          <w:szCs w:val="20"/>
          <w:shd w:val="clear" w:color="auto" w:fill="FFFFFF"/>
        </w:rPr>
        <w:t>(3), 3</w:t>
      </w:r>
      <w:r>
        <w:rPr>
          <w:rFonts w:ascii="Arial" w:hAnsi="Arial" w:eastAsia="Consolas" w:cs="Arial"/>
          <w:color w:val="1B1B1B"/>
          <w:sz w:val="20"/>
          <w:szCs w:val="20"/>
          <w:shd w:val="clear" w:color="auto" w:fill="FFFFFF"/>
          <w:lang w:val="en-SG"/>
        </w:rPr>
        <w:t>-</w:t>
      </w:r>
      <w:r>
        <w:rPr>
          <w:rFonts w:ascii="Arial" w:hAnsi="Arial" w:eastAsia="Consolas" w:cs="Arial"/>
          <w:color w:val="1B1B1B"/>
          <w:sz w:val="20"/>
          <w:szCs w:val="20"/>
          <w:shd w:val="clear" w:color="auto" w:fill="FFFFFF"/>
        </w:rPr>
        <w:t xml:space="preserve">31. </w:t>
      </w:r>
      <w:r>
        <w:fldChar w:fldCharType="begin"/>
      </w:r>
      <w:r>
        <w:instrText xml:space="preserve"> HYPERLINK "https://doi.org/10.1177/0952695113484320" </w:instrText>
      </w:r>
      <w:r>
        <w:fldChar w:fldCharType="separate"/>
      </w:r>
      <w:r>
        <w:rPr>
          <w:rStyle w:val="19"/>
          <w:rFonts w:ascii="Arial" w:hAnsi="Arial" w:eastAsia="Consolas" w:cs="Arial"/>
          <w:sz w:val="20"/>
          <w:szCs w:val="20"/>
          <w:shd w:val="clear" w:color="auto" w:fill="FFFFFF"/>
        </w:rPr>
        <w:t>https://doi.org/10.1177/0952695113484320</w:t>
      </w:r>
      <w:r>
        <w:rPr>
          <w:rStyle w:val="19"/>
          <w:rFonts w:ascii="Arial" w:hAnsi="Arial" w:eastAsia="Consolas" w:cs="Arial"/>
          <w:sz w:val="20"/>
          <w:szCs w:val="20"/>
          <w:shd w:val="clear" w:color="auto" w:fill="FFFFFF"/>
        </w:rPr>
        <w:fldChar w:fldCharType="end"/>
      </w:r>
    </w:p>
    <w:p w14:paraId="107CCF89">
      <w:pPr>
        <w:ind w:left="440" w:hanging="440" w:hangingChars="220"/>
        <w:rPr>
          <w:rFonts w:ascii="Arial" w:hAnsi="Arial" w:eastAsia="DengXian" w:cs="Arial"/>
          <w:sz w:val="20"/>
          <w:szCs w:val="20"/>
          <w:lang w:bidi="ar"/>
        </w:rPr>
      </w:pPr>
      <w:r>
        <w:rPr>
          <w:rFonts w:ascii="Arial" w:hAnsi="Arial" w:eastAsia="DengXian" w:cs="Arial"/>
          <w:sz w:val="20"/>
          <w:szCs w:val="20"/>
          <w:lang w:bidi="ar"/>
        </w:rPr>
        <w:t>Fombonne, E. (2020). Camouflage and autism. </w:t>
      </w:r>
      <w:r>
        <w:rPr>
          <w:rFonts w:ascii="Arial" w:hAnsi="Arial" w:eastAsia="DengXian" w:cs="Arial"/>
          <w:i/>
          <w:iCs/>
          <w:sz w:val="20"/>
          <w:szCs w:val="20"/>
          <w:lang w:bidi="ar"/>
        </w:rPr>
        <w:t>Journal of Child Psychology and Psychiatry, and Allied Disciplines</w:t>
      </w:r>
      <w:r>
        <w:rPr>
          <w:rFonts w:ascii="Arial" w:hAnsi="Arial" w:eastAsia="DengXian" w:cs="Arial"/>
          <w:sz w:val="20"/>
          <w:szCs w:val="20"/>
          <w:lang w:bidi="ar"/>
        </w:rPr>
        <w:t>, </w:t>
      </w:r>
      <w:r>
        <w:rPr>
          <w:rFonts w:ascii="Arial" w:hAnsi="Arial" w:eastAsia="DengXian" w:cs="Arial"/>
          <w:i/>
          <w:iCs/>
          <w:sz w:val="20"/>
          <w:szCs w:val="20"/>
          <w:lang w:bidi="ar"/>
        </w:rPr>
        <w:t>61</w:t>
      </w:r>
      <w:r>
        <w:rPr>
          <w:rFonts w:ascii="Arial" w:hAnsi="Arial" w:eastAsia="DengXian" w:cs="Arial"/>
          <w:sz w:val="20"/>
          <w:szCs w:val="20"/>
          <w:lang w:bidi="ar"/>
        </w:rPr>
        <w:t xml:space="preserve">(7), 735-738. </w:t>
      </w:r>
      <w:r>
        <w:fldChar w:fldCharType="begin"/>
      </w:r>
      <w:r>
        <w:instrText xml:space="preserve"> HYPERLINK "https://doi.org/10.1111/jcpp.13296" </w:instrText>
      </w:r>
      <w:r>
        <w:fldChar w:fldCharType="separate"/>
      </w:r>
      <w:r>
        <w:rPr>
          <w:rStyle w:val="19"/>
          <w:rFonts w:ascii="Arial" w:hAnsi="Arial" w:cs="Arial"/>
          <w:sz w:val="20"/>
          <w:szCs w:val="20"/>
        </w:rPr>
        <w:t>https://doi.org/10.1111/jcpp.13296</w:t>
      </w:r>
      <w:r>
        <w:rPr>
          <w:rStyle w:val="19"/>
          <w:rFonts w:ascii="Arial" w:hAnsi="Arial" w:cs="Arial"/>
          <w:sz w:val="20"/>
          <w:szCs w:val="20"/>
        </w:rPr>
        <w:fldChar w:fldCharType="end"/>
      </w:r>
    </w:p>
    <w:p w14:paraId="5B1EE8A4">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Frye R. E. (2022). A personalized multidisciplinary approach to evaluating and treating autism spectrum disorder. </w:t>
      </w:r>
      <w:r>
        <w:rPr>
          <w:rFonts w:ascii="Arial" w:hAnsi="Arial" w:eastAsia="Segoe UI" w:cs="Arial"/>
          <w:i/>
          <w:iCs/>
          <w:color w:val="212121"/>
          <w:sz w:val="20"/>
          <w:szCs w:val="20"/>
          <w:shd w:val="clear" w:color="auto" w:fill="FFFFFF"/>
        </w:rPr>
        <w:t>Journal of Personalized Medicine</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12</w:t>
      </w:r>
      <w:r>
        <w:rPr>
          <w:rFonts w:ascii="Arial" w:hAnsi="Arial" w:eastAsia="Segoe UI" w:cs="Arial"/>
          <w:color w:val="212121"/>
          <w:sz w:val="20"/>
          <w:szCs w:val="20"/>
          <w:shd w:val="clear" w:color="auto" w:fill="FFFFFF"/>
        </w:rPr>
        <w:t xml:space="preserve">(3). Aritcle No. 464. </w:t>
      </w:r>
      <w:r>
        <w:fldChar w:fldCharType="begin"/>
      </w:r>
      <w:r>
        <w:instrText xml:space="preserve"> HYPERLINK "https://doi.org/10.3390/jpm12030464" </w:instrText>
      </w:r>
      <w:r>
        <w:fldChar w:fldCharType="separate"/>
      </w:r>
      <w:r>
        <w:rPr>
          <w:rStyle w:val="19"/>
          <w:rFonts w:ascii="Arial" w:hAnsi="Arial" w:eastAsia="Segoe UI" w:cs="Arial"/>
          <w:sz w:val="20"/>
          <w:szCs w:val="20"/>
          <w:shd w:val="clear" w:color="auto" w:fill="FFFFFF"/>
        </w:rPr>
        <w:t>https://doi.org/10.3390/jpm12030464</w:t>
      </w:r>
      <w:r>
        <w:rPr>
          <w:rStyle w:val="19"/>
          <w:rFonts w:ascii="Arial" w:hAnsi="Arial" w:eastAsia="Segoe UI" w:cs="Arial"/>
          <w:sz w:val="20"/>
          <w:szCs w:val="20"/>
          <w:shd w:val="clear" w:color="auto" w:fill="FFFFFF"/>
        </w:rPr>
        <w:fldChar w:fldCharType="end"/>
      </w:r>
    </w:p>
    <w:p w14:paraId="70D92A4E">
      <w:pPr>
        <w:ind w:left="440" w:hanging="440" w:hangingChars="220"/>
        <w:rPr>
          <w:rFonts w:ascii="Arial" w:hAnsi="Arial" w:eastAsia="Consolas" w:cs="Arial"/>
          <w:color w:val="1B1B1B"/>
          <w:sz w:val="20"/>
          <w:szCs w:val="20"/>
          <w:shd w:val="clear" w:color="auto" w:fill="FFFFFF"/>
        </w:rPr>
      </w:pPr>
      <w:r>
        <w:rPr>
          <w:rFonts w:ascii="Arial" w:hAnsi="Arial" w:eastAsia="Consolas" w:cs="Arial"/>
          <w:color w:val="1B1B1B"/>
          <w:sz w:val="20"/>
          <w:szCs w:val="20"/>
          <w:shd w:val="clear" w:color="auto" w:fill="FFFFFF"/>
        </w:rPr>
        <w:t>Ghanouni, P., Raphael, R., Seaker, L., &amp; Casey, A. (2024). How to build resiliency in autistic individuals: an implication to advance mental health. </w:t>
      </w:r>
      <w:r>
        <w:rPr>
          <w:rFonts w:ascii="Arial" w:hAnsi="Arial" w:eastAsia="Consolas" w:cs="Arial"/>
          <w:i/>
          <w:iCs/>
          <w:color w:val="1B1B1B"/>
          <w:sz w:val="20"/>
          <w:szCs w:val="20"/>
          <w:shd w:val="clear" w:color="auto" w:fill="FFFFFF"/>
        </w:rPr>
        <w:t xml:space="preserve">BMC </w:t>
      </w:r>
      <w:r>
        <w:rPr>
          <w:rFonts w:ascii="Arial" w:hAnsi="Arial" w:eastAsia="Consolas" w:cs="Arial"/>
          <w:i/>
          <w:iCs/>
          <w:color w:val="1B1B1B"/>
          <w:sz w:val="20"/>
          <w:szCs w:val="20"/>
          <w:shd w:val="clear" w:color="auto" w:fill="FFFFFF"/>
          <w:lang w:val="en-SG"/>
        </w:rPr>
        <w:t>P</w:t>
      </w:r>
      <w:r>
        <w:rPr>
          <w:rFonts w:ascii="Arial" w:hAnsi="Arial" w:eastAsia="Consolas" w:cs="Arial"/>
          <w:i/>
          <w:iCs/>
          <w:color w:val="1B1B1B"/>
          <w:sz w:val="20"/>
          <w:szCs w:val="20"/>
          <w:shd w:val="clear" w:color="auto" w:fill="FFFFFF"/>
        </w:rPr>
        <w:t>sychology</w:t>
      </w:r>
      <w:r>
        <w:rPr>
          <w:rFonts w:ascii="Arial" w:hAnsi="Arial" w:eastAsia="Consolas" w:cs="Arial"/>
          <w:color w:val="1B1B1B"/>
          <w:sz w:val="20"/>
          <w:szCs w:val="20"/>
          <w:shd w:val="clear" w:color="auto" w:fill="FFFFFF"/>
        </w:rPr>
        <w:t>, </w:t>
      </w:r>
      <w:r>
        <w:rPr>
          <w:rFonts w:ascii="Arial" w:hAnsi="Arial" w:eastAsia="Consolas" w:cs="Arial"/>
          <w:i/>
          <w:iCs/>
          <w:color w:val="1B1B1B"/>
          <w:sz w:val="20"/>
          <w:szCs w:val="20"/>
          <w:shd w:val="clear" w:color="auto" w:fill="FFFFFF"/>
        </w:rPr>
        <w:t>12</w:t>
      </w:r>
      <w:r>
        <w:rPr>
          <w:rFonts w:ascii="Arial" w:hAnsi="Arial" w:eastAsia="Consolas" w:cs="Arial"/>
          <w:color w:val="1B1B1B"/>
          <w:sz w:val="20"/>
          <w:szCs w:val="20"/>
          <w:shd w:val="clear" w:color="auto" w:fill="FFFFFF"/>
        </w:rPr>
        <w:t>(1)</w:t>
      </w:r>
      <w:r>
        <w:rPr>
          <w:rFonts w:ascii="Arial" w:hAnsi="Arial" w:eastAsia="Consolas" w:cs="Arial"/>
          <w:color w:val="1B1B1B"/>
          <w:sz w:val="20"/>
          <w:szCs w:val="20"/>
          <w:shd w:val="clear" w:color="auto" w:fill="FFFFFF"/>
          <w:lang w:val="en-SG"/>
        </w:rPr>
        <w:t>. Article No.</w:t>
      </w:r>
      <w:r>
        <w:rPr>
          <w:rFonts w:ascii="Arial" w:hAnsi="Arial" w:eastAsia="Consolas" w:cs="Arial"/>
          <w:color w:val="1B1B1B"/>
          <w:sz w:val="20"/>
          <w:szCs w:val="20"/>
          <w:shd w:val="clear" w:color="auto" w:fill="FFFFFF"/>
        </w:rPr>
        <w:t xml:space="preserve"> 420. </w:t>
      </w:r>
      <w:r>
        <w:fldChar w:fldCharType="begin"/>
      </w:r>
      <w:r>
        <w:instrText xml:space="preserve"> HYPERLINK "https://doi.org/10.1186/s40359-024-01916-1" </w:instrText>
      </w:r>
      <w:r>
        <w:fldChar w:fldCharType="separate"/>
      </w:r>
      <w:r>
        <w:rPr>
          <w:rStyle w:val="19"/>
          <w:rFonts w:ascii="Arial" w:hAnsi="Arial" w:eastAsia="Consolas" w:cs="Arial"/>
          <w:sz w:val="20"/>
          <w:szCs w:val="20"/>
          <w:shd w:val="clear" w:color="auto" w:fill="FFFFFF"/>
        </w:rPr>
        <w:t>https://doi.org/10.1186/s40359-024-01916-1</w:t>
      </w:r>
      <w:r>
        <w:rPr>
          <w:rStyle w:val="19"/>
          <w:rFonts w:ascii="Arial" w:hAnsi="Arial" w:eastAsia="Consolas" w:cs="Arial"/>
          <w:sz w:val="20"/>
          <w:szCs w:val="20"/>
          <w:shd w:val="clear" w:color="auto" w:fill="FFFFFF"/>
        </w:rPr>
        <w:fldChar w:fldCharType="end"/>
      </w:r>
    </w:p>
    <w:p w14:paraId="38F4A256">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Golson, M. E., Ficklin, E., Haverkamp, C. R., McClain, M. B., &amp; Harris, B. (2022). Cultural differences in social communication and interaction: A gap in autism research. </w:t>
      </w:r>
      <w:r>
        <w:rPr>
          <w:rFonts w:ascii="Arial" w:hAnsi="Arial" w:eastAsia="Segoe UI" w:cs="Arial"/>
          <w:i/>
          <w:iCs/>
          <w:color w:val="212121"/>
          <w:sz w:val="20"/>
          <w:szCs w:val="20"/>
          <w:shd w:val="clear" w:color="auto" w:fill="FFFFFF"/>
        </w:rPr>
        <w:t xml:space="preserve">Autism </w:t>
      </w:r>
      <w:r>
        <w:rPr>
          <w:rFonts w:ascii="Arial" w:hAnsi="Arial" w:eastAsia="Segoe UI" w:cs="Arial"/>
          <w:i/>
          <w:iCs/>
          <w:color w:val="212121"/>
          <w:sz w:val="20"/>
          <w:szCs w:val="20"/>
          <w:shd w:val="clear" w:color="auto" w:fill="FFFFFF"/>
          <w:lang w:val="en-SG"/>
        </w:rPr>
        <w:t>R</w:t>
      </w:r>
      <w:r>
        <w:rPr>
          <w:rFonts w:ascii="Arial" w:hAnsi="Arial" w:eastAsia="Segoe UI" w:cs="Arial"/>
          <w:i/>
          <w:iCs/>
          <w:color w:val="212121"/>
          <w:sz w:val="20"/>
          <w:szCs w:val="20"/>
          <w:shd w:val="clear" w:color="auto" w:fill="FFFFFF"/>
        </w:rPr>
        <w:t>esearch</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15</w:t>
      </w:r>
      <w:r>
        <w:rPr>
          <w:rFonts w:ascii="Arial" w:hAnsi="Arial" w:eastAsia="Segoe UI" w:cs="Arial"/>
          <w:color w:val="212121"/>
          <w:sz w:val="20"/>
          <w:szCs w:val="20"/>
          <w:shd w:val="clear" w:color="auto" w:fill="FFFFFF"/>
        </w:rPr>
        <w:t>(2), 208</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214. </w:t>
      </w:r>
    </w:p>
    <w:p w14:paraId="7FC868A1">
      <w:pPr>
        <w:ind w:left="440" w:hanging="440" w:hangingChars="220"/>
        <w:rPr>
          <w:rFonts w:ascii="Arial" w:hAnsi="Arial" w:eastAsia="Segoe UI" w:cs="Arial"/>
          <w:color w:val="212121"/>
          <w:sz w:val="20"/>
          <w:szCs w:val="20"/>
          <w:shd w:val="clear" w:color="auto" w:fill="FFFFFF"/>
          <w:lang w:val="en-SG"/>
        </w:rPr>
      </w:pPr>
      <w:r>
        <w:rPr>
          <w:rFonts w:ascii="Arial" w:hAnsi="Arial" w:eastAsia="Segoe UI" w:cs="Arial"/>
          <w:color w:val="212121"/>
          <w:sz w:val="20"/>
          <w:szCs w:val="20"/>
          <w:shd w:val="clear" w:color="auto" w:fill="FFFFFF"/>
        </w:rPr>
        <w:t>Gray, L., McNeill, B., Pecora, L., Macfarlane, S., Hayley, A., Hitch, D., &amp; Evans, S. (2025). Navigating neurodivergence: A scoping review to guide health professions educators. </w:t>
      </w:r>
      <w:r>
        <w:rPr>
          <w:rFonts w:ascii="Arial" w:hAnsi="Arial" w:eastAsia="Segoe UI" w:cs="Arial"/>
          <w:i/>
          <w:iCs/>
          <w:color w:val="212121"/>
          <w:sz w:val="20"/>
          <w:szCs w:val="20"/>
          <w:shd w:val="clear" w:color="auto" w:fill="FFFFFF"/>
        </w:rPr>
        <w:t xml:space="preserve">Medical </w:t>
      </w:r>
      <w:r>
        <w:rPr>
          <w:rFonts w:ascii="Arial" w:hAnsi="Arial" w:eastAsia="Segoe UI" w:cs="Arial"/>
          <w:i/>
          <w:iCs/>
          <w:color w:val="212121"/>
          <w:sz w:val="20"/>
          <w:szCs w:val="20"/>
          <w:shd w:val="clear" w:color="auto" w:fill="FFFFFF"/>
          <w:lang w:val="en-SG"/>
        </w:rPr>
        <w:t>E</w:t>
      </w:r>
      <w:r>
        <w:rPr>
          <w:rFonts w:ascii="Arial" w:hAnsi="Arial" w:eastAsia="Segoe UI" w:cs="Arial"/>
          <w:i/>
          <w:iCs/>
          <w:color w:val="212121"/>
          <w:sz w:val="20"/>
          <w:szCs w:val="20"/>
          <w:shd w:val="clear" w:color="auto" w:fill="FFFFFF"/>
        </w:rPr>
        <w:t>ducation</w:t>
      </w:r>
      <w:r>
        <w:rPr>
          <w:rFonts w:ascii="Arial" w:hAnsi="Arial" w:eastAsia="Segoe UI" w:cs="Arial"/>
          <w:i/>
          <w:iCs/>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 </w:t>
      </w:r>
      <w:r>
        <w:rPr>
          <w:rFonts w:ascii="Arial" w:hAnsi="Arial" w:eastAsia="Segoe UI" w:cs="Arial"/>
          <w:color w:val="212121"/>
          <w:sz w:val="20"/>
          <w:szCs w:val="20"/>
          <w:shd w:val="clear" w:color="auto" w:fill="FFFFFF"/>
          <w:lang w:val="en-SG"/>
        </w:rPr>
        <w:t xml:space="preserve">Article ID: </w:t>
      </w:r>
      <w:r>
        <w:rPr>
          <w:rFonts w:ascii="Arial" w:hAnsi="Arial" w:eastAsia="Segoe UI" w:cs="Arial"/>
          <w:color w:val="212121"/>
          <w:sz w:val="20"/>
          <w:szCs w:val="20"/>
          <w:shd w:val="clear" w:color="auto" w:fill="FFFFFF"/>
        </w:rPr>
        <w:t xml:space="preserve">15676. </w:t>
      </w:r>
      <w:r>
        <w:fldChar w:fldCharType="begin"/>
      </w:r>
      <w:r>
        <w:instrText xml:space="preserve"> HYPERLINK "https://doi.org/10.1111/medu.15676" </w:instrText>
      </w:r>
      <w:r>
        <w:fldChar w:fldCharType="separate"/>
      </w:r>
      <w:r>
        <w:rPr>
          <w:rStyle w:val="19"/>
          <w:rFonts w:ascii="Arial" w:hAnsi="Arial" w:eastAsia="Segoe UI" w:cs="Arial"/>
          <w:sz w:val="20"/>
          <w:szCs w:val="20"/>
          <w:shd w:val="clear" w:color="auto" w:fill="FFFFFF"/>
        </w:rPr>
        <w:t>https://doi.org/10.1111/medu.15676</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n</w:t>
      </w:r>
    </w:p>
    <w:p w14:paraId="2135F1EB">
      <w:pPr>
        <w:ind w:left="440" w:hanging="440" w:hangingChars="220"/>
        <w:rPr>
          <w:rFonts w:ascii="Arial" w:hAnsi="Arial" w:eastAsia="DengXian" w:cs="Arial"/>
          <w:sz w:val="20"/>
          <w:szCs w:val="20"/>
          <w:lang w:bidi="ar"/>
        </w:rPr>
      </w:pPr>
      <w:r>
        <w:rPr>
          <w:rFonts w:ascii="Arial" w:hAnsi="Arial" w:eastAsia="DengXian" w:cs="Arial"/>
          <w:sz w:val="20"/>
          <w:szCs w:val="20"/>
          <w:lang w:bidi="ar"/>
        </w:rPr>
        <w:t xml:space="preserve">Gkatsa, T., &amp; Antoniou, I. (2024). Bullying and autism spectrum disorder: Correlating the victimization of high-functioning autism students with educational practices in the context of inclusion in primary education. </w:t>
      </w:r>
      <w:r>
        <w:rPr>
          <w:rFonts w:ascii="Arial" w:hAnsi="Arial" w:eastAsia="DengXian" w:cs="Arial"/>
          <w:i/>
          <w:iCs/>
          <w:sz w:val="20"/>
          <w:szCs w:val="20"/>
          <w:lang w:bidi="ar"/>
        </w:rPr>
        <w:t>International Journal of Bullying Prevention</w:t>
      </w:r>
      <w:r>
        <w:rPr>
          <w:rFonts w:ascii="Arial" w:hAnsi="Arial" w:eastAsia="DengXian" w:cs="Arial"/>
          <w:sz w:val="20"/>
          <w:szCs w:val="20"/>
          <w:lang w:bidi="ar"/>
        </w:rPr>
        <w:t xml:space="preserve">, </w:t>
      </w:r>
      <w:r>
        <w:rPr>
          <w:rFonts w:ascii="Arial" w:hAnsi="Arial" w:eastAsia="DengXian" w:cs="Arial"/>
          <w:i/>
          <w:iCs/>
          <w:sz w:val="20"/>
          <w:szCs w:val="20"/>
          <w:lang w:bidi="ar"/>
        </w:rPr>
        <w:t>6</w:t>
      </w:r>
      <w:r>
        <w:rPr>
          <w:rFonts w:ascii="Arial" w:hAnsi="Arial" w:eastAsia="DengXian" w:cs="Arial"/>
          <w:sz w:val="20"/>
          <w:szCs w:val="20"/>
          <w:lang w:bidi="ar"/>
        </w:rPr>
        <w:t xml:space="preserve">(3), 342-353. </w:t>
      </w:r>
      <w:r>
        <w:fldChar w:fldCharType="begin"/>
      </w:r>
      <w:r>
        <w:instrText xml:space="preserve"> HYPERLINK "https://doi.org/10.1007/s42380-023-00208-3" </w:instrText>
      </w:r>
      <w:r>
        <w:fldChar w:fldCharType="separate"/>
      </w:r>
      <w:r>
        <w:rPr>
          <w:rStyle w:val="19"/>
          <w:rFonts w:ascii="Arial" w:hAnsi="Arial" w:cs="Arial"/>
          <w:sz w:val="20"/>
          <w:szCs w:val="20"/>
        </w:rPr>
        <w:t>https://doi.org/10.1007/s42380-023-00208-3</w:t>
      </w:r>
      <w:r>
        <w:rPr>
          <w:rStyle w:val="19"/>
          <w:rFonts w:ascii="Arial" w:hAnsi="Arial" w:cs="Arial"/>
          <w:sz w:val="20"/>
          <w:szCs w:val="20"/>
        </w:rPr>
        <w:fldChar w:fldCharType="end"/>
      </w:r>
      <w:r>
        <w:rPr>
          <w:rFonts w:ascii="Arial" w:hAnsi="Arial" w:eastAsia="DengXian" w:cs="Arial"/>
          <w:sz w:val="20"/>
          <w:szCs w:val="20"/>
          <w:lang w:bidi="ar"/>
        </w:rPr>
        <w:t xml:space="preserve"> </w:t>
      </w:r>
    </w:p>
    <w:p w14:paraId="654D5425">
      <w:pPr>
        <w:ind w:left="440" w:hanging="440" w:hangingChars="220"/>
        <w:rPr>
          <w:rFonts w:ascii="Arial" w:hAnsi="Arial" w:eastAsia="SimSun" w:cs="Arial"/>
          <w:color w:val="222222"/>
          <w:sz w:val="20"/>
          <w:szCs w:val="20"/>
          <w:shd w:val="clear" w:color="auto" w:fill="FFFFFF"/>
        </w:rPr>
      </w:pPr>
      <w:r>
        <w:rPr>
          <w:rFonts w:ascii="Arial" w:hAnsi="Arial" w:eastAsia="SimSun" w:cs="Arial"/>
          <w:color w:val="222222"/>
          <w:sz w:val="20"/>
          <w:szCs w:val="20"/>
          <w:shd w:val="clear" w:color="auto" w:fill="FFFFFF"/>
        </w:rPr>
        <w:t>Hassmén, P., &amp; Hindman, E. (2025). Sensory Sensitivity and Strengths in Autism. In </w:t>
      </w:r>
      <w:r>
        <w:rPr>
          <w:rFonts w:ascii="Arial" w:hAnsi="Arial" w:eastAsia="SimSun" w:cs="Arial"/>
          <w:color w:val="222222"/>
          <w:sz w:val="20"/>
          <w:szCs w:val="20"/>
          <w:shd w:val="clear" w:color="auto" w:fill="FFFFFF"/>
          <w:lang w:val="en-SG"/>
        </w:rPr>
        <w:t>P. Hass</w:t>
      </w:r>
      <w:r>
        <w:rPr>
          <w:rFonts w:ascii="Arial" w:hAnsi="Arial" w:eastAsia="SimSun" w:cs="Arial"/>
          <w:color w:val="222222"/>
          <w:sz w:val="20"/>
          <w:szCs w:val="20"/>
          <w:shd w:val="clear" w:color="auto" w:fill="FFFFFF"/>
        </w:rPr>
        <w:t>mén</w:t>
      </w:r>
      <w:r>
        <w:rPr>
          <w:rFonts w:ascii="Arial" w:hAnsi="Arial" w:eastAsia="SimSun" w:cs="Arial"/>
          <w:color w:val="222222"/>
          <w:sz w:val="20"/>
          <w:szCs w:val="20"/>
          <w:shd w:val="clear" w:color="auto" w:fill="FFFFFF"/>
          <w:lang w:val="en-SG"/>
        </w:rPr>
        <w:t xml:space="preserve"> &amp; E. Hindman (Eds.), </w:t>
      </w:r>
      <w:r>
        <w:rPr>
          <w:rFonts w:ascii="Arial" w:hAnsi="Arial" w:eastAsia="SimSun" w:cs="Arial"/>
          <w:i/>
          <w:iCs/>
          <w:color w:val="222222"/>
          <w:sz w:val="20"/>
          <w:szCs w:val="20"/>
          <w:shd w:val="clear" w:color="auto" w:fill="FFFFFF"/>
        </w:rPr>
        <w:t xml:space="preserve">Emotion </w:t>
      </w:r>
      <w:r>
        <w:rPr>
          <w:rFonts w:ascii="Arial" w:hAnsi="Arial" w:eastAsia="SimSun" w:cs="Arial"/>
          <w:i/>
          <w:iCs/>
          <w:color w:val="222222"/>
          <w:sz w:val="20"/>
          <w:szCs w:val="20"/>
          <w:shd w:val="clear" w:color="auto" w:fill="FFFFFF"/>
          <w:lang w:val="en-SG"/>
        </w:rPr>
        <w:t>c</w:t>
      </w:r>
      <w:r>
        <w:rPr>
          <w:rFonts w:ascii="Arial" w:hAnsi="Arial" w:eastAsia="SimSun" w:cs="Arial"/>
          <w:i/>
          <w:iCs/>
          <w:color w:val="222222"/>
          <w:sz w:val="20"/>
          <w:szCs w:val="20"/>
          <w:shd w:val="clear" w:color="auto" w:fill="FFFFFF"/>
        </w:rPr>
        <w:t xml:space="preserve">ontrol </w:t>
      </w:r>
      <w:r>
        <w:rPr>
          <w:rFonts w:ascii="Arial" w:hAnsi="Arial" w:eastAsia="SimSun" w:cs="Arial"/>
          <w:i/>
          <w:iCs/>
          <w:color w:val="222222"/>
          <w:sz w:val="20"/>
          <w:szCs w:val="20"/>
          <w:shd w:val="clear" w:color="auto" w:fill="FFFFFF"/>
          <w:lang w:val="en-SG"/>
        </w:rPr>
        <w:t>s</w:t>
      </w:r>
      <w:r>
        <w:rPr>
          <w:rFonts w:ascii="Arial" w:hAnsi="Arial" w:eastAsia="SimSun" w:cs="Arial"/>
          <w:i/>
          <w:iCs/>
          <w:color w:val="222222"/>
          <w:sz w:val="20"/>
          <w:szCs w:val="20"/>
          <w:shd w:val="clear" w:color="auto" w:fill="FFFFFF"/>
        </w:rPr>
        <w:t xml:space="preserve">trategies for </w:t>
      </w:r>
      <w:r>
        <w:rPr>
          <w:rFonts w:ascii="Arial" w:hAnsi="Arial" w:eastAsia="SimSun" w:cs="Arial"/>
          <w:i/>
          <w:iCs/>
          <w:color w:val="222222"/>
          <w:sz w:val="20"/>
          <w:szCs w:val="20"/>
          <w:shd w:val="clear" w:color="auto" w:fill="FFFFFF"/>
          <w:lang w:val="en-SG"/>
        </w:rPr>
        <w:t>p</w:t>
      </w:r>
      <w:r>
        <w:rPr>
          <w:rFonts w:ascii="Arial" w:hAnsi="Arial" w:eastAsia="SimSun" w:cs="Arial"/>
          <w:i/>
          <w:iCs/>
          <w:color w:val="222222"/>
          <w:sz w:val="20"/>
          <w:szCs w:val="20"/>
          <w:shd w:val="clear" w:color="auto" w:fill="FFFFFF"/>
        </w:rPr>
        <w:t xml:space="preserve">eak </w:t>
      </w:r>
      <w:r>
        <w:rPr>
          <w:rFonts w:ascii="Arial" w:hAnsi="Arial" w:eastAsia="SimSun" w:cs="Arial"/>
          <w:i/>
          <w:iCs/>
          <w:color w:val="222222"/>
          <w:sz w:val="20"/>
          <w:szCs w:val="20"/>
          <w:shd w:val="clear" w:color="auto" w:fill="FFFFFF"/>
          <w:lang w:val="en-SG"/>
        </w:rPr>
        <w:t>p</w:t>
      </w:r>
      <w:r>
        <w:rPr>
          <w:rFonts w:ascii="Arial" w:hAnsi="Arial" w:eastAsia="SimSun" w:cs="Arial"/>
          <w:i/>
          <w:iCs/>
          <w:color w:val="222222"/>
          <w:sz w:val="20"/>
          <w:szCs w:val="20"/>
          <w:shd w:val="clear" w:color="auto" w:fill="FFFFFF"/>
        </w:rPr>
        <w:t xml:space="preserve">erformance in </w:t>
      </w:r>
      <w:r>
        <w:rPr>
          <w:rFonts w:ascii="Arial" w:hAnsi="Arial" w:eastAsia="SimSun" w:cs="Arial"/>
          <w:i/>
          <w:iCs/>
          <w:color w:val="222222"/>
          <w:sz w:val="20"/>
          <w:szCs w:val="20"/>
          <w:shd w:val="clear" w:color="auto" w:fill="FFFFFF"/>
          <w:lang w:val="en-SG"/>
        </w:rPr>
        <w:t>n</w:t>
      </w:r>
      <w:r>
        <w:rPr>
          <w:rFonts w:ascii="Arial" w:hAnsi="Arial" w:eastAsia="SimSun" w:cs="Arial"/>
          <w:i/>
          <w:iCs/>
          <w:color w:val="222222"/>
          <w:sz w:val="20"/>
          <w:szCs w:val="20"/>
          <w:shd w:val="clear" w:color="auto" w:fill="FFFFFF"/>
        </w:rPr>
        <w:t xml:space="preserve">eurodivergent </w:t>
      </w:r>
      <w:r>
        <w:rPr>
          <w:rFonts w:ascii="Arial" w:hAnsi="Arial" w:eastAsia="SimSun" w:cs="Arial"/>
          <w:i/>
          <w:iCs/>
          <w:color w:val="222222"/>
          <w:sz w:val="20"/>
          <w:szCs w:val="20"/>
          <w:shd w:val="clear" w:color="auto" w:fill="FFFFFF"/>
          <w:lang w:val="en-SG"/>
        </w:rPr>
        <w:t>b</w:t>
      </w:r>
      <w:r>
        <w:rPr>
          <w:rFonts w:ascii="Arial" w:hAnsi="Arial" w:eastAsia="SimSun" w:cs="Arial"/>
          <w:i/>
          <w:iCs/>
          <w:color w:val="222222"/>
          <w:sz w:val="20"/>
          <w:szCs w:val="20"/>
          <w:shd w:val="clear" w:color="auto" w:fill="FFFFFF"/>
        </w:rPr>
        <w:t xml:space="preserve">rains: Wired to </w:t>
      </w:r>
      <w:r>
        <w:rPr>
          <w:rFonts w:ascii="Arial" w:hAnsi="Arial" w:eastAsia="SimSun" w:cs="Arial"/>
          <w:i/>
          <w:iCs/>
          <w:color w:val="222222"/>
          <w:sz w:val="20"/>
          <w:szCs w:val="20"/>
          <w:shd w:val="clear" w:color="auto" w:fill="FFFFFF"/>
          <w:lang w:val="en-SG"/>
        </w:rPr>
        <w:t>t</w:t>
      </w:r>
      <w:r>
        <w:rPr>
          <w:rFonts w:ascii="Arial" w:hAnsi="Arial" w:eastAsia="SimSun" w:cs="Arial"/>
          <w:i/>
          <w:iCs/>
          <w:color w:val="222222"/>
          <w:sz w:val="20"/>
          <w:szCs w:val="20"/>
          <w:shd w:val="clear" w:color="auto" w:fill="FFFFFF"/>
        </w:rPr>
        <w:t>hrive</w:t>
      </w:r>
      <w:r>
        <w:rPr>
          <w:rFonts w:ascii="Arial" w:hAnsi="Arial" w:eastAsia="SimSun" w:cs="Arial"/>
          <w:color w:val="222222"/>
          <w:sz w:val="20"/>
          <w:szCs w:val="20"/>
          <w:shd w:val="clear" w:color="auto" w:fill="FFFFFF"/>
        </w:rPr>
        <w:t> (pp. 101-126). Cham: Springer Nature Switzerland.</w:t>
      </w:r>
    </w:p>
    <w:p w14:paraId="23110DE1">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Hellings J. (2023). Pharmacotherapy in autism spectrum disorders, including promising older drugs warranting trials. </w:t>
      </w:r>
      <w:r>
        <w:rPr>
          <w:rFonts w:ascii="Arial" w:hAnsi="Arial" w:eastAsia="Segoe UI" w:cs="Arial"/>
          <w:i/>
          <w:iCs/>
          <w:color w:val="212121"/>
          <w:sz w:val="20"/>
          <w:szCs w:val="20"/>
          <w:shd w:val="clear" w:color="auto" w:fill="FFFFFF"/>
        </w:rPr>
        <w:t>World Journal of Psychiatry</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13</w:t>
      </w:r>
      <w:r>
        <w:rPr>
          <w:rFonts w:ascii="Arial" w:hAnsi="Arial" w:eastAsia="Segoe UI" w:cs="Arial"/>
          <w:color w:val="212121"/>
          <w:sz w:val="20"/>
          <w:szCs w:val="20"/>
          <w:shd w:val="clear" w:color="auto" w:fill="FFFFFF"/>
        </w:rPr>
        <w:t xml:space="preserve">(6), 262-277. </w:t>
      </w:r>
      <w:r>
        <w:fldChar w:fldCharType="begin"/>
      </w:r>
      <w:r>
        <w:instrText xml:space="preserve"> HYPERLINK "https://doi.org/10.5498/wjp.v13.i6.262" </w:instrText>
      </w:r>
      <w:r>
        <w:fldChar w:fldCharType="separate"/>
      </w:r>
      <w:r>
        <w:rPr>
          <w:rStyle w:val="19"/>
          <w:rFonts w:ascii="Arial" w:hAnsi="Arial" w:eastAsia="Segoe UI" w:cs="Arial"/>
          <w:sz w:val="20"/>
          <w:szCs w:val="20"/>
          <w:shd w:val="clear" w:color="auto" w:fill="FFFFFF"/>
        </w:rPr>
        <w:t>https://doi.org/10.5498/wjp.v13.i6.262</w:t>
      </w:r>
      <w:r>
        <w:rPr>
          <w:rStyle w:val="19"/>
          <w:rFonts w:ascii="Arial" w:hAnsi="Arial" w:eastAsia="Segoe UI" w:cs="Arial"/>
          <w:sz w:val="20"/>
          <w:szCs w:val="20"/>
          <w:shd w:val="clear" w:color="auto" w:fill="FFFFFF"/>
        </w:rPr>
        <w:fldChar w:fldCharType="end"/>
      </w:r>
    </w:p>
    <w:p w14:paraId="5308B117">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Hirota, T., &amp; King, B. H. (2023). Autism spectrum disorder: A Review. </w:t>
      </w:r>
      <w:r>
        <w:rPr>
          <w:rFonts w:ascii="Arial" w:hAnsi="Arial" w:eastAsia="Segoe UI" w:cs="Arial"/>
          <w:i/>
          <w:iCs/>
          <w:color w:val="212121"/>
          <w:sz w:val="20"/>
          <w:szCs w:val="20"/>
          <w:shd w:val="clear" w:color="auto" w:fill="FFFFFF"/>
        </w:rPr>
        <w:t>Journal of the American Medical Association (JAMA)</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329</w:t>
      </w:r>
      <w:r>
        <w:rPr>
          <w:rFonts w:ascii="Arial" w:hAnsi="Arial" w:eastAsia="Segoe UI" w:cs="Arial"/>
          <w:color w:val="212121"/>
          <w:sz w:val="20"/>
          <w:szCs w:val="20"/>
          <w:shd w:val="clear" w:color="auto" w:fill="FFFFFF"/>
        </w:rPr>
        <w:t xml:space="preserve">(2), 157-168. </w:t>
      </w:r>
      <w:r>
        <w:fldChar w:fldCharType="begin"/>
      </w:r>
      <w:r>
        <w:instrText xml:space="preserve"> HYPERLINK "https://doi.org/10.1001/jama.2022.23661" </w:instrText>
      </w:r>
      <w:r>
        <w:fldChar w:fldCharType="separate"/>
      </w:r>
      <w:r>
        <w:rPr>
          <w:rStyle w:val="19"/>
          <w:rFonts w:ascii="Arial" w:hAnsi="Arial" w:eastAsia="Segoe UI" w:cs="Arial"/>
          <w:sz w:val="20"/>
          <w:szCs w:val="20"/>
          <w:shd w:val="clear" w:color="auto" w:fill="FFFFFF"/>
        </w:rPr>
        <w:t>https://doi.org/10.1001/jama.2022.23661</w:t>
      </w:r>
      <w:r>
        <w:rPr>
          <w:rStyle w:val="19"/>
          <w:rFonts w:ascii="Arial" w:hAnsi="Arial" w:eastAsia="Segoe UI" w:cs="Arial"/>
          <w:sz w:val="20"/>
          <w:szCs w:val="20"/>
          <w:shd w:val="clear" w:color="auto" w:fill="FFFFFF"/>
        </w:rPr>
        <w:fldChar w:fldCharType="end"/>
      </w:r>
    </w:p>
    <w:p w14:paraId="4F5FE34D">
      <w:pPr>
        <w:ind w:left="440" w:hanging="440" w:hangingChars="220"/>
        <w:rPr>
          <w:rFonts w:ascii="Arial" w:hAnsi="Arial" w:eastAsia="sans-serif" w:cs="Arial"/>
          <w:color w:val="2C72B7"/>
          <w:sz w:val="20"/>
          <w:szCs w:val="20"/>
          <w:shd w:val="clear" w:color="auto" w:fill="FFFFFF"/>
        </w:rPr>
      </w:pPr>
      <w:r>
        <w:rPr>
          <w:rFonts w:ascii="Arial" w:hAnsi="Arial" w:eastAsia="sans-serif" w:cs="Arial"/>
          <w:color w:val="333333"/>
          <w:sz w:val="20"/>
          <w:szCs w:val="20"/>
          <w:shd w:val="clear" w:color="auto" w:fill="FFFFFF"/>
        </w:rPr>
        <w:t>Hong, J., DaWalt, L. S., Taylor, J. L., Haider, A., &amp; Mailick, M. (2023). Autism through midlife: Trajectories of symptoms, behavioral functioning, and health. </w:t>
      </w:r>
      <w:r>
        <w:rPr>
          <w:rStyle w:val="13"/>
          <w:rFonts w:ascii="Arial" w:hAnsi="Arial" w:eastAsia="sans-serif" w:cs="Arial"/>
          <w:color w:val="333333"/>
          <w:sz w:val="20"/>
          <w:szCs w:val="20"/>
          <w:shd w:val="clear" w:color="auto" w:fill="FFFFFF"/>
        </w:rPr>
        <w:t>Journal of Neurodevelopmental Disorders, 15</w:t>
      </w:r>
      <w:r>
        <w:rPr>
          <w:rFonts w:ascii="Arial" w:hAnsi="Arial" w:eastAsia="sans-serif" w:cs="Arial"/>
          <w:color w:val="333333"/>
          <w:sz w:val="20"/>
          <w:szCs w:val="20"/>
          <w:shd w:val="clear" w:color="auto" w:fill="FFFFFF"/>
        </w:rPr>
        <w:t>(1)</w:t>
      </w:r>
      <w:r>
        <w:rPr>
          <w:rFonts w:ascii="Arial" w:hAnsi="Arial" w:eastAsia="sans-serif" w:cs="Arial"/>
          <w:color w:val="333333"/>
          <w:sz w:val="20"/>
          <w:szCs w:val="20"/>
          <w:shd w:val="clear" w:color="auto" w:fill="FFFFFF"/>
          <w:lang w:val="en-SG"/>
        </w:rPr>
        <w:t>.</w:t>
      </w:r>
      <w:r>
        <w:rPr>
          <w:rFonts w:ascii="Arial" w:hAnsi="Arial" w:eastAsia="sans-serif" w:cs="Arial"/>
          <w:color w:val="333333"/>
          <w:sz w:val="20"/>
          <w:szCs w:val="20"/>
          <w:shd w:val="clear" w:color="auto" w:fill="FFFFFF"/>
        </w:rPr>
        <w:t xml:space="preserve"> Article</w:t>
      </w:r>
      <w:r>
        <w:rPr>
          <w:rFonts w:ascii="Arial" w:hAnsi="Arial" w:eastAsia="sans-serif" w:cs="Arial"/>
          <w:color w:val="333333"/>
          <w:sz w:val="20"/>
          <w:szCs w:val="20"/>
          <w:shd w:val="clear" w:color="auto" w:fill="FFFFFF"/>
          <w:lang w:val="en-SG"/>
        </w:rPr>
        <w:t xml:space="preserve"> No.</w:t>
      </w:r>
      <w:r>
        <w:rPr>
          <w:rFonts w:ascii="Arial" w:hAnsi="Arial" w:eastAsia="sans-serif" w:cs="Arial"/>
          <w:color w:val="333333"/>
          <w:sz w:val="20"/>
          <w:szCs w:val="20"/>
          <w:shd w:val="clear" w:color="auto" w:fill="FFFFFF"/>
        </w:rPr>
        <w:t xml:space="preserve"> 36. </w:t>
      </w:r>
      <w:r>
        <w:fldChar w:fldCharType="begin"/>
      </w:r>
      <w:r>
        <w:instrText xml:space="preserve"> HYPERLINK "https://psycnet.apa.org/doi/10.1186/s11689-023-09505-w" \t "https://psycnet.apa.org/record/_blank" </w:instrText>
      </w:r>
      <w:r>
        <w:fldChar w:fldCharType="separate"/>
      </w:r>
      <w:r>
        <w:rPr>
          <w:rStyle w:val="19"/>
          <w:rFonts w:ascii="Arial" w:hAnsi="Arial" w:eastAsia="sans-serif" w:cs="Arial"/>
          <w:color w:val="2C72B7"/>
          <w:sz w:val="20"/>
          <w:szCs w:val="20"/>
          <w:u w:val="none"/>
          <w:shd w:val="clear" w:color="auto" w:fill="FFFFFF"/>
        </w:rPr>
        <w:t>https://doi.org/10.1186/s11689-023-09505-w</w:t>
      </w:r>
      <w:r>
        <w:rPr>
          <w:rStyle w:val="19"/>
          <w:rFonts w:ascii="Arial" w:hAnsi="Arial" w:eastAsia="sans-serif" w:cs="Arial"/>
          <w:color w:val="2C72B7"/>
          <w:sz w:val="20"/>
          <w:szCs w:val="20"/>
          <w:u w:val="none"/>
          <w:shd w:val="clear" w:color="auto" w:fill="FFFFFF"/>
        </w:rPr>
        <w:fldChar w:fldCharType="end"/>
      </w:r>
    </w:p>
    <w:p w14:paraId="1FDF0625">
      <w:pPr>
        <w:ind w:left="440" w:hanging="440" w:hangingChars="220"/>
        <w:rPr>
          <w:rFonts w:ascii="Arial" w:hAnsi="Arial" w:cs="Arial"/>
          <w:sz w:val="20"/>
          <w:szCs w:val="20"/>
        </w:rPr>
      </w:pPr>
      <w:r>
        <w:rPr>
          <w:rFonts w:ascii="Arial" w:hAnsi="Arial" w:cs="Arial"/>
          <w:sz w:val="20"/>
          <w:szCs w:val="20"/>
        </w:rPr>
        <w:t>Hull, L., Mandy, W., Lai, M. C., Baron-Cohen, S., Allison, C., Smith, P., &amp; Petrides, K. V. (2019). Development and Validation of the Camouflaging Autistic Traits Questionnaire (CAT-Q).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(3), 819–833. </w:t>
      </w:r>
      <w:r>
        <w:fldChar w:fldCharType="begin"/>
      </w:r>
      <w:r>
        <w:instrText xml:space="preserve"> HYPERLINK "https://doi.org/10.1007/s10803-018-3792-6" </w:instrText>
      </w:r>
      <w:r>
        <w:fldChar w:fldCharType="separate"/>
      </w:r>
      <w:r>
        <w:rPr>
          <w:rStyle w:val="19"/>
          <w:rFonts w:ascii="Arial" w:hAnsi="Arial" w:cs="Arial"/>
          <w:sz w:val="20"/>
          <w:szCs w:val="20"/>
        </w:rPr>
        <w:t>https://doi.org/10.1007/s10803-018-3792-6</w:t>
      </w:r>
      <w:r>
        <w:rPr>
          <w:rStyle w:val="19"/>
          <w:rFonts w:ascii="Arial" w:hAnsi="Arial" w:cs="Arial"/>
          <w:sz w:val="20"/>
          <w:szCs w:val="20"/>
        </w:rPr>
        <w:fldChar w:fldCharType="end"/>
      </w:r>
      <w:r>
        <w:rPr>
          <w:rFonts w:ascii="Arial" w:hAnsi="Arial" w:cs="Arial"/>
          <w:sz w:val="20"/>
          <w:szCs w:val="20"/>
        </w:rPr>
        <w:t xml:space="preserve"> </w:t>
      </w:r>
    </w:p>
    <w:p w14:paraId="39D02F06">
      <w:pPr>
        <w:ind w:left="440" w:hanging="440" w:hangingChars="220"/>
        <w:rPr>
          <w:rStyle w:val="19"/>
          <w:rFonts w:ascii="Arial" w:hAnsi="Arial" w:cs="Arial"/>
          <w:sz w:val="20"/>
          <w:szCs w:val="20"/>
        </w:rPr>
      </w:pPr>
      <w:r>
        <w:rPr>
          <w:rFonts w:ascii="Arial" w:hAnsi="Arial" w:cs="Arial"/>
          <w:sz w:val="20"/>
          <w:szCs w:val="20"/>
        </w:rPr>
        <w:t>Hutson, P., &amp; Hutson, J. (2024). Enhancing flow states in neurodivergent individuals through cognitive network integration. </w:t>
      </w:r>
      <w:r>
        <w:rPr>
          <w:rFonts w:ascii="Arial" w:hAnsi="Arial" w:cs="Arial"/>
          <w:i/>
          <w:iCs/>
          <w:sz w:val="20"/>
          <w:szCs w:val="20"/>
        </w:rPr>
        <w:t>Global Health Economics and Sustainability</w:t>
      </w:r>
      <w:r>
        <w:rPr>
          <w:rFonts w:ascii="Arial" w:hAnsi="Arial" w:cs="Arial"/>
          <w:sz w:val="20"/>
          <w:szCs w:val="20"/>
        </w:rPr>
        <w:t>, </w:t>
      </w:r>
      <w:r>
        <w:rPr>
          <w:rFonts w:ascii="Arial" w:hAnsi="Arial" w:cs="Arial"/>
          <w:i/>
          <w:iCs/>
          <w:sz w:val="20"/>
          <w:szCs w:val="20"/>
        </w:rPr>
        <w:t>3</w:t>
      </w:r>
      <w:r>
        <w:rPr>
          <w:rFonts w:ascii="Arial" w:hAnsi="Arial" w:cs="Arial"/>
          <w:sz w:val="20"/>
          <w:szCs w:val="20"/>
        </w:rPr>
        <w:t>(2), 1-10. </w:t>
      </w:r>
      <w:r>
        <w:fldChar w:fldCharType="begin"/>
      </w:r>
      <w:r>
        <w:instrText xml:space="preserve"> HYPERLINK "https://doi.org/10.36922/ghes.4345" </w:instrText>
      </w:r>
      <w:r>
        <w:fldChar w:fldCharType="separate"/>
      </w:r>
      <w:r>
        <w:rPr>
          <w:rStyle w:val="19"/>
          <w:rFonts w:ascii="Arial" w:hAnsi="Arial" w:cs="Arial"/>
          <w:sz w:val="20"/>
          <w:szCs w:val="20"/>
        </w:rPr>
        <w:t>https://doi.org/10.36922/ghes.4345</w:t>
      </w:r>
      <w:r>
        <w:rPr>
          <w:rStyle w:val="19"/>
          <w:rFonts w:ascii="Arial" w:hAnsi="Arial" w:cs="Arial"/>
          <w:sz w:val="20"/>
          <w:szCs w:val="20"/>
        </w:rPr>
        <w:fldChar w:fldCharType="end"/>
      </w:r>
    </w:p>
    <w:p w14:paraId="631D8207">
      <w:pPr>
        <w:ind w:left="440" w:hanging="440" w:hangingChars="220"/>
        <w:rPr>
          <w:rFonts w:ascii="Arial" w:hAnsi="Arial" w:cs="Arial"/>
          <w:sz w:val="20"/>
          <w:szCs w:val="20"/>
        </w:rPr>
      </w:pPr>
      <w:r>
        <w:rPr>
          <w:rFonts w:ascii="Arial" w:hAnsi="Arial" w:cs="Arial"/>
          <w:sz w:val="20"/>
          <w:szCs w:val="20"/>
        </w:rPr>
        <w:t xml:space="preserve">Kanne, S. M., Gerber, A. J., Quirmbach, L. M., Sparrow, S. S., Cicchetti, D. V., &amp; Saulnier, C. A. (2011). The role of adaptive behavior in autism spectrum disorders: Implications for functional outcome. </w:t>
      </w:r>
      <w:r>
        <w:rPr>
          <w:rFonts w:ascii="Arial" w:hAnsi="Arial" w:cs="Arial"/>
          <w:i/>
          <w:iCs/>
          <w:sz w:val="20"/>
          <w:szCs w:val="20"/>
        </w:rPr>
        <w:t>Journal of Autism and Developmental Disorders</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 xml:space="preserve">, 1007-1018. </w:t>
      </w:r>
      <w:r>
        <w:fldChar w:fldCharType="begin"/>
      </w:r>
      <w:r>
        <w:instrText xml:space="preserve"> HYPERLINK "https://doi.org/10.1007/s10803-010-1126-4" </w:instrText>
      </w:r>
      <w:r>
        <w:fldChar w:fldCharType="separate"/>
      </w:r>
      <w:r>
        <w:rPr>
          <w:rStyle w:val="19"/>
          <w:rFonts w:ascii="Arial" w:hAnsi="Arial" w:cs="Arial"/>
          <w:sz w:val="20"/>
          <w:szCs w:val="20"/>
        </w:rPr>
        <w:t>https://doi.org/10.1007/s10803-010-1126-4</w:t>
      </w:r>
      <w:r>
        <w:rPr>
          <w:rStyle w:val="19"/>
          <w:rFonts w:ascii="Arial" w:hAnsi="Arial" w:cs="Arial"/>
          <w:sz w:val="20"/>
          <w:szCs w:val="20"/>
        </w:rPr>
        <w:fldChar w:fldCharType="end"/>
      </w:r>
      <w:r>
        <w:rPr>
          <w:rFonts w:ascii="Arial" w:hAnsi="Arial" w:cs="Arial"/>
          <w:sz w:val="20"/>
          <w:szCs w:val="20"/>
        </w:rPr>
        <w:t xml:space="preserve"> </w:t>
      </w:r>
    </w:p>
    <w:p w14:paraId="6DC3371B">
      <w:pPr>
        <w:ind w:left="440" w:hanging="440" w:hangingChars="220"/>
        <w:rPr>
          <w:rFonts w:ascii="Arial" w:hAnsi="Arial" w:cs="Arial"/>
          <w:sz w:val="20"/>
          <w:szCs w:val="20"/>
        </w:rPr>
      </w:pPr>
      <w:r>
        <w:rPr>
          <w:rFonts w:ascii="Arial" w:hAnsi="Arial" w:cs="Arial"/>
          <w:sz w:val="20"/>
          <w:szCs w:val="20"/>
        </w:rPr>
        <w:t>Kanner, L. (1943). Autistic disturbances of affective contact. </w:t>
      </w:r>
      <w:r>
        <w:rPr>
          <w:rFonts w:ascii="Arial" w:hAnsi="Arial" w:cs="Arial"/>
          <w:i/>
          <w:iCs/>
          <w:sz w:val="20"/>
          <w:szCs w:val="20"/>
        </w:rPr>
        <w:t>Nervous Child, 2,</w:t>
      </w:r>
      <w:r>
        <w:rPr>
          <w:rFonts w:ascii="Arial" w:hAnsi="Arial" w:cs="Arial"/>
          <w:sz w:val="20"/>
          <w:szCs w:val="20"/>
        </w:rPr>
        <w:t> 217-250.</w:t>
      </w:r>
    </w:p>
    <w:p w14:paraId="65293966">
      <w:pPr>
        <w:ind w:left="440" w:hanging="440" w:hangingChars="220"/>
        <w:rPr>
          <w:rStyle w:val="19"/>
          <w:rFonts w:ascii="Arial" w:hAnsi="Arial" w:cs="Arial"/>
          <w:sz w:val="20"/>
          <w:szCs w:val="20"/>
        </w:rPr>
      </w:pPr>
      <w:r>
        <w:rPr>
          <w:rFonts w:ascii="Arial" w:hAnsi="Arial" w:cs="Arial"/>
          <w:sz w:val="20"/>
          <w:szCs w:val="20"/>
        </w:rPr>
        <w:t>Kapp, S. K., Gillespie-Lynch, K., Sherman, L. E., &amp; Hutman, T. (2013). Deficit, difference, or both? Autism and neurodiversity. </w:t>
      </w:r>
      <w:r>
        <w:rPr>
          <w:rFonts w:ascii="Arial" w:hAnsi="Arial" w:cs="Arial"/>
          <w:i/>
          <w:iCs/>
          <w:sz w:val="20"/>
          <w:szCs w:val="20"/>
        </w:rPr>
        <w:t>Developmental Psychology</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(1), 59-71. </w:t>
      </w:r>
      <w:r>
        <w:fldChar w:fldCharType="begin"/>
      </w:r>
      <w:r>
        <w:instrText xml:space="preserve"> HYPERLINK "https://doi.org/10.1037/a0028353" </w:instrText>
      </w:r>
      <w:r>
        <w:fldChar w:fldCharType="separate"/>
      </w:r>
      <w:r>
        <w:rPr>
          <w:rStyle w:val="19"/>
          <w:rFonts w:ascii="Arial" w:hAnsi="Arial" w:cs="Arial"/>
          <w:sz w:val="20"/>
          <w:szCs w:val="20"/>
        </w:rPr>
        <w:t>https://doi.org/10.1037/a0028353</w:t>
      </w:r>
      <w:r>
        <w:rPr>
          <w:rStyle w:val="19"/>
          <w:rFonts w:ascii="Arial" w:hAnsi="Arial" w:cs="Arial"/>
          <w:sz w:val="20"/>
          <w:szCs w:val="20"/>
        </w:rPr>
        <w:fldChar w:fldCharType="end"/>
      </w:r>
    </w:p>
    <w:p w14:paraId="7BCF7E78">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Kroll, E., Lederman, M., Kohlmeier, J., Kumar, K., Ballard, J., Zant, I., &amp; Fenkel, C. (2024). The positive impact of identity-affirming mental health treatment for neurodivergent individuals. </w:t>
      </w:r>
      <w:r>
        <w:rPr>
          <w:rFonts w:ascii="Arial" w:hAnsi="Arial" w:eastAsia="Segoe UI" w:cs="Arial"/>
          <w:i/>
          <w:iCs/>
          <w:color w:val="212121"/>
          <w:sz w:val="20"/>
          <w:szCs w:val="20"/>
          <w:shd w:val="clear" w:color="auto" w:fill="FFFFFF"/>
        </w:rPr>
        <w:t xml:space="preserve">Frontiers in </w:t>
      </w:r>
      <w:r>
        <w:rPr>
          <w:rFonts w:ascii="Arial" w:hAnsi="Arial" w:eastAsia="Segoe UI" w:cs="Arial"/>
          <w:i/>
          <w:iCs/>
          <w:color w:val="212121"/>
          <w:sz w:val="20"/>
          <w:szCs w:val="20"/>
          <w:shd w:val="clear" w:color="auto" w:fill="FFFFFF"/>
          <w:lang w:val="en-SG"/>
        </w:rPr>
        <w:t>P</w:t>
      </w:r>
      <w:r>
        <w:rPr>
          <w:rFonts w:ascii="Arial" w:hAnsi="Arial" w:eastAsia="Segoe UI" w:cs="Arial"/>
          <w:i/>
          <w:iCs/>
          <w:color w:val="212121"/>
          <w:sz w:val="20"/>
          <w:szCs w:val="20"/>
          <w:shd w:val="clear" w:color="auto" w:fill="FFFFFF"/>
        </w:rPr>
        <w:t>sychology</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15</w:t>
      </w:r>
      <w:r>
        <w:rPr>
          <w:rFonts w:ascii="Arial" w:hAnsi="Arial" w:eastAsia="Segoe UI" w:cs="Arial"/>
          <w:color w:val="212121"/>
          <w:sz w:val="20"/>
          <w:szCs w:val="20"/>
          <w:shd w:val="clear" w:color="auto" w:fill="FFFFFF"/>
          <w:lang w:val="en-SG"/>
        </w:rPr>
        <w:t>. Article ID:</w:t>
      </w:r>
      <w:r>
        <w:rPr>
          <w:rFonts w:ascii="Arial" w:hAnsi="Arial" w:eastAsia="Segoe UI" w:cs="Arial"/>
          <w:color w:val="212121"/>
          <w:sz w:val="20"/>
          <w:szCs w:val="20"/>
          <w:shd w:val="clear" w:color="auto" w:fill="FFFFFF"/>
        </w:rPr>
        <w:t xml:space="preserve"> 1403129. </w:t>
      </w:r>
      <w:r>
        <w:fldChar w:fldCharType="begin"/>
      </w:r>
      <w:r>
        <w:instrText xml:space="preserve"> HYPERLINK "https://doi.org/10.3389/fpsyg.2024.1403129" </w:instrText>
      </w:r>
      <w:r>
        <w:fldChar w:fldCharType="separate"/>
      </w:r>
      <w:r>
        <w:rPr>
          <w:rStyle w:val="19"/>
          <w:rFonts w:ascii="Arial" w:hAnsi="Arial" w:eastAsia="Segoe UI" w:cs="Arial"/>
          <w:sz w:val="20"/>
          <w:szCs w:val="20"/>
          <w:shd w:val="clear" w:color="auto" w:fill="FFFFFF"/>
        </w:rPr>
        <w:t>https://doi.org/10.3389/fpsyg.2024.1403129</w:t>
      </w:r>
      <w:r>
        <w:rPr>
          <w:rStyle w:val="19"/>
          <w:rFonts w:ascii="Arial" w:hAnsi="Arial" w:eastAsia="Segoe UI" w:cs="Arial"/>
          <w:sz w:val="20"/>
          <w:szCs w:val="20"/>
          <w:shd w:val="clear" w:color="auto" w:fill="FFFFFF"/>
        </w:rPr>
        <w:fldChar w:fldCharType="end"/>
      </w:r>
    </w:p>
    <w:p w14:paraId="0F137E9A">
      <w:pPr>
        <w:ind w:left="440" w:hanging="440" w:hangingChars="220"/>
        <w:rPr>
          <w:rFonts w:ascii="Arial" w:hAnsi="Arial" w:eastAsia="DengXian" w:cs="Arial"/>
          <w:sz w:val="20"/>
          <w:szCs w:val="20"/>
          <w:lang w:bidi="ar"/>
        </w:rPr>
      </w:pPr>
      <w:r>
        <w:rPr>
          <w:rFonts w:ascii="Arial" w:hAnsi="Arial" w:eastAsia="DengXian" w:cs="Arial"/>
          <w:sz w:val="20"/>
          <w:szCs w:val="20"/>
          <w:lang w:bidi="ar"/>
        </w:rPr>
        <w:t xml:space="preserve">Kuzminski, R.,  Bölte, S.,  Lawson, W.,  Falkmer, M.,  Black, M. H.,  Girdler, S., &amp; Milbourn, B. (2024). A co-produced exploration of factors influential to quality of life from the perspective of autistic adults. </w:t>
      </w:r>
      <w:r>
        <w:rPr>
          <w:rFonts w:ascii="Arial" w:hAnsi="Arial" w:eastAsia="DengXian" w:cs="Arial"/>
          <w:i/>
          <w:iCs/>
          <w:sz w:val="20"/>
          <w:szCs w:val="20"/>
          <w:lang w:bidi="ar"/>
        </w:rPr>
        <w:t>Autism in Adulthood</w:t>
      </w:r>
      <w:r>
        <w:rPr>
          <w:rFonts w:ascii="Arial" w:hAnsi="Arial" w:eastAsia="DengXian" w:cs="Arial"/>
          <w:sz w:val="20"/>
          <w:szCs w:val="20"/>
          <w:lang w:bidi="ar"/>
        </w:rPr>
        <w:t xml:space="preserve">, 0(0). </w:t>
      </w:r>
      <w:r>
        <w:fldChar w:fldCharType="begin"/>
      </w:r>
      <w:r>
        <w:instrText xml:space="preserve"> HYPERLINK "https://doi.org/10.1089/aut.2023.0091" </w:instrText>
      </w:r>
      <w:r>
        <w:fldChar w:fldCharType="separate"/>
      </w:r>
      <w:r>
        <w:rPr>
          <w:rStyle w:val="19"/>
          <w:rFonts w:ascii="Arial" w:hAnsi="Arial" w:cs="Arial"/>
          <w:sz w:val="20"/>
          <w:szCs w:val="20"/>
        </w:rPr>
        <w:t>https://doi.org/10.1089/aut.2023.0091</w:t>
      </w:r>
      <w:r>
        <w:rPr>
          <w:rStyle w:val="19"/>
          <w:rFonts w:ascii="Arial" w:hAnsi="Arial" w:cs="Arial"/>
          <w:sz w:val="20"/>
          <w:szCs w:val="20"/>
        </w:rPr>
        <w:fldChar w:fldCharType="end"/>
      </w:r>
    </w:p>
    <w:p w14:paraId="422B2775">
      <w:pPr>
        <w:ind w:left="440" w:hanging="440" w:hangingChars="220"/>
        <w:rPr>
          <w:rStyle w:val="19"/>
          <w:rFonts w:ascii="Arial" w:hAnsi="Arial" w:cs="Arial"/>
          <w:sz w:val="20"/>
          <w:szCs w:val="20"/>
        </w:rPr>
      </w:pPr>
      <w:r>
        <w:rPr>
          <w:rFonts w:ascii="Arial" w:hAnsi="Arial" w:cs="Arial"/>
          <w:sz w:val="20"/>
          <w:szCs w:val="20"/>
        </w:rPr>
        <w:t>Lai, M. C., Anagnostou, E., Wiznitzer, M., Allison, C., &amp; Baron-Cohen, S. (2020). Evidence-based support for autistic people across the lifespan: Maximizing potential, minimizing barriers, and optimizing the person-environment fit. </w:t>
      </w:r>
      <w:r>
        <w:rPr>
          <w:rFonts w:ascii="Arial" w:hAnsi="Arial" w:cs="Arial"/>
          <w:i/>
          <w:iCs/>
          <w:sz w:val="20"/>
          <w:szCs w:val="20"/>
        </w:rPr>
        <w:t>The Lancet. Neurology</w:t>
      </w:r>
      <w:r>
        <w:rPr>
          <w:rFonts w:ascii="Arial" w:hAnsi="Arial" w:cs="Arial"/>
          <w:sz w:val="20"/>
          <w:szCs w:val="20"/>
        </w:rPr>
        <w:t>, </w:t>
      </w:r>
      <w:r>
        <w:rPr>
          <w:rFonts w:ascii="Arial" w:hAnsi="Arial" w:cs="Arial"/>
          <w:i/>
          <w:iCs/>
          <w:sz w:val="20"/>
          <w:szCs w:val="20"/>
        </w:rPr>
        <w:t>19</w:t>
      </w:r>
      <w:r>
        <w:rPr>
          <w:rFonts w:ascii="Arial" w:hAnsi="Arial" w:cs="Arial"/>
          <w:sz w:val="20"/>
          <w:szCs w:val="20"/>
        </w:rPr>
        <w:t xml:space="preserve">(5), 434-451. </w:t>
      </w:r>
      <w:r>
        <w:fldChar w:fldCharType="begin"/>
      </w:r>
      <w:r>
        <w:instrText xml:space="preserve"> HYPERLINK "https://doi.org/10.1016/S1474-4422(20)30034-X" </w:instrText>
      </w:r>
      <w:r>
        <w:fldChar w:fldCharType="separate"/>
      </w:r>
      <w:r>
        <w:rPr>
          <w:rStyle w:val="19"/>
          <w:rFonts w:ascii="Arial" w:hAnsi="Arial" w:cs="Arial"/>
          <w:sz w:val="20"/>
          <w:szCs w:val="20"/>
        </w:rPr>
        <w:t>https://doi.org/10.1016/S1474-4422(20)30034-X</w:t>
      </w:r>
      <w:r>
        <w:rPr>
          <w:rStyle w:val="19"/>
          <w:rFonts w:ascii="Arial" w:hAnsi="Arial" w:cs="Arial"/>
          <w:sz w:val="20"/>
          <w:szCs w:val="20"/>
        </w:rPr>
        <w:fldChar w:fldCharType="end"/>
      </w:r>
    </w:p>
    <w:p w14:paraId="030E6C10">
      <w:pPr>
        <w:ind w:left="440" w:hanging="440" w:hangingChars="220"/>
        <w:rPr>
          <w:rFonts w:ascii="Arial" w:hAnsi="Arial" w:cs="Arial"/>
          <w:sz w:val="20"/>
          <w:szCs w:val="20"/>
          <w:lang w:val="en-SG"/>
        </w:rPr>
      </w:pPr>
      <w:r>
        <w:rPr>
          <w:rFonts w:ascii="Arial" w:hAnsi="Arial" w:cs="Arial"/>
          <w:sz w:val="20"/>
          <w:szCs w:val="20"/>
        </w:rPr>
        <w:t>Lai, M. C., Kassee, C., Besney, R., Bonato, S., Hull, L., Mandy, W., Szatmari, P., &amp; Ameis, S. H. (2019). Prevalence of co-occurring mental health diagnoses in the autism population: a systematic review and meta-analysis. </w:t>
      </w:r>
      <w:r>
        <w:rPr>
          <w:rFonts w:ascii="Arial" w:hAnsi="Arial" w:cs="Arial"/>
          <w:i/>
          <w:iCs/>
          <w:sz w:val="20"/>
          <w:szCs w:val="20"/>
        </w:rPr>
        <w:t>The lancet. Psychiatry</w:t>
      </w:r>
      <w:r>
        <w:rPr>
          <w:rFonts w:ascii="Arial" w:hAnsi="Arial" w:cs="Arial"/>
          <w:sz w:val="20"/>
          <w:szCs w:val="20"/>
        </w:rPr>
        <w:t>, </w:t>
      </w:r>
      <w:r>
        <w:rPr>
          <w:rFonts w:ascii="Arial" w:hAnsi="Arial" w:cs="Arial"/>
          <w:i/>
          <w:iCs/>
          <w:sz w:val="20"/>
          <w:szCs w:val="20"/>
        </w:rPr>
        <w:t>6</w:t>
      </w:r>
      <w:r>
        <w:rPr>
          <w:rFonts w:ascii="Arial" w:hAnsi="Arial" w:cs="Arial"/>
          <w:sz w:val="20"/>
          <w:szCs w:val="20"/>
        </w:rPr>
        <w:t>(10), 819</w:t>
      </w:r>
      <w:r>
        <w:rPr>
          <w:rFonts w:ascii="Arial" w:hAnsi="Arial" w:cs="Arial"/>
          <w:sz w:val="20"/>
          <w:szCs w:val="20"/>
          <w:lang w:val="en-SG"/>
        </w:rPr>
        <w:t>-</w:t>
      </w:r>
      <w:r>
        <w:rPr>
          <w:rFonts w:ascii="Arial" w:hAnsi="Arial" w:cs="Arial"/>
          <w:sz w:val="20"/>
          <w:szCs w:val="20"/>
        </w:rPr>
        <w:t xml:space="preserve">829. </w:t>
      </w:r>
      <w:r>
        <w:fldChar w:fldCharType="begin"/>
      </w:r>
      <w:r>
        <w:instrText xml:space="preserve"> HYPERLINK "https://doi.org/10.1016/S2215-0366(19)30289-5" </w:instrText>
      </w:r>
      <w:r>
        <w:fldChar w:fldCharType="separate"/>
      </w:r>
      <w:r>
        <w:rPr>
          <w:rStyle w:val="19"/>
          <w:rFonts w:ascii="Arial" w:hAnsi="Arial" w:cs="Arial"/>
          <w:sz w:val="20"/>
          <w:szCs w:val="20"/>
        </w:rPr>
        <w:t>https://doi.org/10.1016/S2215-0366(19)30289-5</w:t>
      </w:r>
      <w:r>
        <w:rPr>
          <w:rStyle w:val="19"/>
          <w:rFonts w:ascii="Arial" w:hAnsi="Arial" w:cs="Arial"/>
          <w:sz w:val="20"/>
          <w:szCs w:val="20"/>
        </w:rPr>
        <w:fldChar w:fldCharType="end"/>
      </w:r>
      <w:r>
        <w:rPr>
          <w:rFonts w:ascii="Arial" w:hAnsi="Arial" w:cs="Arial"/>
          <w:sz w:val="20"/>
          <w:szCs w:val="20"/>
          <w:lang w:val="en-SG"/>
        </w:rPr>
        <w:t xml:space="preserve"> </w:t>
      </w:r>
    </w:p>
    <w:p w14:paraId="4918844F">
      <w:pPr>
        <w:ind w:left="440" w:hanging="440" w:hangingChars="220"/>
        <w:rPr>
          <w:rFonts w:ascii="Arial" w:hAnsi="Arial" w:cs="Arial"/>
          <w:sz w:val="20"/>
          <w:szCs w:val="20"/>
        </w:rPr>
      </w:pPr>
      <w:r>
        <w:rPr>
          <w:rFonts w:ascii="Arial" w:hAnsi="Arial" w:eastAsia="DengXian" w:cs="Arial"/>
          <w:sz w:val="20"/>
          <w:szCs w:val="20"/>
          <w:lang w:bidi="ar"/>
        </w:rPr>
        <w:t xml:space="preserve">Lang, R., Regester, A., Rispoli, M., Pimentel, S., &amp; Camargo, H. (2010). Rehabilitation issues in autism spectrum disorders. </w:t>
      </w:r>
      <w:r>
        <w:rPr>
          <w:rFonts w:ascii="Arial" w:hAnsi="Arial" w:eastAsia="DengXian" w:cs="Arial"/>
          <w:i/>
          <w:iCs/>
          <w:sz w:val="20"/>
          <w:szCs w:val="20"/>
          <w:lang w:bidi="ar"/>
        </w:rPr>
        <w:t>Developmental Neurorehabilitation</w:t>
      </w:r>
      <w:r>
        <w:rPr>
          <w:rFonts w:ascii="Arial" w:hAnsi="Arial" w:eastAsia="DengXian" w:cs="Arial"/>
          <w:sz w:val="20"/>
          <w:szCs w:val="20"/>
          <w:lang w:bidi="ar"/>
        </w:rPr>
        <w:t xml:space="preserve">, </w:t>
      </w:r>
      <w:r>
        <w:rPr>
          <w:rFonts w:ascii="Arial" w:hAnsi="Arial" w:eastAsia="DengXian" w:cs="Arial"/>
          <w:i/>
          <w:iCs/>
          <w:sz w:val="20"/>
          <w:szCs w:val="20"/>
          <w:lang w:bidi="ar"/>
        </w:rPr>
        <w:t>13</w:t>
      </w:r>
      <w:r>
        <w:rPr>
          <w:rFonts w:ascii="Arial" w:hAnsi="Arial" w:eastAsia="DengXian" w:cs="Arial"/>
          <w:sz w:val="20"/>
          <w:szCs w:val="20"/>
          <w:lang w:bidi="ar"/>
        </w:rPr>
        <w:t xml:space="preserve">(3), 153-155. </w:t>
      </w:r>
      <w:r>
        <w:fldChar w:fldCharType="begin"/>
      </w:r>
      <w:r>
        <w:instrText xml:space="preserve"> HYPERLINK "https://doi.org/10.3109/17518421003607597" </w:instrText>
      </w:r>
      <w:r>
        <w:fldChar w:fldCharType="separate"/>
      </w:r>
      <w:r>
        <w:rPr>
          <w:rStyle w:val="19"/>
          <w:rFonts w:ascii="Arial" w:hAnsi="Arial" w:cs="Arial"/>
          <w:sz w:val="20"/>
          <w:szCs w:val="20"/>
        </w:rPr>
        <w:t>https://doi.org/10.3109/17518421003607597</w:t>
      </w:r>
      <w:r>
        <w:rPr>
          <w:rStyle w:val="19"/>
          <w:rFonts w:ascii="Arial" w:hAnsi="Arial" w:cs="Arial"/>
          <w:sz w:val="20"/>
          <w:szCs w:val="20"/>
        </w:rPr>
        <w:fldChar w:fldCharType="end"/>
      </w:r>
      <w:r>
        <w:rPr>
          <w:rFonts w:ascii="Arial" w:hAnsi="Arial" w:eastAsia="DengXian" w:cs="Arial"/>
          <w:sz w:val="20"/>
          <w:szCs w:val="20"/>
          <w:lang w:bidi="ar"/>
        </w:rPr>
        <w:t xml:space="preserve"> </w:t>
      </w:r>
    </w:p>
    <w:p w14:paraId="74C8643F">
      <w:pPr>
        <w:ind w:left="440" w:hanging="440" w:hangingChars="220"/>
        <w:rPr>
          <w:rFonts w:ascii="Arial" w:hAnsi="Arial" w:eastAsia="DengXian" w:cs="Arial"/>
          <w:sz w:val="20"/>
          <w:szCs w:val="20"/>
          <w:lang w:bidi="ar"/>
        </w:rPr>
      </w:pPr>
      <w:r>
        <w:rPr>
          <w:rFonts w:ascii="Arial" w:hAnsi="Arial" w:eastAsia="DengXian" w:cs="Arial"/>
          <w:sz w:val="20"/>
          <w:szCs w:val="20"/>
          <w:lang w:bidi="ar"/>
        </w:rPr>
        <w:t xml:space="preserve">LeBlanc, L. A., Riley, A. R., &amp;  Goldsmith, T. R. (2008). Autism spectrum disorders: A lifespan perspective. In J. L. Matson (Ed.), </w:t>
      </w:r>
      <w:r>
        <w:rPr>
          <w:rFonts w:ascii="Arial" w:hAnsi="Arial" w:eastAsia="DengXian" w:cs="Arial"/>
          <w:i/>
          <w:iCs/>
          <w:sz w:val="20"/>
          <w:szCs w:val="20"/>
          <w:lang w:bidi="ar"/>
        </w:rPr>
        <w:t>Clinical assessment and intervention for autism spectrum disorders: Practical resources for the mental health professional</w:t>
      </w:r>
      <w:r>
        <w:rPr>
          <w:rFonts w:ascii="Arial" w:hAnsi="Arial" w:eastAsia="DengXian" w:cs="Arial"/>
          <w:sz w:val="20"/>
          <w:szCs w:val="20"/>
          <w:lang w:bidi="ar"/>
        </w:rPr>
        <w:t xml:space="preserve"> (pp. 65-87). Academic Press. </w:t>
      </w:r>
      <w:r>
        <w:fldChar w:fldCharType="begin"/>
      </w:r>
      <w:r>
        <w:instrText xml:space="preserve"> HYPERLINK "https://doi.org/10.1016/B978-012373606-2.50005-X" \t "C:\Users\CHIAKO~1\AppData\Local\Temp\_blank" \o "Persistent link using digital object identifier" </w:instrText>
      </w:r>
      <w:r>
        <w:fldChar w:fldCharType="separate"/>
      </w:r>
      <w:r>
        <w:rPr>
          <w:rStyle w:val="19"/>
          <w:rFonts w:ascii="Arial" w:hAnsi="Arial" w:cs="Arial"/>
          <w:sz w:val="20"/>
          <w:szCs w:val="20"/>
        </w:rPr>
        <w:t>https://doi.org/10.1016/B978-012373606-2.50005-X</w:t>
      </w:r>
      <w:r>
        <w:rPr>
          <w:rStyle w:val="19"/>
          <w:rFonts w:ascii="Arial" w:hAnsi="Arial" w:cs="Arial"/>
          <w:sz w:val="20"/>
          <w:szCs w:val="20"/>
        </w:rPr>
        <w:fldChar w:fldCharType="end"/>
      </w:r>
    </w:p>
    <w:p w14:paraId="00605D41">
      <w:pPr>
        <w:ind w:left="440" w:hanging="440" w:hangingChars="220"/>
        <w:rPr>
          <w:rFonts w:ascii="Arial" w:hAnsi="Arial" w:eastAsia="SimSun" w:cs="Arial"/>
          <w:sz w:val="20"/>
          <w:szCs w:val="20"/>
          <w:lang w:val="en-SG"/>
        </w:rPr>
      </w:pPr>
      <w:r>
        <w:rPr>
          <w:rFonts w:ascii="Arial" w:hAnsi="Arial" w:eastAsia="SimSun" w:cs="Arial"/>
          <w:sz w:val="20"/>
          <w:szCs w:val="20"/>
        </w:rPr>
        <w:t>Liu,</w:t>
      </w:r>
      <w:r>
        <w:rPr>
          <w:rFonts w:ascii="Arial" w:hAnsi="Arial" w:eastAsia="SimSun" w:cs="Arial"/>
          <w:sz w:val="20"/>
          <w:szCs w:val="20"/>
          <w:lang w:val="en-SG"/>
        </w:rPr>
        <w:t xml:space="preserve"> A.,</w:t>
      </w:r>
      <w:r>
        <w:rPr>
          <w:rFonts w:ascii="Arial" w:hAnsi="Arial" w:eastAsia="SimSun" w:cs="Arial"/>
          <w:sz w:val="20"/>
          <w:szCs w:val="20"/>
        </w:rPr>
        <w:t xml:space="preserve"> Lu,</w:t>
      </w:r>
      <w:r>
        <w:rPr>
          <w:rFonts w:ascii="Arial" w:hAnsi="Arial" w:eastAsia="SimSun" w:cs="Arial"/>
          <w:sz w:val="20"/>
          <w:szCs w:val="20"/>
          <w:lang w:val="en-SG"/>
        </w:rPr>
        <w:t xml:space="preserve"> Y.,</w:t>
      </w:r>
      <w:r>
        <w:rPr>
          <w:rFonts w:ascii="Arial" w:hAnsi="Arial" w:eastAsia="SimSun" w:cs="Arial"/>
          <w:sz w:val="20"/>
          <w:szCs w:val="20"/>
        </w:rPr>
        <w:t xml:space="preserve"> Gong,</w:t>
      </w:r>
      <w:r>
        <w:rPr>
          <w:rFonts w:ascii="Arial" w:hAnsi="Arial" w:eastAsia="SimSun" w:cs="Arial"/>
          <w:sz w:val="20"/>
          <w:szCs w:val="20"/>
          <w:lang w:val="en-SG"/>
        </w:rPr>
        <w:t xml:space="preserve"> C.,</w:t>
      </w:r>
      <w:r>
        <w:rPr>
          <w:rFonts w:ascii="Arial" w:hAnsi="Arial" w:eastAsia="SimSun" w:cs="Arial"/>
          <w:sz w:val="20"/>
          <w:szCs w:val="20"/>
        </w:rPr>
        <w:t xml:space="preserve"> Sun,</w:t>
      </w:r>
      <w:r>
        <w:rPr>
          <w:rFonts w:ascii="Arial" w:hAnsi="Arial" w:eastAsia="SimSun" w:cs="Arial"/>
          <w:sz w:val="20"/>
          <w:szCs w:val="20"/>
          <w:lang w:val="en-SG"/>
        </w:rPr>
        <w:t xml:space="preserve"> J.,</w:t>
      </w:r>
      <w:r>
        <w:rPr>
          <w:rFonts w:ascii="Arial" w:hAnsi="Arial" w:eastAsia="SimSun" w:cs="Arial"/>
          <w:sz w:val="20"/>
          <w:szCs w:val="20"/>
        </w:rPr>
        <w:t xml:space="preserve"> Wang</w:t>
      </w:r>
      <w:r>
        <w:rPr>
          <w:rFonts w:ascii="Arial" w:hAnsi="Arial" w:eastAsia="SimSun" w:cs="Arial"/>
          <w:sz w:val="20"/>
          <w:szCs w:val="20"/>
          <w:lang w:val="en-SG"/>
        </w:rPr>
        <w:t>, B.,</w:t>
      </w:r>
      <w:r>
        <w:rPr>
          <w:rFonts w:ascii="Arial" w:hAnsi="Arial" w:eastAsia="SimSun" w:cs="Arial"/>
          <w:sz w:val="20"/>
          <w:szCs w:val="20"/>
        </w:rPr>
        <w:t xml:space="preserve"> &amp;</w:t>
      </w:r>
      <w:r>
        <w:rPr>
          <w:rFonts w:ascii="Arial" w:hAnsi="Arial" w:eastAsia="SimSun" w:cs="Arial"/>
          <w:sz w:val="20"/>
          <w:szCs w:val="20"/>
          <w:lang w:val="en-SG"/>
        </w:rPr>
        <w:t xml:space="preserve"> </w:t>
      </w:r>
      <w:r>
        <w:rPr>
          <w:rFonts w:ascii="Arial" w:hAnsi="Arial" w:eastAsia="SimSun" w:cs="Arial"/>
          <w:sz w:val="20"/>
          <w:szCs w:val="20"/>
        </w:rPr>
        <w:t>Jiang</w:t>
      </w:r>
      <w:r>
        <w:rPr>
          <w:rFonts w:ascii="Arial" w:hAnsi="Arial" w:eastAsia="SimSun" w:cs="Arial"/>
          <w:sz w:val="20"/>
          <w:szCs w:val="20"/>
          <w:lang w:val="en-SG"/>
        </w:rPr>
        <w:t>, Z.</w:t>
      </w:r>
      <w:r>
        <w:rPr>
          <w:rFonts w:ascii="Arial" w:hAnsi="Arial" w:eastAsia="SimSun" w:cs="Arial"/>
          <w:sz w:val="20"/>
          <w:szCs w:val="20"/>
        </w:rPr>
        <w:t xml:space="preserve"> (2023)</w:t>
      </w:r>
      <w:r>
        <w:rPr>
          <w:rFonts w:ascii="Arial" w:hAnsi="Arial" w:eastAsia="SimSun" w:cs="Arial"/>
          <w:sz w:val="20"/>
          <w:szCs w:val="20"/>
          <w:lang w:val="en-SG"/>
        </w:rPr>
        <w:t>.</w:t>
      </w:r>
      <w:r>
        <w:rPr>
          <w:rFonts w:ascii="Arial" w:hAnsi="Arial" w:eastAsia="SimSun" w:cs="Arial"/>
          <w:sz w:val="20"/>
          <w:szCs w:val="20"/>
        </w:rPr>
        <w:t xml:space="preserve"> Bibliometric </w:t>
      </w:r>
      <w:r>
        <w:rPr>
          <w:rFonts w:ascii="Arial" w:hAnsi="Arial" w:eastAsia="SimSun" w:cs="Arial"/>
          <w:sz w:val="20"/>
          <w:szCs w:val="20"/>
          <w:lang w:val="en-SG"/>
        </w:rPr>
        <w:t>a</w:t>
      </w:r>
      <w:r>
        <w:rPr>
          <w:rFonts w:ascii="Arial" w:hAnsi="Arial" w:eastAsia="SimSun" w:cs="Arial"/>
          <w:sz w:val="20"/>
          <w:szCs w:val="20"/>
        </w:rPr>
        <w:t xml:space="preserve">nalysis of </w:t>
      </w:r>
      <w:r>
        <w:rPr>
          <w:rFonts w:ascii="Arial" w:hAnsi="Arial" w:eastAsia="SimSun" w:cs="Arial"/>
          <w:sz w:val="20"/>
          <w:szCs w:val="20"/>
          <w:lang w:val="en-SG"/>
        </w:rPr>
        <w:t>r</w:t>
      </w:r>
      <w:r>
        <w:rPr>
          <w:rFonts w:ascii="Arial" w:hAnsi="Arial" w:eastAsia="SimSun" w:cs="Arial"/>
          <w:sz w:val="20"/>
          <w:szCs w:val="20"/>
        </w:rPr>
        <w:t xml:space="preserve">esearch </w:t>
      </w:r>
      <w:r>
        <w:rPr>
          <w:rFonts w:ascii="Arial" w:hAnsi="Arial" w:eastAsia="SimSun" w:cs="Arial"/>
          <w:sz w:val="20"/>
          <w:szCs w:val="20"/>
          <w:lang w:val="en-SG"/>
        </w:rPr>
        <w:t>t</w:t>
      </w:r>
      <w:r>
        <w:rPr>
          <w:rFonts w:ascii="Arial" w:hAnsi="Arial" w:eastAsia="SimSun" w:cs="Arial"/>
          <w:sz w:val="20"/>
          <w:szCs w:val="20"/>
        </w:rPr>
        <w:t xml:space="preserve">hemes and </w:t>
      </w:r>
      <w:r>
        <w:rPr>
          <w:rFonts w:ascii="Arial" w:hAnsi="Arial" w:eastAsia="SimSun" w:cs="Arial"/>
          <w:sz w:val="20"/>
          <w:szCs w:val="20"/>
          <w:lang w:val="en-SG"/>
        </w:rPr>
        <w:t>t</w:t>
      </w:r>
      <w:r>
        <w:rPr>
          <w:rFonts w:ascii="Arial" w:hAnsi="Arial" w:eastAsia="SimSun" w:cs="Arial"/>
          <w:sz w:val="20"/>
          <w:szCs w:val="20"/>
        </w:rPr>
        <w:t xml:space="preserve">rends of the </w:t>
      </w:r>
      <w:r>
        <w:rPr>
          <w:rFonts w:ascii="Arial" w:hAnsi="Arial" w:eastAsia="SimSun" w:cs="Arial"/>
          <w:sz w:val="20"/>
          <w:szCs w:val="20"/>
          <w:lang w:val="en-SG"/>
        </w:rPr>
        <w:t>c</w:t>
      </w:r>
      <w:r>
        <w:rPr>
          <w:rFonts w:ascii="Arial" w:hAnsi="Arial" w:eastAsia="SimSun" w:cs="Arial"/>
          <w:sz w:val="20"/>
          <w:szCs w:val="20"/>
        </w:rPr>
        <w:t>o-</w:t>
      </w:r>
      <w:r>
        <w:rPr>
          <w:rFonts w:ascii="Arial" w:hAnsi="Arial" w:eastAsia="SimSun" w:cs="Arial"/>
          <w:sz w:val="20"/>
          <w:szCs w:val="20"/>
          <w:lang w:val="en-SG"/>
        </w:rPr>
        <w:t>o</w:t>
      </w:r>
      <w:r>
        <w:rPr>
          <w:rFonts w:ascii="Arial" w:hAnsi="Arial" w:eastAsia="SimSun" w:cs="Arial"/>
          <w:sz w:val="20"/>
          <w:szCs w:val="20"/>
        </w:rPr>
        <w:t xml:space="preserve">ccurrence of </w:t>
      </w:r>
      <w:r>
        <w:rPr>
          <w:rFonts w:ascii="Arial" w:hAnsi="Arial" w:eastAsia="SimSun" w:cs="Arial"/>
          <w:sz w:val="20"/>
          <w:szCs w:val="20"/>
          <w:lang w:val="en-SG"/>
        </w:rPr>
        <w:t>a</w:t>
      </w:r>
      <w:r>
        <w:rPr>
          <w:rFonts w:ascii="Arial" w:hAnsi="Arial" w:eastAsia="SimSun" w:cs="Arial"/>
          <w:sz w:val="20"/>
          <w:szCs w:val="20"/>
        </w:rPr>
        <w:t>utism and ADHD</w:t>
      </w:r>
      <w:r>
        <w:rPr>
          <w:rFonts w:ascii="Arial" w:hAnsi="Arial" w:eastAsia="SimSun" w:cs="Arial"/>
          <w:sz w:val="20"/>
          <w:szCs w:val="20"/>
          <w:lang w:val="en-SG"/>
        </w:rPr>
        <w:t>.</w:t>
      </w:r>
      <w:r>
        <w:rPr>
          <w:rFonts w:ascii="Arial" w:hAnsi="Arial" w:eastAsia="SimSun" w:cs="Arial"/>
          <w:sz w:val="20"/>
          <w:szCs w:val="20"/>
        </w:rPr>
        <w:t xml:space="preserve"> </w:t>
      </w:r>
      <w:r>
        <w:rPr>
          <w:rFonts w:ascii="Arial" w:hAnsi="Arial" w:eastAsia="SimSun" w:cs="Arial"/>
          <w:i/>
          <w:iCs/>
          <w:sz w:val="20"/>
          <w:szCs w:val="20"/>
        </w:rPr>
        <w:t>Neuropsychiatric Disease and Treatment</w:t>
      </w:r>
      <w:r>
        <w:rPr>
          <w:rFonts w:ascii="Arial" w:hAnsi="Arial" w:eastAsia="SimSun" w:cs="Arial"/>
          <w:sz w:val="20"/>
          <w:szCs w:val="20"/>
        </w:rPr>
        <w:t xml:space="preserve">, </w:t>
      </w:r>
      <w:r>
        <w:rPr>
          <w:rFonts w:ascii="Arial" w:hAnsi="Arial" w:eastAsia="SimSun" w:cs="Arial"/>
          <w:i/>
          <w:iCs/>
          <w:sz w:val="20"/>
          <w:szCs w:val="20"/>
          <w:lang w:val="en-SG"/>
        </w:rPr>
        <w:t>19</w:t>
      </w:r>
      <w:r>
        <w:rPr>
          <w:rFonts w:ascii="Arial" w:hAnsi="Arial" w:eastAsia="SimSun" w:cs="Arial"/>
          <w:sz w:val="20"/>
          <w:szCs w:val="20"/>
        </w:rPr>
        <w:t>, 985-1002</w:t>
      </w:r>
      <w:r>
        <w:rPr>
          <w:rFonts w:ascii="Arial" w:hAnsi="Arial" w:eastAsia="SimSun" w:cs="Arial"/>
          <w:sz w:val="20"/>
          <w:szCs w:val="20"/>
          <w:lang w:val="en-SG"/>
        </w:rPr>
        <w:t xml:space="preserve">. </w:t>
      </w:r>
      <w:r>
        <w:fldChar w:fldCharType="begin"/>
      </w:r>
      <w:r>
        <w:instrText xml:space="preserve"> HYPERLINK "https://doi.org/10.2147/NDT.S404801" </w:instrText>
      </w:r>
      <w:r>
        <w:fldChar w:fldCharType="separate"/>
      </w:r>
      <w:r>
        <w:rPr>
          <w:rStyle w:val="19"/>
          <w:rFonts w:ascii="Arial" w:hAnsi="Arial" w:eastAsia="SimSun" w:cs="Arial"/>
          <w:sz w:val="20"/>
          <w:szCs w:val="20"/>
          <w:lang w:val="en-SG"/>
        </w:rPr>
        <w:t>https://doi.org/</w:t>
      </w:r>
      <w:r>
        <w:rPr>
          <w:rStyle w:val="19"/>
          <w:rFonts w:ascii="Arial" w:hAnsi="Arial" w:eastAsia="SimSun" w:cs="Arial"/>
          <w:sz w:val="20"/>
          <w:szCs w:val="20"/>
        </w:rPr>
        <w:t>10.2147/NDT.S404801</w:t>
      </w:r>
      <w:r>
        <w:rPr>
          <w:rStyle w:val="19"/>
          <w:rFonts w:ascii="Arial" w:hAnsi="Arial" w:eastAsia="SimSun" w:cs="Arial"/>
          <w:sz w:val="20"/>
          <w:szCs w:val="20"/>
        </w:rPr>
        <w:fldChar w:fldCharType="end"/>
      </w:r>
      <w:r>
        <w:rPr>
          <w:rFonts w:ascii="Arial" w:hAnsi="Arial" w:eastAsia="SimSun" w:cs="Arial"/>
          <w:sz w:val="20"/>
          <w:szCs w:val="20"/>
          <w:lang w:val="en-SG"/>
        </w:rPr>
        <w:t xml:space="preserve"> </w:t>
      </w:r>
    </w:p>
    <w:p w14:paraId="66C288B1">
      <w:pPr>
        <w:ind w:left="440" w:hanging="440" w:hangingChars="220"/>
        <w:rPr>
          <w:rStyle w:val="19"/>
          <w:rFonts w:ascii="Arial" w:hAnsi="Arial" w:cs="Arial"/>
          <w:sz w:val="20"/>
          <w:szCs w:val="20"/>
        </w:rPr>
      </w:pPr>
      <w:r>
        <w:rPr>
          <w:rFonts w:ascii="Arial" w:hAnsi="Arial" w:cs="Arial"/>
          <w:sz w:val="20"/>
          <w:szCs w:val="20"/>
        </w:rPr>
        <w:t>Lord, C., Elsabbagh, M., Baird, G., &amp; Veenstra-Vanderweele, J. (2018). Autism spectrum disorder. </w:t>
      </w:r>
      <w:r>
        <w:rPr>
          <w:rFonts w:ascii="Arial" w:hAnsi="Arial" w:cs="Arial"/>
          <w:i/>
          <w:iCs/>
          <w:sz w:val="20"/>
          <w:szCs w:val="20"/>
        </w:rPr>
        <w:t>Lancet (London, England)</w:t>
      </w:r>
      <w:r>
        <w:rPr>
          <w:rFonts w:ascii="Arial" w:hAnsi="Arial" w:cs="Arial"/>
          <w:sz w:val="20"/>
          <w:szCs w:val="20"/>
        </w:rPr>
        <w:t>, </w:t>
      </w:r>
      <w:r>
        <w:rPr>
          <w:rFonts w:ascii="Arial" w:hAnsi="Arial" w:cs="Arial"/>
          <w:i/>
          <w:iCs/>
          <w:sz w:val="20"/>
          <w:szCs w:val="20"/>
        </w:rPr>
        <w:t>392</w:t>
      </w:r>
      <w:r>
        <w:rPr>
          <w:rFonts w:ascii="Arial" w:hAnsi="Arial" w:cs="Arial"/>
          <w:sz w:val="20"/>
          <w:szCs w:val="20"/>
        </w:rPr>
        <w:t xml:space="preserve">(10146), 508–520. </w:t>
      </w:r>
      <w:r>
        <w:fldChar w:fldCharType="begin"/>
      </w:r>
      <w:r>
        <w:instrText xml:space="preserve"> HYPERLINK "https://doi.org/10.1016/S0140-6736(18)31129-2" </w:instrText>
      </w:r>
      <w:r>
        <w:fldChar w:fldCharType="separate"/>
      </w:r>
      <w:r>
        <w:rPr>
          <w:rStyle w:val="19"/>
          <w:rFonts w:ascii="Arial" w:hAnsi="Arial" w:cs="Arial"/>
          <w:sz w:val="20"/>
          <w:szCs w:val="20"/>
        </w:rPr>
        <w:t>https://doi.org/10.1016/S0140-6736(18)31129-2</w:t>
      </w:r>
      <w:r>
        <w:rPr>
          <w:rStyle w:val="19"/>
          <w:rFonts w:ascii="Arial" w:hAnsi="Arial" w:cs="Arial"/>
          <w:sz w:val="20"/>
          <w:szCs w:val="20"/>
        </w:rPr>
        <w:fldChar w:fldCharType="end"/>
      </w:r>
    </w:p>
    <w:p w14:paraId="697C365C">
      <w:pPr>
        <w:ind w:left="440" w:hanging="440" w:hangingChars="220"/>
        <w:rPr>
          <w:rFonts w:ascii="Arial" w:hAnsi="Arial" w:eastAsia="DengXian" w:cs="Arial"/>
          <w:sz w:val="20"/>
          <w:szCs w:val="20"/>
          <w:lang w:bidi="ar"/>
        </w:rPr>
      </w:pPr>
      <w:r>
        <w:rPr>
          <w:rFonts w:ascii="Arial" w:hAnsi="Arial" w:eastAsia="DengXian" w:cs="Arial"/>
          <w:sz w:val="20"/>
          <w:szCs w:val="20"/>
          <w:lang w:bidi="ar"/>
        </w:rPr>
        <w:t xml:space="preserve">Lu, H. H., Chen, D. R., &amp; Chou, A. K. (2022). The school environment and bullying victimization among seventh graders with autism spectrum disorder: a cohort study.  </w:t>
      </w:r>
      <w:r>
        <w:rPr>
          <w:rFonts w:ascii="Arial" w:hAnsi="Arial" w:eastAsia="DengXian" w:cs="Arial"/>
          <w:i/>
          <w:iCs/>
          <w:sz w:val="20"/>
          <w:szCs w:val="20"/>
          <w:lang w:bidi="ar"/>
        </w:rPr>
        <w:t>Child and Adolescent Psychiatry and Mental Health</w:t>
      </w:r>
      <w:r>
        <w:rPr>
          <w:rFonts w:ascii="Arial" w:hAnsi="Arial" w:eastAsia="DengXian" w:cs="Arial"/>
          <w:sz w:val="20"/>
          <w:szCs w:val="20"/>
          <w:lang w:bidi="ar"/>
        </w:rPr>
        <w:t xml:space="preserve">, </w:t>
      </w:r>
      <w:r>
        <w:rPr>
          <w:rFonts w:ascii="Arial" w:hAnsi="Arial" w:eastAsia="DengXian" w:cs="Arial"/>
          <w:i/>
          <w:iCs/>
          <w:sz w:val="20"/>
          <w:szCs w:val="20"/>
          <w:lang w:bidi="ar"/>
        </w:rPr>
        <w:t>16</w:t>
      </w:r>
      <w:r>
        <w:rPr>
          <w:rFonts w:ascii="Arial" w:hAnsi="Arial" w:eastAsia="DengXian" w:cs="Arial"/>
          <w:sz w:val="20"/>
          <w:szCs w:val="20"/>
          <w:lang w:bidi="ar"/>
        </w:rPr>
        <w:t xml:space="preserve">. Article No. 22. </w:t>
      </w:r>
      <w:r>
        <w:fldChar w:fldCharType="begin"/>
      </w:r>
      <w:r>
        <w:instrText xml:space="preserve"> HYPERLINK "https://doi.org/10.1186/s13034-022-00456-z" </w:instrText>
      </w:r>
      <w:r>
        <w:fldChar w:fldCharType="separate"/>
      </w:r>
      <w:r>
        <w:rPr>
          <w:rStyle w:val="19"/>
          <w:rFonts w:ascii="Arial" w:hAnsi="Arial" w:eastAsia="DengXian" w:cs="Arial"/>
          <w:sz w:val="20"/>
          <w:szCs w:val="20"/>
          <w:lang w:bidi="ar"/>
        </w:rPr>
        <w:t>https://doi.org/10.1186/s13034-022-00456-z</w:t>
      </w:r>
      <w:r>
        <w:rPr>
          <w:rStyle w:val="19"/>
          <w:rFonts w:ascii="Arial" w:hAnsi="Arial" w:eastAsia="DengXian" w:cs="Arial"/>
          <w:sz w:val="20"/>
          <w:szCs w:val="20"/>
          <w:lang w:bidi="ar"/>
        </w:rPr>
        <w:fldChar w:fldCharType="end"/>
      </w:r>
    </w:p>
    <w:p w14:paraId="144414FC">
      <w:pPr>
        <w:ind w:left="440" w:hanging="440" w:hangingChars="220"/>
        <w:rPr>
          <w:rFonts w:ascii="Arial" w:hAnsi="Arial" w:eastAsia="DengXian" w:cs="Arial"/>
          <w:sz w:val="20"/>
          <w:szCs w:val="20"/>
          <w:lang w:bidi="ar"/>
        </w:rPr>
      </w:pPr>
      <w:r>
        <w:rPr>
          <w:rFonts w:ascii="Arial" w:hAnsi="Arial" w:eastAsia="DengXian" w:cs="Arial"/>
          <w:sz w:val="20"/>
          <w:szCs w:val="20"/>
          <w:lang w:bidi="ar"/>
        </w:rPr>
        <w:t>Maddox, B. B., Dickson, K. S., Stadnick, N. A., Mandell, D. S., &amp; Brookman-Frazee, L.  (2021). Mental health services for autistic individuals across the lifespan: Recent advances and current gaps. </w:t>
      </w:r>
      <w:r>
        <w:rPr>
          <w:rFonts w:ascii="Arial" w:hAnsi="Arial" w:eastAsia="DengXian" w:cs="Arial"/>
          <w:i/>
          <w:iCs/>
          <w:sz w:val="20"/>
          <w:szCs w:val="20"/>
          <w:lang w:bidi="ar"/>
        </w:rPr>
        <w:t>Current Psychiatry Reports,</w:t>
      </w:r>
      <w:r>
        <w:rPr>
          <w:rFonts w:ascii="Arial" w:hAnsi="Arial" w:eastAsia="DengXian" w:cs="Arial"/>
          <w:sz w:val="20"/>
          <w:szCs w:val="20"/>
          <w:lang w:bidi="ar"/>
        </w:rPr>
        <w:t> </w:t>
      </w:r>
      <w:r>
        <w:rPr>
          <w:rFonts w:ascii="Arial" w:hAnsi="Arial" w:eastAsia="DengXian" w:cs="Arial"/>
          <w:i/>
          <w:iCs/>
          <w:sz w:val="20"/>
          <w:szCs w:val="20"/>
          <w:lang w:bidi="ar"/>
        </w:rPr>
        <w:t>23</w:t>
      </w:r>
      <w:r>
        <w:rPr>
          <w:rFonts w:ascii="Arial" w:hAnsi="Arial" w:eastAsia="DengXian" w:cs="Arial"/>
          <w:sz w:val="20"/>
          <w:szCs w:val="20"/>
          <w:lang w:bidi="ar"/>
        </w:rPr>
        <w:t xml:space="preserve">. Article No. 66. </w:t>
      </w:r>
      <w:r>
        <w:fldChar w:fldCharType="begin"/>
      </w:r>
      <w:r>
        <w:instrText xml:space="preserve"> HYPERLINK "https://doi.org/10.1007/s11920-021-01278-0" </w:instrText>
      </w:r>
      <w:r>
        <w:fldChar w:fldCharType="separate"/>
      </w:r>
      <w:r>
        <w:rPr>
          <w:rStyle w:val="19"/>
          <w:rFonts w:ascii="Arial" w:hAnsi="Arial" w:cs="Arial"/>
          <w:sz w:val="20"/>
          <w:szCs w:val="20"/>
        </w:rPr>
        <w:t>https://doi.org/10.1007/s11920-021-01278-0</w:t>
      </w:r>
      <w:r>
        <w:rPr>
          <w:rStyle w:val="19"/>
          <w:rFonts w:ascii="Arial" w:hAnsi="Arial" w:cs="Arial"/>
          <w:sz w:val="20"/>
          <w:szCs w:val="20"/>
        </w:rPr>
        <w:fldChar w:fldCharType="end"/>
      </w:r>
      <w:r>
        <w:rPr>
          <w:rFonts w:ascii="Arial" w:hAnsi="Arial" w:eastAsia="DengXian" w:cs="Arial"/>
          <w:sz w:val="20"/>
          <w:szCs w:val="20"/>
          <w:lang w:bidi="ar"/>
        </w:rPr>
        <w:t xml:space="preserve"> </w:t>
      </w:r>
    </w:p>
    <w:p w14:paraId="7F9C5682">
      <w:pPr>
        <w:ind w:left="440" w:hanging="440" w:hangingChars="220"/>
        <w:rPr>
          <w:rFonts w:ascii="Arial" w:hAnsi="Arial" w:eastAsia="Segoe UI" w:cs="Arial"/>
          <w:color w:val="212121"/>
          <w:sz w:val="20"/>
          <w:szCs w:val="20"/>
          <w:shd w:val="clear" w:color="auto" w:fill="FFFFFF"/>
          <w:lang w:val="en-SG"/>
        </w:rPr>
      </w:pPr>
      <w:r>
        <w:rPr>
          <w:rFonts w:ascii="Arial" w:hAnsi="Arial" w:eastAsia="Segoe UI" w:cs="Arial"/>
          <w:color w:val="212121"/>
          <w:sz w:val="20"/>
          <w:szCs w:val="20"/>
          <w:shd w:val="clear" w:color="auto" w:fill="FFFFFF"/>
        </w:rPr>
        <w:t xml:space="preserve">Maljaars, J., Gijbels, E., Evers, K., Spain, D., Rumball, F., Happé, F., &amp; Noens, I. (2023). Impact of the COVID-19 </w:t>
      </w:r>
      <w:r>
        <w:rPr>
          <w:rFonts w:ascii="Arial" w:hAnsi="Arial" w:eastAsia="Segoe UI" w:cs="Arial"/>
          <w:color w:val="212121"/>
          <w:sz w:val="20"/>
          <w:szCs w:val="20"/>
          <w:shd w:val="clear" w:color="auto" w:fill="FFFFFF"/>
          <w:lang w:val="en-SG"/>
        </w:rPr>
        <w:t>p</w:t>
      </w:r>
      <w:r>
        <w:rPr>
          <w:rFonts w:ascii="Arial" w:hAnsi="Arial" w:eastAsia="Segoe UI" w:cs="Arial"/>
          <w:color w:val="212121"/>
          <w:sz w:val="20"/>
          <w:szCs w:val="20"/>
          <w:shd w:val="clear" w:color="auto" w:fill="FFFFFF"/>
        </w:rPr>
        <w:t xml:space="preserve">andemic on </w:t>
      </w:r>
      <w:r>
        <w:rPr>
          <w:rFonts w:ascii="Arial" w:hAnsi="Arial" w:eastAsia="Segoe UI" w:cs="Arial"/>
          <w:color w:val="212121"/>
          <w:sz w:val="20"/>
          <w:szCs w:val="20"/>
          <w:shd w:val="clear" w:color="auto" w:fill="FFFFFF"/>
          <w:lang w:val="en-SG"/>
        </w:rPr>
        <w:t>d</w:t>
      </w:r>
      <w:r>
        <w:rPr>
          <w:rFonts w:ascii="Arial" w:hAnsi="Arial" w:eastAsia="Segoe UI" w:cs="Arial"/>
          <w:color w:val="212121"/>
          <w:sz w:val="20"/>
          <w:szCs w:val="20"/>
          <w:shd w:val="clear" w:color="auto" w:fill="FFFFFF"/>
        </w:rPr>
        <w:t xml:space="preserve">aily </w:t>
      </w:r>
      <w:r>
        <w:rPr>
          <w:rFonts w:ascii="Arial" w:hAnsi="Arial" w:eastAsia="Segoe UI" w:cs="Arial"/>
          <w:color w:val="212121"/>
          <w:sz w:val="20"/>
          <w:szCs w:val="20"/>
          <w:shd w:val="clear" w:color="auto" w:fill="FFFFFF"/>
          <w:lang w:val="en-SG"/>
        </w:rPr>
        <w:t>l</w:t>
      </w:r>
      <w:r>
        <w:rPr>
          <w:rFonts w:ascii="Arial" w:hAnsi="Arial" w:eastAsia="Segoe UI" w:cs="Arial"/>
          <w:color w:val="212121"/>
          <w:sz w:val="20"/>
          <w:szCs w:val="20"/>
          <w:shd w:val="clear" w:color="auto" w:fill="FFFFFF"/>
        </w:rPr>
        <w:t xml:space="preserve">ife: Diverse </w:t>
      </w:r>
      <w:r>
        <w:rPr>
          <w:rFonts w:ascii="Arial" w:hAnsi="Arial" w:eastAsia="Segoe UI" w:cs="Arial"/>
          <w:color w:val="212121"/>
          <w:sz w:val="20"/>
          <w:szCs w:val="20"/>
          <w:shd w:val="clear" w:color="auto" w:fill="FFFFFF"/>
          <w:lang w:val="en-SG"/>
        </w:rPr>
        <w:t>e</w:t>
      </w:r>
      <w:r>
        <w:rPr>
          <w:rFonts w:ascii="Arial" w:hAnsi="Arial" w:eastAsia="Segoe UI" w:cs="Arial"/>
          <w:color w:val="212121"/>
          <w:sz w:val="20"/>
          <w:szCs w:val="20"/>
          <w:shd w:val="clear" w:color="auto" w:fill="FFFFFF"/>
        </w:rPr>
        <w:t xml:space="preserve">xperiences for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utistic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dults. </w:t>
      </w:r>
      <w:r>
        <w:rPr>
          <w:rFonts w:ascii="Arial" w:hAnsi="Arial" w:eastAsia="Segoe UI" w:cs="Arial"/>
          <w:i/>
          <w:iCs/>
          <w:color w:val="212121"/>
          <w:sz w:val="20"/>
          <w:szCs w:val="20"/>
          <w:shd w:val="clear" w:color="auto" w:fill="FFFFFF"/>
        </w:rPr>
        <w:t xml:space="preserve">Journal of </w:t>
      </w:r>
      <w:r>
        <w:rPr>
          <w:rFonts w:ascii="Arial" w:hAnsi="Arial" w:eastAsia="Segoe UI" w:cs="Arial"/>
          <w:i/>
          <w:iCs/>
          <w:color w:val="212121"/>
          <w:sz w:val="20"/>
          <w:szCs w:val="20"/>
          <w:shd w:val="clear" w:color="auto" w:fill="FFFFFF"/>
          <w:lang w:val="en-SG"/>
        </w:rPr>
        <w:t>A</w:t>
      </w:r>
      <w:r>
        <w:rPr>
          <w:rFonts w:ascii="Arial" w:hAnsi="Arial" w:eastAsia="Segoe UI" w:cs="Arial"/>
          <w:i/>
          <w:iCs/>
          <w:color w:val="212121"/>
          <w:sz w:val="20"/>
          <w:szCs w:val="20"/>
          <w:shd w:val="clear" w:color="auto" w:fill="FFFFFF"/>
        </w:rPr>
        <w:t xml:space="preserve">utism and </w:t>
      </w:r>
      <w:r>
        <w:rPr>
          <w:rFonts w:ascii="Arial" w:hAnsi="Arial" w:eastAsia="Segoe UI" w:cs="Arial"/>
          <w:i/>
          <w:iCs/>
          <w:color w:val="212121"/>
          <w:sz w:val="20"/>
          <w:szCs w:val="20"/>
          <w:shd w:val="clear" w:color="auto" w:fill="FFFFFF"/>
          <w:lang w:val="en-SG"/>
        </w:rPr>
        <w:t>D</w:t>
      </w:r>
      <w:r>
        <w:rPr>
          <w:rFonts w:ascii="Arial" w:hAnsi="Arial" w:eastAsia="Segoe UI" w:cs="Arial"/>
          <w:i/>
          <w:iCs/>
          <w:color w:val="212121"/>
          <w:sz w:val="20"/>
          <w:szCs w:val="20"/>
          <w:shd w:val="clear" w:color="auto" w:fill="FFFFFF"/>
        </w:rPr>
        <w:t xml:space="preserve">evelopmental </w:t>
      </w:r>
      <w:r>
        <w:rPr>
          <w:rFonts w:ascii="Arial" w:hAnsi="Arial" w:eastAsia="Segoe UI" w:cs="Arial"/>
          <w:i/>
          <w:iCs/>
          <w:color w:val="212121"/>
          <w:sz w:val="20"/>
          <w:szCs w:val="20"/>
          <w:shd w:val="clear" w:color="auto" w:fill="FFFFFF"/>
          <w:lang w:val="en-SG"/>
        </w:rPr>
        <w:t>D</w:t>
      </w:r>
      <w:r>
        <w:rPr>
          <w:rFonts w:ascii="Arial" w:hAnsi="Arial" w:eastAsia="Segoe UI" w:cs="Arial"/>
          <w:i/>
          <w:iCs/>
          <w:color w:val="212121"/>
          <w:sz w:val="20"/>
          <w:szCs w:val="20"/>
          <w:shd w:val="clear" w:color="auto" w:fill="FFFFFF"/>
        </w:rPr>
        <w:t>isorders</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53</w:t>
      </w:r>
      <w:r>
        <w:rPr>
          <w:rFonts w:ascii="Arial" w:hAnsi="Arial" w:eastAsia="Segoe UI" w:cs="Arial"/>
          <w:color w:val="212121"/>
          <w:sz w:val="20"/>
          <w:szCs w:val="20"/>
          <w:shd w:val="clear" w:color="auto" w:fill="FFFFFF"/>
        </w:rPr>
        <w:t>(1), 319</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331. </w:t>
      </w:r>
      <w:r>
        <w:fldChar w:fldCharType="begin"/>
      </w:r>
      <w:r>
        <w:instrText xml:space="preserve"> HYPERLINK "https://doi.org/10.1007/s10803-022-05437-x" </w:instrText>
      </w:r>
      <w:r>
        <w:fldChar w:fldCharType="separate"/>
      </w:r>
      <w:r>
        <w:rPr>
          <w:rStyle w:val="19"/>
          <w:rFonts w:ascii="Arial" w:hAnsi="Arial" w:eastAsia="Segoe UI" w:cs="Arial"/>
          <w:sz w:val="20"/>
          <w:szCs w:val="20"/>
          <w:shd w:val="clear" w:color="auto" w:fill="FFFFFF"/>
        </w:rPr>
        <w:t>https://doi.org/10.1007/s10803-022-05437-x</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p w14:paraId="3A62F0D3">
      <w:pPr>
        <w:ind w:left="440" w:hanging="440" w:hangingChars="220"/>
        <w:rPr>
          <w:rFonts w:ascii="Arial" w:hAnsi="Arial" w:eastAsia="DengXian" w:cs="Arial"/>
          <w:sz w:val="20"/>
          <w:szCs w:val="20"/>
          <w:lang w:bidi="ar"/>
        </w:rPr>
      </w:pPr>
      <w:r>
        <w:rPr>
          <w:rFonts w:ascii="Arial" w:hAnsi="Arial" w:eastAsia="DengXian" w:cs="Arial"/>
          <w:sz w:val="20"/>
          <w:szCs w:val="20"/>
          <w:lang w:bidi="ar"/>
        </w:rPr>
        <w:t>Mandy, W. (2019). Social camouflaging in autism: Is it time to lose the mask?. </w:t>
      </w:r>
      <w:r>
        <w:rPr>
          <w:rFonts w:ascii="Arial" w:hAnsi="Arial" w:eastAsia="DengXian" w:cs="Arial"/>
          <w:i/>
          <w:iCs/>
          <w:sz w:val="20"/>
          <w:szCs w:val="20"/>
          <w:lang w:bidi="ar"/>
        </w:rPr>
        <w:t>Autism : the International Journal of Research and Practice</w:t>
      </w:r>
      <w:r>
        <w:rPr>
          <w:rFonts w:ascii="Arial" w:hAnsi="Arial" w:eastAsia="DengXian" w:cs="Arial"/>
          <w:sz w:val="20"/>
          <w:szCs w:val="20"/>
          <w:lang w:bidi="ar"/>
        </w:rPr>
        <w:t>, </w:t>
      </w:r>
      <w:r>
        <w:rPr>
          <w:rFonts w:ascii="Arial" w:hAnsi="Arial" w:eastAsia="DengXian" w:cs="Arial"/>
          <w:i/>
          <w:iCs/>
          <w:sz w:val="20"/>
          <w:szCs w:val="20"/>
          <w:lang w:bidi="ar"/>
        </w:rPr>
        <w:t>23</w:t>
      </w:r>
      <w:r>
        <w:rPr>
          <w:rFonts w:ascii="Arial" w:hAnsi="Arial" w:eastAsia="DengXian" w:cs="Arial"/>
          <w:sz w:val="20"/>
          <w:szCs w:val="20"/>
          <w:lang w:bidi="ar"/>
        </w:rPr>
        <w:t xml:space="preserve">(8), 1879-1881. </w:t>
      </w:r>
      <w:r>
        <w:fldChar w:fldCharType="begin"/>
      </w:r>
      <w:r>
        <w:instrText xml:space="preserve"> HYPERLINK "https://doi.org/10.1177/1362361319878559" </w:instrText>
      </w:r>
      <w:r>
        <w:fldChar w:fldCharType="separate"/>
      </w:r>
      <w:r>
        <w:rPr>
          <w:rStyle w:val="19"/>
          <w:rFonts w:ascii="Arial" w:hAnsi="Arial" w:eastAsia="DengXian" w:cs="Arial"/>
          <w:sz w:val="20"/>
          <w:szCs w:val="20"/>
          <w:lang w:bidi="ar"/>
        </w:rPr>
        <w:t>https://doi.org/10.1177/1362361319878559</w:t>
      </w:r>
      <w:r>
        <w:rPr>
          <w:rStyle w:val="19"/>
          <w:rFonts w:ascii="Arial" w:hAnsi="Arial" w:eastAsia="DengXian" w:cs="Arial"/>
          <w:sz w:val="20"/>
          <w:szCs w:val="20"/>
          <w:lang w:bidi="ar"/>
        </w:rPr>
        <w:fldChar w:fldCharType="end"/>
      </w:r>
      <w:r>
        <w:rPr>
          <w:rFonts w:ascii="Arial" w:hAnsi="Arial" w:eastAsia="DengXian" w:cs="Arial"/>
          <w:sz w:val="20"/>
          <w:szCs w:val="20"/>
          <w:lang w:bidi="ar"/>
        </w:rPr>
        <w:t xml:space="preserve"> </w:t>
      </w:r>
    </w:p>
    <w:p w14:paraId="0C360717">
      <w:pPr>
        <w:ind w:left="440" w:hanging="440" w:hangingChars="220"/>
        <w:rPr>
          <w:rFonts w:hint="default" w:ascii="Arial" w:hAnsi="Arial" w:cs="Arial"/>
          <w:sz w:val="20"/>
          <w:szCs w:val="20"/>
          <w:highlight w:val="yellow"/>
          <w:lang w:val="en-US"/>
        </w:rPr>
      </w:pPr>
      <w:r>
        <w:rPr>
          <w:rFonts w:hint="default" w:ascii="Arial" w:hAnsi="Arial" w:eastAsia="DengXian" w:cs="Arial"/>
          <w:kern w:val="2"/>
          <w:sz w:val="20"/>
          <w:szCs w:val="20"/>
          <w:highlight w:val="yellow"/>
          <w:lang w:val="en-US" w:eastAsia="zh-CN" w:bidi="ar"/>
          <w14:ligatures w14:val="standardContextual"/>
        </w:rPr>
        <w:t>Mokhwelepa, L. W., Sumbane, G. O., &amp; Ngwenya, M. W. (2025). The dynamic trajectory of autistic life and its changing challenges: a scoping review. </w:t>
      </w:r>
      <w:r>
        <w:rPr>
          <w:rFonts w:hint="default" w:ascii="Arial" w:hAnsi="Arial" w:eastAsia="DengXian" w:cs="Arial"/>
          <w:i/>
          <w:iCs/>
          <w:kern w:val="2"/>
          <w:sz w:val="20"/>
          <w:szCs w:val="20"/>
          <w:highlight w:val="yellow"/>
          <w:lang w:val="en-US" w:eastAsia="zh-CN" w:bidi="ar"/>
          <w14:ligatures w14:val="standardContextual"/>
        </w:rPr>
        <w:t>BMC Psychiatry</w:t>
      </w:r>
      <w:r>
        <w:rPr>
          <w:rFonts w:hint="default" w:ascii="Arial" w:hAnsi="Arial" w:eastAsia="DengXian" w:cs="Arial"/>
          <w:kern w:val="2"/>
          <w:sz w:val="20"/>
          <w:szCs w:val="20"/>
          <w:highlight w:val="yellow"/>
          <w:lang w:val="en-US" w:eastAsia="zh-CN" w:bidi="ar"/>
          <w14:ligatures w14:val="standardContextual"/>
        </w:rPr>
        <w:t>, </w:t>
      </w:r>
      <w:r>
        <w:rPr>
          <w:rFonts w:hint="default" w:ascii="Arial" w:hAnsi="Arial" w:eastAsia="DengXian" w:cs="Arial"/>
          <w:i/>
          <w:iCs/>
          <w:kern w:val="2"/>
          <w:sz w:val="20"/>
          <w:szCs w:val="20"/>
          <w:highlight w:val="yellow"/>
          <w:lang w:val="en-US" w:eastAsia="zh-CN" w:bidi="ar"/>
          <w14:ligatures w14:val="standardContextual"/>
        </w:rPr>
        <w:t>25</w:t>
      </w:r>
      <w:r>
        <w:rPr>
          <w:rFonts w:hint="default" w:ascii="Arial" w:hAnsi="Arial" w:eastAsia="DengXian" w:cs="Arial"/>
          <w:kern w:val="2"/>
          <w:sz w:val="20"/>
          <w:szCs w:val="20"/>
          <w:highlight w:val="yellow"/>
          <w:lang w:val="en-US" w:eastAsia="zh-CN" w:bidi="ar"/>
          <w14:ligatures w14:val="standardContextual"/>
        </w:rPr>
        <w:t xml:space="preserve">. Article No. 769.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"https://doi.org/10.1186/s12888-025-07212-5"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https://doi.org/10.1186/s12888-025-07212-5</w:t>
      </w:r>
      <w:r>
        <w:rPr>
          <w:rFonts w:hint="default" w:ascii="Arial" w:hAnsi="Arial" w:eastAsia="DengXian" w:cs="Arial"/>
          <w:kern w:val="2"/>
          <w:sz w:val="20"/>
          <w:szCs w:val="20"/>
          <w:highlight w:val="yellow"/>
          <w:lang w:val="en-US" w:eastAsia="zh-CN" w:bidi="ar"/>
          <w14:ligatures w14:val="standardContextual"/>
        </w:rPr>
        <w:fldChar w:fldCharType="end"/>
      </w:r>
      <w:r>
        <w:rPr>
          <w:rFonts w:hint="default" w:ascii="Arial" w:hAnsi="Arial" w:eastAsia="DengXian" w:cs="Arial"/>
          <w:kern w:val="2"/>
          <w:sz w:val="20"/>
          <w:szCs w:val="20"/>
          <w:highlight w:val="yellow"/>
          <w:lang w:val="en-US" w:eastAsia="zh-CN" w:bidi="ar"/>
          <w14:ligatures w14:val="standardContextual"/>
        </w:rPr>
        <w:t xml:space="preserve"> </w:t>
      </w:r>
    </w:p>
    <w:p w14:paraId="1D80D986">
      <w:pPr>
        <w:ind w:left="440" w:hanging="440" w:hangingChars="220"/>
        <w:rPr>
          <w:rFonts w:ascii="Arial" w:hAnsi="Arial" w:cs="Arial"/>
          <w:sz w:val="20"/>
          <w:szCs w:val="20"/>
        </w:rPr>
      </w:pPr>
      <w:r>
        <w:rPr>
          <w:rFonts w:ascii="Arial" w:hAnsi="Arial" w:cs="Arial"/>
          <w:sz w:val="20"/>
          <w:szCs w:val="20"/>
        </w:rPr>
        <w:t>Moskowitz, A., &amp; Heim, G. (2011). Eugen Bleuler’s dementia praecox or the group of schizophrenias (1911): A centenary appreciation and reconsideration. </w:t>
      </w:r>
      <w:r>
        <w:rPr>
          <w:rFonts w:ascii="Arial" w:hAnsi="Arial" w:cs="Arial"/>
          <w:i/>
          <w:iCs/>
          <w:sz w:val="20"/>
          <w:szCs w:val="20"/>
        </w:rPr>
        <w:t>Schizophrenia Bulletin</w:t>
      </w:r>
      <w:r>
        <w:rPr>
          <w:rFonts w:ascii="Arial" w:hAnsi="Arial" w:cs="Arial"/>
          <w:sz w:val="20"/>
          <w:szCs w:val="20"/>
        </w:rPr>
        <w:t>, </w:t>
      </w:r>
      <w:r>
        <w:rPr>
          <w:rFonts w:ascii="Arial" w:hAnsi="Arial" w:cs="Arial"/>
          <w:i/>
          <w:iCs/>
          <w:sz w:val="20"/>
          <w:szCs w:val="20"/>
        </w:rPr>
        <w:t>37</w:t>
      </w:r>
      <w:r>
        <w:rPr>
          <w:rFonts w:ascii="Arial" w:hAnsi="Arial" w:cs="Arial"/>
          <w:sz w:val="20"/>
          <w:szCs w:val="20"/>
        </w:rPr>
        <w:t xml:space="preserve">(3), 471-479. </w:t>
      </w:r>
      <w:r>
        <w:fldChar w:fldCharType="begin"/>
      </w:r>
      <w:r>
        <w:instrText xml:space="preserve"> HYPERLINK "https://doi.org/10.1093/schbul/sbr016" </w:instrText>
      </w:r>
      <w:r>
        <w:fldChar w:fldCharType="separate"/>
      </w:r>
      <w:r>
        <w:rPr>
          <w:rStyle w:val="19"/>
          <w:rFonts w:ascii="Arial" w:hAnsi="Arial" w:cs="Arial"/>
          <w:sz w:val="20"/>
          <w:szCs w:val="20"/>
        </w:rPr>
        <w:t>https://doi.org/10.1093/schbul/sbr016</w:t>
      </w:r>
      <w:r>
        <w:rPr>
          <w:rStyle w:val="19"/>
          <w:rFonts w:ascii="Arial" w:hAnsi="Arial" w:cs="Arial"/>
          <w:sz w:val="20"/>
          <w:szCs w:val="20"/>
        </w:rPr>
        <w:fldChar w:fldCharType="end"/>
      </w:r>
      <w:r>
        <w:rPr>
          <w:rFonts w:ascii="Arial" w:hAnsi="Arial" w:cs="Arial"/>
          <w:sz w:val="20"/>
          <w:szCs w:val="20"/>
        </w:rPr>
        <w:t xml:space="preserve"> </w:t>
      </w:r>
    </w:p>
    <w:p w14:paraId="708D7121">
      <w:pPr>
        <w:ind w:left="440" w:hanging="440" w:hangingChars="220"/>
        <w:rPr>
          <w:rFonts w:ascii="Arial" w:hAnsi="Arial" w:cs="Arial"/>
          <w:sz w:val="20"/>
          <w:szCs w:val="20"/>
        </w:rPr>
      </w:pPr>
      <w:r>
        <w:rPr>
          <w:rFonts w:ascii="Arial" w:hAnsi="Arial" w:cs="Arial"/>
          <w:sz w:val="20"/>
          <w:szCs w:val="20"/>
        </w:rPr>
        <w:t>Mouga, S., Almeida, J., Café, C., Duque, F., &amp; Oliveira, G. (2015). Adaptive profiles in autism and other neurodevelopmental disorders.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45</w:t>
      </w:r>
      <w:r>
        <w:rPr>
          <w:rFonts w:ascii="Arial" w:hAnsi="Arial" w:cs="Arial"/>
          <w:sz w:val="20"/>
          <w:szCs w:val="20"/>
        </w:rPr>
        <w:t xml:space="preserve">(4), 1001-1012. </w:t>
      </w:r>
      <w:r>
        <w:fldChar w:fldCharType="begin"/>
      </w:r>
      <w:r>
        <w:instrText xml:space="preserve"> HYPERLINK "https://doi.org/10.1007/s10803-014-2256-x" </w:instrText>
      </w:r>
      <w:r>
        <w:fldChar w:fldCharType="separate"/>
      </w:r>
      <w:r>
        <w:rPr>
          <w:rStyle w:val="19"/>
          <w:rFonts w:ascii="Arial" w:hAnsi="Arial" w:cs="Arial"/>
          <w:sz w:val="20"/>
          <w:szCs w:val="20"/>
        </w:rPr>
        <w:t>https://doi.org/10.1007/s10803-014-2256-x</w:t>
      </w:r>
      <w:r>
        <w:rPr>
          <w:rStyle w:val="19"/>
          <w:rFonts w:ascii="Arial" w:hAnsi="Arial" w:cs="Arial"/>
          <w:sz w:val="20"/>
          <w:szCs w:val="20"/>
        </w:rPr>
        <w:fldChar w:fldCharType="end"/>
      </w:r>
      <w:r>
        <w:rPr>
          <w:rFonts w:ascii="Arial" w:hAnsi="Arial" w:cs="Arial"/>
          <w:sz w:val="20"/>
          <w:szCs w:val="20"/>
        </w:rPr>
        <w:t xml:space="preserve"> </w:t>
      </w:r>
    </w:p>
    <w:p w14:paraId="0D5ECDC9">
      <w:pPr>
        <w:ind w:left="440" w:hanging="440" w:hangingChars="220"/>
        <w:rPr>
          <w:rFonts w:ascii="Arial" w:hAnsi="Arial" w:eastAsia="Segoe UI" w:cs="Arial"/>
          <w:color w:val="212121"/>
          <w:sz w:val="20"/>
          <w:szCs w:val="20"/>
          <w:shd w:val="clear" w:color="auto" w:fill="FFFFFF"/>
          <w:lang w:val="en-SG"/>
        </w:rPr>
      </w:pPr>
      <w:r>
        <w:rPr>
          <w:rFonts w:ascii="Arial" w:hAnsi="Arial" w:eastAsia="Segoe UI" w:cs="Arial"/>
          <w:color w:val="212121"/>
          <w:sz w:val="20"/>
          <w:szCs w:val="20"/>
          <w:shd w:val="clear" w:color="auto" w:fill="FFFFFF"/>
        </w:rPr>
        <w:t xml:space="preserve">Neumeyer, A. M., Anixt, J., Chan, J., Perrin, J. M., Murray, D., Coury, D. L., Bennett, A., Farmer, J., &amp; Parker, R. A. (2019). Identifying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ssociations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mong </w:t>
      </w:r>
      <w:r>
        <w:rPr>
          <w:rFonts w:ascii="Arial" w:hAnsi="Arial" w:eastAsia="Segoe UI" w:cs="Arial"/>
          <w:color w:val="212121"/>
          <w:sz w:val="20"/>
          <w:szCs w:val="20"/>
          <w:shd w:val="clear" w:color="auto" w:fill="FFFFFF"/>
          <w:lang w:val="en-SG"/>
        </w:rPr>
        <w:t>c</w:t>
      </w:r>
      <w:r>
        <w:rPr>
          <w:rFonts w:ascii="Arial" w:hAnsi="Arial" w:eastAsia="Segoe UI" w:cs="Arial"/>
          <w:color w:val="212121"/>
          <w:sz w:val="20"/>
          <w:szCs w:val="20"/>
          <w:shd w:val="clear" w:color="auto" w:fill="FFFFFF"/>
        </w:rPr>
        <w:t>o-</w:t>
      </w:r>
      <w:r>
        <w:rPr>
          <w:rFonts w:ascii="Arial" w:hAnsi="Arial" w:eastAsia="Segoe UI" w:cs="Arial"/>
          <w:color w:val="212121"/>
          <w:sz w:val="20"/>
          <w:szCs w:val="20"/>
          <w:shd w:val="clear" w:color="auto" w:fill="FFFFFF"/>
          <w:lang w:val="en-SG"/>
        </w:rPr>
        <w:t>o</w:t>
      </w:r>
      <w:r>
        <w:rPr>
          <w:rFonts w:ascii="Arial" w:hAnsi="Arial" w:eastAsia="Segoe UI" w:cs="Arial"/>
          <w:color w:val="212121"/>
          <w:sz w:val="20"/>
          <w:szCs w:val="20"/>
          <w:shd w:val="clear" w:color="auto" w:fill="FFFFFF"/>
        </w:rPr>
        <w:t xml:space="preserve">ccurring </w:t>
      </w:r>
      <w:r>
        <w:rPr>
          <w:rFonts w:ascii="Arial" w:hAnsi="Arial" w:eastAsia="Segoe UI" w:cs="Arial"/>
          <w:color w:val="212121"/>
          <w:sz w:val="20"/>
          <w:szCs w:val="20"/>
          <w:shd w:val="clear" w:color="auto" w:fill="FFFFFF"/>
          <w:lang w:val="en-SG"/>
        </w:rPr>
        <w:t>m</w:t>
      </w:r>
      <w:r>
        <w:rPr>
          <w:rFonts w:ascii="Arial" w:hAnsi="Arial" w:eastAsia="Segoe UI" w:cs="Arial"/>
          <w:color w:val="212121"/>
          <w:sz w:val="20"/>
          <w:szCs w:val="20"/>
          <w:shd w:val="clear" w:color="auto" w:fill="FFFFFF"/>
        </w:rPr>
        <w:t xml:space="preserve">edical </w:t>
      </w:r>
      <w:r>
        <w:rPr>
          <w:rFonts w:ascii="Arial" w:hAnsi="Arial" w:eastAsia="Segoe UI" w:cs="Arial"/>
          <w:color w:val="212121"/>
          <w:sz w:val="20"/>
          <w:szCs w:val="20"/>
          <w:shd w:val="clear" w:color="auto" w:fill="FFFFFF"/>
          <w:lang w:val="en-SG"/>
        </w:rPr>
        <w:t>c</w:t>
      </w:r>
      <w:r>
        <w:rPr>
          <w:rFonts w:ascii="Arial" w:hAnsi="Arial" w:eastAsia="Segoe UI" w:cs="Arial"/>
          <w:color w:val="212121"/>
          <w:sz w:val="20"/>
          <w:szCs w:val="20"/>
          <w:shd w:val="clear" w:color="auto" w:fill="FFFFFF"/>
        </w:rPr>
        <w:t xml:space="preserve">onditions in </w:t>
      </w:r>
      <w:r>
        <w:rPr>
          <w:rFonts w:ascii="Arial" w:hAnsi="Arial" w:eastAsia="Segoe UI" w:cs="Arial"/>
          <w:color w:val="212121"/>
          <w:sz w:val="20"/>
          <w:szCs w:val="20"/>
          <w:shd w:val="clear" w:color="auto" w:fill="FFFFFF"/>
          <w:lang w:val="en-SG"/>
        </w:rPr>
        <w:t>c</w:t>
      </w:r>
      <w:r>
        <w:rPr>
          <w:rFonts w:ascii="Arial" w:hAnsi="Arial" w:eastAsia="Segoe UI" w:cs="Arial"/>
          <w:color w:val="212121"/>
          <w:sz w:val="20"/>
          <w:szCs w:val="20"/>
          <w:shd w:val="clear" w:color="auto" w:fill="FFFFFF"/>
        </w:rPr>
        <w:t xml:space="preserve">hildren </w:t>
      </w:r>
      <w:r>
        <w:rPr>
          <w:rFonts w:ascii="Arial" w:hAnsi="Arial" w:eastAsia="Segoe UI" w:cs="Arial"/>
          <w:color w:val="212121"/>
          <w:sz w:val="20"/>
          <w:szCs w:val="20"/>
          <w:shd w:val="clear" w:color="auto" w:fill="FFFFFF"/>
          <w:lang w:val="en-SG"/>
        </w:rPr>
        <w:t>w</w:t>
      </w:r>
      <w:r>
        <w:rPr>
          <w:rFonts w:ascii="Arial" w:hAnsi="Arial" w:eastAsia="Segoe UI" w:cs="Arial"/>
          <w:color w:val="212121"/>
          <w:sz w:val="20"/>
          <w:szCs w:val="20"/>
          <w:shd w:val="clear" w:color="auto" w:fill="FFFFFF"/>
        </w:rPr>
        <w:t xml:space="preserve">ith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utism </w:t>
      </w:r>
      <w:r>
        <w:rPr>
          <w:rFonts w:ascii="Arial" w:hAnsi="Arial" w:eastAsia="Segoe UI" w:cs="Arial"/>
          <w:color w:val="212121"/>
          <w:sz w:val="20"/>
          <w:szCs w:val="20"/>
          <w:shd w:val="clear" w:color="auto" w:fill="FFFFFF"/>
          <w:lang w:val="en-SG"/>
        </w:rPr>
        <w:t>s</w:t>
      </w:r>
      <w:r>
        <w:rPr>
          <w:rFonts w:ascii="Arial" w:hAnsi="Arial" w:eastAsia="Segoe UI" w:cs="Arial"/>
          <w:color w:val="212121"/>
          <w:sz w:val="20"/>
          <w:szCs w:val="20"/>
          <w:shd w:val="clear" w:color="auto" w:fill="FFFFFF"/>
        </w:rPr>
        <w:t xml:space="preserve">pectrum </w:t>
      </w:r>
      <w:r>
        <w:rPr>
          <w:rFonts w:ascii="Arial" w:hAnsi="Arial" w:eastAsia="Segoe UI" w:cs="Arial"/>
          <w:color w:val="212121"/>
          <w:sz w:val="20"/>
          <w:szCs w:val="20"/>
          <w:shd w:val="clear" w:color="auto" w:fill="FFFFFF"/>
          <w:lang w:val="en-SG"/>
        </w:rPr>
        <w:t>d</w:t>
      </w:r>
      <w:r>
        <w:rPr>
          <w:rFonts w:ascii="Arial" w:hAnsi="Arial" w:eastAsia="Segoe UI" w:cs="Arial"/>
          <w:color w:val="212121"/>
          <w:sz w:val="20"/>
          <w:szCs w:val="20"/>
          <w:shd w:val="clear" w:color="auto" w:fill="FFFFFF"/>
        </w:rPr>
        <w:t>isorders. </w:t>
      </w:r>
      <w:r>
        <w:rPr>
          <w:rFonts w:ascii="Arial" w:hAnsi="Arial" w:eastAsia="Segoe UI" w:cs="Arial"/>
          <w:i/>
          <w:iCs/>
          <w:color w:val="212121"/>
          <w:sz w:val="20"/>
          <w:szCs w:val="20"/>
          <w:shd w:val="clear" w:color="auto" w:fill="FFFFFF"/>
        </w:rPr>
        <w:t xml:space="preserve">Academic </w:t>
      </w:r>
      <w:r>
        <w:rPr>
          <w:rFonts w:ascii="Arial" w:hAnsi="Arial" w:eastAsia="Segoe UI" w:cs="Arial"/>
          <w:i/>
          <w:iCs/>
          <w:color w:val="212121"/>
          <w:sz w:val="20"/>
          <w:szCs w:val="20"/>
          <w:shd w:val="clear" w:color="auto" w:fill="FFFFFF"/>
          <w:lang w:val="en-SG"/>
        </w:rPr>
        <w:t>P</w:t>
      </w:r>
      <w:r>
        <w:rPr>
          <w:rFonts w:ascii="Arial" w:hAnsi="Arial" w:eastAsia="Segoe UI" w:cs="Arial"/>
          <w:i/>
          <w:iCs/>
          <w:color w:val="212121"/>
          <w:sz w:val="20"/>
          <w:szCs w:val="20"/>
          <w:shd w:val="clear" w:color="auto" w:fill="FFFFFF"/>
        </w:rPr>
        <w:t>ediatrics</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19</w:t>
      </w:r>
      <w:r>
        <w:rPr>
          <w:rFonts w:ascii="Arial" w:hAnsi="Arial" w:eastAsia="Segoe UI" w:cs="Arial"/>
          <w:color w:val="212121"/>
          <w:sz w:val="20"/>
          <w:szCs w:val="20"/>
          <w:shd w:val="clear" w:color="auto" w:fill="FFFFFF"/>
        </w:rPr>
        <w:t>(3), 300</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306. </w:t>
      </w:r>
      <w:r>
        <w:fldChar w:fldCharType="begin"/>
      </w:r>
      <w:r>
        <w:instrText xml:space="preserve"> HYPERLINK "https://doi.org/10.1016/j.acap.2018.06.014" </w:instrText>
      </w:r>
      <w:r>
        <w:fldChar w:fldCharType="separate"/>
      </w:r>
      <w:r>
        <w:rPr>
          <w:rStyle w:val="19"/>
          <w:rFonts w:ascii="Arial" w:hAnsi="Arial" w:eastAsia="Segoe UI" w:cs="Arial"/>
          <w:sz w:val="20"/>
          <w:szCs w:val="20"/>
          <w:shd w:val="clear" w:color="auto" w:fill="FFFFFF"/>
        </w:rPr>
        <w:t>https://doi.org/10.1016/j.acap.2018.06.014</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p w14:paraId="5C746D67">
      <w:pPr>
        <w:ind w:left="440" w:hanging="440" w:hangingChars="220"/>
        <w:rPr>
          <w:highlight w:val="yellow"/>
          <w:lang w:val="en-US"/>
        </w:rPr>
      </w:pPr>
      <w:r>
        <w:rPr>
          <w:rFonts w:hint="default" w:ascii="Arial" w:hAnsi="Arial" w:eastAsia="DengXian" w:cs="Arial"/>
          <w:kern w:val="2"/>
          <w:sz w:val="20"/>
          <w:szCs w:val="20"/>
          <w:highlight w:val="yellow"/>
          <w:lang w:val="en-US" w:eastAsia="zh-CN" w:bidi="ar"/>
          <w14:ligatures w14:val="standardContextual"/>
        </w:rPr>
        <w:t>Pérez-Cabral, I. D., Bernal-Mercado, A. T., Islas-Rubio, A. R., Suárez-Jiménez, G. M., Robles-García, M. Á., Puebla-Duarte, A. L., &amp; Del-Toro-Sánchez, C. L. (2024). Exploring dietary interventions in autism spectrum disorder. </w:t>
      </w:r>
      <w:r>
        <w:rPr>
          <w:rFonts w:hint="default" w:ascii="Arial" w:hAnsi="Arial" w:eastAsia="DengXian" w:cs="Arial"/>
          <w:i/>
          <w:iCs/>
          <w:kern w:val="2"/>
          <w:sz w:val="20"/>
          <w:szCs w:val="20"/>
          <w:highlight w:val="yellow"/>
          <w:lang w:val="en-US" w:eastAsia="zh-CN" w:bidi="ar"/>
          <w14:ligatures w14:val="standardContextual"/>
        </w:rPr>
        <w:t>Foods</w:t>
      </w:r>
      <w:r>
        <w:rPr>
          <w:rFonts w:hint="default" w:ascii="Arial" w:hAnsi="Arial" w:eastAsia="DengXian" w:cs="Arial"/>
          <w:kern w:val="2"/>
          <w:sz w:val="20"/>
          <w:szCs w:val="20"/>
          <w:highlight w:val="yellow"/>
          <w:lang w:val="en-US" w:eastAsia="zh-CN" w:bidi="ar"/>
          <w14:ligatures w14:val="standardContextual"/>
        </w:rPr>
        <w:t>, </w:t>
      </w:r>
      <w:r>
        <w:rPr>
          <w:rFonts w:hint="default" w:ascii="Arial" w:hAnsi="Arial" w:eastAsia="DengXian" w:cs="Arial"/>
          <w:i/>
          <w:iCs/>
          <w:kern w:val="2"/>
          <w:sz w:val="20"/>
          <w:szCs w:val="20"/>
          <w:highlight w:val="yellow"/>
          <w:lang w:val="en-US" w:eastAsia="zh-CN" w:bidi="ar"/>
          <w14:ligatures w14:val="standardContextual"/>
        </w:rPr>
        <w:t>13</w:t>
      </w:r>
      <w:r>
        <w:rPr>
          <w:rFonts w:hint="default" w:ascii="Arial" w:hAnsi="Arial" w:eastAsia="DengXian" w:cs="Arial"/>
          <w:kern w:val="2"/>
          <w:sz w:val="20"/>
          <w:szCs w:val="20"/>
          <w:highlight w:val="yellow"/>
          <w:lang w:val="en-US" w:eastAsia="zh-CN" w:bidi="ar"/>
          <w14:ligatures w14:val="standardContextual"/>
        </w:rPr>
        <w:t xml:space="preserve">(18). Article No. 3010.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"https://doi.org/10.3390/foods13183010"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https://doi.org/10.3390/foods13183010</w:t>
      </w:r>
      <w:r>
        <w:rPr>
          <w:rFonts w:hint="default" w:ascii="Arial" w:hAnsi="Arial" w:eastAsia="DengXian" w:cs="Arial"/>
          <w:kern w:val="2"/>
          <w:sz w:val="20"/>
          <w:szCs w:val="20"/>
          <w:highlight w:val="yellow"/>
          <w:lang w:val="en-US" w:eastAsia="zh-CN" w:bidi="ar"/>
          <w14:ligatures w14:val="standardContextual"/>
        </w:rPr>
        <w:fldChar w:fldCharType="end"/>
      </w:r>
      <w:r>
        <w:rPr>
          <w:rFonts w:hint="default" w:ascii="Arial" w:hAnsi="Arial" w:eastAsia="DengXian" w:cs="Arial"/>
          <w:kern w:val="2"/>
          <w:sz w:val="20"/>
          <w:szCs w:val="20"/>
          <w:highlight w:val="yellow"/>
          <w:lang w:val="en-US" w:eastAsia="zh-CN" w:bidi="ar"/>
          <w14:ligatures w14:val="standardContextual"/>
        </w:rPr>
        <w:t xml:space="preserve"> </w:t>
      </w:r>
    </w:p>
    <w:p w14:paraId="1179EB45">
      <w:pPr>
        <w:ind w:left="440" w:hanging="440" w:hangingChars="220"/>
        <w:rPr>
          <w:rFonts w:ascii="Arial" w:hAnsi="Arial" w:eastAsia="Segoe UI" w:cs="Arial"/>
          <w:color w:val="212121"/>
          <w:sz w:val="20"/>
          <w:szCs w:val="20"/>
          <w:shd w:val="clear" w:color="auto" w:fill="FFFFFF"/>
          <w:lang w:val="en-SG"/>
        </w:rPr>
      </w:pPr>
      <w:r>
        <w:rPr>
          <w:rFonts w:ascii="Arial" w:hAnsi="Arial" w:eastAsia="Segoe UI" w:cs="Arial"/>
          <w:color w:val="212121"/>
          <w:sz w:val="20"/>
          <w:szCs w:val="20"/>
          <w:shd w:val="clear" w:color="auto" w:fill="FFFFFF"/>
        </w:rPr>
        <w:t>Petrou, A. M., Soul, A., Koshy, B., McConachie, H., &amp; Parr, J. R. (2018). The impact on the family of the co-existing conditions of children with autism spectrum disorder. </w:t>
      </w:r>
      <w:r>
        <w:rPr>
          <w:rFonts w:ascii="Arial" w:hAnsi="Arial" w:eastAsia="Segoe UI" w:cs="Arial"/>
          <w:i/>
          <w:iCs/>
          <w:color w:val="212121"/>
          <w:sz w:val="20"/>
          <w:szCs w:val="20"/>
          <w:shd w:val="clear" w:color="auto" w:fill="FFFFFF"/>
        </w:rPr>
        <w:t xml:space="preserve">Autism </w:t>
      </w:r>
      <w:r>
        <w:rPr>
          <w:rFonts w:ascii="Arial" w:hAnsi="Arial" w:eastAsia="Segoe UI" w:cs="Arial"/>
          <w:i/>
          <w:iCs/>
          <w:color w:val="212121"/>
          <w:sz w:val="20"/>
          <w:szCs w:val="20"/>
          <w:shd w:val="clear" w:color="auto" w:fill="FFFFFF"/>
          <w:lang w:val="en-SG"/>
        </w:rPr>
        <w:t>R</w:t>
      </w:r>
      <w:r>
        <w:rPr>
          <w:rFonts w:ascii="Arial" w:hAnsi="Arial" w:eastAsia="Segoe UI" w:cs="Arial"/>
          <w:i/>
          <w:iCs/>
          <w:color w:val="212121"/>
          <w:sz w:val="20"/>
          <w:szCs w:val="20"/>
          <w:shd w:val="clear" w:color="auto" w:fill="FFFFFF"/>
        </w:rPr>
        <w:t>esearch</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11</w:t>
      </w:r>
      <w:r>
        <w:rPr>
          <w:rFonts w:ascii="Arial" w:hAnsi="Arial" w:eastAsia="Segoe UI" w:cs="Arial"/>
          <w:color w:val="212121"/>
          <w:sz w:val="20"/>
          <w:szCs w:val="20"/>
          <w:shd w:val="clear" w:color="auto" w:fill="FFFFFF"/>
        </w:rPr>
        <w:t>(5), 776</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787. </w:t>
      </w:r>
      <w:r>
        <w:fldChar w:fldCharType="begin"/>
      </w:r>
      <w:r>
        <w:instrText xml:space="preserve"> HYPERLINK "https://doi.org/10.1002/aur.1932" </w:instrText>
      </w:r>
      <w:r>
        <w:fldChar w:fldCharType="separate"/>
      </w:r>
      <w:r>
        <w:rPr>
          <w:rStyle w:val="19"/>
          <w:rFonts w:ascii="Arial" w:hAnsi="Arial" w:eastAsia="Segoe UI" w:cs="Arial"/>
          <w:sz w:val="20"/>
          <w:szCs w:val="20"/>
          <w:shd w:val="clear" w:color="auto" w:fill="FFFFFF"/>
        </w:rPr>
        <w:t>https://doi.org/10.1002/aur.1932</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p w14:paraId="63C40D59">
      <w:pPr>
        <w:ind w:left="440" w:hanging="440" w:hangingChars="220"/>
        <w:rPr>
          <w:rFonts w:ascii="Arial" w:hAnsi="Arial" w:eastAsia="DengXian" w:cs="Arial"/>
          <w:sz w:val="20"/>
          <w:szCs w:val="20"/>
          <w:lang w:val="en-SG" w:bidi="ar"/>
        </w:rPr>
      </w:pPr>
      <w:r>
        <w:rPr>
          <w:rFonts w:ascii="Arial" w:hAnsi="Arial" w:eastAsia="DengXian" w:cs="Arial"/>
          <w:sz w:val="20"/>
          <w:szCs w:val="20"/>
          <w:lang w:bidi="ar"/>
        </w:rPr>
        <w:t xml:space="preserve">Pretzsch, C. M., Schäfer, T., Lombardo, M. V., Warrier, V., Mann, C., Bletsch, A., Chatham, C. H., Floris, D. L., Tillmann, J., Yousaf, A., Jones, E., Charman, T., Ambrosino, S., Bourgeron, T., Dumas, G., Loth, E., Oakley, B., Buitelaar, J. K., Cliquet, F., Leblond, C. S., … Ecker, C. (2022). Neurobiological </w:t>
      </w:r>
      <w:r>
        <w:rPr>
          <w:rFonts w:ascii="Arial" w:hAnsi="Arial" w:eastAsia="DengXian" w:cs="Arial"/>
          <w:sz w:val="20"/>
          <w:szCs w:val="20"/>
          <w:lang w:val="en-SG" w:bidi="ar"/>
        </w:rPr>
        <w:t>c</w:t>
      </w:r>
      <w:r>
        <w:rPr>
          <w:rFonts w:ascii="Arial" w:hAnsi="Arial" w:eastAsia="DengXian" w:cs="Arial"/>
          <w:sz w:val="20"/>
          <w:szCs w:val="20"/>
          <w:lang w:bidi="ar"/>
        </w:rPr>
        <w:t xml:space="preserve">orrelates of </w:t>
      </w:r>
      <w:r>
        <w:rPr>
          <w:rFonts w:ascii="Arial" w:hAnsi="Arial" w:eastAsia="DengXian" w:cs="Arial"/>
          <w:sz w:val="20"/>
          <w:szCs w:val="20"/>
          <w:lang w:val="en-SG" w:bidi="ar"/>
        </w:rPr>
        <w:t>c</w:t>
      </w:r>
      <w:r>
        <w:rPr>
          <w:rFonts w:ascii="Arial" w:hAnsi="Arial" w:eastAsia="DengXian" w:cs="Arial"/>
          <w:sz w:val="20"/>
          <w:szCs w:val="20"/>
          <w:lang w:bidi="ar"/>
        </w:rPr>
        <w:t xml:space="preserve">hange in </w:t>
      </w:r>
      <w:r>
        <w:rPr>
          <w:rFonts w:ascii="Arial" w:hAnsi="Arial" w:eastAsia="DengXian" w:cs="Arial"/>
          <w:sz w:val="20"/>
          <w:szCs w:val="20"/>
          <w:lang w:val="en-SG" w:bidi="ar"/>
        </w:rPr>
        <w:t>a</w:t>
      </w:r>
      <w:r>
        <w:rPr>
          <w:rFonts w:ascii="Arial" w:hAnsi="Arial" w:eastAsia="DengXian" w:cs="Arial"/>
          <w:sz w:val="20"/>
          <w:szCs w:val="20"/>
          <w:lang w:bidi="ar"/>
        </w:rPr>
        <w:t xml:space="preserve">daptive </w:t>
      </w:r>
      <w:r>
        <w:rPr>
          <w:rFonts w:ascii="Arial" w:hAnsi="Arial" w:eastAsia="DengXian" w:cs="Arial"/>
          <w:sz w:val="20"/>
          <w:szCs w:val="20"/>
          <w:lang w:val="en-SG" w:bidi="ar"/>
        </w:rPr>
        <w:t>b</w:t>
      </w:r>
      <w:r>
        <w:rPr>
          <w:rFonts w:ascii="Arial" w:hAnsi="Arial" w:eastAsia="DengXian" w:cs="Arial"/>
          <w:sz w:val="20"/>
          <w:szCs w:val="20"/>
          <w:lang w:bidi="ar"/>
        </w:rPr>
        <w:t xml:space="preserve">ehavior in </w:t>
      </w:r>
      <w:r>
        <w:rPr>
          <w:rFonts w:ascii="Arial" w:hAnsi="Arial" w:eastAsia="DengXian" w:cs="Arial"/>
          <w:sz w:val="20"/>
          <w:szCs w:val="20"/>
          <w:lang w:val="en-SG" w:bidi="ar"/>
        </w:rPr>
        <w:t>a</w:t>
      </w:r>
      <w:r>
        <w:rPr>
          <w:rFonts w:ascii="Arial" w:hAnsi="Arial" w:eastAsia="DengXian" w:cs="Arial"/>
          <w:sz w:val="20"/>
          <w:szCs w:val="20"/>
          <w:lang w:bidi="ar"/>
        </w:rPr>
        <w:t>utism. </w:t>
      </w:r>
      <w:r>
        <w:rPr>
          <w:rFonts w:ascii="Arial" w:hAnsi="Arial" w:eastAsia="DengXian" w:cs="Arial"/>
          <w:i/>
          <w:iCs/>
          <w:sz w:val="20"/>
          <w:szCs w:val="20"/>
          <w:lang w:bidi="ar"/>
        </w:rPr>
        <w:t xml:space="preserve">The American </w:t>
      </w:r>
      <w:r>
        <w:rPr>
          <w:rFonts w:ascii="Arial" w:hAnsi="Arial" w:eastAsia="DengXian" w:cs="Arial"/>
          <w:i/>
          <w:iCs/>
          <w:sz w:val="20"/>
          <w:szCs w:val="20"/>
          <w:lang w:val="en-SG" w:bidi="ar"/>
        </w:rPr>
        <w:t>J</w:t>
      </w:r>
      <w:r>
        <w:rPr>
          <w:rFonts w:ascii="Arial" w:hAnsi="Arial" w:eastAsia="DengXian" w:cs="Arial"/>
          <w:i/>
          <w:iCs/>
          <w:sz w:val="20"/>
          <w:szCs w:val="20"/>
          <w:lang w:bidi="ar"/>
        </w:rPr>
        <w:t xml:space="preserve">ournal of </w:t>
      </w:r>
      <w:r>
        <w:rPr>
          <w:rFonts w:ascii="Arial" w:hAnsi="Arial" w:eastAsia="DengXian" w:cs="Arial"/>
          <w:i/>
          <w:iCs/>
          <w:sz w:val="20"/>
          <w:szCs w:val="20"/>
          <w:lang w:val="en-SG" w:bidi="ar"/>
        </w:rPr>
        <w:t>P</w:t>
      </w:r>
      <w:r>
        <w:rPr>
          <w:rFonts w:ascii="Arial" w:hAnsi="Arial" w:eastAsia="DengXian" w:cs="Arial"/>
          <w:i/>
          <w:iCs/>
          <w:sz w:val="20"/>
          <w:szCs w:val="20"/>
          <w:lang w:bidi="ar"/>
        </w:rPr>
        <w:t>sychiatry</w:t>
      </w:r>
      <w:r>
        <w:rPr>
          <w:rFonts w:ascii="Arial" w:hAnsi="Arial" w:eastAsia="DengXian" w:cs="Arial"/>
          <w:sz w:val="20"/>
          <w:szCs w:val="20"/>
          <w:lang w:bidi="ar"/>
        </w:rPr>
        <w:t>, </w:t>
      </w:r>
      <w:r>
        <w:rPr>
          <w:rFonts w:ascii="Arial" w:hAnsi="Arial" w:eastAsia="DengXian" w:cs="Arial"/>
          <w:i/>
          <w:iCs/>
          <w:sz w:val="20"/>
          <w:szCs w:val="20"/>
          <w:lang w:bidi="ar"/>
        </w:rPr>
        <w:t>179</w:t>
      </w:r>
      <w:r>
        <w:rPr>
          <w:rFonts w:ascii="Arial" w:hAnsi="Arial" w:eastAsia="DengXian" w:cs="Arial"/>
          <w:sz w:val="20"/>
          <w:szCs w:val="20"/>
          <w:lang w:bidi="ar"/>
        </w:rPr>
        <w:t xml:space="preserve">(5), 336-349. </w:t>
      </w:r>
      <w:r>
        <w:fldChar w:fldCharType="begin"/>
      </w:r>
      <w:r>
        <w:instrText xml:space="preserve"> HYPERLINK "https://doi.org/10.1176/appi.ajp.21070711" </w:instrText>
      </w:r>
      <w:r>
        <w:fldChar w:fldCharType="separate"/>
      </w:r>
      <w:r>
        <w:rPr>
          <w:rStyle w:val="19"/>
          <w:rFonts w:ascii="Arial" w:hAnsi="Arial" w:eastAsia="DengXian" w:cs="Arial"/>
          <w:sz w:val="20"/>
          <w:szCs w:val="20"/>
          <w:lang w:bidi="ar"/>
        </w:rPr>
        <w:t>https://doi.org/10.1176/appi.ajp.21070711</w:t>
      </w:r>
      <w:r>
        <w:rPr>
          <w:rStyle w:val="19"/>
          <w:rFonts w:ascii="Arial" w:hAnsi="Arial" w:eastAsia="DengXian" w:cs="Arial"/>
          <w:sz w:val="20"/>
          <w:szCs w:val="20"/>
          <w:lang w:bidi="ar"/>
        </w:rPr>
        <w:fldChar w:fldCharType="end"/>
      </w:r>
      <w:r>
        <w:rPr>
          <w:rFonts w:ascii="Arial" w:hAnsi="Arial" w:eastAsia="DengXian" w:cs="Arial"/>
          <w:sz w:val="20"/>
          <w:szCs w:val="20"/>
          <w:lang w:val="en-SG" w:bidi="ar"/>
        </w:rPr>
        <w:t xml:space="preserve"> </w:t>
      </w:r>
    </w:p>
    <w:p w14:paraId="68DDC2BF">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Qin, L., Wang, H., Ning, W., Cui, M., &amp; Wang, Q. (2024). New advances in the diagnosis and treatment of autism spectrum disorders. </w:t>
      </w:r>
      <w:r>
        <w:rPr>
          <w:rFonts w:ascii="Arial" w:hAnsi="Arial" w:eastAsia="Segoe UI" w:cs="Arial"/>
          <w:i/>
          <w:iCs/>
          <w:color w:val="212121"/>
          <w:sz w:val="20"/>
          <w:szCs w:val="20"/>
          <w:shd w:val="clear" w:color="auto" w:fill="FFFFFF"/>
        </w:rPr>
        <w:t>European Journal of Medical Research</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29</w:t>
      </w:r>
      <w:r>
        <w:rPr>
          <w:rFonts w:ascii="Arial" w:hAnsi="Arial" w:eastAsia="Segoe UI" w:cs="Arial"/>
          <w:color w:val="212121"/>
          <w:sz w:val="20"/>
          <w:szCs w:val="20"/>
          <w:shd w:val="clear" w:color="auto" w:fill="FFFFFF"/>
        </w:rPr>
        <w:t xml:space="preserve">(1). Article No. 322. </w:t>
      </w:r>
      <w:r>
        <w:fldChar w:fldCharType="begin"/>
      </w:r>
      <w:r>
        <w:instrText xml:space="preserve"> HYPERLINK "https://doi.org/10.1186/s40001-024-01916-2" </w:instrText>
      </w:r>
      <w:r>
        <w:fldChar w:fldCharType="separate"/>
      </w:r>
      <w:r>
        <w:rPr>
          <w:rStyle w:val="19"/>
          <w:rFonts w:ascii="Arial" w:hAnsi="Arial" w:eastAsia="Segoe UI" w:cs="Arial"/>
          <w:sz w:val="20"/>
          <w:szCs w:val="20"/>
          <w:shd w:val="clear" w:color="auto" w:fill="FFFFFF"/>
        </w:rPr>
        <w:t>https://doi.org/10.1186/s40001-024-01916-2</w:t>
      </w:r>
      <w:r>
        <w:rPr>
          <w:rStyle w:val="19"/>
          <w:rFonts w:ascii="Arial" w:hAnsi="Arial" w:eastAsia="Segoe UI" w:cs="Arial"/>
          <w:sz w:val="20"/>
          <w:szCs w:val="20"/>
          <w:shd w:val="clear" w:color="auto" w:fill="FFFFFF"/>
        </w:rPr>
        <w:fldChar w:fldCharType="end"/>
      </w:r>
    </w:p>
    <w:p w14:paraId="79F40F42">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Sauer, A. K., Stanton, J. E., Hans, S., &amp; Grabrucker, A. M. (2021). Autism Spectrum Disorders: Etiology and Pathology. In A. M. Grabrucker (Ed.), </w:t>
      </w:r>
      <w:r>
        <w:rPr>
          <w:rFonts w:ascii="Arial" w:hAnsi="Arial" w:eastAsia="Segoe UI" w:cs="Arial"/>
          <w:i/>
          <w:iCs/>
          <w:color w:val="212121"/>
          <w:sz w:val="20"/>
          <w:szCs w:val="20"/>
          <w:shd w:val="clear" w:color="auto" w:fill="FFFFFF"/>
        </w:rPr>
        <w:t xml:space="preserve">Autism spectrum disorders </w:t>
      </w:r>
      <w:r>
        <w:rPr>
          <w:rFonts w:ascii="Arial" w:hAnsi="Arial" w:eastAsia="Segoe UI" w:cs="Arial"/>
          <w:color w:val="212121"/>
          <w:sz w:val="20"/>
          <w:szCs w:val="20"/>
          <w:shd w:val="clear" w:color="auto" w:fill="FFFFFF"/>
        </w:rPr>
        <w:t xml:space="preserve">(pp. 1-16). Brisbane, Australia: Exon Publications. </w:t>
      </w:r>
      <w:r>
        <w:fldChar w:fldCharType="begin"/>
      </w:r>
      <w:r>
        <w:instrText xml:space="preserve"> HYPERLINK "https://doi.org/10.36255/exonpublications.autismspectrumdisorders.2021.etiology" </w:instrText>
      </w:r>
      <w:r>
        <w:fldChar w:fldCharType="separate"/>
      </w:r>
      <w:r>
        <w:rPr>
          <w:rStyle w:val="19"/>
          <w:rFonts w:ascii="Arial" w:hAnsi="Arial" w:eastAsia="Segoe UI" w:cs="Arial"/>
          <w:sz w:val="20"/>
          <w:szCs w:val="20"/>
          <w:shd w:val="clear" w:color="auto" w:fill="FFFFFF"/>
        </w:rPr>
        <w:t>https://doi.org/10.36255/exonpublications.autismspectrumdisorders.2021.etiology</w:t>
      </w:r>
      <w:r>
        <w:rPr>
          <w:rStyle w:val="19"/>
          <w:rFonts w:ascii="Arial" w:hAnsi="Arial" w:eastAsia="Segoe UI" w:cs="Arial"/>
          <w:sz w:val="20"/>
          <w:szCs w:val="20"/>
          <w:shd w:val="clear" w:color="auto" w:fill="FFFFFF"/>
        </w:rPr>
        <w:fldChar w:fldCharType="end"/>
      </w:r>
    </w:p>
    <w:p w14:paraId="12CB033D">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Shaw P. (2024). ADHD and ASD: Time to Split or Lump?. </w:t>
      </w:r>
      <w:r>
        <w:rPr>
          <w:rFonts w:ascii="Arial" w:hAnsi="Arial" w:eastAsia="Segoe UI" w:cs="Arial"/>
          <w:i/>
          <w:iCs/>
          <w:color w:val="212121"/>
          <w:sz w:val="20"/>
          <w:szCs w:val="20"/>
          <w:shd w:val="clear" w:color="auto" w:fill="FFFFFF"/>
        </w:rPr>
        <w:t>The American journal of psychiatry</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181</w:t>
      </w:r>
      <w:r>
        <w:rPr>
          <w:rFonts w:ascii="Arial" w:hAnsi="Arial" w:eastAsia="Segoe UI" w:cs="Arial"/>
          <w:color w:val="212121"/>
          <w:sz w:val="20"/>
          <w:szCs w:val="20"/>
          <w:shd w:val="clear" w:color="auto" w:fill="FFFFFF"/>
        </w:rPr>
        <w:t xml:space="preserve">(6), 476-478. </w:t>
      </w:r>
      <w:r>
        <w:fldChar w:fldCharType="begin"/>
      </w:r>
      <w:r>
        <w:instrText xml:space="preserve"> HYPERLINK "https://doi.org/10.1176/appi.ajp.20240264" </w:instrText>
      </w:r>
      <w:r>
        <w:fldChar w:fldCharType="separate"/>
      </w:r>
      <w:r>
        <w:rPr>
          <w:rStyle w:val="19"/>
          <w:rFonts w:ascii="Arial" w:hAnsi="Arial" w:eastAsia="Segoe UI" w:cs="Arial"/>
          <w:sz w:val="20"/>
          <w:szCs w:val="20"/>
          <w:shd w:val="clear" w:color="auto" w:fill="FFFFFF"/>
        </w:rPr>
        <w:t>https://doi.org/10.1176/appi.ajp.20240264</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rPr>
        <w:t xml:space="preserve"> </w:t>
      </w:r>
    </w:p>
    <w:p w14:paraId="271D0458">
      <w:pPr>
        <w:ind w:left="440" w:hanging="440" w:hangingChars="220"/>
        <w:rPr>
          <w:rFonts w:ascii="Arial" w:hAnsi="Arial" w:eastAsia="Arial" w:cs="Arial"/>
          <w:sz w:val="20"/>
          <w:szCs w:val="20"/>
          <w:u w:val="single"/>
          <w:shd w:val="clear" w:color="auto" w:fill="FFFFFF"/>
          <w:lang w:val="en-SG"/>
        </w:rPr>
      </w:pPr>
      <w:r>
        <w:rPr>
          <w:rFonts w:ascii="Arial" w:hAnsi="Arial" w:eastAsia="DengXian" w:cs="Arial"/>
          <w:sz w:val="20"/>
          <w:szCs w:val="20"/>
          <w:lang w:bidi="ar"/>
        </w:rPr>
        <w:t xml:space="preserve">Sheridan, K., Allen, K. A., Vine Foggo, R., Hurem, A., Leif, E., &amp; Freeman, N. (2023). Uncertainty and autism: How changing with the times is harder for some. In B. C. de Caux, L. Pretorius, &amp; L. Macaulay (Eds.), </w:t>
      </w:r>
      <w:r>
        <w:rPr>
          <w:rFonts w:ascii="Arial" w:hAnsi="Arial" w:eastAsia="DengXian" w:cs="Arial"/>
          <w:i/>
          <w:iCs/>
          <w:sz w:val="20"/>
          <w:szCs w:val="20"/>
          <w:lang w:bidi="ar"/>
        </w:rPr>
        <w:t>Research and teaching in a pandemic world: The challenges of establishing academic identities during times of crisis</w:t>
      </w:r>
      <w:r>
        <w:rPr>
          <w:rFonts w:ascii="Arial" w:hAnsi="Arial" w:eastAsia="DengXian" w:cs="Arial"/>
          <w:sz w:val="20"/>
          <w:szCs w:val="20"/>
          <w:lang w:bidi="ar"/>
        </w:rPr>
        <w:t> (pp. 195-212). Singapore: Springer Nature.</w:t>
      </w:r>
      <w:r>
        <w:rPr>
          <w:rFonts w:ascii="Arial" w:hAnsi="Arial" w:eastAsia="DengXian" w:cs="Arial"/>
          <w:sz w:val="20"/>
          <w:szCs w:val="20"/>
          <w:lang w:val="en-SG" w:bidi="ar"/>
        </w:rPr>
        <w:t xml:space="preserve"> </w:t>
      </w:r>
      <w:r>
        <w:fldChar w:fldCharType="begin"/>
      </w:r>
      <w:r>
        <w:instrText xml:space="preserve"> HYPERLINK "https://doi.org/10.1007/978-981-19-7757-2_13" </w:instrText>
      </w:r>
      <w:r>
        <w:fldChar w:fldCharType="separate"/>
      </w:r>
      <w:r>
        <w:rPr>
          <w:rStyle w:val="19"/>
          <w:rFonts w:ascii="Arial" w:hAnsi="Arial" w:eastAsia="DengXian" w:cs="Arial"/>
          <w:sz w:val="20"/>
          <w:szCs w:val="20"/>
          <w:lang w:val="en-SG" w:bidi="ar"/>
        </w:rPr>
        <w:t>https://doi.org/</w:t>
      </w:r>
      <w:r>
        <w:rPr>
          <w:rStyle w:val="19"/>
          <w:rFonts w:ascii="Arial" w:hAnsi="Arial" w:eastAsia="Arial" w:cs="Arial"/>
          <w:sz w:val="20"/>
          <w:szCs w:val="20"/>
          <w:shd w:val="clear" w:color="auto" w:fill="FFFFFF"/>
        </w:rPr>
        <w:t>10.1007/978-981-19-7757-2_13</w:t>
      </w:r>
      <w:r>
        <w:rPr>
          <w:rStyle w:val="19"/>
          <w:rFonts w:ascii="Arial" w:hAnsi="Arial" w:eastAsia="Arial" w:cs="Arial"/>
          <w:sz w:val="20"/>
          <w:szCs w:val="20"/>
          <w:shd w:val="clear" w:color="auto" w:fill="FFFFFF"/>
        </w:rPr>
        <w:fldChar w:fldCharType="end"/>
      </w:r>
      <w:r>
        <w:rPr>
          <w:rFonts w:ascii="Arial" w:hAnsi="Arial" w:eastAsia="Arial" w:cs="Arial"/>
          <w:sz w:val="20"/>
          <w:szCs w:val="20"/>
          <w:u w:val="single"/>
          <w:shd w:val="clear" w:color="auto" w:fill="FFFFFF"/>
          <w:lang w:val="en-SG"/>
        </w:rPr>
        <w:t xml:space="preserve"> </w:t>
      </w:r>
    </w:p>
    <w:p w14:paraId="256AAEFE">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Szlamka, Z., Sebastián, C., Hanlon, C., &amp; Hoekstra, R. A. (2024). Caregiver-centred empowerment for families raising autistic children: A qualitative case study from Argentina. </w:t>
      </w:r>
      <w:r>
        <w:rPr>
          <w:rFonts w:ascii="Arial" w:hAnsi="Arial" w:eastAsia="Segoe UI" w:cs="Arial"/>
          <w:i/>
          <w:iCs/>
          <w:color w:val="212121"/>
          <w:sz w:val="20"/>
          <w:szCs w:val="20"/>
          <w:shd w:val="clear" w:color="auto" w:fill="FFFFFF"/>
        </w:rPr>
        <w:t>Autism</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28</w:t>
      </w:r>
      <w:r>
        <w:rPr>
          <w:rFonts w:ascii="Arial" w:hAnsi="Arial" w:eastAsia="Segoe UI" w:cs="Arial"/>
          <w:color w:val="212121"/>
          <w:sz w:val="20"/>
          <w:szCs w:val="20"/>
          <w:shd w:val="clear" w:color="auto" w:fill="FFFFFF"/>
        </w:rPr>
        <w:t>(11), 2768</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2778. </w:t>
      </w:r>
      <w:r>
        <w:fldChar w:fldCharType="begin"/>
      </w:r>
      <w:r>
        <w:instrText xml:space="preserve"> HYPERLINK "https://doi.org/10.1177/13623613241238254" </w:instrText>
      </w:r>
      <w:r>
        <w:fldChar w:fldCharType="separate"/>
      </w:r>
      <w:r>
        <w:rPr>
          <w:rStyle w:val="19"/>
          <w:rFonts w:ascii="Arial" w:hAnsi="Arial" w:eastAsia="Segoe UI" w:cs="Arial"/>
          <w:sz w:val="20"/>
          <w:szCs w:val="20"/>
          <w:shd w:val="clear" w:color="auto" w:fill="FFFFFF"/>
        </w:rPr>
        <w:t>https://doi.org/10.1177/13623613241238254</w:t>
      </w:r>
      <w:r>
        <w:rPr>
          <w:rStyle w:val="19"/>
          <w:rFonts w:ascii="Arial" w:hAnsi="Arial" w:eastAsia="Segoe UI" w:cs="Arial"/>
          <w:sz w:val="20"/>
          <w:szCs w:val="20"/>
          <w:shd w:val="clear" w:color="auto" w:fill="FFFFFF"/>
        </w:rPr>
        <w:fldChar w:fldCharType="end"/>
      </w:r>
    </w:p>
    <w:p w14:paraId="6878F65E">
      <w:pPr>
        <w:ind w:left="440" w:hanging="440" w:hangingChars="220"/>
        <w:rPr>
          <w:rFonts w:ascii="Arial" w:hAnsi="Arial" w:eastAsia="DengXian" w:cs="Arial"/>
          <w:sz w:val="20"/>
          <w:szCs w:val="20"/>
          <w:lang w:bidi="ar"/>
        </w:rPr>
      </w:pPr>
      <w:r>
        <w:rPr>
          <w:rFonts w:ascii="Arial" w:hAnsi="Arial" w:eastAsia="DengXian" w:cs="Arial"/>
          <w:sz w:val="20"/>
          <w:szCs w:val="20"/>
          <w:lang w:bidi="ar"/>
        </w:rPr>
        <w:t>Tantam, D. (2012). </w:t>
      </w:r>
      <w:r>
        <w:rPr>
          <w:rFonts w:ascii="Arial" w:hAnsi="Arial" w:eastAsia="DengXian" w:cs="Arial"/>
          <w:i/>
          <w:iCs/>
          <w:sz w:val="20"/>
          <w:szCs w:val="20"/>
          <w:lang w:bidi="ar"/>
        </w:rPr>
        <w:t>Autism spectrum disorders through the life span</w:t>
      </w:r>
      <w:r>
        <w:rPr>
          <w:rFonts w:ascii="Arial" w:hAnsi="Arial" w:eastAsia="DengXian" w:cs="Arial"/>
          <w:sz w:val="20"/>
          <w:szCs w:val="20"/>
          <w:lang w:bidi="ar"/>
        </w:rPr>
        <w:t xml:space="preserve">. London, UK: Jessica Kingsley Publishers. </w:t>
      </w:r>
      <w:r>
        <w:fldChar w:fldCharType="begin"/>
      </w:r>
      <w:r>
        <w:instrText xml:space="preserve"> HYPERLINK "https://doi.org/10.1111/j.1365-2788.2012.01622.x" </w:instrText>
      </w:r>
      <w:r>
        <w:fldChar w:fldCharType="separate"/>
      </w:r>
      <w:r>
        <w:rPr>
          <w:rStyle w:val="19"/>
          <w:rFonts w:ascii="Arial" w:hAnsi="Arial" w:cs="Arial"/>
          <w:sz w:val="20"/>
          <w:szCs w:val="20"/>
        </w:rPr>
        <w:t>https://doi.org/10.1111/j.1365-2788.2012.01622.x</w:t>
      </w:r>
      <w:r>
        <w:rPr>
          <w:rStyle w:val="19"/>
          <w:rFonts w:ascii="Arial" w:hAnsi="Arial" w:cs="Arial"/>
          <w:sz w:val="20"/>
          <w:szCs w:val="20"/>
        </w:rPr>
        <w:fldChar w:fldCharType="end"/>
      </w:r>
    </w:p>
    <w:p w14:paraId="302F6A92">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Taylor, E. C., Livingston, L. A., Clutterbuck, R. A., Callan, M. J., &amp; Shah, P. (2023). Psychological strengths and well-being: Strengths use predicts quality of life, well-being and mental health in autism. </w:t>
      </w:r>
      <w:r>
        <w:rPr>
          <w:rFonts w:ascii="Arial" w:hAnsi="Arial" w:eastAsia="Segoe UI" w:cs="Arial"/>
          <w:i/>
          <w:iCs/>
          <w:color w:val="212121"/>
          <w:sz w:val="20"/>
          <w:szCs w:val="20"/>
          <w:shd w:val="clear" w:color="auto" w:fill="FFFFFF"/>
        </w:rPr>
        <w:t>Autism</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27</w:t>
      </w:r>
      <w:r>
        <w:rPr>
          <w:rFonts w:ascii="Arial" w:hAnsi="Arial" w:eastAsia="Segoe UI" w:cs="Arial"/>
          <w:color w:val="212121"/>
          <w:sz w:val="20"/>
          <w:szCs w:val="20"/>
          <w:shd w:val="clear" w:color="auto" w:fill="FFFFFF"/>
        </w:rPr>
        <w:t xml:space="preserve">(6), 1826-1839. </w:t>
      </w:r>
      <w:r>
        <w:fldChar w:fldCharType="begin"/>
      </w:r>
      <w:r>
        <w:instrText xml:space="preserve"> HYPERLINK "https://doi.org/10.1177/13623613221146440" </w:instrText>
      </w:r>
      <w:r>
        <w:fldChar w:fldCharType="separate"/>
      </w:r>
      <w:r>
        <w:rPr>
          <w:rStyle w:val="19"/>
          <w:rFonts w:ascii="Arial" w:hAnsi="Arial" w:eastAsia="Segoe UI" w:cs="Arial"/>
          <w:sz w:val="20"/>
          <w:szCs w:val="20"/>
          <w:shd w:val="clear" w:color="auto" w:fill="FFFFFF"/>
        </w:rPr>
        <w:t>https://doi.org/10.1177/13623613221146440</w:t>
      </w:r>
      <w:r>
        <w:rPr>
          <w:rStyle w:val="19"/>
          <w:rFonts w:ascii="Arial" w:hAnsi="Arial" w:eastAsia="Segoe UI" w:cs="Arial"/>
          <w:sz w:val="20"/>
          <w:szCs w:val="20"/>
          <w:shd w:val="clear" w:color="auto" w:fill="FFFFFF"/>
        </w:rPr>
        <w:fldChar w:fldCharType="end"/>
      </w:r>
    </w:p>
    <w:p w14:paraId="6BFECF83">
      <w:pPr>
        <w:ind w:left="440" w:hanging="440" w:hangingChars="220"/>
        <w:rPr>
          <w:rStyle w:val="19"/>
          <w:rFonts w:ascii="Arial" w:hAnsi="Arial" w:cs="Arial"/>
          <w:sz w:val="20"/>
          <w:szCs w:val="20"/>
          <w:lang w:val="en-SG"/>
        </w:rPr>
      </w:pPr>
      <w:r>
        <w:rPr>
          <w:rFonts w:ascii="Arial" w:hAnsi="Arial" w:cs="Arial"/>
          <w:sz w:val="20"/>
          <w:szCs w:val="20"/>
          <w:lang w:val="en-SG"/>
        </w:rPr>
        <w:t xml:space="preserve">US Department of Education (2017, May 2; updated). Section 300.8 c (1). Available: </w:t>
      </w:r>
      <w:r>
        <w:fldChar w:fldCharType="begin"/>
      </w:r>
      <w:r>
        <w:instrText xml:space="preserve"> HYPERLINK "https://sites.ed.gov/idea/regs/b/a/300.8/c/1" </w:instrText>
      </w:r>
      <w:r>
        <w:fldChar w:fldCharType="separate"/>
      </w:r>
      <w:r>
        <w:rPr>
          <w:rStyle w:val="19"/>
          <w:rFonts w:ascii="Arial" w:hAnsi="Arial" w:cs="Arial"/>
          <w:sz w:val="20"/>
          <w:szCs w:val="20"/>
          <w:lang w:val="en-SG"/>
        </w:rPr>
        <w:t>https://sites.ed.gov/idea/regs/b/a/300.8/c/1</w:t>
      </w:r>
      <w:r>
        <w:rPr>
          <w:rStyle w:val="19"/>
          <w:rFonts w:ascii="Arial" w:hAnsi="Arial" w:cs="Arial"/>
          <w:sz w:val="20"/>
          <w:szCs w:val="20"/>
          <w:lang w:val="en-SG"/>
        </w:rPr>
        <w:fldChar w:fldCharType="end"/>
      </w:r>
    </w:p>
    <w:p w14:paraId="55CAE9B1">
      <w:pPr>
        <w:ind w:left="440" w:hanging="440" w:hangingChars="220"/>
        <w:rPr>
          <w:rFonts w:ascii="Arial" w:hAnsi="Arial" w:eastAsia="DengXian" w:cs="Arial"/>
          <w:sz w:val="20"/>
          <w:szCs w:val="20"/>
          <w:lang w:bidi="ar"/>
        </w:rPr>
      </w:pPr>
      <w:r>
        <w:rPr>
          <w:rFonts w:ascii="Arial" w:hAnsi="Arial" w:eastAsia="DengXian" w:cs="Arial"/>
          <w:sz w:val="20"/>
          <w:szCs w:val="20"/>
          <w:lang w:val="en-SG" w:bidi="ar"/>
        </w:rPr>
        <w:t>V</w:t>
      </w:r>
      <w:r>
        <w:rPr>
          <w:rFonts w:ascii="Arial" w:hAnsi="Arial" w:eastAsia="DengXian" w:cs="Arial"/>
          <w:sz w:val="20"/>
          <w:szCs w:val="20"/>
          <w:lang w:bidi="ar"/>
        </w:rPr>
        <w:t>an Heijst, B. F., &amp; Geurts, H. M. (2015). Quality of life in autism across the lifespan: A meta-analysis. </w:t>
      </w:r>
      <w:r>
        <w:rPr>
          <w:rFonts w:ascii="Arial" w:hAnsi="Arial" w:eastAsia="DengXian" w:cs="Arial"/>
          <w:i/>
          <w:iCs/>
          <w:sz w:val="20"/>
          <w:szCs w:val="20"/>
          <w:lang w:bidi="ar"/>
        </w:rPr>
        <w:t>Autism</w:t>
      </w:r>
      <w:r>
        <w:rPr>
          <w:rFonts w:ascii="Arial" w:hAnsi="Arial" w:eastAsia="DengXian" w:cs="Arial"/>
          <w:sz w:val="20"/>
          <w:szCs w:val="20"/>
          <w:lang w:bidi="ar"/>
        </w:rPr>
        <w:t>, </w:t>
      </w:r>
      <w:r>
        <w:rPr>
          <w:rFonts w:ascii="Arial" w:hAnsi="Arial" w:eastAsia="DengXian" w:cs="Arial"/>
          <w:i/>
          <w:iCs/>
          <w:sz w:val="20"/>
          <w:szCs w:val="20"/>
          <w:lang w:bidi="ar"/>
        </w:rPr>
        <w:t>19</w:t>
      </w:r>
      <w:r>
        <w:rPr>
          <w:rFonts w:ascii="Arial" w:hAnsi="Arial" w:eastAsia="DengXian" w:cs="Arial"/>
          <w:sz w:val="20"/>
          <w:szCs w:val="20"/>
          <w:lang w:bidi="ar"/>
        </w:rPr>
        <w:t xml:space="preserve">(2), 158-167. </w:t>
      </w:r>
      <w:r>
        <w:fldChar w:fldCharType="begin"/>
      </w:r>
      <w:r>
        <w:instrText xml:space="preserve"> HYPERLINK "https://doi.org/10.1177/1362361313517053" </w:instrText>
      </w:r>
      <w:r>
        <w:fldChar w:fldCharType="separate"/>
      </w:r>
      <w:r>
        <w:rPr>
          <w:rStyle w:val="19"/>
          <w:rFonts w:ascii="Arial" w:hAnsi="Arial" w:cs="Arial"/>
          <w:sz w:val="20"/>
          <w:szCs w:val="20"/>
        </w:rPr>
        <w:t>https://doi.org/10.1177/1362361313517053</w:t>
      </w:r>
      <w:r>
        <w:rPr>
          <w:rStyle w:val="19"/>
          <w:rFonts w:ascii="Arial" w:hAnsi="Arial" w:cs="Arial"/>
          <w:sz w:val="20"/>
          <w:szCs w:val="20"/>
        </w:rPr>
        <w:fldChar w:fldCharType="end"/>
      </w:r>
    </w:p>
    <w:p w14:paraId="5A91B001">
      <w:pPr>
        <w:ind w:left="440" w:hanging="440" w:hangingChars="220"/>
        <w:rPr>
          <w:rStyle w:val="19"/>
          <w:rFonts w:ascii="Arial" w:hAnsi="Arial" w:cs="Arial"/>
          <w:sz w:val="20"/>
          <w:szCs w:val="20"/>
        </w:rPr>
      </w:pPr>
      <w:r>
        <w:rPr>
          <w:rFonts w:ascii="Arial" w:hAnsi="Arial" w:cs="Arial"/>
          <w:sz w:val="20"/>
          <w:szCs w:val="20"/>
        </w:rPr>
        <w:t>Van Wijngaarden-Cremers, P. J., van Eeten, E., Groen, W. B., Van Deurzen, P. A., Oosterling, I. J., &amp; Van der Gaag, R. J. (2014). Gender and age differences in the core triad of impairments in autism spectrum disorders: a systematic review and meta-analysis.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44</w:t>
      </w:r>
      <w:r>
        <w:rPr>
          <w:rFonts w:ascii="Arial" w:hAnsi="Arial" w:cs="Arial"/>
          <w:sz w:val="20"/>
          <w:szCs w:val="20"/>
        </w:rPr>
        <w:t xml:space="preserve">(3), 627-635. </w:t>
      </w:r>
      <w:r>
        <w:fldChar w:fldCharType="begin"/>
      </w:r>
      <w:r>
        <w:instrText xml:space="preserve"> HYPERLINK "https://doi.org/10.1007/s10803-013-1913-9" </w:instrText>
      </w:r>
      <w:r>
        <w:fldChar w:fldCharType="separate"/>
      </w:r>
      <w:r>
        <w:rPr>
          <w:rStyle w:val="19"/>
          <w:rFonts w:ascii="Arial" w:hAnsi="Arial" w:cs="Arial"/>
          <w:sz w:val="20"/>
          <w:szCs w:val="20"/>
        </w:rPr>
        <w:t>https://doi.org/10.1007/s10803-013-1913-9</w:t>
      </w:r>
      <w:r>
        <w:rPr>
          <w:rStyle w:val="19"/>
          <w:rFonts w:ascii="Arial" w:hAnsi="Arial" w:cs="Arial"/>
          <w:sz w:val="20"/>
          <w:szCs w:val="20"/>
        </w:rPr>
        <w:fldChar w:fldCharType="end"/>
      </w:r>
    </w:p>
    <w:p w14:paraId="3020A2D1">
      <w:pPr>
        <w:ind w:left="440" w:hanging="440" w:hangingChars="220"/>
        <w:rPr>
          <w:rStyle w:val="19"/>
          <w:rFonts w:ascii="Arial" w:hAnsi="Arial" w:eastAsia="Segoe UI" w:cs="Arial"/>
          <w:sz w:val="20"/>
          <w:szCs w:val="20"/>
          <w:shd w:val="clear" w:color="auto" w:fill="FFFFFF"/>
        </w:rPr>
      </w:pPr>
      <w:r>
        <w:rPr>
          <w:rFonts w:ascii="Arial" w:hAnsi="Arial" w:eastAsia="Segoe UI" w:cs="Arial"/>
          <w:color w:val="212121"/>
          <w:sz w:val="20"/>
          <w:szCs w:val="20"/>
          <w:shd w:val="clear" w:color="auto" w:fill="FFFFFF"/>
        </w:rPr>
        <w:t>Vivanti, G. (2022). What does it mean for an autism intervention to be evidence-based? </w:t>
      </w:r>
      <w:r>
        <w:rPr>
          <w:rFonts w:ascii="Arial" w:hAnsi="Arial" w:eastAsia="Segoe UI" w:cs="Arial"/>
          <w:i/>
          <w:iCs/>
          <w:color w:val="212121"/>
          <w:sz w:val="20"/>
          <w:szCs w:val="20"/>
          <w:shd w:val="clear" w:color="auto" w:fill="FFFFFF"/>
        </w:rPr>
        <w:t>Autism Research</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15</w:t>
      </w:r>
      <w:r>
        <w:rPr>
          <w:rFonts w:ascii="Arial" w:hAnsi="Arial" w:eastAsia="Segoe UI" w:cs="Arial"/>
          <w:color w:val="212121"/>
          <w:sz w:val="20"/>
          <w:szCs w:val="20"/>
          <w:shd w:val="clear" w:color="auto" w:fill="FFFFFF"/>
        </w:rPr>
        <w:t xml:space="preserve">(10), 1787-1793. </w:t>
      </w:r>
      <w:r>
        <w:fldChar w:fldCharType="begin"/>
      </w:r>
      <w:r>
        <w:instrText xml:space="preserve"> HYPERLINK "https://doi.org/10.1002/aur.2792" </w:instrText>
      </w:r>
      <w:r>
        <w:fldChar w:fldCharType="separate"/>
      </w:r>
      <w:r>
        <w:rPr>
          <w:rStyle w:val="19"/>
          <w:rFonts w:ascii="Arial" w:hAnsi="Arial" w:eastAsia="Segoe UI" w:cs="Arial"/>
          <w:sz w:val="20"/>
          <w:szCs w:val="20"/>
          <w:shd w:val="clear" w:color="auto" w:fill="FFFFFF"/>
        </w:rPr>
        <w:t>https://doi.org/10.1002/aur.2792</w:t>
      </w:r>
      <w:r>
        <w:rPr>
          <w:rStyle w:val="19"/>
          <w:rFonts w:ascii="Arial" w:hAnsi="Arial" w:eastAsia="Segoe UI" w:cs="Arial"/>
          <w:sz w:val="20"/>
          <w:szCs w:val="20"/>
          <w:shd w:val="clear" w:color="auto" w:fill="FFFFFF"/>
        </w:rPr>
        <w:fldChar w:fldCharType="end"/>
      </w:r>
    </w:p>
    <w:p w14:paraId="0F5767F7">
      <w:pPr>
        <w:ind w:left="440" w:hanging="440" w:hangingChars="220"/>
        <w:rPr>
          <w:highlight w:val="yellow"/>
          <w:lang w:val="en-US"/>
        </w:rPr>
      </w:pPr>
      <w:r>
        <w:rPr>
          <w:rFonts w:hint="default" w:ascii="Arial" w:hAnsi="Arial" w:eastAsia="DengXian" w:cs="Arial"/>
          <w:kern w:val="2"/>
          <w:sz w:val="20"/>
          <w:szCs w:val="20"/>
          <w:highlight w:val="yellow"/>
          <w:lang w:val="en-US" w:eastAsia="zh-CN" w:bidi="ar"/>
          <w14:ligatures w14:val="standardContextual"/>
        </w:rPr>
        <w:t>Volkmar, F. R., Reichow, B., &amp; McPartland, J. C. (2024). Autism spectrum disorder in adolescents and adults: An introduction. In F. R. Volkmar, B. Reichow, &amp; J. C. McPartland (Eds.), </w:t>
      </w:r>
      <w:r>
        <w:rPr>
          <w:rFonts w:hint="default" w:ascii="Arial" w:hAnsi="Arial" w:eastAsia="DengXian" w:cs="Arial"/>
          <w:i/>
          <w:iCs/>
          <w:kern w:val="2"/>
          <w:sz w:val="20"/>
          <w:szCs w:val="20"/>
          <w:highlight w:val="yellow"/>
          <w:lang w:val="en-US" w:eastAsia="zh-CN" w:bidi="ar"/>
          <w14:ligatures w14:val="standardContextual"/>
        </w:rPr>
        <w:t>Adolescents and adults with autism spectrum disorders</w:t>
      </w:r>
      <w:r>
        <w:rPr>
          <w:rFonts w:hint="default" w:ascii="Arial" w:hAnsi="Arial" w:eastAsia="DengXian" w:cs="Arial"/>
          <w:kern w:val="2"/>
          <w:sz w:val="20"/>
          <w:szCs w:val="20"/>
          <w:highlight w:val="yellow"/>
          <w:lang w:val="en-US" w:eastAsia="zh-CN" w:bidi="ar"/>
          <w14:ligatures w14:val="standardContextual"/>
        </w:rPr>
        <w:t> (2nd ed., pp. 1-16). Cham, Switzerland: Springer Nature.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"https://psycnet.apa.org/doi/10.1007/978-3-031-46463-8_1" \t "C:\\Users\\CHIAKO~1\\AppData\\Local\\Temp\\_blank"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https://doi.org/10.1007/978-3-031-46463-8_1</w:t>
      </w:r>
      <w:r>
        <w:rPr>
          <w:rFonts w:hint="default" w:ascii="Arial" w:hAnsi="Arial" w:eastAsia="DengXian" w:cs="Arial"/>
          <w:kern w:val="2"/>
          <w:sz w:val="20"/>
          <w:szCs w:val="20"/>
          <w:highlight w:val="yellow"/>
          <w:lang w:val="en-US" w:eastAsia="zh-CN" w:bidi="ar"/>
          <w14:ligatures w14:val="standardContextual"/>
        </w:rPr>
        <w:fldChar w:fldCharType="end"/>
      </w:r>
    </w:p>
    <w:p w14:paraId="024B3A98">
      <w:pPr>
        <w:ind w:left="440" w:hanging="440" w:hangingChars="220"/>
        <w:rPr>
          <w:rFonts w:ascii="Arial" w:hAnsi="Arial" w:eastAsia="Segoe UI" w:cs="Arial"/>
          <w:color w:val="212121"/>
          <w:sz w:val="20"/>
          <w:szCs w:val="20"/>
          <w:shd w:val="clear" w:color="auto" w:fill="FFFFFF"/>
        </w:rPr>
      </w:pPr>
      <w:r>
        <w:rPr>
          <w:rFonts w:ascii="Arial" w:hAnsi="Arial" w:eastAsia="Segoe UI" w:cs="Arial"/>
          <w:color w:val="212121"/>
          <w:sz w:val="20"/>
          <w:szCs w:val="20"/>
          <w:shd w:val="clear" w:color="auto" w:fill="FFFFFF"/>
        </w:rPr>
        <w:t>Waizbard-Bartov, E., &amp; Miller, M. (2023). Does the severity of autism symptoms change over time? A review of the evidence, impacts, and gaps in current knowledge. </w:t>
      </w:r>
      <w:r>
        <w:rPr>
          <w:rFonts w:ascii="Arial" w:hAnsi="Arial" w:eastAsia="Segoe UI" w:cs="Arial"/>
          <w:i/>
          <w:iCs/>
          <w:color w:val="212121"/>
          <w:sz w:val="20"/>
          <w:szCs w:val="20"/>
          <w:shd w:val="clear" w:color="auto" w:fill="FFFFFF"/>
        </w:rPr>
        <w:t xml:space="preserve">Clinical </w:t>
      </w:r>
      <w:r>
        <w:rPr>
          <w:rFonts w:ascii="Arial" w:hAnsi="Arial" w:eastAsia="Segoe UI" w:cs="Arial"/>
          <w:i/>
          <w:iCs/>
          <w:color w:val="212121"/>
          <w:sz w:val="20"/>
          <w:szCs w:val="20"/>
          <w:shd w:val="clear" w:color="auto" w:fill="FFFFFF"/>
          <w:lang w:val="en-SG"/>
        </w:rPr>
        <w:t>P</w:t>
      </w:r>
      <w:r>
        <w:rPr>
          <w:rFonts w:ascii="Arial" w:hAnsi="Arial" w:eastAsia="Segoe UI" w:cs="Arial"/>
          <w:i/>
          <w:iCs/>
          <w:color w:val="212121"/>
          <w:sz w:val="20"/>
          <w:szCs w:val="20"/>
          <w:shd w:val="clear" w:color="auto" w:fill="FFFFFF"/>
        </w:rPr>
        <w:t xml:space="preserve">sychology </w:t>
      </w:r>
      <w:r>
        <w:rPr>
          <w:rFonts w:ascii="Arial" w:hAnsi="Arial" w:eastAsia="Segoe UI" w:cs="Arial"/>
          <w:i/>
          <w:iCs/>
          <w:color w:val="212121"/>
          <w:sz w:val="20"/>
          <w:szCs w:val="20"/>
          <w:shd w:val="clear" w:color="auto" w:fill="FFFFFF"/>
          <w:lang w:val="en-SG"/>
        </w:rPr>
        <w:t>R</w:t>
      </w:r>
      <w:r>
        <w:rPr>
          <w:rFonts w:ascii="Arial" w:hAnsi="Arial" w:eastAsia="Segoe UI" w:cs="Arial"/>
          <w:i/>
          <w:iCs/>
          <w:color w:val="212121"/>
          <w:sz w:val="20"/>
          <w:szCs w:val="20"/>
          <w:shd w:val="clear" w:color="auto" w:fill="FFFFFF"/>
        </w:rPr>
        <w:t>eview</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99</w:t>
      </w:r>
      <w:r>
        <w:rPr>
          <w:rFonts w:ascii="Arial" w:hAnsi="Arial" w:eastAsia="Segoe UI" w:cs="Arial"/>
          <w:color w:val="212121"/>
          <w:sz w:val="20"/>
          <w:szCs w:val="20"/>
          <w:shd w:val="clear" w:color="auto" w:fill="FFFFFF"/>
          <w:lang w:val="en-SG"/>
        </w:rPr>
        <w:t>. Article ID:</w:t>
      </w:r>
      <w:r>
        <w:rPr>
          <w:rFonts w:ascii="Arial" w:hAnsi="Arial" w:eastAsia="Segoe UI" w:cs="Arial"/>
          <w:color w:val="212121"/>
          <w:sz w:val="20"/>
          <w:szCs w:val="20"/>
          <w:shd w:val="clear" w:color="auto" w:fill="FFFFFF"/>
        </w:rPr>
        <w:t xml:space="preserve"> 102230. </w:t>
      </w:r>
      <w:r>
        <w:fldChar w:fldCharType="begin"/>
      </w:r>
      <w:r>
        <w:instrText xml:space="preserve"> HYPERLINK "https://doi.org/10.1016/j.cpr.2022.102230" </w:instrText>
      </w:r>
      <w:r>
        <w:fldChar w:fldCharType="separate"/>
      </w:r>
      <w:r>
        <w:rPr>
          <w:rStyle w:val="19"/>
          <w:rFonts w:ascii="Arial" w:hAnsi="Arial" w:eastAsia="Segoe UI" w:cs="Arial"/>
          <w:sz w:val="20"/>
          <w:szCs w:val="20"/>
          <w:shd w:val="clear" w:color="auto" w:fill="FFFFFF"/>
        </w:rPr>
        <w:t>https://doi.org/10.1016/j.cpr.2022.102230</w:t>
      </w:r>
      <w:r>
        <w:rPr>
          <w:rStyle w:val="19"/>
          <w:rFonts w:ascii="Arial" w:hAnsi="Arial" w:eastAsia="Segoe UI" w:cs="Arial"/>
          <w:sz w:val="20"/>
          <w:szCs w:val="20"/>
          <w:shd w:val="clear" w:color="auto" w:fill="FFFFFF"/>
        </w:rPr>
        <w:fldChar w:fldCharType="end"/>
      </w:r>
    </w:p>
    <w:p w14:paraId="2D1797AF">
      <w:pPr>
        <w:ind w:left="440" w:hanging="440" w:hangingChars="220"/>
        <w:rPr>
          <w:rFonts w:ascii="Arial" w:hAnsi="Arial" w:eastAsia="Segoe UI" w:cs="Arial"/>
          <w:color w:val="212121"/>
          <w:sz w:val="20"/>
          <w:szCs w:val="20"/>
          <w:shd w:val="clear" w:color="auto" w:fill="FFFFFF"/>
          <w:lang w:val="en-SG"/>
        </w:rPr>
      </w:pPr>
      <w:r>
        <w:rPr>
          <w:rFonts w:ascii="Arial" w:hAnsi="Arial" w:eastAsia="DengXian" w:cs="Arial"/>
          <w:sz w:val="20"/>
          <w:szCs w:val="20"/>
          <w:lang w:bidi="ar"/>
        </w:rPr>
        <w:t xml:space="preserve">Wechsler, D. L., Mandy, W., Lai, M. C., Boyd, B., Goodwin, M. S., Divan, G., &amp; Leno, V. C. (2025). Advancing health-care equity for autistic people: mental health as a key priority. </w:t>
      </w:r>
      <w:r>
        <w:rPr>
          <w:rFonts w:ascii="Arial" w:hAnsi="Arial" w:eastAsia="DengXian" w:cs="Arial"/>
          <w:i/>
          <w:iCs/>
          <w:sz w:val="20"/>
          <w:szCs w:val="20"/>
          <w:lang w:bidi="ar"/>
        </w:rPr>
        <w:t>The Lancet</w:t>
      </w:r>
      <w:r>
        <w:rPr>
          <w:rFonts w:ascii="Arial" w:hAnsi="Arial" w:eastAsia="DengXian" w:cs="Arial"/>
          <w:sz w:val="20"/>
          <w:szCs w:val="20"/>
          <w:lang w:bidi="ar"/>
        </w:rPr>
        <w:t xml:space="preserve">, </w:t>
      </w:r>
      <w:r>
        <w:rPr>
          <w:rFonts w:ascii="Arial" w:hAnsi="Arial" w:eastAsia="DengXian" w:cs="Arial"/>
          <w:i/>
          <w:iCs/>
          <w:sz w:val="20"/>
          <w:szCs w:val="20"/>
          <w:lang w:bidi="ar"/>
        </w:rPr>
        <w:t>405</w:t>
      </w:r>
      <w:r>
        <w:rPr>
          <w:rFonts w:ascii="Arial" w:hAnsi="Arial" w:eastAsia="DengXian" w:cs="Arial"/>
          <w:sz w:val="20"/>
          <w:szCs w:val="20"/>
          <w:lang w:bidi="ar"/>
        </w:rPr>
        <w:t>(1049), 1723-1726.</w:t>
      </w:r>
      <w:r>
        <w:rPr>
          <w:rFonts w:ascii="Arial" w:hAnsi="Arial" w:eastAsia="DengXian" w:cs="Arial"/>
          <w:sz w:val="20"/>
          <w:szCs w:val="20"/>
          <w:lang w:val="en-SG" w:bidi="ar"/>
        </w:rPr>
        <w:t xml:space="preserve"> </w:t>
      </w:r>
      <w:r>
        <w:fldChar w:fldCharType="begin"/>
      </w:r>
      <w:r>
        <w:instrText xml:space="preserve"> HYPERLINK "https://doi.org/10.1016/S0140-6736(25)00667-1" </w:instrText>
      </w:r>
      <w:r>
        <w:fldChar w:fldCharType="separate"/>
      </w:r>
      <w:r>
        <w:rPr>
          <w:rStyle w:val="19"/>
          <w:rFonts w:ascii="Arial" w:hAnsi="Arial" w:eastAsia="Segoe UI" w:cs="Arial"/>
          <w:sz w:val="20"/>
          <w:szCs w:val="20"/>
          <w:shd w:val="clear" w:color="auto" w:fill="FFFFFF"/>
        </w:rPr>
        <w:t>https://doi.org/10.1016/S0140-6736(25)00667-1</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p w14:paraId="64274DD6">
      <w:pPr>
        <w:ind w:left="440" w:hanging="440" w:hangingChars="220"/>
        <w:rPr>
          <w:rFonts w:ascii="Arial" w:hAnsi="Arial" w:cs="Arial"/>
          <w:sz w:val="20"/>
          <w:szCs w:val="20"/>
        </w:rPr>
      </w:pPr>
      <w:r>
        <w:rPr>
          <w:rFonts w:ascii="Arial" w:hAnsi="Arial" w:cs="Arial"/>
          <w:sz w:val="20"/>
          <w:szCs w:val="20"/>
        </w:rPr>
        <w:t>White, S. W., Siegle, G. J., Kana, R., &amp; Rothman, E. F. (2023). Pathways to Psychopathology Among Autistic Adults. </w:t>
      </w:r>
      <w:r>
        <w:rPr>
          <w:rFonts w:ascii="Arial" w:hAnsi="Arial" w:cs="Arial"/>
          <w:i/>
          <w:iCs/>
          <w:sz w:val="20"/>
          <w:szCs w:val="20"/>
        </w:rPr>
        <w:t>Current Psychiatry Reports</w:t>
      </w:r>
      <w:r>
        <w:rPr>
          <w:rFonts w:ascii="Arial" w:hAnsi="Arial" w:cs="Arial"/>
          <w:sz w:val="20"/>
          <w:szCs w:val="20"/>
        </w:rPr>
        <w:t>, </w:t>
      </w:r>
      <w:r>
        <w:rPr>
          <w:rFonts w:ascii="Arial" w:hAnsi="Arial" w:cs="Arial"/>
          <w:i/>
          <w:iCs/>
          <w:sz w:val="20"/>
          <w:szCs w:val="20"/>
        </w:rPr>
        <w:t>25</w:t>
      </w:r>
      <w:r>
        <w:rPr>
          <w:rFonts w:ascii="Arial" w:hAnsi="Arial" w:cs="Arial"/>
          <w:sz w:val="20"/>
          <w:szCs w:val="20"/>
        </w:rPr>
        <w:t xml:space="preserve">(8), 315-325. </w:t>
      </w:r>
      <w:r>
        <w:fldChar w:fldCharType="begin"/>
      </w:r>
      <w:r>
        <w:instrText xml:space="preserve"> HYPERLINK "https://doi.org/10.1007/s11920-023-01429-5" </w:instrText>
      </w:r>
      <w:r>
        <w:fldChar w:fldCharType="separate"/>
      </w:r>
      <w:r>
        <w:rPr>
          <w:rStyle w:val="19"/>
          <w:rFonts w:ascii="Arial" w:hAnsi="Arial" w:cs="Arial"/>
          <w:sz w:val="20"/>
          <w:szCs w:val="20"/>
        </w:rPr>
        <w:t>https://doi.org/10.1007/s11920-023-01429-5</w:t>
      </w:r>
      <w:r>
        <w:rPr>
          <w:rStyle w:val="19"/>
          <w:rFonts w:ascii="Arial" w:hAnsi="Arial" w:cs="Arial"/>
          <w:sz w:val="20"/>
          <w:szCs w:val="20"/>
        </w:rPr>
        <w:fldChar w:fldCharType="end"/>
      </w:r>
      <w:r>
        <w:rPr>
          <w:rFonts w:ascii="Arial" w:hAnsi="Arial" w:cs="Arial"/>
          <w:sz w:val="20"/>
          <w:szCs w:val="20"/>
        </w:rPr>
        <w:t xml:space="preserve">  </w:t>
      </w:r>
    </w:p>
    <w:p w14:paraId="27FBDC11">
      <w:pPr>
        <w:ind w:left="440" w:hanging="440" w:hangingChars="220"/>
        <w:rPr>
          <w:rStyle w:val="19"/>
          <w:rFonts w:ascii="Arial" w:hAnsi="Arial" w:cs="Arial"/>
          <w:sz w:val="20"/>
          <w:szCs w:val="20"/>
        </w:rPr>
      </w:pPr>
      <w:r>
        <w:rPr>
          <w:rFonts w:ascii="Arial" w:hAnsi="Arial" w:cs="Arial"/>
          <w:sz w:val="20"/>
          <w:szCs w:val="20"/>
        </w:rPr>
        <w:t>Wing, L., &amp; Gould, J. (1979). Severe impairments of social interaction and associated abnormalities in children: epidemiology and classification.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9</w:t>
      </w:r>
      <w:r>
        <w:rPr>
          <w:rFonts w:ascii="Arial" w:hAnsi="Arial" w:cs="Arial"/>
          <w:sz w:val="20"/>
          <w:szCs w:val="20"/>
        </w:rPr>
        <w:t xml:space="preserve">(1), 11-29. </w:t>
      </w:r>
      <w:r>
        <w:fldChar w:fldCharType="begin"/>
      </w:r>
      <w:r>
        <w:instrText xml:space="preserve"> HYPERLINK "https://doi.org/10.1007/BF01531288" </w:instrText>
      </w:r>
      <w:r>
        <w:fldChar w:fldCharType="separate"/>
      </w:r>
      <w:r>
        <w:rPr>
          <w:rStyle w:val="19"/>
          <w:rFonts w:ascii="Arial" w:hAnsi="Arial" w:cs="Arial"/>
          <w:sz w:val="20"/>
          <w:szCs w:val="20"/>
        </w:rPr>
        <w:t>https://doi.org/10.1007/BF01531288</w:t>
      </w:r>
      <w:r>
        <w:rPr>
          <w:rStyle w:val="19"/>
          <w:rFonts w:ascii="Arial" w:hAnsi="Arial" w:cs="Arial"/>
          <w:sz w:val="20"/>
          <w:szCs w:val="20"/>
        </w:rPr>
        <w:fldChar w:fldCharType="end"/>
      </w:r>
    </w:p>
    <w:p w14:paraId="43C6AAD8">
      <w:pPr>
        <w:ind w:left="440" w:hanging="440" w:hangingChars="220"/>
        <w:rPr>
          <w:rFonts w:ascii="Arial" w:hAnsi="Arial" w:eastAsia="Segoe UI" w:cs="Arial"/>
          <w:color w:val="212121"/>
          <w:sz w:val="20"/>
          <w:szCs w:val="20"/>
          <w:highlight w:val="yellow"/>
          <w:shd w:val="clear" w:color="auto" w:fill="FFFFFF"/>
          <w:lang w:val="en-SG"/>
        </w:rPr>
      </w:pPr>
      <w:r>
        <w:rPr>
          <w:rFonts w:ascii="Arial" w:hAnsi="Arial" w:eastAsia="Segoe UI" w:cs="Arial"/>
          <w:color w:val="212121"/>
          <w:sz w:val="20"/>
          <w:szCs w:val="20"/>
          <w:highlight w:val="yellow"/>
          <w:shd w:val="clear" w:color="auto" w:fill="FFFFFF"/>
        </w:rPr>
        <w:t>Wood-Downie, H., Wong, B., Kovshoff, H., Cortese, S., &amp; Hadwin, J. A. (2021). Research Review: A systematic review and meta-analysis of sex/gender differences in social interaction and communication in autistic and nonautistic children and adolescents. </w:t>
      </w:r>
      <w:r>
        <w:rPr>
          <w:rFonts w:ascii="Arial" w:hAnsi="Arial" w:eastAsia="Segoe UI" w:cs="Arial"/>
          <w:i/>
          <w:iCs/>
          <w:color w:val="212121"/>
          <w:sz w:val="20"/>
          <w:szCs w:val="20"/>
          <w:highlight w:val="yellow"/>
          <w:shd w:val="clear" w:color="auto" w:fill="FFFFFF"/>
        </w:rPr>
        <w:t xml:space="preserve">Journal of </w:t>
      </w:r>
      <w:r>
        <w:rPr>
          <w:rFonts w:ascii="Arial" w:hAnsi="Arial" w:eastAsia="Segoe UI" w:cs="Arial"/>
          <w:i/>
          <w:iCs/>
          <w:color w:val="212121"/>
          <w:sz w:val="20"/>
          <w:szCs w:val="20"/>
          <w:highlight w:val="yellow"/>
          <w:shd w:val="clear" w:color="auto" w:fill="FFFFFF"/>
          <w:lang w:val="en-SG"/>
        </w:rPr>
        <w:t>C</w:t>
      </w:r>
      <w:r>
        <w:rPr>
          <w:rFonts w:ascii="Arial" w:hAnsi="Arial" w:eastAsia="Segoe UI" w:cs="Arial"/>
          <w:i/>
          <w:iCs/>
          <w:color w:val="212121"/>
          <w:sz w:val="20"/>
          <w:szCs w:val="20"/>
          <w:highlight w:val="yellow"/>
          <w:shd w:val="clear" w:color="auto" w:fill="FFFFFF"/>
        </w:rPr>
        <w:t xml:space="preserve">hild </w:t>
      </w:r>
      <w:r>
        <w:rPr>
          <w:rFonts w:ascii="Arial" w:hAnsi="Arial" w:eastAsia="Segoe UI" w:cs="Arial"/>
          <w:i/>
          <w:iCs/>
          <w:color w:val="212121"/>
          <w:sz w:val="20"/>
          <w:szCs w:val="20"/>
          <w:highlight w:val="yellow"/>
          <w:shd w:val="clear" w:color="auto" w:fill="FFFFFF"/>
          <w:lang w:val="en-SG"/>
        </w:rPr>
        <w:t>P</w:t>
      </w:r>
      <w:r>
        <w:rPr>
          <w:rFonts w:ascii="Arial" w:hAnsi="Arial" w:eastAsia="Segoe UI" w:cs="Arial"/>
          <w:i/>
          <w:iCs/>
          <w:color w:val="212121"/>
          <w:sz w:val="20"/>
          <w:szCs w:val="20"/>
          <w:highlight w:val="yellow"/>
          <w:shd w:val="clear" w:color="auto" w:fill="FFFFFF"/>
        </w:rPr>
        <w:t xml:space="preserve">sychology and </w:t>
      </w:r>
      <w:r>
        <w:rPr>
          <w:rFonts w:ascii="Arial" w:hAnsi="Arial" w:eastAsia="Segoe UI" w:cs="Arial"/>
          <w:i/>
          <w:iCs/>
          <w:color w:val="212121"/>
          <w:sz w:val="20"/>
          <w:szCs w:val="20"/>
          <w:highlight w:val="yellow"/>
          <w:shd w:val="clear" w:color="auto" w:fill="FFFFFF"/>
          <w:lang w:val="en-SG"/>
        </w:rPr>
        <w:t>P</w:t>
      </w:r>
      <w:r>
        <w:rPr>
          <w:rFonts w:ascii="Arial" w:hAnsi="Arial" w:eastAsia="Segoe UI" w:cs="Arial"/>
          <w:i/>
          <w:iCs/>
          <w:color w:val="212121"/>
          <w:sz w:val="20"/>
          <w:szCs w:val="20"/>
          <w:highlight w:val="yellow"/>
          <w:shd w:val="clear" w:color="auto" w:fill="FFFFFF"/>
        </w:rPr>
        <w:t xml:space="preserve">sychiatry, and </w:t>
      </w:r>
      <w:r>
        <w:rPr>
          <w:rFonts w:ascii="Arial" w:hAnsi="Arial" w:eastAsia="Segoe UI" w:cs="Arial"/>
          <w:i/>
          <w:iCs/>
          <w:color w:val="212121"/>
          <w:sz w:val="20"/>
          <w:szCs w:val="20"/>
          <w:highlight w:val="yellow"/>
          <w:shd w:val="clear" w:color="auto" w:fill="FFFFFF"/>
          <w:lang w:val="en-SG"/>
        </w:rPr>
        <w:t>A</w:t>
      </w:r>
      <w:r>
        <w:rPr>
          <w:rFonts w:ascii="Arial" w:hAnsi="Arial" w:eastAsia="Segoe UI" w:cs="Arial"/>
          <w:i/>
          <w:iCs/>
          <w:color w:val="212121"/>
          <w:sz w:val="20"/>
          <w:szCs w:val="20"/>
          <w:highlight w:val="yellow"/>
          <w:shd w:val="clear" w:color="auto" w:fill="FFFFFF"/>
        </w:rPr>
        <w:t xml:space="preserve">llied </w:t>
      </w:r>
      <w:r>
        <w:rPr>
          <w:rFonts w:ascii="Arial" w:hAnsi="Arial" w:eastAsia="Segoe UI" w:cs="Arial"/>
          <w:i/>
          <w:iCs/>
          <w:color w:val="212121"/>
          <w:sz w:val="20"/>
          <w:szCs w:val="20"/>
          <w:highlight w:val="yellow"/>
          <w:shd w:val="clear" w:color="auto" w:fill="FFFFFF"/>
          <w:lang w:val="en-SG"/>
        </w:rPr>
        <w:t>D</w:t>
      </w:r>
      <w:r>
        <w:rPr>
          <w:rFonts w:ascii="Arial" w:hAnsi="Arial" w:eastAsia="Segoe UI" w:cs="Arial"/>
          <w:i/>
          <w:iCs/>
          <w:color w:val="212121"/>
          <w:sz w:val="20"/>
          <w:szCs w:val="20"/>
          <w:highlight w:val="yellow"/>
          <w:shd w:val="clear" w:color="auto" w:fill="FFFFFF"/>
        </w:rPr>
        <w:t>isciplines</w:t>
      </w:r>
      <w:r>
        <w:rPr>
          <w:rFonts w:ascii="Arial" w:hAnsi="Arial" w:eastAsia="Segoe UI" w:cs="Arial"/>
          <w:color w:val="212121"/>
          <w:sz w:val="20"/>
          <w:szCs w:val="20"/>
          <w:highlight w:val="yellow"/>
          <w:shd w:val="clear" w:color="auto" w:fill="FFFFFF"/>
        </w:rPr>
        <w:t>, </w:t>
      </w:r>
      <w:r>
        <w:rPr>
          <w:rFonts w:ascii="Arial" w:hAnsi="Arial" w:eastAsia="Segoe UI" w:cs="Arial"/>
          <w:i/>
          <w:iCs/>
          <w:color w:val="212121"/>
          <w:sz w:val="20"/>
          <w:szCs w:val="20"/>
          <w:highlight w:val="yellow"/>
          <w:shd w:val="clear" w:color="auto" w:fill="FFFFFF"/>
        </w:rPr>
        <w:t>62</w:t>
      </w:r>
      <w:r>
        <w:rPr>
          <w:rFonts w:ascii="Arial" w:hAnsi="Arial" w:eastAsia="Segoe UI" w:cs="Arial"/>
          <w:color w:val="212121"/>
          <w:sz w:val="20"/>
          <w:szCs w:val="20"/>
          <w:highlight w:val="yellow"/>
          <w:shd w:val="clear" w:color="auto" w:fill="FFFFFF"/>
        </w:rPr>
        <w:t>(8), 922</w:t>
      </w:r>
      <w:r>
        <w:rPr>
          <w:rFonts w:ascii="Arial" w:hAnsi="Arial" w:eastAsia="Segoe UI" w:cs="Arial"/>
          <w:color w:val="212121"/>
          <w:sz w:val="20"/>
          <w:szCs w:val="20"/>
          <w:highlight w:val="yellow"/>
          <w:shd w:val="clear" w:color="auto" w:fill="FFFFFF"/>
          <w:lang w:val="en-SG"/>
        </w:rPr>
        <w:t>-</w:t>
      </w:r>
      <w:r>
        <w:rPr>
          <w:rFonts w:ascii="Arial" w:hAnsi="Arial" w:eastAsia="Segoe UI" w:cs="Arial"/>
          <w:color w:val="212121"/>
          <w:sz w:val="20"/>
          <w:szCs w:val="20"/>
          <w:highlight w:val="yellow"/>
          <w:shd w:val="clear" w:color="auto" w:fill="FFFFFF"/>
        </w:rPr>
        <w:t xml:space="preserve">936. </w:t>
      </w:r>
      <w:r>
        <w:rPr>
          <w:highlight w:val="yellow"/>
        </w:rPr>
        <w:fldChar w:fldCharType="begin"/>
      </w:r>
      <w:r>
        <w:rPr>
          <w:highlight w:val="yellow"/>
        </w:rPr>
        <w:instrText xml:space="preserve"> HYPERLINK "https://doi.org/10.1111/jcpp.13337" </w:instrText>
      </w:r>
      <w:r>
        <w:rPr>
          <w:highlight w:val="yellow"/>
        </w:rPr>
        <w:fldChar w:fldCharType="separate"/>
      </w:r>
      <w:r>
        <w:rPr>
          <w:rStyle w:val="19"/>
          <w:rFonts w:ascii="Arial" w:hAnsi="Arial" w:eastAsia="Segoe UI" w:cs="Arial"/>
          <w:sz w:val="20"/>
          <w:szCs w:val="20"/>
          <w:highlight w:val="yellow"/>
          <w:shd w:val="clear" w:color="auto" w:fill="FFFFFF"/>
        </w:rPr>
        <w:t>https://doi.org/10.1111/jcpp.13337</w:t>
      </w:r>
      <w:r>
        <w:rPr>
          <w:rStyle w:val="19"/>
          <w:rFonts w:ascii="Arial" w:hAnsi="Arial" w:eastAsia="Segoe UI" w:cs="Arial"/>
          <w:sz w:val="20"/>
          <w:szCs w:val="20"/>
          <w:highlight w:val="yellow"/>
          <w:shd w:val="clear" w:color="auto" w:fill="FFFFFF"/>
        </w:rPr>
        <w:fldChar w:fldCharType="end"/>
      </w:r>
      <w:r>
        <w:rPr>
          <w:rFonts w:ascii="Arial" w:hAnsi="Arial" w:eastAsia="Segoe UI" w:cs="Arial"/>
          <w:color w:val="212121"/>
          <w:sz w:val="20"/>
          <w:szCs w:val="20"/>
          <w:highlight w:val="yellow"/>
          <w:shd w:val="clear" w:color="auto" w:fill="FFFFFF"/>
          <w:lang w:val="en-SG"/>
        </w:rPr>
        <w:t xml:space="preserve"> </w:t>
      </w:r>
    </w:p>
    <w:p w14:paraId="36A0B247">
      <w:pPr>
        <w:ind w:left="440" w:hanging="440" w:hangingChars="220"/>
        <w:rPr>
          <w:highlight w:val="yellow"/>
          <w:lang w:val="en-US"/>
        </w:rPr>
      </w:pPr>
      <w:r>
        <w:rPr>
          <w:rFonts w:hint="default" w:ascii="Arial" w:hAnsi="Arial" w:eastAsia="DengXian" w:cs="Arial"/>
          <w:kern w:val="2"/>
          <w:sz w:val="20"/>
          <w:szCs w:val="20"/>
          <w:highlight w:val="yellow"/>
          <w:lang w:val="en-US" w:eastAsia="zh-CN" w:bidi="ar"/>
          <w14:ligatures w14:val="standardContextual"/>
        </w:rPr>
        <w:t>Xiao, L., Huo, X., Wang, Y.,  Li, W., Li, M., Wang, C., Wang, F., &amp; Sun, T. (2023). A bibliometric analysis of global research status and trends in neuromodulation techniques in the treatment of autism spectrum disorder. </w:t>
      </w:r>
      <w:r>
        <w:rPr>
          <w:rFonts w:hint="default" w:ascii="Arial" w:hAnsi="Arial" w:eastAsia="DengXian" w:cs="Arial"/>
          <w:i/>
          <w:iCs/>
          <w:kern w:val="2"/>
          <w:sz w:val="20"/>
          <w:szCs w:val="20"/>
          <w:highlight w:val="yellow"/>
          <w:lang w:val="en-US" w:eastAsia="zh-CN" w:bidi="ar"/>
          <w14:ligatures w14:val="standardContextual"/>
        </w:rPr>
        <w:t>BMC Psychiatry,</w:t>
      </w:r>
      <w:r>
        <w:rPr>
          <w:rFonts w:hint="default" w:ascii="Arial" w:hAnsi="Arial" w:eastAsia="DengXian" w:cs="Arial"/>
          <w:kern w:val="2"/>
          <w:sz w:val="20"/>
          <w:szCs w:val="20"/>
          <w:highlight w:val="yellow"/>
          <w:lang w:val="en-US" w:eastAsia="zh-CN" w:bidi="ar"/>
          <w14:ligatures w14:val="standardContextual"/>
        </w:rPr>
        <w:t> </w:t>
      </w:r>
      <w:r>
        <w:rPr>
          <w:rFonts w:hint="default" w:ascii="Arial" w:hAnsi="Arial" w:eastAsia="DengXian" w:cs="Arial"/>
          <w:i/>
          <w:iCs/>
          <w:kern w:val="2"/>
          <w:sz w:val="20"/>
          <w:szCs w:val="20"/>
          <w:highlight w:val="yellow"/>
          <w:lang w:val="en-US" w:eastAsia="zh-CN" w:bidi="ar"/>
          <w14:ligatures w14:val="standardContextual"/>
        </w:rPr>
        <w:t>23</w:t>
      </w:r>
      <w:r>
        <w:rPr>
          <w:rFonts w:hint="default" w:ascii="Arial" w:hAnsi="Arial" w:eastAsia="DengXian" w:cs="Arial"/>
          <w:kern w:val="2"/>
          <w:sz w:val="20"/>
          <w:szCs w:val="20"/>
          <w:highlight w:val="yellow"/>
          <w:lang w:val="en-US" w:eastAsia="zh-CN" w:bidi="ar"/>
          <w14:ligatures w14:val="standardContextual"/>
        </w:rPr>
        <w:t xml:space="preserve">. Article No.183. </w:t>
      </w:r>
      <w:r>
        <w:rPr>
          <w:rFonts w:hint="default" w:ascii="Arial" w:hAnsi="Arial" w:eastAsia="DengXian" w:cs="Arial"/>
          <w:kern w:val="2"/>
          <w:sz w:val="20"/>
          <w:szCs w:val="20"/>
          <w:highlight w:val="yellow"/>
          <w:lang w:val="en-US" w:eastAsia="zh-CN" w:bidi="ar"/>
          <w14:ligatures w14:val="standardContextual"/>
        </w:rPr>
        <w:fldChar w:fldCharType="begin"/>
      </w:r>
      <w:r>
        <w:rPr>
          <w:rFonts w:hint="default" w:ascii="Arial" w:hAnsi="Arial" w:eastAsia="DengXian" w:cs="Arial"/>
          <w:kern w:val="2"/>
          <w:sz w:val="20"/>
          <w:szCs w:val="20"/>
          <w:highlight w:val="yellow"/>
          <w:lang w:val="en-US" w:eastAsia="zh-CN" w:bidi="ar"/>
          <w14:ligatures w14:val="standardContextual"/>
        </w:rPr>
        <w:instrText xml:space="preserve"> HYPERLINK "https://doi.org/10.1186/s12888-023-04666-3" </w:instrText>
      </w:r>
      <w:r>
        <w:rPr>
          <w:rFonts w:hint="default" w:ascii="Arial" w:hAnsi="Arial" w:eastAsia="DengXian" w:cs="Arial"/>
          <w:kern w:val="2"/>
          <w:sz w:val="20"/>
          <w:szCs w:val="20"/>
          <w:highlight w:val="yellow"/>
          <w:lang w:val="en-US" w:eastAsia="zh-CN" w:bidi="ar"/>
          <w14:ligatures w14:val="standardContextual"/>
        </w:rPr>
        <w:fldChar w:fldCharType="separate"/>
      </w:r>
      <w:r>
        <w:rPr>
          <w:rStyle w:val="19"/>
          <w:rFonts w:hint="default" w:ascii="Arial" w:hAnsi="Arial" w:cs="Arial"/>
          <w:sz w:val="20"/>
          <w:szCs w:val="20"/>
          <w:highlight w:val="yellow"/>
          <w:u w:val="single"/>
          <w:lang w:val="en-US"/>
        </w:rPr>
        <w:t>https://doi.org/10.1186/s12888-023-04666-3</w:t>
      </w:r>
      <w:r>
        <w:rPr>
          <w:rFonts w:hint="default" w:ascii="Arial" w:hAnsi="Arial" w:eastAsia="DengXian" w:cs="Arial"/>
          <w:kern w:val="2"/>
          <w:sz w:val="20"/>
          <w:szCs w:val="20"/>
          <w:highlight w:val="yellow"/>
          <w:lang w:val="en-US" w:eastAsia="zh-CN" w:bidi="ar"/>
          <w14:ligatures w14:val="standardContextual"/>
        </w:rPr>
        <w:fldChar w:fldCharType="end"/>
      </w:r>
      <w:r>
        <w:rPr>
          <w:rFonts w:hint="default" w:ascii="Arial" w:hAnsi="Arial" w:eastAsia="DengXian" w:cs="Arial"/>
          <w:kern w:val="2"/>
          <w:sz w:val="20"/>
          <w:szCs w:val="20"/>
          <w:highlight w:val="yellow"/>
          <w:lang w:val="en-US" w:eastAsia="zh-CN" w:bidi="ar"/>
          <w14:ligatures w14:val="standardContextual"/>
        </w:rPr>
        <w:t xml:space="preserve"> </w:t>
      </w:r>
    </w:p>
    <w:p w14:paraId="3D35F193">
      <w:pPr>
        <w:ind w:left="440" w:hanging="440" w:hangingChars="220"/>
        <w:rPr>
          <w:rFonts w:ascii="Arial" w:hAnsi="Arial" w:cs="Arial"/>
          <w:sz w:val="20"/>
          <w:szCs w:val="20"/>
        </w:rPr>
      </w:pPr>
      <w:r>
        <w:rPr>
          <w:rFonts w:ascii="Arial" w:hAnsi="Arial" w:cs="Arial"/>
          <w:sz w:val="20"/>
          <w:szCs w:val="20"/>
        </w:rPr>
        <w:t xml:space="preserve">Xie, G.H., &amp; Wang, Q. (2021). Mandala coloring as a therapeutic tool in treating stress-anxiety-depression (SAD) syndrome. </w:t>
      </w:r>
      <w:r>
        <w:rPr>
          <w:rFonts w:ascii="Arial" w:hAnsi="Arial" w:cs="Arial"/>
          <w:i/>
          <w:iCs/>
          <w:sz w:val="20"/>
          <w:szCs w:val="20"/>
        </w:rPr>
        <w:t>Asian Journal of Interdisciplinary Research</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xml:space="preserve">(4), 30-36. </w:t>
      </w:r>
      <w:r>
        <w:fldChar w:fldCharType="begin"/>
      </w:r>
      <w:r>
        <w:instrText xml:space="preserve"> HYPERLINK "https://doi.org/10.54392/ajir2144" </w:instrText>
      </w:r>
      <w:r>
        <w:fldChar w:fldCharType="separate"/>
      </w:r>
      <w:r>
        <w:rPr>
          <w:rStyle w:val="45"/>
          <w:rFonts w:ascii="Arial" w:hAnsi="Arial" w:cs="Arial"/>
          <w:sz w:val="20"/>
          <w:szCs w:val="20"/>
        </w:rPr>
        <w:t>https://doi.org/10.54392/ajir2144</w:t>
      </w:r>
      <w:r>
        <w:rPr>
          <w:rStyle w:val="45"/>
          <w:rFonts w:ascii="Arial" w:hAnsi="Arial" w:cs="Arial"/>
          <w:sz w:val="20"/>
          <w:szCs w:val="20"/>
        </w:rPr>
        <w:fldChar w:fldCharType="end"/>
      </w:r>
      <w:r>
        <w:rPr>
          <w:rFonts w:ascii="Arial" w:hAnsi="Arial" w:cs="Arial"/>
          <w:sz w:val="20"/>
          <w:szCs w:val="20"/>
        </w:rPr>
        <w:t xml:space="preserve"> </w:t>
      </w:r>
    </w:p>
    <w:p w14:paraId="62D217C5">
      <w:pPr>
        <w:ind w:left="440" w:hanging="440" w:hangingChars="220"/>
        <w:rPr>
          <w:rFonts w:ascii="Arial" w:hAnsi="Arial" w:eastAsia="DengXian" w:cs="Arial"/>
          <w:sz w:val="20"/>
          <w:szCs w:val="20"/>
          <w:lang w:bidi="ar"/>
        </w:rPr>
      </w:pPr>
      <w:r>
        <w:rPr>
          <w:rFonts w:ascii="Arial" w:hAnsi="Arial" w:eastAsia="DengXian" w:cs="Arial"/>
          <w:sz w:val="20"/>
          <w:szCs w:val="20"/>
          <w:lang w:bidi="ar"/>
        </w:rPr>
        <w:t xml:space="preserve">Zhang, A. (2020). Rehabilitation training methods for children with autism spectrum disorders in China [Master’s Thesis, University of Wisconsin – Platteville]. MINDS@UW Platteville. </w:t>
      </w:r>
      <w:r>
        <w:fldChar w:fldCharType="begin"/>
      </w:r>
      <w:r>
        <w:instrText xml:space="preserve"> HYPERLINK "https://minds.wisconsin.edu/handle/1793/80770" </w:instrText>
      </w:r>
      <w:r>
        <w:fldChar w:fldCharType="separate"/>
      </w:r>
      <w:r>
        <w:rPr>
          <w:rStyle w:val="19"/>
          <w:rFonts w:ascii="Arial" w:hAnsi="Arial" w:cs="Arial"/>
          <w:sz w:val="20"/>
          <w:szCs w:val="20"/>
        </w:rPr>
        <w:t>https://minds.wisconsin.edu/handle/1793/80770</w:t>
      </w:r>
      <w:r>
        <w:rPr>
          <w:rStyle w:val="19"/>
          <w:rFonts w:ascii="Arial" w:hAnsi="Arial" w:cs="Arial"/>
          <w:sz w:val="20"/>
          <w:szCs w:val="20"/>
        </w:rPr>
        <w:fldChar w:fldCharType="end"/>
      </w:r>
      <w:r>
        <w:rPr>
          <w:rFonts w:ascii="Arial" w:hAnsi="Arial" w:eastAsia="DengXian" w:cs="Arial"/>
          <w:sz w:val="20"/>
          <w:szCs w:val="20"/>
          <w:lang w:bidi="ar"/>
        </w:rPr>
        <w:t xml:space="preserve"> </w:t>
      </w:r>
    </w:p>
    <w:p w14:paraId="34F3B755">
      <w:pPr>
        <w:ind w:left="440" w:hanging="440" w:hangingChars="220"/>
        <w:rPr>
          <w:rFonts w:ascii="Arial" w:hAnsi="Arial" w:eastAsia="sans-serif" w:cs="Arial"/>
          <w:color w:val="046FF8"/>
          <w:sz w:val="20"/>
          <w:szCs w:val="20"/>
          <w:u w:val="single"/>
          <w:shd w:val="clear" w:color="auto" w:fill="FFFFFF"/>
        </w:rPr>
      </w:pPr>
      <w:r>
        <w:rPr>
          <w:rFonts w:ascii="Arial" w:hAnsi="Arial" w:eastAsia="Segoe UI" w:cs="Arial"/>
          <w:color w:val="212121"/>
          <w:sz w:val="20"/>
          <w:szCs w:val="20"/>
          <w:shd w:val="clear" w:color="auto" w:fill="FFFFFF"/>
        </w:rPr>
        <w:t>Zhang, J., &amp; Zhang, H. (2022). Effects of non-invasive neurostimulation on autism spectrum disorder: A systematic review. </w:t>
      </w:r>
      <w:r>
        <w:rPr>
          <w:rFonts w:ascii="Arial" w:hAnsi="Arial" w:eastAsia="Segoe UI" w:cs="Arial"/>
          <w:i/>
          <w:iCs/>
          <w:color w:val="212121"/>
          <w:sz w:val="20"/>
          <w:szCs w:val="20"/>
          <w:shd w:val="clear" w:color="auto" w:fill="FFFFFF"/>
        </w:rPr>
        <w:t>Frontiers in Psychiatry</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13</w:t>
      </w:r>
      <w:r>
        <w:rPr>
          <w:rFonts w:ascii="Arial" w:hAnsi="Arial" w:eastAsia="Segoe UI" w:cs="Arial"/>
          <w:color w:val="212121"/>
          <w:sz w:val="20"/>
          <w:szCs w:val="20"/>
          <w:shd w:val="clear" w:color="auto" w:fill="FFFFFF"/>
        </w:rPr>
        <w:t xml:space="preserve">. Article ID: 989905. </w:t>
      </w:r>
      <w:r>
        <w:fldChar w:fldCharType="begin"/>
      </w:r>
      <w:r>
        <w:instrText xml:space="preserve"> HYPERLINK "https://doi.org/10.3389/fpsyt.2022.989905" </w:instrText>
      </w:r>
      <w:r>
        <w:fldChar w:fldCharType="separate"/>
      </w:r>
      <w:r>
        <w:rPr>
          <w:rStyle w:val="19"/>
          <w:rFonts w:ascii="Arial" w:hAnsi="Arial" w:eastAsia="Segoe UI" w:cs="Arial"/>
          <w:sz w:val="20"/>
          <w:szCs w:val="20"/>
          <w:shd w:val="clear" w:color="auto" w:fill="FFFFFF"/>
        </w:rPr>
        <w:t>https://doi.org/10.3389/fpsyt.2022.989905</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rPr>
        <w:t xml:space="preserve"> </w:t>
      </w:r>
    </w:p>
    <w:p w14:paraId="3CDFC5F1">
      <w:pPr>
        <w:ind w:left="440" w:hanging="440" w:hangingChars="220"/>
        <w:rPr>
          <w:rFonts w:ascii="Arial" w:hAnsi="Arial" w:eastAsia="sans-serif" w:cs="Arial"/>
          <w:color w:val="046FF8"/>
          <w:sz w:val="20"/>
          <w:szCs w:val="20"/>
          <w:u w:val="single"/>
          <w:shd w:val="clear" w:color="auto" w:fill="FFFFFF"/>
        </w:rPr>
      </w:pPr>
      <w:r>
        <w:rPr>
          <w:rFonts w:ascii="Arial" w:hAnsi="Arial" w:eastAsia="sans-serif" w:cs="Arial"/>
          <w:color w:val="333333"/>
          <w:sz w:val="20"/>
          <w:szCs w:val="20"/>
          <w:shd w:val="clear" w:color="auto" w:fill="FFFFFF"/>
        </w:rPr>
        <w:t>Zhang, L, Liu, Y., Zhou, Z., Wei, Y., Wang, J., Yang, J., … Sun, Y. (2019). A follow-up study on the long-term effects of rehabilitation in children with autism spectrum disorders. </w:t>
      </w:r>
      <w:r>
        <w:rPr>
          <w:rFonts w:ascii="Arial" w:hAnsi="Arial" w:eastAsia="sans-serif" w:cs="Arial"/>
          <w:i/>
          <w:iCs/>
          <w:color w:val="333333"/>
          <w:sz w:val="20"/>
          <w:szCs w:val="20"/>
          <w:shd w:val="clear" w:color="auto" w:fill="FFFFFF"/>
        </w:rPr>
        <w:t>NeuroRehabilitation,</w:t>
      </w:r>
      <w:r>
        <w:rPr>
          <w:rFonts w:ascii="Arial" w:hAnsi="Arial" w:eastAsia="sans-serif" w:cs="Arial"/>
          <w:color w:val="333333"/>
          <w:sz w:val="20"/>
          <w:szCs w:val="20"/>
          <w:shd w:val="clear" w:color="auto" w:fill="FFFFFF"/>
        </w:rPr>
        <w:t xml:space="preserve"> </w:t>
      </w:r>
      <w:r>
        <w:rPr>
          <w:rFonts w:ascii="Arial" w:hAnsi="Arial" w:eastAsia="sans-serif" w:cs="Arial"/>
          <w:i/>
          <w:iCs/>
          <w:color w:val="333333"/>
          <w:sz w:val="20"/>
          <w:szCs w:val="20"/>
          <w:shd w:val="clear" w:color="auto" w:fill="FFFFFF"/>
        </w:rPr>
        <w:t>44</w:t>
      </w:r>
      <w:r>
        <w:rPr>
          <w:rFonts w:ascii="Arial" w:hAnsi="Arial" w:eastAsia="sans-serif" w:cs="Arial"/>
          <w:color w:val="333333"/>
          <w:sz w:val="20"/>
          <w:szCs w:val="20"/>
          <w:shd w:val="clear" w:color="auto" w:fill="FFFFFF"/>
        </w:rPr>
        <w:t xml:space="preserve">(1), 1-7. </w:t>
      </w:r>
      <w:r>
        <w:fldChar w:fldCharType="begin"/>
      </w:r>
      <w:r>
        <w:instrText xml:space="preserve"> HYPERLINK "https://doi.org/10.3233/NRE-182502" </w:instrText>
      </w:r>
      <w:r>
        <w:fldChar w:fldCharType="separate"/>
      </w:r>
      <w:r>
        <w:rPr>
          <w:rStyle w:val="19"/>
          <w:rFonts w:ascii="Arial" w:hAnsi="Arial" w:eastAsia="sans-serif" w:cs="Arial"/>
          <w:sz w:val="20"/>
          <w:szCs w:val="20"/>
          <w:shd w:val="clear" w:color="auto" w:fill="FFFFFF"/>
        </w:rPr>
        <w:t>https://doi.org/10.3233/NRE-182502</w:t>
      </w:r>
      <w:r>
        <w:rPr>
          <w:rStyle w:val="19"/>
          <w:rFonts w:ascii="Arial" w:hAnsi="Arial" w:eastAsia="sans-serif" w:cs="Arial"/>
          <w:sz w:val="20"/>
          <w:szCs w:val="20"/>
          <w:shd w:val="clear" w:color="auto" w:fill="FFFFFF"/>
        </w:rPr>
        <w:fldChar w:fldCharType="end"/>
      </w:r>
      <w:r>
        <w:rPr>
          <w:rFonts w:ascii="Arial" w:hAnsi="Arial" w:eastAsia="sans-serif" w:cs="Arial"/>
          <w:color w:val="046FF8"/>
          <w:sz w:val="20"/>
          <w:szCs w:val="20"/>
          <w:u w:val="single"/>
          <w:shd w:val="clear" w:color="auto" w:fill="FFFFFF"/>
        </w:rPr>
        <w:t xml:space="preserve"> </w:t>
      </w:r>
    </w:p>
    <w:p w14:paraId="251D4083">
      <w:pPr>
        <w:ind w:left="440" w:hanging="440" w:hangingChars="220"/>
        <w:rPr>
          <w:rFonts w:ascii="Arial" w:hAnsi="Arial" w:cs="Arial"/>
          <w:sz w:val="20"/>
          <w:szCs w:val="20"/>
          <w:lang w:val="en-SG"/>
        </w:rPr>
      </w:pPr>
      <w:r>
        <w:rPr>
          <w:rFonts w:ascii="Arial" w:hAnsi="Arial" w:eastAsia="Segoe UI" w:cs="Arial"/>
          <w:color w:val="212121"/>
          <w:sz w:val="20"/>
          <w:szCs w:val="20"/>
          <w:shd w:val="clear" w:color="auto" w:fill="FFFFFF"/>
        </w:rPr>
        <w:t xml:space="preserve">Ziats, C. A., Patterson, W. G., &amp; Friez, M. (2021). Syndromic </w:t>
      </w:r>
      <w:r>
        <w:rPr>
          <w:rFonts w:ascii="Arial" w:hAnsi="Arial" w:eastAsia="Segoe UI" w:cs="Arial"/>
          <w:color w:val="212121"/>
          <w:sz w:val="20"/>
          <w:szCs w:val="20"/>
          <w:shd w:val="clear" w:color="auto" w:fill="FFFFFF"/>
          <w:lang w:val="en-SG"/>
        </w:rPr>
        <w:t>a</w:t>
      </w:r>
      <w:r>
        <w:rPr>
          <w:rFonts w:ascii="Arial" w:hAnsi="Arial" w:eastAsia="Segoe UI" w:cs="Arial"/>
          <w:color w:val="212121"/>
          <w:sz w:val="20"/>
          <w:szCs w:val="20"/>
          <w:shd w:val="clear" w:color="auto" w:fill="FFFFFF"/>
        </w:rPr>
        <w:t xml:space="preserve">utism </w:t>
      </w:r>
      <w:r>
        <w:rPr>
          <w:rFonts w:ascii="Arial" w:hAnsi="Arial" w:eastAsia="Segoe UI" w:cs="Arial"/>
          <w:color w:val="212121"/>
          <w:sz w:val="20"/>
          <w:szCs w:val="20"/>
          <w:shd w:val="clear" w:color="auto" w:fill="FFFFFF"/>
          <w:lang w:val="en-SG"/>
        </w:rPr>
        <w:t>r</w:t>
      </w:r>
      <w:r>
        <w:rPr>
          <w:rFonts w:ascii="Arial" w:hAnsi="Arial" w:eastAsia="Segoe UI" w:cs="Arial"/>
          <w:color w:val="212121"/>
          <w:sz w:val="20"/>
          <w:szCs w:val="20"/>
          <w:shd w:val="clear" w:color="auto" w:fill="FFFFFF"/>
        </w:rPr>
        <w:t xml:space="preserve">evisited: Review of the </w:t>
      </w:r>
      <w:r>
        <w:rPr>
          <w:rFonts w:ascii="Arial" w:hAnsi="Arial" w:eastAsia="Segoe UI" w:cs="Arial"/>
          <w:color w:val="212121"/>
          <w:sz w:val="20"/>
          <w:szCs w:val="20"/>
          <w:shd w:val="clear" w:color="auto" w:fill="FFFFFF"/>
          <w:lang w:val="en-SG"/>
        </w:rPr>
        <w:t>l</w:t>
      </w:r>
      <w:r>
        <w:rPr>
          <w:rFonts w:ascii="Arial" w:hAnsi="Arial" w:eastAsia="Segoe UI" w:cs="Arial"/>
          <w:color w:val="212121"/>
          <w:sz w:val="20"/>
          <w:szCs w:val="20"/>
          <w:shd w:val="clear" w:color="auto" w:fill="FFFFFF"/>
        </w:rPr>
        <w:t xml:space="preserve">iterature and </w:t>
      </w:r>
      <w:r>
        <w:rPr>
          <w:rFonts w:ascii="Arial" w:hAnsi="Arial" w:eastAsia="Segoe UI" w:cs="Arial"/>
          <w:color w:val="212121"/>
          <w:sz w:val="20"/>
          <w:szCs w:val="20"/>
          <w:shd w:val="clear" w:color="auto" w:fill="FFFFFF"/>
          <w:lang w:val="en-SG"/>
        </w:rPr>
        <w:t>l</w:t>
      </w:r>
      <w:r>
        <w:rPr>
          <w:rFonts w:ascii="Arial" w:hAnsi="Arial" w:eastAsia="Segoe UI" w:cs="Arial"/>
          <w:color w:val="212121"/>
          <w:sz w:val="20"/>
          <w:szCs w:val="20"/>
          <w:shd w:val="clear" w:color="auto" w:fill="FFFFFF"/>
        </w:rPr>
        <w:t xml:space="preserve">essons </w:t>
      </w:r>
      <w:r>
        <w:rPr>
          <w:rFonts w:ascii="Arial" w:hAnsi="Arial" w:eastAsia="Segoe UI" w:cs="Arial"/>
          <w:color w:val="212121"/>
          <w:sz w:val="20"/>
          <w:szCs w:val="20"/>
          <w:shd w:val="clear" w:color="auto" w:fill="FFFFFF"/>
          <w:lang w:val="en-SG"/>
        </w:rPr>
        <w:t>l</w:t>
      </w:r>
      <w:r>
        <w:rPr>
          <w:rFonts w:ascii="Arial" w:hAnsi="Arial" w:eastAsia="Segoe UI" w:cs="Arial"/>
          <w:color w:val="212121"/>
          <w:sz w:val="20"/>
          <w:szCs w:val="20"/>
          <w:shd w:val="clear" w:color="auto" w:fill="FFFFFF"/>
        </w:rPr>
        <w:t>earned. </w:t>
      </w:r>
      <w:r>
        <w:rPr>
          <w:rFonts w:ascii="Arial" w:hAnsi="Arial" w:eastAsia="Segoe UI" w:cs="Arial"/>
          <w:i/>
          <w:iCs/>
          <w:color w:val="212121"/>
          <w:sz w:val="20"/>
          <w:szCs w:val="20"/>
          <w:shd w:val="clear" w:color="auto" w:fill="FFFFFF"/>
        </w:rPr>
        <w:t xml:space="preserve">Pediatric </w:t>
      </w:r>
      <w:r>
        <w:rPr>
          <w:rFonts w:ascii="Arial" w:hAnsi="Arial" w:eastAsia="Segoe UI" w:cs="Arial"/>
          <w:i/>
          <w:iCs/>
          <w:color w:val="212121"/>
          <w:sz w:val="20"/>
          <w:szCs w:val="20"/>
          <w:shd w:val="clear" w:color="auto" w:fill="FFFFFF"/>
          <w:lang w:val="en-SG"/>
        </w:rPr>
        <w:t>N</w:t>
      </w:r>
      <w:r>
        <w:rPr>
          <w:rFonts w:ascii="Arial" w:hAnsi="Arial" w:eastAsia="Segoe UI" w:cs="Arial"/>
          <w:i/>
          <w:iCs/>
          <w:color w:val="212121"/>
          <w:sz w:val="20"/>
          <w:szCs w:val="20"/>
          <w:shd w:val="clear" w:color="auto" w:fill="FFFFFF"/>
        </w:rPr>
        <w:t>eurology</w:t>
      </w:r>
      <w:r>
        <w:rPr>
          <w:rFonts w:ascii="Arial" w:hAnsi="Arial" w:eastAsia="Segoe UI" w:cs="Arial"/>
          <w:color w:val="212121"/>
          <w:sz w:val="20"/>
          <w:szCs w:val="20"/>
          <w:shd w:val="clear" w:color="auto" w:fill="FFFFFF"/>
        </w:rPr>
        <w:t>, </w:t>
      </w:r>
      <w:r>
        <w:rPr>
          <w:rFonts w:ascii="Arial" w:hAnsi="Arial" w:eastAsia="Segoe UI" w:cs="Arial"/>
          <w:i/>
          <w:iCs/>
          <w:color w:val="212121"/>
          <w:sz w:val="20"/>
          <w:szCs w:val="20"/>
          <w:shd w:val="clear" w:color="auto" w:fill="FFFFFF"/>
        </w:rPr>
        <w:t>114</w:t>
      </w:r>
      <w:r>
        <w:rPr>
          <w:rFonts w:ascii="Arial" w:hAnsi="Arial" w:eastAsia="Segoe UI" w:cs="Arial"/>
          <w:color w:val="212121"/>
          <w:sz w:val="20"/>
          <w:szCs w:val="20"/>
          <w:shd w:val="clear" w:color="auto" w:fill="FFFFFF"/>
        </w:rPr>
        <w:t>, 21</w:t>
      </w:r>
      <w:r>
        <w:rPr>
          <w:rFonts w:ascii="Arial" w:hAnsi="Arial" w:eastAsia="Segoe UI" w:cs="Arial"/>
          <w:color w:val="212121"/>
          <w:sz w:val="20"/>
          <w:szCs w:val="20"/>
          <w:shd w:val="clear" w:color="auto" w:fill="FFFFFF"/>
          <w:lang w:val="en-SG"/>
        </w:rPr>
        <w:t>-</w:t>
      </w:r>
      <w:r>
        <w:rPr>
          <w:rFonts w:ascii="Arial" w:hAnsi="Arial" w:eastAsia="Segoe UI" w:cs="Arial"/>
          <w:color w:val="212121"/>
          <w:sz w:val="20"/>
          <w:szCs w:val="20"/>
          <w:shd w:val="clear" w:color="auto" w:fill="FFFFFF"/>
        </w:rPr>
        <w:t xml:space="preserve">25. </w:t>
      </w:r>
      <w:r>
        <w:fldChar w:fldCharType="begin"/>
      </w:r>
      <w:r>
        <w:instrText xml:space="preserve"> HYPERLINK "https://doi.org/10.1016/j.pediatrneurol.2020.06.011" </w:instrText>
      </w:r>
      <w:r>
        <w:fldChar w:fldCharType="separate"/>
      </w:r>
      <w:r>
        <w:rPr>
          <w:rStyle w:val="19"/>
          <w:rFonts w:ascii="Arial" w:hAnsi="Arial" w:eastAsia="Segoe UI" w:cs="Arial"/>
          <w:sz w:val="20"/>
          <w:szCs w:val="20"/>
          <w:shd w:val="clear" w:color="auto" w:fill="FFFFFF"/>
        </w:rPr>
        <w:t>https://doi.org/10.1016/j.pediatrneurol.2020.06.011</w:t>
      </w:r>
      <w:r>
        <w:rPr>
          <w:rStyle w:val="19"/>
          <w:rFonts w:ascii="Arial" w:hAnsi="Arial" w:eastAsia="Segoe UI" w:cs="Arial"/>
          <w:sz w:val="20"/>
          <w:szCs w:val="20"/>
          <w:shd w:val="clear" w:color="auto" w:fill="FFFFFF"/>
        </w:rPr>
        <w:fldChar w:fldCharType="end"/>
      </w:r>
      <w:r>
        <w:rPr>
          <w:rFonts w:ascii="Arial" w:hAnsi="Arial" w:eastAsia="Segoe UI" w:cs="Arial"/>
          <w:color w:val="212121"/>
          <w:sz w:val="20"/>
          <w:szCs w:val="20"/>
          <w:shd w:val="clear" w:color="auto" w:fill="FFFFFF"/>
          <w:lang w:val="en-SG"/>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imSun, 宋体">
    <w:altName w:val="SimSu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nsolas">
    <w:panose1 w:val="020B0609020204030204"/>
    <w:charset w:val="00"/>
    <w:family w:val="modern"/>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365277"/>
    </w:sdtPr>
    <w:sdtContent>
      <w:p w14:paraId="2631F75C">
        <w:pPr>
          <w:pStyle w:val="15"/>
          <w:jc w:val="center"/>
        </w:pPr>
        <w:r>
          <w:fldChar w:fldCharType="begin"/>
        </w:r>
        <w:r>
          <w:instrText xml:space="preserve"> PAGE   \* MERGEFORMAT </w:instrText>
        </w:r>
        <w:r>
          <w:fldChar w:fldCharType="separate"/>
        </w:r>
        <w:r>
          <w:t>4</w:t>
        </w:r>
        <w:r>
          <w:fldChar w:fldCharType="end"/>
        </w:r>
      </w:p>
    </w:sdtContent>
  </w:sdt>
  <w:p w14:paraId="4917B78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83C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D0F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2113">
    <w:pPr>
      <w:pStyle w:val="18"/>
    </w:pPr>
    <w:r>
      <w:pict>
        <v:shape id="PowerPlusWaterMarkObject794583080" o:spid="_x0000_s4098" o:spt="136" type="#_x0000_t136" style="position:absolute;left:0pt;height:108.45pt;width:57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74E3">
    <w:pPr>
      <w:pStyle w:val="18"/>
    </w:pPr>
    <w:r>
      <w:pict>
        <v:shape id="PowerPlusWaterMarkObject794583079" o:spid="_x0000_s4099" o:spt="136" type="#_x0000_t136" style="position:absolute;left:0pt;height:108.45pt;width:57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6E4C">
    <w:pPr>
      <w:pStyle w:val="18"/>
    </w:pPr>
    <w:r>
      <w:pict>
        <v:shape id="PowerPlusWaterMarkObject794583078" o:spid="_x0000_s4097" o:spt="136" type="#_x0000_t136" style="position:absolute;left:0pt;height:108.45pt;width:57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30ECF"/>
    <w:multiLevelType w:val="multilevel"/>
    <w:tmpl w:val="16630ECF"/>
    <w:lvl w:ilvl="0" w:tentative="0">
      <w:start w:val="0"/>
      <w:numFmt w:val="bullet"/>
      <w:lvlText w:val="•"/>
      <w:lvlJc w:val="left"/>
      <w:pPr>
        <w:ind w:left="360" w:hanging="360"/>
      </w:pPr>
      <w:rPr>
        <w:rFonts w:hint="default" w:ascii="Arial" w:hAnsi="Arial" w:eastAsia="DengXi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86C2AC3"/>
    <w:multiLevelType w:val="multilevel"/>
    <w:tmpl w:val="186C2AC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DC67B7D"/>
    <w:multiLevelType w:val="multilevel"/>
    <w:tmpl w:val="1DC67B7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2384FB0"/>
    <w:multiLevelType w:val="multilevel"/>
    <w:tmpl w:val="32384FB0"/>
    <w:lvl w:ilvl="0" w:tentative="0">
      <w:start w:val="0"/>
      <w:numFmt w:val="bullet"/>
      <w:lvlText w:val="•"/>
      <w:lvlJc w:val="left"/>
      <w:pPr>
        <w:ind w:left="360" w:hanging="360"/>
      </w:pPr>
      <w:rPr>
        <w:rFonts w:hint="default" w:ascii="Arial" w:hAnsi="Arial" w:eastAsia="DengXi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421724D6"/>
    <w:multiLevelType w:val="multilevel"/>
    <w:tmpl w:val="421724D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4B6F30D0"/>
    <w:multiLevelType w:val="multilevel"/>
    <w:tmpl w:val="4B6F30D0"/>
    <w:lvl w:ilvl="0" w:tentative="0">
      <w:start w:val="0"/>
      <w:numFmt w:val="bullet"/>
      <w:lvlText w:val="•"/>
      <w:lvlJc w:val="left"/>
      <w:pPr>
        <w:ind w:left="360" w:hanging="360"/>
      </w:pPr>
      <w:rPr>
        <w:rFonts w:hint="default" w:ascii="Arial" w:hAnsi="Arial" w:eastAsia="DengXi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9235252"/>
    <w:multiLevelType w:val="multilevel"/>
    <w:tmpl w:val="59235252"/>
    <w:lvl w:ilvl="0" w:tentative="0">
      <w:start w:val="1"/>
      <w:numFmt w:val="bullet"/>
      <w:lvlText w:val=""/>
      <w:lvlJc w:val="left"/>
      <w:pPr>
        <w:tabs>
          <w:tab w:val="left" w:pos="360"/>
        </w:tabs>
        <w:ind w:left="360" w:hanging="360"/>
      </w:pPr>
      <w:rPr>
        <w:rFonts w:hint="default" w:ascii="Symbol" w:hAnsi="Symbol"/>
        <w:sz w:val="20"/>
        <w:szCs w:val="20"/>
      </w:rPr>
    </w:lvl>
    <w:lvl w:ilvl="1" w:tentative="0">
      <w:start w:val="1"/>
      <w:numFmt w:val="bullet"/>
      <w:lvlText w:val="o"/>
      <w:lvlJc w:val="left"/>
      <w:pPr>
        <w:tabs>
          <w:tab w:val="left" w:pos="1080"/>
        </w:tabs>
        <w:ind w:left="1080" w:hanging="360"/>
      </w:pPr>
      <w:rPr>
        <w:rFonts w:hint="default" w:ascii="Courier New" w:hAnsi="Courier New" w:cs="Courier New"/>
        <w:sz w:val="20"/>
        <w:szCs w:val="20"/>
      </w:rPr>
    </w:lvl>
    <w:lvl w:ilvl="2" w:tentative="0">
      <w:start w:val="1"/>
      <w:numFmt w:val="bullet"/>
      <w:lvlText w:val=""/>
      <w:lvlJc w:val="left"/>
      <w:pPr>
        <w:tabs>
          <w:tab w:val="left" w:pos="1800"/>
        </w:tabs>
        <w:ind w:left="1800" w:hanging="360"/>
      </w:pPr>
      <w:rPr>
        <w:rFonts w:hint="default" w:ascii="Wingdings" w:hAnsi="Wingdings"/>
        <w:sz w:val="20"/>
        <w:szCs w:val="20"/>
      </w:rPr>
    </w:lvl>
    <w:lvl w:ilvl="3" w:tentative="0">
      <w:start w:val="1"/>
      <w:numFmt w:val="bullet"/>
      <w:lvlText w:val=""/>
      <w:lvlJc w:val="left"/>
      <w:pPr>
        <w:tabs>
          <w:tab w:val="left" w:pos="2520"/>
        </w:tabs>
        <w:ind w:left="2520" w:hanging="360"/>
      </w:pPr>
      <w:rPr>
        <w:rFonts w:hint="default" w:ascii="Wingdings" w:hAnsi="Wingdings"/>
        <w:sz w:val="20"/>
        <w:szCs w:val="20"/>
      </w:rPr>
    </w:lvl>
    <w:lvl w:ilvl="4" w:tentative="0">
      <w:start w:val="1"/>
      <w:numFmt w:val="bullet"/>
      <w:lvlText w:val=""/>
      <w:lvlJc w:val="left"/>
      <w:pPr>
        <w:tabs>
          <w:tab w:val="left" w:pos="3240"/>
        </w:tabs>
        <w:ind w:left="3240" w:hanging="360"/>
      </w:pPr>
      <w:rPr>
        <w:rFonts w:hint="default" w:ascii="Wingdings" w:hAnsi="Wingdings"/>
        <w:sz w:val="20"/>
        <w:szCs w:val="20"/>
      </w:rPr>
    </w:lvl>
    <w:lvl w:ilvl="5" w:tentative="0">
      <w:start w:val="1"/>
      <w:numFmt w:val="bullet"/>
      <w:lvlText w:val=""/>
      <w:lvlJc w:val="left"/>
      <w:pPr>
        <w:tabs>
          <w:tab w:val="left" w:pos="3960"/>
        </w:tabs>
        <w:ind w:left="3960" w:hanging="360"/>
      </w:pPr>
      <w:rPr>
        <w:rFonts w:hint="default" w:ascii="Wingdings" w:hAnsi="Wingdings"/>
        <w:sz w:val="20"/>
        <w:szCs w:val="20"/>
      </w:rPr>
    </w:lvl>
    <w:lvl w:ilvl="6" w:tentative="0">
      <w:start w:val="1"/>
      <w:numFmt w:val="bullet"/>
      <w:lvlText w:val=""/>
      <w:lvlJc w:val="left"/>
      <w:pPr>
        <w:tabs>
          <w:tab w:val="left" w:pos="4680"/>
        </w:tabs>
        <w:ind w:left="4680" w:hanging="360"/>
      </w:pPr>
      <w:rPr>
        <w:rFonts w:hint="default" w:ascii="Wingdings" w:hAnsi="Wingdings"/>
        <w:sz w:val="20"/>
        <w:szCs w:val="20"/>
      </w:rPr>
    </w:lvl>
    <w:lvl w:ilvl="7" w:tentative="0">
      <w:start w:val="1"/>
      <w:numFmt w:val="bullet"/>
      <w:lvlText w:val=""/>
      <w:lvlJc w:val="left"/>
      <w:pPr>
        <w:tabs>
          <w:tab w:val="left" w:pos="5400"/>
        </w:tabs>
        <w:ind w:left="5400" w:hanging="360"/>
      </w:pPr>
      <w:rPr>
        <w:rFonts w:hint="default" w:ascii="Wingdings" w:hAnsi="Wingdings"/>
        <w:sz w:val="20"/>
        <w:szCs w:val="20"/>
      </w:rPr>
    </w:lvl>
    <w:lvl w:ilvl="8" w:tentative="0">
      <w:start w:val="1"/>
      <w:numFmt w:val="bullet"/>
      <w:lvlText w:val=""/>
      <w:lvlJc w:val="left"/>
      <w:pPr>
        <w:tabs>
          <w:tab w:val="left" w:pos="6120"/>
        </w:tabs>
        <w:ind w:left="6120" w:hanging="360"/>
      </w:pPr>
      <w:rPr>
        <w:rFonts w:hint="default" w:ascii="Wingdings" w:hAnsi="Wingdings"/>
        <w:sz w:val="20"/>
        <w:szCs w:val="20"/>
      </w:rPr>
    </w:lvl>
  </w:abstractNum>
  <w:abstractNum w:abstractNumId="7">
    <w:nsid w:val="71B2FD4D"/>
    <w:multiLevelType w:val="multilevel"/>
    <w:tmpl w:val="71B2FD4D"/>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3,4"/>
    </o:shapelayout>
  </w:hdrShapeDefault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AE"/>
    <w:rsid w:val="00047E80"/>
    <w:rsid w:val="000537A3"/>
    <w:rsid w:val="000A0B8F"/>
    <w:rsid w:val="0011316B"/>
    <w:rsid w:val="001A032E"/>
    <w:rsid w:val="001B1F85"/>
    <w:rsid w:val="002C300D"/>
    <w:rsid w:val="003008F0"/>
    <w:rsid w:val="00317639"/>
    <w:rsid w:val="00340B2C"/>
    <w:rsid w:val="00346A36"/>
    <w:rsid w:val="003879FC"/>
    <w:rsid w:val="003A0ACA"/>
    <w:rsid w:val="003B5F65"/>
    <w:rsid w:val="003E5EA1"/>
    <w:rsid w:val="00481EC8"/>
    <w:rsid w:val="004D3D82"/>
    <w:rsid w:val="004D493C"/>
    <w:rsid w:val="005B3123"/>
    <w:rsid w:val="00853EFD"/>
    <w:rsid w:val="008B252D"/>
    <w:rsid w:val="008E54C3"/>
    <w:rsid w:val="008F7FE7"/>
    <w:rsid w:val="0091145B"/>
    <w:rsid w:val="00930FF6"/>
    <w:rsid w:val="00995D0A"/>
    <w:rsid w:val="009D25FC"/>
    <w:rsid w:val="00A41BCB"/>
    <w:rsid w:val="00A76A67"/>
    <w:rsid w:val="00AB7C74"/>
    <w:rsid w:val="00AC1DB2"/>
    <w:rsid w:val="00AE4935"/>
    <w:rsid w:val="00B3348D"/>
    <w:rsid w:val="00B5006F"/>
    <w:rsid w:val="00B65E8E"/>
    <w:rsid w:val="00B80BD0"/>
    <w:rsid w:val="00B971D3"/>
    <w:rsid w:val="00BD66A4"/>
    <w:rsid w:val="00C31475"/>
    <w:rsid w:val="00C675AE"/>
    <w:rsid w:val="00E548C5"/>
    <w:rsid w:val="00E90BA6"/>
    <w:rsid w:val="00ED6B9B"/>
    <w:rsid w:val="00EE4450"/>
    <w:rsid w:val="00F006D0"/>
    <w:rsid w:val="03E82E0C"/>
    <w:rsid w:val="0D42194E"/>
    <w:rsid w:val="100A5860"/>
    <w:rsid w:val="134B156C"/>
    <w:rsid w:val="1C5E52F1"/>
    <w:rsid w:val="20CB33F9"/>
    <w:rsid w:val="2FA82817"/>
    <w:rsid w:val="323C23EA"/>
    <w:rsid w:val="40BD5EED"/>
    <w:rsid w:val="4AD955A0"/>
    <w:rsid w:val="59AD1473"/>
    <w:rsid w:val="5BE263D1"/>
    <w:rsid w:val="67C4341D"/>
    <w:rsid w:val="71165F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DengXi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jc w:val="both"/>
    </w:pPr>
    <w:rPr>
      <w:rFonts w:hint="default" w:ascii="Calibri" w:hAnsi="Calibri" w:cs="Times New Roman"/>
      <w:kern w:val="2"/>
      <w:sz w:val="22"/>
      <w:szCs w:val="22"/>
    </w:rPr>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FollowedHyperlink"/>
    <w:semiHidden/>
    <w:unhideWhenUsed/>
    <w:qFormat/>
    <w:uiPriority w:val="99"/>
    <w:rPr>
      <w:color w:val="954F72"/>
      <w:u w:val="single"/>
    </w:rPr>
  </w:style>
  <w:style w:type="paragraph" w:styleId="15">
    <w:name w:val="footer"/>
    <w:basedOn w:val="1"/>
    <w:link w:val="47"/>
    <w:unhideWhenUsed/>
    <w:qFormat/>
    <w:uiPriority w:val="99"/>
    <w:pPr>
      <w:tabs>
        <w:tab w:val="center" w:pos="4513"/>
        <w:tab w:val="right" w:pos="9026"/>
      </w:tabs>
    </w:pPr>
  </w:style>
  <w:style w:type="character" w:styleId="16">
    <w:name w:val="footnote reference"/>
    <w:basedOn w:val="11"/>
    <w:semiHidden/>
    <w:unhideWhenUsed/>
    <w:qFormat/>
    <w:uiPriority w:val="99"/>
    <w:rPr>
      <w:vertAlign w:val="superscript"/>
    </w:rPr>
  </w:style>
  <w:style w:type="paragraph" w:styleId="17">
    <w:name w:val="footnote text"/>
    <w:basedOn w:val="1"/>
    <w:semiHidden/>
    <w:unhideWhenUsed/>
    <w:qFormat/>
    <w:uiPriority w:val="99"/>
    <w:pPr>
      <w:snapToGrid w:val="0"/>
      <w:jc w:val="left"/>
    </w:pPr>
    <w:rPr>
      <w:sz w:val="18"/>
      <w:szCs w:val="18"/>
    </w:rPr>
  </w:style>
  <w:style w:type="paragraph" w:styleId="18">
    <w:name w:val="header"/>
    <w:basedOn w:val="1"/>
    <w:link w:val="46"/>
    <w:unhideWhenUsed/>
    <w:qFormat/>
    <w:uiPriority w:val="99"/>
    <w:pPr>
      <w:tabs>
        <w:tab w:val="center" w:pos="4513"/>
        <w:tab w:val="right" w:pos="9026"/>
      </w:tabs>
    </w:pPr>
  </w:style>
  <w:style w:type="character" w:styleId="19">
    <w:name w:val="Hyperlink"/>
    <w:basedOn w:val="11"/>
    <w:unhideWhenUsed/>
    <w:qFormat/>
    <w:uiPriority w:val="99"/>
    <w:rPr>
      <w:color w:val="0563C1" w:themeColor="hyperlink"/>
      <w:u w:val="single"/>
      <w14:textFill>
        <w14:solidFill>
          <w14:schemeClr w14:val="hlink"/>
        </w14:solidFill>
      </w14:textFill>
    </w:rPr>
  </w:style>
  <w:style w:type="paragraph" w:styleId="20">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21">
    <w:name w:val="Strong"/>
    <w:basedOn w:val="11"/>
    <w:qFormat/>
    <w:uiPriority w:val="22"/>
    <w:rPr>
      <w:b/>
      <w:bCs/>
    </w:rPr>
  </w:style>
  <w:style w:type="paragraph" w:styleId="22">
    <w:name w:val="Subtitle"/>
    <w:basedOn w:val="1"/>
    <w:next w:val="1"/>
    <w:link w:val="35"/>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3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5">
    <w:name w:val="Heading 1 Char"/>
    <w:basedOn w:val="11"/>
    <w:link w:val="2"/>
    <w:qFormat/>
    <w:uiPriority w:val="9"/>
    <w:rPr>
      <w:rFonts w:asciiTheme="majorHAnsi" w:hAnsiTheme="majorHAnsi" w:eastAsiaTheme="majorEastAsia" w:cstheme="majorBidi"/>
      <w:color w:val="2F5597" w:themeColor="accent1" w:themeShade="BF"/>
      <w:sz w:val="40"/>
      <w:szCs w:val="40"/>
      <w:lang w:val="en-US"/>
    </w:rPr>
  </w:style>
  <w:style w:type="character" w:customStyle="1" w:styleId="26">
    <w:name w:val="Heading 2 Char"/>
    <w:basedOn w:val="11"/>
    <w:link w:val="3"/>
    <w:semiHidden/>
    <w:qFormat/>
    <w:uiPriority w:val="9"/>
    <w:rPr>
      <w:rFonts w:asciiTheme="majorHAnsi" w:hAnsiTheme="majorHAnsi" w:eastAsiaTheme="majorEastAsia" w:cstheme="majorBidi"/>
      <w:color w:val="2F5597" w:themeColor="accent1" w:themeShade="BF"/>
      <w:sz w:val="32"/>
      <w:szCs w:val="32"/>
      <w:lang w:val="en-US"/>
    </w:rPr>
  </w:style>
  <w:style w:type="character" w:customStyle="1" w:styleId="27">
    <w:name w:val="Heading 3 Char"/>
    <w:basedOn w:val="11"/>
    <w:link w:val="4"/>
    <w:semiHidden/>
    <w:qFormat/>
    <w:uiPriority w:val="9"/>
    <w:rPr>
      <w:rFonts w:eastAsiaTheme="majorEastAsia" w:cstheme="majorBidi"/>
      <w:color w:val="2F5597" w:themeColor="accent1" w:themeShade="BF"/>
      <w:sz w:val="28"/>
      <w:szCs w:val="28"/>
      <w:lang w:val="en-US"/>
    </w:rPr>
  </w:style>
  <w:style w:type="character" w:customStyle="1" w:styleId="28">
    <w:name w:val="Heading 4 Char"/>
    <w:basedOn w:val="11"/>
    <w:link w:val="5"/>
    <w:semiHidden/>
    <w:qFormat/>
    <w:uiPriority w:val="9"/>
    <w:rPr>
      <w:rFonts w:eastAsiaTheme="majorEastAsia" w:cstheme="majorBidi"/>
      <w:i/>
      <w:iCs/>
      <w:color w:val="2F5597" w:themeColor="accent1" w:themeShade="BF"/>
      <w:lang w:val="en-US"/>
    </w:rPr>
  </w:style>
  <w:style w:type="character" w:customStyle="1" w:styleId="29">
    <w:name w:val="Heading 5 Char"/>
    <w:basedOn w:val="11"/>
    <w:link w:val="6"/>
    <w:semiHidden/>
    <w:qFormat/>
    <w:uiPriority w:val="9"/>
    <w:rPr>
      <w:rFonts w:eastAsiaTheme="majorEastAsia" w:cstheme="majorBidi"/>
      <w:color w:val="2F5597" w:themeColor="accent1" w:themeShade="BF"/>
      <w:lang w:val="en-US"/>
    </w:rPr>
  </w:style>
  <w:style w:type="character" w:customStyle="1" w:styleId="30">
    <w:name w:val="Heading 6 Char"/>
    <w:basedOn w:val="11"/>
    <w:link w:val="7"/>
    <w:semiHidden/>
    <w:qFormat/>
    <w:uiPriority w:val="9"/>
    <w:rPr>
      <w:rFonts w:eastAsiaTheme="majorEastAsia" w:cstheme="majorBidi"/>
      <w:i/>
      <w:iCs/>
      <w:color w:val="595959" w:themeColor="text1" w:themeTint="A6"/>
      <w:lang w:val="en-US"/>
      <w14:textFill>
        <w14:solidFill>
          <w14:schemeClr w14:val="tx1">
            <w14:lumMod w14:val="65000"/>
            <w14:lumOff w14:val="35000"/>
          </w14:schemeClr>
        </w14:solidFill>
      </w14:textFill>
    </w:rPr>
  </w:style>
  <w:style w:type="character" w:customStyle="1" w:styleId="31">
    <w:name w:val="Heading 7 Char"/>
    <w:basedOn w:val="11"/>
    <w:link w:val="8"/>
    <w:semiHidden/>
    <w:qFormat/>
    <w:uiPriority w:val="9"/>
    <w:rPr>
      <w:rFonts w:eastAsiaTheme="majorEastAsia" w:cstheme="majorBidi"/>
      <w:color w:val="595959" w:themeColor="text1" w:themeTint="A6"/>
      <w:lang w:val="en-US"/>
      <w14:textFill>
        <w14:solidFill>
          <w14:schemeClr w14:val="tx1">
            <w14:lumMod w14:val="65000"/>
            <w14:lumOff w14:val="35000"/>
          </w14:schemeClr>
        </w14:solidFill>
      </w14:textFill>
    </w:rPr>
  </w:style>
  <w:style w:type="character" w:customStyle="1" w:styleId="32">
    <w:name w:val="Heading 8 Char"/>
    <w:basedOn w:val="11"/>
    <w:link w:val="9"/>
    <w:semiHidden/>
    <w:qFormat/>
    <w:uiPriority w:val="9"/>
    <w:rPr>
      <w:rFonts w:eastAsiaTheme="majorEastAsia" w:cstheme="majorBidi"/>
      <w:i/>
      <w:iCs/>
      <w:color w:val="262626" w:themeColor="text1" w:themeTint="D9"/>
      <w:lang w:val="en-US"/>
      <w14:textFill>
        <w14:solidFill>
          <w14:schemeClr w14:val="tx1">
            <w14:lumMod w14:val="85000"/>
            <w14:lumOff w14:val="15000"/>
          </w14:schemeClr>
        </w14:solidFill>
      </w14:textFill>
    </w:rPr>
  </w:style>
  <w:style w:type="character" w:customStyle="1" w:styleId="33">
    <w:name w:val="Heading 9 Char"/>
    <w:basedOn w:val="11"/>
    <w:link w:val="10"/>
    <w:semiHidden/>
    <w:qFormat/>
    <w:uiPriority w:val="9"/>
    <w:rPr>
      <w:rFonts w:eastAsiaTheme="majorEastAsia" w:cstheme="majorBidi"/>
      <w:color w:val="262626" w:themeColor="text1" w:themeTint="D9"/>
      <w:lang w:val="en-US"/>
      <w14:textFill>
        <w14:solidFill>
          <w14:schemeClr w14:val="tx1">
            <w14:lumMod w14:val="85000"/>
            <w14:lumOff w14:val="15000"/>
          </w14:schemeClr>
        </w14:solidFill>
      </w14:textFill>
    </w:rPr>
  </w:style>
  <w:style w:type="character" w:customStyle="1" w:styleId="34">
    <w:name w:val="Title Char"/>
    <w:basedOn w:val="11"/>
    <w:link w:val="24"/>
    <w:qFormat/>
    <w:uiPriority w:val="10"/>
    <w:rPr>
      <w:rFonts w:asciiTheme="majorHAnsi" w:hAnsiTheme="majorHAnsi" w:eastAsiaTheme="majorEastAsia" w:cstheme="majorBidi"/>
      <w:spacing w:val="-10"/>
      <w:kern w:val="28"/>
      <w:sz w:val="56"/>
      <w:szCs w:val="56"/>
      <w:lang w:val="en-US"/>
    </w:rPr>
  </w:style>
  <w:style w:type="character" w:customStyle="1" w:styleId="35">
    <w:name w:val="Subtitle Char"/>
    <w:basedOn w:val="11"/>
    <w:link w:val="22"/>
    <w:qFormat/>
    <w:uiPriority w:val="11"/>
    <w:rPr>
      <w:rFonts w:eastAsiaTheme="majorEastAsia" w:cstheme="majorBidi"/>
      <w:color w:val="595959" w:themeColor="text1" w:themeTint="A6"/>
      <w:spacing w:val="15"/>
      <w:sz w:val="28"/>
      <w:szCs w:val="28"/>
      <w:lang w:val="en-US"/>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qFormat/>
    <w:uiPriority w:val="29"/>
    <w:rPr>
      <w:i/>
      <w:iCs/>
      <w:color w:val="404040" w:themeColor="text1" w:themeTint="BF"/>
      <w:lang w:val="en-US"/>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1"/>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Intense Quote Char"/>
    <w:basedOn w:val="11"/>
    <w:link w:val="40"/>
    <w:qFormat/>
    <w:uiPriority w:val="30"/>
    <w:rPr>
      <w:i/>
      <w:iCs/>
      <w:color w:val="2F5597" w:themeColor="accent1" w:themeShade="BF"/>
      <w:lang w:val="en-US"/>
    </w:rPr>
  </w:style>
  <w:style w:type="character" w:customStyle="1" w:styleId="42">
    <w:name w:val="Intense Reference1"/>
    <w:basedOn w:val="11"/>
    <w:qFormat/>
    <w:uiPriority w:val="32"/>
    <w:rPr>
      <w:b/>
      <w:bCs/>
      <w:smallCaps/>
      <w:color w:val="2F5597" w:themeColor="accent1" w:themeShade="BF"/>
      <w:spacing w:val="5"/>
    </w:rPr>
  </w:style>
  <w:style w:type="character" w:customStyle="1" w:styleId="43">
    <w:name w:val="Unresolved Mention1"/>
    <w:basedOn w:val="11"/>
    <w:semiHidden/>
    <w:unhideWhenUsed/>
    <w:qFormat/>
    <w:uiPriority w:val="99"/>
    <w:rPr>
      <w:color w:val="605E5C"/>
      <w:shd w:val="clear" w:color="auto" w:fill="E1DFDD"/>
    </w:rPr>
  </w:style>
  <w:style w:type="paragraph" w:customStyle="1" w:styleId="44">
    <w:name w:val="Standard"/>
    <w:qFormat/>
    <w:uiPriority w:val="0"/>
    <w:pPr>
      <w:suppressAutoHyphens/>
      <w:autoSpaceDN w:val="0"/>
      <w:textAlignment w:val="baseline"/>
    </w:pPr>
    <w:rPr>
      <w:rFonts w:ascii="Times New Roman" w:hAnsi="Times New Roman" w:eastAsia="SimSun, 宋体" w:cs="Times New Roman"/>
      <w:kern w:val="3"/>
      <w:sz w:val="24"/>
      <w:szCs w:val="24"/>
      <w:lang w:val="en-US" w:eastAsia="zh-CN" w:bidi="ar-SA"/>
    </w:rPr>
  </w:style>
  <w:style w:type="character" w:customStyle="1" w:styleId="45">
    <w:name w:val="15"/>
    <w:basedOn w:val="11"/>
    <w:qFormat/>
    <w:uiPriority w:val="0"/>
    <w:rPr>
      <w:rFonts w:ascii="Times New Roman" w:hAnsi="Times New Roman" w:cs="Times New Roman"/>
      <w:color w:val="0563C1"/>
      <w:u w:val="single"/>
    </w:rPr>
  </w:style>
  <w:style w:type="character" w:customStyle="1" w:styleId="46">
    <w:name w:val="Header Char"/>
    <w:basedOn w:val="11"/>
    <w:link w:val="18"/>
    <w:qFormat/>
    <w:uiPriority w:val="99"/>
    <w:rPr>
      <w:lang w:val="en-US"/>
    </w:rPr>
  </w:style>
  <w:style w:type="character" w:customStyle="1" w:styleId="47">
    <w:name w:val="Footer Char"/>
    <w:basedOn w:val="11"/>
    <w:link w:val="15"/>
    <w:qFormat/>
    <w:uiPriority w:val="99"/>
    <w:rPr>
      <w:lang w:val="en-US"/>
    </w:rPr>
  </w:style>
  <w:style w:type="paragraph" w:customStyle="1" w:styleId="48">
    <w:name w:val="Abst Head"/>
    <w:basedOn w:val="49"/>
    <w:qFormat/>
    <w:uiPriority w:val="0"/>
  </w:style>
  <w:style w:type="paragraph" w:customStyle="1" w:styleId="49">
    <w:name w:val="Main Head"/>
    <w:basedOn w:val="1"/>
    <w:qFormat/>
    <w:uiPriority w:val="0"/>
    <w:pPr>
      <w:keepNext/>
      <w:spacing w:after="240"/>
    </w:pPr>
    <w:rPr>
      <w:b/>
      <w:caps/>
    </w:rPr>
  </w:style>
  <w:style w:type="paragraph" w:customStyle="1" w:styleId="50">
    <w:name w:val="Body"/>
    <w:basedOn w:val="1"/>
    <w:qFormat/>
    <w:uiPriority w:val="0"/>
    <w:pPr>
      <w:spacing w:after="24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8269</Words>
  <Characters>47136</Characters>
  <Lines>392</Lines>
  <Paragraphs>110</Paragraphs>
  <TotalTime>1</TotalTime>
  <ScaleCrop>false</ScaleCrop>
  <LinksUpToDate>false</LinksUpToDate>
  <CharactersWithSpaces>55295</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2025-08-10T02:57:00Z</dcterms:created>
  <dc:creator>Chia KH</dc:creator>
  <cp:lastModifiedBy>Xie Guohui</cp:lastModifiedBy>
  <dcterms:modified xsi:type="dcterms:W3CDTF">2025-08-21T15:35:31Z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A757ADEEA3D74279A1DBE2D6B9A0F9F2_13</vt:lpwstr>
  </property>
</Properties>
</file>