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E43" w:rsidRPr="00AE6724" w:rsidRDefault="00934E43" w:rsidP="00D57E38">
      <w:pPr>
        <w:spacing w:line="240" w:lineRule="auto"/>
        <w:rPr>
          <w:rFonts w:ascii="Arial" w:hAnsi="Arial" w:cs="Arial"/>
          <w:b/>
        </w:rPr>
      </w:pPr>
      <w:r w:rsidRPr="00AE6724">
        <w:rPr>
          <w:rFonts w:ascii="Arial" w:hAnsi="Arial" w:cs="Arial"/>
          <w:b/>
        </w:rPr>
        <w:t>COMPARSION BETWEEN ADJUCNTIVE SUBLINGUAL MISO</w:t>
      </w:r>
      <w:r w:rsidR="001006CA" w:rsidRPr="00AE6724">
        <w:rPr>
          <w:rFonts w:ascii="Arial" w:hAnsi="Arial" w:cs="Arial"/>
          <w:b/>
        </w:rPr>
        <w:t>PROSTOL VERSUS OXYTOCIN ALONE</w:t>
      </w:r>
      <w:r w:rsidRPr="00AE6724">
        <w:rPr>
          <w:rFonts w:ascii="Arial" w:hAnsi="Arial" w:cs="Arial"/>
          <w:b/>
        </w:rPr>
        <w:t xml:space="preserve"> IN THE REDUCTION OF INTRAOPERATIVE BLOOD LOSS DURING CAES</w:t>
      </w:r>
      <w:r w:rsidR="0027341D" w:rsidRPr="00AE6724">
        <w:rPr>
          <w:rFonts w:ascii="Arial" w:hAnsi="Arial" w:cs="Arial"/>
          <w:b/>
        </w:rPr>
        <w:t>A</w:t>
      </w:r>
      <w:r w:rsidRPr="00AE6724">
        <w:rPr>
          <w:rFonts w:ascii="Arial" w:hAnsi="Arial" w:cs="Arial"/>
          <w:b/>
        </w:rPr>
        <w:t>REAN SECTION</w:t>
      </w:r>
    </w:p>
    <w:p w:rsidR="00F60F7D" w:rsidRPr="0060598C" w:rsidRDefault="00B06553" w:rsidP="00B06553">
      <w:pPr>
        <w:tabs>
          <w:tab w:val="right" w:pos="9360"/>
        </w:tabs>
        <w:spacing w:line="240" w:lineRule="auto"/>
        <w:jc w:val="both"/>
        <w:rPr>
          <w:rFonts w:ascii="Arial" w:hAnsi="Arial" w:cs="Arial"/>
          <w:sz w:val="20"/>
          <w:szCs w:val="20"/>
        </w:rPr>
      </w:pPr>
      <w:r w:rsidRPr="0060598C">
        <w:rPr>
          <w:rFonts w:ascii="Arial" w:hAnsi="Arial" w:cs="Arial"/>
          <w:sz w:val="20"/>
          <w:szCs w:val="20"/>
        </w:rPr>
        <w:tab/>
      </w:r>
    </w:p>
    <w:p w:rsidR="004A5EFE" w:rsidRPr="0060598C" w:rsidRDefault="004A5EFE" w:rsidP="00B06553">
      <w:pPr>
        <w:spacing w:line="240" w:lineRule="auto"/>
        <w:jc w:val="center"/>
        <w:rPr>
          <w:rFonts w:ascii="Arial" w:hAnsi="Arial" w:cs="Arial"/>
          <w:sz w:val="20"/>
          <w:szCs w:val="20"/>
        </w:rPr>
      </w:pPr>
    </w:p>
    <w:p w:rsidR="009223BB" w:rsidRPr="0060598C" w:rsidRDefault="00B06553" w:rsidP="00B06553">
      <w:pPr>
        <w:tabs>
          <w:tab w:val="left" w:pos="4041"/>
        </w:tabs>
        <w:spacing w:line="240" w:lineRule="auto"/>
        <w:rPr>
          <w:rFonts w:ascii="Arial" w:hAnsi="Arial" w:cs="Arial"/>
          <w:b/>
        </w:rPr>
      </w:pPr>
      <w:r w:rsidRPr="0060598C">
        <w:rPr>
          <w:rFonts w:ascii="Arial" w:hAnsi="Arial" w:cs="Arial"/>
          <w:b/>
        </w:rPr>
        <w:tab/>
      </w:r>
    </w:p>
    <w:p w:rsidR="00276A16" w:rsidRPr="0060598C" w:rsidRDefault="00276A16" w:rsidP="004C512A">
      <w:pPr>
        <w:jc w:val="both"/>
        <w:rPr>
          <w:rFonts w:ascii="Times New Roman" w:hAnsi="Times New Roman" w:cs="Times New Roman"/>
          <w:sz w:val="20"/>
          <w:szCs w:val="20"/>
        </w:rPr>
      </w:pPr>
    </w:p>
    <w:p w:rsidR="00276A16" w:rsidRPr="0060598C" w:rsidRDefault="00276A16" w:rsidP="00DF187C">
      <w:pPr>
        <w:spacing w:line="240" w:lineRule="auto"/>
        <w:jc w:val="both"/>
        <w:rPr>
          <w:rFonts w:ascii="Arial" w:hAnsi="Arial" w:cs="Arial"/>
          <w:b/>
          <w:sz w:val="24"/>
          <w:szCs w:val="24"/>
        </w:rPr>
      </w:pPr>
      <w:r w:rsidRPr="0060598C">
        <w:rPr>
          <w:rFonts w:ascii="Arial" w:hAnsi="Arial" w:cs="Arial"/>
          <w:b/>
          <w:sz w:val="24"/>
          <w:szCs w:val="24"/>
        </w:rPr>
        <w:t>ABSTRACT</w:t>
      </w:r>
    </w:p>
    <w:p w:rsidR="00DF187C" w:rsidRPr="0060598C" w:rsidRDefault="00F60F7D" w:rsidP="00DF187C">
      <w:pPr>
        <w:spacing w:before="240" w:line="240" w:lineRule="auto"/>
        <w:jc w:val="both"/>
        <w:rPr>
          <w:rFonts w:ascii="Arial" w:hAnsi="Arial" w:cs="Arial"/>
          <w:sz w:val="20"/>
          <w:szCs w:val="20"/>
        </w:rPr>
      </w:pPr>
      <w:r w:rsidRPr="0060598C">
        <w:rPr>
          <w:rFonts w:ascii="Arial" w:hAnsi="Arial" w:cs="Arial"/>
          <w:b/>
          <w:sz w:val="20"/>
          <w:szCs w:val="20"/>
        </w:rPr>
        <w:t>Background:</w:t>
      </w:r>
      <w:r w:rsidRPr="0060598C">
        <w:rPr>
          <w:rFonts w:ascii="Arial" w:hAnsi="Arial" w:cs="Arial"/>
          <w:sz w:val="20"/>
          <w:szCs w:val="20"/>
        </w:rPr>
        <w:t xml:space="preserve"> </w:t>
      </w:r>
      <w:r w:rsidR="00B91046" w:rsidRPr="0060598C">
        <w:rPr>
          <w:rFonts w:ascii="Arial" w:hAnsi="Arial" w:cs="Arial"/>
          <w:sz w:val="20"/>
          <w:szCs w:val="20"/>
        </w:rPr>
        <w:t xml:space="preserve">The use of oxytocin </w:t>
      </w:r>
      <w:r w:rsidR="004C0E23" w:rsidRPr="0060598C">
        <w:rPr>
          <w:rFonts w:ascii="Arial" w:hAnsi="Arial" w:cs="Arial"/>
          <w:sz w:val="20"/>
          <w:szCs w:val="20"/>
        </w:rPr>
        <w:t>in tropical developing countries for the reduction blood lo</w:t>
      </w:r>
      <w:r w:rsidR="0097392C" w:rsidRPr="0060598C">
        <w:rPr>
          <w:rFonts w:ascii="Arial" w:hAnsi="Arial" w:cs="Arial"/>
          <w:sz w:val="20"/>
          <w:szCs w:val="20"/>
        </w:rPr>
        <w:t>s</w:t>
      </w:r>
      <w:r w:rsidR="005F0B26" w:rsidRPr="0060598C">
        <w:rPr>
          <w:rFonts w:ascii="Arial" w:hAnsi="Arial" w:cs="Arial"/>
          <w:sz w:val="20"/>
          <w:szCs w:val="20"/>
        </w:rPr>
        <w:t xml:space="preserve">s at caesarean section is being </w:t>
      </w:r>
      <w:r w:rsidR="004C0E23" w:rsidRPr="0060598C">
        <w:rPr>
          <w:rFonts w:ascii="Arial" w:hAnsi="Arial" w:cs="Arial"/>
          <w:sz w:val="20"/>
          <w:szCs w:val="20"/>
        </w:rPr>
        <w:t>met with the challenge of ineffectiveness</w:t>
      </w:r>
      <w:r w:rsidR="00B91046" w:rsidRPr="0060598C">
        <w:rPr>
          <w:rFonts w:ascii="Arial" w:hAnsi="Arial" w:cs="Arial"/>
          <w:sz w:val="20"/>
          <w:szCs w:val="20"/>
        </w:rPr>
        <w:t>. This is</w:t>
      </w:r>
      <w:r w:rsidR="004C0E23" w:rsidRPr="0060598C">
        <w:rPr>
          <w:rFonts w:ascii="Arial" w:hAnsi="Arial" w:cs="Arial"/>
          <w:sz w:val="20"/>
          <w:szCs w:val="20"/>
        </w:rPr>
        <w:t xml:space="preserve"> due to poor transportation,</w:t>
      </w:r>
      <w:r w:rsidR="00B91046" w:rsidRPr="0060598C">
        <w:rPr>
          <w:rFonts w:ascii="Arial" w:hAnsi="Arial" w:cs="Arial"/>
          <w:sz w:val="20"/>
          <w:szCs w:val="20"/>
        </w:rPr>
        <w:t xml:space="preserve"> and</w:t>
      </w:r>
      <w:r w:rsidR="004C0E23" w:rsidRPr="0060598C">
        <w:rPr>
          <w:rFonts w:ascii="Arial" w:hAnsi="Arial" w:cs="Arial"/>
          <w:sz w:val="20"/>
          <w:szCs w:val="20"/>
        </w:rPr>
        <w:t xml:space="preserve"> inadequat</w:t>
      </w:r>
      <w:r w:rsidR="00B91046" w:rsidRPr="0060598C">
        <w:rPr>
          <w:rFonts w:ascii="Arial" w:hAnsi="Arial" w:cs="Arial"/>
          <w:sz w:val="20"/>
          <w:szCs w:val="20"/>
        </w:rPr>
        <w:t>e storage.</w:t>
      </w:r>
      <w:r w:rsidR="004C0E23" w:rsidRPr="0060598C">
        <w:rPr>
          <w:rFonts w:ascii="Arial" w:hAnsi="Arial" w:cs="Arial"/>
          <w:sz w:val="20"/>
          <w:szCs w:val="20"/>
        </w:rPr>
        <w:t xml:space="preserve"> Therefore, there is a need for an effective, temperature </w:t>
      </w:r>
      <w:r w:rsidR="00B91046" w:rsidRPr="0060598C">
        <w:rPr>
          <w:rFonts w:ascii="Arial" w:hAnsi="Arial" w:cs="Arial"/>
          <w:sz w:val="20"/>
          <w:szCs w:val="20"/>
        </w:rPr>
        <w:t xml:space="preserve">stable, adjunctive uterotonic </w:t>
      </w:r>
      <w:r w:rsidR="004C0E23" w:rsidRPr="0060598C">
        <w:rPr>
          <w:rFonts w:ascii="Arial" w:hAnsi="Arial" w:cs="Arial"/>
          <w:sz w:val="20"/>
          <w:szCs w:val="20"/>
        </w:rPr>
        <w:t xml:space="preserve">such as misoprostol. </w:t>
      </w:r>
    </w:p>
    <w:p w:rsidR="00DF187C" w:rsidRPr="0060598C" w:rsidRDefault="002D3B8B" w:rsidP="00DF187C">
      <w:pPr>
        <w:spacing w:before="240" w:line="240" w:lineRule="auto"/>
        <w:jc w:val="both"/>
        <w:rPr>
          <w:rFonts w:ascii="Arial" w:hAnsi="Arial" w:cs="Arial"/>
          <w:sz w:val="20"/>
          <w:szCs w:val="20"/>
        </w:rPr>
      </w:pPr>
      <w:r w:rsidRPr="0060598C">
        <w:rPr>
          <w:rFonts w:ascii="Arial" w:hAnsi="Arial" w:cs="Arial"/>
          <w:b/>
          <w:sz w:val="20"/>
          <w:szCs w:val="20"/>
        </w:rPr>
        <w:t>Methodology</w:t>
      </w:r>
      <w:r w:rsidR="00F60F7D" w:rsidRPr="0060598C">
        <w:rPr>
          <w:rFonts w:ascii="Arial" w:hAnsi="Arial" w:cs="Arial"/>
          <w:b/>
          <w:sz w:val="20"/>
          <w:szCs w:val="20"/>
        </w:rPr>
        <w:t>:</w:t>
      </w:r>
      <w:r w:rsidR="00F22A78" w:rsidRPr="0060598C">
        <w:rPr>
          <w:rFonts w:ascii="Arial" w:hAnsi="Arial" w:cs="Arial"/>
          <w:sz w:val="20"/>
          <w:szCs w:val="20"/>
        </w:rPr>
        <w:t xml:space="preserve"> The study </w:t>
      </w:r>
      <w:r w:rsidR="004C0E23" w:rsidRPr="0060598C">
        <w:rPr>
          <w:rFonts w:ascii="Arial" w:hAnsi="Arial" w:cs="Arial"/>
          <w:sz w:val="20"/>
          <w:szCs w:val="20"/>
        </w:rPr>
        <w:t xml:space="preserve">aimed at evaluating </w:t>
      </w:r>
      <w:r w:rsidR="00F22A78" w:rsidRPr="0060598C">
        <w:rPr>
          <w:rFonts w:ascii="Arial" w:hAnsi="Arial" w:cs="Arial"/>
          <w:sz w:val="20"/>
          <w:szCs w:val="20"/>
        </w:rPr>
        <w:t xml:space="preserve">the effectiveness of </w:t>
      </w:r>
      <w:r w:rsidR="004C0E23" w:rsidRPr="0060598C">
        <w:rPr>
          <w:rFonts w:ascii="Arial" w:hAnsi="Arial" w:cs="Arial"/>
          <w:sz w:val="20"/>
          <w:szCs w:val="20"/>
        </w:rPr>
        <w:t>adjunctive sublingual misoprostol in reducing intraoperative blood loss at caesarea</w:t>
      </w:r>
      <w:r w:rsidR="00F42260" w:rsidRPr="0060598C">
        <w:rPr>
          <w:rFonts w:ascii="Arial" w:hAnsi="Arial" w:cs="Arial"/>
          <w:sz w:val="20"/>
          <w:szCs w:val="20"/>
        </w:rPr>
        <w:t>n section. One hundred and fifty</w:t>
      </w:r>
      <w:r w:rsidR="004C0E23" w:rsidRPr="0060598C">
        <w:rPr>
          <w:rFonts w:ascii="Arial" w:hAnsi="Arial" w:cs="Arial"/>
          <w:sz w:val="20"/>
          <w:szCs w:val="20"/>
        </w:rPr>
        <w:t>-two pregnant women at term who had indications for caesarean section and have risk factors for primary</w:t>
      </w:r>
      <w:r w:rsidR="00B91046" w:rsidRPr="0060598C">
        <w:rPr>
          <w:rFonts w:ascii="Arial" w:hAnsi="Arial" w:cs="Arial"/>
          <w:sz w:val="20"/>
          <w:szCs w:val="20"/>
        </w:rPr>
        <w:t xml:space="preserve"> postpartum haemorrhage </w:t>
      </w:r>
      <w:r w:rsidR="004C0E23" w:rsidRPr="0060598C">
        <w:rPr>
          <w:rFonts w:ascii="Arial" w:hAnsi="Arial" w:cs="Arial"/>
          <w:sz w:val="20"/>
          <w:szCs w:val="20"/>
        </w:rPr>
        <w:t>were randomized eq</w:t>
      </w:r>
      <w:r w:rsidR="00F22A78" w:rsidRPr="0060598C">
        <w:rPr>
          <w:rFonts w:ascii="Arial" w:hAnsi="Arial" w:cs="Arial"/>
          <w:sz w:val="20"/>
          <w:szCs w:val="20"/>
        </w:rPr>
        <w:t xml:space="preserve">ually into the </w:t>
      </w:r>
      <w:r w:rsidR="004C0E23" w:rsidRPr="0060598C">
        <w:rPr>
          <w:rFonts w:ascii="Arial" w:hAnsi="Arial" w:cs="Arial"/>
          <w:sz w:val="20"/>
          <w:szCs w:val="20"/>
        </w:rPr>
        <w:t>Misoprostol</w:t>
      </w:r>
      <w:r w:rsidR="0067163E" w:rsidRPr="0060598C">
        <w:rPr>
          <w:rFonts w:ascii="Arial" w:hAnsi="Arial" w:cs="Arial"/>
          <w:sz w:val="20"/>
          <w:szCs w:val="20"/>
        </w:rPr>
        <w:t>-oxytocin</w:t>
      </w:r>
      <w:r w:rsidR="004C0E23" w:rsidRPr="0060598C">
        <w:rPr>
          <w:rFonts w:ascii="Arial" w:hAnsi="Arial" w:cs="Arial"/>
          <w:sz w:val="20"/>
          <w:szCs w:val="20"/>
        </w:rPr>
        <w:t xml:space="preserve"> </w:t>
      </w:r>
      <w:r w:rsidR="00F22A78" w:rsidRPr="0060598C">
        <w:rPr>
          <w:rFonts w:ascii="Arial" w:hAnsi="Arial" w:cs="Arial"/>
          <w:sz w:val="20"/>
          <w:szCs w:val="20"/>
        </w:rPr>
        <w:t>study arm and Placebo</w:t>
      </w:r>
      <w:r w:rsidR="0067163E" w:rsidRPr="0060598C">
        <w:rPr>
          <w:rFonts w:ascii="Arial" w:hAnsi="Arial" w:cs="Arial"/>
          <w:sz w:val="20"/>
          <w:szCs w:val="20"/>
        </w:rPr>
        <w:t>-oxytocin</w:t>
      </w:r>
      <w:r w:rsidR="00F22A78" w:rsidRPr="0060598C">
        <w:rPr>
          <w:rFonts w:ascii="Arial" w:hAnsi="Arial" w:cs="Arial"/>
          <w:sz w:val="20"/>
          <w:szCs w:val="20"/>
        </w:rPr>
        <w:t xml:space="preserve"> study arm</w:t>
      </w:r>
      <w:r w:rsidR="004C0E23" w:rsidRPr="0060598C">
        <w:rPr>
          <w:rFonts w:ascii="Arial" w:hAnsi="Arial" w:cs="Arial"/>
          <w:sz w:val="20"/>
          <w:szCs w:val="20"/>
        </w:rPr>
        <w:t>. The Misoprostol</w:t>
      </w:r>
      <w:r w:rsidR="00361FEE" w:rsidRPr="0060598C">
        <w:rPr>
          <w:rFonts w:ascii="Arial" w:hAnsi="Arial" w:cs="Arial"/>
          <w:sz w:val="20"/>
          <w:szCs w:val="20"/>
        </w:rPr>
        <w:t>-oxytocin</w:t>
      </w:r>
      <w:r w:rsidR="004C0E23" w:rsidRPr="0060598C">
        <w:rPr>
          <w:rFonts w:ascii="Arial" w:hAnsi="Arial" w:cs="Arial"/>
          <w:sz w:val="20"/>
          <w:szCs w:val="20"/>
        </w:rPr>
        <w:t xml:space="preserve"> study group received 40</w:t>
      </w:r>
      <w:r w:rsidR="00F22A78" w:rsidRPr="0060598C">
        <w:rPr>
          <w:rFonts w:ascii="Arial" w:hAnsi="Arial" w:cs="Arial"/>
          <w:sz w:val="20"/>
          <w:szCs w:val="20"/>
        </w:rPr>
        <w:t>0-ug of sublingual misoprostol.</w:t>
      </w:r>
      <w:r w:rsidR="004C0E23" w:rsidRPr="0060598C">
        <w:rPr>
          <w:rFonts w:ascii="Arial" w:hAnsi="Arial" w:cs="Arial"/>
          <w:sz w:val="20"/>
          <w:szCs w:val="20"/>
        </w:rPr>
        <w:t xml:space="preserve"> Both study arms received </w:t>
      </w:r>
      <w:r w:rsidR="0097392C" w:rsidRPr="0060598C">
        <w:rPr>
          <w:rFonts w:ascii="Arial" w:hAnsi="Arial" w:cs="Arial"/>
          <w:sz w:val="20"/>
          <w:szCs w:val="20"/>
        </w:rPr>
        <w:t xml:space="preserve">30 IU </w:t>
      </w:r>
      <w:r w:rsidR="004C0E23" w:rsidRPr="0060598C">
        <w:rPr>
          <w:rFonts w:ascii="Arial" w:hAnsi="Arial" w:cs="Arial"/>
          <w:sz w:val="20"/>
          <w:szCs w:val="20"/>
        </w:rPr>
        <w:t>intravenous oxytocin. The main outcome measure was the estimated intrao</w:t>
      </w:r>
      <w:r w:rsidR="00F22A78" w:rsidRPr="0060598C">
        <w:rPr>
          <w:rFonts w:ascii="Arial" w:hAnsi="Arial" w:cs="Arial"/>
          <w:sz w:val="20"/>
          <w:szCs w:val="20"/>
        </w:rPr>
        <w:t>perative blood loss.</w:t>
      </w:r>
      <w:r w:rsidR="00B67D25" w:rsidRPr="0060598C">
        <w:rPr>
          <w:rFonts w:ascii="Arial" w:hAnsi="Arial" w:cs="Arial"/>
          <w:sz w:val="20"/>
          <w:szCs w:val="20"/>
        </w:rPr>
        <w:t xml:space="preserve"> A </w:t>
      </w:r>
      <w:r w:rsidR="00B67D25" w:rsidRPr="0060598C">
        <w:rPr>
          <w:rFonts w:ascii="Arial" w:hAnsi="Arial" w:cs="Arial"/>
          <w:i/>
          <w:sz w:val="20"/>
          <w:szCs w:val="20"/>
        </w:rPr>
        <w:t>P</w:t>
      </w:r>
      <w:r w:rsidR="004C0E23" w:rsidRPr="0060598C">
        <w:rPr>
          <w:rFonts w:ascii="Arial" w:hAnsi="Arial" w:cs="Arial"/>
          <w:i/>
          <w:sz w:val="20"/>
          <w:szCs w:val="20"/>
        </w:rPr>
        <w:t>-</w:t>
      </w:r>
      <w:r w:rsidR="004C0E23" w:rsidRPr="0060598C">
        <w:rPr>
          <w:rFonts w:ascii="Arial" w:hAnsi="Arial" w:cs="Arial"/>
          <w:sz w:val="20"/>
          <w:szCs w:val="20"/>
        </w:rPr>
        <w:t>value &lt;</w:t>
      </w:r>
      <w:r w:rsidR="00B67D25" w:rsidRPr="0060598C">
        <w:rPr>
          <w:rFonts w:ascii="Arial" w:hAnsi="Arial" w:cs="Arial"/>
          <w:sz w:val="20"/>
          <w:szCs w:val="20"/>
        </w:rPr>
        <w:t xml:space="preserve"> </w:t>
      </w:r>
      <w:r w:rsidR="004C0E23" w:rsidRPr="0060598C">
        <w:rPr>
          <w:rFonts w:ascii="Arial" w:hAnsi="Arial" w:cs="Arial"/>
          <w:sz w:val="20"/>
          <w:szCs w:val="20"/>
        </w:rPr>
        <w:t xml:space="preserve">.05 was considered statistically significant. </w:t>
      </w:r>
    </w:p>
    <w:p w:rsidR="00DF187C" w:rsidRPr="0060598C" w:rsidRDefault="00DF187C" w:rsidP="005163C8">
      <w:pPr>
        <w:spacing w:line="240" w:lineRule="auto"/>
        <w:jc w:val="both"/>
        <w:rPr>
          <w:rFonts w:ascii="Arial" w:hAnsi="Arial" w:cs="Arial"/>
          <w:sz w:val="20"/>
          <w:szCs w:val="20"/>
        </w:rPr>
      </w:pPr>
      <w:r w:rsidRPr="0060598C">
        <w:rPr>
          <w:rFonts w:ascii="Arial" w:hAnsi="Arial" w:cs="Arial"/>
          <w:b/>
          <w:sz w:val="20"/>
          <w:szCs w:val="20"/>
        </w:rPr>
        <w:t>Results:</w:t>
      </w:r>
      <w:r w:rsidRPr="0060598C">
        <w:rPr>
          <w:rFonts w:ascii="Arial" w:hAnsi="Arial" w:cs="Arial"/>
          <w:sz w:val="20"/>
          <w:szCs w:val="20"/>
        </w:rPr>
        <w:t xml:space="preserve"> </w:t>
      </w:r>
      <w:r w:rsidR="005163C8" w:rsidRPr="0060598C">
        <w:rPr>
          <w:rFonts w:ascii="Arial" w:hAnsi="Arial" w:cs="Arial"/>
          <w:sz w:val="20"/>
          <w:szCs w:val="20"/>
        </w:rPr>
        <w:t>T</w:t>
      </w:r>
      <w:r w:rsidR="00F22A78" w:rsidRPr="0060598C">
        <w:rPr>
          <w:rFonts w:ascii="Arial" w:hAnsi="Arial" w:cs="Arial"/>
          <w:sz w:val="20"/>
          <w:szCs w:val="20"/>
        </w:rPr>
        <w:t xml:space="preserve">he </w:t>
      </w:r>
      <w:r w:rsidR="005163C8" w:rsidRPr="0060598C">
        <w:rPr>
          <w:rFonts w:ascii="Arial" w:hAnsi="Arial" w:cs="Arial"/>
          <w:sz w:val="20"/>
          <w:szCs w:val="20"/>
        </w:rPr>
        <w:t>blood loss at abdominal birth, was lower in the misoprostol</w:t>
      </w:r>
      <w:r w:rsidR="00361FEE" w:rsidRPr="0060598C">
        <w:rPr>
          <w:rFonts w:ascii="Arial" w:hAnsi="Arial" w:cs="Arial"/>
          <w:sz w:val="20"/>
          <w:szCs w:val="20"/>
        </w:rPr>
        <w:t>-oxytocin</w:t>
      </w:r>
      <w:r w:rsidR="005163C8" w:rsidRPr="0060598C">
        <w:rPr>
          <w:rFonts w:ascii="Arial" w:hAnsi="Arial" w:cs="Arial"/>
          <w:sz w:val="20"/>
          <w:szCs w:val="20"/>
        </w:rPr>
        <w:t xml:space="preserve"> study group when compared to the placebo</w:t>
      </w:r>
      <w:r w:rsidR="00361FEE" w:rsidRPr="0060598C">
        <w:rPr>
          <w:rFonts w:ascii="Arial" w:hAnsi="Arial" w:cs="Arial"/>
          <w:sz w:val="20"/>
          <w:szCs w:val="20"/>
        </w:rPr>
        <w:t>-oxytocin</w:t>
      </w:r>
      <w:r w:rsidR="005163C8" w:rsidRPr="0060598C">
        <w:rPr>
          <w:rFonts w:ascii="Arial" w:hAnsi="Arial" w:cs="Arial"/>
          <w:sz w:val="20"/>
          <w:szCs w:val="20"/>
        </w:rPr>
        <w:t xml:space="preserve"> study group (664.0 ± 285.2 ml vs 677.9 ± 430.3 ml), but this was not statistically significan</w:t>
      </w:r>
      <w:r w:rsidR="00B67D25" w:rsidRPr="0060598C">
        <w:rPr>
          <w:rFonts w:ascii="Arial" w:hAnsi="Arial" w:cs="Arial"/>
          <w:sz w:val="20"/>
          <w:szCs w:val="20"/>
        </w:rPr>
        <w:t>t (</w:t>
      </w:r>
      <w:r w:rsidR="00B67D25" w:rsidRPr="0060598C">
        <w:rPr>
          <w:rFonts w:ascii="Arial" w:hAnsi="Arial" w:cs="Arial"/>
          <w:i/>
          <w:sz w:val="20"/>
          <w:szCs w:val="20"/>
        </w:rPr>
        <w:t>P</w:t>
      </w:r>
      <w:r w:rsidR="005163C8" w:rsidRPr="0060598C">
        <w:rPr>
          <w:rFonts w:ascii="Arial" w:hAnsi="Arial" w:cs="Arial"/>
          <w:i/>
          <w:sz w:val="20"/>
          <w:szCs w:val="20"/>
        </w:rPr>
        <w:t xml:space="preserve"> </w:t>
      </w:r>
      <w:r w:rsidR="00B67D25" w:rsidRPr="0060598C">
        <w:rPr>
          <w:rFonts w:ascii="Arial" w:hAnsi="Arial" w:cs="Arial"/>
          <w:sz w:val="20"/>
          <w:szCs w:val="20"/>
        </w:rPr>
        <w:t>= .80</w:t>
      </w:r>
      <w:r w:rsidR="005163C8" w:rsidRPr="0060598C">
        <w:rPr>
          <w:rFonts w:ascii="Arial" w:hAnsi="Arial" w:cs="Arial"/>
          <w:sz w:val="20"/>
          <w:szCs w:val="20"/>
        </w:rPr>
        <w:t>). The</w:t>
      </w:r>
      <w:r w:rsidR="00AE1C7A" w:rsidRPr="0060598C">
        <w:rPr>
          <w:rFonts w:ascii="Arial" w:hAnsi="Arial" w:cs="Arial"/>
          <w:sz w:val="20"/>
          <w:szCs w:val="20"/>
        </w:rPr>
        <w:t xml:space="preserve"> </w:t>
      </w:r>
      <w:r w:rsidR="005163C8" w:rsidRPr="0060598C">
        <w:rPr>
          <w:rFonts w:ascii="Arial" w:hAnsi="Arial" w:cs="Arial"/>
          <w:sz w:val="20"/>
          <w:szCs w:val="20"/>
        </w:rPr>
        <w:t>reduction in the packed cell volume</w:t>
      </w:r>
      <w:r w:rsidR="00AE1C7A" w:rsidRPr="0060598C">
        <w:rPr>
          <w:rFonts w:ascii="Arial" w:hAnsi="Arial" w:cs="Arial"/>
          <w:sz w:val="20"/>
          <w:szCs w:val="20"/>
        </w:rPr>
        <w:t xml:space="preserve"> after caesarean birth</w:t>
      </w:r>
      <w:r w:rsidR="005163C8" w:rsidRPr="0060598C">
        <w:rPr>
          <w:rFonts w:ascii="Arial" w:hAnsi="Arial" w:cs="Arial"/>
          <w:sz w:val="20"/>
          <w:szCs w:val="20"/>
        </w:rPr>
        <w:t xml:space="preserve"> in the misoprostol</w:t>
      </w:r>
      <w:r w:rsidR="00361FEE" w:rsidRPr="0060598C">
        <w:rPr>
          <w:rFonts w:ascii="Arial" w:hAnsi="Arial" w:cs="Arial"/>
          <w:sz w:val="20"/>
          <w:szCs w:val="20"/>
        </w:rPr>
        <w:t>-oxytocin</w:t>
      </w:r>
      <w:r w:rsidR="005163C8" w:rsidRPr="0060598C">
        <w:rPr>
          <w:rFonts w:ascii="Arial" w:hAnsi="Arial" w:cs="Arial"/>
          <w:sz w:val="20"/>
          <w:szCs w:val="20"/>
        </w:rPr>
        <w:t xml:space="preserve"> trial arm</w:t>
      </w:r>
      <w:r w:rsidR="00AE1C7A" w:rsidRPr="0060598C">
        <w:rPr>
          <w:rFonts w:ascii="Arial" w:hAnsi="Arial" w:cs="Arial"/>
          <w:sz w:val="20"/>
          <w:szCs w:val="20"/>
        </w:rPr>
        <w:t xml:space="preserve"> of the study was lesser</w:t>
      </w:r>
      <w:r w:rsidR="005163C8" w:rsidRPr="0060598C">
        <w:rPr>
          <w:rFonts w:ascii="Arial" w:hAnsi="Arial" w:cs="Arial"/>
          <w:sz w:val="20"/>
          <w:szCs w:val="20"/>
        </w:rPr>
        <w:t xml:space="preserve"> than that obtained in the placebo</w:t>
      </w:r>
      <w:r w:rsidR="00361FEE" w:rsidRPr="0060598C">
        <w:rPr>
          <w:rFonts w:ascii="Arial" w:hAnsi="Arial" w:cs="Arial"/>
          <w:sz w:val="20"/>
          <w:szCs w:val="20"/>
        </w:rPr>
        <w:t>-oxytocin</w:t>
      </w:r>
      <w:r w:rsidR="00B91046" w:rsidRPr="0060598C">
        <w:rPr>
          <w:rFonts w:ascii="Arial" w:hAnsi="Arial" w:cs="Arial"/>
          <w:sz w:val="20"/>
          <w:szCs w:val="20"/>
        </w:rPr>
        <w:t xml:space="preserve"> study group. This </w:t>
      </w:r>
      <w:r w:rsidR="005163C8" w:rsidRPr="0060598C">
        <w:rPr>
          <w:rFonts w:ascii="Arial" w:hAnsi="Arial" w:cs="Arial"/>
          <w:sz w:val="20"/>
          <w:szCs w:val="20"/>
        </w:rPr>
        <w:t>w</w:t>
      </w:r>
      <w:r w:rsidR="00B67D25" w:rsidRPr="0060598C">
        <w:rPr>
          <w:rFonts w:ascii="Arial" w:hAnsi="Arial" w:cs="Arial"/>
          <w:sz w:val="20"/>
          <w:szCs w:val="20"/>
        </w:rPr>
        <w:t xml:space="preserve">as </w:t>
      </w:r>
      <w:r w:rsidR="00B91046" w:rsidRPr="0060598C">
        <w:rPr>
          <w:rFonts w:ascii="Arial" w:hAnsi="Arial" w:cs="Arial"/>
          <w:sz w:val="20"/>
          <w:szCs w:val="20"/>
        </w:rPr>
        <w:t xml:space="preserve">also </w:t>
      </w:r>
      <w:r w:rsidR="00B67D25" w:rsidRPr="0060598C">
        <w:rPr>
          <w:rFonts w:ascii="Arial" w:hAnsi="Arial" w:cs="Arial"/>
          <w:sz w:val="20"/>
          <w:szCs w:val="20"/>
        </w:rPr>
        <w:t>not statistically significant</w:t>
      </w:r>
      <w:r w:rsidR="005163C8" w:rsidRPr="0060598C">
        <w:rPr>
          <w:rFonts w:ascii="Arial" w:hAnsi="Arial" w:cs="Arial"/>
          <w:sz w:val="20"/>
          <w:szCs w:val="20"/>
        </w:rPr>
        <w:t>, (3.8± 2.9 vs 4.4 ±</w:t>
      </w:r>
      <w:r w:rsidR="00B67D25" w:rsidRPr="0060598C">
        <w:rPr>
          <w:rFonts w:ascii="Arial" w:hAnsi="Arial" w:cs="Arial"/>
          <w:sz w:val="20"/>
          <w:szCs w:val="20"/>
        </w:rPr>
        <w:t xml:space="preserve"> 3.1, </w:t>
      </w:r>
      <w:r w:rsidR="00B67D25" w:rsidRPr="0060598C">
        <w:rPr>
          <w:rFonts w:ascii="Arial" w:hAnsi="Arial" w:cs="Arial"/>
          <w:i/>
          <w:sz w:val="20"/>
          <w:szCs w:val="20"/>
        </w:rPr>
        <w:t>P</w:t>
      </w:r>
      <w:r w:rsidR="00B67D25" w:rsidRPr="0060598C">
        <w:rPr>
          <w:rFonts w:ascii="Arial" w:hAnsi="Arial" w:cs="Arial"/>
          <w:sz w:val="20"/>
          <w:szCs w:val="20"/>
        </w:rPr>
        <w:t xml:space="preserve"> = .18</w:t>
      </w:r>
      <w:r w:rsidR="005163C8" w:rsidRPr="0060598C">
        <w:rPr>
          <w:rFonts w:ascii="Arial" w:hAnsi="Arial" w:cs="Arial"/>
          <w:sz w:val="20"/>
          <w:szCs w:val="20"/>
        </w:rPr>
        <w:t>).</w:t>
      </w:r>
    </w:p>
    <w:p w:rsidR="00D57E38" w:rsidRPr="0060598C" w:rsidRDefault="00DF187C" w:rsidP="00361FEE">
      <w:pPr>
        <w:spacing w:line="240" w:lineRule="auto"/>
        <w:jc w:val="both"/>
        <w:rPr>
          <w:rFonts w:ascii="Arial" w:hAnsi="Arial" w:cs="Arial"/>
          <w:sz w:val="20"/>
          <w:szCs w:val="20"/>
        </w:rPr>
      </w:pPr>
      <w:r w:rsidRPr="0060598C">
        <w:rPr>
          <w:rFonts w:ascii="Arial" w:hAnsi="Arial" w:cs="Arial"/>
          <w:b/>
          <w:sz w:val="20"/>
          <w:szCs w:val="20"/>
        </w:rPr>
        <w:t>Conclusion:</w:t>
      </w:r>
      <w:r w:rsidRPr="0060598C">
        <w:rPr>
          <w:rFonts w:ascii="Arial" w:hAnsi="Arial" w:cs="Arial"/>
          <w:sz w:val="20"/>
          <w:szCs w:val="20"/>
        </w:rPr>
        <w:t xml:space="preserve"> </w:t>
      </w:r>
      <w:r w:rsidR="00361FEE" w:rsidRPr="0060598C">
        <w:rPr>
          <w:rFonts w:ascii="Arial" w:hAnsi="Arial" w:cs="Arial"/>
          <w:sz w:val="20"/>
          <w:szCs w:val="20"/>
        </w:rPr>
        <w:t>Sublingually administered adjunctive misoprostol at a dose of 400 ug did not considerably reduce caesarean section bleeding. It also did not appreciably lessen the drop in postoperative packed cell volume. However, it still has a place in reducing blood loss following caesarean birth in parturients with additional risk factors for postpartum haemorrhage.</w:t>
      </w:r>
    </w:p>
    <w:p w:rsidR="00DF187C" w:rsidRPr="0060598C" w:rsidRDefault="00DF187C" w:rsidP="002E2CDA">
      <w:pPr>
        <w:tabs>
          <w:tab w:val="left" w:pos="720"/>
          <w:tab w:val="left" w:pos="1440"/>
          <w:tab w:val="left" w:pos="2160"/>
          <w:tab w:val="left" w:pos="2880"/>
          <w:tab w:val="left" w:pos="3600"/>
          <w:tab w:val="left" w:pos="4320"/>
          <w:tab w:val="left" w:pos="5040"/>
          <w:tab w:val="left" w:pos="5760"/>
          <w:tab w:val="left" w:pos="6480"/>
          <w:tab w:val="left" w:pos="6894"/>
        </w:tabs>
        <w:spacing w:before="240" w:line="240" w:lineRule="auto"/>
        <w:jc w:val="both"/>
        <w:rPr>
          <w:rFonts w:ascii="Arial" w:hAnsi="Arial" w:cs="Arial"/>
          <w:sz w:val="20"/>
          <w:szCs w:val="20"/>
        </w:rPr>
      </w:pPr>
      <w:r w:rsidRPr="0060598C">
        <w:rPr>
          <w:rFonts w:ascii="Arial" w:hAnsi="Arial" w:cs="Arial"/>
          <w:i/>
          <w:sz w:val="20"/>
          <w:szCs w:val="20"/>
        </w:rPr>
        <w:t xml:space="preserve">Keywords: </w:t>
      </w:r>
      <w:r w:rsidR="0046411A" w:rsidRPr="0060598C">
        <w:rPr>
          <w:rFonts w:ascii="Arial" w:hAnsi="Arial" w:cs="Arial"/>
          <w:i/>
          <w:sz w:val="20"/>
          <w:szCs w:val="20"/>
        </w:rPr>
        <w:t>Caesarean, haemorrhage, misoprostol, oxytocin</w:t>
      </w:r>
      <w:r w:rsidR="0046411A" w:rsidRPr="0060598C">
        <w:rPr>
          <w:rFonts w:ascii="Arial" w:hAnsi="Arial" w:cs="Arial"/>
          <w:sz w:val="20"/>
          <w:szCs w:val="20"/>
        </w:rPr>
        <w:t>.</w:t>
      </w:r>
      <w:r w:rsidR="00D57E38" w:rsidRPr="0060598C">
        <w:rPr>
          <w:rFonts w:ascii="Arial" w:hAnsi="Arial" w:cs="Arial"/>
          <w:sz w:val="20"/>
          <w:szCs w:val="20"/>
        </w:rPr>
        <w:tab/>
      </w:r>
    </w:p>
    <w:p w:rsidR="00B06553" w:rsidRPr="0060598C" w:rsidRDefault="00B06553" w:rsidP="002E2CDA">
      <w:pPr>
        <w:tabs>
          <w:tab w:val="left" w:pos="720"/>
          <w:tab w:val="left" w:pos="1440"/>
          <w:tab w:val="left" w:pos="2160"/>
          <w:tab w:val="left" w:pos="2880"/>
          <w:tab w:val="left" w:pos="3600"/>
          <w:tab w:val="left" w:pos="4320"/>
          <w:tab w:val="left" w:pos="5040"/>
          <w:tab w:val="left" w:pos="5760"/>
          <w:tab w:val="left" w:pos="6480"/>
          <w:tab w:val="left" w:pos="6894"/>
        </w:tabs>
        <w:spacing w:before="240" w:line="240" w:lineRule="auto"/>
        <w:jc w:val="both"/>
        <w:rPr>
          <w:rFonts w:ascii="Arial" w:hAnsi="Arial" w:cs="Arial"/>
          <w:sz w:val="20"/>
          <w:szCs w:val="20"/>
        </w:rPr>
      </w:pPr>
    </w:p>
    <w:p w:rsidR="00276A16" w:rsidRPr="0060598C" w:rsidRDefault="00567193" w:rsidP="00F22A78">
      <w:pPr>
        <w:tabs>
          <w:tab w:val="left" w:pos="3719"/>
          <w:tab w:val="center" w:pos="4680"/>
          <w:tab w:val="left" w:pos="5091"/>
          <w:tab w:val="left" w:pos="6009"/>
        </w:tabs>
        <w:spacing w:line="240" w:lineRule="auto"/>
        <w:rPr>
          <w:rFonts w:ascii="Arial" w:hAnsi="Arial" w:cs="Arial"/>
        </w:rPr>
      </w:pPr>
      <w:r w:rsidRPr="0060598C">
        <w:rPr>
          <w:rFonts w:ascii="Arial" w:hAnsi="Arial" w:cs="Arial"/>
          <w:b/>
        </w:rPr>
        <w:t xml:space="preserve">1. </w:t>
      </w:r>
      <w:r w:rsidR="00276A16" w:rsidRPr="0060598C">
        <w:rPr>
          <w:rFonts w:ascii="Arial" w:hAnsi="Arial" w:cs="Arial"/>
          <w:b/>
        </w:rPr>
        <w:t>INTRODUCTION</w:t>
      </w:r>
      <w:r w:rsidR="00F22A78" w:rsidRPr="0060598C">
        <w:rPr>
          <w:rFonts w:ascii="Arial" w:hAnsi="Arial" w:cs="Arial"/>
          <w:b/>
        </w:rPr>
        <w:tab/>
      </w:r>
      <w:r w:rsidR="00F22A78" w:rsidRPr="0060598C">
        <w:rPr>
          <w:rFonts w:ascii="Arial" w:hAnsi="Arial" w:cs="Arial"/>
          <w:b/>
        </w:rPr>
        <w:tab/>
      </w:r>
      <w:r w:rsidR="00F22A78" w:rsidRPr="0060598C">
        <w:rPr>
          <w:rFonts w:ascii="Arial" w:hAnsi="Arial" w:cs="Arial"/>
          <w:b/>
        </w:rPr>
        <w:tab/>
      </w:r>
      <w:r w:rsidR="00F22A78" w:rsidRPr="0060598C">
        <w:rPr>
          <w:rFonts w:ascii="Arial" w:hAnsi="Arial" w:cs="Arial"/>
          <w:b/>
        </w:rPr>
        <w:tab/>
      </w:r>
    </w:p>
    <w:p w:rsidR="00502FBE" w:rsidRPr="0060598C" w:rsidRDefault="00276A16" w:rsidP="00502FBE">
      <w:pPr>
        <w:spacing w:line="480" w:lineRule="auto"/>
        <w:jc w:val="both"/>
        <w:rPr>
          <w:rFonts w:ascii="Arial" w:hAnsi="Arial" w:cs="Arial"/>
          <w:sz w:val="20"/>
          <w:szCs w:val="20"/>
        </w:rPr>
      </w:pPr>
      <w:r w:rsidRPr="0060598C">
        <w:rPr>
          <w:rFonts w:ascii="Arial" w:hAnsi="Arial" w:cs="Arial"/>
          <w:sz w:val="20"/>
          <w:szCs w:val="20"/>
        </w:rPr>
        <w:t>Postpartum haemorrhage is the foremost cause of maternal morbidity and mo</w:t>
      </w:r>
      <w:r w:rsidR="00BE0657" w:rsidRPr="0060598C">
        <w:rPr>
          <w:rFonts w:ascii="Arial" w:hAnsi="Arial" w:cs="Arial"/>
          <w:sz w:val="20"/>
          <w:szCs w:val="20"/>
        </w:rPr>
        <w:t xml:space="preserve">rtality in developing countries, </w:t>
      </w:r>
      <w:r w:rsidRPr="0060598C">
        <w:rPr>
          <w:rFonts w:ascii="Arial" w:hAnsi="Arial" w:cs="Arial"/>
          <w:sz w:val="20"/>
          <w:szCs w:val="20"/>
        </w:rPr>
        <w:t>especially in the Sub-Saharan Africa</w:t>
      </w:r>
      <w:r w:rsidR="00FF275A" w:rsidRPr="0060598C">
        <w:rPr>
          <w:rFonts w:ascii="Arial" w:hAnsi="Arial" w:cs="Arial"/>
          <w:sz w:val="20"/>
          <w:szCs w:val="20"/>
        </w:rPr>
        <w:t xml:space="preserve"> (</w:t>
      </w:r>
      <w:proofErr w:type="spellStart"/>
      <w:r w:rsidR="00FF275A" w:rsidRPr="0060598C">
        <w:rPr>
          <w:rFonts w:ascii="Arial" w:hAnsi="Arial" w:cs="Arial"/>
          <w:sz w:val="20"/>
          <w:szCs w:val="20"/>
        </w:rPr>
        <w:t>Tunclap</w:t>
      </w:r>
      <w:proofErr w:type="spellEnd"/>
      <w:r w:rsidR="00FF275A" w:rsidRPr="0060598C">
        <w:rPr>
          <w:rFonts w:ascii="Arial" w:hAnsi="Arial" w:cs="Arial"/>
          <w:sz w:val="20"/>
          <w:szCs w:val="20"/>
        </w:rPr>
        <w:t xml:space="preserve"> et al</w:t>
      </w:r>
      <w:r w:rsidR="00E43625" w:rsidRPr="0060598C">
        <w:rPr>
          <w:rFonts w:ascii="Arial" w:hAnsi="Arial" w:cs="Arial"/>
          <w:sz w:val="20"/>
          <w:szCs w:val="20"/>
        </w:rPr>
        <w:t>.</w:t>
      </w:r>
      <w:r w:rsidR="00FF275A" w:rsidRPr="0060598C">
        <w:rPr>
          <w:rFonts w:ascii="Arial" w:hAnsi="Arial" w:cs="Arial"/>
          <w:sz w:val="20"/>
          <w:szCs w:val="20"/>
        </w:rPr>
        <w:t>; 2015)</w:t>
      </w:r>
      <w:r w:rsidRPr="0060598C">
        <w:rPr>
          <w:rFonts w:ascii="Arial" w:hAnsi="Arial" w:cs="Arial"/>
          <w:sz w:val="20"/>
          <w:szCs w:val="20"/>
        </w:rPr>
        <w:t xml:space="preserve">. </w:t>
      </w:r>
      <w:r w:rsidR="00502FBE" w:rsidRPr="0060598C">
        <w:rPr>
          <w:rFonts w:ascii="Arial" w:hAnsi="Arial" w:cs="Arial"/>
          <w:sz w:val="20"/>
          <w:szCs w:val="20"/>
        </w:rPr>
        <w:t>Twenty-five to thirty percent of maternal deaths globally results from this condition, and greater than 90 % of the deaths occurs in resourc</w:t>
      </w:r>
      <w:r w:rsidR="00BE0657" w:rsidRPr="0060598C">
        <w:rPr>
          <w:rFonts w:ascii="Arial" w:hAnsi="Arial" w:cs="Arial"/>
          <w:sz w:val="20"/>
          <w:szCs w:val="20"/>
        </w:rPr>
        <w:t>e poor setting</w:t>
      </w:r>
      <w:r w:rsidR="00502FBE" w:rsidRPr="0060598C">
        <w:rPr>
          <w:rFonts w:ascii="Arial" w:hAnsi="Arial" w:cs="Arial"/>
          <w:sz w:val="20"/>
          <w:szCs w:val="20"/>
        </w:rPr>
        <w:t>. It complicates an average of 10 % of deliveries globally</w:t>
      </w:r>
      <w:r w:rsidR="001C3A5C" w:rsidRPr="0060598C">
        <w:rPr>
          <w:rFonts w:ascii="Arial" w:hAnsi="Arial" w:cs="Arial"/>
          <w:sz w:val="20"/>
          <w:szCs w:val="20"/>
        </w:rPr>
        <w:t xml:space="preserve"> (</w:t>
      </w:r>
      <w:proofErr w:type="spellStart"/>
      <w:r w:rsidR="001C3A5C" w:rsidRPr="0060598C">
        <w:rPr>
          <w:rFonts w:ascii="Arial" w:hAnsi="Arial" w:cs="Arial"/>
          <w:sz w:val="20"/>
          <w:szCs w:val="20"/>
        </w:rPr>
        <w:t>Nwizu</w:t>
      </w:r>
      <w:proofErr w:type="spellEnd"/>
      <w:r w:rsidR="001C3A5C" w:rsidRPr="0060598C">
        <w:rPr>
          <w:rFonts w:ascii="Arial" w:hAnsi="Arial" w:cs="Arial"/>
          <w:sz w:val="20"/>
          <w:szCs w:val="20"/>
        </w:rPr>
        <w:t xml:space="preserve"> &amp; </w:t>
      </w:r>
      <w:proofErr w:type="spellStart"/>
      <w:r w:rsidR="001C3A5C" w:rsidRPr="0060598C">
        <w:rPr>
          <w:rFonts w:ascii="Arial" w:hAnsi="Arial" w:cs="Arial"/>
          <w:sz w:val="20"/>
          <w:szCs w:val="20"/>
        </w:rPr>
        <w:t>Okoroafor</w:t>
      </w:r>
      <w:proofErr w:type="spellEnd"/>
      <w:r w:rsidR="001C3A5C" w:rsidRPr="0060598C">
        <w:rPr>
          <w:rFonts w:ascii="Arial" w:hAnsi="Arial" w:cs="Arial"/>
          <w:sz w:val="20"/>
          <w:szCs w:val="20"/>
        </w:rPr>
        <w:t>, 2017)</w:t>
      </w:r>
      <w:r w:rsidR="00502FBE" w:rsidRPr="0060598C">
        <w:rPr>
          <w:rFonts w:ascii="Arial" w:hAnsi="Arial" w:cs="Arial"/>
          <w:sz w:val="20"/>
          <w:szCs w:val="20"/>
        </w:rPr>
        <w:t xml:space="preserve">. </w:t>
      </w:r>
    </w:p>
    <w:p w:rsidR="008233A4" w:rsidRPr="0060598C" w:rsidRDefault="008233A4" w:rsidP="008233A4">
      <w:pPr>
        <w:spacing w:line="480" w:lineRule="auto"/>
        <w:jc w:val="both"/>
        <w:rPr>
          <w:rFonts w:ascii="Arial" w:hAnsi="Arial" w:cs="Arial"/>
          <w:sz w:val="20"/>
          <w:szCs w:val="20"/>
        </w:rPr>
      </w:pPr>
      <w:r w:rsidRPr="0060598C">
        <w:rPr>
          <w:rFonts w:ascii="Arial" w:hAnsi="Arial" w:cs="Arial"/>
          <w:sz w:val="20"/>
          <w:szCs w:val="20"/>
        </w:rPr>
        <w:t>Postpartum haemor</w:t>
      </w:r>
      <w:r w:rsidR="00BE0657" w:rsidRPr="0060598C">
        <w:rPr>
          <w:rFonts w:ascii="Arial" w:hAnsi="Arial" w:cs="Arial"/>
          <w:sz w:val="20"/>
          <w:szCs w:val="20"/>
        </w:rPr>
        <w:t>rhage rate is increasing globally. T</w:t>
      </w:r>
      <w:r w:rsidRPr="0060598C">
        <w:rPr>
          <w:rFonts w:ascii="Arial" w:hAnsi="Arial" w:cs="Arial"/>
          <w:sz w:val="20"/>
          <w:szCs w:val="20"/>
        </w:rPr>
        <w:t>his is also seen in developing countries (</w:t>
      </w:r>
      <w:proofErr w:type="spellStart"/>
      <w:r w:rsidRPr="0060598C">
        <w:rPr>
          <w:rFonts w:ascii="Arial" w:hAnsi="Arial" w:cs="Arial"/>
          <w:sz w:val="20"/>
          <w:szCs w:val="20"/>
        </w:rPr>
        <w:t>Maswine</w:t>
      </w:r>
      <w:proofErr w:type="spellEnd"/>
      <w:r w:rsidRPr="0060598C">
        <w:rPr>
          <w:rFonts w:ascii="Arial" w:hAnsi="Arial" w:cs="Arial"/>
          <w:sz w:val="20"/>
          <w:szCs w:val="20"/>
        </w:rPr>
        <w:t xml:space="preserve"> &amp; </w:t>
      </w:r>
      <w:proofErr w:type="spellStart"/>
      <w:r w:rsidRPr="0060598C">
        <w:rPr>
          <w:rFonts w:ascii="Arial" w:hAnsi="Arial" w:cs="Arial"/>
          <w:sz w:val="20"/>
          <w:szCs w:val="20"/>
        </w:rPr>
        <w:t>Buchmann</w:t>
      </w:r>
      <w:proofErr w:type="spellEnd"/>
      <w:r w:rsidRPr="0060598C">
        <w:rPr>
          <w:rFonts w:ascii="Arial" w:hAnsi="Arial" w:cs="Arial"/>
          <w:sz w:val="20"/>
          <w:szCs w:val="20"/>
        </w:rPr>
        <w:t>, 2017). All means necessary to reduce this rate will be a welcomed development</w:t>
      </w:r>
      <w:r w:rsidR="00BE0657" w:rsidRPr="0060598C">
        <w:rPr>
          <w:rFonts w:ascii="Arial" w:hAnsi="Arial" w:cs="Arial"/>
          <w:sz w:val="20"/>
          <w:szCs w:val="20"/>
        </w:rPr>
        <w:t xml:space="preserve"> because </w:t>
      </w:r>
      <w:r w:rsidRPr="0060598C">
        <w:rPr>
          <w:rFonts w:ascii="Arial" w:hAnsi="Arial" w:cs="Arial"/>
          <w:sz w:val="20"/>
          <w:szCs w:val="20"/>
        </w:rPr>
        <w:t>this obstetric emergency is the bane of most societies in undeveloped nations.</w:t>
      </w:r>
    </w:p>
    <w:p w:rsidR="00F37966" w:rsidRPr="0060598C" w:rsidRDefault="00502FBE" w:rsidP="006F2735">
      <w:pPr>
        <w:spacing w:line="480" w:lineRule="auto"/>
        <w:jc w:val="both"/>
        <w:rPr>
          <w:rFonts w:ascii="Arial" w:hAnsi="Arial" w:cs="Arial"/>
          <w:sz w:val="20"/>
          <w:szCs w:val="20"/>
        </w:rPr>
      </w:pPr>
      <w:r w:rsidRPr="0060598C">
        <w:rPr>
          <w:rFonts w:ascii="Arial" w:hAnsi="Arial" w:cs="Arial"/>
          <w:sz w:val="20"/>
          <w:szCs w:val="20"/>
        </w:rPr>
        <w:lastRenderedPageBreak/>
        <w:t>Postpartum haemorrhage is categorised into primary and s</w:t>
      </w:r>
      <w:r w:rsidR="00BE0657" w:rsidRPr="0060598C">
        <w:rPr>
          <w:rFonts w:ascii="Arial" w:hAnsi="Arial" w:cs="Arial"/>
          <w:sz w:val="20"/>
          <w:szCs w:val="20"/>
        </w:rPr>
        <w:t>econdary. It is the former that</w:t>
      </w:r>
      <w:r w:rsidRPr="0060598C">
        <w:rPr>
          <w:rFonts w:ascii="Arial" w:hAnsi="Arial" w:cs="Arial"/>
          <w:sz w:val="20"/>
          <w:szCs w:val="20"/>
        </w:rPr>
        <w:t xml:space="preserve"> </w:t>
      </w:r>
      <w:r w:rsidR="001C3A5C" w:rsidRPr="0060598C">
        <w:rPr>
          <w:rFonts w:ascii="Arial" w:hAnsi="Arial" w:cs="Arial"/>
          <w:sz w:val="20"/>
          <w:szCs w:val="20"/>
        </w:rPr>
        <w:t xml:space="preserve">leads to most maternal deaths. </w:t>
      </w:r>
      <w:r w:rsidRPr="0060598C">
        <w:rPr>
          <w:rFonts w:ascii="Arial" w:hAnsi="Arial" w:cs="Arial"/>
          <w:sz w:val="20"/>
          <w:szCs w:val="20"/>
        </w:rPr>
        <w:t>Primary postpartum haemorrhage is defined as blood loss from the genital tract of greater than or equals to 500 ml or 1000 ml within 24-hours after a vaginal delivery or following a caesarean delivery, respectively</w:t>
      </w:r>
      <w:r w:rsidR="00F37966" w:rsidRPr="0060598C">
        <w:rPr>
          <w:rFonts w:ascii="Arial" w:hAnsi="Arial" w:cs="Arial"/>
          <w:sz w:val="20"/>
          <w:szCs w:val="20"/>
        </w:rPr>
        <w:t xml:space="preserve">. It is also </w:t>
      </w:r>
      <w:r w:rsidRPr="0060598C">
        <w:rPr>
          <w:rFonts w:ascii="Arial" w:hAnsi="Arial" w:cs="Arial"/>
          <w:sz w:val="20"/>
          <w:szCs w:val="20"/>
        </w:rPr>
        <w:t xml:space="preserve">an amount that can alter the integrity of the cardiovascular system within the same period of 24-hours. This </w:t>
      </w:r>
      <w:r w:rsidR="00F37966" w:rsidRPr="0060598C">
        <w:rPr>
          <w:rFonts w:ascii="Arial" w:hAnsi="Arial" w:cs="Arial"/>
          <w:sz w:val="20"/>
          <w:szCs w:val="20"/>
        </w:rPr>
        <w:t>later definition is peculiar to</w:t>
      </w:r>
      <w:r w:rsidRPr="0060598C">
        <w:rPr>
          <w:rFonts w:ascii="Arial" w:hAnsi="Arial" w:cs="Arial"/>
          <w:sz w:val="20"/>
          <w:szCs w:val="20"/>
        </w:rPr>
        <w:t xml:space="preserve"> women with sickle cell disease, anaemia, c</w:t>
      </w:r>
      <w:r w:rsidR="00F37966" w:rsidRPr="0060598C">
        <w:rPr>
          <w:rFonts w:ascii="Arial" w:hAnsi="Arial" w:cs="Arial"/>
          <w:sz w:val="20"/>
          <w:szCs w:val="20"/>
        </w:rPr>
        <w:t>ardiac disease and preeclampsia. B</w:t>
      </w:r>
      <w:r w:rsidRPr="0060598C">
        <w:rPr>
          <w:rFonts w:ascii="Arial" w:hAnsi="Arial" w:cs="Arial"/>
          <w:sz w:val="20"/>
          <w:szCs w:val="20"/>
        </w:rPr>
        <w:t>lood loss of even a small amount in these women can tilt them into cardiovascular instability and death</w:t>
      </w:r>
      <w:r w:rsidR="001C3A5C" w:rsidRPr="0060598C">
        <w:rPr>
          <w:rFonts w:ascii="Arial" w:hAnsi="Arial" w:cs="Arial"/>
          <w:sz w:val="20"/>
          <w:szCs w:val="20"/>
        </w:rPr>
        <w:t xml:space="preserve"> (</w:t>
      </w:r>
      <w:proofErr w:type="spellStart"/>
      <w:r w:rsidR="001C3A5C" w:rsidRPr="0060598C">
        <w:rPr>
          <w:rFonts w:ascii="Arial" w:hAnsi="Arial" w:cs="Arial"/>
          <w:sz w:val="20"/>
          <w:szCs w:val="20"/>
        </w:rPr>
        <w:t>Nwizu</w:t>
      </w:r>
      <w:proofErr w:type="spellEnd"/>
      <w:r w:rsidR="001C3A5C" w:rsidRPr="0060598C">
        <w:rPr>
          <w:rFonts w:ascii="Arial" w:hAnsi="Arial" w:cs="Arial"/>
          <w:sz w:val="20"/>
          <w:szCs w:val="20"/>
        </w:rPr>
        <w:t xml:space="preserve"> &amp; </w:t>
      </w:r>
      <w:proofErr w:type="spellStart"/>
      <w:r w:rsidR="001C3A5C" w:rsidRPr="0060598C">
        <w:rPr>
          <w:rFonts w:ascii="Arial" w:hAnsi="Arial" w:cs="Arial"/>
          <w:sz w:val="20"/>
          <w:szCs w:val="20"/>
        </w:rPr>
        <w:t>Okoroafor</w:t>
      </w:r>
      <w:proofErr w:type="spellEnd"/>
      <w:r w:rsidR="001C3A5C" w:rsidRPr="0060598C">
        <w:rPr>
          <w:rFonts w:ascii="Arial" w:hAnsi="Arial" w:cs="Arial"/>
          <w:sz w:val="20"/>
          <w:szCs w:val="20"/>
        </w:rPr>
        <w:t>, 2017)</w:t>
      </w:r>
      <w:r w:rsidRPr="0060598C">
        <w:rPr>
          <w:rFonts w:ascii="Arial" w:hAnsi="Arial" w:cs="Arial"/>
          <w:sz w:val="20"/>
          <w:szCs w:val="20"/>
        </w:rPr>
        <w:t>.</w:t>
      </w:r>
      <w:r w:rsidR="008233A4" w:rsidRPr="0060598C">
        <w:rPr>
          <w:rFonts w:ascii="Arial" w:hAnsi="Arial" w:cs="Arial"/>
          <w:b/>
          <w:sz w:val="20"/>
          <w:szCs w:val="20"/>
        </w:rPr>
        <w:t xml:space="preserve"> </w:t>
      </w:r>
      <w:r w:rsidR="00F37966" w:rsidRPr="0060598C">
        <w:rPr>
          <w:rFonts w:ascii="Arial" w:hAnsi="Arial" w:cs="Arial"/>
          <w:b/>
          <w:sz w:val="20"/>
          <w:szCs w:val="20"/>
        </w:rPr>
        <w:t xml:space="preserve"> </w:t>
      </w:r>
      <w:r w:rsidRPr="0060598C">
        <w:rPr>
          <w:rFonts w:ascii="Arial" w:hAnsi="Arial" w:cs="Arial"/>
          <w:sz w:val="20"/>
          <w:szCs w:val="20"/>
        </w:rPr>
        <w:t>Anot</w:t>
      </w:r>
      <w:r w:rsidR="00F37966" w:rsidRPr="0060598C">
        <w:rPr>
          <w:rFonts w:ascii="Arial" w:hAnsi="Arial" w:cs="Arial"/>
          <w:sz w:val="20"/>
          <w:szCs w:val="20"/>
        </w:rPr>
        <w:t>her important definition for</w:t>
      </w:r>
      <w:r w:rsidRPr="0060598C">
        <w:rPr>
          <w:rFonts w:ascii="Arial" w:hAnsi="Arial" w:cs="Arial"/>
          <w:sz w:val="20"/>
          <w:szCs w:val="20"/>
        </w:rPr>
        <w:t xml:space="preserve"> this condition is blood loss from the genital tract causing a fall in packed cell</w:t>
      </w:r>
      <w:r w:rsidR="00F37966" w:rsidRPr="0060598C">
        <w:rPr>
          <w:rFonts w:ascii="Arial" w:hAnsi="Arial" w:cs="Arial"/>
          <w:sz w:val="20"/>
          <w:szCs w:val="20"/>
        </w:rPr>
        <w:t xml:space="preserve"> volume of about 10 % within 24-</w:t>
      </w:r>
      <w:r w:rsidRPr="0060598C">
        <w:rPr>
          <w:rFonts w:ascii="Arial" w:hAnsi="Arial" w:cs="Arial"/>
          <w:sz w:val="20"/>
          <w:szCs w:val="20"/>
        </w:rPr>
        <w:t>hours after delivery</w:t>
      </w:r>
      <w:r w:rsidR="00F47DDC" w:rsidRPr="0060598C">
        <w:rPr>
          <w:rFonts w:ascii="Arial" w:hAnsi="Arial" w:cs="Arial"/>
          <w:sz w:val="20"/>
          <w:szCs w:val="20"/>
        </w:rPr>
        <w:t xml:space="preserve"> (American College of Obstetrician and Gynaecologist, 2017)</w:t>
      </w:r>
      <w:r w:rsidRPr="0060598C">
        <w:rPr>
          <w:rFonts w:ascii="Arial" w:hAnsi="Arial" w:cs="Arial"/>
          <w:sz w:val="20"/>
          <w:szCs w:val="20"/>
        </w:rPr>
        <w:t>.</w:t>
      </w:r>
      <w:r w:rsidR="006F2735" w:rsidRPr="0060598C">
        <w:rPr>
          <w:rFonts w:ascii="Arial" w:hAnsi="Arial" w:cs="Arial"/>
          <w:sz w:val="20"/>
          <w:szCs w:val="20"/>
        </w:rPr>
        <w:t xml:space="preserve"> </w:t>
      </w:r>
      <w:r w:rsidRPr="0060598C">
        <w:rPr>
          <w:rFonts w:ascii="Arial" w:hAnsi="Arial" w:cs="Arial"/>
          <w:sz w:val="20"/>
          <w:szCs w:val="20"/>
        </w:rPr>
        <w:t>Secondary postpartum haemorrhage is blood loss from the genital tract in excess of lochia after 24- hours till six weeks postpartum. Bleeding up to 12 weeks has also been reported as secondary postpartum haemorrhage</w:t>
      </w:r>
      <w:r w:rsidR="00F47DDC" w:rsidRPr="0060598C">
        <w:rPr>
          <w:rFonts w:ascii="Arial" w:hAnsi="Arial" w:cs="Arial"/>
          <w:sz w:val="20"/>
          <w:szCs w:val="20"/>
        </w:rPr>
        <w:t xml:space="preserve"> (American College of Obstetrician and Gynaecologist, 2017)</w:t>
      </w:r>
      <w:r w:rsidRPr="0060598C">
        <w:rPr>
          <w:rFonts w:ascii="Arial" w:hAnsi="Arial" w:cs="Arial"/>
          <w:sz w:val="20"/>
          <w:szCs w:val="20"/>
        </w:rPr>
        <w:t xml:space="preserve">. </w:t>
      </w:r>
    </w:p>
    <w:p w:rsidR="00502FBE" w:rsidRPr="0060598C" w:rsidRDefault="00502FBE" w:rsidP="006F2735">
      <w:pPr>
        <w:spacing w:line="480" w:lineRule="auto"/>
        <w:jc w:val="both"/>
        <w:rPr>
          <w:rFonts w:ascii="Arial" w:hAnsi="Arial" w:cs="Arial"/>
          <w:sz w:val="20"/>
          <w:szCs w:val="20"/>
        </w:rPr>
      </w:pPr>
      <w:r w:rsidRPr="0060598C">
        <w:rPr>
          <w:rFonts w:ascii="Arial" w:hAnsi="Arial" w:cs="Arial"/>
          <w:sz w:val="20"/>
          <w:szCs w:val="20"/>
        </w:rPr>
        <w:t>Deliveries conducted in low resource countries such as Nigeria have an incidence of postpartum haemorrhage of about 27.5 % complicating these deliveries. Poor uterine contraction has been implicated in up t</w:t>
      </w:r>
      <w:r w:rsidR="00F37966" w:rsidRPr="0060598C">
        <w:rPr>
          <w:rFonts w:ascii="Arial" w:hAnsi="Arial" w:cs="Arial"/>
          <w:sz w:val="20"/>
          <w:szCs w:val="20"/>
        </w:rPr>
        <w:t xml:space="preserve">o 80 % of cases, as the prime cause of excessive </w:t>
      </w:r>
      <w:r w:rsidRPr="0060598C">
        <w:rPr>
          <w:rFonts w:ascii="Arial" w:hAnsi="Arial" w:cs="Arial"/>
          <w:sz w:val="20"/>
          <w:szCs w:val="20"/>
        </w:rPr>
        <w:t xml:space="preserve">blood loss </w:t>
      </w:r>
      <w:r w:rsidR="00F37966" w:rsidRPr="0060598C">
        <w:rPr>
          <w:rFonts w:ascii="Arial" w:hAnsi="Arial" w:cs="Arial"/>
          <w:sz w:val="20"/>
          <w:szCs w:val="20"/>
        </w:rPr>
        <w:t xml:space="preserve">from the genital tract </w:t>
      </w:r>
      <w:r w:rsidRPr="0060598C">
        <w:rPr>
          <w:rFonts w:ascii="Arial" w:hAnsi="Arial" w:cs="Arial"/>
          <w:sz w:val="20"/>
          <w:szCs w:val="20"/>
        </w:rPr>
        <w:t>at childbirth</w:t>
      </w:r>
      <w:r w:rsidR="00F47DDC" w:rsidRPr="0060598C">
        <w:rPr>
          <w:rFonts w:ascii="Arial" w:hAnsi="Arial" w:cs="Arial"/>
          <w:sz w:val="20"/>
          <w:szCs w:val="20"/>
        </w:rPr>
        <w:t xml:space="preserve"> (American College of Obstetrician and Gynaecologist, 2017)</w:t>
      </w:r>
      <w:r w:rsidRPr="0060598C">
        <w:rPr>
          <w:rFonts w:ascii="Arial" w:hAnsi="Arial" w:cs="Arial"/>
          <w:sz w:val="20"/>
          <w:szCs w:val="20"/>
        </w:rPr>
        <w:t>.</w:t>
      </w:r>
      <w:r w:rsidR="00F47DDC" w:rsidRPr="0060598C">
        <w:rPr>
          <w:rFonts w:ascii="Arial" w:hAnsi="Arial" w:cs="Arial"/>
          <w:sz w:val="20"/>
          <w:szCs w:val="20"/>
          <w:vertAlign w:val="superscript"/>
        </w:rPr>
        <w:t xml:space="preserve"> </w:t>
      </w:r>
      <w:r w:rsidRPr="0060598C">
        <w:rPr>
          <w:rFonts w:ascii="Arial" w:hAnsi="Arial" w:cs="Arial"/>
          <w:sz w:val="20"/>
          <w:szCs w:val="20"/>
        </w:rPr>
        <w:t xml:space="preserve"> </w:t>
      </w:r>
      <w:r w:rsidR="00674D2B" w:rsidRPr="0060598C">
        <w:rPr>
          <w:rFonts w:ascii="Arial" w:hAnsi="Arial" w:cs="Arial"/>
          <w:sz w:val="20"/>
          <w:szCs w:val="20"/>
        </w:rPr>
        <w:t>Risk factor responsible for poor uterine tone includes previous history of postpartum haemorrhage, fetal macrosomia, polyhydramnios, multiple gestation, uterine fibroids, advance maternal age, use of magnesium sulphate, general anaesthesia, chorioamnionitis, prolonged labour, and obstructed labour</w:t>
      </w:r>
      <w:r w:rsidR="002C5B3B" w:rsidRPr="0060598C">
        <w:rPr>
          <w:rFonts w:ascii="Arial" w:hAnsi="Arial" w:cs="Arial"/>
          <w:sz w:val="20"/>
          <w:szCs w:val="20"/>
        </w:rPr>
        <w:t xml:space="preserve"> </w:t>
      </w:r>
      <w:r w:rsidR="006F2735" w:rsidRPr="0060598C">
        <w:rPr>
          <w:rFonts w:ascii="Arial" w:hAnsi="Arial" w:cs="Arial"/>
          <w:sz w:val="20"/>
          <w:szCs w:val="20"/>
        </w:rPr>
        <w:t>(</w:t>
      </w:r>
      <w:r w:rsidR="002C5B3B" w:rsidRPr="0060598C">
        <w:rPr>
          <w:rFonts w:ascii="Arial" w:hAnsi="Arial" w:cs="Arial"/>
          <w:sz w:val="20"/>
          <w:szCs w:val="20"/>
        </w:rPr>
        <w:t>Yang et al.; 2021</w:t>
      </w:r>
      <w:r w:rsidR="006F2735" w:rsidRPr="0060598C">
        <w:rPr>
          <w:rFonts w:ascii="Arial" w:hAnsi="Arial" w:cs="Arial"/>
          <w:sz w:val="20"/>
          <w:szCs w:val="20"/>
        </w:rPr>
        <w:t>).</w:t>
      </w:r>
    </w:p>
    <w:p w:rsidR="00674D2B" w:rsidRPr="0060598C" w:rsidRDefault="008233A4" w:rsidP="00B67D25">
      <w:pPr>
        <w:spacing w:line="480" w:lineRule="auto"/>
        <w:jc w:val="both"/>
        <w:rPr>
          <w:rFonts w:ascii="Arial" w:hAnsi="Arial" w:cs="Arial"/>
          <w:sz w:val="20"/>
          <w:szCs w:val="20"/>
        </w:rPr>
      </w:pPr>
      <w:r w:rsidRPr="0060598C">
        <w:rPr>
          <w:rFonts w:ascii="Arial" w:hAnsi="Arial" w:cs="Arial"/>
          <w:sz w:val="20"/>
          <w:szCs w:val="20"/>
        </w:rPr>
        <w:t>In other words, t</w:t>
      </w:r>
      <w:r w:rsidR="00674D2B" w:rsidRPr="0060598C">
        <w:rPr>
          <w:rFonts w:ascii="Arial" w:hAnsi="Arial" w:cs="Arial"/>
          <w:sz w:val="20"/>
          <w:szCs w:val="20"/>
        </w:rPr>
        <w:t>he underlying cause of primary postpartum haemorrhage common to most risk factors is uterine atony (</w:t>
      </w:r>
      <w:proofErr w:type="spellStart"/>
      <w:r w:rsidR="00674D2B" w:rsidRPr="0060598C">
        <w:rPr>
          <w:rFonts w:ascii="Arial" w:hAnsi="Arial" w:cs="Arial"/>
          <w:sz w:val="20"/>
          <w:szCs w:val="20"/>
        </w:rPr>
        <w:t>Ononge</w:t>
      </w:r>
      <w:proofErr w:type="spellEnd"/>
      <w:r w:rsidR="00674D2B" w:rsidRPr="0060598C">
        <w:rPr>
          <w:rFonts w:ascii="Arial" w:hAnsi="Arial" w:cs="Arial"/>
          <w:sz w:val="20"/>
          <w:szCs w:val="20"/>
        </w:rPr>
        <w:t xml:space="preserve"> et al.; 2016). Once uterine atony is prevented, then excessive blood loss at caesarean sections vis-à-vis primary postpartum haemorrhage is forestalled.</w:t>
      </w:r>
    </w:p>
    <w:p w:rsidR="00F37966" w:rsidRPr="0060598C" w:rsidRDefault="00276A16" w:rsidP="00B67D25">
      <w:pPr>
        <w:spacing w:line="480" w:lineRule="auto"/>
        <w:jc w:val="both"/>
        <w:rPr>
          <w:rFonts w:ascii="Arial" w:hAnsi="Arial" w:cs="Arial"/>
          <w:sz w:val="20"/>
          <w:szCs w:val="20"/>
        </w:rPr>
      </w:pPr>
      <w:r w:rsidRPr="0060598C">
        <w:rPr>
          <w:rFonts w:ascii="Arial" w:hAnsi="Arial" w:cs="Arial"/>
          <w:sz w:val="20"/>
          <w:szCs w:val="20"/>
        </w:rPr>
        <w:t>Caesarean section, a commonly performed operation, is associated with a higher amount blood loss when compared with vaginal delivery</w:t>
      </w:r>
      <w:r w:rsidR="00FF275A" w:rsidRPr="0060598C">
        <w:rPr>
          <w:rFonts w:ascii="Arial" w:hAnsi="Arial" w:cs="Arial"/>
          <w:sz w:val="20"/>
          <w:szCs w:val="20"/>
        </w:rPr>
        <w:t xml:space="preserve"> (Week &amp; Neilson; 2015)</w:t>
      </w:r>
      <w:r w:rsidRPr="0060598C">
        <w:rPr>
          <w:rFonts w:ascii="Arial" w:hAnsi="Arial" w:cs="Arial"/>
          <w:sz w:val="20"/>
          <w:szCs w:val="20"/>
        </w:rPr>
        <w:t>.</w:t>
      </w:r>
      <w:r w:rsidR="00FF275A" w:rsidRPr="0060598C">
        <w:rPr>
          <w:rFonts w:ascii="Arial" w:hAnsi="Arial" w:cs="Arial"/>
          <w:sz w:val="20"/>
          <w:szCs w:val="20"/>
          <w:vertAlign w:val="superscript"/>
        </w:rPr>
        <w:t xml:space="preserve"> </w:t>
      </w:r>
      <w:r w:rsidRPr="0060598C">
        <w:rPr>
          <w:rFonts w:ascii="Arial" w:hAnsi="Arial" w:cs="Arial"/>
          <w:sz w:val="20"/>
          <w:szCs w:val="20"/>
        </w:rPr>
        <w:t xml:space="preserve">When blood loss at caesarean section is not curtailed, </w:t>
      </w:r>
      <w:r w:rsidR="008233A4" w:rsidRPr="0060598C">
        <w:rPr>
          <w:rFonts w:ascii="Arial" w:hAnsi="Arial" w:cs="Arial"/>
          <w:sz w:val="20"/>
          <w:szCs w:val="20"/>
        </w:rPr>
        <w:t>primary postpartum haemorrhage ensues</w:t>
      </w:r>
      <w:r w:rsidR="00F37966" w:rsidRPr="0060598C">
        <w:rPr>
          <w:rFonts w:ascii="Arial" w:hAnsi="Arial" w:cs="Arial"/>
          <w:sz w:val="20"/>
          <w:szCs w:val="20"/>
        </w:rPr>
        <w:t>,</w:t>
      </w:r>
      <w:r w:rsidR="008233A4" w:rsidRPr="0060598C">
        <w:rPr>
          <w:rFonts w:ascii="Arial" w:hAnsi="Arial" w:cs="Arial"/>
          <w:sz w:val="20"/>
          <w:szCs w:val="20"/>
        </w:rPr>
        <w:t xml:space="preserve"> leading to </w:t>
      </w:r>
      <w:r w:rsidRPr="0060598C">
        <w:rPr>
          <w:rFonts w:ascii="Arial" w:hAnsi="Arial" w:cs="Arial"/>
          <w:sz w:val="20"/>
          <w:szCs w:val="20"/>
        </w:rPr>
        <w:t>maternal morbidity and possible maternal mortalit</w:t>
      </w:r>
      <w:r w:rsidR="008233A4" w:rsidRPr="0060598C">
        <w:rPr>
          <w:rFonts w:ascii="Arial" w:hAnsi="Arial" w:cs="Arial"/>
          <w:sz w:val="20"/>
          <w:szCs w:val="20"/>
        </w:rPr>
        <w:t>y</w:t>
      </w:r>
      <w:r w:rsidR="008D365F" w:rsidRPr="0060598C">
        <w:rPr>
          <w:rFonts w:ascii="Arial" w:hAnsi="Arial" w:cs="Arial"/>
          <w:sz w:val="20"/>
          <w:szCs w:val="20"/>
        </w:rPr>
        <w:t>.</w:t>
      </w:r>
      <w:r w:rsidR="009504CC" w:rsidRPr="0060598C">
        <w:rPr>
          <w:rFonts w:ascii="Arial" w:hAnsi="Arial" w:cs="Arial"/>
          <w:sz w:val="20"/>
          <w:szCs w:val="20"/>
        </w:rPr>
        <w:t xml:space="preserve"> </w:t>
      </w:r>
      <w:r w:rsidR="00F37966" w:rsidRPr="0060598C">
        <w:rPr>
          <w:rFonts w:ascii="Arial" w:hAnsi="Arial" w:cs="Arial"/>
          <w:sz w:val="20"/>
          <w:szCs w:val="20"/>
        </w:rPr>
        <w:t>This blood loss can be excessive in situations where the parturient has risk factors for postpartum haemorrhage.</w:t>
      </w:r>
    </w:p>
    <w:p w:rsidR="00276A16" w:rsidRPr="0060598C" w:rsidRDefault="00276A16" w:rsidP="00B67D25">
      <w:pPr>
        <w:spacing w:line="480" w:lineRule="auto"/>
        <w:jc w:val="both"/>
        <w:rPr>
          <w:rFonts w:ascii="Arial" w:hAnsi="Arial" w:cs="Arial"/>
          <w:sz w:val="20"/>
          <w:szCs w:val="20"/>
        </w:rPr>
      </w:pPr>
      <w:r w:rsidRPr="0060598C">
        <w:rPr>
          <w:rFonts w:ascii="Arial" w:hAnsi="Arial" w:cs="Arial"/>
          <w:sz w:val="20"/>
          <w:szCs w:val="20"/>
        </w:rPr>
        <w:lastRenderedPageBreak/>
        <w:t>There are various uterotonic</w:t>
      </w:r>
      <w:r w:rsidR="00674D2B" w:rsidRPr="0060598C">
        <w:rPr>
          <w:rFonts w:ascii="Arial" w:hAnsi="Arial" w:cs="Arial"/>
          <w:sz w:val="20"/>
          <w:szCs w:val="20"/>
        </w:rPr>
        <w:t>s</w:t>
      </w:r>
      <w:r w:rsidRPr="0060598C">
        <w:rPr>
          <w:rFonts w:ascii="Arial" w:hAnsi="Arial" w:cs="Arial"/>
          <w:sz w:val="20"/>
          <w:szCs w:val="20"/>
        </w:rPr>
        <w:t xml:space="preserve"> used for the prevention of excessive blood loss at caesarean deliveries, and they work by ensuring good uterine contraction after delivery</w:t>
      </w:r>
      <w:r w:rsidR="00FF275A" w:rsidRPr="0060598C">
        <w:rPr>
          <w:rFonts w:ascii="Arial" w:hAnsi="Arial" w:cs="Arial"/>
          <w:sz w:val="20"/>
          <w:szCs w:val="20"/>
        </w:rPr>
        <w:t xml:space="preserve"> (WHO, 2018)</w:t>
      </w:r>
      <w:r w:rsidRPr="0060598C">
        <w:rPr>
          <w:rFonts w:ascii="Arial" w:hAnsi="Arial" w:cs="Arial"/>
          <w:sz w:val="20"/>
          <w:szCs w:val="20"/>
        </w:rPr>
        <w:t xml:space="preserve">. </w:t>
      </w:r>
    </w:p>
    <w:p w:rsidR="00276A16" w:rsidRPr="0060598C" w:rsidRDefault="00276A16" w:rsidP="00B67D25">
      <w:pPr>
        <w:spacing w:line="480" w:lineRule="auto"/>
        <w:jc w:val="both"/>
        <w:rPr>
          <w:rFonts w:ascii="Arial" w:hAnsi="Arial" w:cs="Arial"/>
          <w:sz w:val="20"/>
          <w:szCs w:val="20"/>
        </w:rPr>
      </w:pPr>
      <w:r w:rsidRPr="0060598C">
        <w:rPr>
          <w:rFonts w:ascii="Arial" w:hAnsi="Arial" w:cs="Arial"/>
          <w:sz w:val="20"/>
          <w:szCs w:val="20"/>
        </w:rPr>
        <w:t>Oxytocin is the uterotonic of choice for the prevention of postpartum haemorrhage as recommended by the World Health Organization</w:t>
      </w:r>
      <w:r w:rsidR="002577EF" w:rsidRPr="0060598C">
        <w:rPr>
          <w:rFonts w:ascii="Arial" w:hAnsi="Arial" w:cs="Arial"/>
          <w:sz w:val="20"/>
          <w:szCs w:val="20"/>
        </w:rPr>
        <w:t xml:space="preserve"> (WHO, 2018)</w:t>
      </w:r>
      <w:r w:rsidRPr="0060598C">
        <w:rPr>
          <w:rFonts w:ascii="Arial" w:hAnsi="Arial" w:cs="Arial"/>
          <w:sz w:val="20"/>
          <w:szCs w:val="20"/>
        </w:rPr>
        <w:t>.</w:t>
      </w:r>
      <w:r w:rsidR="002577EF" w:rsidRPr="0060598C">
        <w:rPr>
          <w:rFonts w:ascii="Arial" w:hAnsi="Arial" w:cs="Arial"/>
          <w:sz w:val="20"/>
          <w:szCs w:val="20"/>
          <w:vertAlign w:val="superscript"/>
        </w:rPr>
        <w:t xml:space="preserve"> </w:t>
      </w:r>
      <w:r w:rsidRPr="0060598C">
        <w:rPr>
          <w:rFonts w:ascii="Arial" w:hAnsi="Arial" w:cs="Arial"/>
          <w:sz w:val="20"/>
          <w:szCs w:val="20"/>
        </w:rPr>
        <w:t>However, oxytocin effectiveness for the reduction of blood loss at caesarean section</w:t>
      </w:r>
      <w:r w:rsidR="00126239" w:rsidRPr="0060598C">
        <w:rPr>
          <w:rFonts w:ascii="Arial" w:hAnsi="Arial" w:cs="Arial"/>
          <w:sz w:val="20"/>
          <w:szCs w:val="20"/>
        </w:rPr>
        <w:t>,</w:t>
      </w:r>
      <w:r w:rsidR="00F37966" w:rsidRPr="0060598C">
        <w:rPr>
          <w:rFonts w:ascii="Arial" w:hAnsi="Arial" w:cs="Arial"/>
          <w:sz w:val="20"/>
          <w:szCs w:val="20"/>
        </w:rPr>
        <w:t xml:space="preserve"> and by extension prevention of</w:t>
      </w:r>
      <w:r w:rsidRPr="0060598C">
        <w:rPr>
          <w:rFonts w:ascii="Arial" w:hAnsi="Arial" w:cs="Arial"/>
          <w:sz w:val="20"/>
          <w:szCs w:val="20"/>
        </w:rPr>
        <w:t xml:space="preserve"> primary po</w:t>
      </w:r>
      <w:r w:rsidR="00F37966" w:rsidRPr="0060598C">
        <w:rPr>
          <w:rFonts w:ascii="Arial" w:hAnsi="Arial" w:cs="Arial"/>
          <w:sz w:val="20"/>
          <w:szCs w:val="20"/>
        </w:rPr>
        <w:t>stpartum haemorrhage</w:t>
      </w:r>
      <w:r w:rsidRPr="0060598C">
        <w:rPr>
          <w:rFonts w:ascii="Arial" w:hAnsi="Arial" w:cs="Arial"/>
          <w:sz w:val="20"/>
          <w:szCs w:val="20"/>
        </w:rPr>
        <w:t xml:space="preserve"> in the tropi</w:t>
      </w:r>
      <w:r w:rsidR="00F81492" w:rsidRPr="0060598C">
        <w:rPr>
          <w:rFonts w:ascii="Arial" w:hAnsi="Arial" w:cs="Arial"/>
          <w:sz w:val="20"/>
          <w:szCs w:val="20"/>
        </w:rPr>
        <w:t xml:space="preserve">cs is marred with poor storage and transportation </w:t>
      </w:r>
      <w:r w:rsidR="002577EF" w:rsidRPr="0060598C">
        <w:rPr>
          <w:rFonts w:ascii="Arial" w:hAnsi="Arial" w:cs="Arial"/>
          <w:sz w:val="20"/>
          <w:szCs w:val="20"/>
        </w:rPr>
        <w:t>(Adanikan et al</w:t>
      </w:r>
      <w:r w:rsidR="00E43625" w:rsidRPr="0060598C">
        <w:rPr>
          <w:rFonts w:ascii="Arial" w:hAnsi="Arial" w:cs="Arial"/>
          <w:sz w:val="20"/>
          <w:szCs w:val="20"/>
        </w:rPr>
        <w:t>.</w:t>
      </w:r>
      <w:r w:rsidR="00F81492" w:rsidRPr="0060598C">
        <w:rPr>
          <w:rFonts w:ascii="Arial" w:hAnsi="Arial" w:cs="Arial"/>
          <w:sz w:val="20"/>
          <w:szCs w:val="20"/>
        </w:rPr>
        <w:t>; 2013</w:t>
      </w:r>
      <w:r w:rsidR="002577EF" w:rsidRPr="0060598C">
        <w:rPr>
          <w:rFonts w:ascii="Arial" w:hAnsi="Arial" w:cs="Arial"/>
          <w:sz w:val="20"/>
          <w:szCs w:val="20"/>
        </w:rPr>
        <w:t>)</w:t>
      </w:r>
      <w:r w:rsidRPr="0060598C">
        <w:rPr>
          <w:rFonts w:ascii="Arial" w:hAnsi="Arial" w:cs="Arial"/>
          <w:sz w:val="20"/>
          <w:szCs w:val="20"/>
        </w:rPr>
        <w:t>.</w:t>
      </w:r>
      <w:r w:rsidR="002577EF" w:rsidRPr="0060598C">
        <w:rPr>
          <w:rFonts w:ascii="Arial" w:hAnsi="Arial" w:cs="Arial"/>
          <w:sz w:val="20"/>
          <w:szCs w:val="20"/>
          <w:vertAlign w:val="superscript"/>
        </w:rPr>
        <w:t xml:space="preserve"> </w:t>
      </w:r>
      <w:r w:rsidRPr="0060598C">
        <w:rPr>
          <w:rFonts w:ascii="Arial" w:hAnsi="Arial" w:cs="Arial"/>
          <w:sz w:val="20"/>
          <w:szCs w:val="20"/>
        </w:rPr>
        <w:t>There is therefore a need to give an additional uterotonic to oxyt</w:t>
      </w:r>
      <w:r w:rsidR="005757BD" w:rsidRPr="0060598C">
        <w:rPr>
          <w:rFonts w:ascii="Arial" w:hAnsi="Arial" w:cs="Arial"/>
          <w:sz w:val="20"/>
          <w:szCs w:val="20"/>
        </w:rPr>
        <w:t xml:space="preserve">ocin </w:t>
      </w:r>
      <w:r w:rsidR="00854725" w:rsidRPr="0060598C">
        <w:rPr>
          <w:rFonts w:ascii="Arial" w:hAnsi="Arial" w:cs="Arial"/>
          <w:sz w:val="20"/>
          <w:szCs w:val="20"/>
        </w:rPr>
        <w:t xml:space="preserve">so as </w:t>
      </w:r>
      <w:r w:rsidR="005757BD" w:rsidRPr="0060598C">
        <w:rPr>
          <w:rFonts w:ascii="Arial" w:hAnsi="Arial" w:cs="Arial"/>
          <w:sz w:val="20"/>
          <w:szCs w:val="20"/>
        </w:rPr>
        <w:t>to ensure that an effective</w:t>
      </w:r>
      <w:r w:rsidRPr="0060598C">
        <w:rPr>
          <w:rFonts w:ascii="Arial" w:hAnsi="Arial" w:cs="Arial"/>
          <w:sz w:val="20"/>
          <w:szCs w:val="20"/>
        </w:rPr>
        <w:t xml:space="preserve"> </w:t>
      </w:r>
      <w:r w:rsidR="00D25E75" w:rsidRPr="0060598C">
        <w:rPr>
          <w:rFonts w:ascii="Arial" w:hAnsi="Arial" w:cs="Arial"/>
          <w:sz w:val="20"/>
          <w:szCs w:val="20"/>
        </w:rPr>
        <w:t>control of blood loss i</w:t>
      </w:r>
      <w:r w:rsidRPr="0060598C">
        <w:rPr>
          <w:rFonts w:ascii="Arial" w:hAnsi="Arial" w:cs="Arial"/>
          <w:sz w:val="20"/>
          <w:szCs w:val="20"/>
        </w:rPr>
        <w:t xml:space="preserve">ntra-operatively is achieved. </w:t>
      </w:r>
      <w:r w:rsidR="00F37966" w:rsidRPr="0060598C">
        <w:rPr>
          <w:rFonts w:ascii="Arial" w:hAnsi="Arial" w:cs="Arial"/>
          <w:sz w:val="20"/>
          <w:szCs w:val="20"/>
        </w:rPr>
        <w:t>It has been recommended that a combination of oxytocin and other uterotonic</w:t>
      </w:r>
      <w:r w:rsidR="0056603A" w:rsidRPr="0060598C">
        <w:rPr>
          <w:rFonts w:ascii="Arial" w:hAnsi="Arial" w:cs="Arial"/>
          <w:sz w:val="20"/>
          <w:szCs w:val="20"/>
        </w:rPr>
        <w:t>s</w:t>
      </w:r>
      <w:r w:rsidR="00F37966" w:rsidRPr="0060598C">
        <w:rPr>
          <w:rFonts w:ascii="Arial" w:hAnsi="Arial" w:cs="Arial"/>
          <w:sz w:val="20"/>
          <w:szCs w:val="20"/>
        </w:rPr>
        <w:t xml:space="preserve"> may be more effective in preventing primary postpartum haemorrhage when compared to oxytocin alone. (</w:t>
      </w:r>
      <w:proofErr w:type="spellStart"/>
      <w:r w:rsidR="00F37966" w:rsidRPr="0060598C">
        <w:rPr>
          <w:rFonts w:ascii="Arial" w:hAnsi="Arial" w:cs="Arial"/>
          <w:sz w:val="20"/>
          <w:szCs w:val="20"/>
        </w:rPr>
        <w:t>Gallos</w:t>
      </w:r>
      <w:proofErr w:type="spellEnd"/>
      <w:r w:rsidR="00F37966" w:rsidRPr="0060598C">
        <w:rPr>
          <w:rFonts w:ascii="Arial" w:hAnsi="Arial" w:cs="Arial"/>
          <w:sz w:val="20"/>
          <w:szCs w:val="20"/>
        </w:rPr>
        <w:t xml:space="preserve"> et al.; 2019). Th</w:t>
      </w:r>
      <w:r w:rsidR="00657DD7" w:rsidRPr="0060598C">
        <w:rPr>
          <w:rFonts w:ascii="Arial" w:hAnsi="Arial" w:cs="Arial"/>
          <w:sz w:val="20"/>
          <w:szCs w:val="20"/>
        </w:rPr>
        <w:t xml:space="preserve">is is </w:t>
      </w:r>
      <w:r w:rsidR="0056603A" w:rsidRPr="0060598C">
        <w:rPr>
          <w:rFonts w:ascii="Arial" w:hAnsi="Arial" w:cs="Arial"/>
          <w:sz w:val="20"/>
          <w:szCs w:val="20"/>
        </w:rPr>
        <w:t xml:space="preserve">especially </w:t>
      </w:r>
      <w:r w:rsidR="00657DD7" w:rsidRPr="0060598C">
        <w:rPr>
          <w:rFonts w:ascii="Arial" w:hAnsi="Arial" w:cs="Arial"/>
          <w:sz w:val="20"/>
          <w:szCs w:val="20"/>
        </w:rPr>
        <w:t xml:space="preserve">important for pregnant women at risk of postpartum haemorrhage. </w:t>
      </w:r>
    </w:p>
    <w:p w:rsidR="00FE352A" w:rsidRPr="0060598C" w:rsidRDefault="00145F6D" w:rsidP="00FE352A">
      <w:pPr>
        <w:spacing w:line="480" w:lineRule="auto"/>
        <w:jc w:val="both"/>
        <w:rPr>
          <w:rFonts w:ascii="Arial" w:hAnsi="Arial" w:cs="Arial"/>
          <w:sz w:val="20"/>
          <w:szCs w:val="20"/>
        </w:rPr>
      </w:pPr>
      <w:r w:rsidRPr="0060598C">
        <w:rPr>
          <w:rFonts w:ascii="Arial" w:hAnsi="Arial" w:cs="Arial"/>
          <w:sz w:val="20"/>
          <w:szCs w:val="20"/>
        </w:rPr>
        <w:t xml:space="preserve">Misoprostol </w:t>
      </w:r>
      <w:r w:rsidR="00276A16" w:rsidRPr="0060598C">
        <w:rPr>
          <w:rFonts w:ascii="Arial" w:hAnsi="Arial" w:cs="Arial"/>
          <w:sz w:val="20"/>
          <w:szCs w:val="20"/>
        </w:rPr>
        <w:t>is not affected by tropical temperature, it is cost effective especially as it relates to the cost of refrigeration when compared to other oxytocic</w:t>
      </w:r>
      <w:r w:rsidR="00675391" w:rsidRPr="0060598C">
        <w:rPr>
          <w:rFonts w:ascii="Arial" w:hAnsi="Arial" w:cs="Arial"/>
          <w:sz w:val="20"/>
          <w:szCs w:val="20"/>
        </w:rPr>
        <w:t xml:space="preserve"> (Adanikan et al</w:t>
      </w:r>
      <w:r w:rsidR="00E43625" w:rsidRPr="0060598C">
        <w:rPr>
          <w:rFonts w:ascii="Arial" w:hAnsi="Arial" w:cs="Arial"/>
          <w:sz w:val="20"/>
          <w:szCs w:val="20"/>
        </w:rPr>
        <w:t>.</w:t>
      </w:r>
      <w:r w:rsidR="00675391" w:rsidRPr="0060598C">
        <w:rPr>
          <w:rFonts w:ascii="Arial" w:hAnsi="Arial" w:cs="Arial"/>
          <w:sz w:val="20"/>
          <w:szCs w:val="20"/>
        </w:rPr>
        <w:t>; 2013)</w:t>
      </w:r>
      <w:r w:rsidR="00276A16" w:rsidRPr="0060598C">
        <w:rPr>
          <w:rFonts w:ascii="Arial" w:hAnsi="Arial" w:cs="Arial"/>
          <w:sz w:val="20"/>
          <w:szCs w:val="20"/>
        </w:rPr>
        <w:t>.</w:t>
      </w:r>
      <w:r w:rsidR="00675391" w:rsidRPr="0060598C">
        <w:rPr>
          <w:rFonts w:ascii="Arial" w:hAnsi="Arial" w:cs="Arial"/>
          <w:sz w:val="20"/>
          <w:szCs w:val="20"/>
        </w:rPr>
        <w:t xml:space="preserve"> </w:t>
      </w:r>
      <w:r w:rsidR="00E1033B" w:rsidRPr="0060598C">
        <w:rPr>
          <w:rFonts w:ascii="Arial" w:hAnsi="Arial" w:cs="Arial"/>
          <w:sz w:val="20"/>
          <w:szCs w:val="20"/>
        </w:rPr>
        <w:t xml:space="preserve">Misoprostol </w:t>
      </w:r>
      <w:r w:rsidR="00FE352A" w:rsidRPr="0060598C">
        <w:rPr>
          <w:rFonts w:ascii="Arial" w:hAnsi="Arial" w:cs="Arial"/>
          <w:sz w:val="20"/>
          <w:szCs w:val="20"/>
        </w:rPr>
        <w:t xml:space="preserve">is usually administered either rectally or sublingually at a dose of 600 ug, to prevent excessive blood loss at vaginal birth. In cases of primary </w:t>
      </w:r>
      <w:r w:rsidR="00A77DF3" w:rsidRPr="0060598C">
        <w:rPr>
          <w:rFonts w:ascii="Arial" w:hAnsi="Arial" w:cs="Arial"/>
          <w:sz w:val="20"/>
          <w:szCs w:val="20"/>
        </w:rPr>
        <w:t>post</w:t>
      </w:r>
      <w:r w:rsidR="00FE352A" w:rsidRPr="0060598C">
        <w:rPr>
          <w:rFonts w:ascii="Arial" w:hAnsi="Arial" w:cs="Arial"/>
          <w:sz w:val="20"/>
          <w:szCs w:val="20"/>
        </w:rPr>
        <w:t>partum haemorrhage 800 ug of the drug is administered sublingually. (WHO, 2018). Misoprostol have been found</w:t>
      </w:r>
      <w:r w:rsidR="00A77DF3" w:rsidRPr="0060598C">
        <w:rPr>
          <w:rFonts w:ascii="Arial" w:hAnsi="Arial" w:cs="Arial"/>
          <w:sz w:val="20"/>
          <w:szCs w:val="20"/>
        </w:rPr>
        <w:t xml:space="preserve"> to</w:t>
      </w:r>
      <w:r w:rsidR="00FE352A" w:rsidRPr="0060598C">
        <w:rPr>
          <w:rFonts w:ascii="Arial" w:hAnsi="Arial" w:cs="Arial"/>
          <w:sz w:val="20"/>
          <w:szCs w:val="20"/>
        </w:rPr>
        <w:t xml:space="preserve"> cause effective uterine contraction</w:t>
      </w:r>
      <w:r w:rsidR="00A77DF3" w:rsidRPr="0060598C">
        <w:rPr>
          <w:rFonts w:ascii="Arial" w:hAnsi="Arial" w:cs="Arial"/>
          <w:sz w:val="20"/>
          <w:szCs w:val="20"/>
        </w:rPr>
        <w:t xml:space="preserve">. </w:t>
      </w:r>
    </w:p>
    <w:p w:rsidR="00276A16" w:rsidRPr="0060598C" w:rsidRDefault="00675391" w:rsidP="00B67D25">
      <w:pPr>
        <w:spacing w:line="480" w:lineRule="auto"/>
        <w:jc w:val="both"/>
        <w:rPr>
          <w:rFonts w:ascii="Arial" w:hAnsi="Arial" w:cs="Arial"/>
          <w:sz w:val="20"/>
          <w:szCs w:val="20"/>
        </w:rPr>
      </w:pPr>
      <w:r w:rsidRPr="0060598C">
        <w:rPr>
          <w:rFonts w:ascii="Arial" w:hAnsi="Arial" w:cs="Arial"/>
          <w:sz w:val="20"/>
          <w:szCs w:val="20"/>
        </w:rPr>
        <w:t xml:space="preserve">Misoprostol can be used an </w:t>
      </w:r>
      <w:r w:rsidR="00276A16" w:rsidRPr="0060598C">
        <w:rPr>
          <w:rFonts w:ascii="Arial" w:hAnsi="Arial" w:cs="Arial"/>
          <w:sz w:val="20"/>
          <w:szCs w:val="20"/>
        </w:rPr>
        <w:t>adjunctive uterotonic to oxytocin for the reduction of blood loss at caesarean deliveries</w:t>
      </w:r>
      <w:r w:rsidR="00126239" w:rsidRPr="0060598C">
        <w:rPr>
          <w:rFonts w:ascii="Arial" w:hAnsi="Arial" w:cs="Arial"/>
          <w:sz w:val="20"/>
          <w:szCs w:val="20"/>
        </w:rPr>
        <w:t>,</w:t>
      </w:r>
      <w:r w:rsidR="00276A16" w:rsidRPr="0060598C">
        <w:rPr>
          <w:rFonts w:ascii="Arial" w:hAnsi="Arial" w:cs="Arial"/>
          <w:sz w:val="20"/>
          <w:szCs w:val="20"/>
        </w:rPr>
        <w:t xml:space="preserve"> and by extension primary postpartum haemorrhage</w:t>
      </w:r>
      <w:r w:rsidRPr="0060598C">
        <w:rPr>
          <w:rFonts w:ascii="Arial" w:hAnsi="Arial" w:cs="Arial"/>
          <w:sz w:val="20"/>
          <w:szCs w:val="20"/>
        </w:rPr>
        <w:t xml:space="preserve"> (Adanikan et al</w:t>
      </w:r>
      <w:r w:rsidR="00E43625" w:rsidRPr="0060598C">
        <w:rPr>
          <w:rFonts w:ascii="Arial" w:hAnsi="Arial" w:cs="Arial"/>
          <w:sz w:val="20"/>
          <w:szCs w:val="20"/>
        </w:rPr>
        <w:t>.</w:t>
      </w:r>
      <w:r w:rsidRPr="0060598C">
        <w:rPr>
          <w:rFonts w:ascii="Arial" w:hAnsi="Arial" w:cs="Arial"/>
          <w:sz w:val="20"/>
          <w:szCs w:val="20"/>
        </w:rPr>
        <w:t>; 2013)</w:t>
      </w:r>
      <w:r w:rsidR="00276A16" w:rsidRPr="0060598C">
        <w:rPr>
          <w:rFonts w:ascii="Arial" w:hAnsi="Arial" w:cs="Arial"/>
          <w:sz w:val="20"/>
          <w:szCs w:val="20"/>
        </w:rPr>
        <w:t>.</w:t>
      </w:r>
    </w:p>
    <w:p w:rsidR="0067163E" w:rsidRPr="0060598C" w:rsidRDefault="00B91190" w:rsidP="00B67D25">
      <w:pPr>
        <w:spacing w:line="480" w:lineRule="auto"/>
        <w:jc w:val="both"/>
        <w:rPr>
          <w:rFonts w:ascii="Arial" w:hAnsi="Arial" w:cs="Arial"/>
          <w:sz w:val="20"/>
          <w:szCs w:val="20"/>
        </w:rPr>
      </w:pPr>
      <w:r w:rsidRPr="0060598C">
        <w:rPr>
          <w:rFonts w:ascii="Arial" w:hAnsi="Arial" w:cs="Arial"/>
          <w:sz w:val="20"/>
          <w:szCs w:val="20"/>
        </w:rPr>
        <w:t>The study was aimed</w:t>
      </w:r>
      <w:r w:rsidR="000D5DA3" w:rsidRPr="0060598C">
        <w:rPr>
          <w:rFonts w:ascii="Arial" w:hAnsi="Arial" w:cs="Arial"/>
          <w:sz w:val="20"/>
          <w:szCs w:val="20"/>
        </w:rPr>
        <w:t xml:space="preserve"> at</w:t>
      </w:r>
      <w:r w:rsidRPr="0060598C">
        <w:rPr>
          <w:rFonts w:ascii="Arial" w:hAnsi="Arial" w:cs="Arial"/>
          <w:sz w:val="20"/>
          <w:szCs w:val="20"/>
        </w:rPr>
        <w:t xml:space="preserve"> evaluati</w:t>
      </w:r>
      <w:r w:rsidR="00216BB0" w:rsidRPr="0060598C">
        <w:rPr>
          <w:rFonts w:ascii="Arial" w:hAnsi="Arial" w:cs="Arial"/>
          <w:sz w:val="20"/>
          <w:szCs w:val="20"/>
        </w:rPr>
        <w:t xml:space="preserve">ng the effectiveness </w:t>
      </w:r>
      <w:r w:rsidRPr="0060598C">
        <w:rPr>
          <w:rFonts w:ascii="Arial" w:hAnsi="Arial" w:cs="Arial"/>
          <w:sz w:val="20"/>
          <w:szCs w:val="20"/>
        </w:rPr>
        <w:t xml:space="preserve">of adjunctive sublingual misoprostol in reducing intraoperative blood loss during caesarean section. </w:t>
      </w:r>
    </w:p>
    <w:p w:rsidR="00145F6D" w:rsidRPr="0060598C" w:rsidRDefault="00B91190" w:rsidP="00B67D25">
      <w:pPr>
        <w:spacing w:line="480" w:lineRule="auto"/>
        <w:jc w:val="both"/>
        <w:rPr>
          <w:rFonts w:ascii="Arial" w:hAnsi="Arial" w:cs="Arial"/>
          <w:sz w:val="20"/>
          <w:szCs w:val="20"/>
        </w:rPr>
      </w:pPr>
      <w:r w:rsidRPr="0060598C">
        <w:rPr>
          <w:rFonts w:ascii="Arial" w:hAnsi="Arial" w:cs="Arial"/>
          <w:sz w:val="20"/>
          <w:szCs w:val="20"/>
        </w:rPr>
        <w:t xml:space="preserve">The </w:t>
      </w:r>
      <w:r w:rsidR="00BE7F23" w:rsidRPr="0060598C">
        <w:rPr>
          <w:rFonts w:ascii="Arial" w:hAnsi="Arial" w:cs="Arial"/>
          <w:sz w:val="20"/>
          <w:szCs w:val="20"/>
        </w:rPr>
        <w:t xml:space="preserve">objectives of the study were to determine </w:t>
      </w:r>
      <w:r w:rsidRPr="0060598C">
        <w:rPr>
          <w:rFonts w:ascii="Arial" w:hAnsi="Arial" w:cs="Arial"/>
          <w:sz w:val="20"/>
          <w:szCs w:val="20"/>
        </w:rPr>
        <w:t>the estimated intraoperative blood loss d</w:t>
      </w:r>
      <w:r w:rsidR="00126239" w:rsidRPr="0060598C">
        <w:rPr>
          <w:rFonts w:ascii="Arial" w:hAnsi="Arial" w:cs="Arial"/>
          <w:sz w:val="20"/>
          <w:szCs w:val="20"/>
        </w:rPr>
        <w:t>uring caesar</w:t>
      </w:r>
      <w:r w:rsidR="000D5DA3" w:rsidRPr="0060598C">
        <w:rPr>
          <w:rFonts w:ascii="Arial" w:hAnsi="Arial" w:cs="Arial"/>
          <w:sz w:val="20"/>
          <w:szCs w:val="20"/>
        </w:rPr>
        <w:t>ean section in the misoprostol-</w:t>
      </w:r>
      <w:r w:rsidR="00126239" w:rsidRPr="0060598C">
        <w:rPr>
          <w:rFonts w:ascii="Arial" w:hAnsi="Arial" w:cs="Arial"/>
          <w:sz w:val="20"/>
          <w:szCs w:val="20"/>
        </w:rPr>
        <w:t xml:space="preserve">oxytocin </w:t>
      </w:r>
      <w:r w:rsidRPr="0060598C">
        <w:rPr>
          <w:rFonts w:ascii="Arial" w:hAnsi="Arial" w:cs="Arial"/>
          <w:sz w:val="20"/>
          <w:szCs w:val="20"/>
        </w:rPr>
        <w:t>combination study arm and in the oxytocin alone study arm</w:t>
      </w:r>
      <w:r w:rsidR="00BE7F23" w:rsidRPr="0060598C">
        <w:rPr>
          <w:rFonts w:ascii="Arial" w:hAnsi="Arial" w:cs="Arial"/>
          <w:sz w:val="20"/>
          <w:szCs w:val="20"/>
        </w:rPr>
        <w:t>, to determine</w:t>
      </w:r>
      <w:r w:rsidRPr="0060598C">
        <w:rPr>
          <w:rFonts w:ascii="Arial" w:hAnsi="Arial" w:cs="Arial"/>
          <w:sz w:val="20"/>
          <w:szCs w:val="20"/>
        </w:rPr>
        <w:t xml:space="preserve"> the reduction in packed cell volume</w:t>
      </w:r>
      <w:r w:rsidR="00BE7F23" w:rsidRPr="0060598C">
        <w:rPr>
          <w:rFonts w:ascii="Arial" w:hAnsi="Arial" w:cs="Arial"/>
          <w:sz w:val="20"/>
          <w:szCs w:val="20"/>
        </w:rPr>
        <w:t xml:space="preserve"> after caesarean section</w:t>
      </w:r>
      <w:r w:rsidR="0067163E" w:rsidRPr="0060598C">
        <w:rPr>
          <w:rFonts w:ascii="Arial" w:hAnsi="Arial" w:cs="Arial"/>
          <w:sz w:val="20"/>
          <w:szCs w:val="20"/>
        </w:rPr>
        <w:t xml:space="preserve"> in the misoprostol-oxytocin combination study arm and in the oxytocin alone study arm</w:t>
      </w:r>
      <w:r w:rsidR="000C0519" w:rsidRPr="0060598C">
        <w:rPr>
          <w:rFonts w:ascii="Arial" w:hAnsi="Arial" w:cs="Arial"/>
          <w:sz w:val="20"/>
          <w:szCs w:val="20"/>
        </w:rPr>
        <w:t xml:space="preserve">, to compare the estimated </w:t>
      </w:r>
      <w:r w:rsidR="000D5DA3" w:rsidRPr="0060598C">
        <w:rPr>
          <w:rFonts w:ascii="Arial" w:hAnsi="Arial" w:cs="Arial"/>
          <w:sz w:val="20"/>
          <w:szCs w:val="20"/>
        </w:rPr>
        <w:t>intraoperative</w:t>
      </w:r>
      <w:r w:rsidR="000C0519" w:rsidRPr="0060598C">
        <w:rPr>
          <w:rFonts w:ascii="Arial" w:hAnsi="Arial" w:cs="Arial"/>
          <w:sz w:val="20"/>
          <w:szCs w:val="20"/>
        </w:rPr>
        <w:t xml:space="preserve"> blood lo</w:t>
      </w:r>
      <w:r w:rsidR="000D5DA3" w:rsidRPr="0060598C">
        <w:rPr>
          <w:rFonts w:ascii="Arial" w:hAnsi="Arial" w:cs="Arial"/>
          <w:sz w:val="20"/>
          <w:szCs w:val="20"/>
        </w:rPr>
        <w:t>ss during caesa</w:t>
      </w:r>
      <w:r w:rsidR="000C0519" w:rsidRPr="0060598C">
        <w:rPr>
          <w:rFonts w:ascii="Arial" w:hAnsi="Arial" w:cs="Arial"/>
          <w:sz w:val="20"/>
          <w:szCs w:val="20"/>
        </w:rPr>
        <w:t>rean section  between the study arm</w:t>
      </w:r>
      <w:r w:rsidR="000D5DA3" w:rsidRPr="0060598C">
        <w:rPr>
          <w:rFonts w:ascii="Arial" w:hAnsi="Arial" w:cs="Arial"/>
          <w:sz w:val="20"/>
          <w:szCs w:val="20"/>
        </w:rPr>
        <w:t>s,</w:t>
      </w:r>
      <w:r w:rsidR="000C0519" w:rsidRPr="0060598C">
        <w:rPr>
          <w:rFonts w:ascii="Arial" w:hAnsi="Arial" w:cs="Arial"/>
          <w:sz w:val="20"/>
          <w:szCs w:val="20"/>
        </w:rPr>
        <w:t xml:space="preserve"> and to compare the </w:t>
      </w:r>
      <w:r w:rsidR="000D5DA3" w:rsidRPr="0060598C">
        <w:rPr>
          <w:rFonts w:ascii="Arial" w:hAnsi="Arial" w:cs="Arial"/>
          <w:sz w:val="20"/>
          <w:szCs w:val="20"/>
        </w:rPr>
        <w:t>reduction in the packed cell vo</w:t>
      </w:r>
      <w:r w:rsidR="000C0519" w:rsidRPr="0060598C">
        <w:rPr>
          <w:rFonts w:ascii="Arial" w:hAnsi="Arial" w:cs="Arial"/>
          <w:sz w:val="20"/>
          <w:szCs w:val="20"/>
        </w:rPr>
        <w:t xml:space="preserve">lume after </w:t>
      </w:r>
      <w:r w:rsidR="000D5DA3" w:rsidRPr="0060598C">
        <w:rPr>
          <w:rFonts w:ascii="Arial" w:hAnsi="Arial" w:cs="Arial"/>
          <w:sz w:val="20"/>
          <w:szCs w:val="20"/>
        </w:rPr>
        <w:t>caesarean</w:t>
      </w:r>
      <w:r w:rsidR="000C0519" w:rsidRPr="0060598C">
        <w:rPr>
          <w:rFonts w:ascii="Arial" w:hAnsi="Arial" w:cs="Arial"/>
          <w:sz w:val="20"/>
          <w:szCs w:val="20"/>
        </w:rPr>
        <w:t xml:space="preserve"> </w:t>
      </w:r>
      <w:r w:rsidR="000D5DA3" w:rsidRPr="0060598C">
        <w:rPr>
          <w:rFonts w:ascii="Arial" w:hAnsi="Arial" w:cs="Arial"/>
          <w:sz w:val="20"/>
          <w:szCs w:val="20"/>
        </w:rPr>
        <w:t>section</w:t>
      </w:r>
      <w:r w:rsidR="000C0519" w:rsidRPr="0060598C">
        <w:rPr>
          <w:rFonts w:ascii="Arial" w:hAnsi="Arial" w:cs="Arial"/>
          <w:sz w:val="20"/>
          <w:szCs w:val="20"/>
        </w:rPr>
        <w:t xml:space="preserve"> </w:t>
      </w:r>
      <w:r w:rsidR="000D5DA3" w:rsidRPr="0060598C">
        <w:rPr>
          <w:rFonts w:ascii="Arial" w:hAnsi="Arial" w:cs="Arial"/>
          <w:sz w:val="20"/>
          <w:szCs w:val="20"/>
        </w:rPr>
        <w:t>between</w:t>
      </w:r>
      <w:r w:rsidR="000C0519" w:rsidRPr="0060598C">
        <w:rPr>
          <w:rFonts w:ascii="Arial" w:hAnsi="Arial" w:cs="Arial"/>
          <w:sz w:val="20"/>
          <w:szCs w:val="20"/>
        </w:rPr>
        <w:t xml:space="preserve"> the study arms.</w:t>
      </w:r>
    </w:p>
    <w:p w:rsidR="00150019" w:rsidRPr="0060598C" w:rsidRDefault="00567193" w:rsidP="00B67D25">
      <w:pPr>
        <w:tabs>
          <w:tab w:val="left" w:pos="3574"/>
        </w:tabs>
        <w:spacing w:line="240" w:lineRule="auto"/>
        <w:rPr>
          <w:rFonts w:ascii="Arial" w:hAnsi="Arial" w:cs="Arial"/>
          <w:b/>
        </w:rPr>
      </w:pPr>
      <w:r w:rsidRPr="0060598C">
        <w:rPr>
          <w:rFonts w:ascii="Arial" w:hAnsi="Arial" w:cs="Arial"/>
          <w:b/>
        </w:rPr>
        <w:t xml:space="preserve">2. </w:t>
      </w:r>
      <w:r w:rsidR="002D3B8B" w:rsidRPr="0060598C">
        <w:rPr>
          <w:rFonts w:ascii="Arial" w:hAnsi="Arial" w:cs="Arial"/>
          <w:b/>
        </w:rPr>
        <w:t>METHODOLOGY</w:t>
      </w:r>
      <w:r w:rsidR="00B67D25" w:rsidRPr="0060598C">
        <w:rPr>
          <w:rFonts w:ascii="Arial" w:hAnsi="Arial" w:cs="Arial"/>
          <w:b/>
        </w:rPr>
        <w:tab/>
      </w:r>
    </w:p>
    <w:p w:rsidR="00AD0597" w:rsidRPr="0060598C" w:rsidRDefault="00567193" w:rsidP="00374C98">
      <w:pPr>
        <w:spacing w:before="240" w:line="240" w:lineRule="auto"/>
        <w:contextualSpacing/>
        <w:jc w:val="both"/>
        <w:rPr>
          <w:rFonts w:ascii="Arial" w:hAnsi="Arial" w:cs="Arial"/>
          <w:b/>
        </w:rPr>
      </w:pPr>
      <w:r w:rsidRPr="0060598C">
        <w:rPr>
          <w:rFonts w:ascii="Arial" w:hAnsi="Arial" w:cs="Arial"/>
          <w:b/>
        </w:rPr>
        <w:lastRenderedPageBreak/>
        <w:t xml:space="preserve">2.1 </w:t>
      </w:r>
      <w:r w:rsidR="00EC693F" w:rsidRPr="0060598C">
        <w:rPr>
          <w:rFonts w:ascii="Arial" w:hAnsi="Arial" w:cs="Arial"/>
          <w:b/>
        </w:rPr>
        <w:t>Study s</w:t>
      </w:r>
      <w:r w:rsidR="0083041B" w:rsidRPr="0060598C">
        <w:rPr>
          <w:rFonts w:ascii="Arial" w:hAnsi="Arial" w:cs="Arial"/>
          <w:b/>
        </w:rPr>
        <w:t>ite</w:t>
      </w:r>
    </w:p>
    <w:p w:rsidR="00567193" w:rsidRPr="0060598C" w:rsidRDefault="00567193" w:rsidP="00374C98">
      <w:pPr>
        <w:spacing w:before="240" w:line="240" w:lineRule="auto"/>
        <w:contextualSpacing/>
        <w:jc w:val="both"/>
        <w:rPr>
          <w:rFonts w:ascii="Arial" w:hAnsi="Arial" w:cs="Arial"/>
          <w:b/>
        </w:rPr>
      </w:pPr>
    </w:p>
    <w:p w:rsidR="00EC693F" w:rsidRPr="0060598C" w:rsidRDefault="00384AF1" w:rsidP="00567193">
      <w:pPr>
        <w:spacing w:before="240" w:line="480" w:lineRule="auto"/>
        <w:contextualSpacing/>
        <w:jc w:val="both"/>
        <w:rPr>
          <w:rFonts w:ascii="Arial" w:hAnsi="Arial" w:cs="Arial"/>
          <w:sz w:val="20"/>
          <w:szCs w:val="20"/>
        </w:rPr>
      </w:pPr>
      <w:r w:rsidRPr="0060598C">
        <w:rPr>
          <w:rFonts w:ascii="Arial" w:hAnsi="Arial" w:cs="Arial"/>
          <w:sz w:val="20"/>
          <w:szCs w:val="20"/>
        </w:rPr>
        <w:t xml:space="preserve">This study was carried out at the Obstetrics and Gynaecology department of the Federal Medical Centre, </w:t>
      </w:r>
      <w:r w:rsidR="0083041B" w:rsidRPr="0060598C">
        <w:rPr>
          <w:rFonts w:ascii="Arial" w:hAnsi="Arial" w:cs="Arial"/>
          <w:sz w:val="20"/>
          <w:szCs w:val="20"/>
        </w:rPr>
        <w:t>Yenagoa, Bayelsa State, Nigeria. The hospital is the foremost tertiary hospital in Bayelsa</w:t>
      </w:r>
      <w:r w:rsidR="00EC693F" w:rsidRPr="0060598C">
        <w:rPr>
          <w:rFonts w:ascii="Arial" w:hAnsi="Arial" w:cs="Arial"/>
          <w:sz w:val="20"/>
          <w:szCs w:val="20"/>
        </w:rPr>
        <w:t xml:space="preserve"> and receives patients from primary, secondary, tertiary and private </w:t>
      </w:r>
      <w:r w:rsidR="00EF19DC" w:rsidRPr="0060598C">
        <w:rPr>
          <w:rFonts w:ascii="Arial" w:hAnsi="Arial" w:cs="Arial"/>
          <w:sz w:val="20"/>
          <w:szCs w:val="20"/>
        </w:rPr>
        <w:t xml:space="preserve">hospitals in the state. </w:t>
      </w:r>
    </w:p>
    <w:p w:rsidR="00AD0597" w:rsidRPr="0060598C" w:rsidRDefault="00567193" w:rsidP="00374C98">
      <w:pPr>
        <w:spacing w:before="240" w:line="240" w:lineRule="auto"/>
        <w:contextualSpacing/>
        <w:jc w:val="both"/>
        <w:rPr>
          <w:rFonts w:ascii="Arial" w:hAnsi="Arial" w:cs="Arial"/>
          <w:b/>
        </w:rPr>
      </w:pPr>
      <w:r w:rsidRPr="0060598C">
        <w:rPr>
          <w:rFonts w:ascii="Arial" w:hAnsi="Arial" w:cs="Arial"/>
          <w:b/>
        </w:rPr>
        <w:t xml:space="preserve">2.2 </w:t>
      </w:r>
      <w:r w:rsidR="00EC693F" w:rsidRPr="0060598C">
        <w:rPr>
          <w:rFonts w:ascii="Arial" w:hAnsi="Arial" w:cs="Arial"/>
          <w:b/>
        </w:rPr>
        <w:t>Study d</w:t>
      </w:r>
      <w:r w:rsidR="00AD0597" w:rsidRPr="0060598C">
        <w:rPr>
          <w:rFonts w:ascii="Arial" w:hAnsi="Arial" w:cs="Arial"/>
          <w:b/>
        </w:rPr>
        <w:t>esign</w:t>
      </w:r>
    </w:p>
    <w:p w:rsidR="00567193" w:rsidRPr="0060598C" w:rsidRDefault="00567193" w:rsidP="00374C98">
      <w:pPr>
        <w:spacing w:before="240" w:line="240" w:lineRule="auto"/>
        <w:contextualSpacing/>
        <w:jc w:val="both"/>
        <w:rPr>
          <w:rFonts w:ascii="Arial" w:hAnsi="Arial" w:cs="Arial"/>
          <w:b/>
        </w:rPr>
      </w:pPr>
    </w:p>
    <w:p w:rsidR="00EC693F" w:rsidRPr="0060598C" w:rsidRDefault="00EC693F" w:rsidP="00567193">
      <w:pPr>
        <w:spacing w:before="240" w:line="480" w:lineRule="auto"/>
        <w:contextualSpacing/>
        <w:jc w:val="both"/>
        <w:rPr>
          <w:rFonts w:ascii="Arial" w:hAnsi="Arial" w:cs="Arial"/>
          <w:sz w:val="20"/>
          <w:szCs w:val="20"/>
        </w:rPr>
      </w:pPr>
      <w:r w:rsidRPr="0060598C">
        <w:rPr>
          <w:rFonts w:ascii="Arial" w:hAnsi="Arial" w:cs="Arial"/>
          <w:sz w:val="20"/>
          <w:szCs w:val="20"/>
        </w:rPr>
        <w:t>The study was a r</w:t>
      </w:r>
      <w:r w:rsidR="00AD0597" w:rsidRPr="0060598C">
        <w:rPr>
          <w:rFonts w:ascii="Arial" w:hAnsi="Arial" w:cs="Arial"/>
          <w:sz w:val="20"/>
          <w:szCs w:val="20"/>
        </w:rPr>
        <w:t>andomised controlled trial (superiority design)</w:t>
      </w:r>
      <w:r w:rsidRPr="0060598C">
        <w:rPr>
          <w:rFonts w:ascii="Arial" w:hAnsi="Arial" w:cs="Arial"/>
          <w:sz w:val="20"/>
          <w:szCs w:val="20"/>
        </w:rPr>
        <w:t>. It was carried out from 1</w:t>
      </w:r>
      <w:r w:rsidRPr="0060598C">
        <w:rPr>
          <w:rFonts w:ascii="Arial" w:hAnsi="Arial" w:cs="Arial"/>
          <w:sz w:val="20"/>
          <w:szCs w:val="20"/>
          <w:vertAlign w:val="superscript"/>
        </w:rPr>
        <w:t>st</w:t>
      </w:r>
      <w:r w:rsidRPr="0060598C">
        <w:rPr>
          <w:rFonts w:ascii="Arial" w:hAnsi="Arial" w:cs="Arial"/>
          <w:sz w:val="20"/>
          <w:szCs w:val="20"/>
        </w:rPr>
        <w:t xml:space="preserve"> March to 30</w:t>
      </w:r>
      <w:r w:rsidRPr="0060598C">
        <w:rPr>
          <w:rFonts w:ascii="Arial" w:hAnsi="Arial" w:cs="Arial"/>
          <w:sz w:val="20"/>
          <w:szCs w:val="20"/>
          <w:vertAlign w:val="superscript"/>
        </w:rPr>
        <w:t>th</w:t>
      </w:r>
      <w:r w:rsidRPr="0060598C">
        <w:rPr>
          <w:rFonts w:ascii="Arial" w:hAnsi="Arial" w:cs="Arial"/>
          <w:sz w:val="20"/>
          <w:szCs w:val="20"/>
        </w:rPr>
        <w:t xml:space="preserve"> December 2024.</w:t>
      </w:r>
    </w:p>
    <w:p w:rsidR="00AD0597" w:rsidRPr="0060598C" w:rsidRDefault="00567193" w:rsidP="00374C98">
      <w:pPr>
        <w:spacing w:before="240" w:line="240" w:lineRule="auto"/>
        <w:contextualSpacing/>
        <w:jc w:val="both"/>
        <w:rPr>
          <w:rFonts w:ascii="Arial" w:hAnsi="Arial" w:cs="Arial"/>
          <w:b/>
        </w:rPr>
      </w:pPr>
      <w:r w:rsidRPr="0060598C">
        <w:rPr>
          <w:rFonts w:ascii="Arial" w:hAnsi="Arial" w:cs="Arial"/>
          <w:b/>
        </w:rPr>
        <w:t xml:space="preserve">2.3 </w:t>
      </w:r>
      <w:r w:rsidR="00EC693F" w:rsidRPr="0060598C">
        <w:rPr>
          <w:rFonts w:ascii="Arial" w:hAnsi="Arial" w:cs="Arial"/>
          <w:b/>
        </w:rPr>
        <w:t>Inclusion c</w:t>
      </w:r>
      <w:r w:rsidR="00AD0597" w:rsidRPr="0060598C">
        <w:rPr>
          <w:rFonts w:ascii="Arial" w:hAnsi="Arial" w:cs="Arial"/>
          <w:b/>
        </w:rPr>
        <w:t>riteria</w:t>
      </w:r>
    </w:p>
    <w:p w:rsidR="00567193" w:rsidRPr="0060598C" w:rsidRDefault="00567193" w:rsidP="00374C98">
      <w:pPr>
        <w:spacing w:before="240" w:line="240" w:lineRule="auto"/>
        <w:contextualSpacing/>
        <w:jc w:val="both"/>
        <w:rPr>
          <w:rFonts w:ascii="Arial" w:hAnsi="Arial" w:cs="Arial"/>
          <w:b/>
        </w:rPr>
      </w:pPr>
    </w:p>
    <w:p w:rsidR="00E43625" w:rsidRPr="0060598C" w:rsidRDefault="00EC693F" w:rsidP="00567193">
      <w:pPr>
        <w:spacing w:before="240" w:line="480" w:lineRule="auto"/>
        <w:contextualSpacing/>
        <w:jc w:val="both"/>
        <w:rPr>
          <w:rFonts w:ascii="Arial" w:hAnsi="Arial" w:cs="Arial"/>
          <w:sz w:val="20"/>
          <w:szCs w:val="20"/>
        </w:rPr>
      </w:pPr>
      <w:r w:rsidRPr="0060598C">
        <w:rPr>
          <w:rFonts w:ascii="Arial" w:hAnsi="Arial" w:cs="Arial"/>
          <w:sz w:val="20"/>
          <w:szCs w:val="20"/>
        </w:rPr>
        <w:t xml:space="preserve">Included in this trial were </w:t>
      </w:r>
      <w:r w:rsidR="00384AF1" w:rsidRPr="0060598C">
        <w:rPr>
          <w:rFonts w:ascii="Arial" w:hAnsi="Arial" w:cs="Arial"/>
          <w:sz w:val="20"/>
          <w:szCs w:val="20"/>
        </w:rPr>
        <w:t>pregnant women at term (37</w:t>
      </w:r>
      <w:r w:rsidR="00384AF1" w:rsidRPr="0060598C">
        <w:rPr>
          <w:rFonts w:ascii="Arial" w:hAnsi="Arial" w:cs="Arial"/>
          <w:sz w:val="20"/>
          <w:szCs w:val="20"/>
          <w:vertAlign w:val="superscript"/>
        </w:rPr>
        <w:t>+0</w:t>
      </w:r>
      <w:r w:rsidR="00384AF1" w:rsidRPr="0060598C">
        <w:rPr>
          <w:rFonts w:ascii="Arial" w:hAnsi="Arial" w:cs="Arial"/>
          <w:sz w:val="20"/>
          <w:szCs w:val="20"/>
        </w:rPr>
        <w:t xml:space="preserve"> weeks to 41</w:t>
      </w:r>
      <w:r w:rsidR="00384AF1" w:rsidRPr="0060598C">
        <w:rPr>
          <w:rFonts w:ascii="Arial" w:hAnsi="Arial" w:cs="Arial"/>
          <w:sz w:val="20"/>
          <w:szCs w:val="20"/>
          <w:vertAlign w:val="superscript"/>
        </w:rPr>
        <w:t>+6</w:t>
      </w:r>
      <w:r w:rsidR="00384AF1" w:rsidRPr="0060598C">
        <w:rPr>
          <w:rFonts w:ascii="Arial" w:hAnsi="Arial" w:cs="Arial"/>
          <w:sz w:val="20"/>
          <w:szCs w:val="20"/>
        </w:rPr>
        <w:t xml:space="preserve"> weeks gestational age) for elective or non-elective caesarean sections</w:t>
      </w:r>
      <w:r w:rsidR="00BD7898" w:rsidRPr="0060598C">
        <w:rPr>
          <w:rFonts w:ascii="Arial" w:hAnsi="Arial" w:cs="Arial"/>
          <w:sz w:val="20"/>
          <w:szCs w:val="20"/>
        </w:rPr>
        <w:t>. Parturients who had</w:t>
      </w:r>
      <w:r w:rsidR="00126239" w:rsidRPr="0060598C">
        <w:rPr>
          <w:rFonts w:ascii="Arial" w:hAnsi="Arial" w:cs="Arial"/>
          <w:sz w:val="20"/>
          <w:szCs w:val="20"/>
        </w:rPr>
        <w:t xml:space="preserve"> </w:t>
      </w:r>
      <w:r w:rsidR="00384AF1" w:rsidRPr="0060598C">
        <w:rPr>
          <w:rFonts w:ascii="Arial" w:hAnsi="Arial" w:cs="Arial"/>
          <w:sz w:val="20"/>
          <w:szCs w:val="20"/>
        </w:rPr>
        <w:t>risk factor</w:t>
      </w:r>
      <w:r w:rsidR="00BD7898" w:rsidRPr="0060598C">
        <w:rPr>
          <w:rFonts w:ascii="Arial" w:hAnsi="Arial" w:cs="Arial"/>
          <w:sz w:val="20"/>
          <w:szCs w:val="20"/>
        </w:rPr>
        <w:t>s</w:t>
      </w:r>
      <w:r w:rsidR="00384AF1" w:rsidRPr="0060598C">
        <w:rPr>
          <w:rFonts w:ascii="Arial" w:hAnsi="Arial" w:cs="Arial"/>
          <w:sz w:val="20"/>
          <w:szCs w:val="20"/>
        </w:rPr>
        <w:t xml:space="preserve"> for primary postpartum haemorrhage. </w:t>
      </w:r>
    </w:p>
    <w:p w:rsidR="00EC693F" w:rsidRPr="0060598C" w:rsidRDefault="00567193" w:rsidP="00567193">
      <w:pPr>
        <w:tabs>
          <w:tab w:val="left" w:pos="2439"/>
        </w:tabs>
        <w:spacing w:before="240" w:line="240" w:lineRule="auto"/>
        <w:contextualSpacing/>
        <w:jc w:val="both"/>
        <w:rPr>
          <w:rFonts w:ascii="Arial" w:hAnsi="Arial" w:cs="Arial"/>
          <w:b/>
        </w:rPr>
      </w:pPr>
      <w:r w:rsidRPr="0060598C">
        <w:rPr>
          <w:rFonts w:ascii="Arial" w:hAnsi="Arial" w:cs="Arial"/>
          <w:b/>
        </w:rPr>
        <w:t xml:space="preserve">2.4 </w:t>
      </w:r>
      <w:r w:rsidR="00EC693F" w:rsidRPr="0060598C">
        <w:rPr>
          <w:rFonts w:ascii="Arial" w:hAnsi="Arial" w:cs="Arial"/>
          <w:b/>
        </w:rPr>
        <w:t>Exclusion criteria</w:t>
      </w:r>
      <w:r w:rsidRPr="0060598C">
        <w:rPr>
          <w:rFonts w:ascii="Arial" w:hAnsi="Arial" w:cs="Arial"/>
          <w:b/>
        </w:rPr>
        <w:tab/>
      </w:r>
    </w:p>
    <w:p w:rsidR="00567193" w:rsidRPr="0060598C" w:rsidRDefault="00567193" w:rsidP="00567193">
      <w:pPr>
        <w:tabs>
          <w:tab w:val="left" w:pos="2439"/>
        </w:tabs>
        <w:spacing w:before="240" w:line="240" w:lineRule="auto"/>
        <w:contextualSpacing/>
        <w:jc w:val="both"/>
        <w:rPr>
          <w:rFonts w:ascii="Arial" w:hAnsi="Arial" w:cs="Arial"/>
          <w:b/>
          <w:sz w:val="24"/>
          <w:szCs w:val="24"/>
        </w:rPr>
      </w:pPr>
    </w:p>
    <w:p w:rsidR="00AD0597" w:rsidRPr="0060598C" w:rsidRDefault="00384AF1" w:rsidP="00567193">
      <w:pPr>
        <w:spacing w:before="240" w:line="480" w:lineRule="auto"/>
        <w:contextualSpacing/>
        <w:jc w:val="both"/>
        <w:rPr>
          <w:rFonts w:ascii="Arial" w:hAnsi="Arial" w:cs="Arial"/>
          <w:sz w:val="20"/>
          <w:szCs w:val="20"/>
        </w:rPr>
      </w:pPr>
      <w:r w:rsidRPr="0060598C">
        <w:rPr>
          <w:rFonts w:ascii="Arial" w:hAnsi="Arial" w:cs="Arial"/>
          <w:sz w:val="20"/>
          <w:szCs w:val="20"/>
        </w:rPr>
        <w:t>Women excluded from the study were those with: caesarean sections for dire emergencies (umbilical cord prolapse, suspected fetal distress and active antepartum haemorrhage), caesarean section done under general anaesthesia, previous caesarean sections or other uterine surgeri</w:t>
      </w:r>
      <w:r w:rsidR="00EC693F" w:rsidRPr="0060598C">
        <w:rPr>
          <w:rFonts w:ascii="Arial" w:hAnsi="Arial" w:cs="Arial"/>
          <w:sz w:val="20"/>
          <w:szCs w:val="20"/>
        </w:rPr>
        <w:t>es, and allergy to misoprostol</w:t>
      </w:r>
      <w:r w:rsidR="00BD7898" w:rsidRPr="0060598C">
        <w:rPr>
          <w:rFonts w:ascii="Arial" w:hAnsi="Arial" w:cs="Arial"/>
          <w:sz w:val="20"/>
          <w:szCs w:val="20"/>
        </w:rPr>
        <w:t xml:space="preserve"> or oxytocin</w:t>
      </w:r>
      <w:r w:rsidR="00EC693F" w:rsidRPr="0060598C">
        <w:rPr>
          <w:rFonts w:ascii="Arial" w:hAnsi="Arial" w:cs="Arial"/>
          <w:sz w:val="20"/>
          <w:szCs w:val="20"/>
        </w:rPr>
        <w:t xml:space="preserve">. Also, excluded were women with </w:t>
      </w:r>
      <w:r w:rsidRPr="0060598C">
        <w:rPr>
          <w:rFonts w:ascii="Arial" w:hAnsi="Arial" w:cs="Arial"/>
          <w:sz w:val="20"/>
          <w:szCs w:val="20"/>
        </w:rPr>
        <w:t>known history of hepatic, renal and haematological disorders, fever (temperature ≥ 37.5</w:t>
      </w:r>
      <w:r w:rsidRPr="0060598C">
        <w:rPr>
          <w:rFonts w:ascii="Arial" w:hAnsi="Arial" w:cs="Arial"/>
          <w:sz w:val="20"/>
          <w:szCs w:val="20"/>
          <w:vertAlign w:val="superscript"/>
        </w:rPr>
        <w:t>0</w:t>
      </w:r>
      <w:r w:rsidRPr="0060598C">
        <w:rPr>
          <w:rFonts w:ascii="Arial" w:hAnsi="Arial" w:cs="Arial"/>
          <w:sz w:val="20"/>
          <w:szCs w:val="20"/>
        </w:rPr>
        <w:t>c), pre-operative anaemia (pre-operative haematocrit level &lt; 30 %) and eclampsia.</w:t>
      </w:r>
      <w:r w:rsidR="00F42260" w:rsidRPr="0060598C">
        <w:rPr>
          <w:rFonts w:ascii="Arial" w:hAnsi="Arial" w:cs="Arial"/>
          <w:sz w:val="20"/>
          <w:szCs w:val="20"/>
        </w:rPr>
        <w:t xml:space="preserve"> </w:t>
      </w:r>
    </w:p>
    <w:p w:rsidR="00567193" w:rsidRPr="0060598C" w:rsidRDefault="00567193" w:rsidP="00374C98">
      <w:pPr>
        <w:spacing w:before="240" w:line="240" w:lineRule="auto"/>
        <w:contextualSpacing/>
        <w:jc w:val="both"/>
        <w:rPr>
          <w:rFonts w:ascii="Arial" w:hAnsi="Arial" w:cs="Arial"/>
          <w:sz w:val="24"/>
          <w:szCs w:val="24"/>
        </w:rPr>
      </w:pPr>
    </w:p>
    <w:p w:rsidR="00D57E38" w:rsidRPr="0060598C" w:rsidRDefault="00567193" w:rsidP="00716CC2">
      <w:pPr>
        <w:spacing w:before="240" w:line="240" w:lineRule="auto"/>
        <w:contextualSpacing/>
        <w:jc w:val="both"/>
        <w:rPr>
          <w:rFonts w:ascii="Arial" w:hAnsi="Arial" w:cs="Arial"/>
          <w:b/>
        </w:rPr>
      </w:pPr>
      <w:r w:rsidRPr="0060598C">
        <w:rPr>
          <w:rFonts w:ascii="Arial" w:hAnsi="Arial" w:cs="Arial"/>
          <w:b/>
        </w:rPr>
        <w:t xml:space="preserve">2.5 </w:t>
      </w:r>
      <w:r w:rsidR="00EF19DC" w:rsidRPr="0060598C">
        <w:rPr>
          <w:rFonts w:ascii="Arial" w:hAnsi="Arial" w:cs="Arial"/>
          <w:b/>
        </w:rPr>
        <w:t>Sample size</w:t>
      </w:r>
    </w:p>
    <w:p w:rsidR="00716CC2" w:rsidRPr="0060598C" w:rsidRDefault="00716CC2" w:rsidP="00716CC2">
      <w:pPr>
        <w:spacing w:before="240" w:line="240" w:lineRule="auto"/>
        <w:contextualSpacing/>
        <w:jc w:val="both"/>
        <w:rPr>
          <w:rFonts w:ascii="Arial" w:hAnsi="Arial" w:cs="Arial"/>
          <w:b/>
        </w:rPr>
      </w:pPr>
    </w:p>
    <w:p w:rsidR="00716CC2" w:rsidRPr="0060598C" w:rsidRDefault="00716CC2" w:rsidP="00716CC2">
      <w:pPr>
        <w:spacing w:line="480" w:lineRule="auto"/>
        <w:jc w:val="both"/>
        <w:rPr>
          <w:rFonts w:ascii="Arial" w:hAnsi="Arial" w:cs="Arial"/>
          <w:sz w:val="20"/>
          <w:szCs w:val="20"/>
        </w:rPr>
      </w:pPr>
      <w:r w:rsidRPr="0060598C">
        <w:rPr>
          <w:rFonts w:ascii="Arial" w:hAnsi="Arial" w:cs="Arial"/>
          <w:sz w:val="20"/>
          <w:szCs w:val="20"/>
        </w:rPr>
        <w:t>A sample size of 152 was gotten using the formula for calculating sample size for a superiority randomized controlled trial; as shown below:</w:t>
      </w:r>
    </w:p>
    <w:p w:rsidR="00716CC2" w:rsidRPr="0060598C" w:rsidRDefault="00716CC2" w:rsidP="00716CC2">
      <w:pPr>
        <w:tabs>
          <w:tab w:val="left" w:pos="5557"/>
        </w:tabs>
        <w:spacing w:line="480" w:lineRule="auto"/>
        <w:jc w:val="both"/>
        <w:rPr>
          <w:rFonts w:ascii="Arial" w:eastAsiaTheme="minorEastAsia" w:hAnsi="Arial" w:cs="Arial"/>
          <w:sz w:val="20"/>
          <w:szCs w:val="20"/>
        </w:rPr>
      </w:pPr>
      <w:r w:rsidRPr="0060598C">
        <w:rPr>
          <w:rFonts w:ascii="Arial" w:hAnsi="Arial" w:cs="Arial"/>
          <w:sz w:val="20"/>
          <w:szCs w:val="20"/>
        </w:rPr>
        <w:t xml:space="preserve">                                                       </w:t>
      </w:r>
      <m:oMath>
        <m:r>
          <w:rPr>
            <w:rFonts w:ascii="Cambria Math" w:hAnsi="Cambria Math" w:cs="Arial"/>
            <w:sz w:val="20"/>
            <w:szCs w:val="20"/>
          </w:rPr>
          <m:t>n=</m:t>
        </m:r>
        <m:f>
          <m:fPr>
            <m:ctrlPr>
              <w:rPr>
                <w:rFonts w:ascii="Cambria Math" w:hAnsi="Cambria Math" w:cs="Arial"/>
                <w:i/>
                <w:sz w:val="20"/>
                <w:szCs w:val="20"/>
              </w:rPr>
            </m:ctrlPr>
          </m:fPr>
          <m:num>
            <m:r>
              <w:rPr>
                <w:rFonts w:ascii="Cambria Math" w:hAnsi="Cambria Math" w:cs="Arial"/>
                <w:sz w:val="20"/>
                <w:szCs w:val="20"/>
              </w:rPr>
              <m:t xml:space="preserve">2 X </m:t>
            </m:r>
            <m:sSup>
              <m:sSupPr>
                <m:ctrlPr>
                  <w:rPr>
                    <w:rFonts w:ascii="Cambria Math" w:hAnsi="Cambria Math" w:cs="Arial"/>
                    <w:i/>
                    <w:sz w:val="20"/>
                    <w:szCs w:val="20"/>
                  </w:rPr>
                </m:ctrlPr>
              </m:sSupPr>
              <m:e>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α</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в</m:t>
                    </m:r>
                  </m:sub>
                </m:sSub>
                <m:r>
                  <w:rPr>
                    <w:rFonts w:ascii="Cambria Math" w:hAnsi="Cambria Math" w:cs="Arial"/>
                    <w:sz w:val="20"/>
                    <w:szCs w:val="20"/>
                  </w:rPr>
                  <m:t xml:space="preserve">  )</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num>
          <m:den>
            <m:sSup>
              <m:sSupPr>
                <m:ctrlPr>
                  <w:rPr>
                    <w:rFonts w:ascii="Cambria Math" w:hAnsi="Cambria Math" w:cs="Arial"/>
                    <w:i/>
                    <w:sz w:val="20"/>
                    <w:szCs w:val="20"/>
                  </w:rPr>
                </m:ctrlPr>
              </m:sSupPr>
              <m:e>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μ</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μ</m:t>
                    </m:r>
                  </m:e>
                  <m:sub>
                    <m:r>
                      <w:rPr>
                        <w:rFonts w:ascii="Cambria Math" w:hAnsi="Cambria Math" w:cs="Arial"/>
                        <w:sz w:val="20"/>
                        <w:szCs w:val="20"/>
                      </w:rPr>
                      <m:t xml:space="preserve">2 </m:t>
                    </m:r>
                  </m:sub>
                </m:sSub>
                <m:r>
                  <w:rPr>
                    <w:rFonts w:ascii="Cambria Math" w:hAnsi="Cambria Math" w:cs="Arial"/>
                    <w:sz w:val="20"/>
                    <w:szCs w:val="20"/>
                  </w:rPr>
                  <m:t xml:space="preserve"> - ẟ)</m:t>
                </m:r>
              </m:e>
              <m:sup>
                <m:r>
                  <w:rPr>
                    <w:rFonts w:ascii="Cambria Math" w:hAnsi="Cambria Math" w:cs="Arial"/>
                    <w:sz w:val="20"/>
                    <w:szCs w:val="20"/>
                  </w:rPr>
                  <m:t>2</m:t>
                </m:r>
              </m:sup>
            </m:sSup>
          </m:den>
        </m:f>
      </m:oMath>
    </w:p>
    <w:p w:rsidR="00716CC2" w:rsidRPr="0060598C" w:rsidRDefault="00716CC2" w:rsidP="00716CC2">
      <w:pPr>
        <w:spacing w:line="480" w:lineRule="auto"/>
        <w:jc w:val="both"/>
        <w:rPr>
          <w:rFonts w:ascii="Arial" w:eastAsiaTheme="minorEastAsia" w:hAnsi="Arial" w:cs="Arial"/>
          <w:sz w:val="20"/>
          <w:szCs w:val="20"/>
        </w:rPr>
      </w:pPr>
      <w:r w:rsidRPr="0060598C">
        <w:rPr>
          <w:rFonts w:ascii="Arial" w:eastAsiaTheme="minorEastAsia" w:hAnsi="Arial" w:cs="Arial"/>
          <w:sz w:val="20"/>
          <w:szCs w:val="20"/>
        </w:rPr>
        <w:t xml:space="preserve">Where ‘n’ is the minimum sample size needed for the study, </w:t>
      </w:r>
      <m:oMath>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α</m:t>
            </m:r>
          </m:sub>
        </m:sSub>
      </m:oMath>
      <w:r w:rsidRPr="0060598C">
        <w:rPr>
          <w:rFonts w:ascii="Arial" w:eastAsiaTheme="minorEastAsia" w:hAnsi="Arial" w:cs="Arial"/>
          <w:sz w:val="20"/>
          <w:szCs w:val="20"/>
        </w:rPr>
        <w:t xml:space="preserve"> is the standard normal deviate at 95 % confidence level taken as 1.96 for a two-tail study, </w:t>
      </w:r>
      <m:oMath>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в</m:t>
            </m:r>
          </m:sub>
        </m:sSub>
      </m:oMath>
      <w:r w:rsidRPr="0060598C">
        <w:rPr>
          <w:rFonts w:ascii="Arial" w:eastAsiaTheme="minorEastAsia" w:hAnsi="Arial" w:cs="Arial"/>
          <w:sz w:val="20"/>
          <w:szCs w:val="20"/>
        </w:rPr>
        <w:t xml:space="preserve"> is the power of the study and power of 80 % (0.84) would be adopted for this study, </w:t>
      </w:r>
      <m:oMath>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oMath>
      <w:r w:rsidRPr="0060598C">
        <w:rPr>
          <w:rFonts w:ascii="Arial" w:eastAsiaTheme="minorEastAsia" w:hAnsi="Arial" w:cs="Arial"/>
          <w:sz w:val="20"/>
          <w:szCs w:val="20"/>
        </w:rPr>
        <w:t xml:space="preserve"> is the standard deviation of the mean in blood loss from a previous study (Ugwu et al.; 2014). An attrition rate of 20 % was put into consideration in arriving at the sample size. </w:t>
      </w:r>
      <w:r w:rsidR="00BD7898" w:rsidRPr="0060598C">
        <w:rPr>
          <w:rFonts w:ascii="Arial" w:hAnsi="Arial" w:cs="Arial"/>
          <w:sz w:val="20"/>
          <w:szCs w:val="20"/>
        </w:rPr>
        <w:t xml:space="preserve">Eligible participants who </w:t>
      </w:r>
      <w:r w:rsidRPr="0060598C">
        <w:rPr>
          <w:rFonts w:ascii="Arial" w:hAnsi="Arial" w:cs="Arial"/>
          <w:sz w:val="20"/>
          <w:szCs w:val="20"/>
        </w:rPr>
        <w:t xml:space="preserve">were greater than or equals to 18 years of age at the point of obtaining informed </w:t>
      </w:r>
      <w:r w:rsidRPr="0060598C">
        <w:rPr>
          <w:rFonts w:ascii="Arial" w:hAnsi="Arial" w:cs="Arial"/>
          <w:sz w:val="20"/>
          <w:szCs w:val="20"/>
        </w:rPr>
        <w:lastRenderedPageBreak/>
        <w:t>written consent for abdominal birth (at the labour ward for emergency/urgent cases or at the antenatal ward for elective cases), were educated about the study.</w:t>
      </w:r>
    </w:p>
    <w:p w:rsidR="00716CC2" w:rsidRPr="0060598C" w:rsidRDefault="00716CC2" w:rsidP="00716CC2">
      <w:pPr>
        <w:spacing w:before="240" w:line="480" w:lineRule="auto"/>
        <w:jc w:val="both"/>
        <w:rPr>
          <w:rFonts w:ascii="Arial" w:hAnsi="Arial" w:cs="Arial"/>
          <w:sz w:val="20"/>
          <w:szCs w:val="20"/>
        </w:rPr>
      </w:pPr>
      <w:r w:rsidRPr="0060598C">
        <w:rPr>
          <w:rFonts w:ascii="Arial" w:hAnsi="Arial" w:cs="Arial"/>
          <w:sz w:val="20"/>
          <w:szCs w:val="20"/>
        </w:rPr>
        <w:t>The random allocation of the participants in this study was done using the WIN PEPI software. The WIN PEPI software was used to allocate numbers 1 to 152 randomly into two equal groups (A and B), hence generating a randomization list. After obtaining an informed consent from a participant, the participant was allocated to either group “A” or group “B”.</w:t>
      </w:r>
    </w:p>
    <w:p w:rsidR="00716CC2" w:rsidRPr="0060598C" w:rsidRDefault="00716CC2" w:rsidP="00716CC2">
      <w:pPr>
        <w:spacing w:before="240" w:line="480" w:lineRule="auto"/>
        <w:contextualSpacing/>
        <w:jc w:val="both"/>
        <w:rPr>
          <w:rFonts w:ascii="Arial" w:hAnsi="Arial" w:cs="Arial"/>
          <w:sz w:val="20"/>
          <w:szCs w:val="20"/>
        </w:rPr>
      </w:pPr>
      <w:r w:rsidRPr="0060598C">
        <w:rPr>
          <w:rFonts w:ascii="Arial" w:hAnsi="Arial" w:cs="Arial"/>
          <w:sz w:val="20"/>
          <w:szCs w:val="20"/>
        </w:rPr>
        <w:t>Firstly, every participant was requested by the researcher/research assistant(s) to pick a tag bearing a number from a box (Research ballot box). The box contained tags numbered from 1 to 152. Once a numbered tag was picked, t</w:t>
      </w:r>
      <w:r w:rsidR="00BD7898" w:rsidRPr="0060598C">
        <w:rPr>
          <w:rFonts w:ascii="Arial" w:hAnsi="Arial" w:cs="Arial"/>
          <w:sz w:val="20"/>
          <w:szCs w:val="20"/>
        </w:rPr>
        <w:t>hat tag was not be replaced until</w:t>
      </w:r>
      <w:r w:rsidRPr="0060598C">
        <w:rPr>
          <w:rFonts w:ascii="Arial" w:hAnsi="Arial" w:cs="Arial"/>
          <w:sz w:val="20"/>
          <w:szCs w:val="20"/>
        </w:rPr>
        <w:t xml:space="preserve"> the end of the research.</w:t>
      </w:r>
    </w:p>
    <w:p w:rsidR="00716CC2" w:rsidRPr="0060598C" w:rsidRDefault="00716CC2" w:rsidP="00567193">
      <w:pPr>
        <w:spacing w:before="240" w:line="480" w:lineRule="auto"/>
        <w:jc w:val="both"/>
        <w:rPr>
          <w:rFonts w:ascii="Arial" w:hAnsi="Arial" w:cs="Arial"/>
          <w:sz w:val="20"/>
          <w:szCs w:val="20"/>
        </w:rPr>
      </w:pPr>
      <w:r w:rsidRPr="0060598C">
        <w:rPr>
          <w:rFonts w:ascii="Arial" w:hAnsi="Arial" w:cs="Arial"/>
          <w:sz w:val="20"/>
          <w:szCs w:val="20"/>
        </w:rPr>
        <w:t>The researcher/research assistant(s) gave the numbered tag to a research clerk(s) (circulating theatre nurses) who in turn looked at the randomization list generated using the WIN PEPI software, and allocated the participants to either study group (</w:t>
      </w:r>
      <w:r w:rsidRPr="0060598C">
        <w:rPr>
          <w:rFonts w:ascii="Arial" w:hAnsi="Arial" w:cs="Arial"/>
          <w:sz w:val="20"/>
          <w:szCs w:val="20"/>
          <w:vertAlign w:val="superscript"/>
        </w:rPr>
        <w:t>‘</w:t>
      </w:r>
      <w:r w:rsidRPr="0060598C">
        <w:rPr>
          <w:rFonts w:ascii="Arial" w:hAnsi="Arial" w:cs="Arial"/>
          <w:sz w:val="20"/>
          <w:szCs w:val="20"/>
        </w:rPr>
        <w:t>A</w:t>
      </w:r>
      <w:r w:rsidRPr="0060598C">
        <w:rPr>
          <w:rFonts w:ascii="Arial" w:hAnsi="Arial" w:cs="Arial"/>
          <w:sz w:val="20"/>
          <w:szCs w:val="20"/>
          <w:vertAlign w:val="superscript"/>
        </w:rPr>
        <w:t xml:space="preserve">’ </w:t>
      </w:r>
      <w:r w:rsidRPr="0060598C">
        <w:rPr>
          <w:rFonts w:ascii="Arial" w:hAnsi="Arial" w:cs="Arial"/>
          <w:sz w:val="20"/>
          <w:szCs w:val="20"/>
        </w:rPr>
        <w:t xml:space="preserve">or </w:t>
      </w:r>
      <w:r w:rsidRPr="0060598C">
        <w:rPr>
          <w:rFonts w:ascii="Arial" w:hAnsi="Arial" w:cs="Arial"/>
          <w:sz w:val="20"/>
          <w:szCs w:val="20"/>
          <w:vertAlign w:val="superscript"/>
        </w:rPr>
        <w:t>‘</w:t>
      </w:r>
      <w:r w:rsidRPr="0060598C">
        <w:rPr>
          <w:rFonts w:ascii="Arial" w:hAnsi="Arial" w:cs="Arial"/>
          <w:sz w:val="20"/>
          <w:szCs w:val="20"/>
        </w:rPr>
        <w:t>B</w:t>
      </w:r>
      <w:r w:rsidRPr="0060598C">
        <w:rPr>
          <w:rFonts w:ascii="Arial" w:hAnsi="Arial" w:cs="Arial"/>
          <w:sz w:val="20"/>
          <w:szCs w:val="20"/>
          <w:vertAlign w:val="superscript"/>
        </w:rPr>
        <w:t>’</w:t>
      </w:r>
      <w:r w:rsidRPr="0060598C">
        <w:rPr>
          <w:rFonts w:ascii="Arial" w:hAnsi="Arial" w:cs="Arial"/>
          <w:sz w:val="20"/>
          <w:szCs w:val="20"/>
        </w:rPr>
        <w:t>) corresponding to the number on the tag the participants had randomly picked.</w:t>
      </w:r>
    </w:p>
    <w:p w:rsidR="004B7AC7" w:rsidRPr="0060598C" w:rsidRDefault="004B7AC7" w:rsidP="004B7AC7">
      <w:pPr>
        <w:spacing w:before="240" w:line="480" w:lineRule="auto"/>
        <w:contextualSpacing/>
        <w:jc w:val="both"/>
        <w:rPr>
          <w:rFonts w:ascii="Arial" w:hAnsi="Arial" w:cs="Arial"/>
          <w:b/>
        </w:rPr>
      </w:pPr>
      <w:r w:rsidRPr="0060598C">
        <w:rPr>
          <w:rFonts w:ascii="Arial" w:hAnsi="Arial" w:cs="Arial"/>
          <w:b/>
        </w:rPr>
        <w:t>2.6 BLINDING</w:t>
      </w:r>
    </w:p>
    <w:p w:rsidR="004B7AC7" w:rsidRPr="0060598C" w:rsidRDefault="004B7AC7" w:rsidP="004B7AC7">
      <w:pPr>
        <w:spacing w:before="240" w:line="480" w:lineRule="auto"/>
        <w:contextualSpacing/>
        <w:jc w:val="both"/>
        <w:rPr>
          <w:rFonts w:ascii="Arial" w:hAnsi="Arial" w:cs="Arial"/>
          <w:sz w:val="20"/>
          <w:szCs w:val="20"/>
        </w:rPr>
      </w:pPr>
      <w:r w:rsidRPr="0060598C">
        <w:rPr>
          <w:rFonts w:ascii="Arial" w:hAnsi="Arial" w:cs="Arial"/>
          <w:sz w:val="20"/>
          <w:szCs w:val="20"/>
        </w:rPr>
        <w:t>Misoprostol tablets and the inactive tab</w:t>
      </w:r>
      <w:r w:rsidR="00BD7898" w:rsidRPr="0060598C">
        <w:rPr>
          <w:rFonts w:ascii="Arial" w:hAnsi="Arial" w:cs="Arial"/>
          <w:sz w:val="20"/>
          <w:szCs w:val="20"/>
        </w:rPr>
        <w:t>lets (placebo) were compounded</w:t>
      </w:r>
      <w:r w:rsidRPr="0060598C">
        <w:rPr>
          <w:rFonts w:ascii="Arial" w:hAnsi="Arial" w:cs="Arial"/>
          <w:sz w:val="20"/>
          <w:szCs w:val="20"/>
        </w:rPr>
        <w:t xml:space="preserve"> by a hospital’s pharmacist. The placebo tablets contained a starch base only, while the active tablets contained 200 ug of misoprostol each. </w:t>
      </w:r>
    </w:p>
    <w:p w:rsidR="004B7AC7" w:rsidRPr="0060598C" w:rsidRDefault="004B7AC7" w:rsidP="004B7AC7">
      <w:pPr>
        <w:spacing w:before="240" w:line="480" w:lineRule="auto"/>
        <w:contextualSpacing/>
        <w:jc w:val="both"/>
        <w:rPr>
          <w:rFonts w:ascii="Arial" w:hAnsi="Arial" w:cs="Arial"/>
          <w:sz w:val="20"/>
          <w:szCs w:val="20"/>
        </w:rPr>
      </w:pPr>
      <w:r w:rsidRPr="0060598C">
        <w:rPr>
          <w:rFonts w:ascii="Arial" w:hAnsi="Arial" w:cs="Arial"/>
          <w:sz w:val="20"/>
          <w:szCs w:val="20"/>
        </w:rPr>
        <w:t>Both the active and inactive tablets had the same size, colour and smell. The misoprostol tablets and placebo tablets were packed in envelopes, which were sealed and labelled by the pharmacist.</w:t>
      </w:r>
    </w:p>
    <w:p w:rsidR="004B7AC7" w:rsidRPr="0060598C" w:rsidRDefault="004B7AC7" w:rsidP="004B7AC7">
      <w:pPr>
        <w:spacing w:before="240" w:line="480" w:lineRule="auto"/>
        <w:contextualSpacing/>
        <w:jc w:val="both"/>
        <w:rPr>
          <w:rFonts w:ascii="Arial" w:hAnsi="Arial" w:cs="Arial"/>
          <w:sz w:val="20"/>
          <w:szCs w:val="20"/>
        </w:rPr>
      </w:pPr>
      <w:r w:rsidRPr="0060598C">
        <w:rPr>
          <w:rFonts w:ascii="Arial" w:hAnsi="Arial" w:cs="Arial"/>
          <w:sz w:val="20"/>
          <w:szCs w:val="20"/>
        </w:rPr>
        <w:t>Each envelope packed by the pharmacist contained three (3) active tablets (containing misoprostol) or three (3) placebo tablets.</w:t>
      </w:r>
      <w:r w:rsidR="00BD7898" w:rsidRPr="0060598C">
        <w:rPr>
          <w:rFonts w:ascii="Arial" w:hAnsi="Arial" w:cs="Arial"/>
          <w:sz w:val="20"/>
          <w:szCs w:val="20"/>
        </w:rPr>
        <w:t xml:space="preserve"> Three tablet</w:t>
      </w:r>
      <w:r w:rsidR="00434B88" w:rsidRPr="0060598C">
        <w:rPr>
          <w:rFonts w:ascii="Arial" w:hAnsi="Arial" w:cs="Arial"/>
          <w:sz w:val="20"/>
          <w:szCs w:val="20"/>
        </w:rPr>
        <w:t>s were</w:t>
      </w:r>
      <w:r w:rsidR="00BD7898" w:rsidRPr="0060598C">
        <w:rPr>
          <w:rFonts w:ascii="Arial" w:hAnsi="Arial" w:cs="Arial"/>
          <w:sz w:val="20"/>
          <w:szCs w:val="20"/>
        </w:rPr>
        <w:t xml:space="preserve"> placed in the envelopes should one of them </w:t>
      </w:r>
      <w:r w:rsidR="00A16D5B" w:rsidRPr="0060598C">
        <w:rPr>
          <w:rFonts w:ascii="Arial" w:hAnsi="Arial" w:cs="Arial"/>
          <w:sz w:val="20"/>
          <w:szCs w:val="20"/>
        </w:rPr>
        <w:t>become contaminated</w:t>
      </w:r>
      <w:r w:rsidR="00BD7898" w:rsidRPr="0060598C">
        <w:rPr>
          <w:rFonts w:ascii="Arial" w:hAnsi="Arial" w:cs="Arial"/>
          <w:sz w:val="20"/>
          <w:szCs w:val="20"/>
        </w:rPr>
        <w:t>, the other two</w:t>
      </w:r>
      <w:r w:rsidR="00A16D5B" w:rsidRPr="0060598C">
        <w:rPr>
          <w:rFonts w:ascii="Arial" w:hAnsi="Arial" w:cs="Arial"/>
          <w:sz w:val="20"/>
          <w:szCs w:val="20"/>
        </w:rPr>
        <w:t xml:space="preserve"> tablets</w:t>
      </w:r>
      <w:r w:rsidR="00BD7898" w:rsidRPr="0060598C">
        <w:rPr>
          <w:rFonts w:ascii="Arial" w:hAnsi="Arial" w:cs="Arial"/>
          <w:sz w:val="20"/>
          <w:szCs w:val="20"/>
        </w:rPr>
        <w:t xml:space="preserve"> can be used for the study</w:t>
      </w:r>
      <w:r w:rsidR="00434B88" w:rsidRPr="0060598C">
        <w:rPr>
          <w:rFonts w:ascii="Arial" w:hAnsi="Arial" w:cs="Arial"/>
          <w:sz w:val="20"/>
          <w:szCs w:val="20"/>
        </w:rPr>
        <w:t>.</w:t>
      </w:r>
    </w:p>
    <w:p w:rsidR="004B7AC7" w:rsidRPr="0060598C" w:rsidRDefault="004B7AC7" w:rsidP="004B7AC7">
      <w:pPr>
        <w:spacing w:before="240" w:line="480" w:lineRule="auto"/>
        <w:contextualSpacing/>
        <w:jc w:val="both"/>
        <w:rPr>
          <w:rFonts w:ascii="Arial" w:hAnsi="Arial" w:cs="Arial"/>
          <w:sz w:val="20"/>
          <w:szCs w:val="20"/>
        </w:rPr>
      </w:pPr>
      <w:r w:rsidRPr="0060598C">
        <w:rPr>
          <w:rFonts w:ascii="Arial" w:hAnsi="Arial" w:cs="Arial"/>
          <w:sz w:val="20"/>
          <w:szCs w:val="20"/>
        </w:rPr>
        <w:t>Only the circulating theatre nurses held the randomization lists until the end of the trial. Their sole activity was to allocate participants to their randomly picked study groups.</w:t>
      </w:r>
    </w:p>
    <w:p w:rsidR="004B7AC7" w:rsidRPr="0060598C" w:rsidRDefault="004B7AC7" w:rsidP="00567193">
      <w:pPr>
        <w:spacing w:before="240" w:line="480" w:lineRule="auto"/>
        <w:contextualSpacing/>
        <w:jc w:val="both"/>
        <w:rPr>
          <w:rFonts w:ascii="Arial" w:hAnsi="Arial" w:cs="Arial"/>
          <w:sz w:val="20"/>
          <w:szCs w:val="20"/>
        </w:rPr>
      </w:pPr>
      <w:r w:rsidRPr="0060598C">
        <w:rPr>
          <w:rFonts w:ascii="Arial" w:hAnsi="Arial" w:cs="Arial"/>
          <w:sz w:val="20"/>
          <w:szCs w:val="20"/>
        </w:rPr>
        <w:t>In this research, each study participant received two sublingually administered tablets, either misoprostol tablets if in the misoprostol</w:t>
      </w:r>
      <w:r w:rsidR="00434B88" w:rsidRPr="0060598C">
        <w:rPr>
          <w:rFonts w:ascii="Arial" w:hAnsi="Arial" w:cs="Arial"/>
          <w:sz w:val="20"/>
          <w:szCs w:val="20"/>
        </w:rPr>
        <w:t>-oxytocin combination</w:t>
      </w:r>
      <w:r w:rsidRPr="0060598C">
        <w:rPr>
          <w:rFonts w:ascii="Arial" w:hAnsi="Arial" w:cs="Arial"/>
          <w:sz w:val="20"/>
          <w:szCs w:val="20"/>
        </w:rPr>
        <w:t xml:space="preserve"> study group or placebo tablets if in the placebo</w:t>
      </w:r>
      <w:r w:rsidR="00434B88" w:rsidRPr="0060598C">
        <w:rPr>
          <w:rFonts w:ascii="Arial" w:hAnsi="Arial" w:cs="Arial"/>
          <w:sz w:val="20"/>
          <w:szCs w:val="20"/>
        </w:rPr>
        <w:t>-oxytocin</w:t>
      </w:r>
      <w:r w:rsidRPr="0060598C">
        <w:rPr>
          <w:rFonts w:ascii="Arial" w:hAnsi="Arial" w:cs="Arial"/>
          <w:sz w:val="20"/>
          <w:szCs w:val="20"/>
        </w:rPr>
        <w:t xml:space="preserve"> study group. </w:t>
      </w:r>
    </w:p>
    <w:p w:rsidR="004B7AC7" w:rsidRPr="0060598C" w:rsidRDefault="004B7AC7" w:rsidP="00374C98">
      <w:pPr>
        <w:spacing w:before="240" w:line="240" w:lineRule="auto"/>
        <w:jc w:val="both"/>
        <w:rPr>
          <w:rFonts w:ascii="Arial" w:hAnsi="Arial" w:cs="Arial"/>
          <w:b/>
        </w:rPr>
      </w:pPr>
      <w:r w:rsidRPr="0060598C">
        <w:rPr>
          <w:rFonts w:ascii="Arial" w:hAnsi="Arial" w:cs="Arial"/>
          <w:b/>
        </w:rPr>
        <w:lastRenderedPageBreak/>
        <w:t xml:space="preserve">2.7 </w:t>
      </w:r>
      <w:r w:rsidR="004511B8" w:rsidRPr="0060598C">
        <w:rPr>
          <w:rFonts w:ascii="Arial" w:hAnsi="Arial" w:cs="Arial"/>
          <w:b/>
        </w:rPr>
        <w:t>Data collection</w:t>
      </w:r>
    </w:p>
    <w:p w:rsidR="00C84735" w:rsidRPr="0060598C" w:rsidRDefault="006C3557" w:rsidP="00FD1A1D">
      <w:pPr>
        <w:spacing w:before="240" w:line="480" w:lineRule="auto"/>
        <w:contextualSpacing/>
        <w:jc w:val="both"/>
        <w:rPr>
          <w:rFonts w:ascii="Arial" w:hAnsi="Arial" w:cs="Arial"/>
          <w:sz w:val="20"/>
          <w:szCs w:val="20"/>
        </w:rPr>
      </w:pPr>
      <w:r w:rsidRPr="0060598C">
        <w:rPr>
          <w:rFonts w:ascii="Arial" w:hAnsi="Arial" w:cs="Arial"/>
          <w:sz w:val="20"/>
          <w:szCs w:val="20"/>
        </w:rPr>
        <w:t>The caesarean sections were</w:t>
      </w:r>
      <w:r w:rsidR="00C84735" w:rsidRPr="0060598C">
        <w:rPr>
          <w:rFonts w:ascii="Arial" w:hAnsi="Arial" w:cs="Arial"/>
          <w:sz w:val="20"/>
          <w:szCs w:val="20"/>
        </w:rPr>
        <w:t xml:space="preserve"> performed by at least a second year senior registrar</w:t>
      </w:r>
      <w:r w:rsidR="00C824A9" w:rsidRPr="0060598C">
        <w:rPr>
          <w:rFonts w:ascii="Arial" w:hAnsi="Arial" w:cs="Arial"/>
          <w:sz w:val="20"/>
          <w:szCs w:val="20"/>
        </w:rPr>
        <w:t>,</w:t>
      </w:r>
      <w:r w:rsidR="00C84735" w:rsidRPr="0060598C">
        <w:rPr>
          <w:rFonts w:ascii="Arial" w:hAnsi="Arial" w:cs="Arial"/>
          <w:sz w:val="20"/>
          <w:szCs w:val="20"/>
        </w:rPr>
        <w:t xml:space="preserve"> following standard lower uterine segment technique </w:t>
      </w:r>
      <w:r w:rsidR="00C824A9" w:rsidRPr="0060598C">
        <w:rPr>
          <w:rFonts w:ascii="Arial" w:hAnsi="Arial" w:cs="Arial"/>
          <w:sz w:val="20"/>
          <w:szCs w:val="20"/>
        </w:rPr>
        <w:t xml:space="preserve">in order </w:t>
      </w:r>
      <w:r w:rsidR="00C84735" w:rsidRPr="0060598C">
        <w:rPr>
          <w:rFonts w:ascii="Arial" w:hAnsi="Arial" w:cs="Arial"/>
          <w:sz w:val="20"/>
          <w:szCs w:val="20"/>
        </w:rPr>
        <w:t xml:space="preserve">to avoid the bias of surgical skill. </w:t>
      </w:r>
    </w:p>
    <w:p w:rsidR="00944655" w:rsidRPr="0060598C" w:rsidRDefault="00C84735" w:rsidP="00FD1A1D">
      <w:pPr>
        <w:spacing w:before="240" w:line="480" w:lineRule="auto"/>
        <w:jc w:val="both"/>
        <w:rPr>
          <w:rFonts w:ascii="Arial" w:hAnsi="Arial" w:cs="Arial"/>
          <w:sz w:val="20"/>
          <w:szCs w:val="20"/>
        </w:rPr>
      </w:pPr>
      <w:r w:rsidRPr="0060598C">
        <w:rPr>
          <w:rFonts w:ascii="Arial" w:hAnsi="Arial" w:cs="Arial"/>
          <w:sz w:val="20"/>
          <w:szCs w:val="20"/>
        </w:rPr>
        <w:t>At point of opening the parietal peritoneum at caesarean section, the anaesthetic nurse sublingually administered two tablets to the study participants, 400 ug misopro</w:t>
      </w:r>
      <w:r w:rsidR="004E0218" w:rsidRPr="0060598C">
        <w:rPr>
          <w:rFonts w:ascii="Arial" w:hAnsi="Arial" w:cs="Arial"/>
          <w:sz w:val="20"/>
          <w:szCs w:val="20"/>
        </w:rPr>
        <w:t xml:space="preserve">stol tablets to the misoprostol-oxytocin </w:t>
      </w:r>
      <w:r w:rsidRPr="0060598C">
        <w:rPr>
          <w:rFonts w:ascii="Arial" w:hAnsi="Arial" w:cs="Arial"/>
          <w:sz w:val="20"/>
          <w:szCs w:val="20"/>
        </w:rPr>
        <w:t>study arm or two placebo tablets (which contained a starch base) to the placebo</w:t>
      </w:r>
      <w:r w:rsidR="004E0218" w:rsidRPr="0060598C">
        <w:rPr>
          <w:rFonts w:ascii="Arial" w:hAnsi="Arial" w:cs="Arial"/>
          <w:sz w:val="20"/>
          <w:szCs w:val="20"/>
        </w:rPr>
        <w:t>-oxytocin</w:t>
      </w:r>
      <w:r w:rsidRPr="0060598C">
        <w:rPr>
          <w:rFonts w:ascii="Arial" w:hAnsi="Arial" w:cs="Arial"/>
          <w:sz w:val="20"/>
          <w:szCs w:val="20"/>
        </w:rPr>
        <w:t xml:space="preserve"> study arm. The anaesthetist in charge of the surgery administered to all study participants, at the time of the clamping of the umbilical cord, 10 IU of intravenous bolus of oxytocin</w:t>
      </w:r>
      <w:r w:rsidR="00434B88" w:rsidRPr="0060598C">
        <w:rPr>
          <w:rFonts w:ascii="Arial" w:hAnsi="Arial" w:cs="Arial"/>
          <w:sz w:val="20"/>
          <w:szCs w:val="20"/>
        </w:rPr>
        <w:t>. F</w:t>
      </w:r>
      <w:r w:rsidRPr="0060598C">
        <w:rPr>
          <w:rFonts w:ascii="Arial" w:hAnsi="Arial" w:cs="Arial"/>
          <w:sz w:val="20"/>
          <w:szCs w:val="20"/>
        </w:rPr>
        <w:t>ollowed by an infusion of 20 IU of oxytocin in 500 ml of normal saline at a rat</w:t>
      </w:r>
      <w:r w:rsidR="00866346" w:rsidRPr="0060598C">
        <w:rPr>
          <w:rFonts w:ascii="Arial" w:hAnsi="Arial" w:cs="Arial"/>
          <w:sz w:val="20"/>
          <w:szCs w:val="20"/>
        </w:rPr>
        <w:t>e o</w:t>
      </w:r>
      <w:r w:rsidR="00434B88" w:rsidRPr="0060598C">
        <w:rPr>
          <w:rFonts w:ascii="Arial" w:hAnsi="Arial" w:cs="Arial"/>
          <w:sz w:val="20"/>
          <w:szCs w:val="20"/>
        </w:rPr>
        <w:t>f twenty drops per minute.</w:t>
      </w:r>
      <w:r w:rsidRPr="0060598C">
        <w:rPr>
          <w:rFonts w:ascii="Arial" w:hAnsi="Arial" w:cs="Arial"/>
          <w:sz w:val="20"/>
          <w:szCs w:val="20"/>
        </w:rPr>
        <w:t xml:space="preserve"> The oxytocin ampoules used in</w:t>
      </w:r>
      <w:r w:rsidR="00145F6D" w:rsidRPr="0060598C">
        <w:rPr>
          <w:rFonts w:ascii="Arial" w:hAnsi="Arial" w:cs="Arial"/>
          <w:sz w:val="20"/>
          <w:szCs w:val="20"/>
        </w:rPr>
        <w:t xml:space="preserve"> the study were</w:t>
      </w:r>
      <w:r w:rsidRPr="0060598C">
        <w:rPr>
          <w:rFonts w:ascii="Arial" w:hAnsi="Arial" w:cs="Arial"/>
          <w:sz w:val="20"/>
          <w:szCs w:val="20"/>
        </w:rPr>
        <w:t xml:space="preserve"> of the same brand and batch.</w:t>
      </w:r>
      <w:r w:rsidR="00944655" w:rsidRPr="0060598C">
        <w:rPr>
          <w:rFonts w:ascii="Arial" w:hAnsi="Arial" w:cs="Arial"/>
          <w:sz w:val="20"/>
          <w:szCs w:val="20"/>
        </w:rPr>
        <w:t xml:space="preserve"> The misoprostol tablets and placebo (con</w:t>
      </w:r>
      <w:r w:rsidR="00866346" w:rsidRPr="0060598C">
        <w:rPr>
          <w:rFonts w:ascii="Arial" w:hAnsi="Arial" w:cs="Arial"/>
          <w:sz w:val="20"/>
          <w:szCs w:val="20"/>
        </w:rPr>
        <w:t>taining starch base) tablets were</w:t>
      </w:r>
      <w:r w:rsidR="00434B88" w:rsidRPr="0060598C">
        <w:rPr>
          <w:rFonts w:ascii="Arial" w:hAnsi="Arial" w:cs="Arial"/>
          <w:sz w:val="20"/>
          <w:szCs w:val="20"/>
        </w:rPr>
        <w:t xml:space="preserve"> compounded </w:t>
      </w:r>
      <w:r w:rsidR="00944655" w:rsidRPr="0060598C">
        <w:rPr>
          <w:rFonts w:ascii="Arial" w:hAnsi="Arial" w:cs="Arial"/>
          <w:sz w:val="20"/>
          <w:szCs w:val="20"/>
        </w:rPr>
        <w:t>in indistinguishable forms.</w:t>
      </w:r>
    </w:p>
    <w:p w:rsidR="00944655" w:rsidRPr="0060598C" w:rsidRDefault="00944655" w:rsidP="00FD1A1D">
      <w:pPr>
        <w:spacing w:before="240" w:line="480" w:lineRule="auto"/>
        <w:jc w:val="both"/>
        <w:rPr>
          <w:rFonts w:ascii="Arial" w:hAnsi="Arial" w:cs="Arial"/>
          <w:sz w:val="20"/>
          <w:szCs w:val="20"/>
        </w:rPr>
      </w:pPr>
      <w:r w:rsidRPr="0060598C">
        <w:rPr>
          <w:rFonts w:ascii="Arial" w:hAnsi="Arial" w:cs="Arial"/>
          <w:sz w:val="20"/>
          <w:szCs w:val="20"/>
        </w:rPr>
        <w:t>T</w:t>
      </w:r>
      <w:r w:rsidR="008D365F" w:rsidRPr="0060598C">
        <w:rPr>
          <w:rFonts w:ascii="Arial" w:hAnsi="Arial" w:cs="Arial"/>
          <w:sz w:val="20"/>
          <w:szCs w:val="20"/>
        </w:rPr>
        <w:t xml:space="preserve">he </w:t>
      </w:r>
      <w:r w:rsidRPr="0060598C">
        <w:rPr>
          <w:rFonts w:ascii="Arial" w:hAnsi="Arial" w:cs="Arial"/>
          <w:sz w:val="20"/>
          <w:szCs w:val="20"/>
        </w:rPr>
        <w:t>outcome measure</w:t>
      </w:r>
      <w:r w:rsidR="008D365F" w:rsidRPr="0060598C">
        <w:rPr>
          <w:rFonts w:ascii="Arial" w:hAnsi="Arial" w:cs="Arial"/>
          <w:sz w:val="20"/>
          <w:szCs w:val="20"/>
        </w:rPr>
        <w:t>s were</w:t>
      </w:r>
      <w:r w:rsidRPr="0060598C">
        <w:rPr>
          <w:rFonts w:ascii="Arial" w:hAnsi="Arial" w:cs="Arial"/>
          <w:sz w:val="20"/>
          <w:szCs w:val="20"/>
        </w:rPr>
        <w:t xml:space="preserve"> the estimated intraoperative blood loss</w:t>
      </w:r>
      <w:r w:rsidR="008D365F" w:rsidRPr="0060598C">
        <w:rPr>
          <w:rFonts w:ascii="Arial" w:hAnsi="Arial" w:cs="Arial"/>
          <w:sz w:val="20"/>
          <w:szCs w:val="20"/>
        </w:rPr>
        <w:t xml:space="preserve"> and </w:t>
      </w:r>
      <w:r w:rsidR="00D44090" w:rsidRPr="0060598C">
        <w:rPr>
          <w:rFonts w:ascii="Arial" w:hAnsi="Arial" w:cs="Arial"/>
          <w:sz w:val="20"/>
          <w:szCs w:val="20"/>
        </w:rPr>
        <w:t>the drop in haematocrit level</w:t>
      </w:r>
      <w:r w:rsidRPr="0060598C">
        <w:rPr>
          <w:rFonts w:ascii="Arial" w:hAnsi="Arial" w:cs="Arial"/>
          <w:sz w:val="20"/>
          <w:szCs w:val="20"/>
        </w:rPr>
        <w:t xml:space="preserve"> </w:t>
      </w:r>
      <w:r w:rsidR="008A3F6F" w:rsidRPr="0060598C">
        <w:rPr>
          <w:rFonts w:ascii="Arial" w:hAnsi="Arial" w:cs="Arial"/>
          <w:sz w:val="20"/>
          <w:szCs w:val="20"/>
        </w:rPr>
        <w:t xml:space="preserve">48-hours </w:t>
      </w:r>
      <w:r w:rsidRPr="0060598C">
        <w:rPr>
          <w:rFonts w:ascii="Arial" w:hAnsi="Arial" w:cs="Arial"/>
          <w:sz w:val="20"/>
          <w:szCs w:val="20"/>
        </w:rPr>
        <w:t xml:space="preserve">after caesarean section. </w:t>
      </w:r>
    </w:p>
    <w:p w:rsidR="00944655" w:rsidRPr="0060598C" w:rsidRDefault="00944655" w:rsidP="00FD1A1D">
      <w:pPr>
        <w:spacing w:before="240" w:line="480" w:lineRule="auto"/>
        <w:jc w:val="both"/>
        <w:rPr>
          <w:rFonts w:ascii="Arial" w:hAnsi="Arial" w:cs="Arial"/>
          <w:sz w:val="20"/>
          <w:szCs w:val="20"/>
        </w:rPr>
      </w:pPr>
      <w:r w:rsidRPr="0060598C">
        <w:rPr>
          <w:rFonts w:ascii="Arial" w:hAnsi="Arial" w:cs="Arial"/>
          <w:sz w:val="20"/>
          <w:szCs w:val="20"/>
        </w:rPr>
        <w:t>Intraoperative blood loss was estimated using the volumetric and gravimetric methods. For the volumetric method, standard calibrated suction bottles were used. W</w:t>
      </w:r>
      <w:r w:rsidR="00D44090" w:rsidRPr="0060598C">
        <w:rPr>
          <w:rFonts w:ascii="Arial" w:hAnsi="Arial" w:cs="Arial"/>
          <w:sz w:val="20"/>
          <w:szCs w:val="20"/>
        </w:rPr>
        <w:t>hile for the gravimetric method,</w:t>
      </w:r>
      <w:r w:rsidRPr="0060598C">
        <w:rPr>
          <w:rFonts w:ascii="Arial" w:hAnsi="Arial" w:cs="Arial"/>
          <w:sz w:val="20"/>
          <w:szCs w:val="20"/>
        </w:rPr>
        <w:t xml:space="preserve"> the weight gain of the abdominal mops, delivery mats, theatre drapes, theatre gowns, and vaginal gauzes were utilised.</w:t>
      </w:r>
    </w:p>
    <w:p w:rsidR="00944655" w:rsidRPr="0060598C" w:rsidRDefault="008967E8" w:rsidP="00FD1A1D">
      <w:pPr>
        <w:spacing w:before="240" w:line="480" w:lineRule="auto"/>
        <w:jc w:val="both"/>
        <w:rPr>
          <w:rFonts w:ascii="Arial" w:hAnsi="Arial" w:cs="Arial"/>
          <w:sz w:val="20"/>
          <w:szCs w:val="20"/>
        </w:rPr>
      </w:pPr>
      <w:r w:rsidRPr="0060598C">
        <w:rPr>
          <w:rFonts w:ascii="Arial" w:hAnsi="Arial" w:cs="Arial"/>
          <w:sz w:val="20"/>
          <w:szCs w:val="20"/>
        </w:rPr>
        <w:t xml:space="preserve">The </w:t>
      </w:r>
      <w:r w:rsidRPr="0060598C">
        <w:rPr>
          <w:rFonts w:ascii="Arial" w:hAnsi="Arial" w:cs="Arial"/>
          <w:i/>
          <w:sz w:val="20"/>
          <w:szCs w:val="20"/>
        </w:rPr>
        <w:t>Mettler PB 153</w:t>
      </w:r>
      <w:r w:rsidR="00D44090" w:rsidRPr="0060598C">
        <w:rPr>
          <w:rFonts w:ascii="Arial" w:hAnsi="Arial" w:cs="Arial"/>
          <w:sz w:val="20"/>
          <w:szCs w:val="20"/>
        </w:rPr>
        <w:t xml:space="preserve"> weighing scale which has</w:t>
      </w:r>
      <w:r w:rsidRPr="0060598C">
        <w:rPr>
          <w:rFonts w:ascii="Arial" w:hAnsi="Arial" w:cs="Arial"/>
          <w:sz w:val="20"/>
          <w:szCs w:val="20"/>
        </w:rPr>
        <w:t xml:space="preserve"> a sensitivity of 0.001g was used to weigh the intraoperatively used surgical gowns, surgical towels, drapes gauzes and delivery mats, so as to calculate the amount of blood absorbed by these items. The dry weights of a vaginal gauze, an abdominal mop, a theatre gown, a theatre drape and a delivery mat used in the study were 7 g, 16 g, 129 g, 129 g and 85 g, respectively.  </w:t>
      </w:r>
      <w:r w:rsidR="008E545C" w:rsidRPr="0060598C">
        <w:rPr>
          <w:rFonts w:ascii="Arial" w:hAnsi="Arial" w:cs="Arial"/>
          <w:sz w:val="20"/>
          <w:szCs w:val="20"/>
        </w:rPr>
        <w:t>Part of t</w:t>
      </w:r>
      <w:r w:rsidRPr="0060598C">
        <w:rPr>
          <w:rFonts w:ascii="Arial" w:hAnsi="Arial" w:cs="Arial"/>
          <w:sz w:val="20"/>
          <w:szCs w:val="20"/>
        </w:rPr>
        <w:t xml:space="preserve">he estimated blood loss at surgery was calculated by summing the wet weights of the above items and subtracting from the total gotten, their summative dry weights. </w:t>
      </w:r>
      <w:r w:rsidR="008E545C" w:rsidRPr="0060598C">
        <w:rPr>
          <w:rFonts w:ascii="Arial" w:hAnsi="Arial" w:cs="Arial"/>
          <w:sz w:val="20"/>
          <w:szCs w:val="20"/>
        </w:rPr>
        <w:t>Thus, part of the b</w:t>
      </w:r>
      <w:r w:rsidR="00944655" w:rsidRPr="0060598C">
        <w:rPr>
          <w:rFonts w:ascii="Arial" w:hAnsi="Arial" w:cs="Arial"/>
          <w:sz w:val="20"/>
          <w:szCs w:val="20"/>
        </w:rPr>
        <w:t>lood loss intra-operatively was estimated from the used abdominal mops</w:t>
      </w:r>
      <w:r w:rsidR="000A5924" w:rsidRPr="0060598C">
        <w:rPr>
          <w:rFonts w:ascii="Arial" w:hAnsi="Arial" w:cs="Arial"/>
          <w:sz w:val="20"/>
          <w:szCs w:val="20"/>
        </w:rPr>
        <w:t>’</w:t>
      </w:r>
      <w:r w:rsidR="00944655" w:rsidRPr="0060598C">
        <w:rPr>
          <w:rFonts w:ascii="Arial" w:hAnsi="Arial" w:cs="Arial"/>
          <w:sz w:val="20"/>
          <w:szCs w:val="20"/>
        </w:rPr>
        <w:t xml:space="preserve"> weight gain or vaginal gauzes</w:t>
      </w:r>
      <w:r w:rsidR="000A5924" w:rsidRPr="0060598C">
        <w:rPr>
          <w:rFonts w:ascii="Arial" w:hAnsi="Arial" w:cs="Arial"/>
          <w:sz w:val="20"/>
          <w:szCs w:val="20"/>
        </w:rPr>
        <w:t>’</w:t>
      </w:r>
      <w:r w:rsidR="00944655" w:rsidRPr="0060598C">
        <w:rPr>
          <w:rFonts w:ascii="Arial" w:hAnsi="Arial" w:cs="Arial"/>
          <w:sz w:val="20"/>
          <w:szCs w:val="20"/>
        </w:rPr>
        <w:t xml:space="preserve"> or theatre drapes</w:t>
      </w:r>
      <w:r w:rsidR="000A5924" w:rsidRPr="0060598C">
        <w:rPr>
          <w:rFonts w:ascii="Arial" w:hAnsi="Arial" w:cs="Arial"/>
          <w:sz w:val="20"/>
          <w:szCs w:val="20"/>
        </w:rPr>
        <w:t>’</w:t>
      </w:r>
      <w:r w:rsidR="00944655" w:rsidRPr="0060598C">
        <w:rPr>
          <w:rFonts w:ascii="Arial" w:hAnsi="Arial" w:cs="Arial"/>
          <w:sz w:val="20"/>
          <w:szCs w:val="20"/>
        </w:rPr>
        <w:t xml:space="preserve"> or theatre gowns</w:t>
      </w:r>
      <w:r w:rsidR="000A5924" w:rsidRPr="0060598C">
        <w:rPr>
          <w:rFonts w:ascii="Arial" w:hAnsi="Arial" w:cs="Arial"/>
          <w:sz w:val="20"/>
          <w:szCs w:val="20"/>
        </w:rPr>
        <w:t>’</w:t>
      </w:r>
      <w:r w:rsidR="00944655" w:rsidRPr="0060598C">
        <w:rPr>
          <w:rFonts w:ascii="Arial" w:hAnsi="Arial" w:cs="Arial"/>
          <w:sz w:val="20"/>
          <w:szCs w:val="20"/>
        </w:rPr>
        <w:t xml:space="preserve"> or delivery mat</w:t>
      </w:r>
      <w:r w:rsidR="000A5924" w:rsidRPr="0060598C">
        <w:rPr>
          <w:rFonts w:ascii="Arial" w:hAnsi="Arial" w:cs="Arial"/>
          <w:sz w:val="20"/>
          <w:szCs w:val="20"/>
        </w:rPr>
        <w:t>s’</w:t>
      </w:r>
      <w:r w:rsidR="00944655" w:rsidRPr="0060598C">
        <w:rPr>
          <w:rFonts w:ascii="Arial" w:hAnsi="Arial" w:cs="Arial"/>
          <w:sz w:val="20"/>
          <w:szCs w:val="20"/>
        </w:rPr>
        <w:t xml:space="preserve"> wei</w:t>
      </w:r>
      <w:r w:rsidR="00866346" w:rsidRPr="0060598C">
        <w:rPr>
          <w:rFonts w:ascii="Arial" w:hAnsi="Arial" w:cs="Arial"/>
          <w:sz w:val="20"/>
          <w:szCs w:val="20"/>
        </w:rPr>
        <w:t>ght gain.</w:t>
      </w:r>
      <w:r w:rsidR="00944655" w:rsidRPr="0060598C">
        <w:rPr>
          <w:rFonts w:ascii="Arial" w:hAnsi="Arial" w:cs="Arial"/>
          <w:sz w:val="20"/>
          <w:szCs w:val="20"/>
        </w:rPr>
        <w:t xml:space="preserve"> </w:t>
      </w:r>
      <w:r w:rsidR="00F81876" w:rsidRPr="0060598C">
        <w:rPr>
          <w:rFonts w:ascii="Arial" w:hAnsi="Arial" w:cs="Arial"/>
          <w:sz w:val="20"/>
          <w:szCs w:val="20"/>
        </w:rPr>
        <w:t xml:space="preserve">A weight gain of 1 g of any of the items was equivalent to 1 ml of blood contained within the weighed item.  </w:t>
      </w:r>
      <w:r w:rsidR="00944655" w:rsidRPr="0060598C">
        <w:rPr>
          <w:rFonts w:ascii="Arial" w:hAnsi="Arial" w:cs="Arial"/>
          <w:sz w:val="20"/>
          <w:szCs w:val="20"/>
        </w:rPr>
        <w:t>It was assumed that 1 ml of blood weighs approximately 1 g</w:t>
      </w:r>
      <w:r w:rsidR="00E43625" w:rsidRPr="0060598C">
        <w:rPr>
          <w:rFonts w:ascii="Arial" w:hAnsi="Arial" w:cs="Arial"/>
          <w:sz w:val="20"/>
          <w:szCs w:val="20"/>
        </w:rPr>
        <w:t xml:space="preserve"> (</w:t>
      </w:r>
      <w:proofErr w:type="spellStart"/>
      <w:r w:rsidR="00E43625" w:rsidRPr="0060598C">
        <w:rPr>
          <w:rFonts w:ascii="Arial" w:hAnsi="Arial" w:cs="Arial"/>
          <w:sz w:val="20"/>
          <w:szCs w:val="20"/>
        </w:rPr>
        <w:t>Schorn</w:t>
      </w:r>
      <w:proofErr w:type="spellEnd"/>
      <w:r w:rsidR="00E43625" w:rsidRPr="0060598C">
        <w:rPr>
          <w:rFonts w:ascii="Arial" w:hAnsi="Arial" w:cs="Arial"/>
          <w:sz w:val="20"/>
          <w:szCs w:val="20"/>
        </w:rPr>
        <w:t xml:space="preserve"> et al.; 2010)</w:t>
      </w:r>
    </w:p>
    <w:p w:rsidR="004B7AC7" w:rsidRPr="0060598C" w:rsidRDefault="00C879D1" w:rsidP="004B7AC7">
      <w:pPr>
        <w:spacing w:before="240" w:line="480" w:lineRule="auto"/>
        <w:jc w:val="both"/>
        <w:rPr>
          <w:rFonts w:ascii="Arial" w:hAnsi="Arial" w:cs="Arial"/>
          <w:sz w:val="20"/>
          <w:szCs w:val="20"/>
        </w:rPr>
      </w:pPr>
      <w:r w:rsidRPr="0060598C">
        <w:rPr>
          <w:rFonts w:ascii="Arial" w:hAnsi="Arial" w:cs="Arial"/>
          <w:sz w:val="20"/>
          <w:szCs w:val="20"/>
        </w:rPr>
        <w:lastRenderedPageBreak/>
        <w:t xml:space="preserve">Two millilitres of blood was taken from each study participant </w:t>
      </w:r>
      <w:r w:rsidR="008A3F6F" w:rsidRPr="0060598C">
        <w:rPr>
          <w:rFonts w:ascii="Arial" w:hAnsi="Arial" w:cs="Arial"/>
          <w:sz w:val="20"/>
          <w:szCs w:val="20"/>
        </w:rPr>
        <w:t xml:space="preserve">preoperatively and at 48-hours after caesarean delivery </w:t>
      </w:r>
      <w:r w:rsidRPr="0060598C">
        <w:rPr>
          <w:rFonts w:ascii="Arial" w:hAnsi="Arial" w:cs="Arial"/>
          <w:sz w:val="20"/>
          <w:szCs w:val="20"/>
        </w:rPr>
        <w:t>by the resear</w:t>
      </w:r>
      <w:r w:rsidR="008A3F6F" w:rsidRPr="0060598C">
        <w:rPr>
          <w:rFonts w:ascii="Arial" w:hAnsi="Arial" w:cs="Arial"/>
          <w:sz w:val="20"/>
          <w:szCs w:val="20"/>
        </w:rPr>
        <w:t>cher/ research assistant(s). The blood samples</w:t>
      </w:r>
      <w:r w:rsidR="00993D9B" w:rsidRPr="0060598C">
        <w:rPr>
          <w:rFonts w:ascii="Arial" w:hAnsi="Arial" w:cs="Arial"/>
          <w:sz w:val="20"/>
          <w:szCs w:val="20"/>
        </w:rPr>
        <w:t xml:space="preserve"> were</w:t>
      </w:r>
      <w:r w:rsidR="008A3F6F" w:rsidRPr="0060598C">
        <w:rPr>
          <w:rFonts w:ascii="Arial" w:hAnsi="Arial" w:cs="Arial"/>
          <w:sz w:val="20"/>
          <w:szCs w:val="20"/>
        </w:rPr>
        <w:t xml:space="preserve"> </w:t>
      </w:r>
      <w:r w:rsidRPr="0060598C">
        <w:rPr>
          <w:rFonts w:ascii="Arial" w:hAnsi="Arial" w:cs="Arial"/>
          <w:sz w:val="20"/>
          <w:szCs w:val="20"/>
        </w:rPr>
        <w:t>put into heparinized bottles</w:t>
      </w:r>
      <w:r w:rsidR="00F81876" w:rsidRPr="0060598C">
        <w:rPr>
          <w:rFonts w:ascii="Arial" w:hAnsi="Arial" w:cs="Arial"/>
          <w:sz w:val="20"/>
          <w:szCs w:val="20"/>
        </w:rPr>
        <w:t>,</w:t>
      </w:r>
      <w:r w:rsidRPr="0060598C">
        <w:rPr>
          <w:rFonts w:ascii="Arial" w:hAnsi="Arial" w:cs="Arial"/>
          <w:sz w:val="20"/>
          <w:szCs w:val="20"/>
        </w:rPr>
        <w:t xml:space="preserve"> and carried to the haematology laboratory of the Federal Medical Centre, Yenagoa. The blood samples were analysed by the researcher/ research assistants /laboratory assistant </w:t>
      </w:r>
      <w:bookmarkStart w:id="0" w:name="_Hlk169789855"/>
      <w:r w:rsidRPr="0060598C">
        <w:rPr>
          <w:rFonts w:ascii="Arial" w:hAnsi="Arial" w:cs="Arial"/>
          <w:sz w:val="20"/>
          <w:szCs w:val="20"/>
        </w:rPr>
        <w:t xml:space="preserve">using the micro-haematocrit centrifuge (low spin, TT 645B, 12,000 revolutions per minute), and read off a micro-haematocrit reader. After every twentieth analysed blood sample, the twentieth blood sample was sent to the Research Laboratory of the same facility and analysed for its haematocrit level by a different laboratory assistant using the haematocrit centrifuge (T-15, 12,000 revolutions per minute), and read off a micro-haematocrit reader. </w:t>
      </w:r>
      <w:bookmarkEnd w:id="0"/>
      <w:r w:rsidRPr="0060598C">
        <w:rPr>
          <w:rFonts w:ascii="Arial" w:hAnsi="Arial" w:cs="Arial"/>
          <w:sz w:val="20"/>
          <w:szCs w:val="20"/>
        </w:rPr>
        <w:t>The researcher and research assistants were trained by a haematologist of the department of haematology, Federal Medical Centre, Yenagoa on how to analyse the participants</w:t>
      </w:r>
      <w:r w:rsidR="00866346" w:rsidRPr="0060598C">
        <w:rPr>
          <w:rFonts w:ascii="Arial" w:hAnsi="Arial" w:cs="Arial"/>
          <w:sz w:val="20"/>
          <w:szCs w:val="20"/>
        </w:rPr>
        <w:t>’</w:t>
      </w:r>
      <w:r w:rsidRPr="0060598C">
        <w:rPr>
          <w:rFonts w:ascii="Arial" w:hAnsi="Arial" w:cs="Arial"/>
          <w:sz w:val="20"/>
          <w:szCs w:val="20"/>
        </w:rPr>
        <w:t xml:space="preserve"> blood samples for their haematocrit level.</w:t>
      </w:r>
    </w:p>
    <w:p w:rsidR="00374C98" w:rsidRPr="0060598C" w:rsidRDefault="004B7AC7" w:rsidP="00374C98">
      <w:pPr>
        <w:spacing w:before="240" w:line="240" w:lineRule="auto"/>
        <w:jc w:val="both"/>
        <w:rPr>
          <w:rFonts w:ascii="Arial" w:hAnsi="Arial" w:cs="Arial"/>
          <w:b/>
        </w:rPr>
      </w:pPr>
      <w:r w:rsidRPr="0060598C">
        <w:rPr>
          <w:rFonts w:ascii="Arial" w:hAnsi="Arial" w:cs="Arial"/>
          <w:b/>
        </w:rPr>
        <w:t xml:space="preserve">2.7 </w:t>
      </w:r>
      <w:r w:rsidR="00374C98" w:rsidRPr="0060598C">
        <w:rPr>
          <w:rFonts w:ascii="Arial" w:hAnsi="Arial" w:cs="Arial"/>
          <w:b/>
        </w:rPr>
        <w:t xml:space="preserve">Data </w:t>
      </w:r>
      <w:r w:rsidR="002E1F15" w:rsidRPr="0060598C">
        <w:rPr>
          <w:rFonts w:ascii="Arial" w:hAnsi="Arial" w:cs="Arial"/>
          <w:b/>
        </w:rPr>
        <w:t>a</w:t>
      </w:r>
      <w:r w:rsidR="00374C98" w:rsidRPr="0060598C">
        <w:rPr>
          <w:rFonts w:ascii="Arial" w:hAnsi="Arial" w:cs="Arial"/>
          <w:b/>
        </w:rPr>
        <w:t>nalysis</w:t>
      </w:r>
    </w:p>
    <w:p w:rsidR="00B06553" w:rsidRPr="0060598C" w:rsidRDefault="00944655" w:rsidP="004B7AC7">
      <w:pPr>
        <w:spacing w:before="240" w:line="480" w:lineRule="auto"/>
        <w:jc w:val="both"/>
        <w:rPr>
          <w:rFonts w:ascii="Arial" w:hAnsi="Arial" w:cs="Arial"/>
          <w:sz w:val="20"/>
          <w:szCs w:val="20"/>
        </w:rPr>
      </w:pPr>
      <w:r w:rsidRPr="0060598C">
        <w:rPr>
          <w:rFonts w:ascii="Arial" w:hAnsi="Arial" w:cs="Arial"/>
          <w:sz w:val="20"/>
          <w:szCs w:val="20"/>
        </w:rPr>
        <w:t>All data extracted were subjected to statisti</w:t>
      </w:r>
      <w:r w:rsidR="008D365F" w:rsidRPr="0060598C">
        <w:rPr>
          <w:rFonts w:ascii="Arial" w:hAnsi="Arial" w:cs="Arial"/>
          <w:sz w:val="20"/>
          <w:szCs w:val="20"/>
        </w:rPr>
        <w:t>cal analysis using the IBM SPSS version</w:t>
      </w:r>
      <w:r w:rsidRPr="0060598C">
        <w:rPr>
          <w:rFonts w:ascii="Arial" w:hAnsi="Arial" w:cs="Arial"/>
          <w:sz w:val="20"/>
          <w:szCs w:val="20"/>
        </w:rPr>
        <w:t xml:space="preserve"> 25.0. Categorical variables were summarized in frequencies and proportions and presented in figures and tables. Continuous variables were summarized in mean/standard d</w:t>
      </w:r>
      <w:r w:rsidR="008D365F" w:rsidRPr="0060598C">
        <w:rPr>
          <w:rFonts w:ascii="Arial" w:hAnsi="Arial" w:cs="Arial"/>
          <w:sz w:val="20"/>
          <w:szCs w:val="20"/>
        </w:rPr>
        <w:t xml:space="preserve">eviations. </w:t>
      </w:r>
      <w:r w:rsidR="003C3600" w:rsidRPr="0060598C">
        <w:rPr>
          <w:rFonts w:ascii="Arial" w:hAnsi="Arial" w:cs="Arial"/>
          <w:sz w:val="20"/>
          <w:szCs w:val="20"/>
        </w:rPr>
        <w:t xml:space="preserve">Pearson’s chi-square test, Fisher’s exact test </w:t>
      </w:r>
      <w:r w:rsidR="00101161" w:rsidRPr="0060598C">
        <w:rPr>
          <w:rFonts w:ascii="Arial" w:hAnsi="Arial" w:cs="Arial"/>
          <w:sz w:val="20"/>
          <w:szCs w:val="20"/>
        </w:rPr>
        <w:t>and t-</w:t>
      </w:r>
      <w:r w:rsidR="008D365F" w:rsidRPr="0060598C">
        <w:rPr>
          <w:rFonts w:ascii="Arial" w:hAnsi="Arial" w:cs="Arial"/>
          <w:sz w:val="20"/>
          <w:szCs w:val="20"/>
        </w:rPr>
        <w:t>test were used as appropriate.</w:t>
      </w:r>
      <w:r w:rsidR="00B06553" w:rsidRPr="0060598C">
        <w:rPr>
          <w:rFonts w:ascii="Arial" w:hAnsi="Arial" w:cs="Arial"/>
          <w:sz w:val="20"/>
          <w:szCs w:val="20"/>
        </w:rPr>
        <w:t xml:space="preserve"> A </w:t>
      </w:r>
      <w:r w:rsidR="00B06553" w:rsidRPr="0060598C">
        <w:rPr>
          <w:rFonts w:ascii="Arial" w:hAnsi="Arial" w:cs="Arial"/>
          <w:i/>
          <w:sz w:val="20"/>
          <w:szCs w:val="20"/>
        </w:rPr>
        <w:t>P</w:t>
      </w:r>
      <w:r w:rsidR="00B06553" w:rsidRPr="0060598C">
        <w:rPr>
          <w:rFonts w:ascii="Arial" w:hAnsi="Arial" w:cs="Arial"/>
          <w:sz w:val="20"/>
          <w:szCs w:val="20"/>
        </w:rPr>
        <w:t xml:space="preserve">-value &lt; </w:t>
      </w:r>
      <w:r w:rsidRPr="0060598C">
        <w:rPr>
          <w:rFonts w:ascii="Arial" w:hAnsi="Arial" w:cs="Arial"/>
          <w:sz w:val="20"/>
          <w:szCs w:val="20"/>
        </w:rPr>
        <w:t>.05 was considered statistically significant.</w:t>
      </w:r>
    </w:p>
    <w:p w:rsidR="00944655" w:rsidRPr="0060598C" w:rsidRDefault="00394C2C" w:rsidP="00944655">
      <w:pPr>
        <w:spacing w:before="240" w:line="480" w:lineRule="auto"/>
        <w:jc w:val="both"/>
        <w:rPr>
          <w:rFonts w:ascii="Arial" w:hAnsi="Arial" w:cs="Arial"/>
          <w:b/>
        </w:rPr>
      </w:pPr>
      <w:r w:rsidRPr="0060598C">
        <w:rPr>
          <w:rFonts w:ascii="Arial" w:hAnsi="Arial" w:cs="Arial"/>
          <w:b/>
        </w:rPr>
        <w:t xml:space="preserve">3. </w:t>
      </w:r>
      <w:r w:rsidR="00145F6D" w:rsidRPr="0060598C">
        <w:rPr>
          <w:rFonts w:ascii="Arial" w:hAnsi="Arial" w:cs="Arial"/>
          <w:b/>
        </w:rPr>
        <w:t>RESULTS</w:t>
      </w:r>
    </w:p>
    <w:p w:rsidR="007E048B" w:rsidRPr="0060598C" w:rsidRDefault="00155BD7" w:rsidP="00394C2C">
      <w:pPr>
        <w:spacing w:line="480" w:lineRule="auto"/>
        <w:rPr>
          <w:rFonts w:ascii="Arial" w:hAnsi="Arial" w:cs="Arial"/>
          <w:b/>
          <w:sz w:val="20"/>
          <w:szCs w:val="20"/>
        </w:rPr>
      </w:pPr>
      <w:r w:rsidRPr="0060598C">
        <w:rPr>
          <w:rFonts w:ascii="Arial" w:hAnsi="Arial" w:cs="Arial"/>
          <w:sz w:val="20"/>
          <w:szCs w:val="20"/>
        </w:rPr>
        <w:t>One hundred and ninety-eight pregnant women were screened for the trial, out of which 152 pregnant women (76.8 %) who met the elig</w:t>
      </w:r>
      <w:r w:rsidR="00EC1122" w:rsidRPr="0060598C">
        <w:rPr>
          <w:rFonts w:ascii="Arial" w:hAnsi="Arial" w:cs="Arial"/>
          <w:sz w:val="20"/>
          <w:szCs w:val="20"/>
        </w:rPr>
        <w:t>ibility criteria were recruited</w:t>
      </w:r>
      <w:r w:rsidRPr="0060598C">
        <w:rPr>
          <w:rFonts w:ascii="Arial" w:hAnsi="Arial" w:cs="Arial"/>
          <w:sz w:val="20"/>
          <w:szCs w:val="20"/>
        </w:rPr>
        <w:t>. Equal number of them (76)</w:t>
      </w:r>
      <w:r w:rsidR="003C3600" w:rsidRPr="0060598C">
        <w:rPr>
          <w:rFonts w:ascii="Arial" w:hAnsi="Arial" w:cs="Arial"/>
          <w:sz w:val="20"/>
          <w:szCs w:val="20"/>
        </w:rPr>
        <w:t xml:space="preserve"> were allocated randomly to</w:t>
      </w:r>
      <w:r w:rsidRPr="0060598C">
        <w:rPr>
          <w:rFonts w:ascii="Arial" w:hAnsi="Arial" w:cs="Arial"/>
          <w:sz w:val="20"/>
          <w:szCs w:val="20"/>
        </w:rPr>
        <w:t xml:space="preserve"> the Misoprostol</w:t>
      </w:r>
      <w:r w:rsidR="003C3600" w:rsidRPr="0060598C">
        <w:rPr>
          <w:rFonts w:ascii="Arial" w:hAnsi="Arial" w:cs="Arial"/>
          <w:sz w:val="20"/>
          <w:szCs w:val="20"/>
        </w:rPr>
        <w:t>-oxytocin combination</w:t>
      </w:r>
      <w:r w:rsidRPr="0060598C">
        <w:rPr>
          <w:rFonts w:ascii="Arial" w:hAnsi="Arial" w:cs="Arial"/>
          <w:sz w:val="20"/>
          <w:szCs w:val="20"/>
        </w:rPr>
        <w:t xml:space="preserve"> study arm (Study arm “A”) and the Placebo</w:t>
      </w:r>
      <w:r w:rsidR="003C3600" w:rsidRPr="0060598C">
        <w:rPr>
          <w:rFonts w:ascii="Arial" w:hAnsi="Arial" w:cs="Arial"/>
          <w:sz w:val="20"/>
          <w:szCs w:val="20"/>
        </w:rPr>
        <w:t>-oxytocin</w:t>
      </w:r>
      <w:r w:rsidRPr="0060598C">
        <w:rPr>
          <w:rFonts w:ascii="Arial" w:hAnsi="Arial" w:cs="Arial"/>
          <w:sz w:val="20"/>
          <w:szCs w:val="20"/>
        </w:rPr>
        <w:t xml:space="preserve"> arm (Study arm </w:t>
      </w:r>
      <w:r w:rsidR="00EC1122" w:rsidRPr="0060598C">
        <w:rPr>
          <w:rFonts w:ascii="Arial" w:hAnsi="Arial" w:cs="Arial"/>
          <w:sz w:val="20"/>
          <w:szCs w:val="20"/>
        </w:rPr>
        <w:t>“B”).</w:t>
      </w:r>
    </w:p>
    <w:p w:rsidR="00F82041" w:rsidRPr="0060598C" w:rsidRDefault="00394C2C" w:rsidP="00F82041">
      <w:pPr>
        <w:jc w:val="both"/>
        <w:rPr>
          <w:rFonts w:ascii="Arial" w:hAnsi="Arial" w:cs="Arial"/>
          <w:b/>
        </w:rPr>
      </w:pPr>
      <w:r w:rsidRPr="0060598C">
        <w:rPr>
          <w:rFonts w:ascii="Arial" w:hAnsi="Arial" w:cs="Arial"/>
          <w:b/>
        </w:rPr>
        <w:t xml:space="preserve">3.1 </w:t>
      </w:r>
      <w:r w:rsidR="00F82041" w:rsidRPr="0060598C">
        <w:rPr>
          <w:rFonts w:ascii="Arial" w:hAnsi="Arial" w:cs="Arial"/>
          <w:b/>
        </w:rPr>
        <w:t xml:space="preserve">SOCIO-DEMOGRAPHIC/ MATERNAL CHARACTERISTICS OF PARTICIPANTS </w:t>
      </w:r>
    </w:p>
    <w:p w:rsidR="00AB3689" w:rsidRPr="0060598C" w:rsidRDefault="00F82041" w:rsidP="00394C2C">
      <w:pPr>
        <w:spacing w:line="480" w:lineRule="auto"/>
        <w:jc w:val="both"/>
        <w:rPr>
          <w:rFonts w:ascii="Arial" w:hAnsi="Arial" w:cs="Arial"/>
          <w:sz w:val="20"/>
          <w:szCs w:val="20"/>
        </w:rPr>
      </w:pPr>
      <w:r w:rsidRPr="0060598C">
        <w:rPr>
          <w:rFonts w:ascii="Arial" w:hAnsi="Arial" w:cs="Arial"/>
          <w:sz w:val="20"/>
          <w:szCs w:val="20"/>
        </w:rPr>
        <w:t>As depicted in Table 1, about three out of every ten participants were in the 30 - 34 years or the 35 -39 years age range, (31.6%</w:t>
      </w:r>
      <w:r w:rsidR="00F81876" w:rsidRPr="0060598C">
        <w:rPr>
          <w:rFonts w:ascii="Arial" w:hAnsi="Arial" w:cs="Arial"/>
          <w:sz w:val="20"/>
          <w:szCs w:val="20"/>
        </w:rPr>
        <w:t>) and (32.9 %) respectively. Approximately 18.4 % and 10.5 % of the women were in the</w:t>
      </w:r>
      <w:r w:rsidRPr="0060598C">
        <w:rPr>
          <w:rFonts w:ascii="Arial" w:hAnsi="Arial" w:cs="Arial"/>
          <w:sz w:val="20"/>
          <w:szCs w:val="20"/>
        </w:rPr>
        <w:t xml:space="preserve"> 25 - </w:t>
      </w:r>
      <w:r w:rsidR="00F81876" w:rsidRPr="0060598C">
        <w:rPr>
          <w:rFonts w:ascii="Arial" w:hAnsi="Arial" w:cs="Arial"/>
          <w:sz w:val="20"/>
          <w:szCs w:val="20"/>
        </w:rPr>
        <w:t>29 years and 20 - 24 years age ranges, respectively.</w:t>
      </w:r>
      <w:r w:rsidRPr="0060598C">
        <w:rPr>
          <w:rFonts w:ascii="Arial" w:hAnsi="Arial" w:cs="Arial"/>
          <w:sz w:val="20"/>
          <w:szCs w:val="20"/>
        </w:rPr>
        <w:t xml:space="preserve"> The mean ages for all the study participants </w:t>
      </w:r>
      <w:r w:rsidRPr="0060598C">
        <w:rPr>
          <w:rFonts w:ascii="Arial" w:hAnsi="Arial" w:cs="Arial"/>
          <w:sz w:val="20"/>
          <w:szCs w:val="20"/>
        </w:rPr>
        <w:lastRenderedPageBreak/>
        <w:t>was 32.59 ± 5.97</w:t>
      </w:r>
      <w:r w:rsidR="00F81876" w:rsidRPr="0060598C">
        <w:rPr>
          <w:rFonts w:ascii="Arial" w:hAnsi="Arial" w:cs="Arial"/>
          <w:sz w:val="20"/>
          <w:szCs w:val="20"/>
        </w:rPr>
        <w:t xml:space="preserve"> years</w:t>
      </w:r>
      <w:r w:rsidRPr="0060598C">
        <w:rPr>
          <w:rFonts w:ascii="Arial" w:hAnsi="Arial" w:cs="Arial"/>
          <w:sz w:val="20"/>
          <w:szCs w:val="20"/>
        </w:rPr>
        <w:t>. There was no analytically appreciable differenc</w:t>
      </w:r>
      <w:r w:rsidR="00F81876" w:rsidRPr="0060598C">
        <w:rPr>
          <w:rFonts w:ascii="Arial" w:hAnsi="Arial" w:cs="Arial"/>
          <w:sz w:val="20"/>
          <w:szCs w:val="20"/>
        </w:rPr>
        <w:t xml:space="preserve">e between the trial arms </w:t>
      </w:r>
      <w:r w:rsidR="00B06553" w:rsidRPr="0060598C">
        <w:rPr>
          <w:rFonts w:ascii="Arial" w:hAnsi="Arial" w:cs="Arial"/>
          <w:sz w:val="20"/>
          <w:szCs w:val="20"/>
        </w:rPr>
        <w:t>in terms of their age (</w:t>
      </w:r>
      <w:r w:rsidR="00B06553" w:rsidRPr="0060598C">
        <w:rPr>
          <w:rFonts w:ascii="Arial" w:hAnsi="Arial" w:cs="Arial"/>
          <w:i/>
          <w:sz w:val="20"/>
          <w:szCs w:val="20"/>
        </w:rPr>
        <w:t>P</w:t>
      </w:r>
      <w:r w:rsidR="00B06553" w:rsidRPr="0060598C">
        <w:rPr>
          <w:rFonts w:ascii="Arial" w:hAnsi="Arial" w:cs="Arial"/>
          <w:sz w:val="20"/>
          <w:szCs w:val="20"/>
        </w:rPr>
        <w:t xml:space="preserve"> = </w:t>
      </w:r>
      <w:r w:rsidRPr="0060598C">
        <w:rPr>
          <w:rFonts w:ascii="Arial" w:hAnsi="Arial" w:cs="Arial"/>
          <w:sz w:val="20"/>
          <w:szCs w:val="20"/>
        </w:rPr>
        <w:t xml:space="preserve">.69). </w:t>
      </w:r>
    </w:p>
    <w:p w:rsidR="00F82041" w:rsidRPr="0060598C" w:rsidRDefault="00AB3689" w:rsidP="00394C2C">
      <w:pPr>
        <w:spacing w:line="480" w:lineRule="auto"/>
        <w:jc w:val="both"/>
        <w:rPr>
          <w:rFonts w:ascii="Arial" w:hAnsi="Arial" w:cs="Arial"/>
          <w:sz w:val="20"/>
          <w:szCs w:val="20"/>
        </w:rPr>
      </w:pPr>
      <w:r w:rsidRPr="0060598C">
        <w:rPr>
          <w:rFonts w:ascii="Arial" w:hAnsi="Arial" w:cs="Arial"/>
          <w:sz w:val="20"/>
          <w:szCs w:val="20"/>
        </w:rPr>
        <w:t>About 46.1% of participants were n</w:t>
      </w:r>
      <w:r w:rsidR="00F82041" w:rsidRPr="0060598C">
        <w:rPr>
          <w:rFonts w:ascii="Arial" w:hAnsi="Arial" w:cs="Arial"/>
          <w:sz w:val="20"/>
          <w:szCs w:val="20"/>
        </w:rPr>
        <w:t>ullipa</w:t>
      </w:r>
      <w:r w:rsidRPr="0060598C">
        <w:rPr>
          <w:rFonts w:ascii="Arial" w:hAnsi="Arial" w:cs="Arial"/>
          <w:sz w:val="20"/>
          <w:szCs w:val="20"/>
        </w:rPr>
        <w:t>rous parous.</w:t>
      </w:r>
      <w:r w:rsidR="00F82041" w:rsidRPr="0060598C">
        <w:rPr>
          <w:rFonts w:ascii="Arial" w:hAnsi="Arial" w:cs="Arial"/>
          <w:sz w:val="20"/>
          <w:szCs w:val="20"/>
        </w:rPr>
        <w:t xml:space="preserve"> </w:t>
      </w:r>
      <w:r w:rsidRPr="0060598C">
        <w:rPr>
          <w:rFonts w:ascii="Arial" w:hAnsi="Arial" w:cs="Arial"/>
          <w:sz w:val="20"/>
          <w:szCs w:val="20"/>
        </w:rPr>
        <w:t xml:space="preserve">This formed a significant proportion of the study participants, followed by the multiparae </w:t>
      </w:r>
      <w:r w:rsidR="00F82041" w:rsidRPr="0060598C">
        <w:rPr>
          <w:rFonts w:ascii="Arial" w:hAnsi="Arial" w:cs="Arial"/>
          <w:sz w:val="20"/>
          <w:szCs w:val="20"/>
        </w:rPr>
        <w:t>(33.6 %)</w:t>
      </w:r>
      <w:r w:rsidR="00042CAA" w:rsidRPr="0060598C">
        <w:rPr>
          <w:rFonts w:ascii="Arial" w:hAnsi="Arial" w:cs="Arial"/>
          <w:sz w:val="20"/>
          <w:szCs w:val="20"/>
        </w:rPr>
        <w:t>,</w:t>
      </w:r>
      <w:r w:rsidRPr="0060598C">
        <w:rPr>
          <w:rFonts w:ascii="Arial" w:hAnsi="Arial" w:cs="Arial"/>
          <w:sz w:val="20"/>
          <w:szCs w:val="20"/>
        </w:rPr>
        <w:t xml:space="preserve"> and then the primiparae</w:t>
      </w:r>
      <w:r w:rsidR="00F82041" w:rsidRPr="0060598C">
        <w:rPr>
          <w:rFonts w:ascii="Arial" w:hAnsi="Arial" w:cs="Arial"/>
          <w:sz w:val="20"/>
          <w:szCs w:val="20"/>
        </w:rPr>
        <w:t xml:space="preserve"> (15.1 </w:t>
      </w:r>
      <w:r w:rsidRPr="0060598C">
        <w:rPr>
          <w:rFonts w:ascii="Arial" w:hAnsi="Arial" w:cs="Arial"/>
          <w:sz w:val="20"/>
          <w:szCs w:val="20"/>
        </w:rPr>
        <w:t xml:space="preserve">%). </w:t>
      </w:r>
      <w:r w:rsidR="00F82041" w:rsidRPr="0060598C">
        <w:rPr>
          <w:rFonts w:ascii="Arial" w:hAnsi="Arial" w:cs="Arial"/>
          <w:sz w:val="20"/>
          <w:szCs w:val="20"/>
        </w:rPr>
        <w:t>There was no analytical consider</w:t>
      </w:r>
      <w:r w:rsidR="00042CAA" w:rsidRPr="0060598C">
        <w:rPr>
          <w:rFonts w:ascii="Arial" w:hAnsi="Arial" w:cs="Arial"/>
          <w:sz w:val="20"/>
          <w:szCs w:val="20"/>
        </w:rPr>
        <w:t>able dissimilarity between the</w:t>
      </w:r>
      <w:r w:rsidR="00F82041" w:rsidRPr="0060598C">
        <w:rPr>
          <w:rFonts w:ascii="Arial" w:hAnsi="Arial" w:cs="Arial"/>
          <w:sz w:val="20"/>
          <w:szCs w:val="20"/>
        </w:rPr>
        <w:t xml:space="preserve"> trial arms as regards</w:t>
      </w:r>
      <w:r w:rsidR="00B06553" w:rsidRPr="0060598C">
        <w:rPr>
          <w:rFonts w:ascii="Arial" w:hAnsi="Arial" w:cs="Arial"/>
          <w:sz w:val="20"/>
          <w:szCs w:val="20"/>
        </w:rPr>
        <w:t xml:space="preserve"> the participants’ parity (</w:t>
      </w:r>
      <w:r w:rsidR="00B06553" w:rsidRPr="0060598C">
        <w:rPr>
          <w:rFonts w:ascii="Arial" w:hAnsi="Arial" w:cs="Arial"/>
          <w:i/>
          <w:sz w:val="20"/>
          <w:szCs w:val="20"/>
        </w:rPr>
        <w:t>P</w:t>
      </w:r>
      <w:r w:rsidR="00B06553" w:rsidRPr="0060598C">
        <w:rPr>
          <w:rFonts w:ascii="Arial" w:hAnsi="Arial" w:cs="Arial"/>
          <w:sz w:val="20"/>
          <w:szCs w:val="20"/>
        </w:rPr>
        <w:t xml:space="preserve"> = </w:t>
      </w:r>
      <w:r w:rsidR="00F82041" w:rsidRPr="0060598C">
        <w:rPr>
          <w:rFonts w:ascii="Arial" w:hAnsi="Arial" w:cs="Arial"/>
          <w:sz w:val="20"/>
          <w:szCs w:val="20"/>
        </w:rPr>
        <w:t>.80).</w:t>
      </w:r>
    </w:p>
    <w:p w:rsidR="00F82041" w:rsidRPr="0060598C" w:rsidRDefault="00F82041" w:rsidP="00CA4EFB">
      <w:pPr>
        <w:spacing w:line="240" w:lineRule="auto"/>
        <w:jc w:val="both"/>
        <w:rPr>
          <w:rFonts w:ascii="Arial" w:hAnsi="Arial" w:cs="Arial"/>
        </w:rPr>
      </w:pPr>
      <w:r w:rsidRPr="0060598C">
        <w:rPr>
          <w:rFonts w:ascii="Arial" w:hAnsi="Arial" w:cs="Arial"/>
          <w:b/>
        </w:rPr>
        <w:t xml:space="preserve">Table </w:t>
      </w:r>
      <w:r w:rsidRPr="0060598C">
        <w:rPr>
          <w:rFonts w:ascii="Arial" w:hAnsi="Arial" w:cs="Arial"/>
          <w:b/>
        </w:rPr>
        <w:fldChar w:fldCharType="begin"/>
      </w:r>
      <w:r w:rsidRPr="0060598C">
        <w:rPr>
          <w:rFonts w:ascii="Arial" w:hAnsi="Arial" w:cs="Arial"/>
          <w:b/>
        </w:rPr>
        <w:instrText xml:space="preserve"> SEQ Table \* ARABIC </w:instrText>
      </w:r>
      <w:r w:rsidRPr="0060598C">
        <w:rPr>
          <w:rFonts w:ascii="Arial" w:hAnsi="Arial" w:cs="Arial"/>
          <w:b/>
        </w:rPr>
        <w:fldChar w:fldCharType="separate"/>
      </w:r>
      <w:r w:rsidRPr="0060598C">
        <w:rPr>
          <w:rFonts w:ascii="Arial" w:hAnsi="Arial" w:cs="Arial"/>
          <w:b/>
          <w:noProof/>
        </w:rPr>
        <w:t>1</w:t>
      </w:r>
      <w:r w:rsidRPr="0060598C">
        <w:rPr>
          <w:rFonts w:ascii="Arial" w:hAnsi="Arial" w:cs="Arial"/>
          <w:b/>
        </w:rPr>
        <w:fldChar w:fldCharType="end"/>
      </w:r>
      <w:r w:rsidRPr="0060598C">
        <w:rPr>
          <w:rFonts w:ascii="Arial" w:hAnsi="Arial" w:cs="Arial"/>
          <w:b/>
        </w:rPr>
        <w:t>: Socio-demographic/matern</w:t>
      </w:r>
      <w:r w:rsidR="002E1F15" w:rsidRPr="0060598C">
        <w:rPr>
          <w:rFonts w:ascii="Arial" w:hAnsi="Arial" w:cs="Arial"/>
          <w:b/>
        </w:rPr>
        <w:t xml:space="preserve">al characteristics of </w:t>
      </w:r>
      <w:r w:rsidRPr="0060598C">
        <w:rPr>
          <w:rFonts w:ascii="Arial" w:hAnsi="Arial" w:cs="Arial"/>
          <w:b/>
        </w:rPr>
        <w:t>participants</w:t>
      </w:r>
    </w:p>
    <w:tbl>
      <w:tblPr>
        <w:tblStyle w:val="TableGrid"/>
        <w:tblW w:w="962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9"/>
        <w:gridCol w:w="1620"/>
        <w:gridCol w:w="1980"/>
        <w:gridCol w:w="1710"/>
        <w:gridCol w:w="1710"/>
      </w:tblGrid>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vMerge w:val="restart"/>
            <w:tcBorders>
              <w:top w:val="single" w:sz="4" w:space="0" w:color="auto"/>
              <w:bottom w:val="nil"/>
            </w:tcBorders>
          </w:tcPr>
          <w:p w:rsidR="00F82041" w:rsidRPr="0060598C" w:rsidRDefault="00F82041" w:rsidP="00394C2C">
            <w:pPr>
              <w:jc w:val="both"/>
              <w:rPr>
                <w:rFonts w:ascii="Arial" w:hAnsi="Arial" w:cs="Arial"/>
                <w:b/>
                <w:sz w:val="20"/>
                <w:szCs w:val="20"/>
              </w:rPr>
            </w:pPr>
            <w:r w:rsidRPr="0060598C">
              <w:rPr>
                <w:rFonts w:ascii="Arial" w:hAnsi="Arial" w:cs="Arial"/>
                <w:b/>
                <w:sz w:val="20"/>
                <w:szCs w:val="20"/>
              </w:rPr>
              <w:t>Characteristics</w:t>
            </w:r>
          </w:p>
        </w:tc>
        <w:tc>
          <w:tcPr>
            <w:tcW w:w="1620" w:type="dxa"/>
            <w:vMerge w:val="restart"/>
            <w:tcBorders>
              <w:top w:val="single" w:sz="4" w:space="0" w:color="auto"/>
              <w:bottom w:val="nil"/>
            </w:tcBorders>
          </w:tcPr>
          <w:p w:rsidR="00F82041" w:rsidRPr="0060598C" w:rsidRDefault="00F82041" w:rsidP="00394C2C">
            <w:pPr>
              <w:jc w:val="both"/>
              <w:rPr>
                <w:rFonts w:ascii="Arial" w:hAnsi="Arial" w:cs="Arial"/>
                <w:b/>
                <w:sz w:val="20"/>
                <w:szCs w:val="20"/>
              </w:rPr>
            </w:pPr>
          </w:p>
          <w:p w:rsidR="00F82041" w:rsidRPr="0060598C" w:rsidRDefault="00F82041" w:rsidP="00394C2C">
            <w:pPr>
              <w:jc w:val="both"/>
              <w:rPr>
                <w:rFonts w:ascii="Arial" w:hAnsi="Arial" w:cs="Arial"/>
                <w:b/>
                <w:sz w:val="20"/>
                <w:szCs w:val="20"/>
              </w:rPr>
            </w:pPr>
          </w:p>
          <w:p w:rsidR="00F82041" w:rsidRPr="0060598C" w:rsidRDefault="00F82041" w:rsidP="00394C2C">
            <w:pPr>
              <w:jc w:val="both"/>
              <w:rPr>
                <w:rFonts w:ascii="Arial" w:hAnsi="Arial" w:cs="Arial"/>
                <w:b/>
                <w:sz w:val="20"/>
                <w:szCs w:val="20"/>
              </w:rPr>
            </w:pPr>
            <w:r w:rsidRPr="0060598C">
              <w:rPr>
                <w:rFonts w:ascii="Arial" w:hAnsi="Arial" w:cs="Arial"/>
                <w:b/>
                <w:sz w:val="20"/>
                <w:szCs w:val="20"/>
              </w:rPr>
              <w:t>Total</w:t>
            </w:r>
          </w:p>
          <w:p w:rsidR="00F82041" w:rsidRPr="0060598C" w:rsidRDefault="00F82041" w:rsidP="00394C2C">
            <w:pPr>
              <w:jc w:val="both"/>
              <w:rPr>
                <w:rFonts w:ascii="Arial" w:hAnsi="Arial" w:cs="Arial"/>
                <w:b/>
                <w:sz w:val="20"/>
                <w:szCs w:val="20"/>
              </w:rPr>
            </w:pPr>
            <w:r w:rsidRPr="0060598C">
              <w:rPr>
                <w:rFonts w:ascii="Arial" w:hAnsi="Arial" w:cs="Arial"/>
                <w:b/>
                <w:sz w:val="20"/>
                <w:szCs w:val="20"/>
              </w:rPr>
              <w:t>N = 152 (%)</w:t>
            </w:r>
          </w:p>
        </w:tc>
        <w:tc>
          <w:tcPr>
            <w:tcW w:w="3690" w:type="dxa"/>
            <w:gridSpan w:val="2"/>
            <w:tcBorders>
              <w:top w:val="single" w:sz="4" w:space="0" w:color="auto"/>
              <w:bottom w:val="single" w:sz="4" w:space="0" w:color="auto"/>
            </w:tcBorders>
          </w:tcPr>
          <w:p w:rsidR="00F82041" w:rsidRPr="0060598C" w:rsidRDefault="00F82041" w:rsidP="00394C2C">
            <w:pPr>
              <w:jc w:val="both"/>
              <w:rPr>
                <w:rFonts w:ascii="Arial" w:hAnsi="Arial" w:cs="Arial"/>
                <w:b/>
                <w:sz w:val="20"/>
                <w:szCs w:val="20"/>
              </w:rPr>
            </w:pPr>
            <w:r w:rsidRPr="0060598C">
              <w:rPr>
                <w:rFonts w:ascii="Arial" w:hAnsi="Arial" w:cs="Arial"/>
                <w:b/>
                <w:sz w:val="20"/>
                <w:szCs w:val="20"/>
              </w:rPr>
              <w:t>Study Groups</w:t>
            </w:r>
          </w:p>
        </w:tc>
        <w:tc>
          <w:tcPr>
            <w:tcW w:w="1710" w:type="dxa"/>
            <w:vMerge w:val="restart"/>
            <w:tcBorders>
              <w:top w:val="single" w:sz="4" w:space="0" w:color="auto"/>
              <w:bottom w:val="single" w:sz="4" w:space="0" w:color="auto"/>
            </w:tcBorders>
          </w:tcPr>
          <w:p w:rsidR="00F82041" w:rsidRPr="0060598C" w:rsidRDefault="00F82041" w:rsidP="00394C2C">
            <w:pPr>
              <w:jc w:val="both"/>
              <w:rPr>
                <w:rFonts w:ascii="Arial" w:hAnsi="Arial" w:cs="Arial"/>
                <w:b/>
                <w:sz w:val="20"/>
                <w:szCs w:val="20"/>
              </w:rPr>
            </w:pPr>
            <w:r w:rsidRPr="0060598C">
              <w:rPr>
                <w:rFonts w:ascii="Arial" w:hAnsi="Arial" w:cs="Arial"/>
                <w:b/>
                <w:sz w:val="20"/>
                <w:szCs w:val="20"/>
              </w:rPr>
              <w:t>Test Statistics</w:t>
            </w:r>
          </w:p>
          <w:p w:rsidR="00F82041" w:rsidRPr="0060598C" w:rsidRDefault="00B06553" w:rsidP="00394C2C">
            <w:pPr>
              <w:jc w:val="both"/>
              <w:rPr>
                <w:rFonts w:ascii="Arial" w:hAnsi="Arial" w:cs="Arial"/>
                <w:b/>
                <w:sz w:val="20"/>
                <w:szCs w:val="20"/>
              </w:rPr>
            </w:pPr>
            <w:r w:rsidRPr="0060598C">
              <w:rPr>
                <w:rFonts w:ascii="Arial" w:hAnsi="Arial" w:cs="Arial"/>
                <w:b/>
                <w:sz w:val="20"/>
                <w:szCs w:val="20"/>
              </w:rPr>
              <w:t>(</w:t>
            </w:r>
            <w:r w:rsidRPr="0060598C">
              <w:rPr>
                <w:rFonts w:ascii="Arial" w:hAnsi="Arial" w:cs="Arial"/>
                <w:b/>
                <w:i/>
                <w:sz w:val="20"/>
                <w:szCs w:val="20"/>
              </w:rPr>
              <w:t>P</w:t>
            </w:r>
            <w:r w:rsidR="00F82041" w:rsidRPr="0060598C">
              <w:rPr>
                <w:rFonts w:ascii="Arial" w:hAnsi="Arial" w:cs="Arial"/>
                <w:b/>
                <w:sz w:val="20"/>
                <w:szCs w:val="20"/>
              </w:rPr>
              <w:t>-Value)</w:t>
            </w: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vMerge/>
            <w:tcBorders>
              <w:top w:val="nil"/>
              <w:bottom w:val="single" w:sz="4" w:space="0" w:color="auto"/>
            </w:tcBorders>
          </w:tcPr>
          <w:p w:rsidR="00F82041" w:rsidRPr="0060598C" w:rsidRDefault="00F82041" w:rsidP="00394C2C">
            <w:pPr>
              <w:jc w:val="both"/>
              <w:rPr>
                <w:rFonts w:ascii="Arial" w:hAnsi="Arial" w:cs="Arial"/>
                <w:b/>
                <w:sz w:val="20"/>
                <w:szCs w:val="20"/>
              </w:rPr>
            </w:pPr>
          </w:p>
        </w:tc>
        <w:tc>
          <w:tcPr>
            <w:tcW w:w="1620" w:type="dxa"/>
            <w:vMerge/>
            <w:tcBorders>
              <w:top w:val="nil"/>
              <w:bottom w:val="single" w:sz="4" w:space="0" w:color="auto"/>
            </w:tcBorders>
          </w:tcPr>
          <w:p w:rsidR="00F82041" w:rsidRPr="0060598C" w:rsidRDefault="00F82041" w:rsidP="00394C2C">
            <w:pPr>
              <w:jc w:val="both"/>
              <w:rPr>
                <w:rFonts w:ascii="Arial" w:hAnsi="Arial" w:cs="Arial"/>
                <w:b/>
                <w:sz w:val="20"/>
                <w:szCs w:val="20"/>
              </w:rPr>
            </w:pPr>
          </w:p>
        </w:tc>
        <w:tc>
          <w:tcPr>
            <w:tcW w:w="1980" w:type="dxa"/>
            <w:tcBorders>
              <w:top w:val="single" w:sz="4" w:space="0" w:color="auto"/>
              <w:bottom w:val="single" w:sz="4" w:space="0" w:color="auto"/>
            </w:tcBorders>
          </w:tcPr>
          <w:p w:rsidR="00F82041" w:rsidRPr="0060598C" w:rsidRDefault="00F82041" w:rsidP="00394C2C">
            <w:pPr>
              <w:jc w:val="both"/>
              <w:rPr>
                <w:rFonts w:ascii="Arial" w:hAnsi="Arial" w:cs="Arial"/>
                <w:b/>
                <w:sz w:val="20"/>
                <w:szCs w:val="20"/>
              </w:rPr>
            </w:pPr>
            <w:r w:rsidRPr="0060598C">
              <w:rPr>
                <w:rFonts w:ascii="Arial" w:hAnsi="Arial" w:cs="Arial"/>
                <w:b/>
                <w:sz w:val="20"/>
                <w:szCs w:val="20"/>
              </w:rPr>
              <w:t>Sublingual Misoprostol</w:t>
            </w:r>
          </w:p>
          <w:p w:rsidR="00F82041" w:rsidRPr="0060598C" w:rsidRDefault="00F82041" w:rsidP="00394C2C">
            <w:pPr>
              <w:jc w:val="both"/>
              <w:rPr>
                <w:rFonts w:ascii="Arial" w:hAnsi="Arial" w:cs="Arial"/>
                <w:b/>
                <w:sz w:val="20"/>
                <w:szCs w:val="20"/>
              </w:rPr>
            </w:pPr>
            <w:r w:rsidRPr="0060598C">
              <w:rPr>
                <w:rFonts w:ascii="Arial" w:hAnsi="Arial" w:cs="Arial"/>
                <w:b/>
                <w:sz w:val="20"/>
                <w:szCs w:val="20"/>
              </w:rPr>
              <w:t>N = 76 (%)</w:t>
            </w:r>
          </w:p>
        </w:tc>
        <w:tc>
          <w:tcPr>
            <w:tcW w:w="1710" w:type="dxa"/>
            <w:tcBorders>
              <w:top w:val="single" w:sz="4" w:space="0" w:color="auto"/>
              <w:bottom w:val="single" w:sz="4" w:space="0" w:color="auto"/>
            </w:tcBorders>
          </w:tcPr>
          <w:p w:rsidR="00F82041" w:rsidRPr="0060598C" w:rsidRDefault="00F82041" w:rsidP="00394C2C">
            <w:pPr>
              <w:jc w:val="both"/>
              <w:rPr>
                <w:rFonts w:ascii="Arial" w:hAnsi="Arial" w:cs="Arial"/>
                <w:b/>
                <w:sz w:val="20"/>
                <w:szCs w:val="20"/>
              </w:rPr>
            </w:pPr>
            <w:r w:rsidRPr="0060598C">
              <w:rPr>
                <w:rFonts w:ascii="Arial" w:hAnsi="Arial" w:cs="Arial"/>
                <w:b/>
                <w:sz w:val="20"/>
                <w:szCs w:val="20"/>
              </w:rPr>
              <w:t>Sublingual Placebo</w:t>
            </w:r>
          </w:p>
          <w:p w:rsidR="00F82041" w:rsidRPr="0060598C" w:rsidRDefault="00F82041" w:rsidP="00394C2C">
            <w:pPr>
              <w:jc w:val="both"/>
              <w:rPr>
                <w:rFonts w:ascii="Arial" w:hAnsi="Arial" w:cs="Arial"/>
                <w:b/>
                <w:sz w:val="20"/>
                <w:szCs w:val="20"/>
              </w:rPr>
            </w:pPr>
            <w:r w:rsidRPr="0060598C">
              <w:rPr>
                <w:rFonts w:ascii="Arial" w:hAnsi="Arial" w:cs="Arial"/>
                <w:b/>
                <w:sz w:val="20"/>
                <w:szCs w:val="20"/>
              </w:rPr>
              <w:t>N = 76 (%)</w:t>
            </w:r>
          </w:p>
        </w:tc>
        <w:tc>
          <w:tcPr>
            <w:tcW w:w="1710" w:type="dxa"/>
            <w:vMerge/>
            <w:tcBorders>
              <w:top w:val="nil"/>
              <w:bottom w:val="single" w:sz="4" w:space="0" w:color="auto"/>
            </w:tcBorders>
          </w:tcPr>
          <w:p w:rsidR="00F82041" w:rsidRPr="0060598C" w:rsidRDefault="00F82041" w:rsidP="00394C2C">
            <w:pPr>
              <w:jc w:val="both"/>
              <w:rPr>
                <w:rFonts w:ascii="Arial" w:hAnsi="Arial" w:cs="Arial"/>
                <w:b/>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Borders>
              <w:top w:val="single" w:sz="4" w:space="0" w:color="auto"/>
            </w:tcBorders>
          </w:tcPr>
          <w:p w:rsidR="00F82041" w:rsidRPr="0060598C" w:rsidRDefault="00F82041" w:rsidP="00394C2C">
            <w:pPr>
              <w:jc w:val="both"/>
              <w:rPr>
                <w:rFonts w:ascii="Arial" w:hAnsi="Arial" w:cs="Arial"/>
                <w:b/>
                <w:sz w:val="20"/>
                <w:szCs w:val="20"/>
              </w:rPr>
            </w:pPr>
            <w:r w:rsidRPr="0060598C">
              <w:rPr>
                <w:rFonts w:ascii="Arial" w:hAnsi="Arial" w:cs="Arial"/>
                <w:b/>
                <w:sz w:val="20"/>
                <w:szCs w:val="20"/>
              </w:rPr>
              <w:t>Age group</w:t>
            </w:r>
          </w:p>
        </w:tc>
        <w:tc>
          <w:tcPr>
            <w:tcW w:w="1620" w:type="dxa"/>
            <w:tcBorders>
              <w:top w:val="single" w:sz="4" w:space="0" w:color="auto"/>
            </w:tcBorders>
          </w:tcPr>
          <w:p w:rsidR="00F82041" w:rsidRPr="0060598C" w:rsidRDefault="00F82041" w:rsidP="00394C2C">
            <w:pPr>
              <w:jc w:val="both"/>
              <w:rPr>
                <w:rFonts w:ascii="Arial" w:hAnsi="Arial" w:cs="Arial"/>
                <w:sz w:val="20"/>
                <w:szCs w:val="20"/>
              </w:rPr>
            </w:pPr>
          </w:p>
        </w:tc>
        <w:tc>
          <w:tcPr>
            <w:tcW w:w="1980" w:type="dxa"/>
            <w:tcBorders>
              <w:top w:val="single" w:sz="4" w:space="0" w:color="auto"/>
            </w:tcBorders>
          </w:tcPr>
          <w:p w:rsidR="00F82041" w:rsidRPr="0060598C" w:rsidRDefault="00F82041" w:rsidP="00394C2C">
            <w:pPr>
              <w:jc w:val="both"/>
              <w:rPr>
                <w:rFonts w:ascii="Arial" w:hAnsi="Arial" w:cs="Arial"/>
                <w:sz w:val="20"/>
                <w:szCs w:val="20"/>
              </w:rPr>
            </w:pPr>
          </w:p>
        </w:tc>
        <w:tc>
          <w:tcPr>
            <w:tcW w:w="1710" w:type="dxa"/>
            <w:tcBorders>
              <w:top w:val="single" w:sz="4" w:space="0" w:color="auto"/>
            </w:tcBorders>
          </w:tcPr>
          <w:p w:rsidR="00F82041" w:rsidRPr="0060598C" w:rsidRDefault="00F82041" w:rsidP="00394C2C">
            <w:pPr>
              <w:jc w:val="both"/>
              <w:rPr>
                <w:rFonts w:ascii="Arial" w:hAnsi="Arial" w:cs="Arial"/>
                <w:sz w:val="20"/>
                <w:szCs w:val="20"/>
              </w:rPr>
            </w:pPr>
          </w:p>
        </w:tc>
        <w:tc>
          <w:tcPr>
            <w:tcW w:w="1710" w:type="dxa"/>
            <w:tcBorders>
              <w:top w:val="single" w:sz="4" w:space="0" w:color="auto"/>
            </w:tcBorders>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20 -24 years</w:t>
            </w:r>
          </w:p>
        </w:tc>
        <w:tc>
          <w:tcPr>
            <w:tcW w:w="162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16 (10.5)</w:t>
            </w:r>
          </w:p>
        </w:tc>
        <w:tc>
          <w:tcPr>
            <w:tcW w:w="198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7 (9.2)</w:t>
            </w:r>
          </w:p>
        </w:tc>
        <w:tc>
          <w:tcPr>
            <w:tcW w:w="171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9 (11.8)</w:t>
            </w:r>
          </w:p>
        </w:tc>
        <w:tc>
          <w:tcPr>
            <w:tcW w:w="1710" w:type="dxa"/>
            <w:vMerge w:val="restart"/>
          </w:tcPr>
          <w:p w:rsidR="00F82041" w:rsidRPr="0060598C" w:rsidRDefault="00B06553" w:rsidP="00394C2C">
            <w:pPr>
              <w:jc w:val="both"/>
              <w:rPr>
                <w:rFonts w:ascii="Arial" w:hAnsi="Arial" w:cs="Arial"/>
                <w:sz w:val="20"/>
                <w:szCs w:val="20"/>
              </w:rPr>
            </w:pPr>
            <w:r w:rsidRPr="0060598C">
              <w:rPr>
                <w:rFonts w:ascii="Arial" w:hAnsi="Arial" w:cs="Arial"/>
                <w:sz w:val="20"/>
                <w:szCs w:val="20"/>
              </w:rPr>
              <w:t>2.20 (</w:t>
            </w:r>
            <w:r w:rsidR="00F82041" w:rsidRPr="0060598C">
              <w:rPr>
                <w:rFonts w:ascii="Arial" w:hAnsi="Arial" w:cs="Arial"/>
                <w:sz w:val="20"/>
                <w:szCs w:val="20"/>
              </w:rPr>
              <w:t>.69)</w:t>
            </w: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25 - 29 years</w:t>
            </w:r>
          </w:p>
        </w:tc>
        <w:tc>
          <w:tcPr>
            <w:tcW w:w="162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28 (18.4)</w:t>
            </w:r>
          </w:p>
        </w:tc>
        <w:tc>
          <w:tcPr>
            <w:tcW w:w="198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13 (17.1)</w:t>
            </w:r>
          </w:p>
        </w:tc>
        <w:tc>
          <w:tcPr>
            <w:tcW w:w="171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15 (19.7)</w:t>
            </w:r>
          </w:p>
        </w:tc>
        <w:tc>
          <w:tcPr>
            <w:tcW w:w="1710" w:type="dxa"/>
            <w:vMerge/>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30 - 34 years</w:t>
            </w:r>
          </w:p>
        </w:tc>
        <w:tc>
          <w:tcPr>
            <w:tcW w:w="162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48 (31.6)</w:t>
            </w:r>
          </w:p>
        </w:tc>
        <w:tc>
          <w:tcPr>
            <w:tcW w:w="198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28 (36.8)</w:t>
            </w:r>
          </w:p>
        </w:tc>
        <w:tc>
          <w:tcPr>
            <w:tcW w:w="171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20 (26.3)</w:t>
            </w:r>
          </w:p>
        </w:tc>
        <w:tc>
          <w:tcPr>
            <w:tcW w:w="1710" w:type="dxa"/>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35 - 39 years</w:t>
            </w:r>
          </w:p>
        </w:tc>
        <w:tc>
          <w:tcPr>
            <w:tcW w:w="162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50 (32.9)</w:t>
            </w:r>
          </w:p>
        </w:tc>
        <w:tc>
          <w:tcPr>
            <w:tcW w:w="198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24 (31.6)</w:t>
            </w:r>
          </w:p>
        </w:tc>
        <w:tc>
          <w:tcPr>
            <w:tcW w:w="171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26 (34.2)</w:t>
            </w:r>
          </w:p>
        </w:tc>
        <w:tc>
          <w:tcPr>
            <w:tcW w:w="1710" w:type="dxa"/>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&gt; 40 years</w:t>
            </w:r>
          </w:p>
        </w:tc>
        <w:tc>
          <w:tcPr>
            <w:tcW w:w="162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10 (6.6)</w:t>
            </w:r>
          </w:p>
        </w:tc>
        <w:tc>
          <w:tcPr>
            <w:tcW w:w="198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4 (5.3)</w:t>
            </w:r>
          </w:p>
        </w:tc>
        <w:tc>
          <w:tcPr>
            <w:tcW w:w="171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6 (7.9)</w:t>
            </w:r>
          </w:p>
        </w:tc>
        <w:tc>
          <w:tcPr>
            <w:tcW w:w="1710" w:type="dxa"/>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b/>
                <w:sz w:val="20"/>
                <w:szCs w:val="20"/>
              </w:rPr>
            </w:pPr>
            <w:r w:rsidRPr="0060598C">
              <w:rPr>
                <w:rFonts w:ascii="Arial" w:hAnsi="Arial" w:cs="Arial"/>
                <w:sz w:val="20"/>
                <w:szCs w:val="20"/>
              </w:rPr>
              <w:t xml:space="preserve"> </w:t>
            </w:r>
            <w:r w:rsidRPr="0060598C">
              <w:rPr>
                <w:rFonts w:ascii="Arial" w:hAnsi="Arial" w:cs="Arial"/>
                <w:b/>
                <w:sz w:val="20"/>
                <w:szCs w:val="20"/>
              </w:rPr>
              <w:t>Age in years – Mean ± SD</w:t>
            </w:r>
          </w:p>
        </w:tc>
        <w:tc>
          <w:tcPr>
            <w:tcW w:w="162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32.59 ± 5.97</w:t>
            </w:r>
          </w:p>
        </w:tc>
        <w:tc>
          <w:tcPr>
            <w:tcW w:w="198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32.22± 5.28</w:t>
            </w:r>
          </w:p>
        </w:tc>
        <w:tc>
          <w:tcPr>
            <w:tcW w:w="171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32.17 ± 5.77</w:t>
            </w:r>
          </w:p>
        </w:tc>
        <w:tc>
          <w:tcPr>
            <w:tcW w:w="1710" w:type="dxa"/>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b/>
                <w:sz w:val="20"/>
                <w:szCs w:val="20"/>
              </w:rPr>
            </w:pPr>
          </w:p>
        </w:tc>
        <w:tc>
          <w:tcPr>
            <w:tcW w:w="1620" w:type="dxa"/>
          </w:tcPr>
          <w:p w:rsidR="00F82041" w:rsidRPr="0060598C" w:rsidRDefault="00F82041" w:rsidP="00394C2C">
            <w:pPr>
              <w:jc w:val="both"/>
              <w:rPr>
                <w:rFonts w:ascii="Arial" w:hAnsi="Arial" w:cs="Arial"/>
                <w:sz w:val="20"/>
                <w:szCs w:val="20"/>
              </w:rPr>
            </w:pPr>
          </w:p>
        </w:tc>
        <w:tc>
          <w:tcPr>
            <w:tcW w:w="1980" w:type="dxa"/>
          </w:tcPr>
          <w:p w:rsidR="00F82041" w:rsidRPr="0060598C" w:rsidRDefault="00F82041" w:rsidP="00394C2C">
            <w:pPr>
              <w:jc w:val="both"/>
              <w:rPr>
                <w:rFonts w:ascii="Arial" w:hAnsi="Arial" w:cs="Arial"/>
                <w:sz w:val="20"/>
                <w:szCs w:val="20"/>
              </w:rPr>
            </w:pPr>
          </w:p>
        </w:tc>
        <w:tc>
          <w:tcPr>
            <w:tcW w:w="1710" w:type="dxa"/>
          </w:tcPr>
          <w:p w:rsidR="00F82041" w:rsidRPr="0060598C" w:rsidRDefault="00F82041" w:rsidP="00394C2C">
            <w:pPr>
              <w:jc w:val="both"/>
              <w:rPr>
                <w:rFonts w:ascii="Arial" w:hAnsi="Arial" w:cs="Arial"/>
                <w:sz w:val="20"/>
                <w:szCs w:val="20"/>
              </w:rPr>
            </w:pPr>
          </w:p>
        </w:tc>
        <w:tc>
          <w:tcPr>
            <w:tcW w:w="1710" w:type="dxa"/>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b/>
                <w:sz w:val="20"/>
                <w:szCs w:val="20"/>
              </w:rPr>
            </w:pPr>
            <w:r w:rsidRPr="0060598C">
              <w:rPr>
                <w:rFonts w:ascii="Arial" w:hAnsi="Arial" w:cs="Arial"/>
                <w:b/>
                <w:sz w:val="20"/>
                <w:szCs w:val="20"/>
              </w:rPr>
              <w:t>Parity</w:t>
            </w:r>
          </w:p>
        </w:tc>
        <w:tc>
          <w:tcPr>
            <w:tcW w:w="1620" w:type="dxa"/>
          </w:tcPr>
          <w:p w:rsidR="00F82041" w:rsidRPr="0060598C" w:rsidRDefault="00F82041" w:rsidP="00394C2C">
            <w:pPr>
              <w:jc w:val="both"/>
              <w:rPr>
                <w:rFonts w:ascii="Arial" w:hAnsi="Arial" w:cs="Arial"/>
                <w:sz w:val="20"/>
                <w:szCs w:val="20"/>
              </w:rPr>
            </w:pPr>
          </w:p>
        </w:tc>
        <w:tc>
          <w:tcPr>
            <w:tcW w:w="1980" w:type="dxa"/>
          </w:tcPr>
          <w:p w:rsidR="00F82041" w:rsidRPr="0060598C" w:rsidRDefault="00F82041" w:rsidP="00394C2C">
            <w:pPr>
              <w:jc w:val="both"/>
              <w:rPr>
                <w:rFonts w:ascii="Arial" w:hAnsi="Arial" w:cs="Arial"/>
                <w:sz w:val="20"/>
                <w:szCs w:val="20"/>
              </w:rPr>
            </w:pPr>
          </w:p>
        </w:tc>
        <w:tc>
          <w:tcPr>
            <w:tcW w:w="1710" w:type="dxa"/>
          </w:tcPr>
          <w:p w:rsidR="00F82041" w:rsidRPr="0060598C" w:rsidRDefault="00F82041" w:rsidP="00394C2C">
            <w:pPr>
              <w:jc w:val="both"/>
              <w:rPr>
                <w:rFonts w:ascii="Arial" w:hAnsi="Arial" w:cs="Arial"/>
                <w:sz w:val="20"/>
                <w:szCs w:val="20"/>
              </w:rPr>
            </w:pPr>
          </w:p>
        </w:tc>
        <w:tc>
          <w:tcPr>
            <w:tcW w:w="1710" w:type="dxa"/>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Nulliparous</w:t>
            </w:r>
          </w:p>
        </w:tc>
        <w:tc>
          <w:tcPr>
            <w:tcW w:w="162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70 (46.1)</w:t>
            </w:r>
          </w:p>
        </w:tc>
        <w:tc>
          <w:tcPr>
            <w:tcW w:w="198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36 (47.4)</w:t>
            </w:r>
          </w:p>
        </w:tc>
        <w:tc>
          <w:tcPr>
            <w:tcW w:w="171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34 (44.7)</w:t>
            </w:r>
          </w:p>
        </w:tc>
        <w:tc>
          <w:tcPr>
            <w:tcW w:w="1710" w:type="dxa"/>
            <w:vMerge w:val="restart"/>
          </w:tcPr>
          <w:p w:rsidR="00F82041" w:rsidRPr="0060598C" w:rsidRDefault="00B06553" w:rsidP="00394C2C">
            <w:pPr>
              <w:jc w:val="both"/>
              <w:rPr>
                <w:rFonts w:ascii="Arial" w:hAnsi="Arial" w:cs="Arial"/>
                <w:sz w:val="20"/>
                <w:szCs w:val="20"/>
              </w:rPr>
            </w:pPr>
            <w:r w:rsidRPr="0060598C">
              <w:rPr>
                <w:rFonts w:ascii="Arial" w:hAnsi="Arial" w:cs="Arial"/>
                <w:sz w:val="20"/>
                <w:szCs w:val="20"/>
              </w:rPr>
              <w:t>0.96 (</w:t>
            </w:r>
            <w:r w:rsidR="00F82041" w:rsidRPr="0060598C">
              <w:rPr>
                <w:rFonts w:ascii="Arial" w:hAnsi="Arial" w:cs="Arial"/>
                <w:sz w:val="20"/>
                <w:szCs w:val="20"/>
              </w:rPr>
              <w:t>.80)</w:t>
            </w: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Primiparous</w:t>
            </w:r>
          </w:p>
        </w:tc>
        <w:tc>
          <w:tcPr>
            <w:tcW w:w="162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23 (15.1)</w:t>
            </w:r>
          </w:p>
        </w:tc>
        <w:tc>
          <w:tcPr>
            <w:tcW w:w="198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10 (13.2)</w:t>
            </w:r>
          </w:p>
        </w:tc>
        <w:tc>
          <w:tcPr>
            <w:tcW w:w="171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13 (17.1)</w:t>
            </w:r>
          </w:p>
        </w:tc>
        <w:tc>
          <w:tcPr>
            <w:tcW w:w="1710" w:type="dxa"/>
            <w:vMerge/>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Multiparous</w:t>
            </w:r>
          </w:p>
        </w:tc>
        <w:tc>
          <w:tcPr>
            <w:tcW w:w="162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51 (33.6)</w:t>
            </w:r>
          </w:p>
        </w:tc>
        <w:tc>
          <w:tcPr>
            <w:tcW w:w="198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25 (32.9)</w:t>
            </w:r>
          </w:p>
        </w:tc>
        <w:tc>
          <w:tcPr>
            <w:tcW w:w="171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26 (34.2)</w:t>
            </w:r>
          </w:p>
        </w:tc>
        <w:tc>
          <w:tcPr>
            <w:tcW w:w="1710" w:type="dxa"/>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Grandmultiparous</w:t>
            </w:r>
          </w:p>
        </w:tc>
        <w:tc>
          <w:tcPr>
            <w:tcW w:w="162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8 (5.3)</w:t>
            </w:r>
          </w:p>
        </w:tc>
        <w:tc>
          <w:tcPr>
            <w:tcW w:w="198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5 (6.6)</w:t>
            </w:r>
          </w:p>
        </w:tc>
        <w:tc>
          <w:tcPr>
            <w:tcW w:w="171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3 (3.9)</w:t>
            </w:r>
          </w:p>
        </w:tc>
        <w:tc>
          <w:tcPr>
            <w:tcW w:w="1710" w:type="dxa"/>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b/>
                <w:sz w:val="20"/>
                <w:szCs w:val="20"/>
              </w:rPr>
            </w:pPr>
            <w:r w:rsidRPr="0060598C">
              <w:rPr>
                <w:rFonts w:ascii="Arial" w:hAnsi="Arial" w:cs="Arial"/>
                <w:b/>
                <w:sz w:val="20"/>
                <w:szCs w:val="20"/>
              </w:rPr>
              <w:t>Parity – Median (Range)</w:t>
            </w:r>
          </w:p>
        </w:tc>
        <w:tc>
          <w:tcPr>
            <w:tcW w:w="162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1.0 (1.0 – 4.0)</w:t>
            </w:r>
          </w:p>
        </w:tc>
        <w:tc>
          <w:tcPr>
            <w:tcW w:w="198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 xml:space="preserve">1 (1.0 – 4.0) </w:t>
            </w:r>
          </w:p>
        </w:tc>
        <w:tc>
          <w:tcPr>
            <w:tcW w:w="171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1 (1.0 – 4.0)</w:t>
            </w:r>
          </w:p>
        </w:tc>
        <w:tc>
          <w:tcPr>
            <w:tcW w:w="1710" w:type="dxa"/>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b/>
                <w:sz w:val="20"/>
                <w:szCs w:val="20"/>
              </w:rPr>
            </w:pPr>
          </w:p>
        </w:tc>
        <w:tc>
          <w:tcPr>
            <w:tcW w:w="1620" w:type="dxa"/>
          </w:tcPr>
          <w:p w:rsidR="00F82041" w:rsidRPr="0060598C" w:rsidRDefault="00F82041" w:rsidP="00394C2C">
            <w:pPr>
              <w:jc w:val="both"/>
              <w:rPr>
                <w:rFonts w:ascii="Arial" w:hAnsi="Arial" w:cs="Arial"/>
                <w:sz w:val="20"/>
                <w:szCs w:val="20"/>
              </w:rPr>
            </w:pPr>
          </w:p>
        </w:tc>
        <w:tc>
          <w:tcPr>
            <w:tcW w:w="1980" w:type="dxa"/>
          </w:tcPr>
          <w:p w:rsidR="00F82041" w:rsidRPr="0060598C" w:rsidRDefault="00F82041" w:rsidP="00394C2C">
            <w:pPr>
              <w:jc w:val="both"/>
              <w:rPr>
                <w:rFonts w:ascii="Arial" w:hAnsi="Arial" w:cs="Arial"/>
                <w:sz w:val="20"/>
                <w:szCs w:val="20"/>
              </w:rPr>
            </w:pPr>
          </w:p>
        </w:tc>
        <w:tc>
          <w:tcPr>
            <w:tcW w:w="1710" w:type="dxa"/>
          </w:tcPr>
          <w:p w:rsidR="00F82041" w:rsidRPr="0060598C" w:rsidRDefault="00F82041" w:rsidP="00394C2C">
            <w:pPr>
              <w:jc w:val="both"/>
              <w:rPr>
                <w:rFonts w:ascii="Arial" w:hAnsi="Arial" w:cs="Arial"/>
                <w:sz w:val="20"/>
                <w:szCs w:val="20"/>
              </w:rPr>
            </w:pPr>
          </w:p>
        </w:tc>
        <w:tc>
          <w:tcPr>
            <w:tcW w:w="1710" w:type="dxa"/>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b/>
                <w:sz w:val="20"/>
                <w:szCs w:val="20"/>
              </w:rPr>
            </w:pPr>
            <w:r w:rsidRPr="0060598C">
              <w:rPr>
                <w:rFonts w:ascii="Arial" w:hAnsi="Arial" w:cs="Arial"/>
                <w:b/>
                <w:sz w:val="20"/>
                <w:szCs w:val="20"/>
              </w:rPr>
              <w:t>Gestational Age</w:t>
            </w:r>
          </w:p>
        </w:tc>
        <w:tc>
          <w:tcPr>
            <w:tcW w:w="1620" w:type="dxa"/>
          </w:tcPr>
          <w:p w:rsidR="00F82041" w:rsidRPr="0060598C" w:rsidRDefault="00F82041" w:rsidP="00394C2C">
            <w:pPr>
              <w:jc w:val="both"/>
              <w:rPr>
                <w:rFonts w:ascii="Arial" w:hAnsi="Arial" w:cs="Arial"/>
                <w:sz w:val="20"/>
                <w:szCs w:val="20"/>
              </w:rPr>
            </w:pPr>
          </w:p>
        </w:tc>
        <w:tc>
          <w:tcPr>
            <w:tcW w:w="1980" w:type="dxa"/>
          </w:tcPr>
          <w:p w:rsidR="00F82041" w:rsidRPr="0060598C" w:rsidRDefault="00F82041" w:rsidP="00394C2C">
            <w:pPr>
              <w:jc w:val="both"/>
              <w:rPr>
                <w:rFonts w:ascii="Arial" w:hAnsi="Arial" w:cs="Arial"/>
                <w:sz w:val="20"/>
                <w:szCs w:val="20"/>
              </w:rPr>
            </w:pPr>
          </w:p>
        </w:tc>
        <w:tc>
          <w:tcPr>
            <w:tcW w:w="1710" w:type="dxa"/>
          </w:tcPr>
          <w:p w:rsidR="00F82041" w:rsidRPr="0060598C" w:rsidRDefault="00F82041" w:rsidP="00394C2C">
            <w:pPr>
              <w:jc w:val="both"/>
              <w:rPr>
                <w:rFonts w:ascii="Arial" w:hAnsi="Arial" w:cs="Arial"/>
                <w:sz w:val="20"/>
                <w:szCs w:val="20"/>
              </w:rPr>
            </w:pPr>
          </w:p>
        </w:tc>
        <w:tc>
          <w:tcPr>
            <w:tcW w:w="1710" w:type="dxa"/>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37 weeks</w:t>
            </w:r>
          </w:p>
        </w:tc>
        <w:tc>
          <w:tcPr>
            <w:tcW w:w="162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56 (36.8)</w:t>
            </w:r>
          </w:p>
        </w:tc>
        <w:tc>
          <w:tcPr>
            <w:tcW w:w="198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27 (35.5)</w:t>
            </w:r>
          </w:p>
        </w:tc>
        <w:tc>
          <w:tcPr>
            <w:tcW w:w="171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29 (38.2)</w:t>
            </w:r>
          </w:p>
        </w:tc>
        <w:tc>
          <w:tcPr>
            <w:tcW w:w="1710" w:type="dxa"/>
            <w:vMerge w:val="restart"/>
          </w:tcPr>
          <w:p w:rsidR="00F82041" w:rsidRPr="0060598C" w:rsidRDefault="00B06553" w:rsidP="00394C2C">
            <w:pPr>
              <w:jc w:val="both"/>
              <w:rPr>
                <w:rFonts w:ascii="Arial" w:hAnsi="Arial" w:cs="Arial"/>
                <w:sz w:val="20"/>
                <w:szCs w:val="20"/>
              </w:rPr>
            </w:pPr>
            <w:r w:rsidRPr="0060598C">
              <w:rPr>
                <w:rFonts w:ascii="Arial" w:hAnsi="Arial" w:cs="Arial"/>
                <w:sz w:val="20"/>
                <w:szCs w:val="20"/>
              </w:rPr>
              <w:t>0.50 (</w:t>
            </w:r>
            <w:r w:rsidR="00F82041" w:rsidRPr="0060598C">
              <w:rPr>
                <w:rFonts w:ascii="Arial" w:hAnsi="Arial" w:cs="Arial"/>
                <w:sz w:val="20"/>
                <w:szCs w:val="20"/>
              </w:rPr>
              <w:t>.97)</w:t>
            </w: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38 weeks</w:t>
            </w:r>
          </w:p>
        </w:tc>
        <w:tc>
          <w:tcPr>
            <w:tcW w:w="162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46 (30.3)</w:t>
            </w:r>
          </w:p>
        </w:tc>
        <w:tc>
          <w:tcPr>
            <w:tcW w:w="198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22 (28.9)</w:t>
            </w:r>
          </w:p>
        </w:tc>
        <w:tc>
          <w:tcPr>
            <w:tcW w:w="171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24 (31.6)</w:t>
            </w:r>
          </w:p>
        </w:tc>
        <w:tc>
          <w:tcPr>
            <w:tcW w:w="1710" w:type="dxa"/>
            <w:vMerge/>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39 weeks</w:t>
            </w:r>
          </w:p>
        </w:tc>
        <w:tc>
          <w:tcPr>
            <w:tcW w:w="162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15 (9.9)</w:t>
            </w:r>
          </w:p>
        </w:tc>
        <w:tc>
          <w:tcPr>
            <w:tcW w:w="198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8 (10.5)</w:t>
            </w:r>
          </w:p>
        </w:tc>
        <w:tc>
          <w:tcPr>
            <w:tcW w:w="171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7 (9.2)</w:t>
            </w:r>
          </w:p>
        </w:tc>
        <w:tc>
          <w:tcPr>
            <w:tcW w:w="1710" w:type="dxa"/>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40 weeks</w:t>
            </w:r>
          </w:p>
        </w:tc>
        <w:tc>
          <w:tcPr>
            <w:tcW w:w="162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18 (11.8)</w:t>
            </w:r>
          </w:p>
        </w:tc>
        <w:tc>
          <w:tcPr>
            <w:tcW w:w="198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10 (13.2)</w:t>
            </w:r>
          </w:p>
        </w:tc>
        <w:tc>
          <w:tcPr>
            <w:tcW w:w="171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8 (10.5)</w:t>
            </w:r>
          </w:p>
        </w:tc>
        <w:tc>
          <w:tcPr>
            <w:tcW w:w="1710" w:type="dxa"/>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41 weeks</w:t>
            </w:r>
          </w:p>
        </w:tc>
        <w:tc>
          <w:tcPr>
            <w:tcW w:w="162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17 (11.2)</w:t>
            </w:r>
          </w:p>
        </w:tc>
        <w:tc>
          <w:tcPr>
            <w:tcW w:w="198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9 (11.8)</w:t>
            </w:r>
          </w:p>
        </w:tc>
        <w:tc>
          <w:tcPr>
            <w:tcW w:w="171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8 (10.5)</w:t>
            </w:r>
          </w:p>
        </w:tc>
        <w:tc>
          <w:tcPr>
            <w:tcW w:w="1710" w:type="dxa"/>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b/>
                <w:sz w:val="20"/>
                <w:szCs w:val="20"/>
              </w:rPr>
            </w:pPr>
            <w:r w:rsidRPr="0060598C">
              <w:rPr>
                <w:rFonts w:ascii="Arial" w:hAnsi="Arial" w:cs="Arial"/>
                <w:b/>
                <w:sz w:val="20"/>
                <w:szCs w:val="20"/>
              </w:rPr>
              <w:t>Gestational Age in weeks _ Mean ± SD</w:t>
            </w:r>
          </w:p>
        </w:tc>
        <w:tc>
          <w:tcPr>
            <w:tcW w:w="162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38.3 ± 1.36</w:t>
            </w:r>
          </w:p>
        </w:tc>
        <w:tc>
          <w:tcPr>
            <w:tcW w:w="198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38.3 ± 1.36</w:t>
            </w:r>
          </w:p>
        </w:tc>
        <w:tc>
          <w:tcPr>
            <w:tcW w:w="171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38.3 ± 1.36</w:t>
            </w:r>
          </w:p>
        </w:tc>
        <w:tc>
          <w:tcPr>
            <w:tcW w:w="1710" w:type="dxa"/>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b/>
                <w:sz w:val="20"/>
                <w:szCs w:val="20"/>
              </w:rPr>
            </w:pPr>
          </w:p>
        </w:tc>
        <w:tc>
          <w:tcPr>
            <w:tcW w:w="1620" w:type="dxa"/>
          </w:tcPr>
          <w:p w:rsidR="00F82041" w:rsidRPr="0060598C" w:rsidRDefault="00F82041" w:rsidP="00394C2C">
            <w:pPr>
              <w:jc w:val="both"/>
              <w:rPr>
                <w:rFonts w:ascii="Arial" w:hAnsi="Arial" w:cs="Arial"/>
                <w:sz w:val="20"/>
                <w:szCs w:val="20"/>
              </w:rPr>
            </w:pPr>
          </w:p>
        </w:tc>
        <w:tc>
          <w:tcPr>
            <w:tcW w:w="1980" w:type="dxa"/>
          </w:tcPr>
          <w:p w:rsidR="00F82041" w:rsidRPr="0060598C" w:rsidRDefault="00F82041" w:rsidP="00394C2C">
            <w:pPr>
              <w:jc w:val="both"/>
              <w:rPr>
                <w:rFonts w:ascii="Arial" w:hAnsi="Arial" w:cs="Arial"/>
                <w:sz w:val="20"/>
                <w:szCs w:val="20"/>
              </w:rPr>
            </w:pPr>
          </w:p>
        </w:tc>
        <w:tc>
          <w:tcPr>
            <w:tcW w:w="1710" w:type="dxa"/>
          </w:tcPr>
          <w:p w:rsidR="00F82041" w:rsidRPr="0060598C" w:rsidRDefault="00F82041" w:rsidP="00394C2C">
            <w:pPr>
              <w:jc w:val="both"/>
              <w:rPr>
                <w:rFonts w:ascii="Arial" w:hAnsi="Arial" w:cs="Arial"/>
                <w:sz w:val="20"/>
                <w:szCs w:val="20"/>
              </w:rPr>
            </w:pPr>
          </w:p>
        </w:tc>
        <w:tc>
          <w:tcPr>
            <w:tcW w:w="1710" w:type="dxa"/>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b/>
                <w:sz w:val="20"/>
                <w:szCs w:val="20"/>
              </w:rPr>
            </w:pPr>
            <w:r w:rsidRPr="0060598C">
              <w:rPr>
                <w:rFonts w:ascii="Arial" w:hAnsi="Arial" w:cs="Arial"/>
                <w:b/>
                <w:sz w:val="20"/>
                <w:szCs w:val="20"/>
              </w:rPr>
              <w:t>Type of CS</w:t>
            </w:r>
          </w:p>
        </w:tc>
        <w:tc>
          <w:tcPr>
            <w:tcW w:w="1620" w:type="dxa"/>
          </w:tcPr>
          <w:p w:rsidR="00F82041" w:rsidRPr="0060598C" w:rsidRDefault="00F82041" w:rsidP="00394C2C">
            <w:pPr>
              <w:jc w:val="both"/>
              <w:rPr>
                <w:rFonts w:ascii="Arial" w:hAnsi="Arial" w:cs="Arial"/>
                <w:sz w:val="20"/>
                <w:szCs w:val="20"/>
              </w:rPr>
            </w:pPr>
          </w:p>
        </w:tc>
        <w:tc>
          <w:tcPr>
            <w:tcW w:w="1980" w:type="dxa"/>
          </w:tcPr>
          <w:p w:rsidR="00F82041" w:rsidRPr="0060598C" w:rsidRDefault="00F82041" w:rsidP="00394C2C">
            <w:pPr>
              <w:jc w:val="both"/>
              <w:rPr>
                <w:rFonts w:ascii="Arial" w:hAnsi="Arial" w:cs="Arial"/>
                <w:sz w:val="20"/>
                <w:szCs w:val="20"/>
              </w:rPr>
            </w:pPr>
          </w:p>
        </w:tc>
        <w:tc>
          <w:tcPr>
            <w:tcW w:w="1710" w:type="dxa"/>
          </w:tcPr>
          <w:p w:rsidR="00F82041" w:rsidRPr="0060598C" w:rsidRDefault="00F82041" w:rsidP="00394C2C">
            <w:pPr>
              <w:jc w:val="both"/>
              <w:rPr>
                <w:rFonts w:ascii="Arial" w:hAnsi="Arial" w:cs="Arial"/>
                <w:sz w:val="20"/>
                <w:szCs w:val="20"/>
              </w:rPr>
            </w:pPr>
          </w:p>
        </w:tc>
        <w:tc>
          <w:tcPr>
            <w:tcW w:w="1710" w:type="dxa"/>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Elective CS</w:t>
            </w:r>
          </w:p>
        </w:tc>
        <w:tc>
          <w:tcPr>
            <w:tcW w:w="162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50 (32.9)</w:t>
            </w:r>
          </w:p>
        </w:tc>
        <w:tc>
          <w:tcPr>
            <w:tcW w:w="198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25 (32.9)</w:t>
            </w:r>
          </w:p>
        </w:tc>
        <w:tc>
          <w:tcPr>
            <w:tcW w:w="171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25 (32.9)</w:t>
            </w:r>
          </w:p>
        </w:tc>
        <w:tc>
          <w:tcPr>
            <w:tcW w:w="1710" w:type="dxa"/>
            <w:vMerge w:val="restart"/>
          </w:tcPr>
          <w:p w:rsidR="00F82041" w:rsidRPr="0060598C" w:rsidRDefault="00510B52" w:rsidP="00394C2C">
            <w:pPr>
              <w:jc w:val="both"/>
              <w:rPr>
                <w:rFonts w:ascii="Arial" w:hAnsi="Arial" w:cs="Arial"/>
                <w:sz w:val="20"/>
                <w:szCs w:val="20"/>
              </w:rPr>
            </w:pPr>
            <w:r w:rsidRPr="0060598C">
              <w:rPr>
                <w:rFonts w:ascii="Arial" w:hAnsi="Arial" w:cs="Arial"/>
                <w:sz w:val="20"/>
                <w:szCs w:val="20"/>
              </w:rPr>
              <w:t>2.43 (</w:t>
            </w:r>
            <w:r w:rsidR="00F82041" w:rsidRPr="0060598C">
              <w:rPr>
                <w:rFonts w:ascii="Arial" w:hAnsi="Arial" w:cs="Arial"/>
                <w:sz w:val="20"/>
                <w:szCs w:val="20"/>
              </w:rPr>
              <w:t>.29)</w:t>
            </w: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Urgent CS</w:t>
            </w:r>
          </w:p>
        </w:tc>
        <w:tc>
          <w:tcPr>
            <w:tcW w:w="162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84 (55.3)</w:t>
            </w:r>
          </w:p>
        </w:tc>
        <w:tc>
          <w:tcPr>
            <w:tcW w:w="198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45 (59.2)</w:t>
            </w:r>
          </w:p>
        </w:tc>
        <w:tc>
          <w:tcPr>
            <w:tcW w:w="171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39 (51.3)</w:t>
            </w:r>
          </w:p>
        </w:tc>
        <w:tc>
          <w:tcPr>
            <w:tcW w:w="1710" w:type="dxa"/>
            <w:vMerge/>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Emergency CS</w:t>
            </w:r>
          </w:p>
        </w:tc>
        <w:tc>
          <w:tcPr>
            <w:tcW w:w="162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18 (11.8)</w:t>
            </w:r>
          </w:p>
        </w:tc>
        <w:tc>
          <w:tcPr>
            <w:tcW w:w="198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6 (7.2)</w:t>
            </w:r>
          </w:p>
        </w:tc>
        <w:tc>
          <w:tcPr>
            <w:tcW w:w="171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12 (15.8)</w:t>
            </w:r>
          </w:p>
        </w:tc>
        <w:tc>
          <w:tcPr>
            <w:tcW w:w="1710" w:type="dxa"/>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sz w:val="20"/>
                <w:szCs w:val="20"/>
              </w:rPr>
            </w:pPr>
          </w:p>
        </w:tc>
        <w:tc>
          <w:tcPr>
            <w:tcW w:w="1620" w:type="dxa"/>
          </w:tcPr>
          <w:p w:rsidR="00F82041" w:rsidRPr="0060598C" w:rsidRDefault="00F82041" w:rsidP="00394C2C">
            <w:pPr>
              <w:jc w:val="both"/>
              <w:rPr>
                <w:rFonts w:ascii="Arial" w:hAnsi="Arial" w:cs="Arial"/>
                <w:sz w:val="20"/>
                <w:szCs w:val="20"/>
              </w:rPr>
            </w:pPr>
          </w:p>
        </w:tc>
        <w:tc>
          <w:tcPr>
            <w:tcW w:w="1980" w:type="dxa"/>
          </w:tcPr>
          <w:p w:rsidR="00F82041" w:rsidRPr="0060598C" w:rsidRDefault="00F82041" w:rsidP="00394C2C">
            <w:pPr>
              <w:jc w:val="both"/>
              <w:rPr>
                <w:rFonts w:ascii="Arial" w:hAnsi="Arial" w:cs="Arial"/>
                <w:sz w:val="20"/>
                <w:szCs w:val="20"/>
              </w:rPr>
            </w:pPr>
          </w:p>
        </w:tc>
        <w:tc>
          <w:tcPr>
            <w:tcW w:w="1710" w:type="dxa"/>
          </w:tcPr>
          <w:p w:rsidR="00F82041" w:rsidRPr="0060598C" w:rsidRDefault="00F82041" w:rsidP="00394C2C">
            <w:pPr>
              <w:jc w:val="both"/>
              <w:rPr>
                <w:rFonts w:ascii="Arial" w:hAnsi="Arial" w:cs="Arial"/>
                <w:sz w:val="20"/>
                <w:szCs w:val="20"/>
              </w:rPr>
            </w:pPr>
          </w:p>
        </w:tc>
        <w:tc>
          <w:tcPr>
            <w:tcW w:w="1710" w:type="dxa"/>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b/>
                <w:sz w:val="20"/>
                <w:szCs w:val="20"/>
              </w:rPr>
            </w:pPr>
            <w:r w:rsidRPr="0060598C">
              <w:rPr>
                <w:rFonts w:ascii="Arial" w:hAnsi="Arial" w:cs="Arial"/>
                <w:b/>
                <w:sz w:val="20"/>
                <w:szCs w:val="20"/>
              </w:rPr>
              <w:t>Cadre of Surgeon</w:t>
            </w:r>
          </w:p>
        </w:tc>
        <w:tc>
          <w:tcPr>
            <w:tcW w:w="1620" w:type="dxa"/>
          </w:tcPr>
          <w:p w:rsidR="00F82041" w:rsidRPr="0060598C" w:rsidRDefault="00F82041" w:rsidP="00394C2C">
            <w:pPr>
              <w:jc w:val="both"/>
              <w:rPr>
                <w:rFonts w:ascii="Arial" w:hAnsi="Arial" w:cs="Arial"/>
                <w:sz w:val="20"/>
                <w:szCs w:val="20"/>
              </w:rPr>
            </w:pPr>
          </w:p>
        </w:tc>
        <w:tc>
          <w:tcPr>
            <w:tcW w:w="1980" w:type="dxa"/>
          </w:tcPr>
          <w:p w:rsidR="00F82041" w:rsidRPr="0060598C" w:rsidRDefault="00F82041" w:rsidP="00394C2C">
            <w:pPr>
              <w:jc w:val="both"/>
              <w:rPr>
                <w:rFonts w:ascii="Arial" w:hAnsi="Arial" w:cs="Arial"/>
                <w:sz w:val="20"/>
                <w:szCs w:val="20"/>
              </w:rPr>
            </w:pPr>
          </w:p>
        </w:tc>
        <w:tc>
          <w:tcPr>
            <w:tcW w:w="1710" w:type="dxa"/>
          </w:tcPr>
          <w:p w:rsidR="00F82041" w:rsidRPr="0060598C" w:rsidRDefault="00F82041" w:rsidP="00394C2C">
            <w:pPr>
              <w:jc w:val="both"/>
              <w:rPr>
                <w:rFonts w:ascii="Arial" w:hAnsi="Arial" w:cs="Arial"/>
                <w:sz w:val="20"/>
                <w:szCs w:val="20"/>
              </w:rPr>
            </w:pPr>
          </w:p>
        </w:tc>
        <w:tc>
          <w:tcPr>
            <w:tcW w:w="1710" w:type="dxa"/>
          </w:tcPr>
          <w:p w:rsidR="00F82041" w:rsidRPr="0060598C" w:rsidRDefault="00F82041" w:rsidP="00394C2C">
            <w:pPr>
              <w:jc w:val="both"/>
              <w:rPr>
                <w:rFonts w:ascii="Arial" w:hAnsi="Arial" w:cs="Arial"/>
                <w:sz w:val="20"/>
                <w:szCs w:val="20"/>
              </w:rPr>
            </w:pP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Consultant</w:t>
            </w:r>
          </w:p>
        </w:tc>
        <w:tc>
          <w:tcPr>
            <w:tcW w:w="162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60 (39.5)</w:t>
            </w:r>
          </w:p>
        </w:tc>
        <w:tc>
          <w:tcPr>
            <w:tcW w:w="198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32 (42.1)</w:t>
            </w:r>
          </w:p>
        </w:tc>
        <w:tc>
          <w:tcPr>
            <w:tcW w:w="171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28 (36.8)</w:t>
            </w:r>
          </w:p>
        </w:tc>
        <w:tc>
          <w:tcPr>
            <w:tcW w:w="1710" w:type="dxa"/>
            <w:vMerge w:val="restart"/>
          </w:tcPr>
          <w:p w:rsidR="00F82041" w:rsidRPr="0060598C" w:rsidRDefault="00510B52" w:rsidP="00394C2C">
            <w:pPr>
              <w:jc w:val="both"/>
              <w:rPr>
                <w:rFonts w:ascii="Arial" w:hAnsi="Arial" w:cs="Arial"/>
                <w:sz w:val="20"/>
                <w:szCs w:val="20"/>
              </w:rPr>
            </w:pPr>
            <w:r w:rsidRPr="0060598C">
              <w:rPr>
                <w:rFonts w:ascii="Arial" w:hAnsi="Arial" w:cs="Arial"/>
                <w:sz w:val="20"/>
                <w:szCs w:val="20"/>
              </w:rPr>
              <w:t>0.44 (</w:t>
            </w:r>
            <w:r w:rsidR="00F82041" w:rsidRPr="0060598C">
              <w:rPr>
                <w:rFonts w:ascii="Arial" w:hAnsi="Arial" w:cs="Arial"/>
                <w:sz w:val="20"/>
                <w:szCs w:val="20"/>
              </w:rPr>
              <w:t>.50)</w:t>
            </w:r>
          </w:p>
        </w:tc>
      </w:tr>
      <w:tr w:rsidR="00F82041" w:rsidRPr="0060598C" w:rsidTr="00B06553">
        <w:tc>
          <w:tcPr>
            <w:tcW w:w="236" w:type="dxa"/>
          </w:tcPr>
          <w:p w:rsidR="00F82041" w:rsidRPr="0060598C" w:rsidRDefault="00F82041" w:rsidP="00394C2C">
            <w:pPr>
              <w:jc w:val="both"/>
              <w:rPr>
                <w:rFonts w:ascii="Arial" w:hAnsi="Arial" w:cs="Arial"/>
                <w:sz w:val="20"/>
                <w:szCs w:val="20"/>
              </w:rPr>
            </w:pPr>
          </w:p>
        </w:tc>
        <w:tc>
          <w:tcPr>
            <w:tcW w:w="2369"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Senior Registrar</w:t>
            </w:r>
          </w:p>
        </w:tc>
        <w:tc>
          <w:tcPr>
            <w:tcW w:w="162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92 (60.5)</w:t>
            </w:r>
          </w:p>
        </w:tc>
        <w:tc>
          <w:tcPr>
            <w:tcW w:w="198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44 (57.9)</w:t>
            </w:r>
          </w:p>
        </w:tc>
        <w:tc>
          <w:tcPr>
            <w:tcW w:w="1710" w:type="dxa"/>
          </w:tcPr>
          <w:p w:rsidR="00F82041" w:rsidRPr="0060598C" w:rsidRDefault="00F82041" w:rsidP="00394C2C">
            <w:pPr>
              <w:jc w:val="both"/>
              <w:rPr>
                <w:rFonts w:ascii="Arial" w:hAnsi="Arial" w:cs="Arial"/>
                <w:sz w:val="20"/>
                <w:szCs w:val="20"/>
              </w:rPr>
            </w:pPr>
            <w:r w:rsidRPr="0060598C">
              <w:rPr>
                <w:rFonts w:ascii="Arial" w:hAnsi="Arial" w:cs="Arial"/>
                <w:sz w:val="20"/>
                <w:szCs w:val="20"/>
              </w:rPr>
              <w:t>48 (63.2)</w:t>
            </w:r>
          </w:p>
        </w:tc>
        <w:tc>
          <w:tcPr>
            <w:tcW w:w="1710" w:type="dxa"/>
            <w:vMerge/>
          </w:tcPr>
          <w:p w:rsidR="00F82041" w:rsidRPr="0060598C" w:rsidRDefault="00F82041" w:rsidP="00394C2C">
            <w:pPr>
              <w:jc w:val="both"/>
              <w:rPr>
                <w:rFonts w:ascii="Arial" w:hAnsi="Arial" w:cs="Arial"/>
                <w:sz w:val="20"/>
                <w:szCs w:val="20"/>
              </w:rPr>
            </w:pPr>
          </w:p>
        </w:tc>
      </w:tr>
    </w:tbl>
    <w:p w:rsidR="00F82041" w:rsidRPr="0060598C" w:rsidRDefault="00F82041" w:rsidP="00394C2C">
      <w:pPr>
        <w:pStyle w:val="Caption"/>
        <w:keepNext/>
        <w:jc w:val="both"/>
        <w:rPr>
          <w:rFonts w:ascii="Arial" w:hAnsi="Arial" w:cs="Arial"/>
          <w:i w:val="0"/>
          <w:iCs w:val="0"/>
          <w:color w:val="auto"/>
          <w:sz w:val="20"/>
          <w:szCs w:val="20"/>
        </w:rPr>
      </w:pPr>
      <w:r w:rsidRPr="0060598C">
        <w:rPr>
          <w:rFonts w:ascii="Arial" w:hAnsi="Arial" w:cs="Arial"/>
          <w:i w:val="0"/>
          <w:iCs w:val="0"/>
          <w:color w:val="auto"/>
          <w:sz w:val="20"/>
          <w:szCs w:val="20"/>
        </w:rPr>
        <w:t xml:space="preserve">      CS- Caesarean section</w:t>
      </w:r>
    </w:p>
    <w:p w:rsidR="00647460" w:rsidRPr="0060598C" w:rsidRDefault="00647460" w:rsidP="00394C2C">
      <w:pPr>
        <w:spacing w:line="480" w:lineRule="auto"/>
        <w:jc w:val="both"/>
        <w:rPr>
          <w:rFonts w:ascii="Arial" w:hAnsi="Arial" w:cs="Arial"/>
          <w:sz w:val="20"/>
          <w:szCs w:val="20"/>
        </w:rPr>
      </w:pPr>
      <w:r w:rsidRPr="0060598C">
        <w:rPr>
          <w:rFonts w:ascii="Arial" w:hAnsi="Arial" w:cs="Arial"/>
          <w:sz w:val="20"/>
          <w:szCs w:val="20"/>
        </w:rPr>
        <w:t xml:space="preserve">On considering the type of caesarean birth performed for the study participants, both </w:t>
      </w:r>
      <w:r w:rsidR="00B06553" w:rsidRPr="0060598C">
        <w:rPr>
          <w:rFonts w:ascii="Arial" w:hAnsi="Arial" w:cs="Arial"/>
          <w:sz w:val="20"/>
          <w:szCs w:val="20"/>
        </w:rPr>
        <w:t>trial groups were similar (</w:t>
      </w:r>
      <w:r w:rsidR="00B06553" w:rsidRPr="0060598C">
        <w:rPr>
          <w:rFonts w:ascii="Arial" w:hAnsi="Arial" w:cs="Arial"/>
          <w:i/>
          <w:sz w:val="20"/>
          <w:szCs w:val="20"/>
        </w:rPr>
        <w:t xml:space="preserve">P </w:t>
      </w:r>
      <w:r w:rsidR="00B06553" w:rsidRPr="0060598C">
        <w:rPr>
          <w:rFonts w:ascii="Arial" w:hAnsi="Arial" w:cs="Arial"/>
          <w:sz w:val="20"/>
          <w:szCs w:val="20"/>
        </w:rPr>
        <w:t xml:space="preserve">= </w:t>
      </w:r>
      <w:r w:rsidRPr="0060598C">
        <w:rPr>
          <w:rFonts w:ascii="Arial" w:hAnsi="Arial" w:cs="Arial"/>
          <w:sz w:val="20"/>
          <w:szCs w:val="20"/>
        </w:rPr>
        <w:t xml:space="preserve">.29). An appreciable proportion of the study participants had urgent caesarean delivery (55.3 </w:t>
      </w:r>
      <w:r w:rsidRPr="0060598C">
        <w:rPr>
          <w:rFonts w:ascii="Arial" w:hAnsi="Arial" w:cs="Arial"/>
          <w:sz w:val="20"/>
          <w:szCs w:val="20"/>
        </w:rPr>
        <w:lastRenderedPageBreak/>
        <w:t>%).  That is, more than half of the total number of study participants underwent this category of abdominal delivery. Elective abdominal birth constituted slightly above one-third of the caesarean cases (32.9%). Emergen</w:t>
      </w:r>
      <w:r w:rsidR="00042CAA" w:rsidRPr="0060598C">
        <w:rPr>
          <w:rFonts w:ascii="Arial" w:hAnsi="Arial" w:cs="Arial"/>
          <w:sz w:val="20"/>
          <w:szCs w:val="20"/>
        </w:rPr>
        <w:t>cy caesarean delivery category</w:t>
      </w:r>
      <w:r w:rsidRPr="0060598C">
        <w:rPr>
          <w:rFonts w:ascii="Arial" w:hAnsi="Arial" w:cs="Arial"/>
          <w:sz w:val="20"/>
          <w:szCs w:val="20"/>
        </w:rPr>
        <w:t xml:space="preserve"> recorded, 11.8 % of the caesarean operations. This meant that slightly above one out of ten study participants had emergency abdominal birth. </w:t>
      </w:r>
    </w:p>
    <w:p w:rsidR="00647460" w:rsidRPr="0060598C" w:rsidRDefault="00647460" w:rsidP="00394C2C">
      <w:pPr>
        <w:spacing w:line="480" w:lineRule="auto"/>
        <w:jc w:val="both"/>
        <w:rPr>
          <w:rFonts w:ascii="Arial" w:hAnsi="Arial" w:cs="Arial"/>
          <w:sz w:val="20"/>
          <w:szCs w:val="20"/>
        </w:rPr>
      </w:pPr>
      <w:r w:rsidRPr="0060598C">
        <w:rPr>
          <w:rFonts w:ascii="Arial" w:hAnsi="Arial" w:cs="Arial"/>
          <w:sz w:val="20"/>
          <w:szCs w:val="20"/>
        </w:rPr>
        <w:t>For the cadre of the lead surgeon who performed the caesarean operation for the study participants, there was also no analytically appreciable difference on comp</w:t>
      </w:r>
      <w:r w:rsidR="00042CAA" w:rsidRPr="0060598C">
        <w:rPr>
          <w:rFonts w:ascii="Arial" w:hAnsi="Arial" w:cs="Arial"/>
          <w:sz w:val="20"/>
          <w:szCs w:val="20"/>
        </w:rPr>
        <w:t>aring the</w:t>
      </w:r>
      <w:r w:rsidRPr="0060598C">
        <w:rPr>
          <w:rFonts w:ascii="Arial" w:hAnsi="Arial" w:cs="Arial"/>
          <w:sz w:val="20"/>
          <w:szCs w:val="20"/>
        </w:rPr>
        <w:t xml:space="preserve"> study arms (</w:t>
      </w:r>
      <w:r w:rsidR="00B06553" w:rsidRPr="0060598C">
        <w:rPr>
          <w:rFonts w:ascii="Arial" w:hAnsi="Arial" w:cs="Arial"/>
          <w:i/>
          <w:sz w:val="20"/>
          <w:szCs w:val="20"/>
        </w:rPr>
        <w:t>P</w:t>
      </w:r>
      <w:r w:rsidRPr="0060598C">
        <w:rPr>
          <w:rFonts w:ascii="Arial" w:hAnsi="Arial" w:cs="Arial"/>
          <w:sz w:val="20"/>
          <w:szCs w:val="20"/>
        </w:rPr>
        <w:t xml:space="preserve"> </w:t>
      </w:r>
      <w:r w:rsidR="00B06553" w:rsidRPr="0060598C">
        <w:rPr>
          <w:rFonts w:ascii="Arial" w:hAnsi="Arial" w:cs="Arial"/>
          <w:sz w:val="20"/>
          <w:szCs w:val="20"/>
        </w:rPr>
        <w:t xml:space="preserve">= </w:t>
      </w:r>
      <w:r w:rsidRPr="0060598C">
        <w:rPr>
          <w:rFonts w:ascii="Arial" w:hAnsi="Arial" w:cs="Arial"/>
          <w:sz w:val="20"/>
          <w:szCs w:val="20"/>
        </w:rPr>
        <w:t>.50). About six out of every ten lead surgeons in the study were senior registrars (60.5 %).</w:t>
      </w:r>
    </w:p>
    <w:p w:rsidR="00F82041" w:rsidRPr="0060598C" w:rsidRDefault="00A6377A" w:rsidP="00F82041">
      <w:pPr>
        <w:jc w:val="both"/>
        <w:rPr>
          <w:rFonts w:ascii="Arial" w:hAnsi="Arial" w:cs="Arial"/>
          <w:b/>
        </w:rPr>
      </w:pPr>
      <w:r w:rsidRPr="0060598C">
        <w:rPr>
          <w:rFonts w:ascii="Arial" w:hAnsi="Arial" w:cs="Arial"/>
          <w:b/>
        </w:rPr>
        <w:t xml:space="preserve">3.2 </w:t>
      </w:r>
      <w:r w:rsidR="00F82041" w:rsidRPr="0060598C">
        <w:rPr>
          <w:rFonts w:ascii="Arial" w:hAnsi="Arial" w:cs="Arial"/>
          <w:b/>
        </w:rPr>
        <w:t xml:space="preserve">BLOOD LOSS </w:t>
      </w:r>
      <w:r w:rsidR="00CA4EFB" w:rsidRPr="0060598C">
        <w:rPr>
          <w:rFonts w:ascii="Arial" w:hAnsi="Arial" w:cs="Arial"/>
          <w:b/>
        </w:rPr>
        <w:t xml:space="preserve">ESTIMATION </w:t>
      </w:r>
      <w:r w:rsidR="00F82041" w:rsidRPr="0060598C">
        <w:rPr>
          <w:rFonts w:ascii="Arial" w:hAnsi="Arial" w:cs="Arial"/>
          <w:b/>
        </w:rPr>
        <w:t>IN T</w:t>
      </w:r>
      <w:r w:rsidR="00CA4EFB" w:rsidRPr="0060598C">
        <w:rPr>
          <w:rFonts w:ascii="Arial" w:hAnsi="Arial" w:cs="Arial"/>
          <w:b/>
        </w:rPr>
        <w:t>HE MISOPROSTOL</w:t>
      </w:r>
      <w:r w:rsidR="004E0218" w:rsidRPr="0060598C">
        <w:rPr>
          <w:rFonts w:ascii="Arial" w:hAnsi="Arial" w:cs="Arial"/>
          <w:b/>
        </w:rPr>
        <w:t>-OXYTOCIN</w:t>
      </w:r>
      <w:r w:rsidR="00575406" w:rsidRPr="0060598C">
        <w:rPr>
          <w:rFonts w:ascii="Arial" w:hAnsi="Arial" w:cs="Arial"/>
          <w:b/>
        </w:rPr>
        <w:t xml:space="preserve"> </w:t>
      </w:r>
      <w:r w:rsidR="00CA4EFB" w:rsidRPr="0060598C">
        <w:rPr>
          <w:rFonts w:ascii="Arial" w:hAnsi="Arial" w:cs="Arial"/>
          <w:b/>
        </w:rPr>
        <w:t>AND PLACEBO</w:t>
      </w:r>
      <w:r w:rsidR="004E0218" w:rsidRPr="0060598C">
        <w:rPr>
          <w:rFonts w:ascii="Arial" w:hAnsi="Arial" w:cs="Arial"/>
          <w:b/>
        </w:rPr>
        <w:t>-OXYTOCIN</w:t>
      </w:r>
      <w:r w:rsidR="00F82041" w:rsidRPr="0060598C">
        <w:rPr>
          <w:rFonts w:ascii="Arial" w:hAnsi="Arial" w:cs="Arial"/>
          <w:b/>
        </w:rPr>
        <w:t xml:space="preserve"> </w:t>
      </w:r>
      <w:r w:rsidR="00575406" w:rsidRPr="0060598C">
        <w:rPr>
          <w:rFonts w:ascii="Arial" w:hAnsi="Arial" w:cs="Arial"/>
          <w:b/>
        </w:rPr>
        <w:t>SYUDY GROUPS</w:t>
      </w:r>
      <w:r w:rsidR="00F82041" w:rsidRPr="0060598C">
        <w:rPr>
          <w:rFonts w:ascii="Arial" w:hAnsi="Arial" w:cs="Arial"/>
          <w:b/>
        </w:rPr>
        <w:t xml:space="preserve"> </w:t>
      </w:r>
    </w:p>
    <w:p w:rsidR="00042CAA" w:rsidRPr="0060598C" w:rsidRDefault="00F82041" w:rsidP="00394C2C">
      <w:pPr>
        <w:spacing w:line="480" w:lineRule="auto"/>
        <w:jc w:val="both"/>
        <w:rPr>
          <w:rFonts w:ascii="Arial" w:hAnsi="Arial" w:cs="Arial"/>
          <w:sz w:val="20"/>
          <w:szCs w:val="20"/>
        </w:rPr>
      </w:pPr>
      <w:r w:rsidRPr="0060598C">
        <w:rPr>
          <w:rFonts w:ascii="Arial" w:hAnsi="Arial" w:cs="Arial"/>
          <w:sz w:val="20"/>
          <w:szCs w:val="20"/>
        </w:rPr>
        <w:t>Table 2 shows the amount of blood loss in the two study arms. There was no analytically conside</w:t>
      </w:r>
      <w:r w:rsidR="00042CAA" w:rsidRPr="0060598C">
        <w:rPr>
          <w:rFonts w:ascii="Arial" w:hAnsi="Arial" w:cs="Arial"/>
          <w:sz w:val="20"/>
          <w:szCs w:val="20"/>
        </w:rPr>
        <w:t>rable dissimilarity between the</w:t>
      </w:r>
      <w:r w:rsidRPr="0060598C">
        <w:rPr>
          <w:rFonts w:ascii="Arial" w:hAnsi="Arial" w:cs="Arial"/>
          <w:sz w:val="20"/>
          <w:szCs w:val="20"/>
        </w:rPr>
        <w:t xml:space="preserve"> study arms in terms of the duration of surgery and the preoperative packed cell volume. The prime endpoint measurable variable of interest, the amount of blood loss at abdominal birth</w:t>
      </w:r>
      <w:r w:rsidR="00575406" w:rsidRPr="0060598C">
        <w:rPr>
          <w:rFonts w:ascii="Arial" w:hAnsi="Arial" w:cs="Arial"/>
          <w:sz w:val="20"/>
          <w:szCs w:val="20"/>
        </w:rPr>
        <w:t xml:space="preserve">, was  lower in the misoprostol-oxytocin </w:t>
      </w:r>
      <w:r w:rsidRPr="0060598C">
        <w:rPr>
          <w:rFonts w:ascii="Arial" w:hAnsi="Arial" w:cs="Arial"/>
          <w:sz w:val="20"/>
          <w:szCs w:val="20"/>
        </w:rPr>
        <w:t>study group when compared to the placebo</w:t>
      </w:r>
      <w:r w:rsidR="00575406" w:rsidRPr="0060598C">
        <w:rPr>
          <w:rFonts w:ascii="Arial" w:hAnsi="Arial" w:cs="Arial"/>
          <w:sz w:val="20"/>
          <w:szCs w:val="20"/>
        </w:rPr>
        <w:t>-oxytocin</w:t>
      </w:r>
      <w:r w:rsidRPr="0060598C">
        <w:rPr>
          <w:rFonts w:ascii="Arial" w:hAnsi="Arial" w:cs="Arial"/>
          <w:sz w:val="20"/>
          <w:szCs w:val="20"/>
        </w:rPr>
        <w:t xml:space="preserve"> study group (664.0 ± 285.2 ml vs 677.9 ± 430.3 ml), but this </w:t>
      </w:r>
      <w:r w:rsidR="00042CAA" w:rsidRPr="0060598C">
        <w:rPr>
          <w:rFonts w:ascii="Arial" w:hAnsi="Arial" w:cs="Arial"/>
          <w:sz w:val="20"/>
          <w:szCs w:val="20"/>
        </w:rPr>
        <w:t>was not statistically significant</w:t>
      </w:r>
      <w:r w:rsidR="00B06553" w:rsidRPr="0060598C">
        <w:rPr>
          <w:rFonts w:ascii="Arial" w:hAnsi="Arial" w:cs="Arial"/>
          <w:sz w:val="20"/>
          <w:szCs w:val="20"/>
        </w:rPr>
        <w:t xml:space="preserve"> (</w:t>
      </w:r>
      <w:r w:rsidR="00B06553" w:rsidRPr="0060598C">
        <w:rPr>
          <w:rFonts w:ascii="Arial" w:hAnsi="Arial" w:cs="Arial"/>
          <w:i/>
          <w:sz w:val="20"/>
          <w:szCs w:val="20"/>
        </w:rPr>
        <w:t>P</w:t>
      </w:r>
      <w:r w:rsidR="00B06553" w:rsidRPr="0060598C">
        <w:rPr>
          <w:rFonts w:ascii="Arial" w:hAnsi="Arial" w:cs="Arial"/>
          <w:sz w:val="20"/>
          <w:szCs w:val="20"/>
        </w:rPr>
        <w:t xml:space="preserve"> = .80</w:t>
      </w:r>
      <w:r w:rsidRPr="0060598C">
        <w:rPr>
          <w:rFonts w:ascii="Arial" w:hAnsi="Arial" w:cs="Arial"/>
          <w:sz w:val="20"/>
          <w:szCs w:val="20"/>
        </w:rPr>
        <w:t xml:space="preserve">).  </w:t>
      </w:r>
    </w:p>
    <w:p w:rsidR="000D76A2" w:rsidRPr="0060598C" w:rsidRDefault="00F82041" w:rsidP="00394C2C">
      <w:pPr>
        <w:spacing w:line="480" w:lineRule="auto"/>
        <w:jc w:val="both"/>
        <w:rPr>
          <w:rFonts w:ascii="Arial" w:hAnsi="Arial" w:cs="Arial"/>
          <w:sz w:val="20"/>
          <w:szCs w:val="20"/>
        </w:rPr>
      </w:pPr>
      <w:r w:rsidRPr="0060598C">
        <w:rPr>
          <w:rFonts w:ascii="Arial" w:hAnsi="Arial" w:cs="Arial"/>
          <w:sz w:val="20"/>
          <w:szCs w:val="20"/>
        </w:rPr>
        <w:t>In addition, there was no analytical dissimilarity betwee</w:t>
      </w:r>
      <w:r w:rsidR="00042CAA" w:rsidRPr="0060598C">
        <w:rPr>
          <w:rFonts w:ascii="Arial" w:hAnsi="Arial" w:cs="Arial"/>
          <w:sz w:val="20"/>
          <w:szCs w:val="20"/>
        </w:rPr>
        <w:t>n the sublingual misoprostol</w:t>
      </w:r>
      <w:r w:rsidR="00575406" w:rsidRPr="0060598C">
        <w:rPr>
          <w:rFonts w:ascii="Arial" w:hAnsi="Arial" w:cs="Arial"/>
          <w:sz w:val="20"/>
          <w:szCs w:val="20"/>
        </w:rPr>
        <w:t>-oxytocin</w:t>
      </w:r>
      <w:r w:rsidRPr="0060598C">
        <w:rPr>
          <w:rFonts w:ascii="Arial" w:hAnsi="Arial" w:cs="Arial"/>
          <w:sz w:val="20"/>
          <w:szCs w:val="20"/>
        </w:rPr>
        <w:t xml:space="preserve"> study arm and the sublingual placebo</w:t>
      </w:r>
      <w:r w:rsidR="00575406" w:rsidRPr="0060598C">
        <w:rPr>
          <w:rFonts w:ascii="Arial" w:hAnsi="Arial" w:cs="Arial"/>
          <w:sz w:val="20"/>
          <w:szCs w:val="20"/>
        </w:rPr>
        <w:t>-oxytocin</w:t>
      </w:r>
      <w:r w:rsidRPr="0060598C">
        <w:rPr>
          <w:rFonts w:ascii="Arial" w:hAnsi="Arial" w:cs="Arial"/>
          <w:sz w:val="20"/>
          <w:szCs w:val="20"/>
        </w:rPr>
        <w:t xml:space="preserve"> study arm</w:t>
      </w:r>
      <w:r w:rsidR="00042CAA" w:rsidRPr="0060598C">
        <w:rPr>
          <w:rFonts w:ascii="Arial" w:hAnsi="Arial" w:cs="Arial"/>
          <w:sz w:val="20"/>
          <w:szCs w:val="20"/>
        </w:rPr>
        <w:t>,</w:t>
      </w:r>
      <w:r w:rsidRPr="0060598C">
        <w:rPr>
          <w:rFonts w:ascii="Arial" w:hAnsi="Arial" w:cs="Arial"/>
          <w:sz w:val="20"/>
          <w:szCs w:val="20"/>
        </w:rPr>
        <w:t xml:space="preserve"> as regards the 48-hours postoperative packed cell volume (30.2 ± 3.6 vs 30.9 ±</w:t>
      </w:r>
      <w:r w:rsidR="00B06553" w:rsidRPr="0060598C">
        <w:rPr>
          <w:rFonts w:ascii="Arial" w:hAnsi="Arial" w:cs="Arial"/>
          <w:sz w:val="20"/>
          <w:szCs w:val="20"/>
        </w:rPr>
        <w:t xml:space="preserve"> 4.8, </w:t>
      </w:r>
      <w:r w:rsidR="00B06553" w:rsidRPr="0060598C">
        <w:rPr>
          <w:rFonts w:ascii="Arial" w:hAnsi="Arial" w:cs="Arial"/>
          <w:i/>
          <w:sz w:val="20"/>
          <w:szCs w:val="20"/>
        </w:rPr>
        <w:t>P</w:t>
      </w:r>
      <w:r w:rsidR="00B06553" w:rsidRPr="0060598C">
        <w:rPr>
          <w:rFonts w:ascii="Arial" w:hAnsi="Arial" w:cs="Arial"/>
          <w:sz w:val="20"/>
          <w:szCs w:val="20"/>
        </w:rPr>
        <w:t xml:space="preserve"> = .23</w:t>
      </w:r>
      <w:r w:rsidRPr="0060598C">
        <w:rPr>
          <w:rFonts w:ascii="Arial" w:hAnsi="Arial" w:cs="Arial"/>
          <w:sz w:val="20"/>
          <w:szCs w:val="20"/>
        </w:rPr>
        <w:t>)</w:t>
      </w:r>
      <w:r w:rsidR="003C3600" w:rsidRPr="0060598C">
        <w:rPr>
          <w:rFonts w:ascii="Arial" w:hAnsi="Arial" w:cs="Arial"/>
          <w:sz w:val="20"/>
          <w:szCs w:val="20"/>
        </w:rPr>
        <w:t>. T</w:t>
      </w:r>
      <w:r w:rsidRPr="0060598C">
        <w:rPr>
          <w:rFonts w:ascii="Arial" w:hAnsi="Arial" w:cs="Arial"/>
          <w:sz w:val="20"/>
          <w:szCs w:val="20"/>
        </w:rPr>
        <w:t>he reduction in the packed cell volume in the misoprostol</w:t>
      </w:r>
      <w:r w:rsidR="00575406" w:rsidRPr="0060598C">
        <w:rPr>
          <w:rFonts w:ascii="Arial" w:hAnsi="Arial" w:cs="Arial"/>
          <w:sz w:val="20"/>
          <w:szCs w:val="20"/>
        </w:rPr>
        <w:t>-oxytocin</w:t>
      </w:r>
      <w:r w:rsidRPr="0060598C">
        <w:rPr>
          <w:rFonts w:ascii="Arial" w:hAnsi="Arial" w:cs="Arial"/>
          <w:sz w:val="20"/>
          <w:szCs w:val="20"/>
        </w:rPr>
        <w:t xml:space="preserve"> trial arm of the study </w:t>
      </w:r>
      <w:r w:rsidR="0088273D" w:rsidRPr="0060598C">
        <w:rPr>
          <w:rFonts w:ascii="Arial" w:hAnsi="Arial" w:cs="Arial"/>
          <w:sz w:val="20"/>
          <w:szCs w:val="20"/>
        </w:rPr>
        <w:t xml:space="preserve">48-hours </w:t>
      </w:r>
      <w:r w:rsidRPr="0060598C">
        <w:rPr>
          <w:rFonts w:ascii="Arial" w:hAnsi="Arial" w:cs="Arial"/>
          <w:sz w:val="20"/>
          <w:szCs w:val="20"/>
        </w:rPr>
        <w:t>after caesarean birth was lesser than that obtained in the placebo</w:t>
      </w:r>
      <w:r w:rsidR="00575406" w:rsidRPr="0060598C">
        <w:rPr>
          <w:rFonts w:ascii="Arial" w:hAnsi="Arial" w:cs="Arial"/>
          <w:sz w:val="20"/>
          <w:szCs w:val="20"/>
        </w:rPr>
        <w:t>-oxytocin</w:t>
      </w:r>
      <w:r w:rsidRPr="0060598C">
        <w:rPr>
          <w:rFonts w:ascii="Arial" w:hAnsi="Arial" w:cs="Arial"/>
          <w:sz w:val="20"/>
          <w:szCs w:val="20"/>
        </w:rPr>
        <w:t xml:space="preserve"> study group, but it </w:t>
      </w:r>
      <w:r w:rsidR="00042CAA" w:rsidRPr="0060598C">
        <w:rPr>
          <w:rFonts w:ascii="Arial" w:hAnsi="Arial" w:cs="Arial"/>
          <w:sz w:val="20"/>
          <w:szCs w:val="20"/>
        </w:rPr>
        <w:t xml:space="preserve">also </w:t>
      </w:r>
      <w:r w:rsidRPr="0060598C">
        <w:rPr>
          <w:rFonts w:ascii="Arial" w:hAnsi="Arial" w:cs="Arial"/>
          <w:sz w:val="20"/>
          <w:szCs w:val="20"/>
        </w:rPr>
        <w:t>w</w:t>
      </w:r>
      <w:r w:rsidR="00042CAA" w:rsidRPr="0060598C">
        <w:rPr>
          <w:rFonts w:ascii="Arial" w:hAnsi="Arial" w:cs="Arial"/>
          <w:sz w:val="20"/>
          <w:szCs w:val="20"/>
        </w:rPr>
        <w:t>as not statistically significant</w:t>
      </w:r>
      <w:r w:rsidRPr="0060598C">
        <w:rPr>
          <w:rFonts w:ascii="Arial" w:hAnsi="Arial" w:cs="Arial"/>
          <w:sz w:val="20"/>
          <w:szCs w:val="20"/>
        </w:rPr>
        <w:t>, (3.8± 2.9 vs 4.4 ±</w:t>
      </w:r>
      <w:r w:rsidR="00B06553" w:rsidRPr="0060598C">
        <w:rPr>
          <w:rFonts w:ascii="Arial" w:hAnsi="Arial" w:cs="Arial"/>
          <w:sz w:val="20"/>
          <w:szCs w:val="20"/>
        </w:rPr>
        <w:t xml:space="preserve"> 3.1, </w:t>
      </w:r>
      <w:r w:rsidR="00B06553" w:rsidRPr="0060598C">
        <w:rPr>
          <w:rFonts w:ascii="Arial" w:hAnsi="Arial" w:cs="Arial"/>
          <w:i/>
          <w:sz w:val="20"/>
          <w:szCs w:val="20"/>
        </w:rPr>
        <w:t>P</w:t>
      </w:r>
      <w:r w:rsidR="00B06553" w:rsidRPr="0060598C">
        <w:rPr>
          <w:rFonts w:ascii="Arial" w:hAnsi="Arial" w:cs="Arial"/>
          <w:sz w:val="20"/>
          <w:szCs w:val="20"/>
        </w:rPr>
        <w:t xml:space="preserve"> = .18</w:t>
      </w:r>
      <w:r w:rsidRPr="0060598C">
        <w:rPr>
          <w:rFonts w:ascii="Arial" w:hAnsi="Arial" w:cs="Arial"/>
          <w:sz w:val="20"/>
          <w:szCs w:val="20"/>
        </w:rPr>
        <w:t>).</w:t>
      </w:r>
    </w:p>
    <w:p w:rsidR="000D76A2" w:rsidRPr="0060598C" w:rsidRDefault="000D76A2" w:rsidP="000D76A2">
      <w:pPr>
        <w:pStyle w:val="Caption"/>
        <w:keepNext/>
        <w:jc w:val="both"/>
        <w:rPr>
          <w:rFonts w:ascii="Arial" w:hAnsi="Arial" w:cs="Arial"/>
          <w:b/>
          <w:color w:val="auto"/>
          <w:sz w:val="22"/>
          <w:szCs w:val="22"/>
        </w:rPr>
      </w:pPr>
      <w:r w:rsidRPr="0060598C">
        <w:rPr>
          <w:rFonts w:ascii="Arial" w:hAnsi="Arial" w:cs="Arial"/>
          <w:b/>
          <w:i w:val="0"/>
          <w:color w:val="auto"/>
          <w:sz w:val="22"/>
          <w:szCs w:val="22"/>
        </w:rPr>
        <w:t>Table 2</w:t>
      </w:r>
      <w:r w:rsidR="00CA4EFB" w:rsidRPr="0060598C">
        <w:rPr>
          <w:rFonts w:ascii="Arial" w:hAnsi="Arial" w:cs="Arial"/>
          <w:b/>
          <w:i w:val="0"/>
          <w:color w:val="auto"/>
          <w:sz w:val="22"/>
          <w:szCs w:val="22"/>
        </w:rPr>
        <w:t>: B</w:t>
      </w:r>
      <w:r w:rsidRPr="0060598C">
        <w:rPr>
          <w:rFonts w:ascii="Arial" w:hAnsi="Arial" w:cs="Arial"/>
          <w:b/>
          <w:i w:val="0"/>
          <w:color w:val="auto"/>
          <w:sz w:val="22"/>
          <w:szCs w:val="22"/>
        </w:rPr>
        <w:t>lood loss</w:t>
      </w:r>
      <w:r w:rsidR="00CA4EFB" w:rsidRPr="0060598C">
        <w:rPr>
          <w:rFonts w:ascii="Arial" w:hAnsi="Arial" w:cs="Arial"/>
          <w:b/>
          <w:i w:val="0"/>
          <w:color w:val="auto"/>
          <w:sz w:val="22"/>
          <w:szCs w:val="22"/>
        </w:rPr>
        <w:t xml:space="preserve"> estimation</w:t>
      </w:r>
      <w:r w:rsidRPr="0060598C">
        <w:rPr>
          <w:rFonts w:ascii="Arial" w:hAnsi="Arial" w:cs="Arial"/>
          <w:b/>
          <w:i w:val="0"/>
          <w:color w:val="auto"/>
          <w:sz w:val="22"/>
          <w:szCs w:val="22"/>
        </w:rPr>
        <w:t xml:space="preserve"> in t</w:t>
      </w:r>
      <w:r w:rsidR="00CA4EFB" w:rsidRPr="0060598C">
        <w:rPr>
          <w:rFonts w:ascii="Arial" w:hAnsi="Arial" w:cs="Arial"/>
          <w:b/>
          <w:i w:val="0"/>
          <w:color w:val="auto"/>
          <w:sz w:val="22"/>
          <w:szCs w:val="22"/>
        </w:rPr>
        <w:t>he misoprostol</w:t>
      </w:r>
      <w:r w:rsidR="00575406" w:rsidRPr="0060598C">
        <w:rPr>
          <w:rFonts w:ascii="Arial" w:hAnsi="Arial" w:cs="Arial"/>
          <w:b/>
          <w:i w:val="0"/>
          <w:color w:val="auto"/>
          <w:sz w:val="22"/>
          <w:szCs w:val="22"/>
        </w:rPr>
        <w:t>-oxytocin</w:t>
      </w:r>
      <w:r w:rsidR="00CA4EFB" w:rsidRPr="0060598C">
        <w:rPr>
          <w:rFonts w:ascii="Arial" w:hAnsi="Arial" w:cs="Arial"/>
          <w:b/>
          <w:i w:val="0"/>
          <w:color w:val="auto"/>
          <w:sz w:val="22"/>
          <w:szCs w:val="22"/>
        </w:rPr>
        <w:t xml:space="preserve"> and placebo</w:t>
      </w:r>
      <w:r w:rsidR="00575406" w:rsidRPr="0060598C">
        <w:rPr>
          <w:rFonts w:ascii="Arial" w:hAnsi="Arial" w:cs="Arial"/>
          <w:b/>
          <w:i w:val="0"/>
          <w:color w:val="auto"/>
          <w:sz w:val="22"/>
          <w:szCs w:val="22"/>
        </w:rPr>
        <w:t>-oxytocin</w:t>
      </w:r>
      <w:r w:rsidRPr="0060598C">
        <w:rPr>
          <w:rFonts w:ascii="Arial" w:hAnsi="Arial" w:cs="Arial"/>
          <w:b/>
          <w:i w:val="0"/>
          <w:color w:val="auto"/>
          <w:sz w:val="22"/>
          <w:szCs w:val="22"/>
        </w:rPr>
        <w:t xml:space="preserve"> </w:t>
      </w:r>
      <w:r w:rsidR="00575406" w:rsidRPr="0060598C">
        <w:rPr>
          <w:rFonts w:ascii="Arial" w:hAnsi="Arial" w:cs="Arial"/>
          <w:b/>
          <w:i w:val="0"/>
          <w:color w:val="auto"/>
          <w:sz w:val="22"/>
          <w:szCs w:val="22"/>
        </w:rPr>
        <w:t xml:space="preserve">study </w:t>
      </w:r>
      <w:r w:rsidRPr="0060598C">
        <w:rPr>
          <w:rFonts w:ascii="Arial" w:hAnsi="Arial" w:cs="Arial"/>
          <w:b/>
          <w:i w:val="0"/>
          <w:color w:val="auto"/>
          <w:sz w:val="22"/>
          <w:szCs w:val="22"/>
        </w:rPr>
        <w:t>groups</w:t>
      </w:r>
    </w:p>
    <w:tbl>
      <w:tblPr>
        <w:tblStyle w:val="TableGrid"/>
        <w:tblW w:w="980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639"/>
        <w:gridCol w:w="2340"/>
        <w:gridCol w:w="2610"/>
        <w:gridCol w:w="1980"/>
      </w:tblGrid>
      <w:tr w:rsidR="000D76A2" w:rsidRPr="0060598C" w:rsidTr="00B06553">
        <w:tc>
          <w:tcPr>
            <w:tcW w:w="236" w:type="dxa"/>
          </w:tcPr>
          <w:p w:rsidR="000D76A2" w:rsidRPr="0060598C" w:rsidRDefault="000D76A2" w:rsidP="00394C2C">
            <w:pPr>
              <w:jc w:val="both"/>
              <w:rPr>
                <w:rFonts w:ascii="Arial" w:hAnsi="Arial" w:cs="Arial"/>
                <w:sz w:val="20"/>
                <w:szCs w:val="20"/>
              </w:rPr>
            </w:pPr>
            <w:bookmarkStart w:id="1" w:name="_Hlk150265228"/>
          </w:p>
        </w:tc>
        <w:tc>
          <w:tcPr>
            <w:tcW w:w="2639" w:type="dxa"/>
            <w:tcBorders>
              <w:top w:val="single" w:sz="4" w:space="0" w:color="auto"/>
              <w:bottom w:val="single" w:sz="4" w:space="0" w:color="auto"/>
            </w:tcBorders>
          </w:tcPr>
          <w:p w:rsidR="000D76A2" w:rsidRPr="0060598C" w:rsidRDefault="000D76A2" w:rsidP="00394C2C">
            <w:pPr>
              <w:jc w:val="both"/>
              <w:rPr>
                <w:rFonts w:ascii="Arial" w:hAnsi="Arial" w:cs="Arial"/>
                <w:b/>
                <w:sz w:val="20"/>
                <w:szCs w:val="20"/>
              </w:rPr>
            </w:pPr>
            <w:r w:rsidRPr="0060598C">
              <w:rPr>
                <w:rFonts w:ascii="Arial" w:hAnsi="Arial" w:cs="Arial"/>
                <w:b/>
                <w:sz w:val="20"/>
                <w:szCs w:val="20"/>
              </w:rPr>
              <w:t>Characteristics</w:t>
            </w:r>
          </w:p>
        </w:tc>
        <w:tc>
          <w:tcPr>
            <w:tcW w:w="2340" w:type="dxa"/>
            <w:tcBorders>
              <w:top w:val="single" w:sz="4" w:space="0" w:color="auto"/>
              <w:bottom w:val="single" w:sz="4" w:space="0" w:color="auto"/>
            </w:tcBorders>
          </w:tcPr>
          <w:p w:rsidR="000D76A2" w:rsidRPr="0060598C" w:rsidRDefault="000D76A2" w:rsidP="00394C2C">
            <w:pPr>
              <w:jc w:val="both"/>
              <w:rPr>
                <w:rFonts w:ascii="Arial" w:hAnsi="Arial" w:cs="Arial"/>
                <w:b/>
                <w:sz w:val="20"/>
                <w:szCs w:val="20"/>
              </w:rPr>
            </w:pPr>
            <w:r w:rsidRPr="0060598C">
              <w:rPr>
                <w:rFonts w:ascii="Arial" w:hAnsi="Arial" w:cs="Arial"/>
                <w:b/>
                <w:sz w:val="20"/>
                <w:szCs w:val="20"/>
              </w:rPr>
              <w:t xml:space="preserve">Mean ± SD </w:t>
            </w:r>
          </w:p>
        </w:tc>
        <w:tc>
          <w:tcPr>
            <w:tcW w:w="2610" w:type="dxa"/>
            <w:tcBorders>
              <w:top w:val="single" w:sz="4" w:space="0" w:color="auto"/>
              <w:bottom w:val="single" w:sz="4" w:space="0" w:color="auto"/>
            </w:tcBorders>
          </w:tcPr>
          <w:p w:rsidR="000D76A2" w:rsidRPr="0060598C" w:rsidRDefault="000D76A2" w:rsidP="00394C2C">
            <w:pPr>
              <w:jc w:val="both"/>
              <w:rPr>
                <w:rFonts w:ascii="Arial" w:hAnsi="Arial" w:cs="Arial"/>
                <w:b/>
                <w:sz w:val="20"/>
                <w:szCs w:val="20"/>
              </w:rPr>
            </w:pPr>
            <w:r w:rsidRPr="0060598C">
              <w:rPr>
                <w:rFonts w:ascii="Arial" w:hAnsi="Arial" w:cs="Arial"/>
                <w:b/>
                <w:sz w:val="20"/>
                <w:szCs w:val="20"/>
              </w:rPr>
              <w:t>Mean difference</w:t>
            </w:r>
          </w:p>
          <w:p w:rsidR="000D76A2" w:rsidRPr="0060598C" w:rsidRDefault="000D76A2" w:rsidP="00394C2C">
            <w:pPr>
              <w:jc w:val="both"/>
              <w:rPr>
                <w:rFonts w:ascii="Arial" w:hAnsi="Arial" w:cs="Arial"/>
                <w:b/>
                <w:sz w:val="20"/>
                <w:szCs w:val="20"/>
              </w:rPr>
            </w:pPr>
            <w:r w:rsidRPr="0060598C">
              <w:rPr>
                <w:rFonts w:ascii="Arial" w:hAnsi="Arial" w:cs="Arial"/>
                <w:b/>
                <w:sz w:val="20"/>
                <w:szCs w:val="20"/>
              </w:rPr>
              <w:t xml:space="preserve">(95% CI) </w:t>
            </w:r>
          </w:p>
        </w:tc>
        <w:tc>
          <w:tcPr>
            <w:tcW w:w="1980" w:type="dxa"/>
            <w:tcBorders>
              <w:top w:val="single" w:sz="4" w:space="0" w:color="auto"/>
              <w:bottom w:val="single" w:sz="4" w:space="0" w:color="auto"/>
            </w:tcBorders>
          </w:tcPr>
          <w:p w:rsidR="000D76A2" w:rsidRPr="0060598C" w:rsidRDefault="000D76A2" w:rsidP="00B06553">
            <w:pPr>
              <w:jc w:val="both"/>
              <w:rPr>
                <w:rFonts w:ascii="Arial" w:hAnsi="Arial" w:cs="Arial"/>
                <w:b/>
                <w:sz w:val="20"/>
                <w:szCs w:val="20"/>
              </w:rPr>
            </w:pPr>
            <w:r w:rsidRPr="0060598C">
              <w:rPr>
                <w:rFonts w:ascii="Arial" w:hAnsi="Arial" w:cs="Arial"/>
                <w:b/>
                <w:sz w:val="20"/>
                <w:szCs w:val="20"/>
              </w:rPr>
              <w:t>Student’s t-test (</w:t>
            </w:r>
            <w:r w:rsidR="00B06553" w:rsidRPr="0060598C">
              <w:rPr>
                <w:rFonts w:ascii="Arial" w:hAnsi="Arial" w:cs="Arial"/>
                <w:b/>
                <w:i/>
                <w:sz w:val="20"/>
                <w:szCs w:val="20"/>
              </w:rPr>
              <w:t>P</w:t>
            </w:r>
            <w:r w:rsidRPr="0060598C">
              <w:rPr>
                <w:rFonts w:ascii="Arial" w:hAnsi="Arial" w:cs="Arial"/>
                <w:b/>
                <w:sz w:val="20"/>
                <w:szCs w:val="20"/>
              </w:rPr>
              <w:t>Value)</w:t>
            </w:r>
          </w:p>
        </w:tc>
      </w:tr>
      <w:tr w:rsidR="000D76A2" w:rsidRPr="0060598C" w:rsidTr="00B06553">
        <w:tc>
          <w:tcPr>
            <w:tcW w:w="236" w:type="dxa"/>
          </w:tcPr>
          <w:p w:rsidR="000D76A2" w:rsidRPr="0060598C" w:rsidRDefault="000D76A2" w:rsidP="00394C2C">
            <w:pPr>
              <w:jc w:val="both"/>
              <w:rPr>
                <w:rFonts w:ascii="Arial" w:hAnsi="Arial" w:cs="Arial"/>
                <w:sz w:val="20"/>
                <w:szCs w:val="20"/>
              </w:rPr>
            </w:pPr>
          </w:p>
        </w:tc>
        <w:tc>
          <w:tcPr>
            <w:tcW w:w="2639" w:type="dxa"/>
          </w:tcPr>
          <w:p w:rsidR="000D76A2" w:rsidRPr="0060598C" w:rsidRDefault="000D76A2" w:rsidP="00394C2C">
            <w:pPr>
              <w:jc w:val="both"/>
              <w:rPr>
                <w:rFonts w:ascii="Arial" w:hAnsi="Arial" w:cs="Arial"/>
                <w:b/>
                <w:sz w:val="20"/>
                <w:szCs w:val="20"/>
              </w:rPr>
            </w:pPr>
            <w:r w:rsidRPr="0060598C">
              <w:rPr>
                <w:rFonts w:ascii="Arial" w:hAnsi="Arial" w:cs="Arial"/>
                <w:b/>
                <w:sz w:val="20"/>
                <w:szCs w:val="20"/>
              </w:rPr>
              <w:t>Blood loss at surgery</w:t>
            </w:r>
          </w:p>
        </w:tc>
        <w:tc>
          <w:tcPr>
            <w:tcW w:w="2340" w:type="dxa"/>
          </w:tcPr>
          <w:p w:rsidR="000D76A2" w:rsidRPr="0060598C" w:rsidRDefault="000D76A2" w:rsidP="00394C2C">
            <w:pPr>
              <w:jc w:val="both"/>
              <w:rPr>
                <w:rFonts w:ascii="Arial" w:hAnsi="Arial" w:cs="Arial"/>
                <w:sz w:val="20"/>
                <w:szCs w:val="20"/>
              </w:rPr>
            </w:pPr>
          </w:p>
        </w:tc>
        <w:tc>
          <w:tcPr>
            <w:tcW w:w="2610" w:type="dxa"/>
          </w:tcPr>
          <w:p w:rsidR="000D76A2" w:rsidRPr="0060598C" w:rsidRDefault="000D76A2" w:rsidP="00394C2C">
            <w:pPr>
              <w:jc w:val="both"/>
              <w:rPr>
                <w:rFonts w:ascii="Arial" w:hAnsi="Arial" w:cs="Arial"/>
                <w:sz w:val="20"/>
                <w:szCs w:val="20"/>
              </w:rPr>
            </w:pPr>
          </w:p>
        </w:tc>
        <w:tc>
          <w:tcPr>
            <w:tcW w:w="1980" w:type="dxa"/>
          </w:tcPr>
          <w:p w:rsidR="000D76A2" w:rsidRPr="0060598C" w:rsidRDefault="000D76A2" w:rsidP="00394C2C">
            <w:pPr>
              <w:jc w:val="both"/>
              <w:rPr>
                <w:rFonts w:ascii="Arial" w:hAnsi="Arial" w:cs="Arial"/>
                <w:sz w:val="20"/>
                <w:szCs w:val="20"/>
              </w:rPr>
            </w:pPr>
          </w:p>
        </w:tc>
      </w:tr>
      <w:tr w:rsidR="000D76A2" w:rsidRPr="0060598C" w:rsidTr="00B06553">
        <w:tc>
          <w:tcPr>
            <w:tcW w:w="236" w:type="dxa"/>
          </w:tcPr>
          <w:p w:rsidR="000D76A2" w:rsidRPr="0060598C" w:rsidRDefault="000D76A2" w:rsidP="00394C2C">
            <w:pPr>
              <w:jc w:val="both"/>
              <w:rPr>
                <w:rFonts w:ascii="Arial" w:hAnsi="Arial" w:cs="Arial"/>
                <w:sz w:val="20"/>
                <w:szCs w:val="20"/>
              </w:rPr>
            </w:pPr>
          </w:p>
        </w:tc>
        <w:tc>
          <w:tcPr>
            <w:tcW w:w="2639" w:type="dxa"/>
          </w:tcPr>
          <w:p w:rsidR="000D76A2" w:rsidRPr="0060598C" w:rsidRDefault="000D76A2" w:rsidP="00394C2C">
            <w:pPr>
              <w:ind w:left="720" w:hanging="720"/>
              <w:jc w:val="both"/>
              <w:rPr>
                <w:rFonts w:ascii="Arial" w:hAnsi="Arial" w:cs="Arial"/>
                <w:sz w:val="20"/>
                <w:szCs w:val="20"/>
              </w:rPr>
            </w:pPr>
            <w:r w:rsidRPr="0060598C">
              <w:rPr>
                <w:rFonts w:ascii="Arial" w:hAnsi="Arial" w:cs="Arial"/>
                <w:sz w:val="20"/>
                <w:szCs w:val="20"/>
              </w:rPr>
              <w:t>Total population</w:t>
            </w:r>
          </w:p>
        </w:tc>
        <w:tc>
          <w:tcPr>
            <w:tcW w:w="2340"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670.9 ± 364.0</w:t>
            </w:r>
          </w:p>
        </w:tc>
        <w:tc>
          <w:tcPr>
            <w:tcW w:w="2610" w:type="dxa"/>
          </w:tcPr>
          <w:p w:rsidR="000D76A2" w:rsidRPr="0060598C" w:rsidRDefault="000D76A2" w:rsidP="00394C2C">
            <w:pPr>
              <w:jc w:val="both"/>
              <w:rPr>
                <w:rFonts w:ascii="Arial" w:hAnsi="Arial" w:cs="Arial"/>
                <w:sz w:val="20"/>
                <w:szCs w:val="20"/>
              </w:rPr>
            </w:pPr>
          </w:p>
        </w:tc>
        <w:tc>
          <w:tcPr>
            <w:tcW w:w="1980" w:type="dxa"/>
          </w:tcPr>
          <w:p w:rsidR="000D76A2" w:rsidRPr="0060598C" w:rsidRDefault="000D76A2" w:rsidP="00394C2C">
            <w:pPr>
              <w:jc w:val="both"/>
              <w:rPr>
                <w:rFonts w:ascii="Arial" w:hAnsi="Arial" w:cs="Arial"/>
                <w:sz w:val="20"/>
                <w:szCs w:val="20"/>
              </w:rPr>
            </w:pPr>
          </w:p>
        </w:tc>
      </w:tr>
      <w:tr w:rsidR="000D76A2" w:rsidRPr="0060598C" w:rsidTr="00B06553">
        <w:tc>
          <w:tcPr>
            <w:tcW w:w="236" w:type="dxa"/>
          </w:tcPr>
          <w:p w:rsidR="000D76A2" w:rsidRPr="0060598C" w:rsidRDefault="000D76A2" w:rsidP="00394C2C">
            <w:pPr>
              <w:jc w:val="both"/>
              <w:rPr>
                <w:rFonts w:ascii="Arial" w:hAnsi="Arial" w:cs="Arial"/>
                <w:sz w:val="20"/>
                <w:szCs w:val="20"/>
              </w:rPr>
            </w:pPr>
          </w:p>
        </w:tc>
        <w:tc>
          <w:tcPr>
            <w:tcW w:w="2639"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Sublingual Misoprostol</w:t>
            </w:r>
          </w:p>
        </w:tc>
        <w:tc>
          <w:tcPr>
            <w:tcW w:w="2340"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664.0 ± 285.2</w:t>
            </w:r>
          </w:p>
        </w:tc>
        <w:tc>
          <w:tcPr>
            <w:tcW w:w="2610"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13.95 (-95.93 – 123.83)</w:t>
            </w:r>
          </w:p>
        </w:tc>
        <w:tc>
          <w:tcPr>
            <w:tcW w:w="1980" w:type="dxa"/>
          </w:tcPr>
          <w:p w:rsidR="000D76A2" w:rsidRPr="0060598C" w:rsidRDefault="00B06553" w:rsidP="00394C2C">
            <w:pPr>
              <w:jc w:val="both"/>
              <w:rPr>
                <w:rFonts w:ascii="Arial" w:hAnsi="Arial" w:cs="Arial"/>
                <w:sz w:val="20"/>
                <w:szCs w:val="20"/>
              </w:rPr>
            </w:pPr>
            <w:r w:rsidRPr="0060598C">
              <w:rPr>
                <w:rFonts w:ascii="Arial" w:hAnsi="Arial" w:cs="Arial"/>
                <w:sz w:val="20"/>
                <w:szCs w:val="20"/>
              </w:rPr>
              <w:t>0.25 (.80</w:t>
            </w:r>
            <w:r w:rsidR="000D76A2" w:rsidRPr="0060598C">
              <w:rPr>
                <w:rFonts w:ascii="Arial" w:hAnsi="Arial" w:cs="Arial"/>
                <w:sz w:val="20"/>
                <w:szCs w:val="20"/>
              </w:rPr>
              <w:t>)</w:t>
            </w:r>
          </w:p>
        </w:tc>
      </w:tr>
      <w:tr w:rsidR="000D76A2" w:rsidRPr="0060598C" w:rsidTr="00B06553">
        <w:tc>
          <w:tcPr>
            <w:tcW w:w="236" w:type="dxa"/>
          </w:tcPr>
          <w:p w:rsidR="000D76A2" w:rsidRPr="0060598C" w:rsidRDefault="000D76A2" w:rsidP="00394C2C">
            <w:pPr>
              <w:jc w:val="both"/>
              <w:rPr>
                <w:rFonts w:ascii="Arial" w:hAnsi="Arial" w:cs="Arial"/>
                <w:sz w:val="20"/>
                <w:szCs w:val="20"/>
              </w:rPr>
            </w:pPr>
          </w:p>
        </w:tc>
        <w:tc>
          <w:tcPr>
            <w:tcW w:w="2639"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Sublingual Placebo</w:t>
            </w:r>
          </w:p>
        </w:tc>
        <w:tc>
          <w:tcPr>
            <w:tcW w:w="2340"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677.9 ± 430.3</w:t>
            </w:r>
          </w:p>
        </w:tc>
        <w:tc>
          <w:tcPr>
            <w:tcW w:w="2610" w:type="dxa"/>
          </w:tcPr>
          <w:p w:rsidR="000D76A2" w:rsidRPr="0060598C" w:rsidRDefault="000D76A2" w:rsidP="00394C2C">
            <w:pPr>
              <w:jc w:val="both"/>
              <w:rPr>
                <w:rFonts w:ascii="Arial" w:hAnsi="Arial" w:cs="Arial"/>
                <w:sz w:val="20"/>
                <w:szCs w:val="20"/>
              </w:rPr>
            </w:pPr>
          </w:p>
        </w:tc>
        <w:tc>
          <w:tcPr>
            <w:tcW w:w="1980" w:type="dxa"/>
          </w:tcPr>
          <w:p w:rsidR="000D76A2" w:rsidRPr="0060598C" w:rsidRDefault="000D76A2" w:rsidP="00394C2C">
            <w:pPr>
              <w:jc w:val="both"/>
              <w:rPr>
                <w:rFonts w:ascii="Arial" w:hAnsi="Arial" w:cs="Arial"/>
                <w:sz w:val="20"/>
                <w:szCs w:val="20"/>
              </w:rPr>
            </w:pPr>
          </w:p>
        </w:tc>
      </w:tr>
      <w:tr w:rsidR="000D76A2" w:rsidRPr="0060598C" w:rsidTr="00B06553">
        <w:tc>
          <w:tcPr>
            <w:tcW w:w="236" w:type="dxa"/>
          </w:tcPr>
          <w:p w:rsidR="000D76A2" w:rsidRPr="0060598C" w:rsidRDefault="000D76A2" w:rsidP="00394C2C">
            <w:pPr>
              <w:jc w:val="both"/>
              <w:rPr>
                <w:rFonts w:ascii="Arial" w:hAnsi="Arial" w:cs="Arial"/>
                <w:sz w:val="20"/>
                <w:szCs w:val="20"/>
              </w:rPr>
            </w:pPr>
          </w:p>
        </w:tc>
        <w:tc>
          <w:tcPr>
            <w:tcW w:w="2639" w:type="dxa"/>
          </w:tcPr>
          <w:p w:rsidR="000D76A2" w:rsidRPr="0060598C" w:rsidRDefault="000D76A2" w:rsidP="00394C2C">
            <w:pPr>
              <w:jc w:val="both"/>
              <w:rPr>
                <w:rFonts w:ascii="Arial" w:hAnsi="Arial" w:cs="Arial"/>
                <w:sz w:val="20"/>
                <w:szCs w:val="20"/>
              </w:rPr>
            </w:pPr>
          </w:p>
        </w:tc>
        <w:tc>
          <w:tcPr>
            <w:tcW w:w="2340" w:type="dxa"/>
          </w:tcPr>
          <w:p w:rsidR="000D76A2" w:rsidRPr="0060598C" w:rsidRDefault="000D76A2" w:rsidP="00394C2C">
            <w:pPr>
              <w:jc w:val="both"/>
              <w:rPr>
                <w:rFonts w:ascii="Arial" w:hAnsi="Arial" w:cs="Arial"/>
                <w:sz w:val="20"/>
                <w:szCs w:val="20"/>
              </w:rPr>
            </w:pPr>
          </w:p>
        </w:tc>
        <w:tc>
          <w:tcPr>
            <w:tcW w:w="2610" w:type="dxa"/>
          </w:tcPr>
          <w:p w:rsidR="000D76A2" w:rsidRPr="0060598C" w:rsidRDefault="000D76A2" w:rsidP="00394C2C">
            <w:pPr>
              <w:jc w:val="both"/>
              <w:rPr>
                <w:rFonts w:ascii="Arial" w:hAnsi="Arial" w:cs="Arial"/>
                <w:sz w:val="20"/>
                <w:szCs w:val="20"/>
              </w:rPr>
            </w:pPr>
          </w:p>
        </w:tc>
        <w:tc>
          <w:tcPr>
            <w:tcW w:w="1980" w:type="dxa"/>
          </w:tcPr>
          <w:p w:rsidR="000D76A2" w:rsidRPr="0060598C" w:rsidRDefault="000D76A2" w:rsidP="00394C2C">
            <w:pPr>
              <w:jc w:val="both"/>
              <w:rPr>
                <w:rFonts w:ascii="Arial" w:hAnsi="Arial" w:cs="Arial"/>
                <w:sz w:val="20"/>
                <w:szCs w:val="20"/>
              </w:rPr>
            </w:pPr>
          </w:p>
        </w:tc>
      </w:tr>
      <w:tr w:rsidR="000D76A2" w:rsidRPr="0060598C" w:rsidTr="00B06553">
        <w:tc>
          <w:tcPr>
            <w:tcW w:w="236" w:type="dxa"/>
          </w:tcPr>
          <w:p w:rsidR="000D76A2" w:rsidRPr="0060598C" w:rsidRDefault="000D76A2" w:rsidP="00394C2C">
            <w:pPr>
              <w:jc w:val="both"/>
              <w:rPr>
                <w:rFonts w:ascii="Arial" w:hAnsi="Arial" w:cs="Arial"/>
                <w:sz w:val="20"/>
                <w:szCs w:val="20"/>
              </w:rPr>
            </w:pPr>
          </w:p>
        </w:tc>
        <w:tc>
          <w:tcPr>
            <w:tcW w:w="2639" w:type="dxa"/>
          </w:tcPr>
          <w:p w:rsidR="000D76A2" w:rsidRPr="0060598C" w:rsidRDefault="000D76A2" w:rsidP="00394C2C">
            <w:pPr>
              <w:jc w:val="both"/>
              <w:rPr>
                <w:rFonts w:ascii="Arial" w:hAnsi="Arial" w:cs="Arial"/>
                <w:b/>
                <w:sz w:val="20"/>
                <w:szCs w:val="20"/>
              </w:rPr>
            </w:pPr>
            <w:r w:rsidRPr="0060598C">
              <w:rPr>
                <w:rFonts w:ascii="Arial" w:hAnsi="Arial" w:cs="Arial"/>
                <w:b/>
                <w:sz w:val="20"/>
                <w:szCs w:val="20"/>
              </w:rPr>
              <w:t>Pre-Operative PCV</w:t>
            </w:r>
          </w:p>
        </w:tc>
        <w:tc>
          <w:tcPr>
            <w:tcW w:w="2340" w:type="dxa"/>
          </w:tcPr>
          <w:p w:rsidR="000D76A2" w:rsidRPr="0060598C" w:rsidRDefault="000D76A2" w:rsidP="00394C2C">
            <w:pPr>
              <w:jc w:val="both"/>
              <w:rPr>
                <w:rFonts w:ascii="Arial" w:hAnsi="Arial" w:cs="Arial"/>
                <w:sz w:val="20"/>
                <w:szCs w:val="20"/>
              </w:rPr>
            </w:pPr>
          </w:p>
        </w:tc>
        <w:tc>
          <w:tcPr>
            <w:tcW w:w="2610" w:type="dxa"/>
          </w:tcPr>
          <w:p w:rsidR="000D76A2" w:rsidRPr="0060598C" w:rsidRDefault="000D76A2" w:rsidP="00394C2C">
            <w:pPr>
              <w:jc w:val="both"/>
              <w:rPr>
                <w:rFonts w:ascii="Arial" w:hAnsi="Arial" w:cs="Arial"/>
                <w:sz w:val="20"/>
                <w:szCs w:val="20"/>
              </w:rPr>
            </w:pPr>
          </w:p>
        </w:tc>
        <w:tc>
          <w:tcPr>
            <w:tcW w:w="1980" w:type="dxa"/>
          </w:tcPr>
          <w:p w:rsidR="000D76A2" w:rsidRPr="0060598C" w:rsidRDefault="000D76A2" w:rsidP="00394C2C">
            <w:pPr>
              <w:jc w:val="both"/>
              <w:rPr>
                <w:rFonts w:ascii="Arial" w:hAnsi="Arial" w:cs="Arial"/>
                <w:sz w:val="20"/>
                <w:szCs w:val="20"/>
              </w:rPr>
            </w:pPr>
          </w:p>
        </w:tc>
      </w:tr>
      <w:tr w:rsidR="000D76A2" w:rsidRPr="0060598C" w:rsidTr="00B06553">
        <w:tc>
          <w:tcPr>
            <w:tcW w:w="236" w:type="dxa"/>
          </w:tcPr>
          <w:p w:rsidR="000D76A2" w:rsidRPr="0060598C" w:rsidRDefault="000D76A2" w:rsidP="00394C2C">
            <w:pPr>
              <w:jc w:val="both"/>
              <w:rPr>
                <w:rFonts w:ascii="Arial" w:hAnsi="Arial" w:cs="Arial"/>
                <w:sz w:val="20"/>
                <w:szCs w:val="20"/>
              </w:rPr>
            </w:pPr>
          </w:p>
        </w:tc>
        <w:tc>
          <w:tcPr>
            <w:tcW w:w="2639" w:type="dxa"/>
          </w:tcPr>
          <w:p w:rsidR="000D76A2" w:rsidRPr="0060598C" w:rsidRDefault="000D76A2" w:rsidP="00394C2C">
            <w:pPr>
              <w:ind w:left="720" w:hanging="720"/>
              <w:jc w:val="both"/>
              <w:rPr>
                <w:rFonts w:ascii="Arial" w:hAnsi="Arial" w:cs="Arial"/>
                <w:sz w:val="20"/>
                <w:szCs w:val="20"/>
              </w:rPr>
            </w:pPr>
            <w:r w:rsidRPr="0060598C">
              <w:rPr>
                <w:rFonts w:ascii="Arial" w:hAnsi="Arial" w:cs="Arial"/>
                <w:sz w:val="20"/>
                <w:szCs w:val="20"/>
              </w:rPr>
              <w:t>Total population</w:t>
            </w:r>
          </w:p>
        </w:tc>
        <w:tc>
          <w:tcPr>
            <w:tcW w:w="2340"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34.9 ± 4.1</w:t>
            </w:r>
          </w:p>
        </w:tc>
        <w:tc>
          <w:tcPr>
            <w:tcW w:w="2610" w:type="dxa"/>
          </w:tcPr>
          <w:p w:rsidR="000D76A2" w:rsidRPr="0060598C" w:rsidRDefault="000D76A2" w:rsidP="00394C2C">
            <w:pPr>
              <w:jc w:val="both"/>
              <w:rPr>
                <w:rFonts w:ascii="Arial" w:hAnsi="Arial" w:cs="Arial"/>
                <w:sz w:val="20"/>
                <w:szCs w:val="20"/>
              </w:rPr>
            </w:pPr>
          </w:p>
        </w:tc>
        <w:tc>
          <w:tcPr>
            <w:tcW w:w="1980" w:type="dxa"/>
          </w:tcPr>
          <w:p w:rsidR="000D76A2" w:rsidRPr="0060598C" w:rsidRDefault="000D76A2" w:rsidP="00394C2C">
            <w:pPr>
              <w:jc w:val="both"/>
              <w:rPr>
                <w:rFonts w:ascii="Arial" w:hAnsi="Arial" w:cs="Arial"/>
                <w:sz w:val="20"/>
                <w:szCs w:val="20"/>
              </w:rPr>
            </w:pPr>
          </w:p>
        </w:tc>
      </w:tr>
      <w:tr w:rsidR="000D76A2" w:rsidRPr="0060598C" w:rsidTr="00B06553">
        <w:tc>
          <w:tcPr>
            <w:tcW w:w="236" w:type="dxa"/>
          </w:tcPr>
          <w:p w:rsidR="000D76A2" w:rsidRPr="0060598C" w:rsidRDefault="000D76A2" w:rsidP="00394C2C">
            <w:pPr>
              <w:jc w:val="both"/>
              <w:rPr>
                <w:rFonts w:ascii="Arial" w:hAnsi="Arial" w:cs="Arial"/>
                <w:sz w:val="20"/>
                <w:szCs w:val="20"/>
              </w:rPr>
            </w:pPr>
          </w:p>
        </w:tc>
        <w:tc>
          <w:tcPr>
            <w:tcW w:w="2639"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Sublingual Misoprostol</w:t>
            </w:r>
          </w:p>
        </w:tc>
        <w:tc>
          <w:tcPr>
            <w:tcW w:w="2340"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33.9 ± 3.0</w:t>
            </w:r>
          </w:p>
        </w:tc>
        <w:tc>
          <w:tcPr>
            <w:tcW w:w="2610"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0.52 (-1.73 – 0.33)</w:t>
            </w:r>
          </w:p>
        </w:tc>
        <w:tc>
          <w:tcPr>
            <w:tcW w:w="1980" w:type="dxa"/>
          </w:tcPr>
          <w:p w:rsidR="000D76A2" w:rsidRPr="0060598C" w:rsidRDefault="00B06553" w:rsidP="00394C2C">
            <w:pPr>
              <w:jc w:val="both"/>
              <w:rPr>
                <w:rFonts w:ascii="Arial" w:hAnsi="Arial" w:cs="Arial"/>
                <w:sz w:val="20"/>
                <w:szCs w:val="20"/>
              </w:rPr>
            </w:pPr>
            <w:r w:rsidRPr="0060598C">
              <w:rPr>
                <w:rFonts w:ascii="Arial" w:hAnsi="Arial" w:cs="Arial"/>
                <w:sz w:val="20"/>
                <w:szCs w:val="20"/>
              </w:rPr>
              <w:t>1.34 (.18</w:t>
            </w:r>
            <w:r w:rsidR="000D76A2" w:rsidRPr="0060598C">
              <w:rPr>
                <w:rFonts w:ascii="Arial" w:hAnsi="Arial" w:cs="Arial"/>
                <w:sz w:val="20"/>
                <w:szCs w:val="20"/>
              </w:rPr>
              <w:t>)</w:t>
            </w:r>
          </w:p>
        </w:tc>
      </w:tr>
      <w:tr w:rsidR="000D76A2" w:rsidRPr="0060598C" w:rsidTr="00B06553">
        <w:tc>
          <w:tcPr>
            <w:tcW w:w="236" w:type="dxa"/>
          </w:tcPr>
          <w:p w:rsidR="000D76A2" w:rsidRPr="0060598C" w:rsidRDefault="000D76A2" w:rsidP="00394C2C">
            <w:pPr>
              <w:jc w:val="both"/>
              <w:rPr>
                <w:rFonts w:ascii="Arial" w:hAnsi="Arial" w:cs="Arial"/>
                <w:sz w:val="20"/>
                <w:szCs w:val="20"/>
              </w:rPr>
            </w:pPr>
          </w:p>
        </w:tc>
        <w:tc>
          <w:tcPr>
            <w:tcW w:w="2639"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Sublingual Placebo</w:t>
            </w:r>
          </w:p>
        </w:tc>
        <w:tc>
          <w:tcPr>
            <w:tcW w:w="2340"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34.6 ± 3.9</w:t>
            </w:r>
          </w:p>
        </w:tc>
        <w:tc>
          <w:tcPr>
            <w:tcW w:w="2610" w:type="dxa"/>
          </w:tcPr>
          <w:p w:rsidR="000D76A2" w:rsidRPr="0060598C" w:rsidRDefault="000D76A2" w:rsidP="00394C2C">
            <w:pPr>
              <w:jc w:val="both"/>
              <w:rPr>
                <w:rFonts w:ascii="Arial" w:hAnsi="Arial" w:cs="Arial"/>
                <w:sz w:val="20"/>
                <w:szCs w:val="20"/>
              </w:rPr>
            </w:pPr>
          </w:p>
        </w:tc>
        <w:tc>
          <w:tcPr>
            <w:tcW w:w="1980" w:type="dxa"/>
          </w:tcPr>
          <w:p w:rsidR="000D76A2" w:rsidRPr="0060598C" w:rsidRDefault="000D76A2" w:rsidP="00394C2C">
            <w:pPr>
              <w:jc w:val="both"/>
              <w:rPr>
                <w:rFonts w:ascii="Arial" w:hAnsi="Arial" w:cs="Arial"/>
                <w:sz w:val="20"/>
                <w:szCs w:val="20"/>
              </w:rPr>
            </w:pPr>
          </w:p>
        </w:tc>
      </w:tr>
      <w:tr w:rsidR="000D76A2" w:rsidRPr="0060598C" w:rsidTr="00B06553">
        <w:tc>
          <w:tcPr>
            <w:tcW w:w="236" w:type="dxa"/>
          </w:tcPr>
          <w:p w:rsidR="000D76A2" w:rsidRPr="0060598C" w:rsidRDefault="000D76A2" w:rsidP="00394C2C">
            <w:pPr>
              <w:jc w:val="both"/>
              <w:rPr>
                <w:rFonts w:ascii="Arial" w:hAnsi="Arial" w:cs="Arial"/>
                <w:sz w:val="20"/>
                <w:szCs w:val="20"/>
              </w:rPr>
            </w:pPr>
          </w:p>
        </w:tc>
        <w:tc>
          <w:tcPr>
            <w:tcW w:w="2639" w:type="dxa"/>
          </w:tcPr>
          <w:p w:rsidR="000D76A2" w:rsidRPr="0060598C" w:rsidRDefault="000D76A2" w:rsidP="00394C2C">
            <w:pPr>
              <w:jc w:val="both"/>
              <w:rPr>
                <w:rFonts w:ascii="Arial" w:hAnsi="Arial" w:cs="Arial"/>
                <w:sz w:val="20"/>
                <w:szCs w:val="20"/>
              </w:rPr>
            </w:pPr>
          </w:p>
        </w:tc>
        <w:tc>
          <w:tcPr>
            <w:tcW w:w="2340" w:type="dxa"/>
          </w:tcPr>
          <w:p w:rsidR="000D76A2" w:rsidRPr="0060598C" w:rsidRDefault="000D76A2" w:rsidP="00394C2C">
            <w:pPr>
              <w:jc w:val="both"/>
              <w:rPr>
                <w:rFonts w:ascii="Arial" w:hAnsi="Arial" w:cs="Arial"/>
                <w:sz w:val="20"/>
                <w:szCs w:val="20"/>
              </w:rPr>
            </w:pPr>
          </w:p>
        </w:tc>
        <w:tc>
          <w:tcPr>
            <w:tcW w:w="2610" w:type="dxa"/>
          </w:tcPr>
          <w:p w:rsidR="000D76A2" w:rsidRPr="0060598C" w:rsidRDefault="000D76A2" w:rsidP="00394C2C">
            <w:pPr>
              <w:jc w:val="both"/>
              <w:rPr>
                <w:rFonts w:ascii="Arial" w:hAnsi="Arial" w:cs="Arial"/>
                <w:sz w:val="20"/>
                <w:szCs w:val="20"/>
              </w:rPr>
            </w:pPr>
          </w:p>
        </w:tc>
        <w:tc>
          <w:tcPr>
            <w:tcW w:w="1980" w:type="dxa"/>
          </w:tcPr>
          <w:p w:rsidR="000D76A2" w:rsidRPr="0060598C" w:rsidRDefault="000D76A2" w:rsidP="00394C2C">
            <w:pPr>
              <w:jc w:val="both"/>
              <w:rPr>
                <w:rFonts w:ascii="Arial" w:hAnsi="Arial" w:cs="Arial"/>
                <w:sz w:val="20"/>
                <w:szCs w:val="20"/>
              </w:rPr>
            </w:pPr>
          </w:p>
        </w:tc>
      </w:tr>
      <w:tr w:rsidR="000D76A2" w:rsidRPr="0060598C" w:rsidTr="00B06553">
        <w:trPr>
          <w:gridAfter w:val="1"/>
          <w:wAfter w:w="1980" w:type="dxa"/>
        </w:trPr>
        <w:tc>
          <w:tcPr>
            <w:tcW w:w="236" w:type="dxa"/>
          </w:tcPr>
          <w:p w:rsidR="000D76A2" w:rsidRPr="0060598C" w:rsidRDefault="000D76A2" w:rsidP="00394C2C">
            <w:pPr>
              <w:jc w:val="both"/>
              <w:rPr>
                <w:rFonts w:ascii="Arial" w:hAnsi="Arial" w:cs="Arial"/>
                <w:sz w:val="20"/>
                <w:szCs w:val="20"/>
              </w:rPr>
            </w:pPr>
          </w:p>
        </w:tc>
        <w:tc>
          <w:tcPr>
            <w:tcW w:w="4979" w:type="dxa"/>
            <w:gridSpan w:val="2"/>
          </w:tcPr>
          <w:p w:rsidR="000D76A2" w:rsidRPr="0060598C" w:rsidRDefault="000D76A2" w:rsidP="00394C2C">
            <w:pPr>
              <w:jc w:val="both"/>
              <w:rPr>
                <w:rFonts w:ascii="Arial" w:hAnsi="Arial" w:cs="Arial"/>
                <w:sz w:val="20"/>
                <w:szCs w:val="20"/>
              </w:rPr>
            </w:pPr>
            <w:r w:rsidRPr="0060598C">
              <w:rPr>
                <w:rFonts w:ascii="Arial" w:hAnsi="Arial" w:cs="Arial"/>
                <w:b/>
                <w:sz w:val="20"/>
                <w:szCs w:val="20"/>
              </w:rPr>
              <w:t>48-hour post-operative PCV</w:t>
            </w:r>
          </w:p>
        </w:tc>
        <w:tc>
          <w:tcPr>
            <w:tcW w:w="2610" w:type="dxa"/>
          </w:tcPr>
          <w:p w:rsidR="000D76A2" w:rsidRPr="0060598C" w:rsidRDefault="000D76A2" w:rsidP="00394C2C">
            <w:pPr>
              <w:jc w:val="both"/>
              <w:rPr>
                <w:rFonts w:ascii="Arial" w:hAnsi="Arial" w:cs="Arial"/>
                <w:sz w:val="20"/>
                <w:szCs w:val="20"/>
              </w:rPr>
            </w:pPr>
          </w:p>
        </w:tc>
      </w:tr>
      <w:tr w:rsidR="000D76A2" w:rsidRPr="0060598C" w:rsidTr="00B06553">
        <w:tc>
          <w:tcPr>
            <w:tcW w:w="236" w:type="dxa"/>
          </w:tcPr>
          <w:p w:rsidR="000D76A2" w:rsidRPr="0060598C" w:rsidRDefault="000D76A2" w:rsidP="00394C2C">
            <w:pPr>
              <w:jc w:val="both"/>
              <w:rPr>
                <w:rFonts w:ascii="Arial" w:hAnsi="Arial" w:cs="Arial"/>
                <w:sz w:val="20"/>
                <w:szCs w:val="20"/>
              </w:rPr>
            </w:pPr>
          </w:p>
        </w:tc>
        <w:tc>
          <w:tcPr>
            <w:tcW w:w="2639" w:type="dxa"/>
          </w:tcPr>
          <w:p w:rsidR="000D76A2" w:rsidRPr="0060598C" w:rsidRDefault="000D76A2" w:rsidP="00394C2C">
            <w:pPr>
              <w:tabs>
                <w:tab w:val="right" w:pos="2423"/>
              </w:tabs>
              <w:ind w:left="720" w:hanging="720"/>
              <w:jc w:val="both"/>
              <w:rPr>
                <w:rFonts w:ascii="Arial" w:hAnsi="Arial" w:cs="Arial"/>
                <w:sz w:val="20"/>
                <w:szCs w:val="20"/>
              </w:rPr>
            </w:pPr>
            <w:r w:rsidRPr="0060598C">
              <w:rPr>
                <w:rFonts w:ascii="Arial" w:hAnsi="Arial" w:cs="Arial"/>
                <w:sz w:val="20"/>
                <w:szCs w:val="20"/>
              </w:rPr>
              <w:t>Total population</w:t>
            </w:r>
            <w:r w:rsidR="00394C2C" w:rsidRPr="0060598C">
              <w:rPr>
                <w:rFonts w:ascii="Arial" w:hAnsi="Arial" w:cs="Arial"/>
                <w:sz w:val="20"/>
                <w:szCs w:val="20"/>
              </w:rPr>
              <w:tab/>
            </w:r>
          </w:p>
        </w:tc>
        <w:tc>
          <w:tcPr>
            <w:tcW w:w="2340"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30.5 ± 4.2</w:t>
            </w:r>
          </w:p>
        </w:tc>
        <w:tc>
          <w:tcPr>
            <w:tcW w:w="2610" w:type="dxa"/>
          </w:tcPr>
          <w:p w:rsidR="000D76A2" w:rsidRPr="0060598C" w:rsidRDefault="000D76A2" w:rsidP="00394C2C">
            <w:pPr>
              <w:jc w:val="both"/>
              <w:rPr>
                <w:rFonts w:ascii="Arial" w:hAnsi="Arial" w:cs="Arial"/>
                <w:sz w:val="20"/>
                <w:szCs w:val="20"/>
              </w:rPr>
            </w:pPr>
          </w:p>
        </w:tc>
        <w:tc>
          <w:tcPr>
            <w:tcW w:w="1980" w:type="dxa"/>
          </w:tcPr>
          <w:p w:rsidR="000D76A2" w:rsidRPr="0060598C" w:rsidRDefault="000D76A2" w:rsidP="00394C2C">
            <w:pPr>
              <w:jc w:val="both"/>
              <w:rPr>
                <w:rFonts w:ascii="Arial" w:hAnsi="Arial" w:cs="Arial"/>
                <w:sz w:val="20"/>
                <w:szCs w:val="20"/>
              </w:rPr>
            </w:pPr>
          </w:p>
        </w:tc>
      </w:tr>
      <w:tr w:rsidR="000D76A2" w:rsidRPr="0060598C" w:rsidTr="00B06553">
        <w:tc>
          <w:tcPr>
            <w:tcW w:w="236" w:type="dxa"/>
          </w:tcPr>
          <w:p w:rsidR="000D76A2" w:rsidRPr="0060598C" w:rsidRDefault="000D76A2" w:rsidP="00394C2C">
            <w:pPr>
              <w:jc w:val="both"/>
              <w:rPr>
                <w:rFonts w:ascii="Arial" w:hAnsi="Arial" w:cs="Arial"/>
                <w:sz w:val="20"/>
                <w:szCs w:val="20"/>
              </w:rPr>
            </w:pPr>
          </w:p>
        </w:tc>
        <w:tc>
          <w:tcPr>
            <w:tcW w:w="2639"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Sublingual Misoprostol</w:t>
            </w:r>
          </w:p>
        </w:tc>
        <w:tc>
          <w:tcPr>
            <w:tcW w:w="2340"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30.2 ± 3.6</w:t>
            </w:r>
          </w:p>
        </w:tc>
        <w:tc>
          <w:tcPr>
            <w:tcW w:w="2610"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0.76 (-0.49 – 2.03)</w:t>
            </w:r>
          </w:p>
        </w:tc>
        <w:tc>
          <w:tcPr>
            <w:tcW w:w="1980" w:type="dxa"/>
          </w:tcPr>
          <w:p w:rsidR="000D76A2" w:rsidRPr="0060598C" w:rsidRDefault="00B06553" w:rsidP="00394C2C">
            <w:pPr>
              <w:jc w:val="both"/>
              <w:rPr>
                <w:rFonts w:ascii="Arial" w:hAnsi="Arial" w:cs="Arial"/>
                <w:sz w:val="20"/>
                <w:szCs w:val="20"/>
              </w:rPr>
            </w:pPr>
            <w:r w:rsidRPr="0060598C">
              <w:rPr>
                <w:rFonts w:ascii="Arial" w:hAnsi="Arial" w:cs="Arial"/>
                <w:sz w:val="20"/>
                <w:szCs w:val="20"/>
              </w:rPr>
              <w:t>1.20 (.23</w:t>
            </w:r>
            <w:r w:rsidR="000D76A2" w:rsidRPr="0060598C">
              <w:rPr>
                <w:rFonts w:ascii="Arial" w:hAnsi="Arial" w:cs="Arial"/>
                <w:sz w:val="20"/>
                <w:szCs w:val="20"/>
              </w:rPr>
              <w:t>)</w:t>
            </w:r>
          </w:p>
        </w:tc>
      </w:tr>
      <w:tr w:rsidR="000D76A2" w:rsidRPr="0060598C" w:rsidTr="00B06553">
        <w:tc>
          <w:tcPr>
            <w:tcW w:w="236" w:type="dxa"/>
          </w:tcPr>
          <w:p w:rsidR="000D76A2" w:rsidRPr="0060598C" w:rsidRDefault="000D76A2" w:rsidP="00394C2C">
            <w:pPr>
              <w:jc w:val="both"/>
              <w:rPr>
                <w:rFonts w:ascii="Arial" w:hAnsi="Arial" w:cs="Arial"/>
                <w:sz w:val="20"/>
                <w:szCs w:val="20"/>
              </w:rPr>
            </w:pPr>
          </w:p>
        </w:tc>
        <w:tc>
          <w:tcPr>
            <w:tcW w:w="2639"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Sublingual Placebo</w:t>
            </w:r>
          </w:p>
        </w:tc>
        <w:tc>
          <w:tcPr>
            <w:tcW w:w="2340"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30.9 ± 4.8</w:t>
            </w:r>
          </w:p>
        </w:tc>
        <w:tc>
          <w:tcPr>
            <w:tcW w:w="2610" w:type="dxa"/>
          </w:tcPr>
          <w:p w:rsidR="000D76A2" w:rsidRPr="0060598C" w:rsidRDefault="000D76A2" w:rsidP="00394C2C">
            <w:pPr>
              <w:jc w:val="both"/>
              <w:rPr>
                <w:rFonts w:ascii="Arial" w:hAnsi="Arial" w:cs="Arial"/>
                <w:sz w:val="20"/>
                <w:szCs w:val="20"/>
              </w:rPr>
            </w:pPr>
          </w:p>
        </w:tc>
        <w:tc>
          <w:tcPr>
            <w:tcW w:w="1980" w:type="dxa"/>
          </w:tcPr>
          <w:p w:rsidR="000D76A2" w:rsidRPr="0060598C" w:rsidRDefault="000D76A2" w:rsidP="00394C2C">
            <w:pPr>
              <w:jc w:val="both"/>
              <w:rPr>
                <w:rFonts w:ascii="Arial" w:hAnsi="Arial" w:cs="Arial"/>
                <w:sz w:val="20"/>
                <w:szCs w:val="20"/>
              </w:rPr>
            </w:pPr>
          </w:p>
        </w:tc>
      </w:tr>
      <w:tr w:rsidR="000D76A2" w:rsidRPr="0060598C" w:rsidTr="00B06553">
        <w:tc>
          <w:tcPr>
            <w:tcW w:w="236" w:type="dxa"/>
          </w:tcPr>
          <w:p w:rsidR="000D76A2" w:rsidRPr="0060598C" w:rsidRDefault="000D76A2" w:rsidP="00394C2C">
            <w:pPr>
              <w:jc w:val="both"/>
              <w:rPr>
                <w:rFonts w:ascii="Arial" w:hAnsi="Arial" w:cs="Arial"/>
                <w:sz w:val="20"/>
                <w:szCs w:val="20"/>
              </w:rPr>
            </w:pPr>
          </w:p>
        </w:tc>
        <w:tc>
          <w:tcPr>
            <w:tcW w:w="2639" w:type="dxa"/>
          </w:tcPr>
          <w:p w:rsidR="000D76A2" w:rsidRPr="0060598C" w:rsidRDefault="000D76A2" w:rsidP="00394C2C">
            <w:pPr>
              <w:jc w:val="both"/>
              <w:rPr>
                <w:rFonts w:ascii="Arial" w:hAnsi="Arial" w:cs="Arial"/>
                <w:sz w:val="20"/>
                <w:szCs w:val="20"/>
              </w:rPr>
            </w:pPr>
          </w:p>
        </w:tc>
        <w:tc>
          <w:tcPr>
            <w:tcW w:w="2340" w:type="dxa"/>
          </w:tcPr>
          <w:p w:rsidR="000D76A2" w:rsidRPr="0060598C" w:rsidRDefault="000D76A2" w:rsidP="00394C2C">
            <w:pPr>
              <w:jc w:val="both"/>
              <w:rPr>
                <w:rFonts w:ascii="Arial" w:hAnsi="Arial" w:cs="Arial"/>
                <w:sz w:val="20"/>
                <w:szCs w:val="20"/>
              </w:rPr>
            </w:pPr>
          </w:p>
        </w:tc>
        <w:tc>
          <w:tcPr>
            <w:tcW w:w="2610" w:type="dxa"/>
          </w:tcPr>
          <w:p w:rsidR="000D76A2" w:rsidRPr="0060598C" w:rsidRDefault="000D76A2" w:rsidP="00394C2C">
            <w:pPr>
              <w:jc w:val="both"/>
              <w:rPr>
                <w:rFonts w:ascii="Arial" w:hAnsi="Arial" w:cs="Arial"/>
                <w:sz w:val="20"/>
                <w:szCs w:val="20"/>
              </w:rPr>
            </w:pPr>
          </w:p>
        </w:tc>
        <w:tc>
          <w:tcPr>
            <w:tcW w:w="1980" w:type="dxa"/>
          </w:tcPr>
          <w:p w:rsidR="000D76A2" w:rsidRPr="0060598C" w:rsidRDefault="000D76A2" w:rsidP="00394C2C">
            <w:pPr>
              <w:jc w:val="both"/>
              <w:rPr>
                <w:rFonts w:ascii="Arial" w:hAnsi="Arial" w:cs="Arial"/>
                <w:sz w:val="20"/>
                <w:szCs w:val="20"/>
              </w:rPr>
            </w:pPr>
          </w:p>
        </w:tc>
      </w:tr>
      <w:tr w:rsidR="000D76A2" w:rsidRPr="0060598C" w:rsidTr="00B06553">
        <w:tc>
          <w:tcPr>
            <w:tcW w:w="236" w:type="dxa"/>
          </w:tcPr>
          <w:p w:rsidR="000D76A2" w:rsidRPr="0060598C" w:rsidRDefault="000D76A2" w:rsidP="00394C2C">
            <w:pPr>
              <w:jc w:val="both"/>
              <w:rPr>
                <w:rFonts w:ascii="Arial" w:hAnsi="Arial" w:cs="Arial"/>
                <w:sz w:val="20"/>
                <w:szCs w:val="20"/>
              </w:rPr>
            </w:pPr>
          </w:p>
        </w:tc>
        <w:tc>
          <w:tcPr>
            <w:tcW w:w="2639" w:type="dxa"/>
          </w:tcPr>
          <w:p w:rsidR="000D76A2" w:rsidRPr="0060598C" w:rsidRDefault="000D76A2" w:rsidP="00394C2C">
            <w:pPr>
              <w:jc w:val="both"/>
              <w:rPr>
                <w:rFonts w:ascii="Arial" w:hAnsi="Arial" w:cs="Arial"/>
                <w:b/>
                <w:sz w:val="20"/>
                <w:szCs w:val="20"/>
              </w:rPr>
            </w:pPr>
            <w:r w:rsidRPr="0060598C">
              <w:rPr>
                <w:rFonts w:ascii="Arial" w:hAnsi="Arial" w:cs="Arial"/>
                <w:b/>
                <w:sz w:val="20"/>
                <w:szCs w:val="20"/>
              </w:rPr>
              <w:t>Difference in PCV</w:t>
            </w:r>
          </w:p>
        </w:tc>
        <w:tc>
          <w:tcPr>
            <w:tcW w:w="2340" w:type="dxa"/>
          </w:tcPr>
          <w:p w:rsidR="000D76A2" w:rsidRPr="0060598C" w:rsidRDefault="000D76A2" w:rsidP="00394C2C">
            <w:pPr>
              <w:jc w:val="both"/>
              <w:rPr>
                <w:rFonts w:ascii="Arial" w:hAnsi="Arial" w:cs="Arial"/>
                <w:sz w:val="20"/>
                <w:szCs w:val="20"/>
              </w:rPr>
            </w:pPr>
          </w:p>
        </w:tc>
        <w:tc>
          <w:tcPr>
            <w:tcW w:w="2610" w:type="dxa"/>
          </w:tcPr>
          <w:p w:rsidR="000D76A2" w:rsidRPr="0060598C" w:rsidRDefault="000D76A2" w:rsidP="00394C2C">
            <w:pPr>
              <w:jc w:val="both"/>
              <w:rPr>
                <w:rFonts w:ascii="Arial" w:hAnsi="Arial" w:cs="Arial"/>
                <w:sz w:val="20"/>
                <w:szCs w:val="20"/>
              </w:rPr>
            </w:pPr>
          </w:p>
        </w:tc>
        <w:tc>
          <w:tcPr>
            <w:tcW w:w="1980" w:type="dxa"/>
          </w:tcPr>
          <w:p w:rsidR="000D76A2" w:rsidRPr="0060598C" w:rsidRDefault="000D76A2" w:rsidP="00394C2C">
            <w:pPr>
              <w:jc w:val="both"/>
              <w:rPr>
                <w:rFonts w:ascii="Arial" w:hAnsi="Arial" w:cs="Arial"/>
                <w:sz w:val="20"/>
                <w:szCs w:val="20"/>
              </w:rPr>
            </w:pPr>
          </w:p>
        </w:tc>
      </w:tr>
      <w:tr w:rsidR="000D76A2" w:rsidRPr="0060598C" w:rsidTr="00B06553">
        <w:tc>
          <w:tcPr>
            <w:tcW w:w="236" w:type="dxa"/>
          </w:tcPr>
          <w:p w:rsidR="000D76A2" w:rsidRPr="0060598C" w:rsidRDefault="000D76A2" w:rsidP="00394C2C">
            <w:pPr>
              <w:jc w:val="both"/>
              <w:rPr>
                <w:rFonts w:ascii="Arial" w:hAnsi="Arial" w:cs="Arial"/>
                <w:sz w:val="20"/>
                <w:szCs w:val="20"/>
              </w:rPr>
            </w:pPr>
          </w:p>
        </w:tc>
        <w:tc>
          <w:tcPr>
            <w:tcW w:w="2639" w:type="dxa"/>
          </w:tcPr>
          <w:p w:rsidR="000D76A2" w:rsidRPr="0060598C" w:rsidRDefault="000D76A2" w:rsidP="00394C2C">
            <w:pPr>
              <w:ind w:left="720" w:hanging="720"/>
              <w:jc w:val="both"/>
              <w:rPr>
                <w:rFonts w:ascii="Arial" w:hAnsi="Arial" w:cs="Arial"/>
                <w:sz w:val="20"/>
                <w:szCs w:val="20"/>
              </w:rPr>
            </w:pPr>
            <w:r w:rsidRPr="0060598C">
              <w:rPr>
                <w:rFonts w:ascii="Arial" w:hAnsi="Arial" w:cs="Arial"/>
                <w:sz w:val="20"/>
                <w:szCs w:val="20"/>
              </w:rPr>
              <w:t>Total population</w:t>
            </w:r>
          </w:p>
        </w:tc>
        <w:tc>
          <w:tcPr>
            <w:tcW w:w="2340"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4.4 ± 3.9</w:t>
            </w:r>
          </w:p>
        </w:tc>
        <w:tc>
          <w:tcPr>
            <w:tcW w:w="2610" w:type="dxa"/>
          </w:tcPr>
          <w:p w:rsidR="000D76A2" w:rsidRPr="0060598C" w:rsidRDefault="000D76A2" w:rsidP="00394C2C">
            <w:pPr>
              <w:jc w:val="both"/>
              <w:rPr>
                <w:rFonts w:ascii="Arial" w:hAnsi="Arial" w:cs="Arial"/>
                <w:sz w:val="20"/>
                <w:szCs w:val="20"/>
              </w:rPr>
            </w:pPr>
          </w:p>
        </w:tc>
        <w:tc>
          <w:tcPr>
            <w:tcW w:w="1980" w:type="dxa"/>
          </w:tcPr>
          <w:p w:rsidR="000D76A2" w:rsidRPr="0060598C" w:rsidRDefault="000D76A2" w:rsidP="00394C2C">
            <w:pPr>
              <w:jc w:val="both"/>
              <w:rPr>
                <w:rFonts w:ascii="Arial" w:hAnsi="Arial" w:cs="Arial"/>
                <w:sz w:val="20"/>
                <w:szCs w:val="20"/>
              </w:rPr>
            </w:pPr>
          </w:p>
        </w:tc>
      </w:tr>
      <w:tr w:rsidR="000D76A2" w:rsidRPr="0060598C" w:rsidTr="00B06553">
        <w:tc>
          <w:tcPr>
            <w:tcW w:w="236" w:type="dxa"/>
          </w:tcPr>
          <w:p w:rsidR="000D76A2" w:rsidRPr="0060598C" w:rsidRDefault="000D76A2" w:rsidP="00394C2C">
            <w:pPr>
              <w:jc w:val="both"/>
              <w:rPr>
                <w:rFonts w:ascii="Arial" w:hAnsi="Arial" w:cs="Arial"/>
                <w:sz w:val="20"/>
                <w:szCs w:val="20"/>
              </w:rPr>
            </w:pPr>
          </w:p>
        </w:tc>
        <w:tc>
          <w:tcPr>
            <w:tcW w:w="2639"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Sublingual Misoprostol</w:t>
            </w:r>
          </w:p>
        </w:tc>
        <w:tc>
          <w:tcPr>
            <w:tcW w:w="2340"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3.8 ± 2.9</w:t>
            </w:r>
          </w:p>
        </w:tc>
        <w:tc>
          <w:tcPr>
            <w:tcW w:w="2610"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0.60 (-0.29 – 1.49)</w:t>
            </w:r>
          </w:p>
        </w:tc>
        <w:tc>
          <w:tcPr>
            <w:tcW w:w="1980" w:type="dxa"/>
          </w:tcPr>
          <w:p w:rsidR="000D76A2" w:rsidRPr="0060598C" w:rsidRDefault="00B06553" w:rsidP="00394C2C">
            <w:pPr>
              <w:jc w:val="both"/>
              <w:rPr>
                <w:rFonts w:ascii="Arial" w:hAnsi="Arial" w:cs="Arial"/>
                <w:sz w:val="20"/>
                <w:szCs w:val="20"/>
              </w:rPr>
            </w:pPr>
            <w:r w:rsidRPr="0060598C">
              <w:rPr>
                <w:rFonts w:ascii="Arial" w:hAnsi="Arial" w:cs="Arial"/>
                <w:sz w:val="20"/>
                <w:szCs w:val="20"/>
              </w:rPr>
              <w:t>1.33 (.18</w:t>
            </w:r>
            <w:r w:rsidR="000D76A2" w:rsidRPr="0060598C">
              <w:rPr>
                <w:rFonts w:ascii="Arial" w:hAnsi="Arial" w:cs="Arial"/>
                <w:sz w:val="20"/>
                <w:szCs w:val="20"/>
              </w:rPr>
              <w:t>)</w:t>
            </w:r>
          </w:p>
        </w:tc>
      </w:tr>
      <w:tr w:rsidR="000D76A2" w:rsidRPr="0060598C" w:rsidTr="00B06553">
        <w:tc>
          <w:tcPr>
            <w:tcW w:w="236" w:type="dxa"/>
            <w:tcBorders>
              <w:bottom w:val="nil"/>
            </w:tcBorders>
          </w:tcPr>
          <w:p w:rsidR="000D76A2" w:rsidRPr="0060598C" w:rsidRDefault="000D76A2" w:rsidP="00394C2C">
            <w:pPr>
              <w:jc w:val="both"/>
              <w:rPr>
                <w:rFonts w:ascii="Arial" w:hAnsi="Arial" w:cs="Arial"/>
                <w:sz w:val="20"/>
                <w:szCs w:val="20"/>
              </w:rPr>
            </w:pPr>
          </w:p>
        </w:tc>
        <w:tc>
          <w:tcPr>
            <w:tcW w:w="2639" w:type="dxa"/>
            <w:tcBorders>
              <w:bottom w:val="nil"/>
            </w:tcBorders>
          </w:tcPr>
          <w:p w:rsidR="000D76A2" w:rsidRPr="0060598C" w:rsidRDefault="000D76A2" w:rsidP="00394C2C">
            <w:pPr>
              <w:jc w:val="both"/>
              <w:rPr>
                <w:rFonts w:ascii="Arial" w:hAnsi="Arial" w:cs="Arial"/>
                <w:sz w:val="20"/>
                <w:szCs w:val="20"/>
              </w:rPr>
            </w:pPr>
            <w:r w:rsidRPr="0060598C">
              <w:rPr>
                <w:rFonts w:ascii="Arial" w:hAnsi="Arial" w:cs="Arial"/>
                <w:sz w:val="20"/>
                <w:szCs w:val="20"/>
              </w:rPr>
              <w:t>Sublingual Placebo</w:t>
            </w:r>
          </w:p>
        </w:tc>
        <w:tc>
          <w:tcPr>
            <w:tcW w:w="2340" w:type="dxa"/>
            <w:tcBorders>
              <w:bottom w:val="nil"/>
            </w:tcBorders>
          </w:tcPr>
          <w:p w:rsidR="000D76A2" w:rsidRPr="0060598C" w:rsidRDefault="000D76A2" w:rsidP="00394C2C">
            <w:pPr>
              <w:jc w:val="both"/>
              <w:rPr>
                <w:rFonts w:ascii="Arial" w:hAnsi="Arial" w:cs="Arial"/>
                <w:sz w:val="20"/>
                <w:szCs w:val="20"/>
              </w:rPr>
            </w:pPr>
            <w:r w:rsidRPr="0060598C">
              <w:rPr>
                <w:rFonts w:ascii="Arial" w:hAnsi="Arial" w:cs="Arial"/>
                <w:sz w:val="20"/>
                <w:szCs w:val="20"/>
              </w:rPr>
              <w:t>4.4 ± 3.1</w:t>
            </w:r>
          </w:p>
        </w:tc>
        <w:tc>
          <w:tcPr>
            <w:tcW w:w="2610" w:type="dxa"/>
            <w:tcBorders>
              <w:bottom w:val="nil"/>
            </w:tcBorders>
          </w:tcPr>
          <w:p w:rsidR="000D76A2" w:rsidRPr="0060598C" w:rsidRDefault="000D76A2" w:rsidP="00394C2C">
            <w:pPr>
              <w:jc w:val="both"/>
              <w:rPr>
                <w:rFonts w:ascii="Arial" w:hAnsi="Arial" w:cs="Arial"/>
                <w:sz w:val="20"/>
                <w:szCs w:val="20"/>
              </w:rPr>
            </w:pPr>
          </w:p>
        </w:tc>
        <w:tc>
          <w:tcPr>
            <w:tcW w:w="1980" w:type="dxa"/>
            <w:tcBorders>
              <w:bottom w:val="nil"/>
            </w:tcBorders>
          </w:tcPr>
          <w:p w:rsidR="000D76A2" w:rsidRPr="0060598C" w:rsidRDefault="000D76A2" w:rsidP="00394C2C">
            <w:pPr>
              <w:jc w:val="both"/>
              <w:rPr>
                <w:rFonts w:ascii="Arial" w:hAnsi="Arial" w:cs="Arial"/>
                <w:sz w:val="20"/>
                <w:szCs w:val="20"/>
              </w:rPr>
            </w:pPr>
          </w:p>
        </w:tc>
      </w:tr>
      <w:tr w:rsidR="000D76A2" w:rsidRPr="0060598C" w:rsidTr="00B06553">
        <w:tc>
          <w:tcPr>
            <w:tcW w:w="236" w:type="dxa"/>
            <w:tcBorders>
              <w:top w:val="nil"/>
              <w:bottom w:val="nil"/>
            </w:tcBorders>
          </w:tcPr>
          <w:p w:rsidR="000D76A2" w:rsidRPr="0060598C" w:rsidRDefault="000D76A2" w:rsidP="00394C2C">
            <w:pPr>
              <w:jc w:val="both"/>
              <w:rPr>
                <w:rFonts w:ascii="Arial" w:hAnsi="Arial" w:cs="Arial"/>
                <w:sz w:val="20"/>
                <w:szCs w:val="20"/>
              </w:rPr>
            </w:pPr>
          </w:p>
        </w:tc>
        <w:tc>
          <w:tcPr>
            <w:tcW w:w="2639" w:type="dxa"/>
            <w:tcBorders>
              <w:top w:val="nil"/>
              <w:bottom w:val="nil"/>
            </w:tcBorders>
          </w:tcPr>
          <w:p w:rsidR="000D76A2" w:rsidRPr="0060598C" w:rsidRDefault="000D76A2" w:rsidP="00394C2C">
            <w:pPr>
              <w:jc w:val="both"/>
              <w:rPr>
                <w:rFonts w:ascii="Arial" w:hAnsi="Arial" w:cs="Arial"/>
                <w:b/>
                <w:sz w:val="20"/>
                <w:szCs w:val="20"/>
              </w:rPr>
            </w:pPr>
          </w:p>
        </w:tc>
        <w:tc>
          <w:tcPr>
            <w:tcW w:w="2340" w:type="dxa"/>
            <w:tcBorders>
              <w:top w:val="nil"/>
              <w:bottom w:val="nil"/>
            </w:tcBorders>
          </w:tcPr>
          <w:p w:rsidR="000D76A2" w:rsidRPr="0060598C" w:rsidRDefault="000D76A2" w:rsidP="00394C2C">
            <w:pPr>
              <w:jc w:val="both"/>
              <w:rPr>
                <w:rFonts w:ascii="Arial" w:hAnsi="Arial" w:cs="Arial"/>
                <w:sz w:val="20"/>
                <w:szCs w:val="20"/>
              </w:rPr>
            </w:pPr>
          </w:p>
        </w:tc>
        <w:tc>
          <w:tcPr>
            <w:tcW w:w="2610" w:type="dxa"/>
            <w:tcBorders>
              <w:top w:val="nil"/>
              <w:bottom w:val="nil"/>
            </w:tcBorders>
          </w:tcPr>
          <w:p w:rsidR="000D76A2" w:rsidRPr="0060598C" w:rsidRDefault="000D76A2" w:rsidP="00394C2C">
            <w:pPr>
              <w:jc w:val="both"/>
              <w:rPr>
                <w:rFonts w:ascii="Arial" w:hAnsi="Arial" w:cs="Arial"/>
                <w:sz w:val="20"/>
                <w:szCs w:val="20"/>
              </w:rPr>
            </w:pPr>
          </w:p>
        </w:tc>
        <w:tc>
          <w:tcPr>
            <w:tcW w:w="1980" w:type="dxa"/>
            <w:tcBorders>
              <w:top w:val="nil"/>
              <w:bottom w:val="nil"/>
            </w:tcBorders>
          </w:tcPr>
          <w:p w:rsidR="000D76A2" w:rsidRPr="0060598C" w:rsidRDefault="000D76A2" w:rsidP="00394C2C">
            <w:pPr>
              <w:jc w:val="both"/>
              <w:rPr>
                <w:rFonts w:ascii="Arial" w:hAnsi="Arial" w:cs="Arial"/>
                <w:sz w:val="20"/>
                <w:szCs w:val="20"/>
              </w:rPr>
            </w:pPr>
          </w:p>
        </w:tc>
      </w:tr>
      <w:tr w:rsidR="000D76A2" w:rsidRPr="0060598C" w:rsidTr="00B06553">
        <w:tc>
          <w:tcPr>
            <w:tcW w:w="236" w:type="dxa"/>
            <w:tcBorders>
              <w:top w:val="nil"/>
            </w:tcBorders>
          </w:tcPr>
          <w:p w:rsidR="000D76A2" w:rsidRPr="0060598C" w:rsidRDefault="000D76A2" w:rsidP="00394C2C">
            <w:pPr>
              <w:jc w:val="both"/>
              <w:rPr>
                <w:rFonts w:ascii="Arial" w:hAnsi="Arial" w:cs="Arial"/>
                <w:sz w:val="20"/>
                <w:szCs w:val="20"/>
              </w:rPr>
            </w:pPr>
          </w:p>
        </w:tc>
        <w:tc>
          <w:tcPr>
            <w:tcW w:w="2639" w:type="dxa"/>
            <w:tcBorders>
              <w:top w:val="nil"/>
            </w:tcBorders>
          </w:tcPr>
          <w:p w:rsidR="000D76A2" w:rsidRPr="0060598C" w:rsidRDefault="000D76A2" w:rsidP="00394C2C">
            <w:pPr>
              <w:jc w:val="both"/>
              <w:rPr>
                <w:rFonts w:ascii="Arial" w:hAnsi="Arial" w:cs="Arial"/>
                <w:b/>
                <w:sz w:val="20"/>
                <w:szCs w:val="20"/>
              </w:rPr>
            </w:pPr>
            <w:r w:rsidRPr="0060598C">
              <w:rPr>
                <w:rFonts w:ascii="Arial" w:hAnsi="Arial" w:cs="Arial"/>
                <w:b/>
                <w:sz w:val="20"/>
                <w:szCs w:val="20"/>
              </w:rPr>
              <w:t>Duration of Surgery</w:t>
            </w:r>
          </w:p>
        </w:tc>
        <w:tc>
          <w:tcPr>
            <w:tcW w:w="2340" w:type="dxa"/>
            <w:tcBorders>
              <w:top w:val="nil"/>
            </w:tcBorders>
          </w:tcPr>
          <w:p w:rsidR="000D76A2" w:rsidRPr="0060598C" w:rsidRDefault="000D76A2" w:rsidP="00394C2C">
            <w:pPr>
              <w:jc w:val="both"/>
              <w:rPr>
                <w:rFonts w:ascii="Arial" w:hAnsi="Arial" w:cs="Arial"/>
                <w:sz w:val="20"/>
                <w:szCs w:val="20"/>
              </w:rPr>
            </w:pPr>
          </w:p>
        </w:tc>
        <w:tc>
          <w:tcPr>
            <w:tcW w:w="2610" w:type="dxa"/>
            <w:tcBorders>
              <w:top w:val="nil"/>
            </w:tcBorders>
          </w:tcPr>
          <w:p w:rsidR="000D76A2" w:rsidRPr="0060598C" w:rsidRDefault="000D76A2" w:rsidP="00394C2C">
            <w:pPr>
              <w:jc w:val="both"/>
              <w:rPr>
                <w:rFonts w:ascii="Arial" w:hAnsi="Arial" w:cs="Arial"/>
                <w:sz w:val="20"/>
                <w:szCs w:val="20"/>
              </w:rPr>
            </w:pPr>
          </w:p>
        </w:tc>
        <w:tc>
          <w:tcPr>
            <w:tcW w:w="1980" w:type="dxa"/>
            <w:tcBorders>
              <w:top w:val="nil"/>
            </w:tcBorders>
          </w:tcPr>
          <w:p w:rsidR="000D76A2" w:rsidRPr="0060598C" w:rsidRDefault="000D76A2" w:rsidP="00394C2C">
            <w:pPr>
              <w:jc w:val="both"/>
              <w:rPr>
                <w:rFonts w:ascii="Arial" w:hAnsi="Arial" w:cs="Arial"/>
                <w:sz w:val="20"/>
                <w:szCs w:val="20"/>
              </w:rPr>
            </w:pPr>
          </w:p>
        </w:tc>
      </w:tr>
      <w:tr w:rsidR="000D76A2" w:rsidRPr="0060598C" w:rsidTr="00B06553">
        <w:tc>
          <w:tcPr>
            <w:tcW w:w="236" w:type="dxa"/>
          </w:tcPr>
          <w:p w:rsidR="000D76A2" w:rsidRPr="0060598C" w:rsidRDefault="000D76A2" w:rsidP="00394C2C">
            <w:pPr>
              <w:jc w:val="both"/>
              <w:rPr>
                <w:rFonts w:ascii="Arial" w:hAnsi="Arial" w:cs="Arial"/>
                <w:sz w:val="20"/>
                <w:szCs w:val="20"/>
              </w:rPr>
            </w:pPr>
          </w:p>
        </w:tc>
        <w:tc>
          <w:tcPr>
            <w:tcW w:w="2639" w:type="dxa"/>
          </w:tcPr>
          <w:p w:rsidR="000D76A2" w:rsidRPr="0060598C" w:rsidRDefault="000D76A2" w:rsidP="00394C2C">
            <w:pPr>
              <w:ind w:left="720" w:hanging="720"/>
              <w:jc w:val="both"/>
              <w:rPr>
                <w:rFonts w:ascii="Arial" w:hAnsi="Arial" w:cs="Arial"/>
                <w:sz w:val="20"/>
                <w:szCs w:val="20"/>
              </w:rPr>
            </w:pPr>
            <w:r w:rsidRPr="0060598C">
              <w:rPr>
                <w:rFonts w:ascii="Arial" w:hAnsi="Arial" w:cs="Arial"/>
                <w:sz w:val="20"/>
                <w:szCs w:val="20"/>
              </w:rPr>
              <w:t>Total population</w:t>
            </w:r>
          </w:p>
        </w:tc>
        <w:tc>
          <w:tcPr>
            <w:tcW w:w="2340"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68.4 ± 21.1</w:t>
            </w:r>
          </w:p>
        </w:tc>
        <w:tc>
          <w:tcPr>
            <w:tcW w:w="2610" w:type="dxa"/>
          </w:tcPr>
          <w:p w:rsidR="000D76A2" w:rsidRPr="0060598C" w:rsidRDefault="000D76A2" w:rsidP="00394C2C">
            <w:pPr>
              <w:jc w:val="both"/>
              <w:rPr>
                <w:rFonts w:ascii="Arial" w:hAnsi="Arial" w:cs="Arial"/>
                <w:sz w:val="20"/>
                <w:szCs w:val="20"/>
              </w:rPr>
            </w:pPr>
          </w:p>
        </w:tc>
        <w:tc>
          <w:tcPr>
            <w:tcW w:w="1980" w:type="dxa"/>
          </w:tcPr>
          <w:p w:rsidR="000D76A2" w:rsidRPr="0060598C" w:rsidRDefault="000D76A2" w:rsidP="00394C2C">
            <w:pPr>
              <w:jc w:val="both"/>
              <w:rPr>
                <w:rFonts w:ascii="Arial" w:hAnsi="Arial" w:cs="Arial"/>
                <w:sz w:val="20"/>
                <w:szCs w:val="20"/>
              </w:rPr>
            </w:pPr>
          </w:p>
        </w:tc>
      </w:tr>
      <w:tr w:rsidR="000D76A2" w:rsidRPr="0060598C" w:rsidTr="00B06553">
        <w:tc>
          <w:tcPr>
            <w:tcW w:w="236" w:type="dxa"/>
          </w:tcPr>
          <w:p w:rsidR="000D76A2" w:rsidRPr="0060598C" w:rsidRDefault="000D76A2" w:rsidP="00394C2C">
            <w:pPr>
              <w:jc w:val="both"/>
              <w:rPr>
                <w:rFonts w:ascii="Arial" w:hAnsi="Arial" w:cs="Arial"/>
                <w:sz w:val="20"/>
                <w:szCs w:val="20"/>
              </w:rPr>
            </w:pPr>
          </w:p>
        </w:tc>
        <w:tc>
          <w:tcPr>
            <w:tcW w:w="2639"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Sublingual Misoprostol</w:t>
            </w:r>
          </w:p>
        </w:tc>
        <w:tc>
          <w:tcPr>
            <w:tcW w:w="2340"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67.4 ± 21.6</w:t>
            </w:r>
          </w:p>
        </w:tc>
        <w:tc>
          <w:tcPr>
            <w:tcW w:w="2610"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2.08 (-8.43 – 4.27)</w:t>
            </w:r>
          </w:p>
        </w:tc>
        <w:tc>
          <w:tcPr>
            <w:tcW w:w="1980" w:type="dxa"/>
          </w:tcPr>
          <w:p w:rsidR="000D76A2" w:rsidRPr="0060598C" w:rsidRDefault="00B06553" w:rsidP="00394C2C">
            <w:pPr>
              <w:jc w:val="both"/>
              <w:rPr>
                <w:rFonts w:ascii="Arial" w:hAnsi="Arial" w:cs="Arial"/>
                <w:sz w:val="20"/>
                <w:szCs w:val="20"/>
              </w:rPr>
            </w:pPr>
            <w:r w:rsidRPr="0060598C">
              <w:rPr>
                <w:rFonts w:ascii="Arial" w:hAnsi="Arial" w:cs="Arial"/>
                <w:sz w:val="20"/>
                <w:szCs w:val="20"/>
              </w:rPr>
              <w:t>0.65 (.52</w:t>
            </w:r>
            <w:r w:rsidR="000D76A2" w:rsidRPr="0060598C">
              <w:rPr>
                <w:rFonts w:ascii="Arial" w:hAnsi="Arial" w:cs="Arial"/>
                <w:sz w:val="20"/>
                <w:szCs w:val="20"/>
              </w:rPr>
              <w:t>)</w:t>
            </w:r>
          </w:p>
        </w:tc>
      </w:tr>
      <w:tr w:rsidR="000D76A2" w:rsidRPr="0060598C" w:rsidTr="00B06553">
        <w:tc>
          <w:tcPr>
            <w:tcW w:w="236" w:type="dxa"/>
          </w:tcPr>
          <w:p w:rsidR="000D76A2" w:rsidRPr="0060598C" w:rsidRDefault="000D76A2" w:rsidP="00394C2C">
            <w:pPr>
              <w:jc w:val="both"/>
              <w:rPr>
                <w:rFonts w:ascii="Arial" w:hAnsi="Arial" w:cs="Arial"/>
                <w:sz w:val="20"/>
                <w:szCs w:val="20"/>
              </w:rPr>
            </w:pPr>
          </w:p>
        </w:tc>
        <w:tc>
          <w:tcPr>
            <w:tcW w:w="2639"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Sublingual Placebo</w:t>
            </w:r>
          </w:p>
        </w:tc>
        <w:tc>
          <w:tcPr>
            <w:tcW w:w="2340" w:type="dxa"/>
          </w:tcPr>
          <w:p w:rsidR="000D76A2" w:rsidRPr="0060598C" w:rsidRDefault="000D76A2" w:rsidP="00394C2C">
            <w:pPr>
              <w:jc w:val="both"/>
              <w:rPr>
                <w:rFonts w:ascii="Arial" w:hAnsi="Arial" w:cs="Arial"/>
                <w:sz w:val="20"/>
                <w:szCs w:val="20"/>
              </w:rPr>
            </w:pPr>
            <w:r w:rsidRPr="0060598C">
              <w:rPr>
                <w:rFonts w:ascii="Arial" w:hAnsi="Arial" w:cs="Arial"/>
                <w:sz w:val="20"/>
                <w:szCs w:val="20"/>
              </w:rPr>
              <w:t>69.5 ± 20.6</w:t>
            </w:r>
          </w:p>
        </w:tc>
        <w:tc>
          <w:tcPr>
            <w:tcW w:w="2610" w:type="dxa"/>
          </w:tcPr>
          <w:p w:rsidR="000D76A2" w:rsidRPr="0060598C" w:rsidRDefault="000D76A2" w:rsidP="00394C2C">
            <w:pPr>
              <w:jc w:val="both"/>
              <w:rPr>
                <w:rFonts w:ascii="Arial" w:hAnsi="Arial" w:cs="Arial"/>
                <w:sz w:val="20"/>
                <w:szCs w:val="20"/>
              </w:rPr>
            </w:pPr>
          </w:p>
        </w:tc>
        <w:tc>
          <w:tcPr>
            <w:tcW w:w="1980" w:type="dxa"/>
          </w:tcPr>
          <w:p w:rsidR="000D76A2" w:rsidRPr="0060598C" w:rsidRDefault="000D76A2" w:rsidP="00394C2C">
            <w:pPr>
              <w:jc w:val="both"/>
              <w:rPr>
                <w:rFonts w:ascii="Arial" w:hAnsi="Arial" w:cs="Arial"/>
                <w:sz w:val="20"/>
                <w:szCs w:val="20"/>
              </w:rPr>
            </w:pPr>
          </w:p>
        </w:tc>
      </w:tr>
    </w:tbl>
    <w:p w:rsidR="000D76A2" w:rsidRPr="0060598C" w:rsidRDefault="000D76A2" w:rsidP="00394C2C">
      <w:pPr>
        <w:spacing w:line="240" w:lineRule="auto"/>
        <w:jc w:val="both"/>
        <w:rPr>
          <w:rFonts w:ascii="Arial" w:hAnsi="Arial" w:cs="Arial"/>
          <w:sz w:val="20"/>
          <w:szCs w:val="20"/>
        </w:rPr>
      </w:pPr>
      <w:bookmarkStart w:id="2" w:name="_Hlk150265258"/>
      <w:bookmarkEnd w:id="1"/>
      <w:r w:rsidRPr="0060598C">
        <w:rPr>
          <w:rFonts w:ascii="Arial" w:hAnsi="Arial" w:cs="Arial"/>
          <w:sz w:val="20"/>
          <w:szCs w:val="20"/>
        </w:rPr>
        <w:t xml:space="preserve">      SD – Standard deviation; CI – Confidence Interval, PCV- Packed cell volume </w:t>
      </w:r>
      <w:bookmarkEnd w:id="2"/>
    </w:p>
    <w:p w:rsidR="00A6377A" w:rsidRPr="0060598C" w:rsidRDefault="00A6377A" w:rsidP="007211BD">
      <w:pPr>
        <w:spacing w:line="240" w:lineRule="auto"/>
        <w:rPr>
          <w:rFonts w:ascii="Arial" w:hAnsi="Arial" w:cs="Arial"/>
          <w:b/>
        </w:rPr>
      </w:pPr>
    </w:p>
    <w:p w:rsidR="00485543" w:rsidRPr="0060598C" w:rsidRDefault="004A5EFE" w:rsidP="007211BD">
      <w:pPr>
        <w:spacing w:line="240" w:lineRule="auto"/>
        <w:rPr>
          <w:rFonts w:ascii="Arial" w:hAnsi="Arial" w:cs="Arial"/>
          <w:b/>
        </w:rPr>
      </w:pPr>
      <w:r w:rsidRPr="0060598C">
        <w:rPr>
          <w:rFonts w:ascii="Arial" w:hAnsi="Arial" w:cs="Arial"/>
          <w:b/>
        </w:rPr>
        <w:t>4.</w:t>
      </w:r>
      <w:r w:rsidR="00A6377A" w:rsidRPr="0060598C">
        <w:rPr>
          <w:rFonts w:ascii="Arial" w:hAnsi="Arial" w:cs="Arial"/>
          <w:b/>
        </w:rPr>
        <w:t xml:space="preserve"> </w:t>
      </w:r>
      <w:r w:rsidR="00485543" w:rsidRPr="0060598C">
        <w:rPr>
          <w:rFonts w:ascii="Arial" w:hAnsi="Arial" w:cs="Arial"/>
          <w:b/>
        </w:rPr>
        <w:t>DISCUSSION</w:t>
      </w:r>
    </w:p>
    <w:p w:rsidR="00F7461F" w:rsidRPr="0060598C" w:rsidRDefault="00F7461F" w:rsidP="00F7461F">
      <w:pPr>
        <w:spacing w:before="240" w:line="480" w:lineRule="auto"/>
        <w:jc w:val="both"/>
        <w:rPr>
          <w:rFonts w:ascii="Arial" w:hAnsi="Arial" w:cs="Arial"/>
          <w:sz w:val="20"/>
          <w:szCs w:val="20"/>
        </w:rPr>
      </w:pPr>
      <w:r w:rsidRPr="0060598C">
        <w:rPr>
          <w:rFonts w:ascii="Arial" w:hAnsi="Arial" w:cs="Arial"/>
          <w:sz w:val="20"/>
          <w:szCs w:val="20"/>
        </w:rPr>
        <w:t>Abdominal birth is inevitable associated with more amount of bleeding than natural parturition. This intraoperative bleeding can lead to dire consequences (morbidity or mortality) for the parturient (Weeks &amp; Neilson, 2015). It is therefore essential to ensure that the blood loss at caesarean delivery does not go beyond the rubicon for the body’s recovery. One of the notable steps, besides good surgical technique, to prevent intraoperative blood loss exceeding the average estimation for caesarean delivery is the use of uterotonics such as misoprostol.</w:t>
      </w:r>
    </w:p>
    <w:p w:rsidR="006149F2" w:rsidRPr="0060598C" w:rsidRDefault="006149F2" w:rsidP="00A6377A">
      <w:pPr>
        <w:spacing w:before="240" w:line="480" w:lineRule="auto"/>
        <w:jc w:val="both"/>
        <w:rPr>
          <w:rFonts w:ascii="Arial" w:hAnsi="Arial" w:cs="Arial"/>
          <w:sz w:val="20"/>
          <w:szCs w:val="20"/>
        </w:rPr>
      </w:pPr>
      <w:r w:rsidRPr="0060598C">
        <w:rPr>
          <w:rFonts w:ascii="Arial" w:hAnsi="Arial" w:cs="Arial"/>
          <w:sz w:val="20"/>
          <w:szCs w:val="20"/>
        </w:rPr>
        <w:t>Misoprostol has been found to be a useful adjunct to oxytocin in lowering the amount of bleeding associated with ca</w:t>
      </w:r>
      <w:r w:rsidR="001E1B92" w:rsidRPr="0060598C">
        <w:rPr>
          <w:rFonts w:ascii="Arial" w:hAnsi="Arial" w:cs="Arial"/>
          <w:sz w:val="20"/>
          <w:szCs w:val="20"/>
        </w:rPr>
        <w:t xml:space="preserve">esarean birth, and thus prevents </w:t>
      </w:r>
      <w:r w:rsidRPr="0060598C">
        <w:rPr>
          <w:rFonts w:ascii="Arial" w:hAnsi="Arial" w:cs="Arial"/>
          <w:sz w:val="20"/>
          <w:szCs w:val="20"/>
        </w:rPr>
        <w:t>primary postpartum haemorrhage</w:t>
      </w:r>
      <w:r w:rsidR="00E43625" w:rsidRPr="0060598C">
        <w:rPr>
          <w:rFonts w:ascii="Arial" w:hAnsi="Arial" w:cs="Arial"/>
          <w:sz w:val="20"/>
          <w:szCs w:val="20"/>
        </w:rPr>
        <w:t xml:space="preserve"> (Nayak et al.; 2017)</w:t>
      </w:r>
      <w:r w:rsidRPr="0060598C">
        <w:rPr>
          <w:rFonts w:ascii="Arial" w:hAnsi="Arial" w:cs="Arial"/>
          <w:sz w:val="20"/>
          <w:szCs w:val="20"/>
        </w:rPr>
        <w:t>.</w:t>
      </w:r>
    </w:p>
    <w:p w:rsidR="006149F2" w:rsidRPr="0060598C" w:rsidRDefault="006149F2" w:rsidP="00A6377A">
      <w:pPr>
        <w:spacing w:before="240" w:line="480" w:lineRule="auto"/>
        <w:jc w:val="both"/>
        <w:rPr>
          <w:rFonts w:ascii="Arial" w:hAnsi="Arial" w:cs="Arial"/>
          <w:sz w:val="20"/>
          <w:szCs w:val="20"/>
        </w:rPr>
      </w:pPr>
      <w:r w:rsidRPr="0060598C">
        <w:rPr>
          <w:rFonts w:ascii="Arial" w:hAnsi="Arial" w:cs="Arial"/>
          <w:sz w:val="20"/>
          <w:szCs w:val="20"/>
        </w:rPr>
        <w:t>The onset of action of misoprostol is very critical to making sure that blood loss at delivery is kept at a minimum. Misoprostol when given sublingually has an onset of action of 11-minutes while other routes takes longer, except for the oral route where the onset of action is 8-minutes</w:t>
      </w:r>
      <w:r w:rsidR="00E43625" w:rsidRPr="0060598C">
        <w:rPr>
          <w:rFonts w:ascii="Arial" w:hAnsi="Arial" w:cs="Arial"/>
          <w:sz w:val="20"/>
          <w:szCs w:val="20"/>
        </w:rPr>
        <w:t xml:space="preserve"> (Tang et al.; 2007)</w:t>
      </w:r>
      <w:r w:rsidRPr="0060598C">
        <w:rPr>
          <w:rFonts w:ascii="Arial" w:hAnsi="Arial" w:cs="Arial"/>
          <w:sz w:val="20"/>
          <w:szCs w:val="20"/>
        </w:rPr>
        <w:t>.</w:t>
      </w:r>
      <w:r w:rsidR="00E43625" w:rsidRPr="0060598C">
        <w:rPr>
          <w:rFonts w:ascii="Arial" w:hAnsi="Arial" w:cs="Arial"/>
          <w:sz w:val="20"/>
          <w:szCs w:val="20"/>
          <w:vertAlign w:val="superscript"/>
        </w:rPr>
        <w:t xml:space="preserve"> </w:t>
      </w:r>
      <w:r w:rsidRPr="0060598C">
        <w:rPr>
          <w:rFonts w:ascii="Arial" w:hAnsi="Arial" w:cs="Arial"/>
          <w:sz w:val="20"/>
          <w:szCs w:val="20"/>
        </w:rPr>
        <w:t>Therefore, knowing about</w:t>
      </w:r>
      <w:r w:rsidR="00947CE0" w:rsidRPr="0060598C">
        <w:rPr>
          <w:rFonts w:ascii="Arial" w:hAnsi="Arial" w:cs="Arial"/>
          <w:sz w:val="20"/>
          <w:szCs w:val="20"/>
        </w:rPr>
        <w:t xml:space="preserve"> this timing will aid in knowing</w:t>
      </w:r>
      <w:r w:rsidRPr="0060598C">
        <w:rPr>
          <w:rFonts w:ascii="Arial" w:hAnsi="Arial" w:cs="Arial"/>
          <w:sz w:val="20"/>
          <w:szCs w:val="20"/>
        </w:rPr>
        <w:t xml:space="preserve"> the appropriate time to administer the uterotonic at caesarean deliveries. Giving misoprostol too early at caesarean section (for example just after spinal anaesthesia) in patients with previous abdominal surgeries (caesarean section inclusive) may predispose the parturients to uter</w:t>
      </w:r>
      <w:r w:rsidR="00947CE0" w:rsidRPr="0060598C">
        <w:rPr>
          <w:rFonts w:ascii="Arial" w:hAnsi="Arial" w:cs="Arial"/>
          <w:sz w:val="20"/>
          <w:szCs w:val="20"/>
        </w:rPr>
        <w:t>ine rupture in the operating theatre</w:t>
      </w:r>
      <w:r w:rsidRPr="0060598C">
        <w:rPr>
          <w:rFonts w:ascii="Arial" w:hAnsi="Arial" w:cs="Arial"/>
          <w:sz w:val="20"/>
          <w:szCs w:val="20"/>
        </w:rPr>
        <w:t>. This is so if the time needed to gaining access to the uterus is pro</w:t>
      </w:r>
      <w:r w:rsidR="001E1B92" w:rsidRPr="0060598C">
        <w:rPr>
          <w:rFonts w:ascii="Arial" w:hAnsi="Arial" w:cs="Arial"/>
          <w:sz w:val="20"/>
          <w:szCs w:val="20"/>
        </w:rPr>
        <w:t>longed or lengthened by the presence of</w:t>
      </w:r>
      <w:r w:rsidRPr="0060598C">
        <w:rPr>
          <w:rFonts w:ascii="Arial" w:hAnsi="Arial" w:cs="Arial"/>
          <w:sz w:val="20"/>
          <w:szCs w:val="20"/>
        </w:rPr>
        <w:t xml:space="preserve"> intraabdominal adhesions from previous abdominal surgeries</w:t>
      </w:r>
      <w:r w:rsidR="00E43625" w:rsidRPr="0060598C">
        <w:rPr>
          <w:rFonts w:ascii="Arial" w:hAnsi="Arial" w:cs="Arial"/>
          <w:sz w:val="20"/>
          <w:szCs w:val="20"/>
        </w:rPr>
        <w:t>.</w:t>
      </w:r>
    </w:p>
    <w:p w:rsidR="00E6638C" w:rsidRPr="0060598C" w:rsidRDefault="00611FE5" w:rsidP="00A6377A">
      <w:pPr>
        <w:spacing w:before="240" w:line="480" w:lineRule="auto"/>
        <w:jc w:val="both"/>
        <w:rPr>
          <w:rFonts w:ascii="Arial" w:hAnsi="Arial" w:cs="Arial"/>
          <w:sz w:val="20"/>
          <w:szCs w:val="20"/>
        </w:rPr>
      </w:pPr>
      <w:r w:rsidRPr="0060598C">
        <w:rPr>
          <w:rFonts w:ascii="Arial" w:hAnsi="Arial" w:cs="Arial"/>
          <w:sz w:val="20"/>
          <w:szCs w:val="20"/>
        </w:rPr>
        <w:lastRenderedPageBreak/>
        <w:t>In this study, the most of the participants were aged 30 to 39 years. This finding is</w:t>
      </w:r>
      <w:r w:rsidR="00E43625" w:rsidRPr="0060598C">
        <w:rPr>
          <w:rFonts w:ascii="Arial" w:hAnsi="Arial" w:cs="Arial"/>
          <w:sz w:val="20"/>
          <w:szCs w:val="20"/>
        </w:rPr>
        <w:t xml:space="preserve"> similar to that</w:t>
      </w:r>
      <w:r w:rsidR="00947CE0" w:rsidRPr="0060598C">
        <w:rPr>
          <w:rFonts w:ascii="Arial" w:hAnsi="Arial" w:cs="Arial"/>
          <w:sz w:val="20"/>
          <w:szCs w:val="20"/>
        </w:rPr>
        <w:t xml:space="preserve"> of</w:t>
      </w:r>
      <w:r w:rsidR="00E43625" w:rsidRPr="0060598C">
        <w:rPr>
          <w:rFonts w:ascii="Arial" w:hAnsi="Arial" w:cs="Arial"/>
          <w:sz w:val="20"/>
          <w:szCs w:val="20"/>
        </w:rPr>
        <w:t xml:space="preserve"> the study by Akpan et al.; 2021.</w:t>
      </w:r>
      <w:r w:rsidRPr="0060598C">
        <w:rPr>
          <w:rFonts w:ascii="Arial" w:hAnsi="Arial" w:cs="Arial"/>
          <w:sz w:val="20"/>
          <w:szCs w:val="20"/>
          <w:vertAlign w:val="superscript"/>
        </w:rPr>
        <w:t xml:space="preserve"> </w:t>
      </w:r>
      <w:r w:rsidR="00947CE0" w:rsidRPr="0060598C">
        <w:rPr>
          <w:rFonts w:ascii="Arial" w:hAnsi="Arial" w:cs="Arial"/>
          <w:sz w:val="20"/>
          <w:szCs w:val="20"/>
        </w:rPr>
        <w:t>This occurrence may be</w:t>
      </w:r>
      <w:r w:rsidRPr="0060598C">
        <w:rPr>
          <w:rFonts w:ascii="Arial" w:hAnsi="Arial" w:cs="Arial"/>
          <w:sz w:val="20"/>
          <w:szCs w:val="20"/>
        </w:rPr>
        <w:t xml:space="preserve"> due to late onset marriages occurring in the region of the country where these rese</w:t>
      </w:r>
      <w:r w:rsidR="00E6638C" w:rsidRPr="0060598C">
        <w:rPr>
          <w:rFonts w:ascii="Arial" w:hAnsi="Arial" w:cs="Arial"/>
          <w:sz w:val="20"/>
          <w:szCs w:val="20"/>
        </w:rPr>
        <w:t xml:space="preserve">arches were conducted. </w:t>
      </w:r>
      <w:r w:rsidR="008C7E24" w:rsidRPr="0060598C">
        <w:rPr>
          <w:rFonts w:ascii="Arial" w:hAnsi="Arial" w:cs="Arial"/>
          <w:sz w:val="20"/>
          <w:szCs w:val="20"/>
        </w:rPr>
        <w:t xml:space="preserve"> </w:t>
      </w:r>
      <w:r w:rsidRPr="0060598C">
        <w:rPr>
          <w:rFonts w:ascii="Arial" w:hAnsi="Arial" w:cs="Arial"/>
          <w:sz w:val="20"/>
          <w:szCs w:val="20"/>
        </w:rPr>
        <w:t>However, in contrast to</w:t>
      </w:r>
      <w:r w:rsidR="00E43625" w:rsidRPr="0060598C">
        <w:rPr>
          <w:rFonts w:ascii="Arial" w:hAnsi="Arial" w:cs="Arial"/>
          <w:sz w:val="20"/>
          <w:szCs w:val="20"/>
        </w:rPr>
        <w:t xml:space="preserve"> this present study, Ugwu et al.; 2014 </w:t>
      </w:r>
      <w:r w:rsidRPr="0060598C">
        <w:rPr>
          <w:rFonts w:ascii="Arial" w:hAnsi="Arial" w:cs="Arial"/>
          <w:sz w:val="20"/>
          <w:szCs w:val="20"/>
        </w:rPr>
        <w:t>study showed that a significant numb</w:t>
      </w:r>
      <w:r w:rsidR="00FE0BEC" w:rsidRPr="0060598C">
        <w:rPr>
          <w:rFonts w:ascii="Arial" w:hAnsi="Arial" w:cs="Arial"/>
          <w:sz w:val="20"/>
          <w:szCs w:val="20"/>
        </w:rPr>
        <w:t>er of participants were aged 25</w:t>
      </w:r>
      <w:r w:rsidRPr="0060598C">
        <w:rPr>
          <w:rFonts w:ascii="Arial" w:hAnsi="Arial" w:cs="Arial"/>
          <w:sz w:val="20"/>
          <w:szCs w:val="20"/>
        </w:rPr>
        <w:t>-29 years. A possible explanation for this disparity may be due to early marriages or betrothal culture in predominantly Islami</w:t>
      </w:r>
      <w:r w:rsidR="003C0B0E" w:rsidRPr="0060598C">
        <w:rPr>
          <w:rFonts w:ascii="Arial" w:hAnsi="Arial" w:cs="Arial"/>
          <w:sz w:val="20"/>
          <w:szCs w:val="20"/>
        </w:rPr>
        <w:t xml:space="preserve">c Ibadan where the Ugwu et al; 2014 </w:t>
      </w:r>
      <w:r w:rsidRPr="0060598C">
        <w:rPr>
          <w:rFonts w:ascii="Arial" w:hAnsi="Arial" w:cs="Arial"/>
          <w:sz w:val="20"/>
          <w:szCs w:val="20"/>
        </w:rPr>
        <w:t xml:space="preserve">study was carried out. </w:t>
      </w:r>
    </w:p>
    <w:p w:rsidR="00BB6CCB" w:rsidRPr="0060598C" w:rsidRDefault="00BB6CCB" w:rsidP="00A6377A">
      <w:pPr>
        <w:spacing w:before="240" w:line="480" w:lineRule="auto"/>
        <w:jc w:val="both"/>
        <w:rPr>
          <w:rFonts w:ascii="Arial" w:hAnsi="Arial" w:cs="Arial"/>
          <w:sz w:val="20"/>
          <w:szCs w:val="20"/>
        </w:rPr>
      </w:pPr>
      <w:r w:rsidRPr="0060598C">
        <w:rPr>
          <w:rFonts w:ascii="Arial" w:hAnsi="Arial" w:cs="Arial"/>
          <w:sz w:val="20"/>
          <w:szCs w:val="20"/>
        </w:rPr>
        <w:t>A majority of the participants in this research were of low parity. This finding is in keeping with that of other studies</w:t>
      </w:r>
      <w:r w:rsidR="005E1E44" w:rsidRPr="0060598C">
        <w:rPr>
          <w:rFonts w:ascii="Arial" w:hAnsi="Arial" w:cs="Arial"/>
          <w:sz w:val="20"/>
          <w:szCs w:val="20"/>
        </w:rPr>
        <w:t xml:space="preserve"> (Akpan et al.; 2021, Agarwal &amp; Thakar, 2022, Nayak et al.; 2017)</w:t>
      </w:r>
      <w:r w:rsidRPr="0060598C">
        <w:rPr>
          <w:rFonts w:ascii="Arial" w:hAnsi="Arial" w:cs="Arial"/>
          <w:sz w:val="20"/>
          <w:szCs w:val="20"/>
        </w:rPr>
        <w:t>.</w:t>
      </w:r>
      <w:r w:rsidR="005E1E44" w:rsidRPr="0060598C">
        <w:rPr>
          <w:rFonts w:ascii="Arial" w:hAnsi="Arial" w:cs="Arial"/>
          <w:sz w:val="20"/>
          <w:szCs w:val="20"/>
          <w:vertAlign w:val="superscript"/>
        </w:rPr>
        <w:t xml:space="preserve"> </w:t>
      </w:r>
      <w:r w:rsidRPr="0060598C">
        <w:rPr>
          <w:rFonts w:ascii="Arial" w:hAnsi="Arial" w:cs="Arial"/>
          <w:sz w:val="20"/>
          <w:szCs w:val="20"/>
        </w:rPr>
        <w:t xml:space="preserve">A possible reason may be that, in the locality where this study was done, the nulliparous and primiparous women, unlike the multiparae, tend to book for antenatal care. Contraception may also play a role in this present work having low parity participants. </w:t>
      </w:r>
    </w:p>
    <w:p w:rsidR="00BB6CCB" w:rsidRPr="0060598C" w:rsidRDefault="00BB6CCB" w:rsidP="00A6377A">
      <w:pPr>
        <w:spacing w:before="240" w:line="480" w:lineRule="auto"/>
        <w:jc w:val="both"/>
        <w:rPr>
          <w:rFonts w:ascii="Arial" w:hAnsi="Arial" w:cs="Arial"/>
          <w:sz w:val="20"/>
          <w:szCs w:val="20"/>
        </w:rPr>
      </w:pPr>
      <w:r w:rsidRPr="0060598C">
        <w:rPr>
          <w:rFonts w:ascii="Arial" w:hAnsi="Arial" w:cs="Arial"/>
          <w:sz w:val="20"/>
          <w:szCs w:val="20"/>
        </w:rPr>
        <w:t>The intraoperative blood loss in this study also showed that there was smaller amount of</w:t>
      </w:r>
      <w:r w:rsidR="00FC36D0" w:rsidRPr="0060598C">
        <w:rPr>
          <w:rFonts w:ascii="Arial" w:hAnsi="Arial" w:cs="Arial"/>
          <w:sz w:val="20"/>
          <w:szCs w:val="20"/>
        </w:rPr>
        <w:t xml:space="preserve"> bleeding in the misoprostol</w:t>
      </w:r>
      <w:r w:rsidR="00575406" w:rsidRPr="0060598C">
        <w:rPr>
          <w:rFonts w:ascii="Arial" w:hAnsi="Arial" w:cs="Arial"/>
          <w:sz w:val="20"/>
          <w:szCs w:val="20"/>
        </w:rPr>
        <w:t>-oxytocin</w:t>
      </w:r>
      <w:r w:rsidRPr="0060598C">
        <w:rPr>
          <w:rFonts w:ascii="Arial" w:hAnsi="Arial" w:cs="Arial"/>
          <w:sz w:val="20"/>
          <w:szCs w:val="20"/>
        </w:rPr>
        <w:t xml:space="preserve"> (intervention) arm than in the placebo</w:t>
      </w:r>
      <w:r w:rsidR="00575406" w:rsidRPr="0060598C">
        <w:rPr>
          <w:rFonts w:ascii="Arial" w:hAnsi="Arial" w:cs="Arial"/>
          <w:sz w:val="20"/>
          <w:szCs w:val="20"/>
        </w:rPr>
        <w:t>-oxytocin</w:t>
      </w:r>
      <w:r w:rsidR="00947CE0" w:rsidRPr="0060598C">
        <w:rPr>
          <w:rFonts w:ascii="Arial" w:hAnsi="Arial" w:cs="Arial"/>
          <w:sz w:val="20"/>
          <w:szCs w:val="20"/>
        </w:rPr>
        <w:t xml:space="preserve"> study arm. N</w:t>
      </w:r>
      <w:r w:rsidRPr="0060598C">
        <w:rPr>
          <w:rFonts w:ascii="Arial" w:hAnsi="Arial" w:cs="Arial"/>
          <w:sz w:val="20"/>
          <w:szCs w:val="20"/>
        </w:rPr>
        <w:t>onetheless, this difference w</w:t>
      </w:r>
      <w:r w:rsidR="00FC36D0" w:rsidRPr="0060598C">
        <w:rPr>
          <w:rFonts w:ascii="Arial" w:hAnsi="Arial" w:cs="Arial"/>
          <w:sz w:val="20"/>
          <w:szCs w:val="20"/>
        </w:rPr>
        <w:t>as not statistically significant</w:t>
      </w:r>
      <w:r w:rsidRPr="0060598C">
        <w:rPr>
          <w:rFonts w:ascii="Arial" w:hAnsi="Arial" w:cs="Arial"/>
          <w:sz w:val="20"/>
          <w:szCs w:val="20"/>
        </w:rPr>
        <w:t xml:space="preserve">. This finding agreed with a study by </w:t>
      </w:r>
      <w:proofErr w:type="spellStart"/>
      <w:r w:rsidRPr="0060598C">
        <w:rPr>
          <w:rFonts w:ascii="Arial" w:hAnsi="Arial" w:cs="Arial"/>
          <w:sz w:val="20"/>
          <w:szCs w:val="20"/>
        </w:rPr>
        <w:t>Mirteimouri</w:t>
      </w:r>
      <w:proofErr w:type="spellEnd"/>
      <w:r w:rsidRPr="0060598C">
        <w:rPr>
          <w:rFonts w:ascii="Arial" w:hAnsi="Arial" w:cs="Arial"/>
          <w:sz w:val="20"/>
          <w:szCs w:val="20"/>
        </w:rPr>
        <w:t xml:space="preserve"> et al</w:t>
      </w:r>
      <w:r w:rsidR="005E1E44" w:rsidRPr="0060598C">
        <w:rPr>
          <w:rFonts w:ascii="Arial" w:hAnsi="Arial" w:cs="Arial"/>
          <w:sz w:val="20"/>
          <w:szCs w:val="20"/>
        </w:rPr>
        <w:t>; 2020</w:t>
      </w:r>
      <w:r w:rsidRPr="0060598C">
        <w:rPr>
          <w:rFonts w:ascii="Arial" w:hAnsi="Arial" w:cs="Arial"/>
          <w:sz w:val="20"/>
          <w:szCs w:val="20"/>
        </w:rPr>
        <w:t>.</w:t>
      </w:r>
      <w:r w:rsidR="005E1E44" w:rsidRPr="0060598C">
        <w:rPr>
          <w:rFonts w:ascii="Arial" w:hAnsi="Arial" w:cs="Arial"/>
          <w:sz w:val="20"/>
          <w:szCs w:val="20"/>
          <w:vertAlign w:val="superscript"/>
        </w:rPr>
        <w:t xml:space="preserve"> </w:t>
      </w:r>
      <w:r w:rsidRPr="0060598C">
        <w:rPr>
          <w:rFonts w:ascii="Arial" w:hAnsi="Arial" w:cs="Arial"/>
          <w:sz w:val="20"/>
          <w:szCs w:val="20"/>
        </w:rPr>
        <w:t xml:space="preserve">However, this </w:t>
      </w:r>
      <w:r w:rsidR="00FB3E98" w:rsidRPr="0060598C">
        <w:rPr>
          <w:rFonts w:ascii="Arial" w:hAnsi="Arial" w:cs="Arial"/>
          <w:sz w:val="20"/>
          <w:szCs w:val="20"/>
        </w:rPr>
        <w:t xml:space="preserve">finding of no statistically </w:t>
      </w:r>
      <w:r w:rsidRPr="0060598C">
        <w:rPr>
          <w:rFonts w:ascii="Arial" w:hAnsi="Arial" w:cs="Arial"/>
          <w:sz w:val="20"/>
          <w:szCs w:val="20"/>
        </w:rPr>
        <w:t>significant diffe</w:t>
      </w:r>
      <w:r w:rsidR="00FB3E98" w:rsidRPr="0060598C">
        <w:rPr>
          <w:rFonts w:ascii="Arial" w:hAnsi="Arial" w:cs="Arial"/>
          <w:sz w:val="20"/>
          <w:szCs w:val="20"/>
        </w:rPr>
        <w:t>rence between the study arms</w:t>
      </w:r>
      <w:r w:rsidRPr="0060598C">
        <w:rPr>
          <w:rFonts w:ascii="Arial" w:hAnsi="Arial" w:cs="Arial"/>
          <w:sz w:val="20"/>
          <w:szCs w:val="20"/>
        </w:rPr>
        <w:t xml:space="preserve"> is in contrast with studies by Sood et al</w:t>
      </w:r>
      <w:r w:rsidR="005E1E44" w:rsidRPr="0060598C">
        <w:rPr>
          <w:rFonts w:ascii="Arial" w:hAnsi="Arial" w:cs="Arial"/>
          <w:sz w:val="20"/>
          <w:szCs w:val="20"/>
        </w:rPr>
        <w:t>; 2012</w:t>
      </w:r>
      <w:r w:rsidR="008C7E24" w:rsidRPr="0060598C">
        <w:rPr>
          <w:rFonts w:ascii="Arial" w:hAnsi="Arial" w:cs="Arial"/>
          <w:sz w:val="20"/>
          <w:szCs w:val="20"/>
        </w:rPr>
        <w:t xml:space="preserve">, </w:t>
      </w:r>
      <w:r w:rsidR="005E1E44" w:rsidRPr="0060598C">
        <w:rPr>
          <w:rFonts w:ascii="Arial" w:hAnsi="Arial" w:cs="Arial"/>
          <w:sz w:val="20"/>
          <w:szCs w:val="20"/>
        </w:rPr>
        <w:t>Sallam &amp; Sh</w:t>
      </w:r>
      <w:r w:rsidR="008C7E24" w:rsidRPr="0060598C">
        <w:rPr>
          <w:rFonts w:ascii="Arial" w:hAnsi="Arial" w:cs="Arial"/>
          <w:sz w:val="20"/>
          <w:szCs w:val="20"/>
        </w:rPr>
        <w:t>ady, 2018)</w:t>
      </w:r>
      <w:r w:rsidR="005E1E44" w:rsidRPr="0060598C">
        <w:rPr>
          <w:rFonts w:ascii="Arial" w:hAnsi="Arial" w:cs="Arial"/>
          <w:sz w:val="20"/>
          <w:szCs w:val="20"/>
        </w:rPr>
        <w:t xml:space="preserve"> </w:t>
      </w:r>
      <w:r w:rsidRPr="0060598C">
        <w:rPr>
          <w:rFonts w:ascii="Arial" w:hAnsi="Arial" w:cs="Arial"/>
          <w:sz w:val="20"/>
          <w:szCs w:val="20"/>
        </w:rPr>
        <w:t>where there was considerable dissimilarity between misoprostol</w:t>
      </w:r>
      <w:r w:rsidR="00575406" w:rsidRPr="0060598C">
        <w:rPr>
          <w:rFonts w:ascii="Arial" w:hAnsi="Arial" w:cs="Arial"/>
          <w:sz w:val="20"/>
          <w:szCs w:val="20"/>
        </w:rPr>
        <w:t>-oxytocin</w:t>
      </w:r>
      <w:r w:rsidRPr="0060598C">
        <w:rPr>
          <w:rFonts w:ascii="Arial" w:hAnsi="Arial" w:cs="Arial"/>
          <w:sz w:val="20"/>
          <w:szCs w:val="20"/>
        </w:rPr>
        <w:t xml:space="preserve"> study group and standard</w:t>
      </w:r>
      <w:r w:rsidR="00947CE0" w:rsidRPr="0060598C">
        <w:rPr>
          <w:rFonts w:ascii="Arial" w:hAnsi="Arial" w:cs="Arial"/>
          <w:sz w:val="20"/>
          <w:szCs w:val="20"/>
        </w:rPr>
        <w:t xml:space="preserve"> group.</w:t>
      </w:r>
      <w:r w:rsidRPr="0060598C">
        <w:rPr>
          <w:rFonts w:ascii="Arial" w:hAnsi="Arial" w:cs="Arial"/>
          <w:sz w:val="20"/>
          <w:szCs w:val="20"/>
        </w:rPr>
        <w:t xml:space="preserve"> This incongruity may be explained by the use of a smaller sample size in their investigations</w:t>
      </w:r>
      <w:r w:rsidR="00395736" w:rsidRPr="0060598C">
        <w:rPr>
          <w:rFonts w:ascii="Arial" w:hAnsi="Arial" w:cs="Arial"/>
          <w:sz w:val="20"/>
          <w:szCs w:val="20"/>
        </w:rPr>
        <w:t xml:space="preserve"> (Ugwu et al.; 2014, </w:t>
      </w:r>
      <w:proofErr w:type="spellStart"/>
      <w:r w:rsidR="00395736" w:rsidRPr="0060598C">
        <w:rPr>
          <w:rFonts w:ascii="Arial" w:hAnsi="Arial" w:cs="Arial"/>
          <w:sz w:val="20"/>
          <w:szCs w:val="20"/>
        </w:rPr>
        <w:t>Rekha</w:t>
      </w:r>
      <w:proofErr w:type="spellEnd"/>
      <w:r w:rsidR="00395736" w:rsidRPr="0060598C">
        <w:rPr>
          <w:rFonts w:ascii="Arial" w:hAnsi="Arial" w:cs="Arial"/>
          <w:sz w:val="20"/>
          <w:szCs w:val="20"/>
        </w:rPr>
        <w:t xml:space="preserve"> &amp; </w:t>
      </w:r>
      <w:proofErr w:type="spellStart"/>
      <w:r w:rsidR="00395736" w:rsidRPr="0060598C">
        <w:rPr>
          <w:rFonts w:ascii="Arial" w:hAnsi="Arial" w:cs="Arial"/>
          <w:sz w:val="20"/>
          <w:szCs w:val="20"/>
        </w:rPr>
        <w:t>Lathak</w:t>
      </w:r>
      <w:proofErr w:type="spellEnd"/>
      <w:r w:rsidR="00395736" w:rsidRPr="0060598C">
        <w:rPr>
          <w:rFonts w:ascii="Arial" w:hAnsi="Arial" w:cs="Arial"/>
          <w:sz w:val="20"/>
          <w:szCs w:val="20"/>
        </w:rPr>
        <w:t>; 2014, Agarwal &amp; Thakar, 2022),</w:t>
      </w:r>
      <w:r w:rsidRPr="0060598C">
        <w:rPr>
          <w:rFonts w:ascii="Arial" w:hAnsi="Arial" w:cs="Arial"/>
          <w:sz w:val="20"/>
          <w:szCs w:val="20"/>
          <w:vertAlign w:val="superscript"/>
        </w:rPr>
        <w:t xml:space="preserve"> </w:t>
      </w:r>
      <w:r w:rsidRPr="0060598C">
        <w:rPr>
          <w:rFonts w:ascii="Arial" w:hAnsi="Arial" w:cs="Arial"/>
          <w:sz w:val="20"/>
          <w:szCs w:val="20"/>
        </w:rPr>
        <w:t xml:space="preserve">and the use of formulae for caesarean blood loss assessment, rather than a direct </w:t>
      </w:r>
      <w:r w:rsidR="00947CE0" w:rsidRPr="0060598C">
        <w:rPr>
          <w:rFonts w:ascii="Arial" w:hAnsi="Arial" w:cs="Arial"/>
          <w:sz w:val="20"/>
          <w:szCs w:val="20"/>
        </w:rPr>
        <w:t xml:space="preserve">method for </w:t>
      </w:r>
      <w:r w:rsidRPr="0060598C">
        <w:rPr>
          <w:rFonts w:ascii="Arial" w:hAnsi="Arial" w:cs="Arial"/>
          <w:sz w:val="20"/>
          <w:szCs w:val="20"/>
        </w:rPr>
        <w:t>quantification of blood loss</w:t>
      </w:r>
      <w:r w:rsidR="00395736" w:rsidRPr="0060598C">
        <w:rPr>
          <w:rFonts w:ascii="Arial" w:hAnsi="Arial" w:cs="Arial"/>
          <w:sz w:val="20"/>
          <w:szCs w:val="20"/>
        </w:rPr>
        <w:t xml:space="preserve"> (Agarwal &amp; Thakar, 2022)</w:t>
      </w:r>
      <w:r w:rsidRPr="0060598C">
        <w:rPr>
          <w:rFonts w:ascii="Arial" w:hAnsi="Arial" w:cs="Arial"/>
          <w:sz w:val="20"/>
          <w:szCs w:val="20"/>
          <w:vertAlign w:val="superscript"/>
        </w:rPr>
        <w:t xml:space="preserve"> </w:t>
      </w:r>
      <w:r w:rsidRPr="0060598C">
        <w:rPr>
          <w:rFonts w:ascii="Arial" w:hAnsi="Arial" w:cs="Arial"/>
          <w:sz w:val="20"/>
          <w:szCs w:val="20"/>
        </w:rPr>
        <w:t>or no clearly stated method for blood loss quantification</w:t>
      </w:r>
      <w:r w:rsidR="00395736" w:rsidRPr="0060598C">
        <w:rPr>
          <w:rFonts w:ascii="Arial" w:hAnsi="Arial" w:cs="Arial"/>
          <w:sz w:val="20"/>
          <w:szCs w:val="20"/>
        </w:rPr>
        <w:t xml:space="preserve"> (Sood &amp; Sanjay, 2012; </w:t>
      </w:r>
      <w:proofErr w:type="spellStart"/>
      <w:r w:rsidR="00395736" w:rsidRPr="0060598C">
        <w:rPr>
          <w:rFonts w:ascii="Arial" w:hAnsi="Arial" w:cs="Arial"/>
          <w:sz w:val="20"/>
          <w:szCs w:val="20"/>
        </w:rPr>
        <w:t>Rekha</w:t>
      </w:r>
      <w:proofErr w:type="spellEnd"/>
      <w:r w:rsidR="00395736" w:rsidRPr="0060598C">
        <w:rPr>
          <w:rFonts w:ascii="Arial" w:hAnsi="Arial" w:cs="Arial"/>
          <w:sz w:val="20"/>
          <w:szCs w:val="20"/>
        </w:rPr>
        <w:t xml:space="preserve"> &amp; </w:t>
      </w:r>
      <w:proofErr w:type="spellStart"/>
      <w:r w:rsidR="00395736" w:rsidRPr="0060598C">
        <w:rPr>
          <w:rFonts w:ascii="Arial" w:hAnsi="Arial" w:cs="Arial"/>
          <w:sz w:val="20"/>
          <w:szCs w:val="20"/>
        </w:rPr>
        <w:t>Lathak</w:t>
      </w:r>
      <w:proofErr w:type="spellEnd"/>
      <w:r w:rsidR="00395736" w:rsidRPr="0060598C">
        <w:rPr>
          <w:rFonts w:ascii="Arial" w:hAnsi="Arial" w:cs="Arial"/>
          <w:sz w:val="20"/>
          <w:szCs w:val="20"/>
        </w:rPr>
        <w:t xml:space="preserve">; 2014). </w:t>
      </w:r>
      <w:r w:rsidRPr="0060598C">
        <w:rPr>
          <w:rFonts w:ascii="Arial" w:hAnsi="Arial" w:cs="Arial"/>
          <w:sz w:val="20"/>
          <w:szCs w:val="20"/>
        </w:rPr>
        <w:t>It should</w:t>
      </w:r>
      <w:r w:rsidR="00395736" w:rsidRPr="0060598C">
        <w:rPr>
          <w:rFonts w:ascii="Arial" w:hAnsi="Arial" w:cs="Arial"/>
          <w:sz w:val="20"/>
          <w:szCs w:val="20"/>
        </w:rPr>
        <w:t xml:space="preserve"> be noted that, Sood et al.; 2012</w:t>
      </w:r>
      <w:r w:rsidRPr="0060598C">
        <w:rPr>
          <w:rFonts w:ascii="Arial" w:hAnsi="Arial" w:cs="Arial"/>
          <w:sz w:val="20"/>
          <w:szCs w:val="20"/>
        </w:rPr>
        <w:t xml:space="preserve"> study</w:t>
      </w:r>
      <w:r w:rsidR="00395736" w:rsidRPr="0060598C">
        <w:rPr>
          <w:rFonts w:ascii="Arial" w:hAnsi="Arial" w:cs="Arial"/>
          <w:sz w:val="20"/>
          <w:szCs w:val="20"/>
          <w:vertAlign w:val="superscript"/>
        </w:rPr>
        <w:t xml:space="preserve"> </w:t>
      </w:r>
      <w:r w:rsidRPr="0060598C">
        <w:rPr>
          <w:rFonts w:ascii="Arial" w:hAnsi="Arial" w:cs="Arial"/>
          <w:sz w:val="20"/>
          <w:szCs w:val="20"/>
        </w:rPr>
        <w:t>used a larger sample size (sample size of 174) when compared to this present trial (sample size of 152), and had a statistical significant reduction in caesarean blood loss in the misoprostol</w:t>
      </w:r>
      <w:r w:rsidR="00575406" w:rsidRPr="0060598C">
        <w:rPr>
          <w:rFonts w:ascii="Arial" w:hAnsi="Arial" w:cs="Arial"/>
          <w:sz w:val="20"/>
          <w:szCs w:val="20"/>
        </w:rPr>
        <w:t>-oxytocin</w:t>
      </w:r>
      <w:r w:rsidRPr="0060598C">
        <w:rPr>
          <w:rFonts w:ascii="Arial" w:hAnsi="Arial" w:cs="Arial"/>
          <w:sz w:val="20"/>
          <w:szCs w:val="20"/>
        </w:rPr>
        <w:t xml:space="preserve"> arm</w:t>
      </w:r>
      <w:r w:rsidR="00C85BDB" w:rsidRPr="0060598C">
        <w:rPr>
          <w:rFonts w:ascii="Arial" w:hAnsi="Arial" w:cs="Arial"/>
          <w:sz w:val="20"/>
          <w:szCs w:val="20"/>
        </w:rPr>
        <w:t xml:space="preserve"> of their study. This disparity</w:t>
      </w:r>
      <w:r w:rsidRPr="0060598C">
        <w:rPr>
          <w:rFonts w:ascii="Arial" w:hAnsi="Arial" w:cs="Arial"/>
          <w:sz w:val="20"/>
          <w:szCs w:val="20"/>
        </w:rPr>
        <w:t xml:space="preserve"> in </w:t>
      </w:r>
      <w:r w:rsidR="00C85BDB" w:rsidRPr="0060598C">
        <w:rPr>
          <w:rFonts w:ascii="Arial" w:hAnsi="Arial" w:cs="Arial"/>
          <w:sz w:val="20"/>
          <w:szCs w:val="20"/>
        </w:rPr>
        <w:t xml:space="preserve">the </w:t>
      </w:r>
      <w:r w:rsidRPr="0060598C">
        <w:rPr>
          <w:rFonts w:ascii="Arial" w:hAnsi="Arial" w:cs="Arial"/>
          <w:sz w:val="20"/>
          <w:szCs w:val="20"/>
        </w:rPr>
        <w:t xml:space="preserve">finding of statistical significant difference as compared to this present work may due to </w:t>
      </w:r>
      <w:r w:rsidR="00947CE0" w:rsidRPr="0060598C">
        <w:rPr>
          <w:rFonts w:ascii="Arial" w:hAnsi="Arial" w:cs="Arial"/>
          <w:sz w:val="20"/>
          <w:szCs w:val="20"/>
        </w:rPr>
        <w:t xml:space="preserve">the </w:t>
      </w:r>
      <w:r w:rsidRPr="0060598C">
        <w:rPr>
          <w:rFonts w:ascii="Arial" w:hAnsi="Arial" w:cs="Arial"/>
          <w:sz w:val="20"/>
          <w:szCs w:val="20"/>
        </w:rPr>
        <w:t>inclusion of participants with previous</w:t>
      </w:r>
      <w:r w:rsidR="009F1C07" w:rsidRPr="0060598C">
        <w:rPr>
          <w:rFonts w:ascii="Arial" w:hAnsi="Arial" w:cs="Arial"/>
          <w:sz w:val="20"/>
          <w:szCs w:val="20"/>
        </w:rPr>
        <w:t xml:space="preserve"> caesarean birth in Sood et al.; 2012</w:t>
      </w:r>
      <w:r w:rsidRPr="0060598C">
        <w:rPr>
          <w:rFonts w:ascii="Arial" w:hAnsi="Arial" w:cs="Arial"/>
          <w:sz w:val="20"/>
          <w:szCs w:val="20"/>
        </w:rPr>
        <w:t xml:space="preserve"> work</w:t>
      </w:r>
      <w:r w:rsidR="00FB2A9E" w:rsidRPr="0060598C">
        <w:rPr>
          <w:rFonts w:ascii="Arial" w:hAnsi="Arial" w:cs="Arial"/>
          <w:sz w:val="20"/>
          <w:szCs w:val="20"/>
        </w:rPr>
        <w:t>.</w:t>
      </w:r>
    </w:p>
    <w:p w:rsidR="00BB6CCB" w:rsidRPr="0060598C" w:rsidRDefault="00BB6CCB" w:rsidP="00A6377A">
      <w:pPr>
        <w:spacing w:before="240" w:line="480" w:lineRule="auto"/>
        <w:jc w:val="both"/>
        <w:rPr>
          <w:rFonts w:ascii="Arial" w:hAnsi="Arial" w:cs="Arial"/>
          <w:sz w:val="20"/>
          <w:szCs w:val="20"/>
        </w:rPr>
      </w:pPr>
      <w:r w:rsidRPr="0060598C">
        <w:rPr>
          <w:rFonts w:ascii="Arial" w:hAnsi="Arial" w:cs="Arial"/>
          <w:sz w:val="20"/>
          <w:szCs w:val="20"/>
        </w:rPr>
        <w:t>Having a large sample size in studies improves the accuracy of a study’s findings, and validates the tests of significance used in the research</w:t>
      </w:r>
      <w:r w:rsidR="00825196" w:rsidRPr="0060598C">
        <w:rPr>
          <w:rFonts w:ascii="Arial" w:hAnsi="Arial" w:cs="Arial"/>
          <w:sz w:val="20"/>
          <w:szCs w:val="20"/>
        </w:rPr>
        <w:t xml:space="preserve"> (Andrade et al.; 2020)</w:t>
      </w:r>
      <w:r w:rsidRPr="0060598C">
        <w:rPr>
          <w:rFonts w:ascii="Arial" w:hAnsi="Arial" w:cs="Arial"/>
          <w:sz w:val="20"/>
          <w:szCs w:val="20"/>
        </w:rPr>
        <w:t>.</w:t>
      </w:r>
      <w:r w:rsidR="008C66F5" w:rsidRPr="0060598C">
        <w:rPr>
          <w:rFonts w:ascii="Arial" w:hAnsi="Arial" w:cs="Arial"/>
          <w:sz w:val="20"/>
          <w:szCs w:val="20"/>
          <w:vertAlign w:val="superscript"/>
        </w:rPr>
        <w:t xml:space="preserve"> </w:t>
      </w:r>
      <w:r w:rsidRPr="0060598C">
        <w:rPr>
          <w:rFonts w:ascii="Arial" w:hAnsi="Arial" w:cs="Arial"/>
          <w:sz w:val="20"/>
          <w:szCs w:val="20"/>
        </w:rPr>
        <w:t xml:space="preserve">Again, accuracy in quantifying the amount of </w:t>
      </w:r>
      <w:r w:rsidRPr="0060598C">
        <w:rPr>
          <w:rFonts w:ascii="Arial" w:hAnsi="Arial" w:cs="Arial"/>
          <w:sz w:val="20"/>
          <w:szCs w:val="20"/>
        </w:rPr>
        <w:lastRenderedPageBreak/>
        <w:t>blood loss is very critical in ensuring validity of a study’s findings. The volumetric method in combination with the gravimetric methods for assessing the amount of blood loss at surgeries have been found to reduce measurement bias from studies</w:t>
      </w:r>
      <w:r w:rsidR="00825196" w:rsidRPr="0060598C">
        <w:rPr>
          <w:rFonts w:ascii="Arial" w:hAnsi="Arial" w:cs="Arial"/>
          <w:sz w:val="20"/>
          <w:szCs w:val="20"/>
        </w:rPr>
        <w:t xml:space="preserve"> (</w:t>
      </w:r>
      <w:proofErr w:type="spellStart"/>
      <w:r w:rsidR="00825196" w:rsidRPr="0060598C">
        <w:rPr>
          <w:rFonts w:ascii="Arial" w:hAnsi="Arial" w:cs="Arial"/>
          <w:sz w:val="20"/>
          <w:szCs w:val="20"/>
        </w:rPr>
        <w:t>Gerdessen</w:t>
      </w:r>
      <w:proofErr w:type="spellEnd"/>
      <w:r w:rsidR="00825196" w:rsidRPr="0060598C">
        <w:rPr>
          <w:rFonts w:ascii="Arial" w:hAnsi="Arial" w:cs="Arial"/>
          <w:sz w:val="20"/>
          <w:szCs w:val="20"/>
        </w:rPr>
        <w:t xml:space="preserve"> et al.; 2021). The study by Agarwal &amp; Thakar, 2022</w:t>
      </w:r>
      <w:r w:rsidR="00825196" w:rsidRPr="0060598C">
        <w:rPr>
          <w:rFonts w:ascii="Arial" w:hAnsi="Arial" w:cs="Arial"/>
          <w:sz w:val="20"/>
          <w:szCs w:val="20"/>
          <w:vertAlign w:val="superscript"/>
        </w:rPr>
        <w:t xml:space="preserve"> </w:t>
      </w:r>
      <w:r w:rsidRPr="0060598C">
        <w:rPr>
          <w:rFonts w:ascii="Arial" w:hAnsi="Arial" w:cs="Arial"/>
          <w:sz w:val="20"/>
          <w:szCs w:val="20"/>
        </w:rPr>
        <w:t>used the Bourke and Smith formula for intraoperative blood loss estimation. The formula has approximations, therefore, it is not so accurate in calculating the amount of blood loss at surgery. Again, this present research used a combination of volumetric and the gravimetric methods in quantifying caesarean section blood loss, and both methods have been found to be reasonably more accurate than other methods</w:t>
      </w:r>
      <w:r w:rsidR="00825196" w:rsidRPr="0060598C">
        <w:rPr>
          <w:rFonts w:ascii="Arial" w:hAnsi="Arial" w:cs="Arial"/>
          <w:sz w:val="20"/>
          <w:szCs w:val="20"/>
        </w:rPr>
        <w:t xml:space="preserve"> (</w:t>
      </w:r>
      <w:proofErr w:type="spellStart"/>
      <w:r w:rsidR="00825196" w:rsidRPr="0060598C">
        <w:rPr>
          <w:rFonts w:ascii="Arial" w:hAnsi="Arial" w:cs="Arial"/>
          <w:sz w:val="20"/>
          <w:szCs w:val="20"/>
        </w:rPr>
        <w:t>Gerdessen</w:t>
      </w:r>
      <w:proofErr w:type="spellEnd"/>
      <w:r w:rsidR="00825196" w:rsidRPr="0060598C">
        <w:rPr>
          <w:rFonts w:ascii="Arial" w:hAnsi="Arial" w:cs="Arial"/>
          <w:sz w:val="20"/>
          <w:szCs w:val="20"/>
        </w:rPr>
        <w:t xml:space="preserve"> et al.; 2021).</w:t>
      </w:r>
    </w:p>
    <w:p w:rsidR="00BB6CCB" w:rsidRPr="0060598C" w:rsidRDefault="00BB6CCB" w:rsidP="00A6377A">
      <w:pPr>
        <w:spacing w:line="480" w:lineRule="auto"/>
        <w:jc w:val="both"/>
        <w:rPr>
          <w:rFonts w:ascii="Arial" w:hAnsi="Arial" w:cs="Arial"/>
          <w:sz w:val="20"/>
          <w:szCs w:val="20"/>
        </w:rPr>
      </w:pPr>
      <w:r w:rsidRPr="0060598C">
        <w:rPr>
          <w:rFonts w:ascii="Arial" w:hAnsi="Arial" w:cs="Arial"/>
          <w:sz w:val="20"/>
          <w:szCs w:val="20"/>
        </w:rPr>
        <w:t>In this research, addition of misoprostol to oxytocin caused a decline in packed cell volume following abdo</w:t>
      </w:r>
      <w:r w:rsidR="00E91742" w:rsidRPr="0060598C">
        <w:rPr>
          <w:rFonts w:ascii="Arial" w:hAnsi="Arial" w:cs="Arial"/>
          <w:sz w:val="20"/>
          <w:szCs w:val="20"/>
        </w:rPr>
        <w:t>minal birth; but, there was no statistically significant difference between the</w:t>
      </w:r>
      <w:r w:rsidRPr="0060598C">
        <w:rPr>
          <w:rFonts w:ascii="Arial" w:hAnsi="Arial" w:cs="Arial"/>
          <w:sz w:val="20"/>
          <w:szCs w:val="20"/>
        </w:rPr>
        <w:t xml:space="preserve"> study groups. This finding is </w:t>
      </w:r>
      <w:r w:rsidR="00825196" w:rsidRPr="0060598C">
        <w:rPr>
          <w:rFonts w:ascii="Arial" w:hAnsi="Arial" w:cs="Arial"/>
          <w:sz w:val="20"/>
          <w:szCs w:val="20"/>
        </w:rPr>
        <w:t>in concordance with some trials (Ugwu et al.; 2014, Sallam &amp; Shady, 2018).</w:t>
      </w:r>
      <w:r w:rsidR="00825196" w:rsidRPr="0060598C">
        <w:rPr>
          <w:rFonts w:ascii="Arial" w:hAnsi="Arial" w:cs="Arial"/>
          <w:sz w:val="20"/>
          <w:szCs w:val="20"/>
          <w:vertAlign w:val="superscript"/>
        </w:rPr>
        <w:t xml:space="preserve"> </w:t>
      </w:r>
      <w:r w:rsidRPr="0060598C">
        <w:rPr>
          <w:rFonts w:ascii="Arial" w:hAnsi="Arial" w:cs="Arial"/>
          <w:sz w:val="20"/>
          <w:szCs w:val="20"/>
        </w:rPr>
        <w:t>However, this is in disparity with some other similar studies’ findings</w:t>
      </w:r>
      <w:r w:rsidR="00825196" w:rsidRPr="0060598C">
        <w:rPr>
          <w:rFonts w:ascii="Arial" w:hAnsi="Arial" w:cs="Arial"/>
          <w:sz w:val="20"/>
          <w:szCs w:val="20"/>
        </w:rPr>
        <w:t xml:space="preserve"> (Sood &amp; Sanjay, 2012; </w:t>
      </w:r>
      <w:proofErr w:type="spellStart"/>
      <w:r w:rsidR="00825196" w:rsidRPr="0060598C">
        <w:rPr>
          <w:rFonts w:ascii="Arial" w:hAnsi="Arial" w:cs="Arial"/>
          <w:sz w:val="20"/>
          <w:szCs w:val="20"/>
        </w:rPr>
        <w:t>Rekha</w:t>
      </w:r>
      <w:proofErr w:type="spellEnd"/>
      <w:r w:rsidR="00825196" w:rsidRPr="0060598C">
        <w:rPr>
          <w:rFonts w:ascii="Arial" w:hAnsi="Arial" w:cs="Arial"/>
          <w:sz w:val="20"/>
          <w:szCs w:val="20"/>
        </w:rPr>
        <w:t xml:space="preserve"> &amp; </w:t>
      </w:r>
      <w:proofErr w:type="spellStart"/>
      <w:r w:rsidR="00825196" w:rsidRPr="0060598C">
        <w:rPr>
          <w:rFonts w:ascii="Arial" w:hAnsi="Arial" w:cs="Arial"/>
          <w:sz w:val="20"/>
          <w:szCs w:val="20"/>
        </w:rPr>
        <w:t>Lathak</w:t>
      </w:r>
      <w:proofErr w:type="spellEnd"/>
      <w:r w:rsidR="00825196" w:rsidRPr="0060598C">
        <w:rPr>
          <w:rFonts w:ascii="Arial" w:hAnsi="Arial" w:cs="Arial"/>
          <w:sz w:val="20"/>
          <w:szCs w:val="20"/>
        </w:rPr>
        <w:t>, 2014, Agarwal &amp; Thakar, 2022)</w:t>
      </w:r>
      <w:r w:rsidRPr="0060598C">
        <w:rPr>
          <w:rFonts w:ascii="Arial" w:hAnsi="Arial" w:cs="Arial"/>
          <w:sz w:val="20"/>
          <w:szCs w:val="20"/>
        </w:rPr>
        <w:t>.</w:t>
      </w:r>
      <w:r w:rsidR="00825196" w:rsidRPr="0060598C">
        <w:rPr>
          <w:rFonts w:ascii="Arial" w:hAnsi="Arial" w:cs="Arial"/>
          <w:sz w:val="20"/>
          <w:szCs w:val="20"/>
          <w:vertAlign w:val="superscript"/>
        </w:rPr>
        <w:t xml:space="preserve"> </w:t>
      </w:r>
      <w:r w:rsidRPr="0060598C">
        <w:rPr>
          <w:rFonts w:ascii="Arial" w:hAnsi="Arial" w:cs="Arial"/>
          <w:sz w:val="20"/>
          <w:szCs w:val="20"/>
        </w:rPr>
        <w:t>In these later studies, misoprostol statistically appreciably reduced blood loss at surgical birth. This disparity may be due to assessing the packed cell volume less than 48-hours post-surgery</w:t>
      </w:r>
      <w:r w:rsidR="00825196" w:rsidRPr="0060598C">
        <w:rPr>
          <w:rFonts w:ascii="Arial" w:hAnsi="Arial" w:cs="Arial"/>
          <w:sz w:val="20"/>
          <w:szCs w:val="20"/>
        </w:rPr>
        <w:t xml:space="preserve"> (</w:t>
      </w:r>
      <w:proofErr w:type="spellStart"/>
      <w:r w:rsidR="00825196" w:rsidRPr="0060598C">
        <w:rPr>
          <w:rFonts w:ascii="Arial" w:hAnsi="Arial" w:cs="Arial"/>
          <w:sz w:val="20"/>
          <w:szCs w:val="20"/>
        </w:rPr>
        <w:t>Rekha</w:t>
      </w:r>
      <w:proofErr w:type="spellEnd"/>
      <w:r w:rsidR="00825196" w:rsidRPr="0060598C">
        <w:rPr>
          <w:rFonts w:ascii="Arial" w:hAnsi="Arial" w:cs="Arial"/>
          <w:sz w:val="20"/>
          <w:szCs w:val="20"/>
        </w:rPr>
        <w:t xml:space="preserve"> &amp; </w:t>
      </w:r>
      <w:proofErr w:type="spellStart"/>
      <w:r w:rsidR="00825196" w:rsidRPr="0060598C">
        <w:rPr>
          <w:rFonts w:ascii="Arial" w:hAnsi="Arial" w:cs="Arial"/>
          <w:sz w:val="20"/>
          <w:szCs w:val="20"/>
        </w:rPr>
        <w:t>Lathak</w:t>
      </w:r>
      <w:proofErr w:type="spellEnd"/>
      <w:r w:rsidR="00825196" w:rsidRPr="0060598C">
        <w:rPr>
          <w:rFonts w:ascii="Arial" w:hAnsi="Arial" w:cs="Arial"/>
          <w:sz w:val="20"/>
          <w:szCs w:val="20"/>
        </w:rPr>
        <w:t>, 2014</w:t>
      </w:r>
      <w:r w:rsidRPr="0060598C">
        <w:rPr>
          <w:rFonts w:ascii="Arial" w:hAnsi="Arial" w:cs="Arial"/>
          <w:sz w:val="20"/>
          <w:szCs w:val="20"/>
        </w:rPr>
        <w:t>,</w:t>
      </w:r>
      <w:r w:rsidR="00825196" w:rsidRPr="0060598C">
        <w:rPr>
          <w:rFonts w:ascii="Arial" w:hAnsi="Arial" w:cs="Arial"/>
          <w:sz w:val="20"/>
          <w:szCs w:val="20"/>
        </w:rPr>
        <w:t xml:space="preserve"> </w:t>
      </w:r>
      <w:proofErr w:type="spellStart"/>
      <w:r w:rsidR="00825196" w:rsidRPr="0060598C">
        <w:rPr>
          <w:rFonts w:ascii="Arial" w:hAnsi="Arial" w:cs="Arial"/>
          <w:sz w:val="20"/>
          <w:szCs w:val="20"/>
        </w:rPr>
        <w:t>Nayak</w:t>
      </w:r>
      <w:proofErr w:type="spellEnd"/>
      <w:r w:rsidR="00825196" w:rsidRPr="0060598C">
        <w:rPr>
          <w:rFonts w:ascii="Arial" w:hAnsi="Arial" w:cs="Arial"/>
          <w:sz w:val="20"/>
          <w:szCs w:val="20"/>
        </w:rPr>
        <w:t xml:space="preserve"> et al.; 2017)</w:t>
      </w:r>
      <w:r w:rsidR="00825196" w:rsidRPr="0060598C">
        <w:rPr>
          <w:rFonts w:ascii="Arial" w:hAnsi="Arial" w:cs="Arial"/>
          <w:sz w:val="20"/>
          <w:szCs w:val="20"/>
          <w:vertAlign w:val="superscript"/>
        </w:rPr>
        <w:t xml:space="preserve"> </w:t>
      </w:r>
      <w:r w:rsidRPr="0060598C">
        <w:rPr>
          <w:rFonts w:ascii="Arial" w:hAnsi="Arial" w:cs="Arial"/>
          <w:sz w:val="20"/>
          <w:szCs w:val="20"/>
        </w:rPr>
        <w:t>or the use of different equipment for haematocrit assessment or the use of automated haematocrit machine</w:t>
      </w:r>
      <w:r w:rsidR="00825196" w:rsidRPr="0060598C">
        <w:rPr>
          <w:rFonts w:ascii="Arial" w:hAnsi="Arial" w:cs="Arial"/>
          <w:sz w:val="20"/>
          <w:szCs w:val="20"/>
        </w:rPr>
        <w:t xml:space="preserve"> (Sood &amp; Sanjay, 2012, Agarwal &amp; Thakar, 2022)</w:t>
      </w:r>
      <w:r w:rsidRPr="0060598C">
        <w:rPr>
          <w:rFonts w:ascii="Arial" w:hAnsi="Arial" w:cs="Arial"/>
          <w:sz w:val="20"/>
          <w:szCs w:val="20"/>
        </w:rPr>
        <w:t>. The micro-haematocrit readers used in this present trial was not automated. Assessing haematocrit less than 48- hours post-surgery would not give a true picture of the patient’s haemoglobin level, because of continued blood loss from the operation site, infusion of post-operative fluids (dextrose or normal saline), which causes further haemodilution, especially if a subarachnoid block had been used; inflammatory reaction of the body to surgical trauma and time taken for blood to re-equilibrate in the various body’s compartment</w:t>
      </w:r>
      <w:r w:rsidR="00825196" w:rsidRPr="0060598C">
        <w:rPr>
          <w:rFonts w:ascii="Arial" w:hAnsi="Arial" w:cs="Arial"/>
          <w:sz w:val="20"/>
          <w:szCs w:val="20"/>
        </w:rPr>
        <w:t xml:space="preserve"> (</w:t>
      </w:r>
      <w:proofErr w:type="spellStart"/>
      <w:r w:rsidR="00825196" w:rsidRPr="0060598C">
        <w:rPr>
          <w:rFonts w:ascii="Arial" w:hAnsi="Arial" w:cs="Arial"/>
          <w:sz w:val="20"/>
          <w:szCs w:val="20"/>
        </w:rPr>
        <w:t>Aworinde</w:t>
      </w:r>
      <w:proofErr w:type="spellEnd"/>
      <w:r w:rsidR="00825196" w:rsidRPr="0060598C">
        <w:rPr>
          <w:rFonts w:ascii="Arial" w:hAnsi="Arial" w:cs="Arial"/>
          <w:sz w:val="20"/>
          <w:szCs w:val="20"/>
        </w:rPr>
        <w:t xml:space="preserve"> et al.; 2018)</w:t>
      </w:r>
      <w:r w:rsidRPr="0060598C">
        <w:rPr>
          <w:rFonts w:ascii="Arial" w:hAnsi="Arial" w:cs="Arial"/>
          <w:sz w:val="20"/>
          <w:szCs w:val="20"/>
        </w:rPr>
        <w:t xml:space="preserve">. It has been found out that it takes 24-hours for blood to re-equilibrate in the body after acute </w:t>
      </w:r>
      <w:proofErr w:type="spellStart"/>
      <w:r w:rsidRPr="0060598C">
        <w:rPr>
          <w:rFonts w:ascii="Arial" w:hAnsi="Arial" w:cs="Arial"/>
          <w:sz w:val="20"/>
          <w:szCs w:val="20"/>
        </w:rPr>
        <w:t>haemorrhage</w:t>
      </w:r>
      <w:proofErr w:type="spellEnd"/>
      <w:r w:rsidR="00FA3D06" w:rsidRPr="0060598C">
        <w:rPr>
          <w:rFonts w:ascii="Arial" w:hAnsi="Arial" w:cs="Arial"/>
          <w:sz w:val="20"/>
          <w:szCs w:val="20"/>
        </w:rPr>
        <w:t xml:space="preserve"> (</w:t>
      </w:r>
      <w:proofErr w:type="spellStart"/>
      <w:r w:rsidR="00FA3D06" w:rsidRPr="0060598C">
        <w:rPr>
          <w:rFonts w:ascii="Arial" w:hAnsi="Arial" w:cs="Arial"/>
          <w:sz w:val="20"/>
          <w:szCs w:val="20"/>
        </w:rPr>
        <w:t>Khalfaouni</w:t>
      </w:r>
      <w:proofErr w:type="spellEnd"/>
      <w:r w:rsidR="00FA3D06" w:rsidRPr="0060598C">
        <w:rPr>
          <w:rFonts w:ascii="Arial" w:hAnsi="Arial" w:cs="Arial"/>
          <w:sz w:val="20"/>
          <w:szCs w:val="20"/>
        </w:rPr>
        <w:t xml:space="preserve"> et al.; 2017)</w:t>
      </w:r>
      <w:r w:rsidRPr="0060598C">
        <w:rPr>
          <w:rFonts w:ascii="Arial" w:hAnsi="Arial" w:cs="Arial"/>
          <w:sz w:val="20"/>
          <w:szCs w:val="20"/>
        </w:rPr>
        <w:t>.</w:t>
      </w:r>
      <w:r w:rsidR="00FA3D06" w:rsidRPr="0060598C">
        <w:rPr>
          <w:rFonts w:ascii="Arial" w:hAnsi="Arial" w:cs="Arial"/>
          <w:sz w:val="20"/>
          <w:szCs w:val="20"/>
          <w:vertAlign w:val="superscript"/>
        </w:rPr>
        <w:t xml:space="preserve"> </w:t>
      </w:r>
      <w:r w:rsidRPr="0060598C">
        <w:rPr>
          <w:rFonts w:ascii="Arial" w:hAnsi="Arial" w:cs="Arial"/>
          <w:sz w:val="20"/>
          <w:szCs w:val="20"/>
        </w:rPr>
        <w:t xml:space="preserve">Accordingly, the best next time to assess haematocrit is 48-hours after surgery. The present study ensured that a 48-hours period of packed </w:t>
      </w:r>
      <w:r w:rsidR="00E91742" w:rsidRPr="0060598C">
        <w:rPr>
          <w:rFonts w:ascii="Arial" w:hAnsi="Arial" w:cs="Arial"/>
          <w:sz w:val="20"/>
          <w:szCs w:val="20"/>
        </w:rPr>
        <w:t>cell volume evaluation was used.</w:t>
      </w:r>
    </w:p>
    <w:p w:rsidR="00BB6CCB" w:rsidRPr="0060598C" w:rsidRDefault="00BB6CCB" w:rsidP="00A6377A">
      <w:pPr>
        <w:spacing w:before="240" w:line="480" w:lineRule="auto"/>
        <w:jc w:val="both"/>
        <w:rPr>
          <w:rFonts w:ascii="Arial" w:hAnsi="Arial" w:cs="Arial"/>
          <w:sz w:val="20"/>
          <w:szCs w:val="20"/>
        </w:rPr>
      </w:pPr>
      <w:r w:rsidRPr="0060598C">
        <w:rPr>
          <w:rFonts w:ascii="Arial" w:hAnsi="Arial" w:cs="Arial"/>
          <w:sz w:val="20"/>
          <w:szCs w:val="20"/>
        </w:rPr>
        <w:t>Different instruments have different calibrations, and this may influence results obtained from using var</w:t>
      </w:r>
      <w:r w:rsidR="00E91742" w:rsidRPr="0060598C">
        <w:rPr>
          <w:rFonts w:ascii="Arial" w:hAnsi="Arial" w:cs="Arial"/>
          <w:sz w:val="20"/>
          <w:szCs w:val="20"/>
        </w:rPr>
        <w:t>ious equipment, even if they were</w:t>
      </w:r>
      <w:r w:rsidRPr="0060598C">
        <w:rPr>
          <w:rFonts w:ascii="Arial" w:hAnsi="Arial" w:cs="Arial"/>
          <w:sz w:val="20"/>
          <w:szCs w:val="20"/>
        </w:rPr>
        <w:t xml:space="preserve"> meant to evaluate a particular parameter. In this current investigative </w:t>
      </w:r>
      <w:r w:rsidRPr="0060598C">
        <w:rPr>
          <w:rFonts w:ascii="Arial" w:hAnsi="Arial" w:cs="Arial"/>
          <w:sz w:val="20"/>
          <w:szCs w:val="20"/>
        </w:rPr>
        <w:lastRenderedPageBreak/>
        <w:t>research, the micro-haematocrit centrifuge (low spin, TT 645B, 12,000 revolutions per minute), and T-15 haematocrit centrifuge with 12,000 revolutions per minute were used.</w:t>
      </w:r>
    </w:p>
    <w:p w:rsidR="00BB6CCB" w:rsidRPr="0060598C" w:rsidRDefault="00BB6CCB" w:rsidP="004E0218">
      <w:pPr>
        <w:spacing w:before="240" w:line="480" w:lineRule="auto"/>
        <w:jc w:val="both"/>
        <w:rPr>
          <w:rFonts w:ascii="Arial" w:hAnsi="Arial" w:cs="Arial"/>
          <w:sz w:val="20"/>
          <w:szCs w:val="20"/>
        </w:rPr>
      </w:pPr>
      <w:r w:rsidRPr="0060598C">
        <w:rPr>
          <w:rFonts w:ascii="Arial" w:hAnsi="Arial" w:cs="Arial"/>
          <w:sz w:val="20"/>
          <w:szCs w:val="20"/>
        </w:rPr>
        <w:t xml:space="preserve">Evaluating the reduction in packed cell volume or haematocrit following caesarean delivery is an indirect means of assessing intraoperative blood loss. This present study’s indirect intraoperative blood loss assessment findings tallied with the direct quantification of caesarean section blood loss. </w:t>
      </w:r>
    </w:p>
    <w:p w:rsidR="00611FE5" w:rsidRPr="0060598C" w:rsidRDefault="004A5EFE" w:rsidP="004E0218">
      <w:pPr>
        <w:spacing w:line="240" w:lineRule="auto"/>
        <w:jc w:val="both"/>
        <w:rPr>
          <w:rFonts w:ascii="Arial" w:hAnsi="Arial" w:cs="Arial"/>
          <w:b/>
        </w:rPr>
      </w:pPr>
      <w:r w:rsidRPr="0060598C">
        <w:rPr>
          <w:rFonts w:ascii="Arial" w:hAnsi="Arial" w:cs="Arial"/>
          <w:b/>
        </w:rPr>
        <w:t xml:space="preserve">5. </w:t>
      </w:r>
      <w:r w:rsidR="00611FE5" w:rsidRPr="0060598C">
        <w:rPr>
          <w:rFonts w:ascii="Arial" w:hAnsi="Arial" w:cs="Arial"/>
          <w:b/>
        </w:rPr>
        <w:t>CONCLUSION</w:t>
      </w:r>
    </w:p>
    <w:p w:rsidR="00BB6CCB" w:rsidRPr="0060598C" w:rsidRDefault="00611FE5" w:rsidP="004E0218">
      <w:pPr>
        <w:spacing w:line="480" w:lineRule="auto"/>
        <w:jc w:val="both"/>
        <w:rPr>
          <w:rFonts w:ascii="Arial" w:hAnsi="Arial" w:cs="Arial"/>
          <w:sz w:val="20"/>
          <w:szCs w:val="20"/>
        </w:rPr>
      </w:pPr>
      <w:r w:rsidRPr="0060598C">
        <w:rPr>
          <w:rFonts w:ascii="Arial" w:hAnsi="Arial" w:cs="Arial"/>
          <w:sz w:val="20"/>
          <w:szCs w:val="20"/>
        </w:rPr>
        <w:t xml:space="preserve">Sublingually administered adjunctive </w:t>
      </w:r>
      <w:r w:rsidR="005D2B83" w:rsidRPr="0060598C">
        <w:rPr>
          <w:rFonts w:ascii="Arial" w:hAnsi="Arial" w:cs="Arial"/>
          <w:sz w:val="20"/>
          <w:szCs w:val="20"/>
        </w:rPr>
        <w:t>misoprostol at a dose of 400 ug</w:t>
      </w:r>
      <w:r w:rsidR="005E62D6" w:rsidRPr="0060598C">
        <w:rPr>
          <w:rFonts w:ascii="Arial" w:hAnsi="Arial" w:cs="Arial"/>
          <w:sz w:val="20"/>
          <w:szCs w:val="20"/>
        </w:rPr>
        <w:t xml:space="preserve"> did not considerably reduce caesarean section bleeding. </w:t>
      </w:r>
      <w:r w:rsidR="004E0218" w:rsidRPr="0060598C">
        <w:rPr>
          <w:rFonts w:ascii="Arial" w:hAnsi="Arial" w:cs="Arial"/>
          <w:sz w:val="20"/>
          <w:szCs w:val="20"/>
        </w:rPr>
        <w:t>It also did</w:t>
      </w:r>
      <w:r w:rsidR="00610D9E" w:rsidRPr="0060598C">
        <w:rPr>
          <w:rFonts w:ascii="Arial" w:hAnsi="Arial" w:cs="Arial"/>
          <w:sz w:val="20"/>
          <w:szCs w:val="20"/>
        </w:rPr>
        <w:t xml:space="preserve"> not appreciably</w:t>
      </w:r>
      <w:r w:rsidR="004E0218" w:rsidRPr="0060598C">
        <w:rPr>
          <w:rFonts w:ascii="Arial" w:hAnsi="Arial" w:cs="Arial"/>
          <w:sz w:val="20"/>
          <w:szCs w:val="20"/>
        </w:rPr>
        <w:t xml:space="preserve"> </w:t>
      </w:r>
      <w:r w:rsidR="00610D9E" w:rsidRPr="0060598C">
        <w:rPr>
          <w:rFonts w:ascii="Arial" w:hAnsi="Arial" w:cs="Arial"/>
          <w:sz w:val="20"/>
          <w:szCs w:val="20"/>
        </w:rPr>
        <w:t xml:space="preserve">lessen the drop </w:t>
      </w:r>
      <w:r w:rsidR="004E0218" w:rsidRPr="0060598C">
        <w:rPr>
          <w:rFonts w:ascii="Arial" w:hAnsi="Arial" w:cs="Arial"/>
          <w:sz w:val="20"/>
          <w:szCs w:val="20"/>
        </w:rPr>
        <w:t xml:space="preserve">in postoperative packed cell volume. </w:t>
      </w:r>
      <w:r w:rsidR="005E62D6" w:rsidRPr="0060598C">
        <w:rPr>
          <w:rFonts w:ascii="Arial" w:hAnsi="Arial" w:cs="Arial"/>
          <w:sz w:val="20"/>
          <w:szCs w:val="20"/>
        </w:rPr>
        <w:t xml:space="preserve">However, it </w:t>
      </w:r>
      <w:r w:rsidR="00610D9E" w:rsidRPr="0060598C">
        <w:rPr>
          <w:rFonts w:ascii="Arial" w:hAnsi="Arial" w:cs="Arial"/>
          <w:sz w:val="20"/>
          <w:szCs w:val="20"/>
        </w:rPr>
        <w:t xml:space="preserve">still has a place in reducing </w:t>
      </w:r>
      <w:r w:rsidR="00AD2888" w:rsidRPr="0060598C">
        <w:rPr>
          <w:rFonts w:ascii="Arial" w:hAnsi="Arial" w:cs="Arial"/>
          <w:sz w:val="20"/>
          <w:szCs w:val="20"/>
        </w:rPr>
        <w:t>blood loss</w:t>
      </w:r>
      <w:r w:rsidR="00610D9E" w:rsidRPr="0060598C">
        <w:rPr>
          <w:rFonts w:ascii="Arial" w:hAnsi="Arial" w:cs="Arial"/>
          <w:sz w:val="20"/>
          <w:szCs w:val="20"/>
        </w:rPr>
        <w:t xml:space="preserve"> following caesarean birth</w:t>
      </w:r>
      <w:r w:rsidR="00AD2888" w:rsidRPr="0060598C">
        <w:rPr>
          <w:rFonts w:ascii="Arial" w:hAnsi="Arial" w:cs="Arial"/>
          <w:sz w:val="20"/>
          <w:szCs w:val="20"/>
        </w:rPr>
        <w:t xml:space="preserve"> in parturients</w:t>
      </w:r>
      <w:r w:rsidR="005E62D6" w:rsidRPr="0060598C">
        <w:rPr>
          <w:rFonts w:ascii="Arial" w:hAnsi="Arial" w:cs="Arial"/>
          <w:sz w:val="20"/>
          <w:szCs w:val="20"/>
        </w:rPr>
        <w:t xml:space="preserve"> with </w:t>
      </w:r>
      <w:r w:rsidR="008D5E44" w:rsidRPr="0060598C">
        <w:rPr>
          <w:rFonts w:ascii="Arial" w:hAnsi="Arial" w:cs="Arial"/>
          <w:sz w:val="20"/>
          <w:szCs w:val="20"/>
        </w:rPr>
        <w:t xml:space="preserve">additional </w:t>
      </w:r>
      <w:r w:rsidR="005E62D6" w:rsidRPr="0060598C">
        <w:rPr>
          <w:rFonts w:ascii="Arial" w:hAnsi="Arial" w:cs="Arial"/>
          <w:sz w:val="20"/>
          <w:szCs w:val="20"/>
        </w:rPr>
        <w:t>risk factors for postpartum haemorrhage.</w:t>
      </w:r>
    </w:p>
    <w:p w:rsidR="00C85BDB" w:rsidRDefault="00C85BDB" w:rsidP="004E0218">
      <w:pPr>
        <w:spacing w:line="480" w:lineRule="auto"/>
        <w:jc w:val="both"/>
        <w:rPr>
          <w:rFonts w:ascii="Arial" w:hAnsi="Arial" w:cs="Arial"/>
          <w:sz w:val="20"/>
          <w:szCs w:val="20"/>
        </w:rPr>
      </w:pPr>
    </w:p>
    <w:p w:rsidR="00890DA1" w:rsidRPr="0060598C" w:rsidRDefault="00890DA1" w:rsidP="00890DA1">
      <w:pPr>
        <w:spacing w:line="240" w:lineRule="auto"/>
        <w:rPr>
          <w:rFonts w:ascii="Arial" w:hAnsi="Arial" w:cs="Arial"/>
          <w:b/>
        </w:rPr>
      </w:pPr>
      <w:r w:rsidRPr="0060598C">
        <w:rPr>
          <w:rFonts w:ascii="Arial" w:hAnsi="Arial" w:cs="Arial"/>
          <w:b/>
        </w:rPr>
        <w:t>AUTHORS’ CONTRIBUTIONS</w:t>
      </w:r>
    </w:p>
    <w:p w:rsidR="00890DA1" w:rsidRPr="0060598C" w:rsidRDefault="00890DA1" w:rsidP="00890DA1">
      <w:pPr>
        <w:spacing w:line="240" w:lineRule="auto"/>
        <w:rPr>
          <w:rFonts w:ascii="Arial" w:hAnsi="Arial" w:cs="Arial"/>
          <w:i/>
          <w:sz w:val="20"/>
          <w:szCs w:val="20"/>
        </w:rPr>
      </w:pPr>
      <w:r w:rsidRPr="0060598C">
        <w:rPr>
          <w:rFonts w:ascii="Arial" w:hAnsi="Arial" w:cs="Arial"/>
          <w:i/>
          <w:sz w:val="20"/>
          <w:szCs w:val="20"/>
        </w:rPr>
        <w:t>Author SEO designed the study, wrote the protocol, managed the literature searches and wrote the first draft of the manuscript. Author MOI registered the study. Author KGMF and Author OATJ proof read and corrected the protocol and the first draft of manuscript. Author SEO, Author MOI, Author MKM and Author UMJ were involved in the data analysis. Author SEO, Author AG, Author WAS, and Author OLA, collected data. Author SEO wrote the final manuscript. All authors read and approved the final manuscript.</w:t>
      </w:r>
    </w:p>
    <w:p w:rsidR="00C85BDB" w:rsidRDefault="00C85BDB" w:rsidP="004E0218">
      <w:pPr>
        <w:spacing w:line="480" w:lineRule="auto"/>
        <w:jc w:val="both"/>
        <w:rPr>
          <w:rFonts w:ascii="Arial" w:hAnsi="Arial" w:cs="Arial"/>
          <w:sz w:val="20"/>
          <w:szCs w:val="20"/>
        </w:rPr>
      </w:pPr>
    </w:p>
    <w:p w:rsidR="00C85BDB" w:rsidRDefault="00C85BDB" w:rsidP="004E0218">
      <w:pPr>
        <w:spacing w:line="480" w:lineRule="auto"/>
        <w:jc w:val="both"/>
        <w:rPr>
          <w:rFonts w:ascii="Arial" w:hAnsi="Arial" w:cs="Arial"/>
          <w:sz w:val="20"/>
          <w:szCs w:val="20"/>
        </w:rPr>
      </w:pPr>
    </w:p>
    <w:p w:rsidR="00A6377A" w:rsidRDefault="00A6377A" w:rsidP="00A6377A">
      <w:pPr>
        <w:spacing w:before="240" w:line="480" w:lineRule="auto"/>
        <w:jc w:val="both"/>
        <w:rPr>
          <w:rFonts w:ascii="Arial" w:hAnsi="Arial" w:cs="Arial"/>
          <w:b/>
        </w:rPr>
      </w:pPr>
      <w:r w:rsidRPr="005B2C54">
        <w:rPr>
          <w:rFonts w:ascii="Arial" w:hAnsi="Arial" w:cs="Arial"/>
          <w:b/>
        </w:rPr>
        <w:t>DISCLAIMER (ARTIFICIAL INTELLIGENCE)</w:t>
      </w:r>
    </w:p>
    <w:p w:rsidR="00A6377A" w:rsidRDefault="00A6377A" w:rsidP="00A6377A">
      <w:pPr>
        <w:spacing w:before="240" w:line="480" w:lineRule="auto"/>
        <w:jc w:val="both"/>
        <w:rPr>
          <w:rFonts w:ascii="Arial" w:hAnsi="Arial" w:cs="Arial"/>
          <w:sz w:val="20"/>
          <w:szCs w:val="20"/>
        </w:rPr>
      </w:pPr>
      <w:r w:rsidRPr="005B2C54">
        <w:rPr>
          <w:rFonts w:ascii="Arial" w:hAnsi="Arial" w:cs="Arial"/>
          <w:sz w:val="20"/>
          <w:szCs w:val="20"/>
        </w:rPr>
        <w:t>Authors hereby declare that NO generated AI technologies such as Large Language Models (ChatGPT, COPILOT, etc.) and text-to-image generators have been used during the writing or editing of this manuscript.</w:t>
      </w:r>
    </w:p>
    <w:p w:rsidR="009161EB" w:rsidRPr="00A378EB" w:rsidRDefault="009161EB" w:rsidP="009161EB">
      <w:pPr>
        <w:spacing w:line="480" w:lineRule="auto"/>
        <w:rPr>
          <w:rFonts w:ascii="Arial" w:hAnsi="Arial" w:cs="Arial"/>
          <w:b/>
        </w:rPr>
      </w:pPr>
      <w:r w:rsidRPr="00A378EB">
        <w:rPr>
          <w:rFonts w:ascii="Arial" w:hAnsi="Arial" w:cs="Arial"/>
          <w:b/>
        </w:rPr>
        <w:t>CONSENT</w:t>
      </w:r>
    </w:p>
    <w:p w:rsidR="00A27A74" w:rsidRPr="00A378EB" w:rsidRDefault="009161EB" w:rsidP="009161EB">
      <w:pPr>
        <w:spacing w:before="240" w:line="480" w:lineRule="auto"/>
        <w:jc w:val="both"/>
        <w:rPr>
          <w:rFonts w:ascii="Arial" w:hAnsi="Arial" w:cs="Arial"/>
          <w:sz w:val="20"/>
          <w:szCs w:val="20"/>
        </w:rPr>
      </w:pPr>
      <w:r w:rsidRPr="00A378EB">
        <w:rPr>
          <w:rFonts w:ascii="Arial" w:hAnsi="Arial" w:cs="Arial"/>
          <w:sz w:val="20"/>
          <w:szCs w:val="20"/>
        </w:rPr>
        <w:t xml:space="preserve">Written informed consent was secured from all participants after explaining the aim and objectives of the study, procedure and potential risks. </w:t>
      </w:r>
    </w:p>
    <w:p w:rsidR="009161EB" w:rsidRPr="00A378EB" w:rsidRDefault="009161EB" w:rsidP="009161EB">
      <w:pPr>
        <w:spacing w:line="480" w:lineRule="auto"/>
        <w:rPr>
          <w:rFonts w:ascii="Arial" w:hAnsi="Arial" w:cs="Arial"/>
          <w:b/>
        </w:rPr>
      </w:pPr>
      <w:r w:rsidRPr="00A378EB">
        <w:rPr>
          <w:rFonts w:ascii="Arial" w:hAnsi="Arial" w:cs="Arial"/>
          <w:b/>
        </w:rPr>
        <w:lastRenderedPageBreak/>
        <w:t>ETHICAL APPROVAL</w:t>
      </w:r>
    </w:p>
    <w:p w:rsidR="009161EB" w:rsidRDefault="009161EB" w:rsidP="00A6377A">
      <w:pPr>
        <w:spacing w:before="240" w:line="480" w:lineRule="auto"/>
        <w:jc w:val="both"/>
        <w:rPr>
          <w:rFonts w:ascii="Arial" w:hAnsi="Arial" w:cs="Arial"/>
          <w:sz w:val="20"/>
          <w:szCs w:val="20"/>
        </w:rPr>
      </w:pPr>
      <w:r>
        <w:rPr>
          <w:rFonts w:ascii="Arial" w:hAnsi="Arial" w:cs="Arial"/>
          <w:sz w:val="20"/>
          <w:szCs w:val="20"/>
        </w:rPr>
        <w:t xml:space="preserve">All authors declare that the study was approved by the </w:t>
      </w:r>
      <w:r w:rsidRPr="00A378EB">
        <w:rPr>
          <w:rFonts w:ascii="Arial" w:hAnsi="Arial" w:cs="Arial"/>
          <w:sz w:val="20"/>
          <w:szCs w:val="20"/>
        </w:rPr>
        <w:t xml:space="preserve">ethical committee of the </w:t>
      </w:r>
      <w:r>
        <w:rPr>
          <w:rFonts w:ascii="Arial" w:hAnsi="Arial" w:cs="Arial"/>
          <w:sz w:val="20"/>
          <w:szCs w:val="20"/>
        </w:rPr>
        <w:t xml:space="preserve">Federal Medical Centre, Yenagoa </w:t>
      </w:r>
      <w:r w:rsidRPr="00A378EB">
        <w:rPr>
          <w:rFonts w:ascii="Arial" w:hAnsi="Arial" w:cs="Arial"/>
          <w:sz w:val="20"/>
          <w:szCs w:val="20"/>
        </w:rPr>
        <w:t>with application form numbe</w:t>
      </w:r>
      <w:r>
        <w:rPr>
          <w:rFonts w:ascii="Arial" w:hAnsi="Arial" w:cs="Arial"/>
          <w:sz w:val="20"/>
          <w:szCs w:val="20"/>
        </w:rPr>
        <w:t>r – FMCY/REC/ECC/20</w:t>
      </w:r>
      <w:r w:rsidR="00C01F4B">
        <w:rPr>
          <w:rFonts w:ascii="Arial" w:hAnsi="Arial" w:cs="Arial"/>
          <w:sz w:val="20"/>
          <w:szCs w:val="20"/>
        </w:rPr>
        <w:t>22/JULY/477.</w:t>
      </w:r>
    </w:p>
    <w:p w:rsidR="00A6377A" w:rsidRPr="00A378EB" w:rsidRDefault="00A6377A" w:rsidP="00A6377A">
      <w:pPr>
        <w:spacing w:line="480" w:lineRule="auto"/>
        <w:rPr>
          <w:rFonts w:ascii="Arial" w:hAnsi="Arial" w:cs="Arial"/>
          <w:b/>
        </w:rPr>
      </w:pPr>
      <w:r w:rsidRPr="00A378EB">
        <w:rPr>
          <w:rFonts w:ascii="Arial" w:hAnsi="Arial" w:cs="Arial"/>
          <w:b/>
        </w:rPr>
        <w:t>COMPETING INTERESTS</w:t>
      </w:r>
      <w:r w:rsidR="00006B19">
        <w:rPr>
          <w:rFonts w:ascii="Arial" w:hAnsi="Arial" w:cs="Arial"/>
          <w:b/>
        </w:rPr>
        <w:t xml:space="preserve"> </w:t>
      </w:r>
      <w:bookmarkStart w:id="3" w:name="_GoBack"/>
      <w:bookmarkEnd w:id="3"/>
    </w:p>
    <w:p w:rsidR="00B57A0B" w:rsidRPr="009161EB" w:rsidRDefault="00A6377A" w:rsidP="009161EB">
      <w:pPr>
        <w:spacing w:line="480" w:lineRule="auto"/>
        <w:jc w:val="both"/>
        <w:rPr>
          <w:rFonts w:ascii="Arial" w:hAnsi="Arial" w:cs="Arial"/>
          <w:sz w:val="20"/>
          <w:szCs w:val="20"/>
        </w:rPr>
      </w:pPr>
      <w:r w:rsidRPr="00A378EB">
        <w:rPr>
          <w:rFonts w:ascii="Arial" w:hAnsi="Arial" w:cs="Arial"/>
          <w:sz w:val="20"/>
          <w:szCs w:val="20"/>
        </w:rPr>
        <w:t>Authors have declared th</w:t>
      </w:r>
      <w:r w:rsidR="00006B19">
        <w:rPr>
          <w:rFonts w:ascii="Arial" w:hAnsi="Arial" w:cs="Arial"/>
          <w:sz w:val="20"/>
          <w:szCs w:val="20"/>
        </w:rPr>
        <w:t xml:space="preserve">at they have no known competing financial interests OR </w:t>
      </w:r>
      <w:r w:rsidR="00030B81">
        <w:rPr>
          <w:rFonts w:ascii="Arial" w:hAnsi="Arial" w:cs="Arial"/>
          <w:sz w:val="20"/>
          <w:szCs w:val="20"/>
        </w:rPr>
        <w:t>non-financial</w:t>
      </w:r>
      <w:r w:rsidR="00006B19">
        <w:rPr>
          <w:rFonts w:ascii="Arial" w:hAnsi="Arial" w:cs="Arial"/>
          <w:sz w:val="20"/>
          <w:szCs w:val="20"/>
        </w:rPr>
        <w:t xml:space="preserve"> interests OR personal relationship that could </w:t>
      </w:r>
      <w:r w:rsidR="00030B81">
        <w:rPr>
          <w:rFonts w:ascii="Arial" w:hAnsi="Arial" w:cs="Arial"/>
          <w:sz w:val="20"/>
          <w:szCs w:val="20"/>
        </w:rPr>
        <w:t>have appeared to influence the work reported in this paper.</w:t>
      </w:r>
    </w:p>
    <w:p w:rsidR="007E048B" w:rsidRDefault="00ED765A" w:rsidP="00375C4C">
      <w:pPr>
        <w:rPr>
          <w:rFonts w:ascii="Arial" w:hAnsi="Arial" w:cs="Arial"/>
          <w:b/>
        </w:rPr>
      </w:pPr>
      <w:r w:rsidRPr="009161EB">
        <w:rPr>
          <w:rFonts w:ascii="Arial" w:hAnsi="Arial" w:cs="Arial"/>
          <w:b/>
        </w:rPr>
        <w:t>REFERENCES</w:t>
      </w:r>
    </w:p>
    <w:p w:rsidR="0083368C" w:rsidRDefault="0083368C" w:rsidP="0083368C">
      <w:pPr>
        <w:pStyle w:val="ListParagraph"/>
        <w:spacing w:line="240" w:lineRule="auto"/>
        <w:jc w:val="both"/>
        <w:rPr>
          <w:rFonts w:ascii="Arial" w:hAnsi="Arial" w:cs="Arial"/>
          <w:sz w:val="20"/>
          <w:szCs w:val="20"/>
        </w:rPr>
      </w:pPr>
      <w:proofErr w:type="spellStart"/>
      <w:r w:rsidRPr="00C73F02">
        <w:rPr>
          <w:rFonts w:ascii="Arial" w:hAnsi="Arial" w:cs="Arial"/>
          <w:sz w:val="20"/>
          <w:szCs w:val="20"/>
        </w:rPr>
        <w:t>Adanikan</w:t>
      </w:r>
      <w:proofErr w:type="spellEnd"/>
      <w:r>
        <w:rPr>
          <w:rFonts w:ascii="Arial" w:hAnsi="Arial" w:cs="Arial"/>
          <w:sz w:val="20"/>
          <w:szCs w:val="20"/>
        </w:rPr>
        <w:t xml:space="preserve">, </w:t>
      </w:r>
      <w:proofErr w:type="spellStart"/>
      <w:r>
        <w:rPr>
          <w:rFonts w:ascii="Arial" w:hAnsi="Arial" w:cs="Arial"/>
          <w:sz w:val="20"/>
          <w:szCs w:val="20"/>
        </w:rPr>
        <w:t>A.l</w:t>
      </w:r>
      <w:proofErr w:type="spellEnd"/>
      <w:r>
        <w:rPr>
          <w:rFonts w:ascii="Arial" w:hAnsi="Arial" w:cs="Arial"/>
          <w:sz w:val="20"/>
          <w:szCs w:val="20"/>
        </w:rPr>
        <w:t xml:space="preserve">; </w:t>
      </w:r>
      <w:proofErr w:type="spellStart"/>
      <w:r w:rsidRPr="00C73F02">
        <w:rPr>
          <w:rFonts w:ascii="Arial" w:hAnsi="Arial" w:cs="Arial"/>
          <w:sz w:val="20"/>
          <w:szCs w:val="20"/>
        </w:rPr>
        <w:t>Oriji</w:t>
      </w:r>
      <w:proofErr w:type="spellEnd"/>
      <w:r>
        <w:rPr>
          <w:rFonts w:ascii="Arial" w:hAnsi="Arial" w:cs="Arial"/>
          <w:sz w:val="20"/>
          <w:szCs w:val="20"/>
        </w:rPr>
        <w:t>,</w:t>
      </w:r>
      <w:r w:rsidRPr="00C73F02">
        <w:rPr>
          <w:rFonts w:ascii="Arial" w:hAnsi="Arial" w:cs="Arial"/>
          <w:sz w:val="20"/>
          <w:szCs w:val="20"/>
        </w:rPr>
        <w:t xml:space="preserve"> </w:t>
      </w:r>
      <w:r>
        <w:rPr>
          <w:rFonts w:ascii="Arial" w:hAnsi="Arial" w:cs="Arial"/>
          <w:sz w:val="20"/>
          <w:szCs w:val="20"/>
        </w:rPr>
        <w:t>E;</w:t>
      </w:r>
      <w:r w:rsidRPr="00C73F02">
        <w:rPr>
          <w:rFonts w:ascii="Arial" w:hAnsi="Arial" w:cs="Arial"/>
          <w:sz w:val="20"/>
          <w:szCs w:val="20"/>
        </w:rPr>
        <w:t xml:space="preserve"> </w:t>
      </w:r>
      <w:proofErr w:type="spellStart"/>
      <w:r w:rsidRPr="00C73F02">
        <w:rPr>
          <w:rFonts w:ascii="Arial" w:hAnsi="Arial" w:cs="Arial"/>
          <w:sz w:val="20"/>
          <w:szCs w:val="20"/>
        </w:rPr>
        <w:t>Adanikin</w:t>
      </w:r>
      <w:proofErr w:type="spellEnd"/>
      <w:r>
        <w:rPr>
          <w:rFonts w:ascii="Arial" w:hAnsi="Arial" w:cs="Arial"/>
          <w:sz w:val="20"/>
          <w:szCs w:val="20"/>
        </w:rPr>
        <w:t>,</w:t>
      </w:r>
      <w:r w:rsidRPr="00C73F02">
        <w:rPr>
          <w:rFonts w:ascii="Arial" w:hAnsi="Arial" w:cs="Arial"/>
          <w:sz w:val="20"/>
          <w:szCs w:val="20"/>
        </w:rPr>
        <w:t xml:space="preserve"> P</w:t>
      </w:r>
      <w:r>
        <w:rPr>
          <w:rFonts w:ascii="Arial" w:hAnsi="Arial" w:cs="Arial"/>
          <w:sz w:val="20"/>
          <w:szCs w:val="20"/>
        </w:rPr>
        <w:t>.O; et al. (2013).</w:t>
      </w:r>
      <w:r w:rsidRPr="00C73F02">
        <w:rPr>
          <w:rFonts w:ascii="Arial" w:hAnsi="Arial" w:cs="Arial"/>
          <w:sz w:val="20"/>
          <w:szCs w:val="20"/>
        </w:rPr>
        <w:t xml:space="preserve"> Comparative study of rectal misoprostol to oxytocin infusion in preventing postpartum haemorrhage after caesarean section. N</w:t>
      </w:r>
      <w:r>
        <w:rPr>
          <w:rFonts w:ascii="Arial" w:hAnsi="Arial" w:cs="Arial"/>
          <w:sz w:val="20"/>
          <w:szCs w:val="20"/>
        </w:rPr>
        <w:t xml:space="preserve">epal </w:t>
      </w:r>
      <w:r w:rsidRPr="00C73F02">
        <w:rPr>
          <w:rFonts w:ascii="Arial" w:hAnsi="Arial" w:cs="Arial"/>
          <w:sz w:val="20"/>
          <w:szCs w:val="20"/>
        </w:rPr>
        <w:t>J</w:t>
      </w:r>
      <w:r>
        <w:rPr>
          <w:rFonts w:ascii="Arial" w:hAnsi="Arial" w:cs="Arial"/>
          <w:sz w:val="20"/>
          <w:szCs w:val="20"/>
        </w:rPr>
        <w:t xml:space="preserve">ournal of </w:t>
      </w:r>
      <w:r w:rsidRPr="00C73F02">
        <w:rPr>
          <w:rFonts w:ascii="Arial" w:hAnsi="Arial" w:cs="Arial"/>
          <w:sz w:val="20"/>
          <w:szCs w:val="20"/>
        </w:rPr>
        <w:t>O</w:t>
      </w:r>
      <w:r>
        <w:rPr>
          <w:rFonts w:ascii="Arial" w:hAnsi="Arial" w:cs="Arial"/>
          <w:sz w:val="20"/>
          <w:szCs w:val="20"/>
        </w:rPr>
        <w:t xml:space="preserve">bstetrics and </w:t>
      </w:r>
      <w:r w:rsidRPr="00C73F02">
        <w:rPr>
          <w:rFonts w:ascii="Arial" w:hAnsi="Arial" w:cs="Arial"/>
          <w:sz w:val="20"/>
          <w:szCs w:val="20"/>
        </w:rPr>
        <w:t>G</w:t>
      </w:r>
      <w:r>
        <w:rPr>
          <w:rFonts w:ascii="Arial" w:hAnsi="Arial" w:cs="Arial"/>
          <w:sz w:val="20"/>
          <w:szCs w:val="20"/>
        </w:rPr>
        <w:t xml:space="preserve">ynaecology </w:t>
      </w:r>
      <w:r w:rsidRPr="00C73F02">
        <w:rPr>
          <w:rFonts w:ascii="Arial" w:hAnsi="Arial" w:cs="Arial"/>
          <w:sz w:val="20"/>
          <w:szCs w:val="20"/>
        </w:rPr>
        <w:t>1</w:t>
      </w:r>
      <w:r>
        <w:rPr>
          <w:rFonts w:ascii="Arial" w:hAnsi="Arial" w:cs="Arial"/>
          <w:sz w:val="20"/>
          <w:szCs w:val="20"/>
        </w:rPr>
        <w:t xml:space="preserve">. </w:t>
      </w:r>
      <w:r w:rsidRPr="00C73F02">
        <w:rPr>
          <w:rFonts w:ascii="Arial" w:hAnsi="Arial" w:cs="Arial"/>
          <w:sz w:val="20"/>
          <w:szCs w:val="20"/>
        </w:rPr>
        <w:t>8(2):34-37.</w:t>
      </w:r>
    </w:p>
    <w:p w:rsidR="0083368C" w:rsidRPr="00DA64AC" w:rsidRDefault="0083368C" w:rsidP="00DA64AC">
      <w:pPr>
        <w:pStyle w:val="ListParagraph"/>
        <w:spacing w:line="240" w:lineRule="auto"/>
        <w:jc w:val="both"/>
        <w:rPr>
          <w:rFonts w:ascii="Arial" w:hAnsi="Arial" w:cs="Arial"/>
          <w:sz w:val="20"/>
          <w:szCs w:val="20"/>
        </w:rPr>
      </w:pPr>
      <w:r w:rsidRPr="00C73F02">
        <w:rPr>
          <w:rFonts w:ascii="Arial" w:hAnsi="Arial" w:cs="Arial"/>
          <w:sz w:val="20"/>
          <w:szCs w:val="20"/>
        </w:rPr>
        <w:t>Agarwal</w:t>
      </w:r>
      <w:r>
        <w:rPr>
          <w:rFonts w:ascii="Arial" w:hAnsi="Arial" w:cs="Arial"/>
          <w:sz w:val="20"/>
          <w:szCs w:val="20"/>
        </w:rPr>
        <w:t>, S &amp;</w:t>
      </w:r>
      <w:r w:rsidRPr="00C73F02">
        <w:rPr>
          <w:rFonts w:ascii="Arial" w:hAnsi="Arial" w:cs="Arial"/>
          <w:sz w:val="20"/>
          <w:szCs w:val="20"/>
        </w:rPr>
        <w:t xml:space="preserve"> Thakar N</w:t>
      </w:r>
      <w:r>
        <w:rPr>
          <w:rFonts w:ascii="Arial" w:hAnsi="Arial" w:cs="Arial"/>
          <w:sz w:val="20"/>
          <w:szCs w:val="20"/>
        </w:rPr>
        <w:t>.</w:t>
      </w:r>
      <w:r w:rsidRPr="00C73F02">
        <w:rPr>
          <w:rFonts w:ascii="Arial" w:hAnsi="Arial" w:cs="Arial"/>
          <w:sz w:val="20"/>
          <w:szCs w:val="20"/>
        </w:rPr>
        <w:t>D</w:t>
      </w:r>
      <w:r>
        <w:rPr>
          <w:rFonts w:ascii="Arial" w:hAnsi="Arial" w:cs="Arial"/>
          <w:sz w:val="20"/>
          <w:szCs w:val="20"/>
        </w:rPr>
        <w:t xml:space="preserve"> (2022)</w:t>
      </w:r>
      <w:r w:rsidRPr="00C73F02">
        <w:rPr>
          <w:rFonts w:ascii="Arial" w:hAnsi="Arial" w:cs="Arial"/>
          <w:sz w:val="20"/>
          <w:szCs w:val="20"/>
        </w:rPr>
        <w:t>. Sublingual misoprostol to reduce blood loss at caesarean delivery. Int</w:t>
      </w:r>
      <w:r>
        <w:rPr>
          <w:rFonts w:ascii="Arial" w:hAnsi="Arial" w:cs="Arial"/>
          <w:sz w:val="20"/>
          <w:szCs w:val="20"/>
        </w:rPr>
        <w:t xml:space="preserve">ernational Journal of </w:t>
      </w:r>
      <w:r w:rsidRPr="00C73F02">
        <w:rPr>
          <w:rFonts w:ascii="Arial" w:hAnsi="Arial" w:cs="Arial"/>
          <w:sz w:val="20"/>
          <w:szCs w:val="20"/>
        </w:rPr>
        <w:t>Reprod</w:t>
      </w:r>
      <w:r>
        <w:rPr>
          <w:rFonts w:ascii="Arial" w:hAnsi="Arial" w:cs="Arial"/>
          <w:sz w:val="20"/>
          <w:szCs w:val="20"/>
        </w:rPr>
        <w:t>uction,</w:t>
      </w:r>
      <w:r w:rsidRPr="00C73F02">
        <w:rPr>
          <w:rFonts w:ascii="Arial" w:hAnsi="Arial" w:cs="Arial"/>
          <w:sz w:val="20"/>
          <w:szCs w:val="20"/>
        </w:rPr>
        <w:t xml:space="preserve"> Contracept</w:t>
      </w:r>
      <w:r>
        <w:rPr>
          <w:rFonts w:ascii="Arial" w:hAnsi="Arial" w:cs="Arial"/>
          <w:sz w:val="20"/>
          <w:szCs w:val="20"/>
        </w:rPr>
        <w:t>ion,</w:t>
      </w:r>
      <w:r w:rsidRPr="00C73F02">
        <w:rPr>
          <w:rFonts w:ascii="Arial" w:hAnsi="Arial" w:cs="Arial"/>
          <w:sz w:val="20"/>
          <w:szCs w:val="20"/>
        </w:rPr>
        <w:t xml:space="preserve"> O</w:t>
      </w:r>
      <w:r>
        <w:rPr>
          <w:rFonts w:ascii="Arial" w:hAnsi="Arial" w:cs="Arial"/>
          <w:sz w:val="20"/>
          <w:szCs w:val="20"/>
        </w:rPr>
        <w:t xml:space="preserve">bstetrics and </w:t>
      </w:r>
      <w:r w:rsidRPr="00C73F02">
        <w:rPr>
          <w:rFonts w:ascii="Arial" w:hAnsi="Arial" w:cs="Arial"/>
          <w:sz w:val="20"/>
          <w:szCs w:val="20"/>
        </w:rPr>
        <w:t>Gynecol</w:t>
      </w:r>
      <w:r>
        <w:rPr>
          <w:rFonts w:ascii="Arial" w:hAnsi="Arial" w:cs="Arial"/>
          <w:sz w:val="20"/>
          <w:szCs w:val="20"/>
        </w:rPr>
        <w:t xml:space="preserve">ogy. </w:t>
      </w:r>
      <w:r w:rsidRPr="00C73F02">
        <w:rPr>
          <w:rFonts w:ascii="Arial" w:hAnsi="Arial" w:cs="Arial"/>
          <w:sz w:val="20"/>
          <w:szCs w:val="20"/>
        </w:rPr>
        <w:t>11(1):95-99.</w:t>
      </w:r>
    </w:p>
    <w:p w:rsidR="0083368C" w:rsidRPr="00C73F02" w:rsidRDefault="0083368C" w:rsidP="0083368C">
      <w:pPr>
        <w:pStyle w:val="ListParagraph"/>
        <w:spacing w:line="240" w:lineRule="auto"/>
        <w:jc w:val="both"/>
        <w:rPr>
          <w:rFonts w:ascii="Arial" w:hAnsi="Arial" w:cs="Arial"/>
          <w:sz w:val="20"/>
          <w:szCs w:val="20"/>
        </w:rPr>
      </w:pPr>
    </w:p>
    <w:p w:rsidR="00F47DDC" w:rsidRDefault="00F47DDC" w:rsidP="00F47DDC">
      <w:pPr>
        <w:pStyle w:val="ListParagraph"/>
        <w:spacing w:line="240" w:lineRule="auto"/>
        <w:jc w:val="both"/>
        <w:rPr>
          <w:rFonts w:ascii="Arial" w:hAnsi="Arial" w:cs="Arial"/>
          <w:sz w:val="20"/>
          <w:szCs w:val="20"/>
        </w:rPr>
      </w:pPr>
      <w:proofErr w:type="spellStart"/>
      <w:r w:rsidRPr="00C73F02">
        <w:rPr>
          <w:rFonts w:ascii="Arial" w:hAnsi="Arial" w:cs="Arial"/>
          <w:sz w:val="20"/>
          <w:szCs w:val="20"/>
        </w:rPr>
        <w:t>Akpan</w:t>
      </w:r>
      <w:proofErr w:type="spellEnd"/>
      <w:r>
        <w:rPr>
          <w:rFonts w:ascii="Arial" w:hAnsi="Arial" w:cs="Arial"/>
          <w:sz w:val="20"/>
          <w:szCs w:val="20"/>
        </w:rPr>
        <w:t>, U;</w:t>
      </w:r>
      <w:r w:rsidRPr="00C73F02">
        <w:rPr>
          <w:rFonts w:ascii="Arial" w:hAnsi="Arial" w:cs="Arial"/>
          <w:sz w:val="20"/>
          <w:szCs w:val="20"/>
        </w:rPr>
        <w:t xml:space="preserve"> </w:t>
      </w:r>
      <w:proofErr w:type="spellStart"/>
      <w:r w:rsidRPr="00C73F02">
        <w:rPr>
          <w:rFonts w:ascii="Arial" w:hAnsi="Arial" w:cs="Arial"/>
          <w:sz w:val="20"/>
          <w:szCs w:val="20"/>
        </w:rPr>
        <w:t>Asibong</w:t>
      </w:r>
      <w:proofErr w:type="spellEnd"/>
      <w:r>
        <w:rPr>
          <w:rFonts w:ascii="Arial" w:hAnsi="Arial" w:cs="Arial"/>
          <w:sz w:val="20"/>
          <w:szCs w:val="20"/>
        </w:rPr>
        <w:t>, U;</w:t>
      </w:r>
      <w:r w:rsidRPr="00C73F02">
        <w:rPr>
          <w:rFonts w:ascii="Arial" w:hAnsi="Arial" w:cs="Arial"/>
          <w:sz w:val="20"/>
          <w:szCs w:val="20"/>
        </w:rPr>
        <w:t xml:space="preserve"> </w:t>
      </w:r>
      <w:proofErr w:type="spellStart"/>
      <w:r w:rsidRPr="00C73F02">
        <w:rPr>
          <w:rFonts w:ascii="Arial" w:hAnsi="Arial" w:cs="Arial"/>
          <w:sz w:val="20"/>
          <w:szCs w:val="20"/>
        </w:rPr>
        <w:t>Arogundade</w:t>
      </w:r>
      <w:proofErr w:type="spellEnd"/>
      <w:r>
        <w:rPr>
          <w:rFonts w:ascii="Arial" w:hAnsi="Arial" w:cs="Arial"/>
          <w:sz w:val="20"/>
          <w:szCs w:val="20"/>
        </w:rPr>
        <w:t xml:space="preserve">, K; et al. (2021). </w:t>
      </w:r>
      <w:r w:rsidRPr="00C73F02">
        <w:rPr>
          <w:rFonts w:ascii="Arial" w:hAnsi="Arial" w:cs="Arial"/>
          <w:sz w:val="20"/>
          <w:szCs w:val="20"/>
        </w:rPr>
        <w:t>Effectiveness of Pre-operative Rectal Misoprostol in Reducing Blood Loss during Caesarean section for Placenta Previa and Manual Removal of Retained Placenta: A Parallel Placebo-Controlled Study. Open Access Maced</w:t>
      </w:r>
      <w:r>
        <w:rPr>
          <w:rFonts w:ascii="Arial" w:hAnsi="Arial" w:cs="Arial"/>
          <w:sz w:val="20"/>
          <w:szCs w:val="20"/>
        </w:rPr>
        <w:t>onian</w:t>
      </w:r>
      <w:r w:rsidRPr="00C73F02">
        <w:rPr>
          <w:rFonts w:ascii="Arial" w:hAnsi="Arial" w:cs="Arial"/>
          <w:sz w:val="20"/>
          <w:szCs w:val="20"/>
        </w:rPr>
        <w:t xml:space="preserve"> J</w:t>
      </w:r>
      <w:r>
        <w:rPr>
          <w:rFonts w:ascii="Arial" w:hAnsi="Arial" w:cs="Arial"/>
          <w:sz w:val="20"/>
          <w:szCs w:val="20"/>
        </w:rPr>
        <w:t>ournal of</w:t>
      </w:r>
      <w:r w:rsidRPr="00C73F02">
        <w:rPr>
          <w:rFonts w:ascii="Arial" w:hAnsi="Arial" w:cs="Arial"/>
          <w:sz w:val="20"/>
          <w:szCs w:val="20"/>
        </w:rPr>
        <w:t xml:space="preserve"> Med</w:t>
      </w:r>
      <w:r>
        <w:rPr>
          <w:rFonts w:ascii="Arial" w:hAnsi="Arial" w:cs="Arial"/>
          <w:sz w:val="20"/>
          <w:szCs w:val="20"/>
        </w:rPr>
        <w:t>ical</w:t>
      </w:r>
      <w:r w:rsidRPr="00C73F02">
        <w:rPr>
          <w:rFonts w:ascii="Arial" w:hAnsi="Arial" w:cs="Arial"/>
          <w:sz w:val="20"/>
          <w:szCs w:val="20"/>
        </w:rPr>
        <w:t xml:space="preserve"> Sci</w:t>
      </w:r>
      <w:r>
        <w:rPr>
          <w:rFonts w:ascii="Arial" w:hAnsi="Arial" w:cs="Arial"/>
          <w:sz w:val="20"/>
          <w:szCs w:val="20"/>
        </w:rPr>
        <w:t xml:space="preserve">ences. </w:t>
      </w:r>
      <w:r w:rsidRPr="00C73F02">
        <w:rPr>
          <w:rFonts w:ascii="Arial" w:hAnsi="Arial" w:cs="Arial"/>
          <w:sz w:val="20"/>
          <w:szCs w:val="20"/>
        </w:rPr>
        <w:t>9(B):161-166.</w:t>
      </w:r>
    </w:p>
    <w:p w:rsidR="00F47DDC" w:rsidRDefault="00F47DDC" w:rsidP="00F47DDC">
      <w:pPr>
        <w:pStyle w:val="ListParagraph"/>
        <w:spacing w:line="240" w:lineRule="auto"/>
        <w:jc w:val="both"/>
        <w:rPr>
          <w:rFonts w:ascii="Arial" w:hAnsi="Arial" w:cs="Arial"/>
          <w:sz w:val="20"/>
          <w:szCs w:val="20"/>
        </w:rPr>
      </w:pPr>
    </w:p>
    <w:p w:rsidR="00F47DDC" w:rsidRPr="00F47DDC" w:rsidRDefault="00F47DDC" w:rsidP="00F47DDC">
      <w:pPr>
        <w:pStyle w:val="ListParagraph"/>
        <w:spacing w:line="240" w:lineRule="auto"/>
        <w:jc w:val="both"/>
        <w:rPr>
          <w:rFonts w:ascii="Arial" w:hAnsi="Arial" w:cs="Arial"/>
          <w:sz w:val="20"/>
          <w:szCs w:val="20"/>
        </w:rPr>
      </w:pPr>
      <w:r w:rsidRPr="00F47DDC">
        <w:rPr>
          <w:rFonts w:ascii="Arial" w:hAnsi="Arial" w:cs="Arial"/>
          <w:sz w:val="20"/>
          <w:szCs w:val="20"/>
        </w:rPr>
        <w:t>American College of Obstetrician and Gynaecologist (2017). Postpartum Haemorrhage. Practice Bulletin No. 183, 2017.</w:t>
      </w:r>
    </w:p>
    <w:p w:rsidR="00DA64AC" w:rsidRPr="00DA64AC" w:rsidRDefault="00DA64AC" w:rsidP="00DA64AC">
      <w:pPr>
        <w:pStyle w:val="ListParagraph"/>
        <w:spacing w:line="240" w:lineRule="auto"/>
        <w:jc w:val="both"/>
        <w:rPr>
          <w:rFonts w:ascii="Arial" w:hAnsi="Arial" w:cs="Arial"/>
          <w:sz w:val="20"/>
          <w:szCs w:val="20"/>
        </w:rPr>
      </w:pPr>
    </w:p>
    <w:p w:rsidR="0083368C" w:rsidRDefault="0083368C" w:rsidP="0083368C">
      <w:pPr>
        <w:pStyle w:val="ListParagraph"/>
        <w:spacing w:line="240" w:lineRule="auto"/>
        <w:jc w:val="both"/>
        <w:rPr>
          <w:rFonts w:ascii="Arial" w:hAnsi="Arial" w:cs="Arial"/>
          <w:sz w:val="20"/>
          <w:szCs w:val="20"/>
        </w:rPr>
      </w:pPr>
      <w:r w:rsidRPr="00C73F02">
        <w:rPr>
          <w:rFonts w:ascii="Arial" w:hAnsi="Arial" w:cs="Arial"/>
          <w:sz w:val="20"/>
          <w:szCs w:val="20"/>
        </w:rPr>
        <w:t>Andrade C.</w:t>
      </w:r>
      <w:r>
        <w:rPr>
          <w:rFonts w:ascii="Arial" w:hAnsi="Arial" w:cs="Arial"/>
          <w:sz w:val="20"/>
          <w:szCs w:val="20"/>
        </w:rPr>
        <w:t xml:space="preserve"> (2020).</w:t>
      </w:r>
      <w:r w:rsidRPr="00C73F02">
        <w:rPr>
          <w:rFonts w:ascii="Arial" w:hAnsi="Arial" w:cs="Arial"/>
          <w:sz w:val="20"/>
          <w:szCs w:val="20"/>
        </w:rPr>
        <w:t xml:space="preserve"> Sample size and its importance in Resear</w:t>
      </w:r>
      <w:r>
        <w:rPr>
          <w:rFonts w:ascii="Arial" w:hAnsi="Arial" w:cs="Arial"/>
          <w:sz w:val="20"/>
          <w:szCs w:val="20"/>
        </w:rPr>
        <w:t>ch.  Indian Journal of Psychological Medicine.</w:t>
      </w:r>
      <w:r w:rsidRPr="00C73F02">
        <w:rPr>
          <w:rFonts w:ascii="Arial" w:hAnsi="Arial" w:cs="Arial"/>
          <w:sz w:val="20"/>
          <w:szCs w:val="20"/>
        </w:rPr>
        <w:t xml:space="preserve"> 42 (1):102-103. </w:t>
      </w:r>
    </w:p>
    <w:p w:rsidR="008C1943" w:rsidRDefault="008C1943" w:rsidP="0083368C">
      <w:pPr>
        <w:pStyle w:val="ListParagraph"/>
        <w:spacing w:line="240" w:lineRule="auto"/>
        <w:jc w:val="both"/>
        <w:rPr>
          <w:rFonts w:ascii="Arial" w:hAnsi="Arial" w:cs="Arial"/>
          <w:sz w:val="20"/>
          <w:szCs w:val="20"/>
        </w:rPr>
      </w:pPr>
    </w:p>
    <w:p w:rsidR="00A34A38" w:rsidRDefault="008C1943" w:rsidP="00A34A38">
      <w:pPr>
        <w:pStyle w:val="ListParagraph"/>
        <w:spacing w:line="240" w:lineRule="auto"/>
        <w:jc w:val="both"/>
        <w:rPr>
          <w:rFonts w:ascii="Arial" w:hAnsi="Arial" w:cs="Arial"/>
          <w:sz w:val="20"/>
          <w:szCs w:val="20"/>
        </w:rPr>
      </w:pPr>
      <w:proofErr w:type="spellStart"/>
      <w:r w:rsidRPr="00C73F02">
        <w:rPr>
          <w:rFonts w:ascii="Arial" w:hAnsi="Arial" w:cs="Arial"/>
          <w:sz w:val="20"/>
          <w:szCs w:val="20"/>
        </w:rPr>
        <w:t>Aworinde</w:t>
      </w:r>
      <w:proofErr w:type="spellEnd"/>
      <w:r>
        <w:rPr>
          <w:rFonts w:ascii="Arial" w:hAnsi="Arial" w:cs="Arial"/>
          <w:sz w:val="20"/>
          <w:szCs w:val="20"/>
        </w:rPr>
        <w:t>, O.O;</w:t>
      </w:r>
      <w:r w:rsidRPr="00C73F02">
        <w:rPr>
          <w:rFonts w:ascii="Arial" w:hAnsi="Arial" w:cs="Arial"/>
          <w:sz w:val="20"/>
          <w:szCs w:val="20"/>
        </w:rPr>
        <w:t xml:space="preserve"> </w:t>
      </w:r>
      <w:proofErr w:type="spellStart"/>
      <w:r w:rsidRPr="00C73F02">
        <w:rPr>
          <w:rFonts w:ascii="Arial" w:hAnsi="Arial" w:cs="Arial"/>
          <w:sz w:val="20"/>
          <w:szCs w:val="20"/>
        </w:rPr>
        <w:t>Olufemi-Aworinde</w:t>
      </w:r>
      <w:proofErr w:type="spellEnd"/>
      <w:r>
        <w:rPr>
          <w:rFonts w:ascii="Arial" w:hAnsi="Arial" w:cs="Arial"/>
          <w:sz w:val="20"/>
          <w:szCs w:val="20"/>
        </w:rPr>
        <w:t>, K.J;</w:t>
      </w:r>
      <w:r w:rsidRPr="00C73F02">
        <w:rPr>
          <w:rFonts w:ascii="Arial" w:hAnsi="Arial" w:cs="Arial"/>
          <w:sz w:val="20"/>
          <w:szCs w:val="20"/>
        </w:rPr>
        <w:t xml:space="preserve"> </w:t>
      </w:r>
      <w:proofErr w:type="spellStart"/>
      <w:r w:rsidRPr="00C73F02">
        <w:rPr>
          <w:rFonts w:ascii="Arial" w:hAnsi="Arial" w:cs="Arial"/>
          <w:sz w:val="20"/>
          <w:szCs w:val="20"/>
        </w:rPr>
        <w:t>Ogunlaja</w:t>
      </w:r>
      <w:proofErr w:type="spellEnd"/>
      <w:r>
        <w:rPr>
          <w:rFonts w:ascii="Arial" w:hAnsi="Arial" w:cs="Arial"/>
          <w:sz w:val="20"/>
          <w:szCs w:val="20"/>
        </w:rPr>
        <w:t>, O.A; et al. (2018).</w:t>
      </w:r>
      <w:r w:rsidRPr="00C73F02">
        <w:rPr>
          <w:rFonts w:ascii="Arial" w:hAnsi="Arial" w:cs="Arial"/>
          <w:sz w:val="20"/>
          <w:szCs w:val="20"/>
        </w:rPr>
        <w:t xml:space="preserve"> Optimal timing of post-operative haematocrit check in obstetric and gynecological sur</w:t>
      </w:r>
      <w:r>
        <w:rPr>
          <w:rFonts w:ascii="Arial" w:hAnsi="Arial" w:cs="Arial"/>
          <w:sz w:val="20"/>
          <w:szCs w:val="20"/>
        </w:rPr>
        <w:t xml:space="preserve">geries. Research Journal of Health Sciences. </w:t>
      </w:r>
      <w:r w:rsidRPr="00C73F02">
        <w:rPr>
          <w:rFonts w:ascii="Arial" w:hAnsi="Arial" w:cs="Arial"/>
          <w:sz w:val="20"/>
          <w:szCs w:val="20"/>
        </w:rPr>
        <w:t>6(1):35-42.</w:t>
      </w:r>
    </w:p>
    <w:p w:rsidR="00A34A38" w:rsidRDefault="00A34A38" w:rsidP="00A34A38">
      <w:pPr>
        <w:pStyle w:val="ListParagraph"/>
        <w:spacing w:line="240" w:lineRule="auto"/>
        <w:jc w:val="both"/>
        <w:rPr>
          <w:rFonts w:ascii="Arial" w:hAnsi="Arial" w:cs="Arial"/>
          <w:sz w:val="20"/>
          <w:szCs w:val="20"/>
        </w:rPr>
      </w:pPr>
    </w:p>
    <w:p w:rsidR="00A34A38" w:rsidRPr="00A34A38" w:rsidRDefault="00A34A38" w:rsidP="00A34A38">
      <w:pPr>
        <w:pStyle w:val="ListParagraph"/>
        <w:spacing w:line="240" w:lineRule="auto"/>
        <w:jc w:val="both"/>
        <w:rPr>
          <w:rFonts w:ascii="Arial" w:hAnsi="Arial" w:cs="Arial"/>
          <w:sz w:val="20"/>
          <w:szCs w:val="20"/>
        </w:rPr>
      </w:pPr>
      <w:proofErr w:type="spellStart"/>
      <w:r>
        <w:rPr>
          <w:rFonts w:ascii="Arial" w:hAnsi="Arial" w:cs="Arial"/>
          <w:sz w:val="20"/>
          <w:szCs w:val="20"/>
        </w:rPr>
        <w:t>Gallos</w:t>
      </w:r>
      <w:proofErr w:type="spellEnd"/>
      <w:r>
        <w:rPr>
          <w:rFonts w:ascii="Arial" w:hAnsi="Arial" w:cs="Arial"/>
          <w:sz w:val="20"/>
          <w:szCs w:val="20"/>
        </w:rPr>
        <w:t xml:space="preserve"> </w:t>
      </w:r>
      <w:r w:rsidR="00B96C82">
        <w:rPr>
          <w:rFonts w:ascii="Arial" w:hAnsi="Arial" w:cs="Arial"/>
          <w:sz w:val="20"/>
          <w:szCs w:val="20"/>
        </w:rPr>
        <w:t>I</w:t>
      </w:r>
      <w:r>
        <w:rPr>
          <w:rFonts w:ascii="Arial" w:hAnsi="Arial" w:cs="Arial"/>
          <w:sz w:val="20"/>
          <w:szCs w:val="20"/>
        </w:rPr>
        <w:t>, Williams H, Prince M</w:t>
      </w:r>
      <w:r w:rsidR="00B96C82">
        <w:rPr>
          <w:rFonts w:ascii="Arial" w:hAnsi="Arial" w:cs="Arial"/>
          <w:sz w:val="20"/>
          <w:szCs w:val="20"/>
        </w:rPr>
        <w:t>, et al. (2019)</w:t>
      </w:r>
      <w:r>
        <w:rPr>
          <w:rFonts w:ascii="Arial" w:hAnsi="Arial" w:cs="Arial"/>
          <w:sz w:val="20"/>
          <w:szCs w:val="20"/>
        </w:rPr>
        <w:t>. Uterotonic drugs to prevent postpartum haemorrhage: a network meta-analysis. Health Tech</w:t>
      </w:r>
      <w:r w:rsidR="00B96C82">
        <w:rPr>
          <w:rFonts w:ascii="Arial" w:hAnsi="Arial" w:cs="Arial"/>
          <w:sz w:val="20"/>
          <w:szCs w:val="20"/>
        </w:rPr>
        <w:t>n</w:t>
      </w:r>
      <w:r>
        <w:rPr>
          <w:rFonts w:ascii="Arial" w:hAnsi="Arial" w:cs="Arial"/>
          <w:sz w:val="20"/>
          <w:szCs w:val="20"/>
        </w:rPr>
        <w:t>ol Assess</w:t>
      </w:r>
      <w:r w:rsidR="00B96C82">
        <w:rPr>
          <w:rFonts w:ascii="Arial" w:hAnsi="Arial" w:cs="Arial"/>
          <w:sz w:val="20"/>
          <w:szCs w:val="20"/>
        </w:rPr>
        <w:t>. 23:1-356.</w:t>
      </w:r>
    </w:p>
    <w:p w:rsidR="008C1943" w:rsidRPr="008C1943" w:rsidRDefault="008C1943" w:rsidP="008C1943">
      <w:pPr>
        <w:pStyle w:val="ListParagraph"/>
        <w:spacing w:line="240" w:lineRule="auto"/>
        <w:jc w:val="both"/>
        <w:rPr>
          <w:rFonts w:ascii="Arial" w:hAnsi="Arial" w:cs="Arial"/>
          <w:sz w:val="20"/>
          <w:szCs w:val="20"/>
        </w:rPr>
      </w:pPr>
    </w:p>
    <w:p w:rsidR="0083368C" w:rsidRDefault="0083368C" w:rsidP="0083368C">
      <w:pPr>
        <w:pStyle w:val="ListParagraph"/>
        <w:spacing w:line="240" w:lineRule="auto"/>
        <w:jc w:val="both"/>
        <w:rPr>
          <w:rFonts w:ascii="Arial" w:hAnsi="Arial" w:cs="Arial"/>
          <w:sz w:val="20"/>
          <w:szCs w:val="20"/>
        </w:rPr>
      </w:pPr>
      <w:proofErr w:type="spellStart"/>
      <w:r w:rsidRPr="00C73F02">
        <w:rPr>
          <w:rFonts w:ascii="Arial" w:hAnsi="Arial" w:cs="Arial"/>
          <w:sz w:val="20"/>
          <w:szCs w:val="20"/>
        </w:rPr>
        <w:t>Gerdessen</w:t>
      </w:r>
      <w:proofErr w:type="spellEnd"/>
      <w:r>
        <w:rPr>
          <w:rFonts w:ascii="Arial" w:hAnsi="Arial" w:cs="Arial"/>
          <w:sz w:val="20"/>
          <w:szCs w:val="20"/>
        </w:rPr>
        <w:t xml:space="preserve">, L; </w:t>
      </w:r>
      <w:proofErr w:type="spellStart"/>
      <w:r>
        <w:rPr>
          <w:rFonts w:ascii="Arial" w:hAnsi="Arial" w:cs="Arial"/>
          <w:sz w:val="20"/>
          <w:szCs w:val="20"/>
        </w:rPr>
        <w:t>Meybohm</w:t>
      </w:r>
      <w:proofErr w:type="spellEnd"/>
      <w:r>
        <w:rPr>
          <w:rFonts w:ascii="Arial" w:hAnsi="Arial" w:cs="Arial"/>
          <w:sz w:val="20"/>
          <w:szCs w:val="20"/>
        </w:rPr>
        <w:t xml:space="preserve">, P; </w:t>
      </w:r>
      <w:proofErr w:type="spellStart"/>
      <w:r w:rsidRPr="00C73F02">
        <w:rPr>
          <w:rFonts w:ascii="Arial" w:hAnsi="Arial" w:cs="Arial"/>
          <w:sz w:val="20"/>
          <w:szCs w:val="20"/>
        </w:rPr>
        <w:t>Choorapoikayil</w:t>
      </w:r>
      <w:proofErr w:type="spellEnd"/>
      <w:r>
        <w:rPr>
          <w:rFonts w:ascii="Arial" w:hAnsi="Arial" w:cs="Arial"/>
          <w:sz w:val="20"/>
          <w:szCs w:val="20"/>
        </w:rPr>
        <w:t xml:space="preserve">, S; et al. (2021). </w:t>
      </w:r>
      <w:r w:rsidRPr="00C73F02">
        <w:rPr>
          <w:rFonts w:ascii="Arial" w:hAnsi="Arial" w:cs="Arial"/>
          <w:sz w:val="20"/>
          <w:szCs w:val="20"/>
        </w:rPr>
        <w:t>Comparison of common perioperative blood loss estimation techniques: a systematic review and meta-analysis. J</w:t>
      </w:r>
      <w:r>
        <w:rPr>
          <w:rFonts w:ascii="Arial" w:hAnsi="Arial" w:cs="Arial"/>
          <w:sz w:val="20"/>
          <w:szCs w:val="20"/>
        </w:rPr>
        <w:t>ournal of</w:t>
      </w:r>
      <w:r w:rsidRPr="00C73F02">
        <w:rPr>
          <w:rFonts w:ascii="Arial" w:hAnsi="Arial" w:cs="Arial"/>
          <w:sz w:val="20"/>
          <w:szCs w:val="20"/>
        </w:rPr>
        <w:t xml:space="preserve"> Clin</w:t>
      </w:r>
      <w:r>
        <w:rPr>
          <w:rFonts w:ascii="Arial" w:hAnsi="Arial" w:cs="Arial"/>
          <w:sz w:val="20"/>
          <w:szCs w:val="20"/>
        </w:rPr>
        <w:t>ical</w:t>
      </w:r>
      <w:r w:rsidRPr="00C73F02">
        <w:rPr>
          <w:rFonts w:ascii="Arial" w:hAnsi="Arial" w:cs="Arial"/>
          <w:sz w:val="20"/>
          <w:szCs w:val="20"/>
        </w:rPr>
        <w:t xml:space="preserve"> Moni</w:t>
      </w:r>
      <w:r>
        <w:rPr>
          <w:rFonts w:ascii="Arial" w:hAnsi="Arial" w:cs="Arial"/>
          <w:sz w:val="20"/>
          <w:szCs w:val="20"/>
        </w:rPr>
        <w:t xml:space="preserve">toring and Computing. </w:t>
      </w:r>
      <w:r w:rsidRPr="00C73F02">
        <w:rPr>
          <w:rFonts w:ascii="Arial" w:hAnsi="Arial" w:cs="Arial"/>
          <w:sz w:val="20"/>
          <w:szCs w:val="20"/>
        </w:rPr>
        <w:t>35(2):245-248.</w:t>
      </w:r>
    </w:p>
    <w:p w:rsidR="00DA64AC" w:rsidRDefault="00DA64AC" w:rsidP="0083368C">
      <w:pPr>
        <w:pStyle w:val="ListParagraph"/>
        <w:spacing w:line="240" w:lineRule="auto"/>
        <w:jc w:val="both"/>
        <w:rPr>
          <w:rFonts w:ascii="Arial" w:hAnsi="Arial" w:cs="Arial"/>
          <w:sz w:val="20"/>
          <w:szCs w:val="20"/>
        </w:rPr>
      </w:pPr>
    </w:p>
    <w:p w:rsidR="00DA64AC" w:rsidRDefault="00DA64AC" w:rsidP="00DA64AC">
      <w:pPr>
        <w:pStyle w:val="ListParagraph"/>
        <w:spacing w:line="240" w:lineRule="auto"/>
        <w:jc w:val="both"/>
        <w:rPr>
          <w:rFonts w:ascii="Arial" w:hAnsi="Arial" w:cs="Arial"/>
          <w:sz w:val="20"/>
          <w:szCs w:val="20"/>
        </w:rPr>
      </w:pPr>
      <w:proofErr w:type="spellStart"/>
      <w:r w:rsidRPr="00C73F02">
        <w:rPr>
          <w:rFonts w:ascii="Arial" w:hAnsi="Arial" w:cs="Arial"/>
          <w:sz w:val="20"/>
          <w:szCs w:val="20"/>
        </w:rPr>
        <w:t>Karya</w:t>
      </w:r>
      <w:proofErr w:type="spellEnd"/>
      <w:r>
        <w:rPr>
          <w:rFonts w:ascii="Arial" w:hAnsi="Arial" w:cs="Arial"/>
          <w:sz w:val="20"/>
          <w:szCs w:val="20"/>
        </w:rPr>
        <w:t>, U;</w:t>
      </w:r>
      <w:r w:rsidRPr="00C73F02">
        <w:rPr>
          <w:rFonts w:ascii="Arial" w:hAnsi="Arial" w:cs="Arial"/>
          <w:sz w:val="20"/>
          <w:szCs w:val="20"/>
        </w:rPr>
        <w:t xml:space="preserve"> </w:t>
      </w:r>
      <w:proofErr w:type="spellStart"/>
      <w:r w:rsidRPr="00C73F02">
        <w:rPr>
          <w:rFonts w:ascii="Arial" w:hAnsi="Arial" w:cs="Arial"/>
          <w:sz w:val="20"/>
          <w:szCs w:val="20"/>
        </w:rPr>
        <w:t>Maheshwari</w:t>
      </w:r>
      <w:proofErr w:type="spellEnd"/>
      <w:r>
        <w:rPr>
          <w:rFonts w:ascii="Arial" w:hAnsi="Arial" w:cs="Arial"/>
          <w:sz w:val="20"/>
          <w:szCs w:val="20"/>
        </w:rPr>
        <w:t xml:space="preserve">, S &amp; </w:t>
      </w:r>
      <w:r w:rsidRPr="00C73F02">
        <w:rPr>
          <w:rFonts w:ascii="Arial" w:hAnsi="Arial" w:cs="Arial"/>
          <w:sz w:val="20"/>
          <w:szCs w:val="20"/>
        </w:rPr>
        <w:t>Rani</w:t>
      </w:r>
      <w:r>
        <w:rPr>
          <w:rFonts w:ascii="Arial" w:hAnsi="Arial" w:cs="Arial"/>
          <w:sz w:val="20"/>
          <w:szCs w:val="20"/>
        </w:rPr>
        <w:t>,</w:t>
      </w:r>
      <w:r w:rsidRPr="00C73F02">
        <w:rPr>
          <w:rFonts w:ascii="Arial" w:hAnsi="Arial" w:cs="Arial"/>
          <w:sz w:val="20"/>
          <w:szCs w:val="20"/>
        </w:rPr>
        <w:t xml:space="preserve"> A.</w:t>
      </w:r>
      <w:r>
        <w:rPr>
          <w:rFonts w:ascii="Arial" w:hAnsi="Arial" w:cs="Arial"/>
          <w:sz w:val="20"/>
          <w:szCs w:val="20"/>
        </w:rPr>
        <w:t xml:space="preserve"> (2021).</w:t>
      </w:r>
      <w:r w:rsidRPr="00C73F02">
        <w:rPr>
          <w:rFonts w:ascii="Arial" w:hAnsi="Arial" w:cs="Arial"/>
          <w:sz w:val="20"/>
          <w:szCs w:val="20"/>
        </w:rPr>
        <w:t xml:space="preserve"> Uterotonic effect of rectal misoprostol of intraoperative and postoperative blood loss in caesarean delivery. Int</w:t>
      </w:r>
      <w:r>
        <w:rPr>
          <w:rFonts w:ascii="Arial" w:hAnsi="Arial" w:cs="Arial"/>
          <w:sz w:val="20"/>
          <w:szCs w:val="20"/>
        </w:rPr>
        <w:t>ernational</w:t>
      </w:r>
      <w:r w:rsidRPr="00C73F02">
        <w:rPr>
          <w:rFonts w:ascii="Arial" w:hAnsi="Arial" w:cs="Arial"/>
          <w:sz w:val="20"/>
          <w:szCs w:val="20"/>
        </w:rPr>
        <w:t xml:space="preserve"> J</w:t>
      </w:r>
      <w:r>
        <w:rPr>
          <w:rFonts w:ascii="Arial" w:hAnsi="Arial" w:cs="Arial"/>
          <w:sz w:val="20"/>
          <w:szCs w:val="20"/>
        </w:rPr>
        <w:t>ournal of</w:t>
      </w:r>
      <w:r w:rsidRPr="00C73F02">
        <w:rPr>
          <w:rFonts w:ascii="Arial" w:hAnsi="Arial" w:cs="Arial"/>
          <w:sz w:val="20"/>
          <w:szCs w:val="20"/>
        </w:rPr>
        <w:t xml:space="preserve"> Rep</w:t>
      </w:r>
      <w:r>
        <w:rPr>
          <w:rFonts w:ascii="Arial" w:hAnsi="Arial" w:cs="Arial"/>
          <w:sz w:val="20"/>
          <w:szCs w:val="20"/>
        </w:rPr>
        <w:t>roduction,</w:t>
      </w:r>
      <w:r w:rsidRPr="00C73F02">
        <w:rPr>
          <w:rFonts w:ascii="Arial" w:hAnsi="Arial" w:cs="Arial"/>
          <w:sz w:val="20"/>
          <w:szCs w:val="20"/>
        </w:rPr>
        <w:t xml:space="preserve"> </w:t>
      </w:r>
      <w:r>
        <w:rPr>
          <w:rFonts w:ascii="Arial" w:hAnsi="Arial" w:cs="Arial"/>
          <w:sz w:val="20"/>
          <w:szCs w:val="20"/>
        </w:rPr>
        <w:t xml:space="preserve">Contraception, Obstetrics and Gynecology. </w:t>
      </w:r>
      <w:r w:rsidRPr="00C73F02">
        <w:rPr>
          <w:rFonts w:ascii="Arial" w:hAnsi="Arial" w:cs="Arial"/>
          <w:sz w:val="20"/>
          <w:szCs w:val="20"/>
        </w:rPr>
        <w:t>10(4):1415-1420.</w:t>
      </w:r>
    </w:p>
    <w:p w:rsidR="00DA64AC" w:rsidRDefault="00DA64AC" w:rsidP="00DA64AC">
      <w:pPr>
        <w:pStyle w:val="ListParagraph"/>
        <w:spacing w:line="240" w:lineRule="auto"/>
        <w:jc w:val="both"/>
        <w:rPr>
          <w:rFonts w:ascii="Arial" w:hAnsi="Arial" w:cs="Arial"/>
          <w:sz w:val="20"/>
          <w:szCs w:val="20"/>
        </w:rPr>
      </w:pPr>
    </w:p>
    <w:p w:rsidR="00DA64AC" w:rsidRPr="00DA64AC" w:rsidRDefault="00DA64AC" w:rsidP="00DA64AC">
      <w:pPr>
        <w:pStyle w:val="ListParagraph"/>
        <w:spacing w:line="240" w:lineRule="auto"/>
        <w:jc w:val="both"/>
        <w:rPr>
          <w:rFonts w:ascii="Arial" w:hAnsi="Arial" w:cs="Arial"/>
          <w:sz w:val="20"/>
          <w:szCs w:val="20"/>
        </w:rPr>
      </w:pPr>
      <w:proofErr w:type="spellStart"/>
      <w:r>
        <w:rPr>
          <w:rFonts w:ascii="Arial" w:hAnsi="Arial" w:cs="Arial"/>
          <w:sz w:val="20"/>
          <w:szCs w:val="20"/>
        </w:rPr>
        <w:t>Khalfaouni</w:t>
      </w:r>
      <w:proofErr w:type="spellEnd"/>
      <w:r>
        <w:rPr>
          <w:rFonts w:ascii="Arial" w:hAnsi="Arial" w:cs="Arial"/>
          <w:sz w:val="20"/>
          <w:szCs w:val="20"/>
        </w:rPr>
        <w:t xml:space="preserve">, </w:t>
      </w:r>
      <w:r w:rsidRPr="00C73F02">
        <w:rPr>
          <w:rFonts w:ascii="Arial" w:hAnsi="Arial" w:cs="Arial"/>
          <w:sz w:val="20"/>
          <w:szCs w:val="20"/>
        </w:rPr>
        <w:t>M</w:t>
      </w:r>
      <w:r>
        <w:rPr>
          <w:rFonts w:ascii="Arial" w:hAnsi="Arial" w:cs="Arial"/>
          <w:sz w:val="20"/>
          <w:szCs w:val="20"/>
        </w:rPr>
        <w:t xml:space="preserve">.Y, </w:t>
      </w:r>
      <w:proofErr w:type="spellStart"/>
      <w:r>
        <w:rPr>
          <w:rFonts w:ascii="Arial" w:hAnsi="Arial" w:cs="Arial"/>
          <w:sz w:val="20"/>
          <w:szCs w:val="20"/>
        </w:rPr>
        <w:t>Godaritarne</w:t>
      </w:r>
      <w:proofErr w:type="spellEnd"/>
      <w:r>
        <w:rPr>
          <w:rFonts w:ascii="Arial" w:hAnsi="Arial" w:cs="Arial"/>
          <w:sz w:val="20"/>
          <w:szCs w:val="20"/>
        </w:rPr>
        <w:t xml:space="preserve">, C &amp; Wilkinson, </w:t>
      </w:r>
      <w:r w:rsidRPr="00C73F02">
        <w:rPr>
          <w:rFonts w:ascii="Arial" w:hAnsi="Arial" w:cs="Arial"/>
          <w:sz w:val="20"/>
          <w:szCs w:val="20"/>
        </w:rPr>
        <w:t>M</w:t>
      </w:r>
      <w:r>
        <w:rPr>
          <w:rFonts w:ascii="Arial" w:hAnsi="Arial" w:cs="Arial"/>
          <w:sz w:val="20"/>
          <w:szCs w:val="20"/>
        </w:rPr>
        <w:t>.</w:t>
      </w:r>
      <w:r w:rsidRPr="00C73F02">
        <w:rPr>
          <w:rFonts w:ascii="Arial" w:hAnsi="Arial" w:cs="Arial"/>
          <w:sz w:val="20"/>
          <w:szCs w:val="20"/>
        </w:rPr>
        <w:t>C</w:t>
      </w:r>
      <w:r>
        <w:rPr>
          <w:rFonts w:ascii="Arial" w:hAnsi="Arial" w:cs="Arial"/>
          <w:sz w:val="20"/>
          <w:szCs w:val="20"/>
        </w:rPr>
        <w:t>.</w:t>
      </w:r>
      <w:r w:rsidRPr="00C73F02">
        <w:rPr>
          <w:rFonts w:ascii="Arial" w:hAnsi="Arial" w:cs="Arial"/>
          <w:sz w:val="20"/>
          <w:szCs w:val="20"/>
        </w:rPr>
        <w:t xml:space="preserve">P. </w:t>
      </w:r>
      <w:r>
        <w:rPr>
          <w:rFonts w:ascii="Arial" w:hAnsi="Arial" w:cs="Arial"/>
          <w:sz w:val="20"/>
          <w:szCs w:val="20"/>
        </w:rPr>
        <w:t xml:space="preserve">(2017). </w:t>
      </w:r>
      <w:r w:rsidRPr="00C73F02">
        <w:rPr>
          <w:rFonts w:ascii="Arial" w:hAnsi="Arial" w:cs="Arial"/>
          <w:sz w:val="20"/>
          <w:szCs w:val="20"/>
        </w:rPr>
        <w:t xml:space="preserve">Optimal Timing for Hemoglobin Concentration Determination after Total Knee Arthroplasty: Day 1 versus </w:t>
      </w:r>
      <w:r>
        <w:rPr>
          <w:rFonts w:ascii="Arial" w:hAnsi="Arial" w:cs="Arial"/>
          <w:sz w:val="20"/>
          <w:szCs w:val="20"/>
        </w:rPr>
        <w:t xml:space="preserve">Day 2. Knee Surgery Related Research. </w:t>
      </w:r>
      <w:r w:rsidRPr="00C73F02">
        <w:rPr>
          <w:rFonts w:ascii="Arial" w:hAnsi="Arial" w:cs="Arial"/>
          <w:sz w:val="20"/>
          <w:szCs w:val="20"/>
        </w:rPr>
        <w:t>29(1):52-56.</w:t>
      </w:r>
    </w:p>
    <w:p w:rsidR="008C1943" w:rsidRDefault="008C1943" w:rsidP="0083368C">
      <w:pPr>
        <w:pStyle w:val="ListParagraph"/>
        <w:spacing w:line="240" w:lineRule="auto"/>
        <w:jc w:val="both"/>
        <w:rPr>
          <w:rFonts w:ascii="Arial" w:hAnsi="Arial" w:cs="Arial"/>
          <w:sz w:val="20"/>
          <w:szCs w:val="20"/>
        </w:rPr>
      </w:pPr>
    </w:p>
    <w:p w:rsidR="00DA64AC" w:rsidRPr="00DA64AC" w:rsidRDefault="00DA64AC" w:rsidP="00DA64AC">
      <w:pPr>
        <w:pStyle w:val="ListParagraph"/>
        <w:spacing w:line="240" w:lineRule="auto"/>
        <w:jc w:val="both"/>
        <w:rPr>
          <w:rFonts w:ascii="Arial" w:hAnsi="Arial" w:cs="Arial"/>
          <w:sz w:val="20"/>
          <w:szCs w:val="20"/>
        </w:rPr>
      </w:pPr>
    </w:p>
    <w:p w:rsidR="0083368C" w:rsidRDefault="0083368C" w:rsidP="0083368C">
      <w:pPr>
        <w:pStyle w:val="ListParagraph"/>
        <w:spacing w:line="240" w:lineRule="auto"/>
        <w:jc w:val="both"/>
        <w:rPr>
          <w:rFonts w:ascii="Arial" w:hAnsi="Arial" w:cs="Arial"/>
          <w:sz w:val="20"/>
          <w:szCs w:val="20"/>
        </w:rPr>
      </w:pPr>
      <w:proofErr w:type="spellStart"/>
      <w:r>
        <w:rPr>
          <w:rFonts w:ascii="Arial" w:hAnsi="Arial" w:cs="Arial"/>
          <w:sz w:val="20"/>
          <w:szCs w:val="20"/>
        </w:rPr>
        <w:lastRenderedPageBreak/>
        <w:t>Maswine</w:t>
      </w:r>
      <w:proofErr w:type="spellEnd"/>
      <w:r>
        <w:rPr>
          <w:rFonts w:ascii="Arial" w:hAnsi="Arial" w:cs="Arial"/>
          <w:sz w:val="20"/>
          <w:szCs w:val="20"/>
        </w:rPr>
        <w:t xml:space="preserve">, S &amp; </w:t>
      </w:r>
      <w:proofErr w:type="spellStart"/>
      <w:r w:rsidRPr="00C73F02">
        <w:rPr>
          <w:rFonts w:ascii="Arial" w:hAnsi="Arial" w:cs="Arial"/>
          <w:sz w:val="20"/>
          <w:szCs w:val="20"/>
        </w:rPr>
        <w:t>Buchmann</w:t>
      </w:r>
      <w:proofErr w:type="spellEnd"/>
      <w:r>
        <w:rPr>
          <w:rFonts w:ascii="Arial" w:hAnsi="Arial" w:cs="Arial"/>
          <w:sz w:val="20"/>
          <w:szCs w:val="20"/>
        </w:rPr>
        <w:t>,</w:t>
      </w:r>
      <w:r w:rsidRPr="00C73F02">
        <w:rPr>
          <w:rFonts w:ascii="Arial" w:hAnsi="Arial" w:cs="Arial"/>
          <w:sz w:val="20"/>
          <w:szCs w:val="20"/>
        </w:rPr>
        <w:t xml:space="preserve"> E. </w:t>
      </w:r>
      <w:r>
        <w:rPr>
          <w:rFonts w:ascii="Arial" w:hAnsi="Arial" w:cs="Arial"/>
          <w:sz w:val="20"/>
          <w:szCs w:val="20"/>
        </w:rPr>
        <w:t xml:space="preserve">(2017). </w:t>
      </w:r>
      <w:r w:rsidRPr="00C73F02">
        <w:rPr>
          <w:rFonts w:ascii="Arial" w:hAnsi="Arial" w:cs="Arial"/>
          <w:sz w:val="20"/>
          <w:szCs w:val="20"/>
        </w:rPr>
        <w:t xml:space="preserve">A systematic review of maternal near miss and mortality due to postpartum haemorrhage. </w:t>
      </w:r>
      <w:r>
        <w:rPr>
          <w:rFonts w:ascii="Arial" w:hAnsi="Arial" w:cs="Arial"/>
          <w:sz w:val="20"/>
          <w:szCs w:val="20"/>
        </w:rPr>
        <w:t xml:space="preserve">International </w:t>
      </w:r>
      <w:r w:rsidRPr="00C73F02">
        <w:rPr>
          <w:rFonts w:ascii="Arial" w:hAnsi="Arial" w:cs="Arial"/>
          <w:sz w:val="20"/>
          <w:szCs w:val="20"/>
        </w:rPr>
        <w:t>J</w:t>
      </w:r>
      <w:r>
        <w:rPr>
          <w:rFonts w:ascii="Arial" w:hAnsi="Arial" w:cs="Arial"/>
          <w:sz w:val="20"/>
          <w:szCs w:val="20"/>
        </w:rPr>
        <w:t>ournal of Gynecology and</w:t>
      </w:r>
      <w:r w:rsidRPr="00C73F02">
        <w:rPr>
          <w:rFonts w:ascii="Arial" w:hAnsi="Arial" w:cs="Arial"/>
          <w:sz w:val="20"/>
          <w:szCs w:val="20"/>
        </w:rPr>
        <w:t xml:space="preserve"> Obstet</w:t>
      </w:r>
      <w:r>
        <w:rPr>
          <w:rFonts w:ascii="Arial" w:hAnsi="Arial" w:cs="Arial"/>
          <w:sz w:val="20"/>
          <w:szCs w:val="20"/>
        </w:rPr>
        <w:t>rics</w:t>
      </w:r>
      <w:r w:rsidRPr="00C73F02">
        <w:rPr>
          <w:rFonts w:ascii="Arial" w:hAnsi="Arial" w:cs="Arial"/>
          <w:sz w:val="20"/>
          <w:szCs w:val="20"/>
        </w:rPr>
        <w:t>.</w:t>
      </w:r>
      <w:r>
        <w:rPr>
          <w:rFonts w:ascii="Arial" w:hAnsi="Arial" w:cs="Arial"/>
          <w:sz w:val="20"/>
          <w:szCs w:val="20"/>
        </w:rPr>
        <w:t xml:space="preserve"> </w:t>
      </w:r>
      <w:r w:rsidRPr="00C73F02">
        <w:rPr>
          <w:rFonts w:ascii="Arial" w:hAnsi="Arial" w:cs="Arial"/>
          <w:sz w:val="20"/>
          <w:szCs w:val="20"/>
        </w:rPr>
        <w:t>137:1-7.</w:t>
      </w:r>
    </w:p>
    <w:p w:rsidR="008C1943" w:rsidRDefault="008C1943" w:rsidP="0083368C">
      <w:pPr>
        <w:pStyle w:val="ListParagraph"/>
        <w:spacing w:line="240" w:lineRule="auto"/>
        <w:jc w:val="both"/>
        <w:rPr>
          <w:rFonts w:ascii="Arial" w:hAnsi="Arial" w:cs="Arial"/>
          <w:sz w:val="20"/>
          <w:szCs w:val="20"/>
        </w:rPr>
      </w:pPr>
    </w:p>
    <w:p w:rsidR="008C1943" w:rsidRDefault="008C1943" w:rsidP="008C1943">
      <w:pPr>
        <w:pStyle w:val="ListParagraph"/>
        <w:spacing w:line="240" w:lineRule="auto"/>
        <w:jc w:val="both"/>
        <w:rPr>
          <w:rFonts w:ascii="Arial" w:hAnsi="Arial" w:cs="Arial"/>
          <w:sz w:val="20"/>
          <w:szCs w:val="20"/>
        </w:rPr>
      </w:pPr>
      <w:proofErr w:type="spellStart"/>
      <w:r>
        <w:rPr>
          <w:rFonts w:ascii="Arial" w:hAnsi="Arial" w:cs="Arial"/>
          <w:sz w:val="20"/>
          <w:szCs w:val="20"/>
        </w:rPr>
        <w:t>Mirteimouri</w:t>
      </w:r>
      <w:proofErr w:type="spellEnd"/>
      <w:r>
        <w:rPr>
          <w:rFonts w:ascii="Arial" w:hAnsi="Arial" w:cs="Arial"/>
          <w:sz w:val="20"/>
          <w:szCs w:val="20"/>
        </w:rPr>
        <w:t>, M;</w:t>
      </w:r>
      <w:r w:rsidRPr="00C73F02">
        <w:rPr>
          <w:rFonts w:ascii="Arial" w:hAnsi="Arial" w:cs="Arial"/>
          <w:sz w:val="20"/>
          <w:szCs w:val="20"/>
        </w:rPr>
        <w:t xml:space="preserve"> </w:t>
      </w:r>
      <w:proofErr w:type="spellStart"/>
      <w:r w:rsidRPr="00C73F02">
        <w:rPr>
          <w:rFonts w:ascii="Arial" w:hAnsi="Arial" w:cs="Arial"/>
          <w:sz w:val="20"/>
          <w:szCs w:val="20"/>
        </w:rPr>
        <w:t>Akhlaghi</w:t>
      </w:r>
      <w:proofErr w:type="spellEnd"/>
      <w:r>
        <w:rPr>
          <w:rFonts w:ascii="Arial" w:hAnsi="Arial" w:cs="Arial"/>
          <w:sz w:val="20"/>
          <w:szCs w:val="20"/>
        </w:rPr>
        <w:t>, F &amp;</w:t>
      </w:r>
      <w:r w:rsidRPr="00C73F02">
        <w:rPr>
          <w:rFonts w:ascii="Arial" w:hAnsi="Arial" w:cs="Arial"/>
          <w:sz w:val="20"/>
          <w:szCs w:val="20"/>
        </w:rPr>
        <w:t xml:space="preserve"> </w:t>
      </w:r>
      <w:proofErr w:type="spellStart"/>
      <w:r w:rsidRPr="00C73F02">
        <w:rPr>
          <w:rFonts w:ascii="Arial" w:hAnsi="Arial" w:cs="Arial"/>
          <w:sz w:val="20"/>
          <w:szCs w:val="20"/>
        </w:rPr>
        <w:t>Jalali</w:t>
      </w:r>
      <w:proofErr w:type="spellEnd"/>
      <w:r w:rsidRPr="00C73F02">
        <w:rPr>
          <w:rFonts w:ascii="Arial" w:hAnsi="Arial" w:cs="Arial"/>
          <w:sz w:val="20"/>
          <w:szCs w:val="20"/>
        </w:rPr>
        <w:t xml:space="preserve"> B</w:t>
      </w:r>
      <w:r>
        <w:rPr>
          <w:rFonts w:ascii="Arial" w:hAnsi="Arial" w:cs="Arial"/>
          <w:sz w:val="20"/>
          <w:szCs w:val="20"/>
        </w:rPr>
        <w:t>.</w:t>
      </w:r>
      <w:r w:rsidRPr="00C73F02">
        <w:rPr>
          <w:rFonts w:ascii="Arial" w:hAnsi="Arial" w:cs="Arial"/>
          <w:sz w:val="20"/>
          <w:szCs w:val="20"/>
        </w:rPr>
        <w:t xml:space="preserve">R. </w:t>
      </w:r>
      <w:r>
        <w:rPr>
          <w:rFonts w:ascii="Arial" w:hAnsi="Arial" w:cs="Arial"/>
          <w:sz w:val="20"/>
          <w:szCs w:val="20"/>
        </w:rPr>
        <w:t xml:space="preserve">(2020). </w:t>
      </w:r>
      <w:r w:rsidRPr="00C73F02">
        <w:rPr>
          <w:rFonts w:ascii="Arial" w:hAnsi="Arial" w:cs="Arial"/>
          <w:sz w:val="20"/>
          <w:szCs w:val="20"/>
        </w:rPr>
        <w:t xml:space="preserve">Effect of sublingual misoprostol in combination with oxytocin in reducing blood loss during and after caesarean delivery: a randomised clinical </w:t>
      </w:r>
      <w:r>
        <w:rPr>
          <w:rFonts w:ascii="Arial" w:hAnsi="Arial" w:cs="Arial"/>
          <w:sz w:val="20"/>
          <w:szCs w:val="20"/>
        </w:rPr>
        <w:t xml:space="preserve">trial. Tehran University Medical Journal. </w:t>
      </w:r>
      <w:r w:rsidRPr="00C73F02">
        <w:rPr>
          <w:rFonts w:ascii="Arial" w:hAnsi="Arial" w:cs="Arial"/>
          <w:sz w:val="20"/>
          <w:szCs w:val="20"/>
        </w:rPr>
        <w:t>78(6): 357-365.</w:t>
      </w:r>
    </w:p>
    <w:p w:rsidR="00DA64AC" w:rsidRDefault="00DA64AC" w:rsidP="008C1943">
      <w:pPr>
        <w:pStyle w:val="ListParagraph"/>
        <w:spacing w:line="240" w:lineRule="auto"/>
        <w:jc w:val="both"/>
        <w:rPr>
          <w:rFonts w:ascii="Arial" w:hAnsi="Arial" w:cs="Arial"/>
          <w:sz w:val="20"/>
          <w:szCs w:val="20"/>
        </w:rPr>
      </w:pPr>
    </w:p>
    <w:p w:rsidR="008C1943" w:rsidRDefault="00DA64AC" w:rsidP="00DA64AC">
      <w:pPr>
        <w:pStyle w:val="ListParagraph"/>
        <w:spacing w:line="240" w:lineRule="auto"/>
        <w:jc w:val="both"/>
        <w:rPr>
          <w:rFonts w:ascii="Arial" w:hAnsi="Arial" w:cs="Arial"/>
          <w:sz w:val="20"/>
          <w:szCs w:val="20"/>
        </w:rPr>
      </w:pPr>
      <w:proofErr w:type="spellStart"/>
      <w:r w:rsidRPr="00C73F02">
        <w:rPr>
          <w:rFonts w:ascii="Arial" w:hAnsi="Arial" w:cs="Arial"/>
          <w:sz w:val="20"/>
          <w:szCs w:val="20"/>
        </w:rPr>
        <w:t>Nayak</w:t>
      </w:r>
      <w:proofErr w:type="spellEnd"/>
      <w:r>
        <w:rPr>
          <w:rFonts w:ascii="Arial" w:hAnsi="Arial" w:cs="Arial"/>
          <w:sz w:val="20"/>
          <w:szCs w:val="20"/>
        </w:rPr>
        <w:t xml:space="preserve">, L; </w:t>
      </w:r>
      <w:proofErr w:type="spellStart"/>
      <w:r>
        <w:rPr>
          <w:rFonts w:ascii="Arial" w:hAnsi="Arial" w:cs="Arial"/>
          <w:sz w:val="20"/>
          <w:szCs w:val="20"/>
        </w:rPr>
        <w:t>Pradhank</w:t>
      </w:r>
      <w:proofErr w:type="spellEnd"/>
      <w:r>
        <w:rPr>
          <w:rFonts w:ascii="Arial" w:hAnsi="Arial" w:cs="Arial"/>
          <w:sz w:val="20"/>
          <w:szCs w:val="20"/>
        </w:rPr>
        <w:t xml:space="preserve">, K &amp; </w:t>
      </w:r>
      <w:r w:rsidRPr="00C73F02">
        <w:rPr>
          <w:rFonts w:ascii="Arial" w:hAnsi="Arial" w:cs="Arial"/>
          <w:sz w:val="20"/>
          <w:szCs w:val="20"/>
        </w:rPr>
        <w:t>Mishra S.</w:t>
      </w:r>
      <w:r>
        <w:rPr>
          <w:rFonts w:ascii="Arial" w:hAnsi="Arial" w:cs="Arial"/>
          <w:sz w:val="20"/>
          <w:szCs w:val="20"/>
        </w:rPr>
        <w:t xml:space="preserve"> (2017).</w:t>
      </w:r>
      <w:r w:rsidRPr="00C73F02">
        <w:rPr>
          <w:rFonts w:ascii="Arial" w:hAnsi="Arial" w:cs="Arial"/>
          <w:sz w:val="20"/>
          <w:szCs w:val="20"/>
        </w:rPr>
        <w:t xml:space="preserve"> Role of 400 ug intraoperative sublingual misoprostol for reduction of caesarean section blood loss. </w:t>
      </w:r>
      <w:r>
        <w:rPr>
          <w:rFonts w:ascii="Arial" w:hAnsi="Arial" w:cs="Arial"/>
          <w:sz w:val="20"/>
          <w:szCs w:val="20"/>
        </w:rPr>
        <w:t xml:space="preserve">Journal of </w:t>
      </w:r>
      <w:r w:rsidRPr="00C73F02">
        <w:rPr>
          <w:rFonts w:ascii="Arial" w:hAnsi="Arial" w:cs="Arial"/>
          <w:sz w:val="20"/>
          <w:szCs w:val="20"/>
        </w:rPr>
        <w:t>Evid</w:t>
      </w:r>
      <w:r>
        <w:rPr>
          <w:rFonts w:ascii="Arial" w:hAnsi="Arial" w:cs="Arial"/>
          <w:sz w:val="20"/>
          <w:szCs w:val="20"/>
        </w:rPr>
        <w:t>ence</w:t>
      </w:r>
      <w:r w:rsidRPr="00C73F02">
        <w:rPr>
          <w:rFonts w:ascii="Arial" w:hAnsi="Arial" w:cs="Arial"/>
          <w:sz w:val="20"/>
          <w:szCs w:val="20"/>
        </w:rPr>
        <w:t xml:space="preserve"> Based Med</w:t>
      </w:r>
      <w:r>
        <w:rPr>
          <w:rFonts w:ascii="Arial" w:hAnsi="Arial" w:cs="Arial"/>
          <w:sz w:val="20"/>
          <w:szCs w:val="20"/>
        </w:rPr>
        <w:t>icine and</w:t>
      </w:r>
      <w:r w:rsidRPr="00C73F02">
        <w:rPr>
          <w:rFonts w:ascii="Arial" w:hAnsi="Arial" w:cs="Arial"/>
          <w:sz w:val="20"/>
          <w:szCs w:val="20"/>
        </w:rPr>
        <w:t xml:space="preserve"> Healthc</w:t>
      </w:r>
      <w:r>
        <w:rPr>
          <w:rFonts w:ascii="Arial" w:hAnsi="Arial" w:cs="Arial"/>
          <w:sz w:val="20"/>
          <w:szCs w:val="20"/>
        </w:rPr>
        <w:t>are.</w:t>
      </w:r>
      <w:r w:rsidRPr="00C73F02">
        <w:rPr>
          <w:rFonts w:ascii="Arial" w:hAnsi="Arial" w:cs="Arial"/>
          <w:sz w:val="20"/>
          <w:szCs w:val="20"/>
        </w:rPr>
        <w:t xml:space="preserve"> 4(10), 573-577.</w:t>
      </w:r>
    </w:p>
    <w:p w:rsidR="00947FD2" w:rsidRPr="00DA64AC" w:rsidRDefault="00947FD2" w:rsidP="00DA64AC">
      <w:pPr>
        <w:pStyle w:val="ListParagraph"/>
        <w:spacing w:line="240" w:lineRule="auto"/>
        <w:jc w:val="both"/>
        <w:rPr>
          <w:rFonts w:ascii="Arial" w:hAnsi="Arial" w:cs="Arial"/>
          <w:sz w:val="20"/>
          <w:szCs w:val="20"/>
        </w:rPr>
      </w:pPr>
    </w:p>
    <w:p w:rsidR="0083368C" w:rsidRPr="001C3A5C" w:rsidRDefault="001C3A5C" w:rsidP="001C3A5C">
      <w:pPr>
        <w:pStyle w:val="ListParagraph"/>
        <w:spacing w:line="240" w:lineRule="auto"/>
        <w:jc w:val="both"/>
        <w:rPr>
          <w:rFonts w:ascii="Arial" w:hAnsi="Arial" w:cs="Arial"/>
          <w:sz w:val="20"/>
          <w:szCs w:val="20"/>
        </w:rPr>
      </w:pPr>
      <w:proofErr w:type="spellStart"/>
      <w:r w:rsidRPr="001C3A5C">
        <w:rPr>
          <w:rFonts w:ascii="Arial" w:hAnsi="Arial" w:cs="Arial"/>
          <w:sz w:val="20"/>
          <w:szCs w:val="20"/>
        </w:rPr>
        <w:t>Nwizu</w:t>
      </w:r>
      <w:proofErr w:type="spellEnd"/>
      <w:r w:rsidRPr="001C3A5C">
        <w:rPr>
          <w:rFonts w:ascii="Arial" w:hAnsi="Arial" w:cs="Arial"/>
          <w:sz w:val="20"/>
          <w:szCs w:val="20"/>
        </w:rPr>
        <w:t xml:space="preserve"> E</w:t>
      </w:r>
      <w:r>
        <w:rPr>
          <w:rFonts w:ascii="Arial" w:hAnsi="Arial" w:cs="Arial"/>
          <w:sz w:val="20"/>
          <w:szCs w:val="20"/>
        </w:rPr>
        <w:t xml:space="preserve">.N &amp; </w:t>
      </w:r>
      <w:proofErr w:type="spellStart"/>
      <w:r w:rsidRPr="001C3A5C">
        <w:rPr>
          <w:rFonts w:ascii="Arial" w:hAnsi="Arial" w:cs="Arial"/>
          <w:sz w:val="20"/>
          <w:szCs w:val="20"/>
        </w:rPr>
        <w:t>Okoroafor</w:t>
      </w:r>
      <w:proofErr w:type="spellEnd"/>
      <w:r w:rsidRPr="001C3A5C">
        <w:rPr>
          <w:rFonts w:ascii="Arial" w:hAnsi="Arial" w:cs="Arial"/>
          <w:sz w:val="20"/>
          <w:szCs w:val="20"/>
        </w:rPr>
        <w:t xml:space="preserve"> F</w:t>
      </w:r>
      <w:r>
        <w:rPr>
          <w:rFonts w:ascii="Arial" w:hAnsi="Arial" w:cs="Arial"/>
          <w:sz w:val="20"/>
          <w:szCs w:val="20"/>
        </w:rPr>
        <w:t>.</w:t>
      </w:r>
      <w:r w:rsidRPr="001C3A5C">
        <w:rPr>
          <w:rFonts w:ascii="Arial" w:hAnsi="Arial" w:cs="Arial"/>
          <w:sz w:val="20"/>
          <w:szCs w:val="20"/>
        </w:rPr>
        <w:t xml:space="preserve">C. </w:t>
      </w:r>
      <w:r>
        <w:rPr>
          <w:rFonts w:ascii="Arial" w:hAnsi="Arial" w:cs="Arial"/>
          <w:sz w:val="20"/>
          <w:szCs w:val="20"/>
        </w:rPr>
        <w:t xml:space="preserve">(2017). </w:t>
      </w:r>
      <w:r w:rsidRPr="001C3A5C">
        <w:rPr>
          <w:rFonts w:ascii="Arial" w:hAnsi="Arial" w:cs="Arial"/>
          <w:sz w:val="20"/>
          <w:szCs w:val="20"/>
        </w:rPr>
        <w:t xml:space="preserve">Postpartum Haemorrhage (PPH). In: </w:t>
      </w:r>
      <w:proofErr w:type="spellStart"/>
      <w:r w:rsidRPr="001C3A5C">
        <w:rPr>
          <w:rFonts w:ascii="Arial" w:hAnsi="Arial" w:cs="Arial"/>
          <w:sz w:val="20"/>
          <w:szCs w:val="20"/>
        </w:rPr>
        <w:t>Umeora</w:t>
      </w:r>
      <w:proofErr w:type="spellEnd"/>
      <w:r w:rsidRPr="001C3A5C">
        <w:rPr>
          <w:rFonts w:ascii="Arial" w:hAnsi="Arial" w:cs="Arial"/>
          <w:sz w:val="20"/>
          <w:szCs w:val="20"/>
        </w:rPr>
        <w:t xml:space="preserve"> OUJ, </w:t>
      </w:r>
      <w:proofErr w:type="spellStart"/>
      <w:r w:rsidRPr="001C3A5C">
        <w:rPr>
          <w:rFonts w:ascii="Arial" w:hAnsi="Arial" w:cs="Arial"/>
          <w:sz w:val="20"/>
          <w:szCs w:val="20"/>
        </w:rPr>
        <w:t>Egbuli</w:t>
      </w:r>
      <w:proofErr w:type="spellEnd"/>
      <w:r w:rsidRPr="001C3A5C">
        <w:rPr>
          <w:rFonts w:ascii="Arial" w:hAnsi="Arial" w:cs="Arial"/>
          <w:sz w:val="20"/>
          <w:szCs w:val="20"/>
        </w:rPr>
        <w:t xml:space="preserve"> CC, </w:t>
      </w:r>
      <w:proofErr w:type="spellStart"/>
      <w:r w:rsidRPr="001C3A5C">
        <w:rPr>
          <w:rFonts w:ascii="Arial" w:hAnsi="Arial" w:cs="Arial"/>
          <w:sz w:val="20"/>
          <w:szCs w:val="20"/>
        </w:rPr>
        <w:t>Onyebuchi</w:t>
      </w:r>
      <w:proofErr w:type="spellEnd"/>
      <w:r w:rsidRPr="001C3A5C">
        <w:rPr>
          <w:rFonts w:ascii="Arial" w:hAnsi="Arial" w:cs="Arial"/>
          <w:sz w:val="20"/>
          <w:szCs w:val="20"/>
        </w:rPr>
        <w:t xml:space="preserve"> AK, </w:t>
      </w:r>
      <w:proofErr w:type="spellStart"/>
      <w:r w:rsidRPr="001C3A5C">
        <w:rPr>
          <w:rFonts w:ascii="Arial" w:hAnsi="Arial" w:cs="Arial"/>
          <w:sz w:val="20"/>
          <w:szCs w:val="20"/>
        </w:rPr>
        <w:t>Ezeonu</w:t>
      </w:r>
      <w:proofErr w:type="spellEnd"/>
      <w:r w:rsidRPr="001C3A5C">
        <w:rPr>
          <w:rFonts w:ascii="Arial" w:hAnsi="Arial" w:cs="Arial"/>
          <w:sz w:val="20"/>
          <w:szCs w:val="20"/>
        </w:rPr>
        <w:t xml:space="preserve"> PO (eds). Our Teachers, a Comprehensive Textbook of Obstetrics and Gynaecology. St Benedict</w:t>
      </w:r>
      <w:r>
        <w:rPr>
          <w:rFonts w:ascii="Arial" w:hAnsi="Arial" w:cs="Arial"/>
          <w:sz w:val="20"/>
          <w:szCs w:val="20"/>
        </w:rPr>
        <w:t xml:space="preserve"> Printing and Publishing. </w:t>
      </w:r>
      <w:r w:rsidRPr="001C3A5C">
        <w:rPr>
          <w:rFonts w:ascii="Arial" w:hAnsi="Arial" w:cs="Arial"/>
          <w:sz w:val="20"/>
          <w:szCs w:val="20"/>
        </w:rPr>
        <w:t>289-296.</w:t>
      </w:r>
    </w:p>
    <w:p w:rsidR="001C3A5C" w:rsidRPr="001C3A5C" w:rsidRDefault="001C3A5C" w:rsidP="003E0821">
      <w:pPr>
        <w:pStyle w:val="ListParagraph"/>
        <w:spacing w:line="240" w:lineRule="auto"/>
        <w:jc w:val="both"/>
        <w:rPr>
          <w:rFonts w:ascii="Arial" w:hAnsi="Arial" w:cs="Arial"/>
        </w:rPr>
      </w:pPr>
    </w:p>
    <w:p w:rsidR="003E0821" w:rsidRDefault="0083368C" w:rsidP="003E0821">
      <w:pPr>
        <w:pStyle w:val="ListParagraph"/>
        <w:spacing w:line="240" w:lineRule="auto"/>
        <w:jc w:val="both"/>
        <w:rPr>
          <w:rFonts w:ascii="Arial" w:hAnsi="Arial" w:cs="Arial"/>
          <w:sz w:val="20"/>
          <w:szCs w:val="20"/>
        </w:rPr>
      </w:pPr>
      <w:proofErr w:type="spellStart"/>
      <w:r w:rsidRPr="00C73F02">
        <w:rPr>
          <w:rFonts w:ascii="Arial" w:hAnsi="Arial" w:cs="Arial"/>
          <w:sz w:val="20"/>
          <w:szCs w:val="20"/>
        </w:rPr>
        <w:t>Ononge</w:t>
      </w:r>
      <w:proofErr w:type="spellEnd"/>
      <w:r>
        <w:rPr>
          <w:rFonts w:ascii="Arial" w:hAnsi="Arial" w:cs="Arial"/>
          <w:sz w:val="20"/>
          <w:szCs w:val="20"/>
        </w:rPr>
        <w:t>, S;</w:t>
      </w:r>
      <w:r w:rsidRPr="00C73F02">
        <w:rPr>
          <w:rFonts w:ascii="Arial" w:hAnsi="Arial" w:cs="Arial"/>
          <w:sz w:val="20"/>
          <w:szCs w:val="20"/>
        </w:rPr>
        <w:t xml:space="preserve"> </w:t>
      </w:r>
      <w:proofErr w:type="spellStart"/>
      <w:r w:rsidRPr="00C73F02">
        <w:rPr>
          <w:rFonts w:ascii="Arial" w:hAnsi="Arial" w:cs="Arial"/>
          <w:sz w:val="20"/>
          <w:szCs w:val="20"/>
        </w:rPr>
        <w:t>Mirembe</w:t>
      </w:r>
      <w:proofErr w:type="spellEnd"/>
      <w:r>
        <w:rPr>
          <w:rFonts w:ascii="Arial" w:hAnsi="Arial" w:cs="Arial"/>
          <w:sz w:val="20"/>
          <w:szCs w:val="20"/>
        </w:rPr>
        <w:t>, F;</w:t>
      </w:r>
      <w:r w:rsidRPr="00C73F02">
        <w:rPr>
          <w:rFonts w:ascii="Arial" w:hAnsi="Arial" w:cs="Arial"/>
          <w:sz w:val="20"/>
          <w:szCs w:val="20"/>
        </w:rPr>
        <w:t xml:space="preserve"> </w:t>
      </w:r>
      <w:proofErr w:type="spellStart"/>
      <w:r w:rsidRPr="00C73F02">
        <w:rPr>
          <w:rFonts w:ascii="Arial" w:hAnsi="Arial" w:cs="Arial"/>
          <w:sz w:val="20"/>
          <w:szCs w:val="20"/>
        </w:rPr>
        <w:t>Wandabwa</w:t>
      </w:r>
      <w:proofErr w:type="spellEnd"/>
      <w:r>
        <w:rPr>
          <w:rFonts w:ascii="Arial" w:hAnsi="Arial" w:cs="Arial"/>
          <w:sz w:val="20"/>
          <w:szCs w:val="20"/>
        </w:rPr>
        <w:t>, J; et al</w:t>
      </w:r>
      <w:r w:rsidRPr="00C73F02">
        <w:rPr>
          <w:rFonts w:ascii="Arial" w:hAnsi="Arial" w:cs="Arial"/>
          <w:sz w:val="20"/>
          <w:szCs w:val="20"/>
        </w:rPr>
        <w:t xml:space="preserve">. </w:t>
      </w:r>
      <w:r>
        <w:rPr>
          <w:rFonts w:ascii="Arial" w:hAnsi="Arial" w:cs="Arial"/>
          <w:sz w:val="20"/>
          <w:szCs w:val="20"/>
        </w:rPr>
        <w:t xml:space="preserve">(2016). </w:t>
      </w:r>
      <w:r w:rsidRPr="00C73F02">
        <w:rPr>
          <w:rFonts w:ascii="Arial" w:hAnsi="Arial" w:cs="Arial"/>
          <w:sz w:val="20"/>
          <w:szCs w:val="20"/>
        </w:rPr>
        <w:t>Incidence and risk factors for postpartum haemorrhage in Uganda. Reprod</w:t>
      </w:r>
      <w:r>
        <w:rPr>
          <w:rFonts w:ascii="Arial" w:hAnsi="Arial" w:cs="Arial"/>
          <w:sz w:val="20"/>
          <w:szCs w:val="20"/>
        </w:rPr>
        <w:t>uctive</w:t>
      </w:r>
      <w:r w:rsidRPr="00C73F02">
        <w:rPr>
          <w:rFonts w:ascii="Arial" w:hAnsi="Arial" w:cs="Arial"/>
          <w:sz w:val="20"/>
          <w:szCs w:val="20"/>
        </w:rPr>
        <w:t xml:space="preserve"> Health</w:t>
      </w:r>
      <w:r>
        <w:rPr>
          <w:rFonts w:ascii="Arial" w:hAnsi="Arial" w:cs="Arial"/>
          <w:sz w:val="20"/>
          <w:szCs w:val="20"/>
        </w:rPr>
        <w:t xml:space="preserve">. </w:t>
      </w:r>
      <w:r w:rsidRPr="00C73F02">
        <w:rPr>
          <w:rFonts w:ascii="Arial" w:hAnsi="Arial" w:cs="Arial"/>
          <w:sz w:val="20"/>
          <w:szCs w:val="20"/>
        </w:rPr>
        <w:t>13(1):1-7.</w:t>
      </w:r>
    </w:p>
    <w:p w:rsidR="00DA64AC" w:rsidRDefault="00DA64AC" w:rsidP="003E0821">
      <w:pPr>
        <w:pStyle w:val="ListParagraph"/>
        <w:spacing w:line="240" w:lineRule="auto"/>
        <w:jc w:val="both"/>
        <w:rPr>
          <w:rFonts w:ascii="Arial" w:hAnsi="Arial" w:cs="Arial"/>
          <w:sz w:val="20"/>
          <w:szCs w:val="20"/>
        </w:rPr>
      </w:pPr>
    </w:p>
    <w:p w:rsidR="00DA64AC" w:rsidRPr="00DA64AC" w:rsidRDefault="00DA64AC" w:rsidP="00DA64AC">
      <w:pPr>
        <w:pStyle w:val="ListParagraph"/>
        <w:spacing w:line="240" w:lineRule="auto"/>
        <w:jc w:val="both"/>
        <w:rPr>
          <w:rFonts w:ascii="Arial" w:hAnsi="Arial" w:cs="Arial"/>
          <w:sz w:val="20"/>
          <w:szCs w:val="20"/>
        </w:rPr>
      </w:pPr>
      <w:r>
        <w:rPr>
          <w:rFonts w:ascii="Arial" w:hAnsi="Arial" w:cs="Arial"/>
          <w:sz w:val="20"/>
          <w:szCs w:val="20"/>
        </w:rPr>
        <w:t>Rekha, P &amp;</w:t>
      </w:r>
      <w:r w:rsidRPr="00C73F02">
        <w:rPr>
          <w:rFonts w:ascii="Arial" w:hAnsi="Arial" w:cs="Arial"/>
          <w:sz w:val="20"/>
          <w:szCs w:val="20"/>
        </w:rPr>
        <w:t xml:space="preserve"> Latha</w:t>
      </w:r>
      <w:r>
        <w:rPr>
          <w:rFonts w:ascii="Arial" w:hAnsi="Arial" w:cs="Arial"/>
          <w:sz w:val="20"/>
          <w:szCs w:val="20"/>
        </w:rPr>
        <w:t>,</w:t>
      </w:r>
      <w:r w:rsidRPr="00C73F02">
        <w:rPr>
          <w:rFonts w:ascii="Arial" w:hAnsi="Arial" w:cs="Arial"/>
          <w:sz w:val="20"/>
          <w:szCs w:val="20"/>
        </w:rPr>
        <w:t xml:space="preserve"> K. </w:t>
      </w:r>
      <w:r>
        <w:rPr>
          <w:rFonts w:ascii="Arial" w:hAnsi="Arial" w:cs="Arial"/>
          <w:sz w:val="20"/>
          <w:szCs w:val="20"/>
        </w:rPr>
        <w:t xml:space="preserve">(2014). </w:t>
      </w:r>
      <w:r w:rsidRPr="00C73F02">
        <w:rPr>
          <w:rFonts w:ascii="Arial" w:hAnsi="Arial" w:cs="Arial"/>
          <w:sz w:val="20"/>
          <w:szCs w:val="20"/>
        </w:rPr>
        <w:t xml:space="preserve">Sublingual misoprostol to reduce blood loss at Caesarean section. </w:t>
      </w:r>
      <w:r>
        <w:rPr>
          <w:rFonts w:ascii="Arial" w:hAnsi="Arial" w:cs="Arial"/>
          <w:sz w:val="20"/>
          <w:szCs w:val="20"/>
        </w:rPr>
        <w:t xml:space="preserve">International Journal of Modern Research and Reviews. </w:t>
      </w:r>
      <w:r w:rsidRPr="00C73F02">
        <w:rPr>
          <w:rFonts w:ascii="Arial" w:hAnsi="Arial" w:cs="Arial"/>
          <w:sz w:val="20"/>
          <w:szCs w:val="20"/>
        </w:rPr>
        <w:t>2(10):444-446.</w:t>
      </w:r>
    </w:p>
    <w:p w:rsidR="003E0821" w:rsidRDefault="003E0821" w:rsidP="003E0821">
      <w:pPr>
        <w:pStyle w:val="ListParagraph"/>
        <w:spacing w:line="240" w:lineRule="auto"/>
        <w:jc w:val="both"/>
        <w:rPr>
          <w:rFonts w:ascii="Arial" w:hAnsi="Arial" w:cs="Arial"/>
          <w:sz w:val="20"/>
          <w:szCs w:val="20"/>
        </w:rPr>
      </w:pPr>
    </w:p>
    <w:p w:rsidR="003E0821" w:rsidRDefault="003E0821" w:rsidP="003E0821">
      <w:pPr>
        <w:pStyle w:val="ListParagraph"/>
        <w:spacing w:line="240" w:lineRule="auto"/>
        <w:jc w:val="both"/>
        <w:rPr>
          <w:rFonts w:ascii="Arial" w:hAnsi="Arial" w:cs="Arial"/>
          <w:sz w:val="20"/>
          <w:szCs w:val="20"/>
        </w:rPr>
      </w:pPr>
      <w:r w:rsidRPr="003E0821">
        <w:rPr>
          <w:rFonts w:ascii="Arial" w:hAnsi="Arial" w:cs="Arial"/>
          <w:sz w:val="20"/>
          <w:szCs w:val="20"/>
        </w:rPr>
        <w:t>Sallam, H.F &amp; Shady, N.W. (2018). Adjunctive sublingual misoprostol for secondary prevention of postpartum haemorrhage during caesarean delivery: double blind placebo randomized controlled trial. International Journal of Reproduction, Contraception, Obstetrics and Gynecology. 7(2):495-502.</w:t>
      </w:r>
    </w:p>
    <w:p w:rsidR="008C1943" w:rsidRDefault="008C1943" w:rsidP="003E0821">
      <w:pPr>
        <w:pStyle w:val="ListParagraph"/>
        <w:spacing w:line="240" w:lineRule="auto"/>
        <w:jc w:val="both"/>
        <w:rPr>
          <w:rFonts w:ascii="Arial" w:hAnsi="Arial" w:cs="Arial"/>
          <w:sz w:val="20"/>
          <w:szCs w:val="20"/>
        </w:rPr>
      </w:pPr>
    </w:p>
    <w:p w:rsidR="008C1943" w:rsidRPr="00DA64AC" w:rsidRDefault="008C1943" w:rsidP="00DA64AC">
      <w:pPr>
        <w:pStyle w:val="ListParagraph"/>
        <w:spacing w:line="240" w:lineRule="auto"/>
        <w:jc w:val="both"/>
        <w:rPr>
          <w:rFonts w:ascii="Arial" w:hAnsi="Arial" w:cs="Arial"/>
          <w:sz w:val="20"/>
          <w:szCs w:val="20"/>
        </w:rPr>
      </w:pPr>
      <w:proofErr w:type="spellStart"/>
      <w:r>
        <w:rPr>
          <w:rFonts w:ascii="Arial" w:hAnsi="Arial" w:cs="Arial"/>
          <w:sz w:val="20"/>
          <w:szCs w:val="20"/>
        </w:rPr>
        <w:t>Schorn</w:t>
      </w:r>
      <w:proofErr w:type="spellEnd"/>
      <w:r>
        <w:rPr>
          <w:rFonts w:ascii="Arial" w:hAnsi="Arial" w:cs="Arial"/>
          <w:sz w:val="20"/>
          <w:szCs w:val="20"/>
        </w:rPr>
        <w:t>,</w:t>
      </w:r>
      <w:r w:rsidRPr="00C73F02">
        <w:rPr>
          <w:rFonts w:ascii="Arial" w:hAnsi="Arial" w:cs="Arial"/>
          <w:sz w:val="20"/>
          <w:szCs w:val="20"/>
        </w:rPr>
        <w:t xml:space="preserve"> M</w:t>
      </w:r>
      <w:r>
        <w:rPr>
          <w:rFonts w:ascii="Arial" w:hAnsi="Arial" w:cs="Arial"/>
          <w:sz w:val="20"/>
          <w:szCs w:val="20"/>
        </w:rPr>
        <w:t>.</w:t>
      </w:r>
      <w:r w:rsidRPr="00C73F02">
        <w:rPr>
          <w:rFonts w:ascii="Arial" w:hAnsi="Arial" w:cs="Arial"/>
          <w:sz w:val="20"/>
          <w:szCs w:val="20"/>
        </w:rPr>
        <w:t xml:space="preserve">N. </w:t>
      </w:r>
      <w:r>
        <w:rPr>
          <w:rFonts w:ascii="Arial" w:hAnsi="Arial" w:cs="Arial"/>
          <w:sz w:val="20"/>
          <w:szCs w:val="20"/>
        </w:rPr>
        <w:t xml:space="preserve">(2010). </w:t>
      </w:r>
      <w:r w:rsidRPr="00C73F02">
        <w:rPr>
          <w:rFonts w:ascii="Arial" w:hAnsi="Arial" w:cs="Arial"/>
          <w:sz w:val="20"/>
          <w:szCs w:val="20"/>
        </w:rPr>
        <w:t xml:space="preserve">Measurement of blood loss: Review of the literature. </w:t>
      </w:r>
      <w:r>
        <w:rPr>
          <w:rFonts w:ascii="Arial" w:hAnsi="Arial" w:cs="Arial"/>
          <w:sz w:val="20"/>
          <w:szCs w:val="20"/>
        </w:rPr>
        <w:t xml:space="preserve">Journal of </w:t>
      </w:r>
      <w:r w:rsidRPr="00C73F02">
        <w:rPr>
          <w:rFonts w:ascii="Arial" w:hAnsi="Arial" w:cs="Arial"/>
          <w:sz w:val="20"/>
          <w:szCs w:val="20"/>
        </w:rPr>
        <w:t>Midwifery Women’s Health</w:t>
      </w:r>
      <w:r>
        <w:rPr>
          <w:rFonts w:ascii="Arial" w:hAnsi="Arial" w:cs="Arial"/>
          <w:sz w:val="20"/>
          <w:szCs w:val="20"/>
        </w:rPr>
        <w:t xml:space="preserve">. </w:t>
      </w:r>
      <w:r w:rsidRPr="00C73F02">
        <w:rPr>
          <w:rFonts w:ascii="Arial" w:hAnsi="Arial" w:cs="Arial"/>
          <w:sz w:val="20"/>
          <w:szCs w:val="20"/>
        </w:rPr>
        <w:t>55: 20-27.</w:t>
      </w:r>
    </w:p>
    <w:p w:rsidR="003E0821" w:rsidRDefault="003E0821" w:rsidP="003E0821">
      <w:pPr>
        <w:pStyle w:val="ListParagraph"/>
        <w:spacing w:line="240" w:lineRule="auto"/>
        <w:jc w:val="both"/>
        <w:rPr>
          <w:rFonts w:ascii="Arial" w:hAnsi="Arial" w:cs="Arial"/>
          <w:sz w:val="20"/>
          <w:szCs w:val="20"/>
        </w:rPr>
      </w:pPr>
    </w:p>
    <w:p w:rsidR="003E0821" w:rsidRDefault="003E0821" w:rsidP="003E0821">
      <w:pPr>
        <w:pStyle w:val="ListParagraph"/>
        <w:spacing w:line="240" w:lineRule="auto"/>
        <w:jc w:val="both"/>
        <w:rPr>
          <w:rFonts w:ascii="Arial" w:hAnsi="Arial" w:cs="Arial"/>
          <w:sz w:val="20"/>
          <w:szCs w:val="20"/>
        </w:rPr>
      </w:pPr>
      <w:r w:rsidRPr="00C73F02">
        <w:rPr>
          <w:rFonts w:ascii="Arial" w:hAnsi="Arial" w:cs="Arial"/>
          <w:sz w:val="20"/>
          <w:szCs w:val="20"/>
        </w:rPr>
        <w:t>Sood</w:t>
      </w:r>
      <w:r>
        <w:rPr>
          <w:rFonts w:ascii="Arial" w:hAnsi="Arial" w:cs="Arial"/>
          <w:sz w:val="20"/>
          <w:szCs w:val="20"/>
        </w:rPr>
        <w:t>,</w:t>
      </w:r>
      <w:r w:rsidRPr="00C73F02">
        <w:rPr>
          <w:rFonts w:ascii="Arial" w:hAnsi="Arial" w:cs="Arial"/>
          <w:sz w:val="20"/>
          <w:szCs w:val="20"/>
        </w:rPr>
        <w:t xml:space="preserve"> A</w:t>
      </w:r>
      <w:r>
        <w:rPr>
          <w:rFonts w:ascii="Arial" w:hAnsi="Arial" w:cs="Arial"/>
          <w:sz w:val="20"/>
          <w:szCs w:val="20"/>
        </w:rPr>
        <w:t xml:space="preserve">.K &amp; </w:t>
      </w:r>
      <w:r w:rsidRPr="00C73F02">
        <w:rPr>
          <w:rFonts w:ascii="Arial" w:hAnsi="Arial" w:cs="Arial"/>
          <w:sz w:val="20"/>
          <w:szCs w:val="20"/>
        </w:rPr>
        <w:t>Sanjay</w:t>
      </w:r>
      <w:r>
        <w:rPr>
          <w:rFonts w:ascii="Arial" w:hAnsi="Arial" w:cs="Arial"/>
          <w:sz w:val="20"/>
          <w:szCs w:val="20"/>
        </w:rPr>
        <w:t>,</w:t>
      </w:r>
      <w:r w:rsidRPr="00C73F02">
        <w:rPr>
          <w:rFonts w:ascii="Arial" w:hAnsi="Arial" w:cs="Arial"/>
          <w:sz w:val="20"/>
          <w:szCs w:val="20"/>
        </w:rPr>
        <w:t xml:space="preserve"> S. </w:t>
      </w:r>
      <w:r>
        <w:rPr>
          <w:rFonts w:ascii="Arial" w:hAnsi="Arial" w:cs="Arial"/>
          <w:sz w:val="20"/>
          <w:szCs w:val="20"/>
        </w:rPr>
        <w:t xml:space="preserve">(2012). </w:t>
      </w:r>
      <w:r w:rsidRPr="00C73F02">
        <w:rPr>
          <w:rFonts w:ascii="Arial" w:hAnsi="Arial" w:cs="Arial"/>
          <w:sz w:val="20"/>
          <w:szCs w:val="20"/>
        </w:rPr>
        <w:t>Sublingual Misoprostol to Reduce Blood Loss at Caesarean Delivery. The Journal of Obstetrics and Gynecology of India.</w:t>
      </w:r>
      <w:r>
        <w:rPr>
          <w:rFonts w:ascii="Arial" w:hAnsi="Arial" w:cs="Arial"/>
          <w:sz w:val="20"/>
          <w:szCs w:val="20"/>
        </w:rPr>
        <w:t xml:space="preserve"> </w:t>
      </w:r>
      <w:r w:rsidRPr="00C73F02">
        <w:rPr>
          <w:rFonts w:ascii="Arial" w:hAnsi="Arial" w:cs="Arial"/>
          <w:sz w:val="20"/>
          <w:szCs w:val="20"/>
        </w:rPr>
        <w:t>62(2):162-167.</w:t>
      </w:r>
    </w:p>
    <w:p w:rsidR="008C1943" w:rsidRDefault="008C1943" w:rsidP="003E0821">
      <w:pPr>
        <w:pStyle w:val="ListParagraph"/>
        <w:spacing w:line="240" w:lineRule="auto"/>
        <w:jc w:val="both"/>
        <w:rPr>
          <w:rFonts w:ascii="Arial" w:hAnsi="Arial" w:cs="Arial"/>
          <w:sz w:val="20"/>
          <w:szCs w:val="20"/>
        </w:rPr>
      </w:pPr>
    </w:p>
    <w:p w:rsidR="0083368C" w:rsidRDefault="008C1943" w:rsidP="00DA64AC">
      <w:pPr>
        <w:pStyle w:val="ListParagraph"/>
        <w:spacing w:before="240" w:line="240" w:lineRule="auto"/>
        <w:jc w:val="both"/>
        <w:rPr>
          <w:rFonts w:ascii="Arial" w:hAnsi="Arial" w:cs="Arial"/>
          <w:sz w:val="20"/>
          <w:szCs w:val="20"/>
        </w:rPr>
      </w:pPr>
      <w:r w:rsidRPr="00C73F02">
        <w:rPr>
          <w:rFonts w:ascii="Arial" w:hAnsi="Arial" w:cs="Arial"/>
          <w:sz w:val="20"/>
          <w:szCs w:val="20"/>
        </w:rPr>
        <w:t>Tang</w:t>
      </w:r>
      <w:r>
        <w:rPr>
          <w:rFonts w:ascii="Arial" w:hAnsi="Arial" w:cs="Arial"/>
          <w:sz w:val="20"/>
          <w:szCs w:val="20"/>
        </w:rPr>
        <w:t>,</w:t>
      </w:r>
      <w:r w:rsidRPr="00C73F02">
        <w:rPr>
          <w:rFonts w:ascii="Arial" w:hAnsi="Arial" w:cs="Arial"/>
          <w:sz w:val="20"/>
          <w:szCs w:val="20"/>
        </w:rPr>
        <w:t xml:space="preserve"> O</w:t>
      </w:r>
      <w:r>
        <w:rPr>
          <w:rFonts w:ascii="Arial" w:hAnsi="Arial" w:cs="Arial"/>
          <w:sz w:val="20"/>
          <w:szCs w:val="20"/>
        </w:rPr>
        <w:t>.</w:t>
      </w:r>
      <w:r w:rsidRPr="00C73F02">
        <w:rPr>
          <w:rFonts w:ascii="Arial" w:hAnsi="Arial" w:cs="Arial"/>
          <w:sz w:val="20"/>
          <w:szCs w:val="20"/>
        </w:rPr>
        <w:t xml:space="preserve">S, </w:t>
      </w:r>
      <w:proofErr w:type="spellStart"/>
      <w:r w:rsidRPr="00C73F02">
        <w:rPr>
          <w:rFonts w:ascii="Arial" w:hAnsi="Arial" w:cs="Arial"/>
          <w:sz w:val="20"/>
          <w:szCs w:val="20"/>
        </w:rPr>
        <w:t>Gemzell-Danielsson</w:t>
      </w:r>
      <w:proofErr w:type="spellEnd"/>
      <w:r>
        <w:rPr>
          <w:rFonts w:ascii="Arial" w:hAnsi="Arial" w:cs="Arial"/>
          <w:sz w:val="20"/>
          <w:szCs w:val="20"/>
        </w:rPr>
        <w:t>, K &amp;</w:t>
      </w:r>
      <w:r w:rsidRPr="00C73F02">
        <w:rPr>
          <w:rFonts w:ascii="Arial" w:hAnsi="Arial" w:cs="Arial"/>
          <w:sz w:val="20"/>
          <w:szCs w:val="20"/>
        </w:rPr>
        <w:t xml:space="preserve"> Ho</w:t>
      </w:r>
      <w:r>
        <w:rPr>
          <w:rFonts w:ascii="Arial" w:hAnsi="Arial" w:cs="Arial"/>
          <w:sz w:val="20"/>
          <w:szCs w:val="20"/>
        </w:rPr>
        <w:t>,</w:t>
      </w:r>
      <w:r w:rsidRPr="00C73F02">
        <w:rPr>
          <w:rFonts w:ascii="Arial" w:hAnsi="Arial" w:cs="Arial"/>
          <w:sz w:val="20"/>
          <w:szCs w:val="20"/>
        </w:rPr>
        <w:t xml:space="preserve"> P</w:t>
      </w:r>
      <w:r>
        <w:rPr>
          <w:rFonts w:ascii="Arial" w:hAnsi="Arial" w:cs="Arial"/>
          <w:sz w:val="20"/>
          <w:szCs w:val="20"/>
        </w:rPr>
        <w:t>.</w:t>
      </w:r>
      <w:r w:rsidRPr="00C73F02">
        <w:rPr>
          <w:rFonts w:ascii="Arial" w:hAnsi="Arial" w:cs="Arial"/>
          <w:sz w:val="20"/>
          <w:szCs w:val="20"/>
        </w:rPr>
        <w:t xml:space="preserve">C. </w:t>
      </w:r>
      <w:r>
        <w:rPr>
          <w:rFonts w:ascii="Arial" w:hAnsi="Arial" w:cs="Arial"/>
          <w:sz w:val="20"/>
          <w:szCs w:val="20"/>
        </w:rPr>
        <w:t xml:space="preserve">(2007). </w:t>
      </w:r>
      <w:r w:rsidRPr="00C73F02">
        <w:rPr>
          <w:rFonts w:ascii="Arial" w:hAnsi="Arial" w:cs="Arial"/>
          <w:sz w:val="20"/>
          <w:szCs w:val="20"/>
        </w:rPr>
        <w:t>Misoprostol: Pharmacokinetic profiles, effect on the uterus and side effects</w:t>
      </w:r>
      <w:r>
        <w:rPr>
          <w:rFonts w:ascii="Arial" w:hAnsi="Arial" w:cs="Arial"/>
          <w:sz w:val="20"/>
          <w:szCs w:val="20"/>
        </w:rPr>
        <w:t xml:space="preserve">. International </w:t>
      </w:r>
      <w:r w:rsidRPr="00C73F02">
        <w:rPr>
          <w:rFonts w:ascii="Arial" w:hAnsi="Arial" w:cs="Arial"/>
          <w:sz w:val="20"/>
          <w:szCs w:val="20"/>
        </w:rPr>
        <w:t>J</w:t>
      </w:r>
      <w:r>
        <w:rPr>
          <w:rFonts w:ascii="Arial" w:hAnsi="Arial" w:cs="Arial"/>
          <w:sz w:val="20"/>
          <w:szCs w:val="20"/>
        </w:rPr>
        <w:t>ournal of</w:t>
      </w:r>
      <w:r w:rsidRPr="00C73F02">
        <w:rPr>
          <w:rFonts w:ascii="Arial" w:hAnsi="Arial" w:cs="Arial"/>
          <w:sz w:val="20"/>
          <w:szCs w:val="20"/>
        </w:rPr>
        <w:t xml:space="preserve"> Gynecol</w:t>
      </w:r>
      <w:r>
        <w:rPr>
          <w:rFonts w:ascii="Arial" w:hAnsi="Arial" w:cs="Arial"/>
          <w:sz w:val="20"/>
          <w:szCs w:val="20"/>
        </w:rPr>
        <w:t>ogy and</w:t>
      </w:r>
      <w:r w:rsidRPr="00C73F02">
        <w:rPr>
          <w:rFonts w:ascii="Arial" w:hAnsi="Arial" w:cs="Arial"/>
          <w:sz w:val="20"/>
          <w:szCs w:val="20"/>
        </w:rPr>
        <w:t xml:space="preserve"> Obstet</w:t>
      </w:r>
      <w:r>
        <w:rPr>
          <w:rFonts w:ascii="Arial" w:hAnsi="Arial" w:cs="Arial"/>
          <w:sz w:val="20"/>
          <w:szCs w:val="20"/>
        </w:rPr>
        <w:t xml:space="preserve">rics. </w:t>
      </w:r>
      <w:r w:rsidRPr="00C73F02">
        <w:rPr>
          <w:rFonts w:ascii="Arial" w:hAnsi="Arial" w:cs="Arial"/>
          <w:sz w:val="20"/>
          <w:szCs w:val="20"/>
        </w:rPr>
        <w:t>99(2): s160-s167.</w:t>
      </w:r>
    </w:p>
    <w:p w:rsidR="00DA64AC" w:rsidRPr="00DA64AC" w:rsidRDefault="00DA64AC" w:rsidP="00DA64AC">
      <w:pPr>
        <w:pStyle w:val="ListParagraph"/>
        <w:spacing w:before="240" w:line="240" w:lineRule="auto"/>
        <w:jc w:val="both"/>
        <w:rPr>
          <w:rFonts w:ascii="Arial" w:hAnsi="Arial" w:cs="Arial"/>
          <w:sz w:val="20"/>
          <w:szCs w:val="20"/>
        </w:rPr>
      </w:pPr>
    </w:p>
    <w:p w:rsidR="0083368C" w:rsidRDefault="0083368C" w:rsidP="0083368C">
      <w:pPr>
        <w:pStyle w:val="ListParagraph"/>
        <w:spacing w:line="240" w:lineRule="auto"/>
        <w:jc w:val="both"/>
        <w:rPr>
          <w:rFonts w:ascii="Arial" w:hAnsi="Arial" w:cs="Arial"/>
          <w:sz w:val="20"/>
          <w:szCs w:val="20"/>
        </w:rPr>
      </w:pPr>
      <w:proofErr w:type="spellStart"/>
      <w:r w:rsidRPr="0048373A">
        <w:rPr>
          <w:rFonts w:ascii="Arial" w:hAnsi="Arial" w:cs="Arial"/>
          <w:sz w:val="20"/>
          <w:szCs w:val="20"/>
        </w:rPr>
        <w:t>Tunclap</w:t>
      </w:r>
      <w:proofErr w:type="spellEnd"/>
      <w:r w:rsidRPr="0048373A">
        <w:rPr>
          <w:rFonts w:ascii="Arial" w:hAnsi="Arial" w:cs="Arial"/>
          <w:sz w:val="20"/>
          <w:szCs w:val="20"/>
        </w:rPr>
        <w:t>, O; Were, W</w:t>
      </w:r>
      <w:r>
        <w:rPr>
          <w:rFonts w:ascii="Arial" w:hAnsi="Arial" w:cs="Arial"/>
          <w:sz w:val="20"/>
          <w:szCs w:val="20"/>
        </w:rPr>
        <w:t>.</w:t>
      </w:r>
      <w:r w:rsidRPr="0048373A">
        <w:rPr>
          <w:rFonts w:ascii="Arial" w:hAnsi="Arial" w:cs="Arial"/>
          <w:sz w:val="20"/>
          <w:szCs w:val="20"/>
        </w:rPr>
        <w:t xml:space="preserve">M; </w:t>
      </w:r>
      <w:proofErr w:type="spellStart"/>
      <w:r w:rsidRPr="0048373A">
        <w:rPr>
          <w:rFonts w:ascii="Arial" w:hAnsi="Arial" w:cs="Arial"/>
          <w:sz w:val="20"/>
          <w:szCs w:val="20"/>
        </w:rPr>
        <w:t>Maclennan</w:t>
      </w:r>
      <w:proofErr w:type="spellEnd"/>
      <w:r w:rsidRPr="0048373A">
        <w:rPr>
          <w:rFonts w:ascii="Arial" w:hAnsi="Arial" w:cs="Arial"/>
          <w:sz w:val="20"/>
          <w:szCs w:val="20"/>
        </w:rPr>
        <w:t>, C; et</w:t>
      </w:r>
      <w:r>
        <w:rPr>
          <w:rFonts w:ascii="Arial" w:hAnsi="Arial" w:cs="Arial"/>
          <w:sz w:val="20"/>
          <w:szCs w:val="20"/>
        </w:rPr>
        <w:t xml:space="preserve"> a</w:t>
      </w:r>
      <w:r w:rsidRPr="0048373A">
        <w:rPr>
          <w:rFonts w:ascii="Arial" w:hAnsi="Arial" w:cs="Arial"/>
          <w:sz w:val="20"/>
          <w:szCs w:val="20"/>
        </w:rPr>
        <w:t>l. (2015). Quality of care for pregnant women and newborn -the WHO vision. British Journal of Obstetrics and Gynaecology</w:t>
      </w:r>
      <w:r>
        <w:rPr>
          <w:rFonts w:ascii="Arial" w:hAnsi="Arial" w:cs="Arial"/>
          <w:sz w:val="20"/>
          <w:szCs w:val="20"/>
        </w:rPr>
        <w:t>,</w:t>
      </w:r>
      <w:r w:rsidRPr="0048373A">
        <w:rPr>
          <w:rFonts w:ascii="Arial" w:hAnsi="Arial" w:cs="Arial"/>
          <w:sz w:val="20"/>
          <w:szCs w:val="20"/>
        </w:rPr>
        <w:t>122</w:t>
      </w:r>
      <w:r>
        <w:rPr>
          <w:rFonts w:ascii="Arial" w:hAnsi="Arial" w:cs="Arial"/>
          <w:sz w:val="20"/>
          <w:szCs w:val="20"/>
        </w:rPr>
        <w:t xml:space="preserve"> </w:t>
      </w:r>
      <w:r w:rsidRPr="0048373A">
        <w:rPr>
          <w:rFonts w:ascii="Arial" w:hAnsi="Arial" w:cs="Arial"/>
          <w:sz w:val="20"/>
          <w:szCs w:val="20"/>
        </w:rPr>
        <w:t>(8):1045-1049.</w:t>
      </w:r>
    </w:p>
    <w:p w:rsidR="0083368C" w:rsidRDefault="0083368C" w:rsidP="0083368C">
      <w:pPr>
        <w:pStyle w:val="ListParagraph"/>
        <w:spacing w:line="240" w:lineRule="auto"/>
        <w:jc w:val="both"/>
        <w:rPr>
          <w:rFonts w:ascii="Arial" w:hAnsi="Arial" w:cs="Arial"/>
          <w:sz w:val="20"/>
          <w:szCs w:val="20"/>
        </w:rPr>
      </w:pPr>
    </w:p>
    <w:p w:rsidR="0083368C" w:rsidRPr="00DA64AC" w:rsidRDefault="0083368C" w:rsidP="00DA64AC">
      <w:pPr>
        <w:pStyle w:val="ListParagraph"/>
        <w:spacing w:line="240" w:lineRule="auto"/>
        <w:jc w:val="both"/>
        <w:rPr>
          <w:rFonts w:ascii="Arial" w:hAnsi="Arial" w:cs="Arial"/>
          <w:sz w:val="20"/>
          <w:szCs w:val="20"/>
        </w:rPr>
      </w:pPr>
      <w:proofErr w:type="spellStart"/>
      <w:r w:rsidRPr="00C73F02">
        <w:rPr>
          <w:rFonts w:ascii="Arial" w:hAnsi="Arial" w:cs="Arial"/>
          <w:sz w:val="20"/>
          <w:szCs w:val="20"/>
        </w:rPr>
        <w:t>Ugwu</w:t>
      </w:r>
      <w:proofErr w:type="spellEnd"/>
      <w:r>
        <w:rPr>
          <w:rFonts w:ascii="Arial" w:hAnsi="Arial" w:cs="Arial"/>
          <w:sz w:val="20"/>
          <w:szCs w:val="20"/>
        </w:rPr>
        <w:t>,</w:t>
      </w:r>
      <w:r w:rsidRPr="00C73F02">
        <w:rPr>
          <w:rFonts w:ascii="Arial" w:hAnsi="Arial" w:cs="Arial"/>
          <w:sz w:val="20"/>
          <w:szCs w:val="20"/>
        </w:rPr>
        <w:t xml:space="preserve"> I</w:t>
      </w:r>
      <w:r>
        <w:rPr>
          <w:rFonts w:ascii="Arial" w:hAnsi="Arial" w:cs="Arial"/>
          <w:sz w:val="20"/>
          <w:szCs w:val="20"/>
        </w:rPr>
        <w:t>.A;</w:t>
      </w:r>
      <w:r w:rsidRPr="00C73F02">
        <w:rPr>
          <w:rFonts w:ascii="Arial" w:hAnsi="Arial" w:cs="Arial"/>
          <w:sz w:val="20"/>
          <w:szCs w:val="20"/>
        </w:rPr>
        <w:t xml:space="preserve"> </w:t>
      </w:r>
      <w:proofErr w:type="spellStart"/>
      <w:r w:rsidRPr="00C73F02">
        <w:rPr>
          <w:rFonts w:ascii="Arial" w:hAnsi="Arial" w:cs="Arial"/>
          <w:sz w:val="20"/>
          <w:szCs w:val="20"/>
        </w:rPr>
        <w:t>Enabor</w:t>
      </w:r>
      <w:proofErr w:type="spellEnd"/>
      <w:r>
        <w:rPr>
          <w:rFonts w:ascii="Arial" w:hAnsi="Arial" w:cs="Arial"/>
          <w:sz w:val="20"/>
          <w:szCs w:val="20"/>
        </w:rPr>
        <w:t>,</w:t>
      </w:r>
      <w:r w:rsidRPr="00C73F02">
        <w:rPr>
          <w:rFonts w:ascii="Arial" w:hAnsi="Arial" w:cs="Arial"/>
          <w:sz w:val="20"/>
          <w:szCs w:val="20"/>
        </w:rPr>
        <w:t xml:space="preserve"> O</w:t>
      </w:r>
      <w:r>
        <w:rPr>
          <w:rFonts w:ascii="Arial" w:hAnsi="Arial" w:cs="Arial"/>
          <w:sz w:val="20"/>
          <w:szCs w:val="20"/>
        </w:rPr>
        <w:t>.O;</w:t>
      </w:r>
      <w:r w:rsidRPr="00C73F02">
        <w:rPr>
          <w:rFonts w:ascii="Arial" w:hAnsi="Arial" w:cs="Arial"/>
          <w:sz w:val="20"/>
          <w:szCs w:val="20"/>
        </w:rPr>
        <w:t xml:space="preserve"> Adeyemi</w:t>
      </w:r>
      <w:r>
        <w:rPr>
          <w:rFonts w:ascii="Arial" w:hAnsi="Arial" w:cs="Arial"/>
          <w:sz w:val="20"/>
          <w:szCs w:val="20"/>
        </w:rPr>
        <w:t xml:space="preserve">, A.B; et al. (2014). </w:t>
      </w:r>
      <w:r w:rsidRPr="00C73F02">
        <w:rPr>
          <w:rFonts w:ascii="Arial" w:hAnsi="Arial" w:cs="Arial"/>
          <w:sz w:val="20"/>
          <w:szCs w:val="20"/>
        </w:rPr>
        <w:t>Sublingual misoprostol to decrease blood loss after caesarean delivery. A randomized controlled trial. J</w:t>
      </w:r>
      <w:r>
        <w:rPr>
          <w:rFonts w:ascii="Arial" w:hAnsi="Arial" w:cs="Arial"/>
          <w:sz w:val="20"/>
          <w:szCs w:val="20"/>
        </w:rPr>
        <w:t>ournal of</w:t>
      </w:r>
      <w:r w:rsidRPr="00C73F02">
        <w:rPr>
          <w:rFonts w:ascii="Arial" w:hAnsi="Arial" w:cs="Arial"/>
          <w:sz w:val="20"/>
          <w:szCs w:val="20"/>
        </w:rPr>
        <w:t xml:space="preserve"> Obstet</w:t>
      </w:r>
      <w:r>
        <w:rPr>
          <w:rFonts w:ascii="Arial" w:hAnsi="Arial" w:cs="Arial"/>
          <w:sz w:val="20"/>
          <w:szCs w:val="20"/>
        </w:rPr>
        <w:t>rics and</w:t>
      </w:r>
      <w:r w:rsidRPr="00C73F02">
        <w:rPr>
          <w:rFonts w:ascii="Arial" w:hAnsi="Arial" w:cs="Arial"/>
          <w:sz w:val="20"/>
          <w:szCs w:val="20"/>
        </w:rPr>
        <w:t xml:space="preserve"> Gynaecol</w:t>
      </w:r>
      <w:r>
        <w:rPr>
          <w:rFonts w:ascii="Arial" w:hAnsi="Arial" w:cs="Arial"/>
          <w:sz w:val="20"/>
          <w:szCs w:val="20"/>
        </w:rPr>
        <w:t>ogy.</w:t>
      </w:r>
      <w:r w:rsidRPr="00C73F02">
        <w:rPr>
          <w:rFonts w:ascii="Arial" w:hAnsi="Arial" w:cs="Arial"/>
          <w:sz w:val="20"/>
          <w:szCs w:val="20"/>
        </w:rPr>
        <w:t xml:space="preserve"> 34:407-411.</w:t>
      </w:r>
    </w:p>
    <w:p w:rsidR="002C5B3B" w:rsidRDefault="0083368C" w:rsidP="002C5B3B">
      <w:pPr>
        <w:spacing w:before="240" w:line="240" w:lineRule="auto"/>
        <w:ind w:left="720"/>
        <w:contextualSpacing/>
        <w:jc w:val="both"/>
        <w:rPr>
          <w:rFonts w:ascii="Arial" w:hAnsi="Arial" w:cs="Arial"/>
          <w:sz w:val="20"/>
          <w:szCs w:val="20"/>
        </w:rPr>
      </w:pPr>
      <w:r w:rsidRPr="00E743A2">
        <w:rPr>
          <w:rFonts w:ascii="Arial" w:hAnsi="Arial" w:cs="Arial"/>
          <w:sz w:val="20"/>
          <w:szCs w:val="20"/>
        </w:rPr>
        <w:t>Weeks A.D &amp; Neilson J.P. (2015). Rethinking our approach to postpartum haemorrhage and uterotonics. British Medical Journal, 351-356.</w:t>
      </w:r>
    </w:p>
    <w:p w:rsidR="0083368C" w:rsidRDefault="0083368C" w:rsidP="0056603A">
      <w:pPr>
        <w:spacing w:before="240" w:line="240" w:lineRule="auto"/>
        <w:contextualSpacing/>
        <w:jc w:val="both"/>
        <w:rPr>
          <w:rFonts w:ascii="Arial" w:hAnsi="Arial" w:cs="Arial"/>
          <w:sz w:val="20"/>
          <w:szCs w:val="20"/>
        </w:rPr>
      </w:pPr>
    </w:p>
    <w:p w:rsidR="002C5B3B" w:rsidRDefault="002C5B3B" w:rsidP="0083368C">
      <w:pPr>
        <w:spacing w:before="240" w:line="240" w:lineRule="auto"/>
        <w:ind w:left="720"/>
        <w:contextualSpacing/>
        <w:jc w:val="both"/>
        <w:rPr>
          <w:rFonts w:ascii="Arial" w:hAnsi="Arial" w:cs="Arial"/>
          <w:sz w:val="20"/>
          <w:szCs w:val="20"/>
        </w:rPr>
      </w:pPr>
    </w:p>
    <w:p w:rsidR="0056603A" w:rsidRPr="0083368C" w:rsidRDefault="0056603A" w:rsidP="0056603A">
      <w:pPr>
        <w:spacing w:before="240" w:line="240" w:lineRule="auto"/>
        <w:ind w:left="720"/>
        <w:contextualSpacing/>
        <w:jc w:val="both"/>
        <w:rPr>
          <w:rFonts w:ascii="Arial" w:hAnsi="Arial" w:cs="Arial"/>
          <w:sz w:val="20"/>
          <w:szCs w:val="20"/>
        </w:rPr>
      </w:pPr>
      <w:r w:rsidRPr="0083368C">
        <w:rPr>
          <w:rFonts w:ascii="Arial" w:hAnsi="Arial" w:cs="Arial"/>
          <w:sz w:val="20"/>
          <w:szCs w:val="20"/>
        </w:rPr>
        <w:t>WHO. (2018). Recommendation: Uterotonics for the prevention of postpartum haemorrhage. World Health Organization, Geneva: World Health Organization.15-29.</w:t>
      </w:r>
    </w:p>
    <w:p w:rsidR="0056603A" w:rsidRPr="00A32F0B" w:rsidRDefault="0056603A" w:rsidP="0056603A">
      <w:pPr>
        <w:tabs>
          <w:tab w:val="left" w:pos="1957"/>
        </w:tabs>
        <w:spacing w:before="240" w:line="240" w:lineRule="auto"/>
        <w:ind w:left="720"/>
        <w:contextualSpacing/>
        <w:jc w:val="both"/>
        <w:rPr>
          <w:rFonts w:ascii="Arial" w:hAnsi="Arial" w:cs="Arial"/>
          <w:sz w:val="20"/>
          <w:szCs w:val="20"/>
        </w:rPr>
      </w:pPr>
      <w:r>
        <w:rPr>
          <w:rFonts w:ascii="Arial" w:hAnsi="Arial" w:cs="Arial"/>
          <w:sz w:val="20"/>
          <w:szCs w:val="20"/>
        </w:rPr>
        <w:tab/>
      </w:r>
    </w:p>
    <w:p w:rsidR="002C5B3B" w:rsidRPr="002C5B3B" w:rsidRDefault="002C5B3B" w:rsidP="002C5B3B">
      <w:pPr>
        <w:spacing w:before="240" w:line="240" w:lineRule="auto"/>
        <w:ind w:left="720"/>
        <w:contextualSpacing/>
        <w:jc w:val="both"/>
        <w:rPr>
          <w:rFonts w:ascii="Arial" w:hAnsi="Arial" w:cs="Arial"/>
          <w:sz w:val="20"/>
          <w:szCs w:val="20"/>
        </w:rPr>
      </w:pPr>
      <w:r>
        <w:rPr>
          <w:rFonts w:ascii="Arial" w:hAnsi="Arial" w:cs="Arial"/>
          <w:sz w:val="20"/>
          <w:szCs w:val="20"/>
        </w:rPr>
        <w:t xml:space="preserve">Yang Y, He J &amp; </w:t>
      </w:r>
      <w:r w:rsidRPr="002C5B3B">
        <w:rPr>
          <w:rFonts w:ascii="Arial" w:hAnsi="Arial" w:cs="Arial"/>
          <w:sz w:val="20"/>
          <w:szCs w:val="20"/>
        </w:rPr>
        <w:t xml:space="preserve">Deng N. </w:t>
      </w:r>
      <w:r>
        <w:rPr>
          <w:rFonts w:ascii="Arial" w:hAnsi="Arial" w:cs="Arial"/>
          <w:sz w:val="20"/>
          <w:szCs w:val="20"/>
        </w:rPr>
        <w:t>(2021).</w:t>
      </w:r>
      <w:r w:rsidRPr="002C5B3B">
        <w:rPr>
          <w:rFonts w:ascii="Arial" w:hAnsi="Arial" w:cs="Arial"/>
          <w:sz w:val="20"/>
          <w:szCs w:val="20"/>
        </w:rPr>
        <w:t>Factors Associated with Primary Postpartum Haemorrhage in Elderly Women Undergoing Repeated Caesarean Deliveries</w:t>
      </w:r>
      <w:r w:rsidRPr="002C5B3B">
        <w:rPr>
          <w:rFonts w:ascii="Arial" w:hAnsi="Arial" w:cs="Arial"/>
          <w:i/>
          <w:sz w:val="20"/>
          <w:szCs w:val="20"/>
        </w:rPr>
        <w:t xml:space="preserve">. </w:t>
      </w:r>
      <w:r w:rsidRPr="002C5B3B">
        <w:rPr>
          <w:rFonts w:ascii="Arial" w:hAnsi="Arial" w:cs="Arial"/>
          <w:sz w:val="20"/>
          <w:szCs w:val="20"/>
        </w:rPr>
        <w:t>International Journal of Women’s Health. 13:1261-1267.</w:t>
      </w:r>
    </w:p>
    <w:p w:rsidR="002C5B3B" w:rsidRPr="0083368C" w:rsidRDefault="002C5B3B" w:rsidP="0083368C">
      <w:pPr>
        <w:spacing w:before="240" w:line="240" w:lineRule="auto"/>
        <w:ind w:left="720"/>
        <w:contextualSpacing/>
        <w:jc w:val="both"/>
        <w:rPr>
          <w:rFonts w:ascii="Arial" w:hAnsi="Arial" w:cs="Arial"/>
          <w:sz w:val="20"/>
          <w:szCs w:val="20"/>
        </w:rPr>
      </w:pPr>
    </w:p>
    <w:p w:rsidR="0083368C" w:rsidRPr="00A32F0B" w:rsidRDefault="0083368C" w:rsidP="0083368C">
      <w:pPr>
        <w:spacing w:before="240" w:line="240" w:lineRule="auto"/>
        <w:ind w:left="720"/>
        <w:contextualSpacing/>
        <w:jc w:val="both"/>
        <w:rPr>
          <w:rFonts w:ascii="Arial" w:hAnsi="Arial" w:cs="Arial"/>
          <w:sz w:val="20"/>
          <w:szCs w:val="20"/>
        </w:rPr>
      </w:pPr>
    </w:p>
    <w:p w:rsidR="0083368C" w:rsidRDefault="0083368C" w:rsidP="0083368C">
      <w:pPr>
        <w:pStyle w:val="ListParagraph"/>
        <w:spacing w:line="240" w:lineRule="auto"/>
        <w:jc w:val="both"/>
        <w:rPr>
          <w:rFonts w:ascii="Arial" w:hAnsi="Arial" w:cs="Arial"/>
          <w:sz w:val="20"/>
          <w:szCs w:val="20"/>
        </w:rPr>
      </w:pPr>
    </w:p>
    <w:p w:rsidR="00AE764E" w:rsidRPr="00C73F02" w:rsidRDefault="00AE764E" w:rsidP="00AE764E">
      <w:pPr>
        <w:pStyle w:val="ListParagraph"/>
        <w:spacing w:line="240" w:lineRule="auto"/>
        <w:jc w:val="both"/>
        <w:rPr>
          <w:rFonts w:ascii="Arial" w:hAnsi="Arial" w:cs="Arial"/>
          <w:sz w:val="20"/>
          <w:szCs w:val="20"/>
        </w:rPr>
      </w:pPr>
    </w:p>
    <w:p w:rsidR="00E4124F" w:rsidRPr="00C73F02" w:rsidRDefault="00E4124F" w:rsidP="00E4124F">
      <w:pPr>
        <w:pStyle w:val="ListParagraph"/>
        <w:spacing w:line="240" w:lineRule="auto"/>
        <w:jc w:val="both"/>
        <w:rPr>
          <w:rFonts w:ascii="Arial" w:hAnsi="Arial" w:cs="Arial"/>
          <w:sz w:val="20"/>
          <w:szCs w:val="20"/>
        </w:rPr>
      </w:pPr>
    </w:p>
    <w:p w:rsidR="00CC4FA4" w:rsidRPr="00C73F02" w:rsidRDefault="00CC4FA4" w:rsidP="00A04D8C">
      <w:pPr>
        <w:pStyle w:val="ListParagraph"/>
        <w:spacing w:line="240" w:lineRule="auto"/>
        <w:jc w:val="both"/>
        <w:rPr>
          <w:rFonts w:ascii="Arial" w:hAnsi="Arial" w:cs="Arial"/>
          <w:sz w:val="20"/>
          <w:szCs w:val="20"/>
        </w:rPr>
      </w:pPr>
    </w:p>
    <w:p w:rsidR="00505979" w:rsidRPr="00C73F02" w:rsidRDefault="00505979" w:rsidP="00505979">
      <w:pPr>
        <w:pStyle w:val="ListParagraph"/>
        <w:spacing w:line="240" w:lineRule="auto"/>
        <w:jc w:val="both"/>
        <w:rPr>
          <w:rFonts w:ascii="Arial" w:hAnsi="Arial" w:cs="Arial"/>
          <w:sz w:val="20"/>
          <w:szCs w:val="20"/>
        </w:rPr>
      </w:pPr>
    </w:p>
    <w:p w:rsidR="00505979" w:rsidRPr="00C73F02" w:rsidRDefault="00505979" w:rsidP="00505979">
      <w:pPr>
        <w:pStyle w:val="ListParagraph"/>
        <w:spacing w:line="240" w:lineRule="auto"/>
        <w:jc w:val="both"/>
        <w:rPr>
          <w:rFonts w:ascii="Arial" w:hAnsi="Arial" w:cs="Arial"/>
          <w:sz w:val="20"/>
          <w:szCs w:val="20"/>
        </w:rPr>
      </w:pPr>
    </w:p>
    <w:p w:rsidR="00AE2D60" w:rsidRPr="00AE2D60" w:rsidRDefault="00AE2D60" w:rsidP="00AE2D60">
      <w:pPr>
        <w:spacing w:line="240" w:lineRule="auto"/>
        <w:jc w:val="both"/>
        <w:rPr>
          <w:rFonts w:ascii="Arial" w:hAnsi="Arial" w:cs="Arial"/>
          <w:sz w:val="20"/>
          <w:szCs w:val="20"/>
        </w:rPr>
      </w:pPr>
    </w:p>
    <w:p w:rsidR="00505979" w:rsidRPr="00C73F02" w:rsidRDefault="00505979" w:rsidP="00505979">
      <w:pPr>
        <w:pStyle w:val="ListParagraph"/>
        <w:spacing w:line="240" w:lineRule="auto"/>
        <w:jc w:val="both"/>
        <w:rPr>
          <w:rFonts w:ascii="Arial" w:hAnsi="Arial" w:cs="Arial"/>
          <w:sz w:val="20"/>
          <w:szCs w:val="20"/>
        </w:rPr>
      </w:pPr>
    </w:p>
    <w:p w:rsidR="00084E47" w:rsidRPr="00C73F02" w:rsidRDefault="00084E47" w:rsidP="00084E47">
      <w:pPr>
        <w:pStyle w:val="ListParagraph"/>
        <w:spacing w:line="240" w:lineRule="auto"/>
        <w:jc w:val="both"/>
        <w:rPr>
          <w:rFonts w:ascii="Arial" w:hAnsi="Arial" w:cs="Arial"/>
          <w:sz w:val="20"/>
          <w:szCs w:val="20"/>
        </w:rPr>
      </w:pPr>
    </w:p>
    <w:p w:rsidR="00084E47" w:rsidRPr="00C73F02" w:rsidRDefault="00084E47" w:rsidP="00084E47">
      <w:pPr>
        <w:pStyle w:val="ListParagraph"/>
        <w:spacing w:line="240" w:lineRule="auto"/>
        <w:jc w:val="both"/>
        <w:rPr>
          <w:rFonts w:ascii="Arial" w:hAnsi="Arial" w:cs="Arial"/>
          <w:sz w:val="20"/>
          <w:szCs w:val="20"/>
        </w:rPr>
      </w:pPr>
    </w:p>
    <w:p w:rsidR="00A8217B" w:rsidRPr="00C73F02" w:rsidRDefault="00A8217B" w:rsidP="00A8217B">
      <w:pPr>
        <w:pStyle w:val="ListParagraph"/>
        <w:spacing w:line="240" w:lineRule="auto"/>
        <w:jc w:val="both"/>
        <w:rPr>
          <w:rFonts w:ascii="Arial" w:hAnsi="Arial" w:cs="Arial"/>
          <w:sz w:val="20"/>
          <w:szCs w:val="20"/>
        </w:rPr>
      </w:pPr>
    </w:p>
    <w:p w:rsidR="004B79F3" w:rsidRPr="00C73F02" w:rsidRDefault="004B79F3" w:rsidP="004B79F3">
      <w:pPr>
        <w:pStyle w:val="ListParagraph"/>
        <w:spacing w:line="240" w:lineRule="auto"/>
        <w:jc w:val="both"/>
        <w:rPr>
          <w:rFonts w:ascii="Arial" w:hAnsi="Arial" w:cs="Arial"/>
          <w:sz w:val="20"/>
          <w:szCs w:val="20"/>
        </w:rPr>
      </w:pPr>
    </w:p>
    <w:p w:rsidR="00501536" w:rsidRPr="00FA3D06" w:rsidRDefault="00501536" w:rsidP="00FA3D06">
      <w:pPr>
        <w:spacing w:line="240" w:lineRule="auto"/>
        <w:jc w:val="both"/>
        <w:rPr>
          <w:rFonts w:ascii="Arial" w:hAnsi="Arial" w:cs="Arial"/>
          <w:sz w:val="20"/>
          <w:szCs w:val="20"/>
        </w:rPr>
      </w:pPr>
    </w:p>
    <w:p w:rsidR="00501536" w:rsidRPr="00C73F02" w:rsidRDefault="00501536" w:rsidP="00A04D8C">
      <w:pPr>
        <w:spacing w:line="240" w:lineRule="auto"/>
        <w:jc w:val="both"/>
        <w:rPr>
          <w:rFonts w:ascii="Arial" w:hAnsi="Arial" w:cs="Arial"/>
          <w:sz w:val="24"/>
          <w:szCs w:val="24"/>
        </w:rPr>
      </w:pPr>
    </w:p>
    <w:p w:rsidR="005C67A8" w:rsidRPr="00C73F02" w:rsidRDefault="005C67A8" w:rsidP="00A04D8C">
      <w:pPr>
        <w:pStyle w:val="ListParagraph"/>
        <w:spacing w:line="240" w:lineRule="auto"/>
        <w:jc w:val="both"/>
        <w:rPr>
          <w:rFonts w:ascii="Arial" w:hAnsi="Arial" w:cs="Arial"/>
          <w:sz w:val="24"/>
          <w:szCs w:val="24"/>
        </w:rPr>
      </w:pPr>
    </w:p>
    <w:p w:rsidR="00CC4FA4" w:rsidRPr="00C73F02" w:rsidRDefault="00CC4FA4" w:rsidP="00A04D8C">
      <w:pPr>
        <w:pStyle w:val="ListParagraph"/>
        <w:spacing w:line="240" w:lineRule="auto"/>
        <w:jc w:val="both"/>
        <w:rPr>
          <w:rFonts w:ascii="Times New Roman" w:hAnsi="Times New Roman" w:cs="Times New Roman"/>
          <w:sz w:val="24"/>
          <w:szCs w:val="24"/>
        </w:rPr>
      </w:pPr>
    </w:p>
    <w:p w:rsidR="00CC4FA4" w:rsidRPr="00C73F02" w:rsidRDefault="00CC4FA4" w:rsidP="00A04D8C">
      <w:pPr>
        <w:pStyle w:val="ListParagraph"/>
        <w:spacing w:line="240" w:lineRule="auto"/>
        <w:jc w:val="both"/>
        <w:rPr>
          <w:rFonts w:ascii="Times New Roman" w:hAnsi="Times New Roman" w:cs="Times New Roman"/>
          <w:sz w:val="24"/>
          <w:szCs w:val="24"/>
        </w:rPr>
      </w:pPr>
    </w:p>
    <w:p w:rsidR="00ED765A" w:rsidRDefault="00ED765A" w:rsidP="00A04D8C">
      <w:pPr>
        <w:spacing w:line="240" w:lineRule="auto"/>
        <w:rPr>
          <w:rFonts w:ascii="Times New Roman" w:hAnsi="Times New Roman" w:cs="Times New Roman"/>
          <w:b/>
          <w:sz w:val="24"/>
          <w:szCs w:val="24"/>
        </w:rPr>
      </w:pPr>
    </w:p>
    <w:p w:rsidR="007E048B" w:rsidRDefault="007E048B" w:rsidP="00A04D8C">
      <w:pPr>
        <w:spacing w:line="240" w:lineRule="auto"/>
        <w:rPr>
          <w:rFonts w:ascii="Times New Roman" w:hAnsi="Times New Roman" w:cs="Times New Roman"/>
          <w:b/>
          <w:sz w:val="24"/>
          <w:szCs w:val="24"/>
        </w:rPr>
      </w:pPr>
    </w:p>
    <w:p w:rsidR="007E048B" w:rsidRDefault="007E048B" w:rsidP="00A04D8C">
      <w:pPr>
        <w:spacing w:line="240" w:lineRule="auto"/>
        <w:rPr>
          <w:rFonts w:ascii="Times New Roman" w:hAnsi="Times New Roman" w:cs="Times New Roman"/>
          <w:b/>
          <w:sz w:val="24"/>
          <w:szCs w:val="24"/>
        </w:rPr>
      </w:pPr>
    </w:p>
    <w:p w:rsidR="007E048B" w:rsidRDefault="007E048B" w:rsidP="00A04D8C">
      <w:pPr>
        <w:spacing w:line="240" w:lineRule="auto"/>
        <w:rPr>
          <w:rFonts w:ascii="Times New Roman" w:hAnsi="Times New Roman" w:cs="Times New Roman"/>
          <w:b/>
          <w:sz w:val="24"/>
          <w:szCs w:val="24"/>
        </w:rPr>
      </w:pPr>
    </w:p>
    <w:p w:rsidR="007E048B" w:rsidRDefault="007E048B" w:rsidP="00375C4C">
      <w:pPr>
        <w:rPr>
          <w:rFonts w:ascii="Times New Roman" w:hAnsi="Times New Roman" w:cs="Times New Roman"/>
          <w:b/>
          <w:sz w:val="24"/>
          <w:szCs w:val="24"/>
        </w:rPr>
      </w:pPr>
    </w:p>
    <w:p w:rsidR="007E048B" w:rsidRDefault="007E048B" w:rsidP="00375C4C">
      <w:pPr>
        <w:rPr>
          <w:rFonts w:ascii="Times New Roman" w:hAnsi="Times New Roman" w:cs="Times New Roman"/>
          <w:b/>
          <w:sz w:val="24"/>
          <w:szCs w:val="24"/>
        </w:rPr>
      </w:pPr>
    </w:p>
    <w:p w:rsidR="007E048B" w:rsidRDefault="007E048B" w:rsidP="00375C4C">
      <w:pPr>
        <w:rPr>
          <w:rFonts w:ascii="Times New Roman" w:hAnsi="Times New Roman" w:cs="Times New Roman"/>
          <w:b/>
          <w:sz w:val="24"/>
          <w:szCs w:val="24"/>
        </w:rPr>
      </w:pPr>
    </w:p>
    <w:p w:rsidR="007E048B" w:rsidRDefault="007E048B" w:rsidP="00375C4C">
      <w:pPr>
        <w:rPr>
          <w:rFonts w:ascii="Times New Roman" w:hAnsi="Times New Roman" w:cs="Times New Roman"/>
          <w:b/>
          <w:sz w:val="24"/>
          <w:szCs w:val="24"/>
        </w:rPr>
      </w:pPr>
    </w:p>
    <w:p w:rsidR="007E048B" w:rsidRDefault="007E048B" w:rsidP="00375C4C">
      <w:pPr>
        <w:rPr>
          <w:rFonts w:ascii="Times New Roman" w:hAnsi="Times New Roman" w:cs="Times New Roman"/>
          <w:b/>
          <w:sz w:val="24"/>
          <w:szCs w:val="24"/>
        </w:rPr>
      </w:pPr>
    </w:p>
    <w:p w:rsidR="007E048B" w:rsidRDefault="007E048B" w:rsidP="00375C4C">
      <w:pPr>
        <w:rPr>
          <w:rFonts w:ascii="Times New Roman" w:hAnsi="Times New Roman" w:cs="Times New Roman"/>
          <w:b/>
          <w:sz w:val="24"/>
          <w:szCs w:val="24"/>
        </w:rPr>
      </w:pPr>
    </w:p>
    <w:p w:rsidR="007E048B" w:rsidRDefault="007E048B" w:rsidP="00375C4C">
      <w:pPr>
        <w:rPr>
          <w:rFonts w:ascii="Times New Roman" w:hAnsi="Times New Roman" w:cs="Times New Roman"/>
          <w:b/>
          <w:sz w:val="24"/>
          <w:szCs w:val="24"/>
        </w:rPr>
      </w:pPr>
    </w:p>
    <w:p w:rsidR="007E048B" w:rsidRDefault="007E048B" w:rsidP="00375C4C">
      <w:pPr>
        <w:rPr>
          <w:rFonts w:ascii="Times New Roman" w:hAnsi="Times New Roman" w:cs="Times New Roman"/>
          <w:b/>
          <w:sz w:val="24"/>
          <w:szCs w:val="24"/>
        </w:rPr>
      </w:pPr>
    </w:p>
    <w:p w:rsidR="007E048B" w:rsidRDefault="007E048B" w:rsidP="00375C4C">
      <w:pPr>
        <w:rPr>
          <w:rFonts w:ascii="Times New Roman" w:hAnsi="Times New Roman" w:cs="Times New Roman"/>
          <w:b/>
          <w:sz w:val="24"/>
          <w:szCs w:val="24"/>
        </w:rPr>
      </w:pPr>
    </w:p>
    <w:p w:rsidR="007E048B" w:rsidRDefault="007E048B" w:rsidP="00375C4C">
      <w:pPr>
        <w:rPr>
          <w:rFonts w:ascii="Times New Roman" w:hAnsi="Times New Roman" w:cs="Times New Roman"/>
          <w:b/>
          <w:sz w:val="24"/>
          <w:szCs w:val="24"/>
        </w:rPr>
      </w:pPr>
    </w:p>
    <w:p w:rsidR="007E048B" w:rsidRDefault="007E048B" w:rsidP="00375C4C">
      <w:pPr>
        <w:rPr>
          <w:rFonts w:ascii="Times New Roman" w:hAnsi="Times New Roman" w:cs="Times New Roman"/>
          <w:b/>
          <w:sz w:val="24"/>
          <w:szCs w:val="24"/>
        </w:rPr>
      </w:pPr>
    </w:p>
    <w:p w:rsidR="007E048B" w:rsidRDefault="007E048B" w:rsidP="00375C4C">
      <w:pPr>
        <w:rPr>
          <w:rFonts w:ascii="Times New Roman" w:hAnsi="Times New Roman" w:cs="Times New Roman"/>
          <w:b/>
          <w:sz w:val="24"/>
          <w:szCs w:val="24"/>
        </w:rPr>
      </w:pPr>
    </w:p>
    <w:p w:rsidR="007E048B" w:rsidRDefault="007E048B" w:rsidP="00375C4C">
      <w:pPr>
        <w:rPr>
          <w:rFonts w:ascii="Times New Roman" w:hAnsi="Times New Roman" w:cs="Times New Roman"/>
          <w:b/>
          <w:sz w:val="24"/>
          <w:szCs w:val="24"/>
        </w:rPr>
      </w:pPr>
    </w:p>
    <w:p w:rsidR="00384AF1" w:rsidRPr="008B1447" w:rsidRDefault="00384AF1" w:rsidP="00384AF1">
      <w:pPr>
        <w:spacing w:line="480" w:lineRule="auto"/>
        <w:jc w:val="both"/>
        <w:rPr>
          <w:rFonts w:ascii="Times New Roman" w:hAnsi="Times New Roman" w:cs="Times New Roman"/>
          <w:sz w:val="24"/>
          <w:szCs w:val="24"/>
        </w:rPr>
      </w:pPr>
    </w:p>
    <w:p w:rsidR="00384AF1" w:rsidRDefault="00384AF1" w:rsidP="00384AF1">
      <w:pPr>
        <w:spacing w:line="480" w:lineRule="auto"/>
        <w:jc w:val="both"/>
        <w:rPr>
          <w:rFonts w:ascii="Times New Roman" w:hAnsi="Times New Roman" w:cs="Times New Roman"/>
          <w:sz w:val="24"/>
          <w:szCs w:val="24"/>
        </w:rPr>
      </w:pPr>
    </w:p>
    <w:p w:rsidR="00B91190" w:rsidRPr="00384AF1" w:rsidRDefault="00B91190" w:rsidP="00B91190">
      <w:pPr>
        <w:spacing w:line="480" w:lineRule="auto"/>
        <w:jc w:val="both"/>
        <w:rPr>
          <w:rFonts w:ascii="Times New Roman" w:hAnsi="Times New Roman" w:cs="Times New Roman"/>
          <w:sz w:val="24"/>
          <w:szCs w:val="24"/>
        </w:rPr>
      </w:pPr>
    </w:p>
    <w:p w:rsidR="003F1F26" w:rsidRDefault="003F1F26" w:rsidP="003F1F26">
      <w:pPr>
        <w:spacing w:line="480" w:lineRule="auto"/>
        <w:jc w:val="both"/>
        <w:rPr>
          <w:rFonts w:ascii="Times New Roman" w:hAnsi="Times New Roman" w:cs="Times New Roman"/>
          <w:sz w:val="24"/>
          <w:szCs w:val="24"/>
        </w:rPr>
      </w:pPr>
    </w:p>
    <w:p w:rsidR="003F1F26" w:rsidRPr="000A1878" w:rsidRDefault="003F1F26">
      <w:pPr>
        <w:rPr>
          <w:rFonts w:ascii="Times New Roman" w:hAnsi="Times New Roman" w:cs="Times New Roman"/>
          <w:b/>
          <w:sz w:val="24"/>
          <w:szCs w:val="24"/>
        </w:rPr>
      </w:pPr>
    </w:p>
    <w:sectPr w:rsidR="003F1F26" w:rsidRPr="000A18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319" w:rsidRDefault="000B0319" w:rsidP="00285BBD">
      <w:pPr>
        <w:spacing w:after="0" w:line="240" w:lineRule="auto"/>
      </w:pPr>
      <w:r>
        <w:separator/>
      </w:r>
    </w:p>
  </w:endnote>
  <w:endnote w:type="continuationSeparator" w:id="0">
    <w:p w:rsidR="000B0319" w:rsidRDefault="000B0319" w:rsidP="0028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966" w:rsidRDefault="00F37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985056"/>
      <w:docPartObj>
        <w:docPartGallery w:val="Page Numbers (Bottom of Page)"/>
        <w:docPartUnique/>
      </w:docPartObj>
    </w:sdtPr>
    <w:sdtEndPr>
      <w:rPr>
        <w:noProof/>
      </w:rPr>
    </w:sdtEndPr>
    <w:sdtContent>
      <w:p w:rsidR="00F37966" w:rsidRDefault="00F37966">
        <w:pPr>
          <w:pStyle w:val="Footer"/>
          <w:jc w:val="center"/>
        </w:pPr>
        <w:r>
          <w:fldChar w:fldCharType="begin"/>
        </w:r>
        <w:r>
          <w:instrText xml:space="preserve"> PAGE   \* MERGEFORMAT </w:instrText>
        </w:r>
        <w:r>
          <w:fldChar w:fldCharType="separate"/>
        </w:r>
        <w:r w:rsidR="004B5A3A">
          <w:rPr>
            <w:noProof/>
          </w:rPr>
          <w:t>14</w:t>
        </w:r>
        <w:r>
          <w:rPr>
            <w:noProof/>
          </w:rPr>
          <w:fldChar w:fldCharType="end"/>
        </w:r>
      </w:p>
    </w:sdtContent>
  </w:sdt>
  <w:p w:rsidR="00F37966" w:rsidRDefault="00F37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966" w:rsidRDefault="00F37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319" w:rsidRDefault="000B0319" w:rsidP="00285BBD">
      <w:pPr>
        <w:spacing w:after="0" w:line="240" w:lineRule="auto"/>
      </w:pPr>
      <w:r>
        <w:separator/>
      </w:r>
    </w:p>
  </w:footnote>
  <w:footnote w:type="continuationSeparator" w:id="0">
    <w:p w:rsidR="000B0319" w:rsidRDefault="000B0319" w:rsidP="00285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966" w:rsidRDefault="00F37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966" w:rsidRDefault="00F37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966" w:rsidRDefault="00F37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64C04"/>
    <w:multiLevelType w:val="hybridMultilevel"/>
    <w:tmpl w:val="1248B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56288B"/>
    <w:multiLevelType w:val="hybridMultilevel"/>
    <w:tmpl w:val="11569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842EE"/>
    <w:multiLevelType w:val="hybridMultilevel"/>
    <w:tmpl w:val="A7E44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43"/>
    <w:rsid w:val="00001041"/>
    <w:rsid w:val="00006B19"/>
    <w:rsid w:val="000077F1"/>
    <w:rsid w:val="00013E40"/>
    <w:rsid w:val="00030B81"/>
    <w:rsid w:val="000311B6"/>
    <w:rsid w:val="00036932"/>
    <w:rsid w:val="00042CAA"/>
    <w:rsid w:val="00065235"/>
    <w:rsid w:val="00084E47"/>
    <w:rsid w:val="000A1878"/>
    <w:rsid w:val="000A5924"/>
    <w:rsid w:val="000A79D8"/>
    <w:rsid w:val="000B0319"/>
    <w:rsid w:val="000C0519"/>
    <w:rsid w:val="000D05FF"/>
    <w:rsid w:val="000D5DA3"/>
    <w:rsid w:val="000D76A2"/>
    <w:rsid w:val="001006CA"/>
    <w:rsid w:val="00101161"/>
    <w:rsid w:val="0011014D"/>
    <w:rsid w:val="001227A6"/>
    <w:rsid w:val="00126239"/>
    <w:rsid w:val="00131F3F"/>
    <w:rsid w:val="00145F6D"/>
    <w:rsid w:val="00150019"/>
    <w:rsid w:val="00150940"/>
    <w:rsid w:val="001525F7"/>
    <w:rsid w:val="00155BD7"/>
    <w:rsid w:val="001560E6"/>
    <w:rsid w:val="00157869"/>
    <w:rsid w:val="00160B5A"/>
    <w:rsid w:val="00171EF5"/>
    <w:rsid w:val="00177B83"/>
    <w:rsid w:val="001B2C61"/>
    <w:rsid w:val="001B34DE"/>
    <w:rsid w:val="001C1717"/>
    <w:rsid w:val="001C3A5C"/>
    <w:rsid w:val="001D017C"/>
    <w:rsid w:val="001D312E"/>
    <w:rsid w:val="001E1B92"/>
    <w:rsid w:val="001E2B1C"/>
    <w:rsid w:val="001F123D"/>
    <w:rsid w:val="001F35BF"/>
    <w:rsid w:val="00206952"/>
    <w:rsid w:val="00216BB0"/>
    <w:rsid w:val="00220401"/>
    <w:rsid w:val="00223FFE"/>
    <w:rsid w:val="002439AC"/>
    <w:rsid w:val="0025038E"/>
    <w:rsid w:val="00253B88"/>
    <w:rsid w:val="002577EF"/>
    <w:rsid w:val="00261BEF"/>
    <w:rsid w:val="00264EB2"/>
    <w:rsid w:val="0027341D"/>
    <w:rsid w:val="00276A16"/>
    <w:rsid w:val="00285BBD"/>
    <w:rsid w:val="002C37B7"/>
    <w:rsid w:val="002C5B3B"/>
    <w:rsid w:val="002C67F2"/>
    <w:rsid w:val="002D3B8B"/>
    <w:rsid w:val="002E19A9"/>
    <w:rsid w:val="002E1F15"/>
    <w:rsid w:val="002E2CDA"/>
    <w:rsid w:val="002E30C5"/>
    <w:rsid w:val="0031251E"/>
    <w:rsid w:val="0032373F"/>
    <w:rsid w:val="0033035E"/>
    <w:rsid w:val="00347225"/>
    <w:rsid w:val="00361FEE"/>
    <w:rsid w:val="00363E7D"/>
    <w:rsid w:val="00374C98"/>
    <w:rsid w:val="00375C4C"/>
    <w:rsid w:val="00384AF1"/>
    <w:rsid w:val="003929C8"/>
    <w:rsid w:val="00394C2C"/>
    <w:rsid w:val="00395736"/>
    <w:rsid w:val="003C0B0E"/>
    <w:rsid w:val="003C3600"/>
    <w:rsid w:val="003C73BB"/>
    <w:rsid w:val="003D7BE2"/>
    <w:rsid w:val="003E0821"/>
    <w:rsid w:val="003F1F26"/>
    <w:rsid w:val="0042431E"/>
    <w:rsid w:val="00434B88"/>
    <w:rsid w:val="00446ABD"/>
    <w:rsid w:val="004511B8"/>
    <w:rsid w:val="0046411A"/>
    <w:rsid w:val="00464D8E"/>
    <w:rsid w:val="00470757"/>
    <w:rsid w:val="00472B51"/>
    <w:rsid w:val="00483648"/>
    <w:rsid w:val="0048373A"/>
    <w:rsid w:val="00485543"/>
    <w:rsid w:val="004A0956"/>
    <w:rsid w:val="004A5EFE"/>
    <w:rsid w:val="004B1306"/>
    <w:rsid w:val="004B2943"/>
    <w:rsid w:val="004B5A3A"/>
    <w:rsid w:val="004B79F3"/>
    <w:rsid w:val="004B7AC7"/>
    <w:rsid w:val="004C0E23"/>
    <w:rsid w:val="004C512A"/>
    <w:rsid w:val="004D698B"/>
    <w:rsid w:val="004E0218"/>
    <w:rsid w:val="00501536"/>
    <w:rsid w:val="00502FBE"/>
    <w:rsid w:val="00505979"/>
    <w:rsid w:val="00510B52"/>
    <w:rsid w:val="005163C8"/>
    <w:rsid w:val="00531618"/>
    <w:rsid w:val="00536325"/>
    <w:rsid w:val="005521B2"/>
    <w:rsid w:val="0056603A"/>
    <w:rsid w:val="00567193"/>
    <w:rsid w:val="00575406"/>
    <w:rsid w:val="005757BD"/>
    <w:rsid w:val="00596005"/>
    <w:rsid w:val="005C1E24"/>
    <w:rsid w:val="005C67A8"/>
    <w:rsid w:val="005D2B83"/>
    <w:rsid w:val="005E1E44"/>
    <w:rsid w:val="005E62D6"/>
    <w:rsid w:val="005F0B26"/>
    <w:rsid w:val="005F63EE"/>
    <w:rsid w:val="0060560E"/>
    <w:rsid w:val="0060598C"/>
    <w:rsid w:val="00610D9E"/>
    <w:rsid w:val="00611FE5"/>
    <w:rsid w:val="006149F2"/>
    <w:rsid w:val="00616A4A"/>
    <w:rsid w:val="00621A57"/>
    <w:rsid w:val="00626198"/>
    <w:rsid w:val="00631DC1"/>
    <w:rsid w:val="00647460"/>
    <w:rsid w:val="0065684F"/>
    <w:rsid w:val="00657DD7"/>
    <w:rsid w:val="0067163E"/>
    <w:rsid w:val="00674D2B"/>
    <w:rsid w:val="00675391"/>
    <w:rsid w:val="006824C5"/>
    <w:rsid w:val="00691A72"/>
    <w:rsid w:val="006A0F90"/>
    <w:rsid w:val="006A2324"/>
    <w:rsid w:val="006C3557"/>
    <w:rsid w:val="006E3A2D"/>
    <w:rsid w:val="006F2735"/>
    <w:rsid w:val="006F4F1D"/>
    <w:rsid w:val="007028BF"/>
    <w:rsid w:val="00704B96"/>
    <w:rsid w:val="00716CC2"/>
    <w:rsid w:val="007211BD"/>
    <w:rsid w:val="00724934"/>
    <w:rsid w:val="007406AC"/>
    <w:rsid w:val="00766DB1"/>
    <w:rsid w:val="00774CB7"/>
    <w:rsid w:val="007A5B73"/>
    <w:rsid w:val="007E048B"/>
    <w:rsid w:val="007F48D6"/>
    <w:rsid w:val="008233A4"/>
    <w:rsid w:val="00825196"/>
    <w:rsid w:val="00827806"/>
    <w:rsid w:val="0083041B"/>
    <w:rsid w:val="0083368C"/>
    <w:rsid w:val="00836D3D"/>
    <w:rsid w:val="00854725"/>
    <w:rsid w:val="00866346"/>
    <w:rsid w:val="008728D3"/>
    <w:rsid w:val="0088273D"/>
    <w:rsid w:val="008830D0"/>
    <w:rsid w:val="00890DA1"/>
    <w:rsid w:val="008967E8"/>
    <w:rsid w:val="008A1F3F"/>
    <w:rsid w:val="008A3F6F"/>
    <w:rsid w:val="008A6E9A"/>
    <w:rsid w:val="008A7D94"/>
    <w:rsid w:val="008B004D"/>
    <w:rsid w:val="008B0EB6"/>
    <w:rsid w:val="008C1943"/>
    <w:rsid w:val="008C554F"/>
    <w:rsid w:val="008C66F5"/>
    <w:rsid w:val="008C7E24"/>
    <w:rsid w:val="008D365F"/>
    <w:rsid w:val="008D5E44"/>
    <w:rsid w:val="008E4E30"/>
    <w:rsid w:val="008E545C"/>
    <w:rsid w:val="008F765B"/>
    <w:rsid w:val="009161EB"/>
    <w:rsid w:val="009223BB"/>
    <w:rsid w:val="00922436"/>
    <w:rsid w:val="00925638"/>
    <w:rsid w:val="00934E43"/>
    <w:rsid w:val="00944655"/>
    <w:rsid w:val="00944AC8"/>
    <w:rsid w:val="00947CE0"/>
    <w:rsid w:val="00947FD2"/>
    <w:rsid w:val="009504CC"/>
    <w:rsid w:val="009670B2"/>
    <w:rsid w:val="0097123A"/>
    <w:rsid w:val="0097392C"/>
    <w:rsid w:val="00993D9B"/>
    <w:rsid w:val="0099537B"/>
    <w:rsid w:val="009A7F96"/>
    <w:rsid w:val="009C4917"/>
    <w:rsid w:val="009E69FB"/>
    <w:rsid w:val="009F1805"/>
    <w:rsid w:val="009F1C07"/>
    <w:rsid w:val="00A04840"/>
    <w:rsid w:val="00A04D8C"/>
    <w:rsid w:val="00A16D5B"/>
    <w:rsid w:val="00A1707A"/>
    <w:rsid w:val="00A25BF9"/>
    <w:rsid w:val="00A27A74"/>
    <w:rsid w:val="00A32F0B"/>
    <w:rsid w:val="00A34A38"/>
    <w:rsid w:val="00A5645D"/>
    <w:rsid w:val="00A6377A"/>
    <w:rsid w:val="00A70A89"/>
    <w:rsid w:val="00A77DF3"/>
    <w:rsid w:val="00A80377"/>
    <w:rsid w:val="00A8217B"/>
    <w:rsid w:val="00AA1CDB"/>
    <w:rsid w:val="00AA47C9"/>
    <w:rsid w:val="00AB3689"/>
    <w:rsid w:val="00AD0597"/>
    <w:rsid w:val="00AD2888"/>
    <w:rsid w:val="00AE1C7A"/>
    <w:rsid w:val="00AE2D60"/>
    <w:rsid w:val="00AE6724"/>
    <w:rsid w:val="00AE764E"/>
    <w:rsid w:val="00AF56E7"/>
    <w:rsid w:val="00B01B10"/>
    <w:rsid w:val="00B06553"/>
    <w:rsid w:val="00B12727"/>
    <w:rsid w:val="00B134B4"/>
    <w:rsid w:val="00B1779A"/>
    <w:rsid w:val="00B45B0D"/>
    <w:rsid w:val="00B5038D"/>
    <w:rsid w:val="00B544F6"/>
    <w:rsid w:val="00B55B64"/>
    <w:rsid w:val="00B57A0B"/>
    <w:rsid w:val="00B67D25"/>
    <w:rsid w:val="00B91046"/>
    <w:rsid w:val="00B91190"/>
    <w:rsid w:val="00B96C82"/>
    <w:rsid w:val="00BB6CCB"/>
    <w:rsid w:val="00BC2E3E"/>
    <w:rsid w:val="00BD1819"/>
    <w:rsid w:val="00BD7898"/>
    <w:rsid w:val="00BE0657"/>
    <w:rsid w:val="00BE7F23"/>
    <w:rsid w:val="00BF0FF2"/>
    <w:rsid w:val="00C01F4B"/>
    <w:rsid w:val="00C16C23"/>
    <w:rsid w:val="00C23461"/>
    <w:rsid w:val="00C272B0"/>
    <w:rsid w:val="00C5641D"/>
    <w:rsid w:val="00C73F02"/>
    <w:rsid w:val="00C803C2"/>
    <w:rsid w:val="00C824A9"/>
    <w:rsid w:val="00C84735"/>
    <w:rsid w:val="00C85BDB"/>
    <w:rsid w:val="00C879D1"/>
    <w:rsid w:val="00CA25D5"/>
    <w:rsid w:val="00CA4EFB"/>
    <w:rsid w:val="00CA5575"/>
    <w:rsid w:val="00CB02FA"/>
    <w:rsid w:val="00CC4FA4"/>
    <w:rsid w:val="00CC52B0"/>
    <w:rsid w:val="00CD0CBE"/>
    <w:rsid w:val="00CD2455"/>
    <w:rsid w:val="00CD63C8"/>
    <w:rsid w:val="00CE20AB"/>
    <w:rsid w:val="00CE47F5"/>
    <w:rsid w:val="00CF6876"/>
    <w:rsid w:val="00D01072"/>
    <w:rsid w:val="00D222D9"/>
    <w:rsid w:val="00D22CD8"/>
    <w:rsid w:val="00D25E75"/>
    <w:rsid w:val="00D44090"/>
    <w:rsid w:val="00D57E38"/>
    <w:rsid w:val="00D721C3"/>
    <w:rsid w:val="00D77360"/>
    <w:rsid w:val="00D92C8D"/>
    <w:rsid w:val="00DA64AC"/>
    <w:rsid w:val="00DC4508"/>
    <w:rsid w:val="00DF187C"/>
    <w:rsid w:val="00E01C0B"/>
    <w:rsid w:val="00E1033B"/>
    <w:rsid w:val="00E120DB"/>
    <w:rsid w:val="00E24901"/>
    <w:rsid w:val="00E2581C"/>
    <w:rsid w:val="00E37F64"/>
    <w:rsid w:val="00E4124F"/>
    <w:rsid w:val="00E43625"/>
    <w:rsid w:val="00E6638C"/>
    <w:rsid w:val="00E67CD7"/>
    <w:rsid w:val="00E700DC"/>
    <w:rsid w:val="00E728A5"/>
    <w:rsid w:val="00E743A2"/>
    <w:rsid w:val="00E7567A"/>
    <w:rsid w:val="00E8155F"/>
    <w:rsid w:val="00E91742"/>
    <w:rsid w:val="00EB1489"/>
    <w:rsid w:val="00EC1122"/>
    <w:rsid w:val="00EC693F"/>
    <w:rsid w:val="00ED5A1E"/>
    <w:rsid w:val="00ED765A"/>
    <w:rsid w:val="00EF19DC"/>
    <w:rsid w:val="00F00D04"/>
    <w:rsid w:val="00F22A78"/>
    <w:rsid w:val="00F30EDB"/>
    <w:rsid w:val="00F37966"/>
    <w:rsid w:val="00F42260"/>
    <w:rsid w:val="00F47DDC"/>
    <w:rsid w:val="00F60F7D"/>
    <w:rsid w:val="00F7461F"/>
    <w:rsid w:val="00F81492"/>
    <w:rsid w:val="00F81876"/>
    <w:rsid w:val="00F82041"/>
    <w:rsid w:val="00FA3D06"/>
    <w:rsid w:val="00FB2A9E"/>
    <w:rsid w:val="00FB3E98"/>
    <w:rsid w:val="00FC36D0"/>
    <w:rsid w:val="00FC6827"/>
    <w:rsid w:val="00FD1A1D"/>
    <w:rsid w:val="00FD38B3"/>
    <w:rsid w:val="00FE0BEC"/>
    <w:rsid w:val="00FE352A"/>
    <w:rsid w:val="00FE44AA"/>
    <w:rsid w:val="00FF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6864"/>
  <w15:chartTrackingRefBased/>
  <w15:docId w15:val="{EC5A9809-E480-452E-9A2B-F7C5573D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84F"/>
    <w:rPr>
      <w:color w:val="0563C1" w:themeColor="hyperlink"/>
      <w:u w:val="single"/>
    </w:rPr>
  </w:style>
  <w:style w:type="paragraph" w:styleId="ListParagraph">
    <w:name w:val="List Paragraph"/>
    <w:basedOn w:val="Normal"/>
    <w:uiPriority w:val="34"/>
    <w:qFormat/>
    <w:rsid w:val="00B91190"/>
    <w:pPr>
      <w:ind w:left="720"/>
      <w:contextualSpacing/>
    </w:pPr>
  </w:style>
  <w:style w:type="table" w:styleId="TableGrid">
    <w:name w:val="Table Grid"/>
    <w:basedOn w:val="TableNormal"/>
    <w:uiPriority w:val="39"/>
    <w:rsid w:val="00375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75C4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85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BBD"/>
  </w:style>
  <w:style w:type="paragraph" w:styleId="Footer">
    <w:name w:val="footer"/>
    <w:basedOn w:val="Normal"/>
    <w:link w:val="FooterChar"/>
    <w:uiPriority w:val="99"/>
    <w:unhideWhenUsed/>
    <w:rsid w:val="00285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1519</TotalTime>
  <Pages>17</Pages>
  <Words>5344</Words>
  <Characters>30464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CPU 1117</cp:lastModifiedBy>
  <cp:revision>234</cp:revision>
  <dcterms:created xsi:type="dcterms:W3CDTF">2022-12-16T23:17:00Z</dcterms:created>
  <dcterms:modified xsi:type="dcterms:W3CDTF">2025-08-09T10:47:00Z</dcterms:modified>
</cp:coreProperties>
</file>